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2F86CE" w14:textId="77777777" w:rsidR="0089719F" w:rsidRPr="00B05518" w:rsidRDefault="0089719F" w:rsidP="008E7BBF">
      <w:pPr>
        <w:adjustRightInd w:val="0"/>
        <w:snapToGrid w:val="0"/>
        <w:spacing w:line="360" w:lineRule="auto"/>
        <w:jc w:val="both"/>
        <w:rPr>
          <w:rFonts w:ascii="Book Antiqua" w:hAnsi="Book Antiqua"/>
          <w:b/>
        </w:rPr>
      </w:pPr>
      <w:bookmarkStart w:id="0" w:name="OLE_LINK903"/>
      <w:bookmarkStart w:id="1" w:name="OLE_LINK904"/>
      <w:bookmarkStart w:id="2" w:name="OLE_LINK458"/>
      <w:bookmarkStart w:id="3" w:name="OLE_LINK462"/>
      <w:bookmarkStart w:id="4" w:name="OLE_LINK478"/>
      <w:bookmarkStart w:id="5" w:name="OLE_LINK661"/>
      <w:bookmarkStart w:id="6" w:name="OLE_LINK663"/>
      <w:bookmarkStart w:id="7" w:name="OLE_LINK858"/>
      <w:bookmarkStart w:id="8" w:name="OLE_LINK852"/>
      <w:bookmarkStart w:id="9" w:name="OLE_LINK944"/>
      <w:bookmarkStart w:id="10" w:name="OLE_LINK1028"/>
      <w:bookmarkStart w:id="11" w:name="OLE_LINK1050"/>
      <w:bookmarkStart w:id="12" w:name="OLE_LINK1056"/>
      <w:bookmarkStart w:id="13" w:name="OLE_LINK1078"/>
      <w:bookmarkStart w:id="14" w:name="OLE_LINK1095"/>
      <w:bookmarkStart w:id="15" w:name="OLE_LINK1105"/>
      <w:bookmarkStart w:id="16" w:name="OLE_LINK1133"/>
      <w:r w:rsidRPr="00B05518">
        <w:rPr>
          <w:rFonts w:ascii="Book Antiqua" w:hAnsi="Book Antiqua"/>
          <w:b/>
        </w:rPr>
        <w:t xml:space="preserve">Name of Journal: </w:t>
      </w:r>
      <w:r w:rsidRPr="0089719F">
        <w:rPr>
          <w:rFonts w:ascii="Book Antiqua" w:hAnsi="Book Antiqua"/>
          <w:b/>
          <w:i/>
        </w:rPr>
        <w:t>World Journal of Orthopedics</w:t>
      </w:r>
    </w:p>
    <w:bookmarkEnd w:id="0"/>
    <w:bookmarkEnd w:id="1"/>
    <w:p w14:paraId="345364F4" w14:textId="77777777" w:rsidR="0089719F" w:rsidRPr="00B05518" w:rsidRDefault="0089719F" w:rsidP="008E7BBF">
      <w:pPr>
        <w:adjustRightInd w:val="0"/>
        <w:snapToGrid w:val="0"/>
        <w:spacing w:line="360" w:lineRule="auto"/>
        <w:jc w:val="both"/>
        <w:rPr>
          <w:rFonts w:ascii="Book Antiqua" w:hAnsi="Book Antiqua"/>
          <w:b/>
          <w:lang w:eastAsia="zh-CN"/>
        </w:rPr>
      </w:pPr>
      <w:r w:rsidRPr="00B05518">
        <w:rPr>
          <w:rFonts w:ascii="Book Antiqua" w:hAnsi="Book Antiqua"/>
          <w:b/>
        </w:rPr>
        <w:t xml:space="preserve">Manuscript NO: </w:t>
      </w:r>
      <w:r>
        <w:rPr>
          <w:rFonts w:ascii="Book Antiqua" w:hAnsi="Book Antiqua" w:hint="eastAsia"/>
          <w:b/>
          <w:lang w:eastAsia="zh-CN"/>
        </w:rPr>
        <w:t>35378</w:t>
      </w:r>
    </w:p>
    <w:p w14:paraId="7E54AF7E" w14:textId="77777777" w:rsidR="0089719F" w:rsidRPr="00B05518" w:rsidRDefault="0089719F" w:rsidP="008E7BBF">
      <w:pPr>
        <w:adjustRightInd w:val="0"/>
        <w:snapToGrid w:val="0"/>
        <w:spacing w:line="360" w:lineRule="auto"/>
        <w:jc w:val="both"/>
        <w:rPr>
          <w:rFonts w:ascii="Book Antiqua" w:hAnsi="Book Antiqua"/>
          <w:b/>
          <w:lang w:eastAsia="zh-CN"/>
        </w:rPr>
      </w:pPr>
      <w:bookmarkStart w:id="17" w:name="OLE_LINK1617"/>
      <w:bookmarkStart w:id="18" w:name="OLE_LINK1618"/>
      <w:r w:rsidRPr="00B05518">
        <w:rPr>
          <w:rFonts w:ascii="Book Antiqua" w:hAnsi="Book Antiqua"/>
          <w:b/>
        </w:rPr>
        <w:t xml:space="preserve">Manuscript Type: </w:t>
      </w:r>
      <w:bookmarkEnd w:id="17"/>
      <w:bookmarkEnd w:id="18"/>
      <w:r>
        <w:rPr>
          <w:rFonts w:ascii="Book Antiqua" w:hAnsi="Book Antiqua" w:hint="eastAsia"/>
          <w:b/>
          <w:lang w:eastAsia="zh-CN"/>
        </w:rPr>
        <w:t xml:space="preserve">Original </w:t>
      </w:r>
      <w:r>
        <w:rPr>
          <w:rFonts w:ascii="Book Antiqua" w:hAnsi="Book Antiqua"/>
          <w:b/>
          <w:lang w:eastAsia="zh-CN"/>
        </w:rPr>
        <w:t>A</w:t>
      </w:r>
      <w:r>
        <w:rPr>
          <w:rFonts w:ascii="Book Antiqua" w:hAnsi="Book Antiqua" w:hint="eastAsia"/>
          <w:b/>
          <w:lang w:eastAsia="zh-CN"/>
        </w:rPr>
        <w:t>rticle</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14:paraId="11DD6039" w14:textId="77777777" w:rsidR="0089719F" w:rsidRPr="003164DD" w:rsidRDefault="0089719F" w:rsidP="008E7BBF">
      <w:pPr>
        <w:pStyle w:val="Heading1"/>
        <w:adjustRightInd w:val="0"/>
        <w:snapToGrid w:val="0"/>
        <w:spacing w:before="0" w:line="360" w:lineRule="auto"/>
        <w:jc w:val="both"/>
        <w:rPr>
          <w:rFonts w:ascii="Book Antiqua" w:eastAsia="宋体" w:hAnsi="Book Antiqua" w:cs="Times New Roman"/>
          <w:b/>
          <w:i/>
          <w:color w:val="1A1A1A"/>
          <w:sz w:val="24"/>
          <w:szCs w:val="24"/>
          <w:lang w:eastAsia="zh-CN"/>
        </w:rPr>
      </w:pPr>
      <w:r w:rsidRPr="003164DD">
        <w:rPr>
          <w:rFonts w:ascii="Book Antiqua" w:eastAsia="宋体" w:hAnsi="Book Antiqua" w:cs="Times New Roman"/>
          <w:b/>
          <w:i/>
          <w:color w:val="1A1A1A"/>
          <w:sz w:val="24"/>
          <w:szCs w:val="24"/>
          <w:lang w:eastAsia="zh-CN"/>
        </w:rPr>
        <w:t>Retrospective Cohort Study</w:t>
      </w:r>
    </w:p>
    <w:p w14:paraId="74C13076" w14:textId="77777777" w:rsidR="0089719F" w:rsidRDefault="0089719F" w:rsidP="008E7BBF">
      <w:pPr>
        <w:pStyle w:val="Heading1"/>
        <w:adjustRightInd w:val="0"/>
        <w:snapToGrid w:val="0"/>
        <w:spacing w:before="0" w:line="360" w:lineRule="auto"/>
        <w:jc w:val="both"/>
        <w:rPr>
          <w:rFonts w:ascii="Book Antiqua" w:eastAsia="宋体" w:hAnsi="Book Antiqua" w:cs="Times New Roman"/>
          <w:b/>
          <w:color w:val="1A1A1A"/>
          <w:sz w:val="24"/>
          <w:szCs w:val="24"/>
          <w:lang w:eastAsia="zh-CN"/>
        </w:rPr>
      </w:pPr>
    </w:p>
    <w:p w14:paraId="326D2331" w14:textId="77777777" w:rsidR="00DD7B50" w:rsidRPr="0089719F" w:rsidRDefault="00135440" w:rsidP="008E7BBF">
      <w:pPr>
        <w:pStyle w:val="Heading1"/>
        <w:adjustRightInd w:val="0"/>
        <w:snapToGrid w:val="0"/>
        <w:spacing w:before="0" w:line="360" w:lineRule="auto"/>
        <w:jc w:val="both"/>
        <w:rPr>
          <w:rFonts w:ascii="Book Antiqua" w:eastAsia="宋体" w:hAnsi="Book Antiqua" w:cs="Times New Roman"/>
          <w:b/>
          <w:color w:val="000000" w:themeColor="text1"/>
          <w:sz w:val="24"/>
          <w:szCs w:val="24"/>
          <w:lang w:eastAsia="zh-CN"/>
        </w:rPr>
      </w:pPr>
      <w:bookmarkStart w:id="19" w:name="OLE_LINK1175"/>
      <w:bookmarkStart w:id="20" w:name="OLE_LINK1176"/>
      <w:r w:rsidRPr="00135440">
        <w:rPr>
          <w:rFonts w:ascii="Book Antiqua" w:hAnsi="Book Antiqua" w:cs="Times New Roman"/>
          <w:b/>
          <w:color w:val="1A1A1A"/>
          <w:sz w:val="24"/>
          <w:szCs w:val="24"/>
        </w:rPr>
        <w:t>Do Not Resuscitate</w:t>
      </w:r>
      <w:r w:rsidR="00EA5440" w:rsidRPr="006F15BB">
        <w:rPr>
          <w:rFonts w:ascii="Book Antiqua" w:hAnsi="Book Antiqua" w:cs="Times New Roman"/>
          <w:b/>
          <w:color w:val="1A1A1A"/>
          <w:sz w:val="24"/>
          <w:szCs w:val="24"/>
        </w:rPr>
        <w:t xml:space="preserve"> status as an independent risk factor for pati</w:t>
      </w:r>
      <w:r w:rsidR="003E3E78" w:rsidRPr="006F15BB">
        <w:rPr>
          <w:rFonts w:ascii="Book Antiqua" w:hAnsi="Book Antiqua" w:cs="Times New Roman"/>
          <w:b/>
          <w:color w:val="1A1A1A"/>
          <w:sz w:val="24"/>
          <w:szCs w:val="24"/>
        </w:rPr>
        <w:t xml:space="preserve">ents undergoing surgery for hip </w:t>
      </w:r>
      <w:r w:rsidR="00EA5440" w:rsidRPr="006F15BB">
        <w:rPr>
          <w:rFonts w:ascii="Book Antiqua" w:hAnsi="Book Antiqua" w:cs="Times New Roman"/>
          <w:b/>
          <w:color w:val="1A1A1A"/>
          <w:sz w:val="24"/>
          <w:szCs w:val="24"/>
        </w:rPr>
        <w:t>fracture</w:t>
      </w:r>
    </w:p>
    <w:p w14:paraId="1FEBE040" w14:textId="77777777" w:rsidR="003164DD" w:rsidRDefault="003164DD" w:rsidP="008E7BBF">
      <w:pPr>
        <w:adjustRightInd w:val="0"/>
        <w:snapToGrid w:val="0"/>
        <w:spacing w:line="360" w:lineRule="auto"/>
        <w:jc w:val="both"/>
        <w:rPr>
          <w:rFonts w:ascii="Book Antiqua" w:hAnsi="Book Antiqua" w:cs="Times New Roman"/>
          <w:b/>
          <w:lang w:val="en-GB" w:eastAsia="zh-CN"/>
        </w:rPr>
      </w:pPr>
    </w:p>
    <w:bookmarkEnd w:id="19"/>
    <w:bookmarkEnd w:id="20"/>
    <w:p w14:paraId="3706BBBC" w14:textId="77777777" w:rsidR="00820A53" w:rsidRPr="006F15BB" w:rsidRDefault="003164DD" w:rsidP="008E7BBF">
      <w:pPr>
        <w:adjustRightInd w:val="0"/>
        <w:snapToGrid w:val="0"/>
        <w:spacing w:line="360" w:lineRule="auto"/>
        <w:jc w:val="both"/>
        <w:rPr>
          <w:rFonts w:ascii="Book Antiqua" w:hAnsi="Book Antiqua" w:cs="Times New Roman"/>
          <w:lang w:val="en-GB" w:eastAsia="zh-CN"/>
        </w:rPr>
      </w:pPr>
      <w:proofErr w:type="spellStart"/>
      <w:r>
        <w:rPr>
          <w:rFonts w:ascii="Book Antiqua" w:hAnsi="Book Antiqua" w:cs="Times New Roman"/>
          <w:lang w:val="en-GB"/>
        </w:rPr>
        <w:t>Brovman</w:t>
      </w:r>
      <w:proofErr w:type="spellEnd"/>
      <w:r>
        <w:rPr>
          <w:rFonts w:ascii="Book Antiqua" w:hAnsi="Book Antiqua" w:cs="Times New Roman"/>
          <w:lang w:val="en-GB"/>
        </w:rPr>
        <w:t xml:space="preserve"> EY</w:t>
      </w:r>
      <w:r>
        <w:rPr>
          <w:rFonts w:ascii="Book Antiqua" w:hAnsi="Book Antiqua" w:cs="Times New Roman" w:hint="eastAsia"/>
          <w:lang w:val="en-GB" w:eastAsia="zh-CN"/>
        </w:rPr>
        <w:t xml:space="preserve"> </w:t>
      </w:r>
      <w:r w:rsidR="00820A53" w:rsidRPr="006F15BB">
        <w:rPr>
          <w:rFonts w:ascii="Book Antiqua" w:hAnsi="Book Antiqua" w:cs="Times New Roman"/>
          <w:i/>
          <w:lang w:val="en-GB"/>
        </w:rPr>
        <w:t>et al</w:t>
      </w:r>
      <w:r w:rsidR="00820A53" w:rsidRPr="006F15BB">
        <w:rPr>
          <w:rFonts w:ascii="Book Antiqua" w:hAnsi="Book Antiqua" w:cs="Times New Roman"/>
          <w:lang w:val="en-GB"/>
        </w:rPr>
        <w:t>.</w:t>
      </w:r>
      <w:r w:rsidR="0034509C">
        <w:rPr>
          <w:rFonts w:ascii="Book Antiqua" w:hAnsi="Book Antiqua" w:cs="Times New Roman"/>
          <w:lang w:val="en-GB"/>
        </w:rPr>
        <w:t xml:space="preserve"> </w:t>
      </w:r>
      <w:r w:rsidR="00820A53" w:rsidRPr="006F15BB">
        <w:rPr>
          <w:rFonts w:ascii="Book Antiqua" w:hAnsi="Book Antiqua" w:cs="Times New Roman"/>
          <w:lang w:val="en-GB"/>
        </w:rPr>
        <w:t xml:space="preserve">Impact of DNR status on outcomes </w:t>
      </w:r>
      <w:r>
        <w:rPr>
          <w:rFonts w:ascii="Book Antiqua" w:hAnsi="Book Antiqua" w:cs="Times New Roman"/>
          <w:lang w:val="en-GB"/>
        </w:rPr>
        <w:t>after hip fracture surgery</w:t>
      </w:r>
    </w:p>
    <w:p w14:paraId="185CF5E3" w14:textId="77777777" w:rsidR="00820A53" w:rsidRPr="006F15BB" w:rsidRDefault="00820A53" w:rsidP="008E7BBF">
      <w:pPr>
        <w:adjustRightInd w:val="0"/>
        <w:snapToGrid w:val="0"/>
        <w:spacing w:line="360" w:lineRule="auto"/>
        <w:jc w:val="both"/>
        <w:rPr>
          <w:rFonts w:ascii="Book Antiqua" w:hAnsi="Book Antiqua"/>
        </w:rPr>
      </w:pPr>
    </w:p>
    <w:p w14:paraId="4151D018" w14:textId="77777777" w:rsidR="00C14A6E" w:rsidRPr="003164DD" w:rsidRDefault="00A9733C" w:rsidP="008E7BBF">
      <w:pPr>
        <w:adjustRightInd w:val="0"/>
        <w:snapToGrid w:val="0"/>
        <w:spacing w:line="360" w:lineRule="auto"/>
        <w:jc w:val="both"/>
        <w:rPr>
          <w:rFonts w:ascii="Book Antiqua" w:hAnsi="Book Antiqua" w:cs="Times New Roman"/>
          <w:b/>
          <w:color w:val="000000" w:themeColor="text1"/>
          <w:lang w:val="en-GB" w:eastAsia="zh-CN"/>
        </w:rPr>
      </w:pPr>
      <w:bookmarkStart w:id="21" w:name="OLE_LINK1177"/>
      <w:bookmarkStart w:id="22" w:name="OLE_LINK1178"/>
      <w:r w:rsidRPr="003164DD">
        <w:rPr>
          <w:rFonts w:ascii="Book Antiqua" w:hAnsi="Book Antiqua" w:cs="Times New Roman"/>
          <w:b/>
          <w:color w:val="000000" w:themeColor="text1"/>
          <w:lang w:val="en-GB"/>
        </w:rPr>
        <w:t>Ethan Y</w:t>
      </w:r>
      <w:r w:rsidR="003164DD" w:rsidRPr="003164DD">
        <w:rPr>
          <w:rFonts w:ascii="Book Antiqua" w:hAnsi="Book Antiqua" w:cs="Times New Roman"/>
          <w:b/>
          <w:color w:val="000000" w:themeColor="text1"/>
          <w:lang w:val="en-GB"/>
        </w:rPr>
        <w:t xml:space="preserve"> </w:t>
      </w:r>
      <w:proofErr w:type="spellStart"/>
      <w:r w:rsidR="003164DD" w:rsidRPr="003164DD">
        <w:rPr>
          <w:rFonts w:ascii="Book Antiqua" w:hAnsi="Book Antiqua" w:cs="Times New Roman"/>
          <w:b/>
          <w:color w:val="000000" w:themeColor="text1"/>
          <w:lang w:val="en-GB"/>
        </w:rPr>
        <w:t>Brovman</w:t>
      </w:r>
      <w:proofErr w:type="spellEnd"/>
      <w:r w:rsidR="00D4719C" w:rsidRPr="003164DD">
        <w:rPr>
          <w:rFonts w:ascii="Book Antiqua" w:hAnsi="Book Antiqua" w:cs="Times New Roman"/>
          <w:b/>
          <w:color w:val="000000" w:themeColor="text1"/>
          <w:lang w:val="en-GB"/>
        </w:rPr>
        <w:t>,</w:t>
      </w:r>
      <w:r w:rsidR="00A256D1" w:rsidRPr="003164DD">
        <w:rPr>
          <w:rFonts w:ascii="Book Antiqua" w:hAnsi="Book Antiqua" w:cs="Times New Roman"/>
          <w:b/>
          <w:color w:val="000000" w:themeColor="text1"/>
          <w:lang w:val="en-GB"/>
        </w:rPr>
        <w:t xml:space="preserve"> </w:t>
      </w:r>
      <w:r w:rsidR="003164DD" w:rsidRPr="003164DD">
        <w:rPr>
          <w:rFonts w:ascii="Book Antiqua" w:hAnsi="Book Antiqua" w:cs="Times New Roman"/>
          <w:b/>
          <w:color w:val="000000" w:themeColor="text1"/>
          <w:lang w:val="en-GB"/>
        </w:rPr>
        <w:t>Andrew J</w:t>
      </w:r>
      <w:r w:rsidR="006C21F7" w:rsidRPr="003164DD">
        <w:rPr>
          <w:rFonts w:ascii="Book Antiqua" w:hAnsi="Book Antiqua" w:cs="Times New Roman"/>
          <w:b/>
          <w:color w:val="000000" w:themeColor="text1"/>
          <w:lang w:val="en-GB"/>
        </w:rPr>
        <w:t xml:space="preserve"> </w:t>
      </w:r>
      <w:proofErr w:type="spellStart"/>
      <w:r w:rsidR="006C21F7" w:rsidRPr="003164DD">
        <w:rPr>
          <w:rFonts w:ascii="Book Antiqua" w:hAnsi="Book Antiqua" w:cs="Times New Roman"/>
          <w:b/>
          <w:color w:val="000000" w:themeColor="text1"/>
          <w:lang w:val="en-GB"/>
        </w:rPr>
        <w:t>Pisansky</w:t>
      </w:r>
      <w:proofErr w:type="spellEnd"/>
      <w:r w:rsidR="006C21F7" w:rsidRPr="003164DD">
        <w:rPr>
          <w:rFonts w:ascii="Book Antiqua" w:hAnsi="Book Antiqua" w:cs="Times New Roman"/>
          <w:b/>
          <w:color w:val="000000" w:themeColor="text1"/>
          <w:lang w:val="en-GB"/>
        </w:rPr>
        <w:t xml:space="preserve">, </w:t>
      </w:r>
      <w:proofErr w:type="spellStart"/>
      <w:r w:rsidRPr="003164DD">
        <w:rPr>
          <w:rFonts w:ascii="Book Antiqua" w:hAnsi="Book Antiqua" w:cs="Times New Roman"/>
          <w:b/>
          <w:color w:val="000000" w:themeColor="text1"/>
          <w:lang w:val="en-GB"/>
        </w:rPr>
        <w:t>Anair</w:t>
      </w:r>
      <w:proofErr w:type="spellEnd"/>
      <w:r w:rsidRPr="003164DD">
        <w:rPr>
          <w:rFonts w:ascii="Book Antiqua" w:hAnsi="Book Antiqua" w:cs="Times New Roman"/>
          <w:b/>
          <w:color w:val="000000" w:themeColor="text1"/>
          <w:lang w:val="en-GB"/>
        </w:rPr>
        <w:t xml:space="preserve"> Beverly</w:t>
      </w:r>
      <w:r w:rsidR="00D4719C" w:rsidRPr="003164DD">
        <w:rPr>
          <w:rFonts w:ascii="Book Antiqua" w:hAnsi="Book Antiqua" w:cs="Times New Roman"/>
          <w:b/>
          <w:color w:val="000000" w:themeColor="text1"/>
          <w:lang w:val="en-GB"/>
        </w:rPr>
        <w:t xml:space="preserve">, </w:t>
      </w:r>
      <w:r w:rsidR="00B23F05" w:rsidRPr="003164DD">
        <w:rPr>
          <w:rFonts w:ascii="Book Antiqua" w:hAnsi="Book Antiqua" w:cs="Times New Roman"/>
          <w:b/>
          <w:color w:val="000000" w:themeColor="text1"/>
          <w:lang w:val="en-GB"/>
        </w:rPr>
        <w:t xml:space="preserve">Angela </w:t>
      </w:r>
      <w:r w:rsidR="003164DD" w:rsidRPr="003164DD">
        <w:rPr>
          <w:rFonts w:ascii="Book Antiqua" w:hAnsi="Book Antiqua" w:cs="Times New Roman"/>
          <w:b/>
          <w:color w:val="000000" w:themeColor="text1"/>
          <w:lang w:val="en-GB"/>
        </w:rPr>
        <w:t>M</w:t>
      </w:r>
      <w:r w:rsidRPr="003164DD">
        <w:rPr>
          <w:rFonts w:ascii="Book Antiqua" w:hAnsi="Book Antiqua" w:cs="Times New Roman"/>
          <w:b/>
          <w:color w:val="000000" w:themeColor="text1"/>
          <w:lang w:val="en-GB"/>
        </w:rPr>
        <w:t xml:space="preserve"> </w:t>
      </w:r>
      <w:r w:rsidR="00B23F05" w:rsidRPr="003164DD">
        <w:rPr>
          <w:rFonts w:ascii="Book Antiqua" w:hAnsi="Book Antiqua" w:cs="Times New Roman"/>
          <w:b/>
          <w:color w:val="000000" w:themeColor="text1"/>
          <w:lang w:val="en-GB"/>
        </w:rPr>
        <w:t xml:space="preserve">Bader, </w:t>
      </w:r>
      <w:r w:rsidR="00312B16" w:rsidRPr="003164DD">
        <w:rPr>
          <w:rFonts w:ascii="Book Antiqua" w:hAnsi="Book Antiqua" w:cs="Times New Roman"/>
          <w:b/>
          <w:color w:val="000000" w:themeColor="text1"/>
          <w:lang w:val="en-GB"/>
        </w:rPr>
        <w:t>R</w:t>
      </w:r>
      <w:r w:rsidR="00BA3490" w:rsidRPr="003164DD">
        <w:rPr>
          <w:rFonts w:ascii="Book Antiqua" w:hAnsi="Book Antiqua" w:cs="Times New Roman"/>
          <w:b/>
          <w:color w:val="000000" w:themeColor="text1"/>
          <w:lang w:val="en-GB"/>
        </w:rPr>
        <w:t xml:space="preserve">ichard </w:t>
      </w:r>
      <w:r w:rsidR="00312B16" w:rsidRPr="003164DD">
        <w:rPr>
          <w:rFonts w:ascii="Book Antiqua" w:hAnsi="Book Antiqua" w:cs="Times New Roman"/>
          <w:b/>
          <w:color w:val="000000" w:themeColor="text1"/>
          <w:lang w:val="en-GB"/>
        </w:rPr>
        <w:t>D</w:t>
      </w:r>
      <w:r w:rsidR="003164DD" w:rsidRPr="003164DD">
        <w:rPr>
          <w:rFonts w:ascii="Book Antiqua" w:hAnsi="Book Antiqua" w:cs="Times New Roman"/>
          <w:b/>
          <w:color w:val="000000" w:themeColor="text1"/>
          <w:lang w:val="en-GB"/>
        </w:rPr>
        <w:t xml:space="preserve"> </w:t>
      </w:r>
      <w:proofErr w:type="spellStart"/>
      <w:r w:rsidR="003164DD" w:rsidRPr="003164DD">
        <w:rPr>
          <w:rFonts w:ascii="Book Antiqua" w:hAnsi="Book Antiqua" w:cs="Times New Roman"/>
          <w:b/>
          <w:color w:val="000000" w:themeColor="text1"/>
          <w:lang w:val="en-GB"/>
        </w:rPr>
        <w:t>Urman</w:t>
      </w:r>
      <w:proofErr w:type="spellEnd"/>
    </w:p>
    <w:bookmarkEnd w:id="21"/>
    <w:bookmarkEnd w:id="22"/>
    <w:p w14:paraId="7AA8FF42" w14:textId="77777777" w:rsidR="00381FD1" w:rsidRPr="006F15BB" w:rsidRDefault="00381FD1" w:rsidP="008E7BBF">
      <w:pPr>
        <w:adjustRightInd w:val="0"/>
        <w:snapToGrid w:val="0"/>
        <w:spacing w:line="360" w:lineRule="auto"/>
        <w:jc w:val="both"/>
        <w:rPr>
          <w:rFonts w:ascii="Book Antiqua" w:hAnsi="Book Antiqua" w:cs="Times New Roman"/>
          <w:color w:val="000000" w:themeColor="text1"/>
          <w:vertAlign w:val="superscript"/>
          <w:lang w:val="en-GB"/>
        </w:rPr>
      </w:pPr>
    </w:p>
    <w:p w14:paraId="40557F50" w14:textId="77777777" w:rsidR="00EF2171" w:rsidRDefault="003164DD" w:rsidP="008E7BBF">
      <w:pPr>
        <w:adjustRightInd w:val="0"/>
        <w:snapToGrid w:val="0"/>
        <w:spacing w:line="360" w:lineRule="auto"/>
        <w:jc w:val="both"/>
        <w:rPr>
          <w:rFonts w:ascii="Book Antiqua" w:hAnsi="Book Antiqua" w:cs="Times New Roman"/>
          <w:color w:val="000000" w:themeColor="text1"/>
          <w:lang w:val="en-GB" w:eastAsia="zh-CN"/>
        </w:rPr>
      </w:pPr>
      <w:r w:rsidRPr="003164DD">
        <w:rPr>
          <w:rFonts w:ascii="Book Antiqua" w:hAnsi="Book Antiqua" w:cs="Times New Roman"/>
          <w:b/>
          <w:color w:val="000000" w:themeColor="text1"/>
          <w:lang w:val="en-GB"/>
        </w:rPr>
        <w:t xml:space="preserve">Ethan Y </w:t>
      </w:r>
      <w:proofErr w:type="spellStart"/>
      <w:r w:rsidRPr="003164DD">
        <w:rPr>
          <w:rFonts w:ascii="Book Antiqua" w:hAnsi="Book Antiqua" w:cs="Times New Roman"/>
          <w:b/>
          <w:color w:val="000000" w:themeColor="text1"/>
          <w:lang w:val="en-GB"/>
        </w:rPr>
        <w:t>Brovman</w:t>
      </w:r>
      <w:proofErr w:type="spellEnd"/>
      <w:r w:rsidRPr="003164DD">
        <w:rPr>
          <w:rFonts w:ascii="Book Antiqua" w:hAnsi="Book Antiqua" w:cs="Times New Roman"/>
          <w:b/>
          <w:color w:val="000000" w:themeColor="text1"/>
          <w:lang w:val="en-GB"/>
        </w:rPr>
        <w:t xml:space="preserve">, Andrew J </w:t>
      </w:r>
      <w:proofErr w:type="spellStart"/>
      <w:r w:rsidRPr="003164DD">
        <w:rPr>
          <w:rFonts w:ascii="Book Antiqua" w:hAnsi="Book Antiqua" w:cs="Times New Roman"/>
          <w:b/>
          <w:color w:val="000000" w:themeColor="text1"/>
          <w:lang w:val="en-GB"/>
        </w:rPr>
        <w:t>Pisansky</w:t>
      </w:r>
      <w:proofErr w:type="spellEnd"/>
      <w:r w:rsidRPr="003164DD">
        <w:rPr>
          <w:rFonts w:ascii="Book Antiqua" w:hAnsi="Book Antiqua" w:cs="Times New Roman"/>
          <w:b/>
          <w:color w:val="000000" w:themeColor="text1"/>
          <w:lang w:val="en-GB"/>
        </w:rPr>
        <w:t xml:space="preserve">, </w:t>
      </w:r>
      <w:proofErr w:type="spellStart"/>
      <w:r w:rsidRPr="003164DD">
        <w:rPr>
          <w:rFonts w:ascii="Book Antiqua" w:hAnsi="Book Antiqua" w:cs="Times New Roman"/>
          <w:b/>
          <w:color w:val="000000" w:themeColor="text1"/>
          <w:lang w:val="en-GB"/>
        </w:rPr>
        <w:t>Anair</w:t>
      </w:r>
      <w:proofErr w:type="spellEnd"/>
      <w:r w:rsidRPr="003164DD">
        <w:rPr>
          <w:rFonts w:ascii="Book Antiqua" w:hAnsi="Book Antiqua" w:cs="Times New Roman"/>
          <w:b/>
          <w:color w:val="000000" w:themeColor="text1"/>
          <w:lang w:val="en-GB"/>
        </w:rPr>
        <w:t xml:space="preserve"> Beverly, Angela M Bader, Richard D </w:t>
      </w:r>
      <w:proofErr w:type="spellStart"/>
      <w:r w:rsidRPr="003164DD">
        <w:rPr>
          <w:rFonts w:ascii="Book Antiqua" w:hAnsi="Book Antiqua" w:cs="Times New Roman"/>
          <w:b/>
          <w:color w:val="000000" w:themeColor="text1"/>
          <w:lang w:val="en-GB"/>
        </w:rPr>
        <w:t>Urman</w:t>
      </w:r>
      <w:proofErr w:type="spellEnd"/>
      <w:r>
        <w:rPr>
          <w:rFonts w:ascii="Book Antiqua" w:hAnsi="Book Antiqua" w:cs="Times New Roman" w:hint="eastAsia"/>
          <w:b/>
          <w:color w:val="000000" w:themeColor="text1"/>
          <w:lang w:val="en-GB" w:eastAsia="zh-CN"/>
        </w:rPr>
        <w:t>,</w:t>
      </w:r>
      <w:r w:rsidRPr="006F15BB">
        <w:rPr>
          <w:rFonts w:ascii="Book Antiqua" w:hAnsi="Book Antiqua" w:cs="Times New Roman"/>
          <w:color w:val="000000" w:themeColor="text1"/>
          <w:lang w:val="en-GB"/>
        </w:rPr>
        <w:t xml:space="preserve"> </w:t>
      </w:r>
      <w:r w:rsidR="00EF2171" w:rsidRPr="006F15BB">
        <w:rPr>
          <w:rFonts w:ascii="Book Antiqua" w:hAnsi="Book Antiqua" w:cs="Times New Roman"/>
          <w:color w:val="000000" w:themeColor="text1"/>
          <w:lang w:val="en-GB"/>
        </w:rPr>
        <w:t xml:space="preserve">Department of </w:t>
      </w:r>
      <w:proofErr w:type="spellStart"/>
      <w:r w:rsidR="00EF2171" w:rsidRPr="006F15BB">
        <w:rPr>
          <w:rFonts w:ascii="Book Antiqua" w:hAnsi="Book Antiqua" w:cs="Times New Roman"/>
          <w:color w:val="000000" w:themeColor="text1"/>
          <w:lang w:val="en-GB"/>
        </w:rPr>
        <w:t>Anesthesiology</w:t>
      </w:r>
      <w:proofErr w:type="spellEnd"/>
      <w:r w:rsidR="00EF2171" w:rsidRPr="006F15BB">
        <w:rPr>
          <w:rFonts w:ascii="Book Antiqua" w:hAnsi="Book Antiqua" w:cs="Times New Roman"/>
          <w:color w:val="000000" w:themeColor="text1"/>
          <w:lang w:val="en-GB"/>
        </w:rPr>
        <w:t xml:space="preserve">, </w:t>
      </w:r>
      <w:r w:rsidR="00312B16" w:rsidRPr="006F15BB">
        <w:rPr>
          <w:rFonts w:ascii="Book Antiqua" w:hAnsi="Book Antiqua" w:cs="Times New Roman"/>
          <w:color w:val="000000" w:themeColor="text1"/>
          <w:lang w:val="en-GB"/>
        </w:rPr>
        <w:t xml:space="preserve">Perioperative and Pain Medicine, </w:t>
      </w:r>
      <w:r w:rsidR="00EF2171" w:rsidRPr="006F15BB">
        <w:rPr>
          <w:rFonts w:ascii="Book Antiqua" w:hAnsi="Book Antiqua" w:cs="Times New Roman"/>
          <w:color w:val="000000" w:themeColor="text1"/>
          <w:lang w:val="en-GB"/>
        </w:rPr>
        <w:t xml:space="preserve">Brigham and Women’s Hospital, Boston, </w:t>
      </w:r>
      <w:r w:rsidRPr="006F15BB">
        <w:rPr>
          <w:rFonts w:ascii="Book Antiqua" w:hAnsi="Book Antiqua" w:cs="Times New Roman"/>
          <w:color w:val="000000" w:themeColor="text1"/>
          <w:lang w:val="en-GB"/>
        </w:rPr>
        <w:t>MA 02115</w:t>
      </w:r>
      <w:r>
        <w:rPr>
          <w:rFonts w:ascii="Book Antiqua" w:hAnsi="Book Antiqua" w:cs="Times New Roman" w:hint="eastAsia"/>
          <w:color w:val="000000" w:themeColor="text1"/>
          <w:lang w:val="en-GB" w:eastAsia="zh-CN"/>
        </w:rPr>
        <w:t>, United States</w:t>
      </w:r>
    </w:p>
    <w:p w14:paraId="2B01EF1D" w14:textId="77777777" w:rsidR="003164DD" w:rsidRPr="006F15BB" w:rsidRDefault="003164DD" w:rsidP="008E7BBF">
      <w:pPr>
        <w:adjustRightInd w:val="0"/>
        <w:snapToGrid w:val="0"/>
        <w:spacing w:line="360" w:lineRule="auto"/>
        <w:jc w:val="both"/>
        <w:rPr>
          <w:rFonts w:ascii="Book Antiqua" w:hAnsi="Book Antiqua" w:cs="Times New Roman"/>
          <w:color w:val="000000" w:themeColor="text1"/>
          <w:lang w:val="en-GB"/>
        </w:rPr>
      </w:pPr>
    </w:p>
    <w:p w14:paraId="043EF737" w14:textId="77777777" w:rsidR="00312B16" w:rsidRPr="006F15BB" w:rsidRDefault="003164DD" w:rsidP="008E7BBF">
      <w:pPr>
        <w:adjustRightInd w:val="0"/>
        <w:snapToGrid w:val="0"/>
        <w:spacing w:line="360" w:lineRule="auto"/>
        <w:jc w:val="both"/>
        <w:rPr>
          <w:rFonts w:ascii="Book Antiqua" w:hAnsi="Book Antiqua" w:cs="Times New Roman"/>
          <w:color w:val="000000" w:themeColor="text1"/>
          <w:lang w:val="en-GB" w:eastAsia="zh-CN"/>
        </w:rPr>
      </w:pPr>
      <w:r w:rsidRPr="003164DD">
        <w:rPr>
          <w:rFonts w:ascii="Book Antiqua" w:hAnsi="Book Antiqua" w:cs="Times New Roman"/>
          <w:b/>
          <w:color w:val="000000" w:themeColor="text1"/>
          <w:lang w:val="en-GB"/>
        </w:rPr>
        <w:t xml:space="preserve">Richard D </w:t>
      </w:r>
      <w:proofErr w:type="spellStart"/>
      <w:r w:rsidRPr="003164DD">
        <w:rPr>
          <w:rFonts w:ascii="Book Antiqua" w:hAnsi="Book Antiqua" w:cs="Times New Roman"/>
          <w:b/>
          <w:color w:val="000000" w:themeColor="text1"/>
          <w:lang w:val="en-GB"/>
        </w:rPr>
        <w:t>Urman</w:t>
      </w:r>
      <w:proofErr w:type="spellEnd"/>
      <w:r>
        <w:rPr>
          <w:rFonts w:ascii="Book Antiqua" w:hAnsi="Book Antiqua" w:cs="Times New Roman" w:hint="eastAsia"/>
          <w:b/>
          <w:color w:val="000000" w:themeColor="text1"/>
          <w:lang w:val="en-GB" w:eastAsia="zh-CN"/>
        </w:rPr>
        <w:t>,</w:t>
      </w:r>
      <w:r w:rsidRPr="006F15BB">
        <w:rPr>
          <w:rFonts w:ascii="Book Antiqua" w:hAnsi="Book Antiqua" w:cs="Times New Roman"/>
          <w:color w:val="000000" w:themeColor="text1"/>
          <w:lang w:val="en-GB"/>
        </w:rPr>
        <w:t xml:space="preserve"> </w:t>
      </w:r>
      <w:proofErr w:type="spellStart"/>
      <w:r w:rsidR="00312B16" w:rsidRPr="006F15BB">
        <w:rPr>
          <w:rFonts w:ascii="Book Antiqua" w:hAnsi="Book Antiqua" w:cs="Times New Roman"/>
          <w:color w:val="000000" w:themeColor="text1"/>
          <w:lang w:val="en-GB"/>
        </w:rPr>
        <w:t>Center</w:t>
      </w:r>
      <w:proofErr w:type="spellEnd"/>
      <w:r w:rsidR="00312B16" w:rsidRPr="006F15BB">
        <w:rPr>
          <w:rFonts w:ascii="Book Antiqua" w:hAnsi="Book Antiqua" w:cs="Times New Roman"/>
          <w:color w:val="000000" w:themeColor="text1"/>
          <w:lang w:val="en-GB"/>
        </w:rPr>
        <w:t xml:space="preserve"> for Perioperative Research, Brigham and Women’s Hospital, Boston, MA</w:t>
      </w:r>
      <w:r w:rsidR="00905773" w:rsidRPr="006F15BB">
        <w:rPr>
          <w:rFonts w:ascii="Book Antiqua" w:hAnsi="Book Antiqua" w:cs="Times New Roman"/>
          <w:color w:val="000000" w:themeColor="text1"/>
          <w:lang w:val="en-GB"/>
        </w:rPr>
        <w:t xml:space="preserve"> 02115</w:t>
      </w:r>
      <w:r>
        <w:rPr>
          <w:rFonts w:ascii="Book Antiqua" w:hAnsi="Book Antiqua" w:cs="Times New Roman" w:hint="eastAsia"/>
          <w:color w:val="000000" w:themeColor="text1"/>
          <w:lang w:val="en-GB" w:eastAsia="zh-CN"/>
        </w:rPr>
        <w:t>, United States</w:t>
      </w:r>
    </w:p>
    <w:p w14:paraId="7E9EBDFC" w14:textId="77777777" w:rsidR="00BA3490" w:rsidRDefault="00BA3490" w:rsidP="008E7BBF">
      <w:pPr>
        <w:adjustRightInd w:val="0"/>
        <w:snapToGrid w:val="0"/>
        <w:spacing w:line="360" w:lineRule="auto"/>
        <w:jc w:val="both"/>
        <w:rPr>
          <w:rFonts w:ascii="Book Antiqua" w:hAnsi="Book Antiqua" w:cs="Times New Roman"/>
          <w:b/>
          <w:color w:val="000000" w:themeColor="text1"/>
          <w:lang w:val="en-GB" w:eastAsia="zh-CN"/>
        </w:rPr>
      </w:pPr>
    </w:p>
    <w:p w14:paraId="2AEB77EA" w14:textId="77777777" w:rsidR="00DD5033" w:rsidRPr="003164DD" w:rsidRDefault="00DD5033" w:rsidP="00DD5033">
      <w:pPr>
        <w:adjustRightInd w:val="0"/>
        <w:snapToGrid w:val="0"/>
        <w:spacing w:line="360" w:lineRule="auto"/>
        <w:jc w:val="both"/>
        <w:rPr>
          <w:rFonts w:ascii="Book Antiqua" w:hAnsi="Book Antiqua" w:cs="Times New Roman"/>
          <w:b/>
          <w:color w:val="000000" w:themeColor="text1"/>
          <w:lang w:val="en-GB" w:eastAsia="zh-CN"/>
        </w:rPr>
      </w:pPr>
      <w:r>
        <w:rPr>
          <w:rFonts w:ascii="Book Antiqua" w:hAnsi="Book Antiqua" w:cs="Times New Roman" w:hint="eastAsia"/>
          <w:b/>
          <w:color w:val="000000" w:themeColor="text1"/>
          <w:lang w:val="en-GB" w:eastAsia="zh-CN"/>
        </w:rPr>
        <w:t xml:space="preserve">ORCID number: </w:t>
      </w:r>
      <w:r w:rsidRPr="00DD5033">
        <w:rPr>
          <w:rFonts w:ascii="Book Antiqua" w:hAnsi="Book Antiqua" w:cs="Times New Roman"/>
          <w:color w:val="000000" w:themeColor="text1"/>
          <w:lang w:val="en-GB" w:eastAsia="zh-CN"/>
        </w:rPr>
        <w:t xml:space="preserve">Ethan Y </w:t>
      </w:r>
      <w:proofErr w:type="spellStart"/>
      <w:r w:rsidRPr="00DD5033">
        <w:rPr>
          <w:rFonts w:ascii="Book Antiqua" w:hAnsi="Book Antiqua" w:cs="Times New Roman"/>
          <w:color w:val="000000" w:themeColor="text1"/>
          <w:lang w:val="en-GB" w:eastAsia="zh-CN"/>
        </w:rPr>
        <w:t>Brovman</w:t>
      </w:r>
      <w:proofErr w:type="spellEnd"/>
      <w:r w:rsidRPr="00DD5033">
        <w:rPr>
          <w:rFonts w:ascii="Book Antiqua" w:hAnsi="Book Antiqua" w:cs="Times New Roman" w:hint="eastAsia"/>
          <w:color w:val="000000" w:themeColor="text1"/>
          <w:lang w:val="en-GB" w:eastAsia="zh-CN"/>
        </w:rPr>
        <w:t xml:space="preserve"> (</w:t>
      </w:r>
      <w:r w:rsidRPr="00DD5033">
        <w:rPr>
          <w:rFonts w:ascii="Book Antiqua" w:hAnsi="Book Antiqua" w:cs="Times New Roman"/>
          <w:color w:val="000000" w:themeColor="text1"/>
          <w:lang w:val="en-GB" w:eastAsia="zh-CN"/>
        </w:rPr>
        <w:t>0000-0003-2814-0076</w:t>
      </w:r>
      <w:r w:rsidRPr="00DD5033">
        <w:rPr>
          <w:rFonts w:ascii="Book Antiqua" w:hAnsi="Book Antiqua" w:cs="Times New Roman" w:hint="eastAsia"/>
          <w:color w:val="000000" w:themeColor="text1"/>
          <w:lang w:val="en-GB" w:eastAsia="zh-CN"/>
        </w:rPr>
        <w:t xml:space="preserve">); </w:t>
      </w:r>
      <w:r w:rsidRPr="00DD5033">
        <w:rPr>
          <w:rFonts w:ascii="Book Antiqua" w:hAnsi="Book Antiqua" w:cs="Times New Roman"/>
          <w:color w:val="000000" w:themeColor="text1"/>
          <w:lang w:val="en-GB" w:eastAsia="zh-CN"/>
        </w:rPr>
        <w:t xml:space="preserve">Andrew J </w:t>
      </w:r>
      <w:proofErr w:type="spellStart"/>
      <w:r w:rsidRPr="00DD5033">
        <w:rPr>
          <w:rFonts w:ascii="Book Antiqua" w:hAnsi="Book Antiqua" w:cs="Times New Roman"/>
          <w:color w:val="000000" w:themeColor="text1"/>
          <w:lang w:val="en-GB" w:eastAsia="zh-CN"/>
        </w:rPr>
        <w:t>Pisansky</w:t>
      </w:r>
      <w:proofErr w:type="spellEnd"/>
      <w:r w:rsidRPr="00DD5033">
        <w:rPr>
          <w:rFonts w:ascii="Book Antiqua" w:hAnsi="Book Antiqua" w:cs="Times New Roman" w:hint="eastAsia"/>
          <w:color w:val="000000" w:themeColor="text1"/>
          <w:lang w:val="en-GB" w:eastAsia="zh-CN"/>
        </w:rPr>
        <w:t xml:space="preserve"> (</w:t>
      </w:r>
      <w:r w:rsidRPr="00DD5033">
        <w:rPr>
          <w:rFonts w:ascii="Book Antiqua" w:hAnsi="Book Antiqua" w:cs="Times New Roman"/>
          <w:color w:val="000000" w:themeColor="text1"/>
          <w:lang w:val="en-GB" w:eastAsia="zh-CN"/>
        </w:rPr>
        <w:t>0000-0003-2814-0075</w:t>
      </w:r>
      <w:r w:rsidRPr="00DD5033">
        <w:rPr>
          <w:rFonts w:ascii="Book Antiqua" w:hAnsi="Book Antiqua" w:cs="Times New Roman" w:hint="eastAsia"/>
          <w:color w:val="000000" w:themeColor="text1"/>
          <w:lang w:val="en-GB" w:eastAsia="zh-CN"/>
        </w:rPr>
        <w:t>);</w:t>
      </w:r>
      <w:r w:rsidRPr="00DD5033">
        <w:rPr>
          <w:rFonts w:ascii="Book Antiqua" w:hAnsi="Book Antiqua" w:cs="Times New Roman"/>
          <w:color w:val="000000" w:themeColor="text1"/>
          <w:lang w:val="en-GB" w:eastAsia="zh-CN"/>
        </w:rPr>
        <w:t xml:space="preserve"> </w:t>
      </w:r>
      <w:proofErr w:type="spellStart"/>
      <w:r w:rsidRPr="00DD5033">
        <w:rPr>
          <w:rFonts w:ascii="Book Antiqua" w:hAnsi="Book Antiqua" w:cs="Times New Roman"/>
          <w:color w:val="000000" w:themeColor="text1"/>
          <w:lang w:val="en-GB" w:eastAsia="zh-CN"/>
        </w:rPr>
        <w:t>Anair</w:t>
      </w:r>
      <w:proofErr w:type="spellEnd"/>
      <w:r w:rsidRPr="00DD5033">
        <w:rPr>
          <w:rFonts w:ascii="Book Antiqua" w:hAnsi="Book Antiqua" w:cs="Times New Roman"/>
          <w:color w:val="000000" w:themeColor="text1"/>
          <w:lang w:val="en-GB" w:eastAsia="zh-CN"/>
        </w:rPr>
        <w:t xml:space="preserve"> Beverly</w:t>
      </w:r>
      <w:r w:rsidRPr="00DD5033">
        <w:rPr>
          <w:rFonts w:ascii="Book Antiqua" w:hAnsi="Book Antiqua" w:cs="Times New Roman" w:hint="eastAsia"/>
          <w:color w:val="000000" w:themeColor="text1"/>
          <w:lang w:val="en-GB" w:eastAsia="zh-CN"/>
        </w:rPr>
        <w:t xml:space="preserve"> (</w:t>
      </w:r>
      <w:r w:rsidRPr="00DD5033">
        <w:rPr>
          <w:rFonts w:ascii="Book Antiqua" w:hAnsi="Book Antiqua" w:cs="Times New Roman"/>
          <w:color w:val="000000" w:themeColor="text1"/>
          <w:lang w:val="en-GB" w:eastAsia="zh-CN"/>
        </w:rPr>
        <w:t>0000-0003-2814-0078</w:t>
      </w:r>
      <w:r w:rsidRPr="00DD5033">
        <w:rPr>
          <w:rFonts w:ascii="Book Antiqua" w:hAnsi="Book Antiqua" w:cs="Times New Roman" w:hint="eastAsia"/>
          <w:color w:val="000000" w:themeColor="text1"/>
          <w:lang w:val="en-GB" w:eastAsia="zh-CN"/>
        </w:rPr>
        <w:t>);</w:t>
      </w:r>
      <w:r w:rsidRPr="00DD5033">
        <w:rPr>
          <w:rFonts w:ascii="Book Antiqua" w:hAnsi="Book Antiqua" w:cs="Times New Roman"/>
          <w:color w:val="000000" w:themeColor="text1"/>
          <w:lang w:val="en-GB" w:eastAsia="zh-CN"/>
        </w:rPr>
        <w:t xml:space="preserve"> Angela M Bader</w:t>
      </w:r>
      <w:r w:rsidRPr="00DD5033">
        <w:rPr>
          <w:rFonts w:ascii="Book Antiqua" w:hAnsi="Book Antiqua" w:cs="Times New Roman" w:hint="eastAsia"/>
          <w:color w:val="000000" w:themeColor="text1"/>
          <w:lang w:val="en-GB" w:eastAsia="zh-CN"/>
        </w:rPr>
        <w:t xml:space="preserve"> (</w:t>
      </w:r>
      <w:r w:rsidRPr="00DD5033">
        <w:rPr>
          <w:rFonts w:ascii="Book Antiqua" w:hAnsi="Book Antiqua" w:cs="Times New Roman"/>
          <w:color w:val="000000" w:themeColor="text1"/>
          <w:lang w:val="en-GB" w:eastAsia="zh-CN"/>
        </w:rPr>
        <w:t>0000-0003-2814-0079</w:t>
      </w:r>
      <w:r w:rsidRPr="00DD5033">
        <w:rPr>
          <w:rFonts w:ascii="Book Antiqua" w:hAnsi="Book Antiqua" w:cs="Times New Roman" w:hint="eastAsia"/>
          <w:color w:val="000000" w:themeColor="text1"/>
          <w:lang w:val="en-GB" w:eastAsia="zh-CN"/>
        </w:rPr>
        <w:t>);</w:t>
      </w:r>
      <w:r w:rsidRPr="00DD5033">
        <w:rPr>
          <w:rFonts w:ascii="Book Antiqua" w:hAnsi="Book Antiqua" w:cs="Times New Roman"/>
          <w:color w:val="000000" w:themeColor="text1"/>
          <w:lang w:val="en-GB" w:eastAsia="zh-CN"/>
        </w:rPr>
        <w:t xml:space="preserve"> Richard D </w:t>
      </w:r>
      <w:proofErr w:type="spellStart"/>
      <w:r w:rsidRPr="00DD5033">
        <w:rPr>
          <w:rFonts w:ascii="Book Antiqua" w:hAnsi="Book Antiqua" w:cs="Times New Roman"/>
          <w:color w:val="000000" w:themeColor="text1"/>
          <w:lang w:val="en-GB" w:eastAsia="zh-CN"/>
        </w:rPr>
        <w:t>Urman</w:t>
      </w:r>
      <w:proofErr w:type="spellEnd"/>
      <w:r w:rsidRPr="00DD5033">
        <w:rPr>
          <w:rFonts w:ascii="Book Antiqua" w:hAnsi="Book Antiqua" w:cs="Times New Roman" w:hint="eastAsia"/>
          <w:color w:val="000000" w:themeColor="text1"/>
          <w:lang w:val="en-GB" w:eastAsia="zh-CN"/>
        </w:rPr>
        <w:t xml:space="preserve"> (</w:t>
      </w:r>
      <w:r w:rsidRPr="00DD5033">
        <w:rPr>
          <w:rFonts w:ascii="Book Antiqua" w:hAnsi="Book Antiqua" w:cs="Times New Roman"/>
          <w:color w:val="000000" w:themeColor="text1"/>
          <w:lang w:val="en-GB" w:eastAsia="zh-CN"/>
        </w:rPr>
        <w:t>0000-0003-2814-0077</w:t>
      </w:r>
      <w:r w:rsidRPr="00DD5033">
        <w:rPr>
          <w:rFonts w:ascii="Book Antiqua" w:hAnsi="Book Antiqua" w:cs="Times New Roman" w:hint="eastAsia"/>
          <w:color w:val="000000" w:themeColor="text1"/>
          <w:lang w:val="en-GB" w:eastAsia="zh-CN"/>
        </w:rPr>
        <w:t>).</w:t>
      </w:r>
    </w:p>
    <w:p w14:paraId="26642027" w14:textId="77777777" w:rsidR="00DD5033" w:rsidRDefault="00DD5033" w:rsidP="008E7BBF">
      <w:pPr>
        <w:adjustRightInd w:val="0"/>
        <w:snapToGrid w:val="0"/>
        <w:spacing w:line="360" w:lineRule="auto"/>
        <w:jc w:val="both"/>
        <w:rPr>
          <w:rFonts w:ascii="Book Antiqua" w:hAnsi="Book Antiqua" w:cs="Times New Roman"/>
          <w:b/>
          <w:color w:val="000000" w:themeColor="text1"/>
          <w:lang w:val="en-GB" w:eastAsia="zh-CN"/>
        </w:rPr>
      </w:pPr>
    </w:p>
    <w:p w14:paraId="6A325155" w14:textId="77777777" w:rsidR="001127AF" w:rsidRPr="006F15BB" w:rsidRDefault="001127AF" w:rsidP="008E7BBF">
      <w:pPr>
        <w:adjustRightInd w:val="0"/>
        <w:snapToGrid w:val="0"/>
        <w:spacing w:line="360" w:lineRule="auto"/>
        <w:jc w:val="both"/>
        <w:rPr>
          <w:rFonts w:ascii="Book Antiqua" w:hAnsi="Book Antiqua" w:cs="Times New Roman"/>
          <w:color w:val="000000" w:themeColor="text1"/>
          <w:lang w:val="en-GB"/>
        </w:rPr>
      </w:pPr>
      <w:r w:rsidRPr="00376A7C">
        <w:rPr>
          <w:rFonts w:ascii="Book Antiqua" w:hAnsi="Book Antiqua" w:cs="Times New Roman" w:hint="eastAsia"/>
          <w:b/>
          <w:color w:val="000000" w:themeColor="text1"/>
          <w:lang w:val="en-GB" w:eastAsia="zh-CN"/>
        </w:rPr>
        <w:t>Author contributions:</w:t>
      </w:r>
      <w:r>
        <w:rPr>
          <w:rFonts w:ascii="Book Antiqua" w:hAnsi="Book Antiqua" w:cs="Times New Roman" w:hint="eastAsia"/>
          <w:color w:val="000000" w:themeColor="text1"/>
          <w:lang w:val="en-GB" w:eastAsia="zh-CN"/>
        </w:rPr>
        <w:t xml:space="preserve"> </w:t>
      </w:r>
      <w:r w:rsidR="00A70412" w:rsidRPr="00A70412">
        <w:rPr>
          <w:rFonts w:ascii="Book Antiqua" w:hAnsi="Book Antiqua" w:cs="Times New Roman"/>
          <w:color w:val="000000" w:themeColor="text1"/>
          <w:lang w:val="en-GB"/>
        </w:rPr>
        <w:t>Beverly</w:t>
      </w:r>
      <w:r w:rsidR="00A70412" w:rsidRPr="00A70412">
        <w:rPr>
          <w:rFonts w:ascii="Book Antiqua" w:hAnsi="Book Antiqua" w:cs="Times New Roman" w:hint="eastAsia"/>
          <w:color w:val="000000" w:themeColor="text1"/>
          <w:lang w:val="en-GB" w:eastAsia="zh-CN"/>
        </w:rPr>
        <w:t xml:space="preserve"> A</w:t>
      </w:r>
      <w:r w:rsidR="00A70412" w:rsidRPr="00A70412">
        <w:rPr>
          <w:rFonts w:ascii="Book Antiqua" w:hAnsi="Book Antiqua" w:cs="Times New Roman"/>
          <w:color w:val="000000" w:themeColor="text1"/>
          <w:lang w:val="en-GB"/>
        </w:rPr>
        <w:t xml:space="preserve">, </w:t>
      </w:r>
      <w:proofErr w:type="spellStart"/>
      <w:r w:rsidR="00A70412" w:rsidRPr="00A70412">
        <w:rPr>
          <w:rFonts w:ascii="Book Antiqua" w:hAnsi="Book Antiqua" w:cs="Times New Roman"/>
          <w:color w:val="000000" w:themeColor="text1"/>
          <w:lang w:val="en-GB"/>
        </w:rPr>
        <w:t>Brovman</w:t>
      </w:r>
      <w:proofErr w:type="spellEnd"/>
      <w:r w:rsidR="00A70412" w:rsidRPr="00A70412">
        <w:rPr>
          <w:rFonts w:ascii="Book Antiqua" w:hAnsi="Book Antiqua" w:cs="Times New Roman" w:hint="eastAsia"/>
          <w:color w:val="000000" w:themeColor="text1"/>
          <w:lang w:val="en-GB" w:eastAsia="zh-CN"/>
        </w:rPr>
        <w:t xml:space="preserve"> EY</w:t>
      </w:r>
      <w:r w:rsidR="00A70412" w:rsidRPr="00A70412">
        <w:rPr>
          <w:rFonts w:ascii="Book Antiqua" w:hAnsi="Book Antiqua" w:cs="Times New Roman"/>
          <w:color w:val="000000" w:themeColor="text1"/>
          <w:lang w:val="en-GB"/>
        </w:rPr>
        <w:t>,</w:t>
      </w:r>
      <w:r w:rsidRPr="006F15BB">
        <w:rPr>
          <w:rFonts w:ascii="Book Antiqua" w:hAnsi="Book Antiqua" w:cs="Times New Roman"/>
          <w:color w:val="000000" w:themeColor="text1"/>
          <w:lang w:val="en-GB"/>
        </w:rPr>
        <w:t xml:space="preserve"> </w:t>
      </w:r>
      <w:proofErr w:type="spellStart"/>
      <w:r w:rsidR="00A70412" w:rsidRPr="00A70412">
        <w:rPr>
          <w:rFonts w:ascii="Book Antiqua" w:hAnsi="Book Antiqua" w:cs="Times New Roman"/>
          <w:color w:val="000000" w:themeColor="text1"/>
          <w:lang w:val="en-GB"/>
        </w:rPr>
        <w:t>Urman</w:t>
      </w:r>
      <w:proofErr w:type="spellEnd"/>
      <w:r w:rsidR="00A70412" w:rsidRPr="00A70412">
        <w:rPr>
          <w:rFonts w:ascii="Book Antiqua" w:hAnsi="Book Antiqua" w:cs="Times New Roman" w:hint="eastAsia"/>
          <w:color w:val="000000" w:themeColor="text1"/>
          <w:lang w:val="en-GB" w:eastAsia="zh-CN"/>
        </w:rPr>
        <w:t xml:space="preserve"> RD</w:t>
      </w:r>
      <w:r w:rsidR="00A70412">
        <w:rPr>
          <w:rFonts w:ascii="Book Antiqua" w:hAnsi="Book Antiqua" w:cs="Times New Roman" w:hint="eastAsia"/>
          <w:color w:val="000000" w:themeColor="text1"/>
          <w:lang w:val="en-GB" w:eastAsia="zh-CN"/>
        </w:rPr>
        <w:t xml:space="preserve"> and </w:t>
      </w:r>
      <w:proofErr w:type="spellStart"/>
      <w:r w:rsidR="00A70412" w:rsidRPr="00A70412">
        <w:rPr>
          <w:rFonts w:ascii="Book Antiqua" w:hAnsi="Book Antiqua" w:cs="Times New Roman"/>
          <w:color w:val="000000" w:themeColor="text1"/>
          <w:lang w:val="en-GB"/>
        </w:rPr>
        <w:t>Pisansky</w:t>
      </w:r>
      <w:proofErr w:type="spellEnd"/>
      <w:r w:rsidR="00A70412" w:rsidRPr="00A70412">
        <w:rPr>
          <w:rFonts w:ascii="Book Antiqua" w:hAnsi="Book Antiqua" w:cs="Times New Roman" w:hint="eastAsia"/>
          <w:color w:val="000000" w:themeColor="text1"/>
          <w:lang w:val="en-GB" w:eastAsia="zh-CN"/>
        </w:rPr>
        <w:t xml:space="preserve"> AJ</w:t>
      </w:r>
      <w:r w:rsidRPr="006F15BB">
        <w:rPr>
          <w:rFonts w:ascii="Book Antiqua" w:hAnsi="Book Antiqua" w:cs="Times New Roman"/>
          <w:color w:val="000000" w:themeColor="text1"/>
          <w:lang w:val="en-GB"/>
        </w:rPr>
        <w:t xml:space="preserve"> developed study concept and design</w:t>
      </w:r>
      <w:r w:rsidR="00A70412">
        <w:rPr>
          <w:rFonts w:ascii="Book Antiqua" w:hAnsi="Book Antiqua" w:cs="Times New Roman" w:hint="eastAsia"/>
          <w:color w:val="000000" w:themeColor="text1"/>
          <w:lang w:val="en-GB" w:eastAsia="zh-CN"/>
        </w:rPr>
        <w:t>;</w:t>
      </w:r>
      <w:r w:rsidRPr="006F15BB">
        <w:rPr>
          <w:rFonts w:ascii="Book Antiqua" w:hAnsi="Book Antiqua" w:cs="Times New Roman"/>
          <w:color w:val="000000" w:themeColor="text1"/>
          <w:lang w:val="en-GB"/>
        </w:rPr>
        <w:t xml:space="preserve"> </w:t>
      </w:r>
      <w:r w:rsidR="00A70412" w:rsidRPr="00A70412">
        <w:rPr>
          <w:rFonts w:ascii="Book Antiqua" w:hAnsi="Book Antiqua" w:cs="Times New Roman"/>
          <w:color w:val="000000" w:themeColor="text1"/>
          <w:lang w:val="en-GB"/>
        </w:rPr>
        <w:t>Beverly</w:t>
      </w:r>
      <w:r w:rsidR="00A70412" w:rsidRPr="00A70412">
        <w:rPr>
          <w:rFonts w:ascii="Book Antiqua" w:hAnsi="Book Antiqua" w:cs="Times New Roman" w:hint="eastAsia"/>
          <w:color w:val="000000" w:themeColor="text1"/>
          <w:lang w:val="en-GB" w:eastAsia="zh-CN"/>
        </w:rPr>
        <w:t xml:space="preserve"> A</w:t>
      </w:r>
      <w:r w:rsidR="00A70412">
        <w:rPr>
          <w:rFonts w:ascii="Book Antiqua" w:hAnsi="Book Antiqua" w:cs="Times New Roman" w:hint="eastAsia"/>
          <w:color w:val="000000" w:themeColor="text1"/>
          <w:lang w:val="en-GB" w:eastAsia="zh-CN"/>
        </w:rPr>
        <w:t xml:space="preserve"> and </w:t>
      </w:r>
      <w:proofErr w:type="spellStart"/>
      <w:r w:rsidR="00A70412" w:rsidRPr="00A70412">
        <w:rPr>
          <w:rFonts w:ascii="Book Antiqua" w:hAnsi="Book Antiqua" w:cs="Times New Roman"/>
          <w:color w:val="000000" w:themeColor="text1"/>
          <w:lang w:val="en-GB"/>
        </w:rPr>
        <w:t>Pisansky</w:t>
      </w:r>
      <w:proofErr w:type="spellEnd"/>
      <w:r w:rsidR="00A70412" w:rsidRPr="00A70412">
        <w:rPr>
          <w:rFonts w:ascii="Book Antiqua" w:hAnsi="Book Antiqua" w:cs="Times New Roman" w:hint="eastAsia"/>
          <w:color w:val="000000" w:themeColor="text1"/>
          <w:lang w:val="en-GB" w:eastAsia="zh-CN"/>
        </w:rPr>
        <w:t xml:space="preserve"> AJ</w:t>
      </w:r>
      <w:r w:rsidR="00A70412" w:rsidRPr="006F15BB">
        <w:rPr>
          <w:rFonts w:ascii="Book Antiqua" w:hAnsi="Book Antiqua" w:cs="Times New Roman"/>
          <w:color w:val="000000" w:themeColor="text1"/>
          <w:lang w:val="en-GB"/>
        </w:rPr>
        <w:t xml:space="preserve"> </w:t>
      </w:r>
      <w:r w:rsidRPr="006F15BB">
        <w:rPr>
          <w:rFonts w:ascii="Book Antiqua" w:hAnsi="Book Antiqua" w:cs="Times New Roman"/>
          <w:color w:val="000000" w:themeColor="text1"/>
          <w:lang w:val="en-GB"/>
        </w:rPr>
        <w:t>wr</w:t>
      </w:r>
      <w:r w:rsidR="00A70412">
        <w:rPr>
          <w:rFonts w:ascii="Book Antiqua" w:hAnsi="Book Antiqua" w:cs="Times New Roman" w:hint="eastAsia"/>
          <w:color w:val="000000" w:themeColor="text1"/>
          <w:lang w:val="en-GB" w:eastAsia="zh-CN"/>
        </w:rPr>
        <w:t>o</w:t>
      </w:r>
      <w:r w:rsidRPr="006F15BB">
        <w:rPr>
          <w:rFonts w:ascii="Book Antiqua" w:hAnsi="Book Antiqua" w:cs="Times New Roman"/>
          <w:color w:val="000000" w:themeColor="text1"/>
          <w:lang w:val="en-GB"/>
        </w:rPr>
        <w:t>t</w:t>
      </w:r>
      <w:r w:rsidR="00A70412">
        <w:rPr>
          <w:rFonts w:ascii="Book Antiqua" w:hAnsi="Book Antiqua" w:cs="Times New Roman" w:hint="eastAsia"/>
          <w:color w:val="000000" w:themeColor="text1"/>
          <w:lang w:val="en-GB" w:eastAsia="zh-CN"/>
        </w:rPr>
        <w:t>e</w:t>
      </w:r>
      <w:r w:rsidRPr="006F15BB">
        <w:rPr>
          <w:rFonts w:ascii="Book Antiqua" w:hAnsi="Book Antiqua" w:cs="Times New Roman"/>
          <w:color w:val="000000" w:themeColor="text1"/>
          <w:lang w:val="en-GB"/>
        </w:rPr>
        <w:t xml:space="preserve"> </w:t>
      </w:r>
      <w:r w:rsidR="00A70412">
        <w:rPr>
          <w:rFonts w:ascii="Book Antiqua" w:hAnsi="Book Antiqua" w:cs="Times New Roman" w:hint="eastAsia"/>
          <w:color w:val="000000" w:themeColor="text1"/>
          <w:lang w:val="en-GB" w:eastAsia="zh-CN"/>
        </w:rPr>
        <w:t xml:space="preserve">the </w:t>
      </w:r>
      <w:r w:rsidR="00A70412" w:rsidRPr="006F15BB">
        <w:rPr>
          <w:rFonts w:ascii="Book Antiqua" w:hAnsi="Book Antiqua" w:cs="Times New Roman"/>
          <w:color w:val="000000" w:themeColor="text1"/>
          <w:lang w:val="en-GB"/>
        </w:rPr>
        <w:t>manuscript</w:t>
      </w:r>
      <w:r w:rsidR="00A70412">
        <w:rPr>
          <w:rFonts w:ascii="Book Antiqua" w:hAnsi="Book Antiqua" w:cs="Times New Roman" w:hint="eastAsia"/>
          <w:color w:val="000000" w:themeColor="text1"/>
          <w:lang w:val="en-GB" w:eastAsia="zh-CN"/>
        </w:rPr>
        <w:t xml:space="preserve">; </w:t>
      </w:r>
      <w:proofErr w:type="spellStart"/>
      <w:r w:rsidR="00A70412" w:rsidRPr="00A70412">
        <w:rPr>
          <w:rFonts w:ascii="Book Antiqua" w:hAnsi="Book Antiqua" w:cs="Times New Roman"/>
          <w:color w:val="000000" w:themeColor="text1"/>
          <w:lang w:val="en-GB"/>
        </w:rPr>
        <w:t>Brovman</w:t>
      </w:r>
      <w:proofErr w:type="spellEnd"/>
      <w:r w:rsidR="00A70412" w:rsidRPr="00A70412">
        <w:rPr>
          <w:rFonts w:ascii="Book Antiqua" w:hAnsi="Book Antiqua" w:cs="Times New Roman" w:hint="eastAsia"/>
          <w:color w:val="000000" w:themeColor="text1"/>
          <w:lang w:val="en-GB" w:eastAsia="zh-CN"/>
        </w:rPr>
        <w:t xml:space="preserve"> EY</w:t>
      </w:r>
      <w:r w:rsidR="00A70412" w:rsidRPr="006F15BB">
        <w:rPr>
          <w:rFonts w:ascii="Book Antiqua" w:hAnsi="Book Antiqua" w:cs="Times New Roman"/>
          <w:color w:val="000000" w:themeColor="text1"/>
          <w:lang w:val="en-GB"/>
        </w:rPr>
        <w:t xml:space="preserve"> </w:t>
      </w:r>
      <w:r w:rsidR="00A70412">
        <w:rPr>
          <w:rFonts w:ascii="Book Antiqua" w:hAnsi="Book Antiqua" w:cs="Times New Roman" w:hint="eastAsia"/>
          <w:color w:val="000000" w:themeColor="text1"/>
          <w:lang w:val="en-GB" w:eastAsia="zh-CN"/>
        </w:rPr>
        <w:t xml:space="preserve">contributed to </w:t>
      </w:r>
      <w:r w:rsidR="00A70412" w:rsidRPr="006F15BB">
        <w:rPr>
          <w:rFonts w:ascii="Book Antiqua" w:hAnsi="Book Antiqua" w:cs="Times New Roman"/>
          <w:color w:val="000000" w:themeColor="text1"/>
          <w:lang w:val="en-GB"/>
        </w:rPr>
        <w:t>d</w:t>
      </w:r>
      <w:r w:rsidRPr="006F15BB">
        <w:rPr>
          <w:rFonts w:ascii="Book Antiqua" w:hAnsi="Book Antiqua" w:cs="Times New Roman"/>
          <w:color w:val="000000" w:themeColor="text1"/>
          <w:lang w:val="en-GB"/>
        </w:rPr>
        <w:t>ata extraction and statistical analysis</w:t>
      </w:r>
      <w:r w:rsidR="00A70412">
        <w:rPr>
          <w:rFonts w:ascii="Book Antiqua" w:hAnsi="Book Antiqua" w:cs="Times New Roman" w:hint="eastAsia"/>
          <w:color w:val="000000" w:themeColor="text1"/>
          <w:lang w:val="en-GB" w:eastAsia="zh-CN"/>
        </w:rPr>
        <w:t>;</w:t>
      </w:r>
      <w:r w:rsidR="0034509C">
        <w:rPr>
          <w:rFonts w:ascii="Book Antiqua" w:hAnsi="Book Antiqua" w:cs="Times New Roman" w:hint="eastAsia"/>
          <w:color w:val="000000" w:themeColor="text1"/>
          <w:lang w:val="en-GB" w:eastAsia="zh-CN"/>
        </w:rPr>
        <w:t xml:space="preserve"> </w:t>
      </w:r>
      <w:r w:rsidR="00A70412" w:rsidRPr="00A70412">
        <w:rPr>
          <w:rFonts w:ascii="Book Antiqua" w:hAnsi="Book Antiqua" w:cs="Times New Roman"/>
          <w:color w:val="000000" w:themeColor="text1"/>
          <w:lang w:val="en-GB"/>
        </w:rPr>
        <w:t>Bader</w:t>
      </w:r>
      <w:r w:rsidR="00A70412" w:rsidRPr="00A70412">
        <w:rPr>
          <w:rFonts w:ascii="Book Antiqua" w:hAnsi="Book Antiqua" w:cs="Times New Roman" w:hint="eastAsia"/>
          <w:color w:val="000000" w:themeColor="text1"/>
          <w:lang w:val="en-GB" w:eastAsia="zh-CN"/>
        </w:rPr>
        <w:t xml:space="preserve"> AM</w:t>
      </w:r>
      <w:r w:rsidR="00A70412">
        <w:rPr>
          <w:rFonts w:ascii="Book Antiqua" w:hAnsi="Book Antiqua" w:cs="Times New Roman" w:hint="eastAsia"/>
          <w:color w:val="000000" w:themeColor="text1"/>
          <w:lang w:val="en-GB" w:eastAsia="zh-CN"/>
        </w:rPr>
        <w:t xml:space="preserve"> and</w:t>
      </w:r>
      <w:r w:rsidR="00A70412" w:rsidRPr="00A70412">
        <w:rPr>
          <w:rFonts w:ascii="Book Antiqua" w:hAnsi="Book Antiqua" w:cs="Times New Roman"/>
          <w:color w:val="000000" w:themeColor="text1"/>
          <w:lang w:val="en-GB"/>
        </w:rPr>
        <w:t xml:space="preserve"> </w:t>
      </w:r>
      <w:proofErr w:type="spellStart"/>
      <w:r w:rsidR="00A70412" w:rsidRPr="00A70412">
        <w:rPr>
          <w:rFonts w:ascii="Book Antiqua" w:hAnsi="Book Antiqua" w:cs="Times New Roman"/>
          <w:color w:val="000000" w:themeColor="text1"/>
          <w:lang w:val="en-GB"/>
        </w:rPr>
        <w:t>Urman</w:t>
      </w:r>
      <w:proofErr w:type="spellEnd"/>
      <w:r w:rsidR="00A70412" w:rsidRPr="00A70412">
        <w:rPr>
          <w:rFonts w:ascii="Book Antiqua" w:hAnsi="Book Antiqua" w:cs="Times New Roman" w:hint="eastAsia"/>
          <w:color w:val="000000" w:themeColor="text1"/>
          <w:lang w:val="en-GB" w:eastAsia="zh-CN"/>
        </w:rPr>
        <w:t xml:space="preserve"> RD</w:t>
      </w:r>
      <w:r w:rsidR="00A70412" w:rsidRPr="006F15BB">
        <w:rPr>
          <w:rFonts w:ascii="Book Antiqua" w:hAnsi="Book Antiqua" w:cs="Times New Roman"/>
          <w:color w:val="000000" w:themeColor="text1"/>
          <w:lang w:val="en-GB"/>
        </w:rPr>
        <w:t xml:space="preserve"> </w:t>
      </w:r>
      <w:r w:rsidR="00B45BD2">
        <w:rPr>
          <w:rFonts w:ascii="Book Antiqua" w:hAnsi="Book Antiqua" w:cs="Times New Roman" w:hint="eastAsia"/>
          <w:color w:val="000000" w:themeColor="text1"/>
          <w:lang w:val="en-GB" w:eastAsia="zh-CN"/>
        </w:rPr>
        <w:t xml:space="preserve">contributed to </w:t>
      </w:r>
      <w:r w:rsidR="00B45BD2" w:rsidRPr="006F15BB">
        <w:rPr>
          <w:rFonts w:ascii="Book Antiqua" w:hAnsi="Book Antiqua" w:cs="Times New Roman"/>
          <w:color w:val="000000" w:themeColor="text1"/>
          <w:lang w:val="en-GB"/>
        </w:rPr>
        <w:t>s</w:t>
      </w:r>
      <w:r w:rsidRPr="006F15BB">
        <w:rPr>
          <w:rFonts w:ascii="Book Antiqua" w:hAnsi="Book Antiqua" w:cs="Times New Roman"/>
          <w:color w:val="000000" w:themeColor="text1"/>
          <w:lang w:val="en-GB"/>
        </w:rPr>
        <w:t xml:space="preserve">upervision and comments. </w:t>
      </w:r>
    </w:p>
    <w:p w14:paraId="27670990" w14:textId="77777777" w:rsidR="003164DD" w:rsidRDefault="003164DD" w:rsidP="008E7BBF">
      <w:pPr>
        <w:adjustRightInd w:val="0"/>
        <w:snapToGrid w:val="0"/>
        <w:spacing w:line="360" w:lineRule="auto"/>
        <w:jc w:val="both"/>
        <w:rPr>
          <w:rFonts w:ascii="Book Antiqua" w:hAnsi="Book Antiqua" w:cs="Times New Roman"/>
          <w:b/>
          <w:color w:val="000000" w:themeColor="text1"/>
          <w:lang w:val="en-GB" w:eastAsia="zh-CN"/>
        </w:rPr>
      </w:pPr>
    </w:p>
    <w:p w14:paraId="36E6B16E" w14:textId="77777777" w:rsidR="00376A7C" w:rsidRPr="006F15BB" w:rsidRDefault="00376A7C" w:rsidP="008E7BBF">
      <w:pPr>
        <w:adjustRightInd w:val="0"/>
        <w:snapToGrid w:val="0"/>
        <w:spacing w:line="360" w:lineRule="auto"/>
        <w:jc w:val="both"/>
        <w:rPr>
          <w:rFonts w:ascii="Book Antiqua" w:hAnsi="Book Antiqua" w:cs="Times New Roman"/>
        </w:rPr>
      </w:pPr>
      <w:r w:rsidRPr="006F15BB">
        <w:rPr>
          <w:rFonts w:ascii="Book Antiqua" w:hAnsi="Book Antiqua" w:cs="Times New Roman"/>
          <w:b/>
        </w:rPr>
        <w:t xml:space="preserve">Institutional </w:t>
      </w:r>
      <w:r w:rsidR="00D84882" w:rsidRPr="006F15BB">
        <w:rPr>
          <w:rFonts w:ascii="Book Antiqua" w:hAnsi="Book Antiqua" w:cs="Times New Roman"/>
          <w:b/>
        </w:rPr>
        <w:t xml:space="preserve">review board </w:t>
      </w:r>
      <w:r w:rsidRPr="006F15BB">
        <w:rPr>
          <w:rFonts w:ascii="Book Antiqua" w:hAnsi="Book Antiqua" w:cs="Times New Roman"/>
          <w:b/>
        </w:rPr>
        <w:t>statement</w:t>
      </w:r>
      <w:r w:rsidRPr="006F15BB">
        <w:rPr>
          <w:rFonts w:ascii="Book Antiqua" w:hAnsi="Book Antiqua" w:cs="Times New Roman"/>
        </w:rPr>
        <w:t>: The study was reviewed and approved by the Brigham and Women’s Hospital Institutional Review Board.</w:t>
      </w:r>
    </w:p>
    <w:p w14:paraId="4B3193D0" w14:textId="77777777" w:rsidR="00376A7C" w:rsidRPr="006F15BB" w:rsidRDefault="00376A7C" w:rsidP="008E7BBF">
      <w:pPr>
        <w:adjustRightInd w:val="0"/>
        <w:snapToGrid w:val="0"/>
        <w:spacing w:line="360" w:lineRule="auto"/>
        <w:jc w:val="both"/>
        <w:rPr>
          <w:rFonts w:ascii="Book Antiqua" w:hAnsi="Book Antiqua" w:cs="Times New Roman"/>
        </w:rPr>
      </w:pPr>
    </w:p>
    <w:p w14:paraId="48007E02" w14:textId="77777777" w:rsidR="00376A7C" w:rsidRPr="006F15BB" w:rsidRDefault="00376A7C" w:rsidP="008E7BBF">
      <w:pPr>
        <w:adjustRightInd w:val="0"/>
        <w:snapToGrid w:val="0"/>
        <w:spacing w:line="360" w:lineRule="auto"/>
        <w:jc w:val="both"/>
        <w:rPr>
          <w:rFonts w:ascii="Book Antiqua" w:hAnsi="Book Antiqua" w:cs="Times New Roman"/>
        </w:rPr>
      </w:pPr>
      <w:r>
        <w:rPr>
          <w:rFonts w:ascii="Book Antiqua" w:hAnsi="Book Antiqua" w:cs="Times New Roman"/>
          <w:b/>
        </w:rPr>
        <w:lastRenderedPageBreak/>
        <w:t>Informed consent statement:</w:t>
      </w:r>
      <w:r>
        <w:rPr>
          <w:rFonts w:ascii="Book Antiqua" w:hAnsi="Book Antiqua" w:cs="Times New Roman" w:hint="eastAsia"/>
          <w:b/>
          <w:lang w:eastAsia="zh-CN"/>
        </w:rPr>
        <w:t xml:space="preserve"> </w:t>
      </w:r>
      <w:r w:rsidRPr="006F15BB">
        <w:rPr>
          <w:rFonts w:ascii="Book Antiqua" w:hAnsi="Book Antiqua" w:cs="Times New Roman"/>
        </w:rPr>
        <w:t>Informed consent waiver was granted by the institutional IRB.</w:t>
      </w:r>
    </w:p>
    <w:p w14:paraId="55EEFEB2" w14:textId="77777777" w:rsidR="00376A7C" w:rsidRDefault="00376A7C" w:rsidP="008E7BBF">
      <w:pPr>
        <w:adjustRightInd w:val="0"/>
        <w:snapToGrid w:val="0"/>
        <w:spacing w:line="360" w:lineRule="auto"/>
        <w:jc w:val="both"/>
        <w:rPr>
          <w:rFonts w:ascii="Book Antiqua" w:hAnsi="Book Antiqua" w:cs="Times New Roman"/>
          <w:lang w:eastAsia="zh-CN"/>
        </w:rPr>
      </w:pPr>
    </w:p>
    <w:p w14:paraId="4CADE90D" w14:textId="77777777" w:rsidR="008E7BBF" w:rsidRDefault="00376A7C" w:rsidP="008E7BBF">
      <w:pPr>
        <w:adjustRightInd w:val="0"/>
        <w:snapToGrid w:val="0"/>
        <w:spacing w:line="360" w:lineRule="auto"/>
        <w:jc w:val="both"/>
        <w:rPr>
          <w:rFonts w:ascii="Book Antiqua" w:hAnsi="Book Antiqua" w:cs="Times New Roman"/>
          <w:b/>
          <w:lang w:eastAsia="zh-CN"/>
        </w:rPr>
      </w:pPr>
      <w:r>
        <w:rPr>
          <w:rFonts w:ascii="Book Antiqua" w:hAnsi="Book Antiqua" w:cs="Times New Roman"/>
          <w:b/>
        </w:rPr>
        <w:t>Conflict</w:t>
      </w:r>
      <w:r w:rsidR="00772635">
        <w:rPr>
          <w:rFonts w:ascii="Book Antiqua" w:hAnsi="Book Antiqua" w:cs="Times New Roman" w:hint="eastAsia"/>
          <w:b/>
          <w:lang w:eastAsia="zh-CN"/>
        </w:rPr>
        <w:t>-</w:t>
      </w:r>
      <w:r w:rsidRPr="006F15BB">
        <w:rPr>
          <w:rFonts w:ascii="Book Antiqua" w:hAnsi="Book Antiqua" w:cs="Times New Roman"/>
          <w:b/>
        </w:rPr>
        <w:t>of</w:t>
      </w:r>
      <w:r w:rsidR="00772635">
        <w:rPr>
          <w:rFonts w:ascii="Book Antiqua" w:hAnsi="Book Antiqua" w:cs="Times New Roman" w:hint="eastAsia"/>
          <w:b/>
          <w:lang w:eastAsia="zh-CN"/>
        </w:rPr>
        <w:t>-</w:t>
      </w:r>
      <w:r w:rsidRPr="006F15BB">
        <w:rPr>
          <w:rFonts w:ascii="Book Antiqua" w:hAnsi="Book Antiqua" w:cs="Times New Roman"/>
          <w:b/>
        </w:rPr>
        <w:t>interest</w:t>
      </w:r>
      <w:r>
        <w:rPr>
          <w:rFonts w:ascii="Book Antiqua" w:hAnsi="Book Antiqua" w:cs="Times New Roman" w:hint="eastAsia"/>
          <w:b/>
          <w:lang w:eastAsia="zh-CN"/>
        </w:rPr>
        <w:t xml:space="preserve"> statement</w:t>
      </w:r>
      <w:r w:rsidRPr="006F15BB">
        <w:rPr>
          <w:rFonts w:ascii="Book Antiqua" w:hAnsi="Book Antiqua" w:cs="Times New Roman"/>
          <w:b/>
        </w:rPr>
        <w:t xml:space="preserve">: </w:t>
      </w:r>
      <w:r w:rsidR="00F53F78" w:rsidRPr="008E7BBF">
        <w:rPr>
          <w:rFonts w:ascii="Book Antiqua" w:hAnsi="Book Antiqua" w:cs="Times New Roman"/>
        </w:rPr>
        <w:t>None of the authors has received fees for serving as a speaker, a consultant, or advisory board member relevant to the present manuscript.</w:t>
      </w:r>
      <w:r w:rsidR="00482EEC">
        <w:rPr>
          <w:rFonts w:ascii="Book Antiqua" w:hAnsi="Book Antiqua" w:cs="Times New Roman"/>
        </w:rPr>
        <w:t xml:space="preserve"> </w:t>
      </w:r>
      <w:r w:rsidR="00F53F78" w:rsidRPr="008E7BBF">
        <w:rPr>
          <w:rFonts w:ascii="Book Antiqua" w:hAnsi="Book Antiqua" w:cs="Times New Roman"/>
        </w:rPr>
        <w:t xml:space="preserve">Richard </w:t>
      </w:r>
      <w:proofErr w:type="spellStart"/>
      <w:r w:rsidR="00F53F78" w:rsidRPr="008E7BBF">
        <w:rPr>
          <w:rFonts w:ascii="Book Antiqua" w:hAnsi="Book Antiqua" w:cs="Times New Roman"/>
        </w:rPr>
        <w:t>Urman</w:t>
      </w:r>
      <w:proofErr w:type="spellEnd"/>
      <w:r w:rsidR="00F53F78" w:rsidRPr="008E7BBF">
        <w:rPr>
          <w:rFonts w:ascii="Book Antiqua" w:hAnsi="Book Antiqua" w:cs="Times New Roman"/>
        </w:rPr>
        <w:t xml:space="preserve"> has received research funding from Harvard Medical School and the Center for Perioperative Research that helped support his time for developing the manuscript. All authors are employees of Brigham and Women’s Hospital, Boston, MA 02115</w:t>
      </w:r>
      <w:r w:rsidR="008E7BBF">
        <w:rPr>
          <w:rFonts w:ascii="Book Antiqua" w:hAnsi="Book Antiqua" w:cs="Times New Roman" w:hint="eastAsia"/>
          <w:lang w:eastAsia="zh-CN"/>
        </w:rPr>
        <w:t>,</w:t>
      </w:r>
      <w:r w:rsidR="00F53F78" w:rsidRPr="008E7BBF">
        <w:rPr>
          <w:rFonts w:ascii="Book Antiqua" w:hAnsi="Book Antiqua" w:cs="Times New Roman"/>
        </w:rPr>
        <w:t xml:space="preserve"> </w:t>
      </w:r>
      <w:r w:rsidR="008E7BBF">
        <w:rPr>
          <w:rFonts w:ascii="Book Antiqua" w:hAnsi="Book Antiqua" w:cs="Times New Roman" w:hint="eastAsia"/>
          <w:lang w:eastAsia="zh-CN"/>
        </w:rPr>
        <w:t>United States.</w:t>
      </w:r>
      <w:r w:rsidR="00F53F78" w:rsidRPr="008E7BBF">
        <w:rPr>
          <w:rFonts w:ascii="Book Antiqua" w:hAnsi="Book Antiqua" w:cs="Times New Roman"/>
        </w:rPr>
        <w:t xml:space="preserve"> None of the authors own stocks or patents related to the content of the manuscript.</w:t>
      </w:r>
      <w:r w:rsidR="00482EEC">
        <w:rPr>
          <w:rFonts w:ascii="Book Antiqua" w:hAnsi="Book Antiqua" w:cs="Times New Roman"/>
          <w:b/>
        </w:rPr>
        <w:t xml:space="preserve"> </w:t>
      </w:r>
    </w:p>
    <w:p w14:paraId="46D27143" w14:textId="77777777" w:rsidR="008E7BBF" w:rsidRDefault="008E7BBF" w:rsidP="008E7BBF">
      <w:pPr>
        <w:adjustRightInd w:val="0"/>
        <w:snapToGrid w:val="0"/>
        <w:spacing w:line="360" w:lineRule="auto"/>
        <w:jc w:val="both"/>
        <w:rPr>
          <w:rFonts w:ascii="Book Antiqua" w:hAnsi="Book Antiqua" w:cs="Times New Roman"/>
          <w:b/>
          <w:lang w:eastAsia="zh-CN"/>
        </w:rPr>
      </w:pPr>
    </w:p>
    <w:p w14:paraId="124FF381" w14:textId="77777777" w:rsidR="008E7BBF" w:rsidRPr="008E7BBF" w:rsidRDefault="008E7BBF" w:rsidP="008E7BBF">
      <w:pPr>
        <w:spacing w:line="360" w:lineRule="auto"/>
        <w:jc w:val="both"/>
        <w:rPr>
          <w:rFonts w:ascii="Book Antiqua" w:hAnsi="Book Antiqua" w:cs="Times New Roman"/>
          <w:lang w:eastAsia="zh-CN"/>
        </w:rPr>
      </w:pPr>
      <w:r w:rsidRPr="008E7BBF">
        <w:rPr>
          <w:rFonts w:ascii="Book Antiqua" w:hAnsi="Book Antiqua" w:cs="Times New Roman"/>
          <w:b/>
        </w:rPr>
        <w:t>Data sharing statement:</w:t>
      </w:r>
      <w:r w:rsidRPr="008E7BBF">
        <w:rPr>
          <w:rFonts w:ascii="Book Antiqua" w:hAnsi="Book Antiqua" w:cs="Times New Roman"/>
        </w:rPr>
        <w:t xml:space="preserve"> The original anonymous dataset is available on request from the corresponding author at </w:t>
      </w:r>
      <w:hyperlink r:id="rId8" w:history="1">
        <w:r w:rsidRPr="008E7BBF">
          <w:rPr>
            <w:rFonts w:ascii="Book Antiqua" w:hAnsi="Book Antiqua" w:cs="Times New Roman"/>
          </w:rPr>
          <w:t>rurman@bwh.harvard.edu</w:t>
        </w:r>
      </w:hyperlink>
      <w:r>
        <w:rPr>
          <w:rFonts w:ascii="Book Antiqua" w:hAnsi="Book Antiqua" w:cs="Times New Roman" w:hint="eastAsia"/>
          <w:lang w:eastAsia="zh-CN"/>
        </w:rPr>
        <w:t>.</w:t>
      </w:r>
    </w:p>
    <w:p w14:paraId="203D5F60" w14:textId="77777777" w:rsidR="00376A7C" w:rsidRPr="008E7BBF" w:rsidRDefault="00376A7C" w:rsidP="008E7BBF">
      <w:pPr>
        <w:adjustRightInd w:val="0"/>
        <w:snapToGrid w:val="0"/>
        <w:spacing w:line="360" w:lineRule="auto"/>
        <w:jc w:val="both"/>
        <w:rPr>
          <w:rFonts w:ascii="Book Antiqua" w:hAnsi="Book Antiqua"/>
          <w:color w:val="000000"/>
        </w:rPr>
      </w:pPr>
    </w:p>
    <w:p w14:paraId="6D80B299" w14:textId="77777777" w:rsidR="00376A7C" w:rsidRPr="00B05518" w:rsidRDefault="00376A7C" w:rsidP="008E7BBF">
      <w:pPr>
        <w:widowControl w:val="0"/>
        <w:adjustRightInd w:val="0"/>
        <w:snapToGrid w:val="0"/>
        <w:spacing w:line="360" w:lineRule="auto"/>
        <w:jc w:val="both"/>
        <w:rPr>
          <w:rFonts w:ascii="Book Antiqua" w:hAnsi="Book Antiqua"/>
        </w:rPr>
      </w:pPr>
      <w:bookmarkStart w:id="23" w:name="OLE_LINK111"/>
      <w:bookmarkStart w:id="24" w:name="OLE_LINK112"/>
      <w:bookmarkStart w:id="25" w:name="OLE_LINK54"/>
      <w:bookmarkStart w:id="26" w:name="OLE_LINK70"/>
      <w:bookmarkStart w:id="27" w:name="OLE_LINK123"/>
      <w:bookmarkStart w:id="28" w:name="OLE_LINK329"/>
      <w:bookmarkStart w:id="29" w:name="OLE_LINK424"/>
      <w:bookmarkStart w:id="30" w:name="OLE_LINK662"/>
      <w:bookmarkStart w:id="31" w:name="OLE_LINK268"/>
      <w:bookmarkStart w:id="32" w:name="OLE_LINK269"/>
      <w:bookmarkStart w:id="33" w:name="OLE_LINK439"/>
      <w:bookmarkStart w:id="34" w:name="OLE_LINK501"/>
      <w:bookmarkStart w:id="35" w:name="OLE_LINK594"/>
      <w:bookmarkStart w:id="36" w:name="OLE_LINK677"/>
      <w:bookmarkStart w:id="37" w:name="OLE_LINK693"/>
      <w:bookmarkStart w:id="38" w:name="OLE_LINK792"/>
      <w:bookmarkStart w:id="39" w:name="OLE_LINK801"/>
      <w:bookmarkStart w:id="40" w:name="OLE_LINK831"/>
      <w:bookmarkStart w:id="41" w:name="OLE_LINK910"/>
      <w:bookmarkStart w:id="42" w:name="OLE_LINK916"/>
      <w:bookmarkStart w:id="43" w:name="OLE_LINK973"/>
      <w:bookmarkStart w:id="44" w:name="OLE_LINK995"/>
      <w:bookmarkStart w:id="45" w:name="OLE_LINK1014"/>
      <w:bookmarkStart w:id="46" w:name="OLE_LINK1029"/>
      <w:bookmarkStart w:id="47" w:name="OLE_LINK1070"/>
      <w:bookmarkStart w:id="48" w:name="OLE_LINK1084"/>
      <w:r w:rsidRPr="00B05518">
        <w:rPr>
          <w:rFonts w:ascii="Book Antiqua" w:hAnsi="Book Antiqua"/>
          <w:b/>
          <w:color w:val="000000"/>
        </w:rPr>
        <w:t>Open</w:t>
      </w:r>
      <w:r w:rsidR="00772635">
        <w:rPr>
          <w:rFonts w:ascii="Book Antiqua" w:hAnsi="Book Antiqua"/>
          <w:b/>
          <w:color w:val="000000"/>
        </w:rPr>
        <w:t>-</w:t>
      </w:r>
      <w:r w:rsidRPr="00B05518">
        <w:rPr>
          <w:rFonts w:ascii="Book Antiqua" w:hAnsi="Book Antiqua"/>
          <w:b/>
          <w:color w:val="000000"/>
        </w:rPr>
        <w:t xml:space="preserve">Access: </w:t>
      </w:r>
      <w:r w:rsidRPr="00B05518">
        <w:rPr>
          <w:rFonts w:ascii="Book Antiqua" w:hAnsi="Book Antiqua"/>
          <w:color w:val="000000"/>
        </w:rPr>
        <w:t>This article is an open</w:t>
      </w:r>
      <w:r w:rsidR="00772635">
        <w:rPr>
          <w:rFonts w:ascii="Book Antiqua" w:hAnsi="Book Antiqua"/>
          <w:color w:val="000000"/>
        </w:rPr>
        <w:t>-</w:t>
      </w:r>
      <w:r w:rsidRPr="00B05518">
        <w:rPr>
          <w:rFonts w:ascii="Book Antiqua" w:hAnsi="Book Antiqua"/>
          <w:color w:val="000000"/>
        </w:rPr>
        <w:t>access article which was selected by an in</w:t>
      </w:r>
      <w:r w:rsidR="00772635">
        <w:rPr>
          <w:rFonts w:ascii="Book Antiqua" w:hAnsi="Book Antiqua"/>
          <w:color w:val="000000"/>
        </w:rPr>
        <w:t>-</w:t>
      </w:r>
      <w:r w:rsidRPr="00B05518">
        <w:rPr>
          <w:rFonts w:ascii="Book Antiqua" w:hAnsi="Book Antiqua"/>
          <w:color w:val="000000"/>
        </w:rPr>
        <w:t>house editor and fully peer</w:t>
      </w:r>
      <w:r w:rsidR="00772635">
        <w:rPr>
          <w:rFonts w:ascii="Book Antiqua" w:hAnsi="Book Antiqua"/>
          <w:color w:val="000000"/>
        </w:rPr>
        <w:t>-</w:t>
      </w:r>
      <w:r w:rsidRPr="00B05518">
        <w:rPr>
          <w:rFonts w:ascii="Book Antiqua" w:hAnsi="Book Antiqua"/>
          <w:color w:val="000000"/>
        </w:rPr>
        <w:t xml:space="preserve">reviewed by external reviewers. It is distributed in accordance with the Creative Commons Attribution </w:t>
      </w:r>
      <w:proofErr w:type="gramStart"/>
      <w:r w:rsidRPr="00B05518">
        <w:rPr>
          <w:rFonts w:ascii="Book Antiqua" w:hAnsi="Book Antiqua"/>
          <w:color w:val="000000"/>
        </w:rPr>
        <w:t>Non Commercial</w:t>
      </w:r>
      <w:proofErr w:type="gramEnd"/>
      <w:r w:rsidRPr="00B05518">
        <w:rPr>
          <w:rFonts w:ascii="Book Antiqua" w:hAnsi="Book Antiqua"/>
          <w:color w:val="000000"/>
        </w:rPr>
        <w:t xml:space="preserve"> (CC BY</w:t>
      </w:r>
      <w:r w:rsidR="00772635">
        <w:rPr>
          <w:rFonts w:ascii="Book Antiqua" w:hAnsi="Book Antiqua"/>
          <w:color w:val="000000"/>
        </w:rPr>
        <w:t>-</w:t>
      </w:r>
      <w:r w:rsidRPr="00B05518">
        <w:rPr>
          <w:rFonts w:ascii="Book Antiqua" w:hAnsi="Book Antiqua"/>
          <w:color w:val="000000"/>
        </w:rPr>
        <w:t>NC 4.0) license, which permits others to distribute, remix, adapt, build upon this work non</w:t>
      </w:r>
      <w:r w:rsidR="00772635">
        <w:rPr>
          <w:rFonts w:ascii="Book Antiqua" w:hAnsi="Book Antiqua"/>
          <w:color w:val="000000"/>
        </w:rPr>
        <w:t>-</w:t>
      </w:r>
      <w:r w:rsidRPr="00B05518">
        <w:rPr>
          <w:rFonts w:ascii="Book Antiqua" w:hAnsi="Book Antiqua"/>
          <w:color w:val="000000"/>
        </w:rPr>
        <w:t>commercially, and license their derivative works on different terms, provided the original work is properly cited and the use is non</w:t>
      </w:r>
      <w:r w:rsidR="00772635">
        <w:rPr>
          <w:rFonts w:ascii="Book Antiqua" w:hAnsi="Book Antiqua"/>
          <w:color w:val="000000"/>
        </w:rPr>
        <w:t>-</w:t>
      </w:r>
      <w:r w:rsidRPr="00B05518">
        <w:rPr>
          <w:rFonts w:ascii="Book Antiqua" w:hAnsi="Book Antiqua"/>
          <w:color w:val="000000"/>
        </w:rPr>
        <w:t xml:space="preserve">commercial. See: </w:t>
      </w:r>
      <w:r w:rsidRPr="00B05518">
        <w:rPr>
          <w:rFonts w:ascii="Book Antiqua" w:hAnsi="Book Antiqua"/>
        </w:rPr>
        <w:t>http://creativecommons.org/licenses/by</w:t>
      </w:r>
      <w:r w:rsidR="00772635">
        <w:rPr>
          <w:rFonts w:ascii="Book Antiqua" w:hAnsi="Book Antiqua"/>
        </w:rPr>
        <w:t>-</w:t>
      </w:r>
      <w:r w:rsidRPr="00B05518">
        <w:rPr>
          <w:rFonts w:ascii="Book Antiqua" w:hAnsi="Book Antiqua"/>
        </w:rPr>
        <w:t>nc/4.0/</w:t>
      </w:r>
      <w:bookmarkEnd w:id="23"/>
      <w:bookmarkEnd w:id="24"/>
    </w:p>
    <w:bookmarkEnd w:id="25"/>
    <w:bookmarkEnd w:id="26"/>
    <w:bookmarkEnd w:id="27"/>
    <w:bookmarkEnd w:id="28"/>
    <w:bookmarkEnd w:id="29"/>
    <w:bookmarkEnd w:id="30"/>
    <w:p w14:paraId="7D5097C8" w14:textId="77777777" w:rsidR="00376A7C" w:rsidRPr="00B05518" w:rsidRDefault="00376A7C" w:rsidP="008E7BBF">
      <w:pPr>
        <w:adjustRightInd w:val="0"/>
        <w:snapToGrid w:val="0"/>
        <w:spacing w:line="360" w:lineRule="auto"/>
        <w:ind w:right="120"/>
        <w:jc w:val="both"/>
        <w:rPr>
          <w:rFonts w:ascii="Book Antiqua" w:hAnsi="Book Antiqua" w:cs="Times New Roman"/>
          <w:color w:val="000000"/>
        </w:rPr>
      </w:pPr>
    </w:p>
    <w:p w14:paraId="17DBCBC5" w14:textId="77777777" w:rsidR="00376A7C" w:rsidRPr="00B05518" w:rsidRDefault="00376A7C" w:rsidP="008E7BBF">
      <w:pPr>
        <w:adjustRightInd w:val="0"/>
        <w:snapToGrid w:val="0"/>
        <w:spacing w:line="360" w:lineRule="auto"/>
        <w:ind w:right="120"/>
        <w:jc w:val="both"/>
        <w:rPr>
          <w:rFonts w:ascii="Book Antiqua" w:hAnsi="Book Antiqua" w:cs="Times New Roman"/>
          <w:color w:val="000000"/>
        </w:rPr>
      </w:pPr>
      <w:bookmarkStart w:id="49" w:name="OLE_LINK332"/>
      <w:bookmarkStart w:id="50" w:name="OLE_LINK761"/>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B05518">
        <w:rPr>
          <w:rFonts w:ascii="Book Antiqua" w:hAnsi="Book Antiqua" w:cs="Times New Roman"/>
          <w:b/>
          <w:color w:val="000000"/>
        </w:rPr>
        <w:t>Manuscript source:</w:t>
      </w:r>
      <w:r w:rsidRPr="00B05518">
        <w:rPr>
          <w:rFonts w:ascii="Book Antiqua" w:hAnsi="Book Antiqua" w:cs="Times New Roman"/>
          <w:color w:val="000000"/>
        </w:rPr>
        <w:t xml:space="preserve"> Unsolicited manuscript</w:t>
      </w:r>
    </w:p>
    <w:bookmarkEnd w:id="49"/>
    <w:bookmarkEnd w:id="50"/>
    <w:p w14:paraId="6624FEA2" w14:textId="77777777" w:rsidR="00376A7C" w:rsidRPr="00376A7C" w:rsidRDefault="00376A7C" w:rsidP="008E7BBF">
      <w:pPr>
        <w:adjustRightInd w:val="0"/>
        <w:snapToGrid w:val="0"/>
        <w:spacing w:line="360" w:lineRule="auto"/>
        <w:jc w:val="both"/>
        <w:rPr>
          <w:rFonts w:ascii="Book Antiqua" w:hAnsi="Book Antiqua" w:cs="Times New Roman"/>
          <w:b/>
          <w:color w:val="000000" w:themeColor="text1"/>
          <w:lang w:eastAsia="zh-CN"/>
        </w:rPr>
      </w:pPr>
    </w:p>
    <w:p w14:paraId="3449844A" w14:textId="77777777" w:rsidR="00BA3490" w:rsidRPr="006F15BB" w:rsidRDefault="00BA3490" w:rsidP="008E7BBF">
      <w:pPr>
        <w:adjustRightInd w:val="0"/>
        <w:snapToGrid w:val="0"/>
        <w:spacing w:line="360" w:lineRule="auto"/>
        <w:jc w:val="both"/>
        <w:rPr>
          <w:rFonts w:ascii="Book Antiqua" w:hAnsi="Book Antiqua" w:cs="Times New Roman"/>
          <w:color w:val="000000" w:themeColor="text1"/>
          <w:lang w:eastAsia="zh-CN"/>
        </w:rPr>
      </w:pPr>
      <w:r w:rsidRPr="006F15BB">
        <w:rPr>
          <w:rFonts w:ascii="Book Antiqua" w:hAnsi="Book Antiqua" w:cs="Times New Roman"/>
          <w:b/>
          <w:color w:val="000000" w:themeColor="text1"/>
          <w:lang w:val="en-GB"/>
        </w:rPr>
        <w:t>Correspond</w:t>
      </w:r>
      <w:r w:rsidR="00376A7C">
        <w:rPr>
          <w:rFonts w:ascii="Book Antiqua" w:hAnsi="Book Antiqua" w:cs="Times New Roman" w:hint="eastAsia"/>
          <w:b/>
          <w:color w:val="000000" w:themeColor="text1"/>
          <w:lang w:val="en-GB" w:eastAsia="zh-CN"/>
        </w:rPr>
        <w:t>ence to</w:t>
      </w:r>
      <w:r w:rsidRPr="006F15BB">
        <w:rPr>
          <w:rFonts w:ascii="Book Antiqua" w:hAnsi="Book Antiqua" w:cs="Times New Roman"/>
          <w:b/>
          <w:color w:val="000000" w:themeColor="text1"/>
          <w:lang w:val="en-GB"/>
        </w:rPr>
        <w:t>:</w:t>
      </w:r>
      <w:r w:rsidR="00376A7C">
        <w:rPr>
          <w:rFonts w:ascii="Book Antiqua" w:hAnsi="Book Antiqua" w:cs="Times New Roman" w:hint="eastAsia"/>
          <w:b/>
          <w:color w:val="000000" w:themeColor="text1"/>
          <w:lang w:val="en-GB" w:eastAsia="zh-CN"/>
        </w:rPr>
        <w:t xml:space="preserve"> </w:t>
      </w:r>
      <w:r w:rsidRPr="00644D41">
        <w:rPr>
          <w:rFonts w:ascii="Book Antiqua" w:hAnsi="Book Antiqua" w:cs="Times New Roman"/>
          <w:b/>
          <w:color w:val="000000" w:themeColor="text1"/>
          <w:lang w:val="en-GB"/>
        </w:rPr>
        <w:t xml:space="preserve">Richard D </w:t>
      </w:r>
      <w:proofErr w:type="spellStart"/>
      <w:r w:rsidRPr="00644D41">
        <w:rPr>
          <w:rFonts w:ascii="Book Antiqua" w:hAnsi="Book Antiqua" w:cs="Times New Roman"/>
          <w:b/>
          <w:color w:val="000000" w:themeColor="text1"/>
          <w:lang w:val="en-GB"/>
        </w:rPr>
        <w:t>Urman</w:t>
      </w:r>
      <w:proofErr w:type="spellEnd"/>
      <w:r w:rsidR="00376A7C" w:rsidRPr="00644D41">
        <w:rPr>
          <w:rFonts w:ascii="Book Antiqua" w:hAnsi="Book Antiqua" w:cs="Times New Roman" w:hint="eastAsia"/>
          <w:b/>
          <w:color w:val="000000" w:themeColor="text1"/>
          <w:lang w:val="en-GB" w:eastAsia="zh-CN"/>
        </w:rPr>
        <w:t>,</w:t>
      </w:r>
      <w:r w:rsidRPr="00644D41">
        <w:rPr>
          <w:rFonts w:ascii="Book Antiqua" w:hAnsi="Book Antiqua" w:cs="Times New Roman"/>
          <w:b/>
          <w:color w:val="000000" w:themeColor="text1"/>
          <w:lang w:val="en-GB"/>
        </w:rPr>
        <w:t xml:space="preserve"> MD</w:t>
      </w:r>
      <w:r w:rsidR="00376A7C" w:rsidRPr="00DD5033">
        <w:rPr>
          <w:rFonts w:ascii="Book Antiqua" w:hAnsi="Book Antiqua" w:cs="Times New Roman" w:hint="eastAsia"/>
          <w:b/>
          <w:color w:val="000000" w:themeColor="text1"/>
          <w:lang w:val="en-GB" w:eastAsia="zh-CN"/>
        </w:rPr>
        <w:t xml:space="preserve">, </w:t>
      </w:r>
      <w:r w:rsidR="00DD5033" w:rsidRPr="00DD5033">
        <w:rPr>
          <w:rFonts w:ascii="Book Antiqua" w:hAnsi="Book Antiqua" w:cs="Times New Roman"/>
          <w:b/>
          <w:color w:val="000000" w:themeColor="text1"/>
          <w:lang w:eastAsia="zh-CN"/>
        </w:rPr>
        <w:t>Assistant Professor</w:t>
      </w:r>
      <w:bookmarkStart w:id="51" w:name="OLE_LINK1183"/>
      <w:bookmarkStart w:id="52" w:name="OLE_LINK1184"/>
      <w:r w:rsidR="00DD5033" w:rsidRPr="00DD5033">
        <w:rPr>
          <w:rFonts w:ascii="Book Antiqua" w:hAnsi="Book Antiqua" w:cs="Times New Roman" w:hint="eastAsia"/>
          <w:b/>
          <w:color w:val="000000" w:themeColor="text1"/>
          <w:lang w:eastAsia="zh-CN"/>
        </w:rPr>
        <w:t>,</w:t>
      </w:r>
      <w:r w:rsidR="00DD5033" w:rsidRPr="00DD5033">
        <w:rPr>
          <w:rFonts w:ascii="Book Antiqua" w:hAnsi="Book Antiqua" w:cs="Times New Roman"/>
          <w:color w:val="000000" w:themeColor="text1"/>
          <w:lang w:eastAsia="zh-CN"/>
        </w:rPr>
        <w:t xml:space="preserve"> </w:t>
      </w:r>
      <w:r w:rsidRPr="006F15BB">
        <w:rPr>
          <w:rFonts w:ascii="Book Antiqua" w:hAnsi="Book Antiqua" w:cs="Times New Roman"/>
          <w:color w:val="000000" w:themeColor="text1"/>
        </w:rPr>
        <w:t>Department of Anesthesiology, Perioperative and Pain Medicine</w:t>
      </w:r>
      <w:r w:rsidR="00376A7C">
        <w:rPr>
          <w:rFonts w:ascii="Book Antiqua" w:hAnsi="Book Antiqua" w:cs="Times New Roman" w:hint="eastAsia"/>
          <w:color w:val="000000" w:themeColor="text1"/>
          <w:lang w:eastAsia="zh-CN"/>
        </w:rPr>
        <w:t xml:space="preserve">, </w:t>
      </w:r>
      <w:r w:rsidRPr="006F15BB">
        <w:rPr>
          <w:rFonts w:ascii="Book Antiqua" w:hAnsi="Book Antiqua" w:cs="Times New Roman"/>
          <w:color w:val="000000" w:themeColor="text1"/>
        </w:rPr>
        <w:t>Brigham and Women’s Hospital</w:t>
      </w:r>
      <w:bookmarkEnd w:id="51"/>
      <w:bookmarkEnd w:id="52"/>
      <w:r w:rsidR="00376A7C">
        <w:rPr>
          <w:rFonts w:ascii="Book Antiqua" w:hAnsi="Book Antiqua" w:cs="Times New Roman" w:hint="eastAsia"/>
          <w:color w:val="000000" w:themeColor="text1"/>
          <w:lang w:eastAsia="zh-CN"/>
        </w:rPr>
        <w:t xml:space="preserve">, </w:t>
      </w:r>
      <w:bookmarkStart w:id="53" w:name="OLE_LINK1186"/>
      <w:bookmarkStart w:id="54" w:name="OLE_LINK1187"/>
      <w:r w:rsidRPr="006F15BB">
        <w:rPr>
          <w:rFonts w:ascii="Book Antiqua" w:hAnsi="Book Antiqua" w:cs="Times New Roman"/>
          <w:color w:val="000000" w:themeColor="text1"/>
        </w:rPr>
        <w:t>75 Francis Street</w:t>
      </w:r>
      <w:bookmarkEnd w:id="53"/>
      <w:bookmarkEnd w:id="54"/>
      <w:r w:rsidRPr="006F15BB">
        <w:rPr>
          <w:rFonts w:ascii="Book Antiqua" w:hAnsi="Book Antiqua" w:cs="Times New Roman"/>
          <w:color w:val="000000" w:themeColor="text1"/>
        </w:rPr>
        <w:t>, Boston, MA 02115, U</w:t>
      </w:r>
      <w:r w:rsidR="00376A7C">
        <w:rPr>
          <w:rFonts w:ascii="Book Antiqua" w:hAnsi="Book Antiqua" w:cs="Times New Roman" w:hint="eastAsia"/>
          <w:color w:val="000000" w:themeColor="text1"/>
          <w:lang w:eastAsia="zh-CN"/>
        </w:rPr>
        <w:t>nited States.</w:t>
      </w:r>
      <w:r w:rsidR="00376A7C" w:rsidRPr="00376A7C">
        <w:rPr>
          <w:rFonts w:ascii="Book Antiqua" w:hAnsi="Book Antiqua"/>
        </w:rPr>
        <w:t xml:space="preserve"> </w:t>
      </w:r>
      <w:bookmarkStart w:id="55" w:name="OLE_LINK1181"/>
      <w:bookmarkStart w:id="56" w:name="OLE_LINK1182"/>
      <w:r w:rsidR="00376A7C" w:rsidRPr="00376A7C">
        <w:rPr>
          <w:rFonts w:ascii="Book Antiqua" w:hAnsi="Book Antiqua" w:cs="Times New Roman"/>
          <w:lang w:val="en-GB"/>
        </w:rPr>
        <w:t>rurman@bwh.harvard.edu</w:t>
      </w:r>
      <w:bookmarkEnd w:id="55"/>
      <w:bookmarkEnd w:id="56"/>
    </w:p>
    <w:p w14:paraId="0364D2E5" w14:textId="77777777" w:rsidR="00BA3490" w:rsidRDefault="00376A7C" w:rsidP="008E7BBF">
      <w:pPr>
        <w:adjustRightInd w:val="0"/>
        <w:snapToGrid w:val="0"/>
        <w:spacing w:line="360" w:lineRule="auto"/>
        <w:jc w:val="both"/>
        <w:rPr>
          <w:rFonts w:ascii="Book Antiqua" w:hAnsi="Book Antiqua" w:cs="Times New Roman"/>
          <w:color w:val="000000" w:themeColor="text1"/>
          <w:lang w:eastAsia="zh-CN"/>
        </w:rPr>
      </w:pPr>
      <w:r w:rsidRPr="00376A7C">
        <w:rPr>
          <w:rFonts w:ascii="Book Antiqua" w:hAnsi="Book Antiqua" w:cs="Times New Roman" w:hint="eastAsia"/>
          <w:b/>
          <w:color w:val="000000" w:themeColor="text1"/>
          <w:lang w:eastAsia="zh-CN"/>
        </w:rPr>
        <w:t>Telep</w:t>
      </w:r>
      <w:r w:rsidR="00BA3490" w:rsidRPr="00376A7C">
        <w:rPr>
          <w:rFonts w:ascii="Book Antiqua" w:hAnsi="Book Antiqua" w:cs="Times New Roman"/>
          <w:b/>
          <w:color w:val="000000" w:themeColor="text1"/>
        </w:rPr>
        <w:t>hone</w:t>
      </w:r>
      <w:r w:rsidRPr="00376A7C">
        <w:rPr>
          <w:rFonts w:ascii="Book Antiqua" w:hAnsi="Book Antiqua" w:cs="Times New Roman" w:hint="eastAsia"/>
          <w:b/>
          <w:color w:val="000000" w:themeColor="text1"/>
          <w:lang w:eastAsia="zh-CN"/>
        </w:rPr>
        <w:t>:</w:t>
      </w:r>
      <w:r w:rsidR="00BA3490" w:rsidRPr="006F15BB">
        <w:rPr>
          <w:rFonts w:ascii="Book Antiqua" w:hAnsi="Book Antiqua" w:cs="Times New Roman"/>
          <w:color w:val="000000" w:themeColor="text1"/>
        </w:rPr>
        <w:t xml:space="preserve"> </w:t>
      </w:r>
      <w:r w:rsidR="00336617" w:rsidRPr="006F15BB">
        <w:rPr>
          <w:rFonts w:ascii="Book Antiqua" w:hAnsi="Book Antiqua" w:cs="Times New Roman"/>
          <w:color w:val="000000" w:themeColor="text1"/>
        </w:rPr>
        <w:t>+1</w:t>
      </w:r>
      <w:r w:rsidR="00772635">
        <w:rPr>
          <w:rFonts w:ascii="Book Antiqua" w:hAnsi="Book Antiqua" w:cs="Times New Roman" w:hint="eastAsia"/>
          <w:color w:val="000000" w:themeColor="text1"/>
          <w:lang w:eastAsia="zh-CN"/>
        </w:rPr>
        <w:t>-</w:t>
      </w:r>
      <w:r w:rsidR="00BA3490" w:rsidRPr="006F15BB">
        <w:rPr>
          <w:rFonts w:ascii="Book Antiqua" w:hAnsi="Book Antiqua" w:cs="Times New Roman"/>
          <w:color w:val="000000" w:themeColor="text1"/>
        </w:rPr>
        <w:t>617</w:t>
      </w:r>
      <w:r w:rsidR="00772635">
        <w:rPr>
          <w:rFonts w:ascii="Book Antiqua" w:hAnsi="Book Antiqua" w:cs="Times New Roman" w:hint="eastAsia"/>
          <w:color w:val="000000" w:themeColor="text1"/>
          <w:lang w:eastAsia="zh-CN"/>
        </w:rPr>
        <w:t>-</w:t>
      </w:r>
      <w:r>
        <w:rPr>
          <w:rFonts w:ascii="Book Antiqua" w:hAnsi="Book Antiqua" w:cs="Times New Roman"/>
          <w:color w:val="000000" w:themeColor="text1"/>
        </w:rPr>
        <w:t>732</w:t>
      </w:r>
      <w:r w:rsidR="00BA3490" w:rsidRPr="006F15BB">
        <w:rPr>
          <w:rFonts w:ascii="Book Antiqua" w:hAnsi="Book Antiqua" w:cs="Times New Roman"/>
          <w:color w:val="000000" w:themeColor="text1"/>
        </w:rPr>
        <w:t>8210</w:t>
      </w:r>
    </w:p>
    <w:p w14:paraId="4DFB3DA8" w14:textId="77777777" w:rsidR="00376A7C" w:rsidRDefault="00376A7C" w:rsidP="008E7BBF">
      <w:pPr>
        <w:adjustRightInd w:val="0"/>
        <w:snapToGrid w:val="0"/>
        <w:spacing w:line="360" w:lineRule="auto"/>
        <w:jc w:val="both"/>
        <w:rPr>
          <w:rFonts w:ascii="Book Antiqua" w:hAnsi="Book Antiqua" w:cs="Times New Roman"/>
          <w:color w:val="000000" w:themeColor="text1"/>
          <w:lang w:eastAsia="zh-CN"/>
        </w:rPr>
      </w:pPr>
    </w:p>
    <w:p w14:paraId="3A794527" w14:textId="77777777" w:rsidR="00376A7C" w:rsidRPr="00B05518" w:rsidRDefault="00376A7C" w:rsidP="008E7BBF">
      <w:pPr>
        <w:widowControl w:val="0"/>
        <w:adjustRightInd w:val="0"/>
        <w:snapToGrid w:val="0"/>
        <w:spacing w:line="360" w:lineRule="auto"/>
        <w:jc w:val="both"/>
        <w:rPr>
          <w:rFonts w:ascii="Book Antiqua" w:hAnsi="Book Antiqua"/>
          <w:lang w:eastAsia="zh-CN"/>
        </w:rPr>
      </w:pPr>
      <w:bookmarkStart w:id="57" w:name="OLE_LINK140"/>
      <w:bookmarkStart w:id="58" w:name="OLE_LINK7"/>
      <w:bookmarkStart w:id="59" w:name="OLE_LINK8"/>
      <w:bookmarkStart w:id="60" w:name="OLE_LINK16"/>
      <w:bookmarkStart w:id="61" w:name="OLE_LINK36"/>
      <w:bookmarkStart w:id="62" w:name="OLE_LINK38"/>
      <w:bookmarkStart w:id="63" w:name="OLE_LINK47"/>
      <w:bookmarkStart w:id="64" w:name="OLE_LINK55"/>
      <w:bookmarkStart w:id="65" w:name="OLE_LINK77"/>
      <w:bookmarkStart w:id="66" w:name="OLE_LINK80"/>
      <w:bookmarkStart w:id="67" w:name="OLE_LINK83"/>
      <w:bookmarkStart w:id="68" w:name="OLE_LINK85"/>
      <w:bookmarkStart w:id="69" w:name="OLE_LINK153"/>
      <w:bookmarkStart w:id="70" w:name="OLE_LINK156"/>
      <w:bookmarkStart w:id="71" w:name="OLE_LINK224"/>
      <w:bookmarkStart w:id="72" w:name="OLE_LINK271"/>
      <w:bookmarkStart w:id="73" w:name="OLE_LINK321"/>
      <w:bookmarkStart w:id="74" w:name="OLE_LINK322"/>
      <w:bookmarkStart w:id="75" w:name="OLE_LINK330"/>
      <w:bookmarkStart w:id="76" w:name="OLE_LINK230"/>
      <w:bookmarkStart w:id="77" w:name="OLE_LINK422"/>
      <w:bookmarkStart w:id="78" w:name="OLE_LINK464"/>
      <w:bookmarkStart w:id="79" w:name="OLE_LINK493"/>
      <w:bookmarkStart w:id="80" w:name="OLE_LINK535"/>
      <w:bookmarkStart w:id="81" w:name="OLE_LINK552"/>
      <w:bookmarkStart w:id="82" w:name="OLE_LINK578"/>
      <w:bookmarkStart w:id="83" w:name="OLE_LINK608"/>
      <w:bookmarkStart w:id="84" w:name="OLE_LINK632"/>
      <w:bookmarkStart w:id="85" w:name="OLE_LINK643"/>
      <w:bookmarkStart w:id="86" w:name="OLE_LINK678"/>
      <w:bookmarkStart w:id="87" w:name="OLE_LINK683"/>
      <w:bookmarkStart w:id="88" w:name="OLE_LINK694"/>
      <w:bookmarkStart w:id="89" w:name="OLE_LINK724"/>
      <w:bookmarkStart w:id="90" w:name="OLE_LINK730"/>
      <w:bookmarkStart w:id="91" w:name="OLE_LINK749"/>
      <w:bookmarkStart w:id="92" w:name="OLE_LINK787"/>
      <w:bookmarkStart w:id="93" w:name="OLE_LINK793"/>
      <w:bookmarkStart w:id="94" w:name="OLE_LINK815"/>
      <w:bookmarkStart w:id="95" w:name="OLE_LINK832"/>
      <w:bookmarkStart w:id="96" w:name="OLE_LINK859"/>
      <w:bookmarkStart w:id="97" w:name="OLE_LINK862"/>
      <w:bookmarkStart w:id="98" w:name="OLE_LINK874"/>
      <w:bookmarkStart w:id="99" w:name="OLE_LINK920"/>
      <w:bookmarkStart w:id="100" w:name="OLE_LINK917"/>
      <w:bookmarkStart w:id="101" w:name="OLE_LINK919"/>
      <w:bookmarkStart w:id="102" w:name="OLE_LINK942"/>
      <w:bookmarkStart w:id="103" w:name="OLE_LINK948"/>
      <w:bookmarkStart w:id="104" w:name="OLE_LINK985"/>
      <w:bookmarkStart w:id="105" w:name="OLE_LINK1019"/>
      <w:bookmarkStart w:id="106" w:name="OLE_LINK1034"/>
      <w:bookmarkStart w:id="107" w:name="OLE_LINK1047"/>
      <w:bookmarkStart w:id="108" w:name="OLE_LINK1051"/>
      <w:bookmarkStart w:id="109" w:name="OLE_LINK1063"/>
      <w:bookmarkStart w:id="110" w:name="OLE_LINK165"/>
      <w:bookmarkStart w:id="111" w:name="OLE_LINK1103"/>
      <w:bookmarkStart w:id="112" w:name="OLE_LINK1112"/>
      <w:r w:rsidRPr="00B05518">
        <w:rPr>
          <w:rFonts w:ascii="Book Antiqua" w:hAnsi="Book Antiqua"/>
          <w:b/>
        </w:rPr>
        <w:t xml:space="preserve">Received: </w:t>
      </w:r>
      <w:bookmarkStart w:id="113" w:name="OLE_LINK1152"/>
      <w:bookmarkStart w:id="114" w:name="OLE_LINK1153"/>
      <w:r w:rsidRPr="00B05518">
        <w:rPr>
          <w:rFonts w:ascii="Book Antiqua" w:hAnsi="Book Antiqua" w:hint="eastAsia"/>
        </w:rPr>
        <w:t xml:space="preserve">July </w:t>
      </w:r>
      <w:r w:rsidR="008C4769">
        <w:rPr>
          <w:rFonts w:ascii="Book Antiqua" w:hAnsi="Book Antiqua" w:hint="eastAsia"/>
          <w:lang w:eastAsia="zh-CN"/>
        </w:rPr>
        <w:t>11</w:t>
      </w:r>
      <w:r w:rsidRPr="00B05518">
        <w:rPr>
          <w:rFonts w:ascii="Book Antiqua" w:hAnsi="Book Antiqua"/>
        </w:rPr>
        <w:t>, 201</w:t>
      </w:r>
      <w:r w:rsidR="008C4769">
        <w:rPr>
          <w:rFonts w:ascii="Book Antiqua" w:hAnsi="Book Antiqua" w:hint="eastAsia"/>
          <w:lang w:eastAsia="zh-CN"/>
        </w:rPr>
        <w:t>7</w:t>
      </w:r>
      <w:bookmarkEnd w:id="113"/>
      <w:bookmarkEnd w:id="114"/>
    </w:p>
    <w:p w14:paraId="595EAAF4" w14:textId="77777777" w:rsidR="00376A7C" w:rsidRPr="00B05518" w:rsidRDefault="00376A7C" w:rsidP="008E7BBF">
      <w:pPr>
        <w:widowControl w:val="0"/>
        <w:adjustRightInd w:val="0"/>
        <w:snapToGrid w:val="0"/>
        <w:spacing w:line="360" w:lineRule="auto"/>
        <w:jc w:val="both"/>
        <w:rPr>
          <w:rFonts w:ascii="Book Antiqua" w:hAnsi="Book Antiqua"/>
        </w:rPr>
      </w:pPr>
      <w:r w:rsidRPr="00B05518">
        <w:rPr>
          <w:rFonts w:ascii="Book Antiqua" w:hAnsi="Book Antiqua"/>
          <w:b/>
        </w:rPr>
        <w:t>Peer</w:t>
      </w:r>
      <w:r w:rsidR="00772635">
        <w:rPr>
          <w:rFonts w:ascii="Book Antiqua" w:hAnsi="Book Antiqua"/>
          <w:b/>
        </w:rPr>
        <w:t>-</w:t>
      </w:r>
      <w:r w:rsidRPr="00B05518">
        <w:rPr>
          <w:rFonts w:ascii="Book Antiqua" w:hAnsi="Book Antiqua"/>
          <w:b/>
        </w:rPr>
        <w:t xml:space="preserve">review started: </w:t>
      </w:r>
      <w:r w:rsidR="008C4769" w:rsidRPr="00B05518">
        <w:rPr>
          <w:rFonts w:ascii="Book Antiqua" w:hAnsi="Book Antiqua" w:hint="eastAsia"/>
        </w:rPr>
        <w:t xml:space="preserve">July </w:t>
      </w:r>
      <w:r w:rsidR="008C4769">
        <w:rPr>
          <w:rFonts w:ascii="Book Antiqua" w:hAnsi="Book Antiqua" w:hint="eastAsia"/>
          <w:lang w:eastAsia="zh-CN"/>
        </w:rPr>
        <w:t>14</w:t>
      </w:r>
      <w:r w:rsidR="008C4769" w:rsidRPr="00B05518">
        <w:rPr>
          <w:rFonts w:ascii="Book Antiqua" w:hAnsi="Book Antiqua"/>
        </w:rPr>
        <w:t>, 201</w:t>
      </w:r>
      <w:r w:rsidR="008C4769">
        <w:rPr>
          <w:rFonts w:ascii="Book Antiqua" w:hAnsi="Book Antiqua" w:hint="eastAsia"/>
          <w:lang w:eastAsia="zh-CN"/>
        </w:rPr>
        <w:t>7</w:t>
      </w:r>
    </w:p>
    <w:p w14:paraId="1FD13EEA" w14:textId="77777777" w:rsidR="00376A7C" w:rsidRPr="00B05518" w:rsidRDefault="00376A7C" w:rsidP="008E7BBF">
      <w:pPr>
        <w:widowControl w:val="0"/>
        <w:adjustRightInd w:val="0"/>
        <w:snapToGrid w:val="0"/>
        <w:spacing w:line="360" w:lineRule="auto"/>
        <w:jc w:val="both"/>
        <w:rPr>
          <w:rFonts w:ascii="Book Antiqua" w:hAnsi="Book Antiqua"/>
          <w:lang w:eastAsia="zh-CN"/>
        </w:rPr>
      </w:pPr>
      <w:r w:rsidRPr="00B05518">
        <w:rPr>
          <w:rFonts w:ascii="Book Antiqua" w:hAnsi="Book Antiqua"/>
          <w:b/>
        </w:rPr>
        <w:t>First decision:</w:t>
      </w:r>
      <w:r w:rsidRPr="00B05518">
        <w:rPr>
          <w:rFonts w:ascii="Book Antiqua" w:hAnsi="Book Antiqua"/>
        </w:rPr>
        <w:t xml:space="preserve"> </w:t>
      </w:r>
      <w:r w:rsidRPr="00B05518">
        <w:rPr>
          <w:rFonts w:ascii="Book Antiqua" w:hAnsi="Book Antiqua" w:hint="eastAsia"/>
        </w:rPr>
        <w:t xml:space="preserve">September </w:t>
      </w:r>
      <w:r w:rsidR="00164333">
        <w:rPr>
          <w:rFonts w:ascii="Book Antiqua" w:hAnsi="Book Antiqua" w:hint="eastAsia"/>
          <w:lang w:eastAsia="zh-CN"/>
        </w:rPr>
        <w:t>4</w:t>
      </w:r>
      <w:r w:rsidRPr="00B05518">
        <w:rPr>
          <w:rFonts w:ascii="Book Antiqua" w:hAnsi="Book Antiqua" w:hint="eastAsia"/>
        </w:rPr>
        <w:t>, 201</w:t>
      </w:r>
      <w:r w:rsidR="00164333">
        <w:rPr>
          <w:rFonts w:ascii="Book Antiqua" w:hAnsi="Book Antiqua" w:hint="eastAsia"/>
          <w:lang w:eastAsia="zh-CN"/>
        </w:rPr>
        <w:t>7</w:t>
      </w:r>
      <w:r w:rsidR="00164333">
        <w:rPr>
          <w:rFonts w:ascii="Book Antiqua" w:hAnsi="Book Antiqua" w:hint="eastAsia"/>
        </w:rPr>
        <w:t xml:space="preserve"> </w:t>
      </w:r>
    </w:p>
    <w:p w14:paraId="39675C8B" w14:textId="77777777" w:rsidR="00376A7C" w:rsidRPr="00B05518" w:rsidRDefault="00376A7C" w:rsidP="008E7BBF">
      <w:pPr>
        <w:widowControl w:val="0"/>
        <w:adjustRightInd w:val="0"/>
        <w:snapToGrid w:val="0"/>
        <w:spacing w:line="360" w:lineRule="auto"/>
        <w:jc w:val="both"/>
        <w:rPr>
          <w:rFonts w:ascii="Book Antiqua" w:hAnsi="Book Antiqua"/>
          <w:lang w:eastAsia="zh-CN"/>
        </w:rPr>
      </w:pPr>
      <w:r w:rsidRPr="00B05518">
        <w:rPr>
          <w:rFonts w:ascii="Book Antiqua" w:hAnsi="Book Antiqua"/>
          <w:b/>
        </w:rPr>
        <w:lastRenderedPageBreak/>
        <w:t>Revised:</w:t>
      </w:r>
      <w:r w:rsidRPr="00B05518">
        <w:rPr>
          <w:rFonts w:ascii="Book Antiqua" w:hAnsi="Book Antiqua"/>
        </w:rPr>
        <w:t xml:space="preserve"> </w:t>
      </w:r>
      <w:r w:rsidR="005F3650">
        <w:rPr>
          <w:rFonts w:ascii="Book Antiqua" w:hAnsi="Book Antiqua" w:hint="eastAsia"/>
          <w:lang w:eastAsia="zh-CN"/>
        </w:rPr>
        <w:t>October</w:t>
      </w:r>
      <w:r w:rsidR="00164333" w:rsidRPr="00B05518">
        <w:rPr>
          <w:rFonts w:ascii="Book Antiqua" w:hAnsi="Book Antiqua" w:hint="eastAsia"/>
        </w:rPr>
        <w:t xml:space="preserve"> </w:t>
      </w:r>
      <w:r w:rsidR="005F3650">
        <w:rPr>
          <w:rFonts w:ascii="Book Antiqua" w:hAnsi="Book Antiqua" w:hint="eastAsia"/>
          <w:lang w:eastAsia="zh-CN"/>
        </w:rPr>
        <w:t>3</w:t>
      </w:r>
      <w:r w:rsidR="00164333">
        <w:rPr>
          <w:rFonts w:ascii="Book Antiqua" w:hAnsi="Book Antiqua" w:hint="eastAsia"/>
          <w:lang w:eastAsia="zh-CN"/>
        </w:rPr>
        <w:t>0</w:t>
      </w:r>
      <w:r w:rsidR="00164333" w:rsidRPr="00B05518">
        <w:rPr>
          <w:rFonts w:ascii="Book Antiqua" w:hAnsi="Book Antiqua" w:hint="eastAsia"/>
        </w:rPr>
        <w:t>, 201</w:t>
      </w:r>
      <w:r w:rsidR="00164333">
        <w:rPr>
          <w:rFonts w:ascii="Book Antiqua" w:hAnsi="Book Antiqua" w:hint="eastAsia"/>
          <w:lang w:eastAsia="zh-CN"/>
        </w:rPr>
        <w:t>7</w:t>
      </w:r>
      <w:r w:rsidR="00164333">
        <w:rPr>
          <w:rFonts w:ascii="Book Antiqua" w:hAnsi="Book Antiqua" w:hint="eastAsia"/>
        </w:rPr>
        <w:t xml:space="preserve"> </w:t>
      </w:r>
    </w:p>
    <w:p w14:paraId="4D56098D" w14:textId="77777777" w:rsidR="00376A7C" w:rsidRPr="00B05518" w:rsidRDefault="00376A7C" w:rsidP="008E7BBF">
      <w:pPr>
        <w:widowControl w:val="0"/>
        <w:adjustRightInd w:val="0"/>
        <w:snapToGrid w:val="0"/>
        <w:spacing w:line="360" w:lineRule="auto"/>
        <w:jc w:val="both"/>
        <w:rPr>
          <w:rFonts w:ascii="Book Antiqua" w:hAnsi="Book Antiqua"/>
        </w:rPr>
      </w:pPr>
      <w:r w:rsidRPr="00B05518">
        <w:rPr>
          <w:rFonts w:ascii="Book Antiqua" w:hAnsi="Book Antiqua"/>
          <w:b/>
        </w:rPr>
        <w:t>Accepted:</w:t>
      </w:r>
      <w:r w:rsidRPr="00B05518">
        <w:rPr>
          <w:rFonts w:ascii="Book Antiqua" w:hAnsi="Book Antiqua" w:hint="eastAsia"/>
          <w:b/>
        </w:rPr>
        <w:t xml:space="preserve"> </w:t>
      </w:r>
      <w:r w:rsidR="00F572C8" w:rsidRPr="00F572C8">
        <w:rPr>
          <w:rFonts w:ascii="Book Antiqua" w:hAnsi="Book Antiqua"/>
        </w:rPr>
        <w:t>November 28, 2017</w:t>
      </w:r>
    </w:p>
    <w:p w14:paraId="78B943E1" w14:textId="77777777" w:rsidR="00376A7C" w:rsidRPr="00B05518" w:rsidRDefault="00376A7C" w:rsidP="008E7BBF">
      <w:pPr>
        <w:widowControl w:val="0"/>
        <w:adjustRightInd w:val="0"/>
        <w:snapToGrid w:val="0"/>
        <w:spacing w:line="360" w:lineRule="auto"/>
        <w:jc w:val="both"/>
        <w:rPr>
          <w:rFonts w:ascii="Book Antiqua" w:hAnsi="Book Antiqua"/>
        </w:rPr>
      </w:pPr>
      <w:r w:rsidRPr="00B05518">
        <w:rPr>
          <w:rFonts w:ascii="Book Antiqua" w:hAnsi="Book Antiqua"/>
          <w:b/>
        </w:rPr>
        <w:t>Article in press:</w:t>
      </w:r>
      <w:r w:rsidRPr="00B05518">
        <w:rPr>
          <w:rFonts w:ascii="Book Antiqua" w:hAnsi="Book Antiqua" w:hint="eastAsia"/>
        </w:rPr>
        <w:t xml:space="preserve"> </w:t>
      </w:r>
    </w:p>
    <w:p w14:paraId="766E10E3" w14:textId="77777777" w:rsidR="00376A7C" w:rsidRPr="00B05518" w:rsidRDefault="00376A7C" w:rsidP="008E7BBF">
      <w:pPr>
        <w:adjustRightInd w:val="0"/>
        <w:snapToGrid w:val="0"/>
        <w:spacing w:line="360" w:lineRule="auto"/>
        <w:jc w:val="both"/>
        <w:rPr>
          <w:rFonts w:ascii="Book Antiqua" w:hAnsi="Book Antiqua"/>
        </w:rPr>
      </w:pPr>
      <w:r w:rsidRPr="00B05518">
        <w:rPr>
          <w:rFonts w:ascii="Book Antiqua" w:hAnsi="Book Antiqua"/>
          <w:b/>
        </w:rPr>
        <w:t>Published online:</w:t>
      </w:r>
      <w:bookmarkEnd w:id="57"/>
      <w:r w:rsidRPr="00B05518">
        <w:rPr>
          <w:rFonts w:ascii="Book Antiqua" w:hAnsi="Book Antiqua" w:hint="eastAsia"/>
        </w:rPr>
        <w:t xml:space="preserve"> </w:t>
      </w:r>
    </w:p>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14:paraId="778AC1EF" w14:textId="77777777" w:rsidR="00376A7C" w:rsidRPr="00376A7C" w:rsidRDefault="00376A7C" w:rsidP="008E7BBF">
      <w:pPr>
        <w:adjustRightInd w:val="0"/>
        <w:snapToGrid w:val="0"/>
        <w:spacing w:line="360" w:lineRule="auto"/>
        <w:jc w:val="both"/>
        <w:rPr>
          <w:rFonts w:ascii="Book Antiqua" w:hAnsi="Book Antiqua" w:cs="Times New Roman"/>
          <w:color w:val="000000" w:themeColor="text1"/>
          <w:lang w:eastAsia="zh-CN"/>
        </w:rPr>
      </w:pPr>
    </w:p>
    <w:p w14:paraId="213ED634" w14:textId="77777777" w:rsidR="00237C14" w:rsidRPr="006F15BB" w:rsidRDefault="00237C14" w:rsidP="008E7BBF">
      <w:pPr>
        <w:adjustRightInd w:val="0"/>
        <w:snapToGrid w:val="0"/>
        <w:spacing w:line="360" w:lineRule="auto"/>
        <w:jc w:val="both"/>
        <w:rPr>
          <w:rFonts w:ascii="Book Antiqua" w:hAnsi="Book Antiqua" w:cs="Times New Roman"/>
          <w:color w:val="000000" w:themeColor="text1"/>
          <w:lang w:val="en-GB"/>
        </w:rPr>
      </w:pPr>
    </w:p>
    <w:p w14:paraId="02AC3D6B" w14:textId="77777777" w:rsidR="007F2DBE" w:rsidRDefault="007F2DBE" w:rsidP="008E7BBF">
      <w:pPr>
        <w:adjustRightInd w:val="0"/>
        <w:snapToGrid w:val="0"/>
        <w:spacing w:line="360" w:lineRule="auto"/>
        <w:jc w:val="both"/>
        <w:rPr>
          <w:rFonts w:ascii="Book Antiqua" w:hAnsi="Book Antiqua" w:cs="Times New Roman"/>
          <w:lang w:val="en-GB" w:eastAsia="zh-CN"/>
        </w:rPr>
      </w:pPr>
    </w:p>
    <w:p w14:paraId="24BCF203" w14:textId="77777777" w:rsidR="005F3650" w:rsidRDefault="005F3650">
      <w:pPr>
        <w:rPr>
          <w:rFonts w:ascii="Book Antiqua" w:hAnsi="Book Antiqua" w:cs="Times New Roman"/>
          <w:b/>
          <w:lang w:val="en-GB"/>
        </w:rPr>
      </w:pPr>
      <w:r>
        <w:rPr>
          <w:rFonts w:ascii="Book Antiqua" w:hAnsi="Book Antiqua" w:cs="Times New Roman"/>
          <w:b/>
          <w:lang w:val="en-GB"/>
        </w:rPr>
        <w:br w:type="page"/>
      </w:r>
    </w:p>
    <w:p w14:paraId="7F9D2326" w14:textId="77777777" w:rsidR="00376A7C" w:rsidRPr="006F15BB" w:rsidRDefault="00376A7C" w:rsidP="008E7BBF">
      <w:pPr>
        <w:adjustRightInd w:val="0"/>
        <w:snapToGrid w:val="0"/>
        <w:spacing w:line="360" w:lineRule="auto"/>
        <w:jc w:val="both"/>
        <w:rPr>
          <w:rFonts w:ascii="Book Antiqua" w:hAnsi="Book Antiqua" w:cs="Times New Roman"/>
          <w:b/>
          <w:lang w:val="en-GB" w:eastAsia="zh-CN"/>
        </w:rPr>
      </w:pPr>
      <w:r>
        <w:rPr>
          <w:rFonts w:ascii="Book Antiqua" w:hAnsi="Book Antiqua" w:cs="Times New Roman"/>
          <w:b/>
          <w:lang w:val="en-GB"/>
        </w:rPr>
        <w:lastRenderedPageBreak/>
        <w:t>Abstract</w:t>
      </w:r>
    </w:p>
    <w:p w14:paraId="4A5A5347" w14:textId="77777777" w:rsidR="00376A7C" w:rsidRPr="00376A7C" w:rsidRDefault="00376A7C" w:rsidP="008E7BBF">
      <w:pPr>
        <w:adjustRightInd w:val="0"/>
        <w:snapToGrid w:val="0"/>
        <w:spacing w:line="360" w:lineRule="auto"/>
        <w:jc w:val="both"/>
        <w:rPr>
          <w:rFonts w:ascii="Book Antiqua" w:hAnsi="Book Antiqua" w:cs="Times New Roman"/>
          <w:i/>
          <w:lang w:val="en-GB" w:eastAsia="zh-CN"/>
        </w:rPr>
      </w:pPr>
      <w:r w:rsidRPr="00376A7C">
        <w:rPr>
          <w:rFonts w:ascii="Book Antiqua" w:hAnsi="Book Antiqua" w:cs="Times New Roman"/>
          <w:b/>
          <w:i/>
          <w:lang w:val="en-GB"/>
        </w:rPr>
        <w:t>AIM</w:t>
      </w:r>
    </w:p>
    <w:p w14:paraId="0639A8FB" w14:textId="77777777" w:rsidR="00376A7C" w:rsidRDefault="00680202" w:rsidP="008E7BBF">
      <w:pPr>
        <w:adjustRightInd w:val="0"/>
        <w:snapToGrid w:val="0"/>
        <w:spacing w:line="360" w:lineRule="auto"/>
        <w:jc w:val="both"/>
        <w:rPr>
          <w:rFonts w:ascii="Book Antiqua" w:hAnsi="Book Antiqua" w:cs="Times New Roman"/>
          <w:lang w:val="en-GB" w:eastAsia="zh-CN"/>
        </w:rPr>
      </w:pPr>
      <w:r>
        <w:rPr>
          <w:rFonts w:ascii="Book Antiqua" w:hAnsi="Book Antiqua" w:cs="Times New Roman"/>
          <w:lang w:val="en-GB"/>
        </w:rPr>
        <w:t>T</w:t>
      </w:r>
      <w:r w:rsidR="00376A7C" w:rsidRPr="006F15BB">
        <w:rPr>
          <w:rFonts w:ascii="Book Antiqua" w:hAnsi="Book Antiqua" w:cs="Times New Roman"/>
          <w:lang w:val="en-GB"/>
        </w:rPr>
        <w:t xml:space="preserve">o determine morbidity and mortality in this specific patient group and also to assess for any independent associations between Do Not Resuscitate </w:t>
      </w:r>
      <w:r w:rsidR="00376A7C">
        <w:rPr>
          <w:rFonts w:ascii="Book Antiqua" w:hAnsi="Book Antiqua" w:cs="Times New Roman" w:hint="eastAsia"/>
          <w:lang w:val="en-GB" w:eastAsia="zh-CN"/>
        </w:rPr>
        <w:t>(</w:t>
      </w:r>
      <w:r w:rsidR="00376A7C" w:rsidRPr="006F15BB">
        <w:rPr>
          <w:rFonts w:ascii="Book Antiqua" w:hAnsi="Book Antiqua" w:cs="Times New Roman"/>
          <w:lang w:val="en-GB"/>
        </w:rPr>
        <w:t>DNR</w:t>
      </w:r>
      <w:r w:rsidR="00376A7C">
        <w:rPr>
          <w:rFonts w:ascii="Book Antiqua" w:hAnsi="Book Antiqua" w:cs="Times New Roman" w:hint="eastAsia"/>
          <w:lang w:val="en-GB" w:eastAsia="zh-CN"/>
        </w:rPr>
        <w:t>)</w:t>
      </w:r>
      <w:r w:rsidR="00376A7C" w:rsidRPr="006F15BB">
        <w:rPr>
          <w:rFonts w:ascii="Book Antiqua" w:hAnsi="Book Antiqua" w:cs="Times New Roman"/>
          <w:lang w:val="en-GB"/>
        </w:rPr>
        <w:t xml:space="preserve"> status and increased post</w:t>
      </w:r>
      <w:r w:rsidR="00772635">
        <w:rPr>
          <w:rFonts w:ascii="Book Antiqua" w:hAnsi="Book Antiqua" w:cs="Times New Roman"/>
          <w:lang w:val="en-GB"/>
        </w:rPr>
        <w:t>-</w:t>
      </w:r>
      <w:r w:rsidR="00376A7C" w:rsidRPr="006F15BB">
        <w:rPr>
          <w:rFonts w:ascii="Book Antiqua" w:hAnsi="Book Antiqua" w:cs="Times New Roman"/>
          <w:lang w:val="en-GB"/>
        </w:rPr>
        <w:t>operative morbidity and mortality.</w:t>
      </w:r>
    </w:p>
    <w:p w14:paraId="6D146505" w14:textId="77777777" w:rsidR="00376A7C" w:rsidRPr="006F15BB" w:rsidRDefault="00376A7C" w:rsidP="008E7BBF">
      <w:pPr>
        <w:adjustRightInd w:val="0"/>
        <w:snapToGrid w:val="0"/>
        <w:spacing w:line="360" w:lineRule="auto"/>
        <w:jc w:val="both"/>
        <w:rPr>
          <w:rFonts w:ascii="Book Antiqua" w:hAnsi="Book Antiqua" w:cs="Times New Roman"/>
          <w:lang w:val="en-GB" w:eastAsia="zh-CN"/>
        </w:rPr>
      </w:pPr>
    </w:p>
    <w:p w14:paraId="427467BA" w14:textId="77777777" w:rsidR="00376A7C" w:rsidRPr="00376A7C" w:rsidRDefault="00376A7C" w:rsidP="008E7BBF">
      <w:pPr>
        <w:adjustRightInd w:val="0"/>
        <w:snapToGrid w:val="0"/>
        <w:spacing w:line="360" w:lineRule="auto"/>
        <w:jc w:val="both"/>
        <w:rPr>
          <w:rFonts w:ascii="Book Antiqua" w:hAnsi="Book Antiqua" w:cs="Times New Roman"/>
          <w:b/>
          <w:i/>
          <w:lang w:val="en-GB" w:eastAsia="zh-CN"/>
        </w:rPr>
      </w:pPr>
      <w:r w:rsidRPr="00376A7C">
        <w:rPr>
          <w:rFonts w:ascii="Book Antiqua" w:hAnsi="Book Antiqua" w:cs="Times New Roman"/>
          <w:b/>
          <w:i/>
          <w:lang w:val="en-GB"/>
        </w:rPr>
        <w:t>METHODS</w:t>
      </w:r>
    </w:p>
    <w:p w14:paraId="06BC2E9A" w14:textId="77777777" w:rsidR="00376A7C" w:rsidRDefault="00376A7C" w:rsidP="008E7BBF">
      <w:pPr>
        <w:adjustRightInd w:val="0"/>
        <w:snapToGrid w:val="0"/>
        <w:spacing w:line="360" w:lineRule="auto"/>
        <w:jc w:val="both"/>
        <w:rPr>
          <w:rFonts w:ascii="Book Antiqua" w:hAnsi="Book Antiqua" w:cs="Times New Roman"/>
          <w:lang w:val="en-GB" w:eastAsia="zh-CN"/>
        </w:rPr>
      </w:pPr>
      <w:r w:rsidRPr="006F15BB">
        <w:rPr>
          <w:rFonts w:ascii="Book Antiqua" w:hAnsi="Book Antiqua" w:cs="Times New Roman"/>
          <w:lang w:val="en-GB"/>
        </w:rPr>
        <w:t>We conducted a propensity score matched retrospective analysis using de</w:t>
      </w:r>
      <w:r w:rsidR="00772635">
        <w:rPr>
          <w:rFonts w:ascii="Book Antiqua" w:hAnsi="Book Antiqua" w:cs="Times New Roman"/>
          <w:lang w:val="en-GB"/>
        </w:rPr>
        <w:t>-</w:t>
      </w:r>
      <w:r w:rsidRPr="006F15BB">
        <w:rPr>
          <w:rFonts w:ascii="Book Antiqua" w:hAnsi="Book Antiqua" w:cs="Times New Roman"/>
          <w:lang w:val="en-GB"/>
        </w:rPr>
        <w:t xml:space="preserve">identified data from the American College of Surgeons’ National Surgical Quality Improvement Project (ACS NSQIP) for all patients undergoing hip fracture surgery over a </w:t>
      </w:r>
      <w:proofErr w:type="gramStart"/>
      <w:r w:rsidRPr="006F15BB">
        <w:rPr>
          <w:rFonts w:ascii="Book Antiqua" w:hAnsi="Book Antiqua" w:cs="Times New Roman"/>
          <w:lang w:val="en-GB"/>
        </w:rPr>
        <w:t>7 year</w:t>
      </w:r>
      <w:proofErr w:type="gramEnd"/>
      <w:r w:rsidRPr="006F15BB">
        <w:rPr>
          <w:rFonts w:ascii="Book Antiqua" w:hAnsi="Book Antiqua" w:cs="Times New Roman"/>
          <w:lang w:val="en-GB"/>
        </w:rPr>
        <w:t xml:space="preserve"> period in hospitals across the </w:t>
      </w:r>
      <w:r w:rsidR="003F2A2D">
        <w:rPr>
          <w:rFonts w:ascii="Book Antiqua" w:hAnsi="Book Antiqua" w:cs="Times New Roman"/>
          <w:lang w:val="en-GB"/>
        </w:rPr>
        <w:t>United States</w:t>
      </w:r>
      <w:r w:rsidR="003F2A2D" w:rsidRPr="006F15BB">
        <w:rPr>
          <w:rFonts w:ascii="Book Antiqua" w:hAnsi="Book Antiqua" w:cs="Times New Roman"/>
          <w:lang w:val="en-GB"/>
        </w:rPr>
        <w:t xml:space="preserve"> </w:t>
      </w:r>
      <w:r w:rsidRPr="006F15BB">
        <w:rPr>
          <w:rFonts w:ascii="Book Antiqua" w:hAnsi="Book Antiqua" w:cs="Times New Roman"/>
          <w:lang w:val="en-GB"/>
        </w:rPr>
        <w:t>enrolled in ACS NSQIP with and without Do Not Resuscitate Status. We measured patient demographics including DNR status, co</w:t>
      </w:r>
      <w:r w:rsidR="00772635">
        <w:rPr>
          <w:rFonts w:ascii="Book Antiqua" w:hAnsi="Book Antiqua" w:cs="Times New Roman"/>
          <w:lang w:val="en-GB"/>
        </w:rPr>
        <w:t>-</w:t>
      </w:r>
      <w:r w:rsidRPr="006F15BB">
        <w:rPr>
          <w:rFonts w:ascii="Book Antiqua" w:hAnsi="Book Antiqua" w:cs="Times New Roman"/>
          <w:lang w:val="en-GB"/>
        </w:rPr>
        <w:t>morbidities, frailty and functional baseline, surgical and anaesthetic procedure data, post</w:t>
      </w:r>
      <w:r w:rsidR="00772635">
        <w:rPr>
          <w:rFonts w:ascii="Book Antiqua" w:hAnsi="Book Antiqua" w:cs="Times New Roman"/>
          <w:lang w:val="en-GB"/>
        </w:rPr>
        <w:t>-</w:t>
      </w:r>
      <w:r w:rsidRPr="006F15BB">
        <w:rPr>
          <w:rFonts w:ascii="Book Antiqua" w:hAnsi="Book Antiqua" w:cs="Times New Roman"/>
          <w:lang w:val="en-GB"/>
        </w:rPr>
        <w:t>operative morbidity/complications, length of stay, discharge destination and mortality.</w:t>
      </w:r>
    </w:p>
    <w:p w14:paraId="7C54903A" w14:textId="77777777" w:rsidR="00376A7C" w:rsidRPr="006F15BB" w:rsidRDefault="00376A7C" w:rsidP="008E7BBF">
      <w:pPr>
        <w:adjustRightInd w:val="0"/>
        <w:snapToGrid w:val="0"/>
        <w:spacing w:line="360" w:lineRule="auto"/>
        <w:jc w:val="both"/>
        <w:rPr>
          <w:rFonts w:ascii="Book Antiqua" w:hAnsi="Book Antiqua" w:cs="Times New Roman"/>
          <w:lang w:val="en-GB" w:eastAsia="zh-CN"/>
        </w:rPr>
      </w:pPr>
    </w:p>
    <w:p w14:paraId="532DE972" w14:textId="77777777" w:rsidR="00376A7C" w:rsidRPr="00376A7C" w:rsidRDefault="00376A7C" w:rsidP="008E7BBF">
      <w:pPr>
        <w:adjustRightInd w:val="0"/>
        <w:snapToGrid w:val="0"/>
        <w:spacing w:line="360" w:lineRule="auto"/>
        <w:jc w:val="both"/>
        <w:rPr>
          <w:rFonts w:ascii="Book Antiqua" w:hAnsi="Book Antiqua" w:cs="Times New Roman"/>
          <w:b/>
          <w:i/>
          <w:lang w:val="en-GB" w:eastAsia="zh-CN"/>
        </w:rPr>
      </w:pPr>
      <w:r w:rsidRPr="00376A7C">
        <w:rPr>
          <w:rFonts w:ascii="Book Antiqua" w:hAnsi="Book Antiqua" w:cs="Times New Roman"/>
          <w:b/>
          <w:i/>
          <w:lang w:val="en-GB"/>
        </w:rPr>
        <w:t>RESULTS</w:t>
      </w:r>
    </w:p>
    <w:p w14:paraId="2361954E" w14:textId="77777777" w:rsidR="00376A7C" w:rsidRDefault="003E0105" w:rsidP="008E7BBF">
      <w:pPr>
        <w:adjustRightInd w:val="0"/>
        <w:snapToGrid w:val="0"/>
        <w:spacing w:line="360" w:lineRule="auto"/>
        <w:jc w:val="both"/>
        <w:rPr>
          <w:rFonts w:ascii="Book Antiqua" w:hAnsi="Book Antiqua" w:cs="Times New Roman"/>
          <w:color w:val="000000"/>
          <w:lang w:eastAsia="zh-CN"/>
        </w:rPr>
      </w:pPr>
      <w:r>
        <w:rPr>
          <w:rFonts w:ascii="Book Antiqua" w:hAnsi="Book Antiqua" w:cs="Times New Roman"/>
          <w:lang w:val="en-GB"/>
        </w:rPr>
        <w:t>Of 9</w:t>
      </w:r>
      <w:r w:rsidR="00376A7C" w:rsidRPr="006F15BB">
        <w:rPr>
          <w:rFonts w:ascii="Book Antiqua" w:hAnsi="Book Antiqua" w:cs="Times New Roman"/>
          <w:lang w:val="en-GB"/>
        </w:rPr>
        <w:t>218 patients meeting the inclusion criteria, 13.6% had a DNR status, 86.4% did not. Mortality was higher in the DNR status compared to the non</w:t>
      </w:r>
      <w:r w:rsidR="00772635">
        <w:rPr>
          <w:rFonts w:ascii="Book Antiqua" w:hAnsi="Book Antiqua" w:cs="Times New Roman"/>
          <w:lang w:val="en-GB"/>
        </w:rPr>
        <w:t>-</w:t>
      </w:r>
      <w:r w:rsidR="00376A7C" w:rsidRPr="006F15BB">
        <w:rPr>
          <w:rFonts w:ascii="Book Antiqua" w:hAnsi="Book Antiqua" w:cs="Times New Roman"/>
          <w:lang w:val="en-GB"/>
        </w:rPr>
        <w:t xml:space="preserve">DNR group, at 15.3% </w:t>
      </w:r>
      <w:r w:rsidR="00376A7C" w:rsidRPr="00457D69">
        <w:rPr>
          <w:rFonts w:ascii="Book Antiqua" w:hAnsi="Book Antiqua" w:cs="Times New Roman"/>
          <w:i/>
          <w:lang w:val="en-GB"/>
        </w:rPr>
        <w:t>vs</w:t>
      </w:r>
      <w:r w:rsidR="00376A7C" w:rsidRPr="006F15BB">
        <w:rPr>
          <w:rFonts w:ascii="Book Antiqua" w:hAnsi="Book Antiqua" w:cs="Times New Roman"/>
          <w:lang w:val="en-GB"/>
        </w:rPr>
        <w:t xml:space="preserve"> 8.1% and propensity score matched multivariable analysis demonstrated that DNR status was independently associated with mortality (OR </w:t>
      </w:r>
      <w:r w:rsidR="00376A7C" w:rsidRPr="006F15BB">
        <w:rPr>
          <w:rFonts w:ascii="Book Antiqua" w:eastAsia="Times New Roman" w:hAnsi="Book Antiqua" w:cs="Times New Roman"/>
          <w:bCs/>
          <w:color w:val="000000"/>
        </w:rPr>
        <w:t xml:space="preserve">2.04, </w:t>
      </w:r>
      <w:r w:rsidR="00356262">
        <w:rPr>
          <w:rFonts w:ascii="Book Antiqua" w:eastAsia="Times New Roman" w:hAnsi="Book Antiqua" w:cs="Times New Roman"/>
          <w:bCs/>
          <w:color w:val="000000"/>
        </w:rPr>
        <w:t>95%CI:</w:t>
      </w:r>
      <w:r w:rsidR="00376A7C" w:rsidRPr="006F15BB">
        <w:rPr>
          <w:rFonts w:ascii="Book Antiqua" w:eastAsia="Times New Roman" w:hAnsi="Book Antiqua" w:cs="Times New Roman"/>
          <w:bCs/>
          <w:color w:val="000000"/>
        </w:rPr>
        <w:t xml:space="preserve"> 1.46</w:t>
      </w:r>
      <w:r w:rsidR="00772635">
        <w:rPr>
          <w:rFonts w:ascii="Book Antiqua" w:eastAsia="Times New Roman" w:hAnsi="Book Antiqua" w:cs="Times New Roman"/>
          <w:bCs/>
          <w:color w:val="000000"/>
        </w:rPr>
        <w:t>–</w:t>
      </w:r>
      <w:r w:rsidR="00376A7C" w:rsidRPr="006F15BB">
        <w:rPr>
          <w:rFonts w:ascii="Book Antiqua" w:eastAsia="Times New Roman" w:hAnsi="Book Antiqua" w:cs="Times New Roman"/>
          <w:bCs/>
          <w:color w:val="000000"/>
        </w:rPr>
        <w:t xml:space="preserve">2.86, </w:t>
      </w:r>
      <w:r w:rsidRPr="003E0105">
        <w:rPr>
          <w:rFonts w:ascii="Book Antiqua" w:eastAsia="Times New Roman" w:hAnsi="Book Antiqua" w:cs="Times New Roman"/>
          <w:bCs/>
          <w:i/>
          <w:color w:val="000000"/>
        </w:rPr>
        <w:t>P</w:t>
      </w:r>
      <w:r>
        <w:rPr>
          <w:rFonts w:ascii="Book Antiqua" w:hAnsi="Book Antiqua" w:cs="Times New Roman" w:hint="eastAsia"/>
          <w:bCs/>
          <w:i/>
          <w:color w:val="000000"/>
          <w:lang w:eastAsia="zh-CN"/>
        </w:rPr>
        <w:t xml:space="preserve"> </w:t>
      </w:r>
      <w:r w:rsidR="00A57D52">
        <w:rPr>
          <w:rFonts w:ascii="Book Antiqua" w:eastAsia="Times New Roman" w:hAnsi="Book Antiqua" w:cs="Times New Roman"/>
          <w:bCs/>
          <w:color w:val="000000"/>
        </w:rPr>
        <w:t xml:space="preserve">&lt; </w:t>
      </w:r>
      <w:r w:rsidR="00376A7C" w:rsidRPr="006F15BB">
        <w:rPr>
          <w:rFonts w:ascii="Book Antiqua" w:eastAsia="Times New Roman" w:hAnsi="Book Antiqua" w:cs="Times New Roman"/>
          <w:bCs/>
          <w:color w:val="000000"/>
        </w:rPr>
        <w:t>0.001). Additionally, analysis of the propensity score matched cohort demonstrated that DNR status was associated with a significant, but very small increased likelihood of post</w:t>
      </w:r>
      <w:r w:rsidR="00772635">
        <w:rPr>
          <w:rFonts w:ascii="Book Antiqua" w:eastAsia="Times New Roman" w:hAnsi="Book Antiqua" w:cs="Times New Roman"/>
          <w:bCs/>
          <w:color w:val="000000"/>
        </w:rPr>
        <w:t>-</w:t>
      </w:r>
      <w:r w:rsidR="00376A7C" w:rsidRPr="006F15BB">
        <w:rPr>
          <w:rFonts w:ascii="Book Antiqua" w:eastAsia="Times New Roman" w:hAnsi="Book Antiqua" w:cs="Times New Roman"/>
          <w:bCs/>
          <w:color w:val="000000"/>
        </w:rPr>
        <w:t>operative complications (</w:t>
      </w:r>
      <w:r w:rsidR="00376A7C" w:rsidRPr="006F15BB">
        <w:rPr>
          <w:rFonts w:ascii="Book Antiqua" w:eastAsia="Times New Roman" w:hAnsi="Book Antiqua" w:cs="Times New Roman"/>
          <w:color w:val="000000"/>
        </w:rPr>
        <w:t xml:space="preserve">0.53 </w:t>
      </w:r>
      <w:r w:rsidR="00376A7C" w:rsidRPr="00457D69">
        <w:rPr>
          <w:rFonts w:ascii="Book Antiqua" w:eastAsia="Times New Roman" w:hAnsi="Book Antiqua" w:cs="Times New Roman"/>
          <w:i/>
          <w:color w:val="000000"/>
        </w:rPr>
        <w:t>vs</w:t>
      </w:r>
      <w:r w:rsidR="00376A7C" w:rsidRPr="006F15BB">
        <w:rPr>
          <w:rFonts w:ascii="Book Antiqua" w:eastAsia="Times New Roman" w:hAnsi="Book Antiqua" w:cs="Times New Roman"/>
          <w:color w:val="000000"/>
        </w:rPr>
        <w:t xml:space="preserve"> 0.43 complications per episode; OR 1.21; </w:t>
      </w:r>
      <w:r w:rsidR="00356262">
        <w:rPr>
          <w:rFonts w:ascii="Book Antiqua" w:eastAsia="Times New Roman" w:hAnsi="Book Antiqua" w:cs="Times New Roman"/>
          <w:color w:val="000000"/>
        </w:rPr>
        <w:t>95%CI:</w:t>
      </w:r>
      <w:r w:rsidR="00376A7C" w:rsidRPr="006F15BB">
        <w:rPr>
          <w:rFonts w:ascii="Book Antiqua" w:eastAsia="Times New Roman" w:hAnsi="Book Antiqua" w:cs="Times New Roman"/>
          <w:color w:val="000000"/>
        </w:rPr>
        <w:t xml:space="preserve"> 1.04</w:t>
      </w:r>
      <w:r w:rsidR="003F2A2D">
        <w:rPr>
          <w:rFonts w:ascii="Book Antiqua" w:hAnsi="Book Antiqua" w:cs="Times New Roman" w:hint="eastAsia"/>
          <w:color w:val="000000"/>
          <w:lang w:eastAsia="zh-CN"/>
        </w:rPr>
        <w:t>-</w:t>
      </w:r>
      <w:r w:rsidR="00376A7C" w:rsidRPr="006F15BB">
        <w:rPr>
          <w:rFonts w:ascii="Book Antiqua" w:eastAsia="Times New Roman" w:hAnsi="Book Antiqua" w:cs="Times New Roman"/>
          <w:color w:val="000000"/>
        </w:rPr>
        <w:t xml:space="preserve">1.41, </w:t>
      </w:r>
      <w:r w:rsidR="0034509C" w:rsidRPr="0034509C">
        <w:rPr>
          <w:rFonts w:ascii="Book Antiqua" w:eastAsia="Times New Roman" w:hAnsi="Book Antiqua" w:cs="Times New Roman"/>
          <w:i/>
          <w:color w:val="000000"/>
        </w:rPr>
        <w:t xml:space="preserve">P = </w:t>
      </w:r>
      <w:r w:rsidR="00376A7C" w:rsidRPr="006F15BB">
        <w:rPr>
          <w:rFonts w:ascii="Book Antiqua" w:eastAsia="Times New Roman" w:hAnsi="Book Antiqua" w:cs="Times New Roman"/>
          <w:color w:val="000000"/>
        </w:rPr>
        <w:t>0.004).</w:t>
      </w:r>
      <w:r w:rsidR="0034509C">
        <w:rPr>
          <w:rFonts w:ascii="Book Antiqua" w:eastAsia="Times New Roman" w:hAnsi="Book Antiqua" w:cs="Times New Roman"/>
          <w:color w:val="000000"/>
        </w:rPr>
        <w:t xml:space="preserve"> </w:t>
      </w:r>
      <w:r w:rsidR="00376A7C" w:rsidRPr="006F15BB">
        <w:rPr>
          <w:rFonts w:ascii="Book Antiqua" w:eastAsia="Times New Roman" w:hAnsi="Book Antiqua" w:cs="Times New Roman"/>
          <w:color w:val="000000"/>
        </w:rPr>
        <w:t>Cardiopulmonary resuscitation and unplanned reintubation were significantly less likely in patients with DNR status.</w:t>
      </w:r>
    </w:p>
    <w:p w14:paraId="71A99179" w14:textId="77777777" w:rsidR="00376A7C" w:rsidRPr="00376A7C" w:rsidRDefault="00376A7C" w:rsidP="008E7BBF">
      <w:pPr>
        <w:adjustRightInd w:val="0"/>
        <w:snapToGrid w:val="0"/>
        <w:spacing w:line="360" w:lineRule="auto"/>
        <w:jc w:val="both"/>
        <w:rPr>
          <w:rFonts w:ascii="Book Antiqua" w:hAnsi="Book Antiqua" w:cs="Times New Roman"/>
          <w:lang w:val="en-GB" w:eastAsia="zh-CN"/>
        </w:rPr>
      </w:pPr>
    </w:p>
    <w:p w14:paraId="113EBB62" w14:textId="77777777" w:rsidR="00376A7C" w:rsidRPr="00376A7C" w:rsidRDefault="005123C8" w:rsidP="008E7BBF">
      <w:pPr>
        <w:adjustRightInd w:val="0"/>
        <w:snapToGrid w:val="0"/>
        <w:spacing w:line="360" w:lineRule="auto"/>
        <w:jc w:val="both"/>
        <w:rPr>
          <w:rFonts w:ascii="Book Antiqua" w:hAnsi="Book Antiqua" w:cs="Times New Roman"/>
          <w:b/>
          <w:i/>
          <w:lang w:val="en-GB" w:eastAsia="zh-CN"/>
        </w:rPr>
      </w:pPr>
      <w:r>
        <w:rPr>
          <w:rFonts w:ascii="Book Antiqua" w:hAnsi="Book Antiqua" w:cs="Times New Roman"/>
          <w:b/>
          <w:i/>
          <w:lang w:val="en-GB"/>
        </w:rPr>
        <w:t>CONCLUSION</w:t>
      </w:r>
    </w:p>
    <w:p w14:paraId="2EA74BC9" w14:textId="77777777" w:rsidR="00376A7C" w:rsidRDefault="00376A7C" w:rsidP="008E7BBF">
      <w:pPr>
        <w:adjustRightInd w:val="0"/>
        <w:snapToGrid w:val="0"/>
        <w:spacing w:line="360" w:lineRule="auto"/>
        <w:jc w:val="both"/>
        <w:rPr>
          <w:rFonts w:ascii="Book Antiqua" w:hAnsi="Book Antiqua" w:cs="Times New Roman"/>
          <w:lang w:val="en-GB" w:eastAsia="zh-CN"/>
        </w:rPr>
      </w:pPr>
      <w:r w:rsidRPr="006F15BB">
        <w:rPr>
          <w:rFonts w:ascii="Book Antiqua" w:hAnsi="Book Antiqua" w:cs="Times New Roman"/>
          <w:lang w:val="en-GB"/>
        </w:rPr>
        <w:t>Whilst DNR status patients had higher rates of post</w:t>
      </w:r>
      <w:r w:rsidR="00772635">
        <w:rPr>
          <w:rFonts w:ascii="Book Antiqua" w:hAnsi="Book Antiqua" w:cs="Times New Roman"/>
          <w:lang w:val="en-GB"/>
        </w:rPr>
        <w:t>-</w:t>
      </w:r>
      <w:r w:rsidRPr="006F15BB">
        <w:rPr>
          <w:rFonts w:ascii="Book Antiqua" w:hAnsi="Book Antiqua" w:cs="Times New Roman"/>
          <w:lang w:val="en-GB"/>
        </w:rPr>
        <w:t>operative complications and mortality, DNR status itself was not otherwise associated with increased morbidity. DNR status appears to increase 30</w:t>
      </w:r>
      <w:r w:rsidR="00772635">
        <w:rPr>
          <w:rFonts w:ascii="Book Antiqua" w:hAnsi="Book Antiqua" w:cs="Times New Roman"/>
          <w:lang w:val="en-GB"/>
        </w:rPr>
        <w:t>-</w:t>
      </w:r>
      <w:r w:rsidRPr="006F15BB">
        <w:rPr>
          <w:rFonts w:ascii="Book Antiqua" w:hAnsi="Book Antiqua" w:cs="Times New Roman"/>
          <w:lang w:val="en-GB"/>
        </w:rPr>
        <w:t xml:space="preserve">d mortality </w:t>
      </w:r>
      <w:r w:rsidRPr="00457D69">
        <w:rPr>
          <w:rFonts w:ascii="Book Antiqua" w:hAnsi="Book Antiqua" w:cs="Times New Roman"/>
          <w:i/>
          <w:lang w:val="en-GB"/>
        </w:rPr>
        <w:t>via</w:t>
      </w:r>
      <w:r w:rsidRPr="006F15BB">
        <w:rPr>
          <w:rFonts w:ascii="Book Antiqua" w:hAnsi="Book Antiqua" w:cs="Times New Roman"/>
          <w:lang w:val="en-GB"/>
        </w:rPr>
        <w:t xml:space="preserve"> ceilings of care in keeping with a DNR status, including withholding reintubation and cardiopulmonary resuscitation.</w:t>
      </w:r>
    </w:p>
    <w:p w14:paraId="631325CD" w14:textId="77777777" w:rsidR="00376A7C" w:rsidRPr="006F15BB" w:rsidRDefault="00376A7C" w:rsidP="008E7BBF">
      <w:pPr>
        <w:adjustRightInd w:val="0"/>
        <w:snapToGrid w:val="0"/>
        <w:spacing w:line="360" w:lineRule="auto"/>
        <w:jc w:val="both"/>
        <w:rPr>
          <w:rFonts w:ascii="Book Antiqua" w:hAnsi="Book Antiqua" w:cs="Times New Roman"/>
          <w:lang w:val="en-GB" w:eastAsia="zh-CN"/>
        </w:rPr>
      </w:pPr>
    </w:p>
    <w:p w14:paraId="709E03C2" w14:textId="77777777" w:rsidR="007F2DBE" w:rsidRPr="006F15BB" w:rsidRDefault="007F2DBE" w:rsidP="008E7BBF">
      <w:pPr>
        <w:adjustRightInd w:val="0"/>
        <w:snapToGrid w:val="0"/>
        <w:spacing w:line="360" w:lineRule="auto"/>
        <w:jc w:val="both"/>
        <w:rPr>
          <w:rFonts w:ascii="Book Antiqua" w:hAnsi="Book Antiqua" w:cs="Times New Roman"/>
          <w:lang w:val="en-GB" w:eastAsia="zh-CN"/>
        </w:rPr>
      </w:pPr>
      <w:r w:rsidRPr="006F15BB">
        <w:rPr>
          <w:rFonts w:ascii="Book Antiqua" w:hAnsi="Book Antiqua" w:cs="Times New Roman"/>
          <w:b/>
          <w:lang w:val="en-GB"/>
        </w:rPr>
        <w:t>Key</w:t>
      </w:r>
      <w:r w:rsidR="00376A7C">
        <w:rPr>
          <w:rFonts w:ascii="Book Antiqua" w:hAnsi="Book Antiqua" w:cs="Times New Roman" w:hint="eastAsia"/>
          <w:b/>
          <w:lang w:val="en-GB" w:eastAsia="zh-CN"/>
        </w:rPr>
        <w:t xml:space="preserve"> </w:t>
      </w:r>
      <w:r w:rsidRPr="006F15BB">
        <w:rPr>
          <w:rFonts w:ascii="Book Antiqua" w:hAnsi="Book Antiqua" w:cs="Times New Roman"/>
          <w:b/>
          <w:lang w:val="en-GB"/>
        </w:rPr>
        <w:t>words:</w:t>
      </w:r>
      <w:r w:rsidR="00376A7C">
        <w:rPr>
          <w:rFonts w:ascii="Book Antiqua" w:hAnsi="Book Antiqua" w:cs="Times New Roman" w:hint="eastAsia"/>
          <w:b/>
          <w:lang w:val="en-GB" w:eastAsia="zh-CN"/>
        </w:rPr>
        <w:t xml:space="preserve"> </w:t>
      </w:r>
      <w:bookmarkStart w:id="115" w:name="OLE_LINK1188"/>
      <w:bookmarkStart w:id="116" w:name="OLE_LINK1193"/>
      <w:r w:rsidRPr="006F15BB">
        <w:rPr>
          <w:rFonts w:ascii="Book Antiqua" w:hAnsi="Book Antiqua" w:cs="Times New Roman"/>
          <w:lang w:val="en-GB"/>
        </w:rPr>
        <w:t xml:space="preserve">Do Not Resuscitate; Consent; Perioperative; </w:t>
      </w:r>
      <w:r w:rsidR="006A3A0F" w:rsidRPr="006F15BB">
        <w:rPr>
          <w:rFonts w:ascii="Book Antiqua" w:hAnsi="Book Antiqua" w:cs="Times New Roman"/>
          <w:lang w:val="en-GB"/>
        </w:rPr>
        <w:t>Outcomes</w:t>
      </w:r>
      <w:r w:rsidRPr="006F15BB">
        <w:rPr>
          <w:rFonts w:ascii="Book Antiqua" w:hAnsi="Book Antiqua" w:cs="Times New Roman"/>
          <w:lang w:val="en-GB"/>
        </w:rPr>
        <w:t xml:space="preserve">; </w:t>
      </w:r>
      <w:r w:rsidR="006A3A0F" w:rsidRPr="006F15BB">
        <w:rPr>
          <w:rFonts w:ascii="Book Antiqua" w:hAnsi="Book Antiqua" w:cs="Times New Roman"/>
          <w:lang w:val="en-GB"/>
        </w:rPr>
        <w:t>Mortality</w:t>
      </w:r>
      <w:r w:rsidR="00376A7C">
        <w:rPr>
          <w:rFonts w:ascii="Book Antiqua" w:hAnsi="Book Antiqua" w:cs="Times New Roman"/>
          <w:lang w:val="en-GB"/>
        </w:rPr>
        <w:t>; Hip fracture</w:t>
      </w:r>
    </w:p>
    <w:bookmarkEnd w:id="115"/>
    <w:bookmarkEnd w:id="116"/>
    <w:p w14:paraId="790324F5" w14:textId="77777777" w:rsidR="007F2DBE" w:rsidRPr="006F15BB" w:rsidRDefault="007F2DBE" w:rsidP="008E7BBF">
      <w:pPr>
        <w:adjustRightInd w:val="0"/>
        <w:snapToGrid w:val="0"/>
        <w:spacing w:line="360" w:lineRule="auto"/>
        <w:jc w:val="both"/>
        <w:rPr>
          <w:rFonts w:ascii="Book Antiqua" w:hAnsi="Book Antiqua" w:cs="Times New Roman"/>
          <w:lang w:val="en-GB"/>
        </w:rPr>
      </w:pPr>
    </w:p>
    <w:p w14:paraId="08ADB209" w14:textId="77777777" w:rsidR="007A45E4" w:rsidRPr="00B05518" w:rsidRDefault="007A45E4" w:rsidP="008E7BBF">
      <w:pPr>
        <w:widowControl w:val="0"/>
        <w:adjustRightInd w:val="0"/>
        <w:snapToGrid w:val="0"/>
        <w:spacing w:line="360" w:lineRule="auto"/>
        <w:jc w:val="both"/>
        <w:rPr>
          <w:rFonts w:ascii="Book Antiqua" w:hAnsi="Book Antiqua" w:cs="Tahoma"/>
          <w:color w:val="000000"/>
          <w:kern w:val="2"/>
        </w:rPr>
      </w:pPr>
      <w:bookmarkStart w:id="117" w:name="OLE_LINK148"/>
      <w:bookmarkStart w:id="118" w:name="OLE_LINK149"/>
      <w:bookmarkStart w:id="119" w:name="OLE_LINK200"/>
      <w:bookmarkStart w:id="120" w:name="OLE_LINK288"/>
      <w:bookmarkStart w:id="121" w:name="OLE_LINK1864"/>
      <w:bookmarkStart w:id="122" w:name="OLE_LINK382"/>
      <w:bookmarkStart w:id="123" w:name="OLE_LINK306"/>
      <w:bookmarkStart w:id="124" w:name="OLE_LINK569"/>
      <w:bookmarkStart w:id="125" w:name="OLE_LINK682"/>
      <w:bookmarkStart w:id="126" w:name="OLE_LINK78"/>
      <w:bookmarkStart w:id="127" w:name="OLE_LINK79"/>
      <w:bookmarkStart w:id="128" w:name="OLE_LINK86"/>
      <w:bookmarkStart w:id="129" w:name="OLE_LINK99"/>
      <w:bookmarkStart w:id="130" w:name="OLE_LINK217"/>
      <w:bookmarkStart w:id="131" w:name="OLE_LINK245"/>
      <w:bookmarkStart w:id="132" w:name="OLE_LINK274"/>
      <w:bookmarkStart w:id="133" w:name="OLE_LINK320"/>
      <w:bookmarkStart w:id="134" w:name="OLE_LINK333"/>
      <w:bookmarkStart w:id="135" w:name="OLE_LINK456"/>
      <w:bookmarkStart w:id="136" w:name="OLE_LINK494"/>
      <w:bookmarkStart w:id="137" w:name="OLE_LINK596"/>
      <w:bookmarkStart w:id="138" w:name="OLE_LINK686"/>
      <w:bookmarkStart w:id="139" w:name="OLE_LINK827"/>
      <w:bookmarkStart w:id="140" w:name="OLE_LINK1067"/>
      <w:r w:rsidRPr="00B05518">
        <w:rPr>
          <w:rFonts w:ascii="Book Antiqua" w:hAnsi="Book Antiqua" w:cs="Tahoma"/>
          <w:b/>
          <w:color w:val="000000"/>
          <w:kern w:val="2"/>
          <w:lang w:eastAsia="ja-JP"/>
        </w:rPr>
        <w:t>© The Author(s) 201</w:t>
      </w:r>
      <w:r w:rsidRPr="00B05518">
        <w:rPr>
          <w:rFonts w:ascii="Book Antiqua" w:hAnsi="Book Antiqua" w:cs="Tahoma" w:hint="eastAsia"/>
          <w:b/>
          <w:color w:val="000000"/>
          <w:kern w:val="2"/>
        </w:rPr>
        <w:t>7</w:t>
      </w:r>
      <w:r w:rsidRPr="00B05518">
        <w:rPr>
          <w:rFonts w:ascii="Book Antiqua" w:hAnsi="Book Antiqua" w:cs="Tahoma"/>
          <w:b/>
          <w:color w:val="000000"/>
          <w:kern w:val="2"/>
          <w:lang w:eastAsia="ja-JP"/>
        </w:rPr>
        <w:t>.</w:t>
      </w:r>
      <w:r w:rsidRPr="00B05518">
        <w:rPr>
          <w:rFonts w:ascii="Book Antiqua" w:hAnsi="Book Antiqua" w:cs="Tahoma"/>
          <w:color w:val="000000"/>
          <w:kern w:val="2"/>
          <w:lang w:eastAsia="ja-JP"/>
        </w:rPr>
        <w:t xml:space="preserve"> Published by </w:t>
      </w:r>
      <w:proofErr w:type="spellStart"/>
      <w:r w:rsidRPr="00B05518">
        <w:rPr>
          <w:rFonts w:ascii="Book Antiqua" w:hAnsi="Book Antiqua" w:cs="Tahoma"/>
          <w:color w:val="000000"/>
          <w:kern w:val="2"/>
          <w:lang w:eastAsia="ja-JP"/>
        </w:rPr>
        <w:t>Baishideng</w:t>
      </w:r>
      <w:proofErr w:type="spellEnd"/>
      <w:r w:rsidRPr="00B05518">
        <w:rPr>
          <w:rFonts w:ascii="Book Antiqua" w:hAnsi="Book Antiqua" w:cs="Tahoma"/>
          <w:color w:val="000000"/>
          <w:kern w:val="2"/>
          <w:lang w:eastAsia="ja-JP"/>
        </w:rPr>
        <w:t xml:space="preserve"> Publishing Group Inc. All rights reserved.</w:t>
      </w:r>
      <w:bookmarkEnd w:id="117"/>
      <w:bookmarkEnd w:id="118"/>
      <w:bookmarkEnd w:id="119"/>
      <w:bookmarkEnd w:id="120"/>
      <w:bookmarkEnd w:id="121"/>
      <w:bookmarkEnd w:id="122"/>
      <w:bookmarkEnd w:id="123"/>
      <w:bookmarkEnd w:id="124"/>
      <w:bookmarkEnd w:id="125"/>
    </w:p>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14:paraId="0A93AD75" w14:textId="77777777" w:rsidR="00181644" w:rsidRPr="006F15BB" w:rsidRDefault="00181644" w:rsidP="008E7BBF">
      <w:pPr>
        <w:adjustRightInd w:val="0"/>
        <w:snapToGrid w:val="0"/>
        <w:spacing w:line="360" w:lineRule="auto"/>
        <w:jc w:val="both"/>
        <w:rPr>
          <w:rFonts w:ascii="Book Antiqua" w:hAnsi="Book Antiqua" w:cs="Times New Roman"/>
          <w:b/>
          <w:lang w:val="en-GB"/>
        </w:rPr>
      </w:pPr>
    </w:p>
    <w:p w14:paraId="5E721F18" w14:textId="77777777" w:rsidR="00C47AB5" w:rsidRPr="006F15BB" w:rsidRDefault="00C47AB5" w:rsidP="008E7BBF">
      <w:pPr>
        <w:adjustRightInd w:val="0"/>
        <w:snapToGrid w:val="0"/>
        <w:spacing w:line="360" w:lineRule="auto"/>
        <w:jc w:val="both"/>
        <w:rPr>
          <w:rFonts w:ascii="Book Antiqua" w:hAnsi="Book Antiqua" w:cs="Times New Roman"/>
          <w:lang w:val="en-GB"/>
        </w:rPr>
      </w:pPr>
      <w:r w:rsidRPr="006F15BB">
        <w:rPr>
          <w:rFonts w:ascii="Book Antiqua" w:hAnsi="Book Antiqua" w:cs="Times New Roman"/>
          <w:b/>
          <w:lang w:val="en-GB"/>
        </w:rPr>
        <w:t xml:space="preserve">Core tip: </w:t>
      </w:r>
      <w:r w:rsidRPr="006F15BB">
        <w:rPr>
          <w:rFonts w:ascii="Book Antiqua" w:hAnsi="Book Antiqua" w:cs="Times New Roman"/>
          <w:lang w:val="en-GB"/>
        </w:rPr>
        <w:t>We present a large, multi</w:t>
      </w:r>
      <w:r w:rsidR="00772635">
        <w:rPr>
          <w:rFonts w:ascii="Book Antiqua" w:hAnsi="Book Antiqua" w:cs="Times New Roman"/>
          <w:lang w:val="en-GB"/>
        </w:rPr>
        <w:t>-</w:t>
      </w:r>
      <w:r w:rsidRPr="006F15BB">
        <w:rPr>
          <w:rFonts w:ascii="Book Antiqua" w:hAnsi="Book Antiqua" w:cs="Times New Roman"/>
          <w:lang w:val="en-GB"/>
        </w:rPr>
        <w:t>inst</w:t>
      </w:r>
      <w:r w:rsidR="007930BD">
        <w:rPr>
          <w:rFonts w:ascii="Book Antiqua" w:hAnsi="Book Antiqua" w:cs="Times New Roman"/>
          <w:lang w:val="en-GB"/>
        </w:rPr>
        <w:t>it</w:t>
      </w:r>
      <w:r w:rsidRPr="006F15BB">
        <w:rPr>
          <w:rFonts w:ascii="Book Antiqua" w:hAnsi="Book Antiqua" w:cs="Times New Roman"/>
          <w:lang w:val="en-GB"/>
        </w:rPr>
        <w:t xml:space="preserve">ution retrospective cohort study </w:t>
      </w:r>
      <w:r w:rsidR="007C1944" w:rsidRPr="006F15BB">
        <w:rPr>
          <w:rFonts w:ascii="Book Antiqua" w:hAnsi="Book Antiqua" w:cs="Times New Roman"/>
          <w:lang w:val="en-GB"/>
        </w:rPr>
        <w:t xml:space="preserve">which examines the independent association of </w:t>
      </w:r>
      <w:r w:rsidR="00376A7C" w:rsidRPr="006F15BB">
        <w:rPr>
          <w:rFonts w:ascii="Book Antiqua" w:hAnsi="Book Antiqua" w:cs="Times New Roman"/>
          <w:lang w:val="en-GB"/>
        </w:rPr>
        <w:t xml:space="preserve">Do Not Resuscitate </w:t>
      </w:r>
      <w:r w:rsidR="00376A7C">
        <w:rPr>
          <w:rFonts w:ascii="Book Antiqua" w:hAnsi="Book Antiqua" w:cs="Times New Roman" w:hint="eastAsia"/>
          <w:lang w:val="en-GB" w:eastAsia="zh-CN"/>
        </w:rPr>
        <w:t>(</w:t>
      </w:r>
      <w:r w:rsidR="00376A7C" w:rsidRPr="006F15BB">
        <w:rPr>
          <w:rFonts w:ascii="Book Antiqua" w:hAnsi="Book Antiqua" w:cs="Times New Roman"/>
          <w:lang w:val="en-GB"/>
        </w:rPr>
        <w:t>DNR</w:t>
      </w:r>
      <w:r w:rsidR="00376A7C">
        <w:rPr>
          <w:rFonts w:ascii="Book Antiqua" w:hAnsi="Book Antiqua" w:cs="Times New Roman" w:hint="eastAsia"/>
          <w:lang w:val="en-GB" w:eastAsia="zh-CN"/>
        </w:rPr>
        <w:t>)</w:t>
      </w:r>
      <w:r w:rsidR="007C1944" w:rsidRPr="006F15BB">
        <w:rPr>
          <w:rFonts w:ascii="Book Antiqua" w:hAnsi="Book Antiqua" w:cs="Times New Roman"/>
          <w:lang w:val="en-GB"/>
        </w:rPr>
        <w:t xml:space="preserve"> status with perioperative outcomes during hip fracture surgery. We find that DNR status independently predicts overall rates of complications and mortality at 30 d without other clear sources of morbidity. Our conclusions place this work in the context of other literature on the outcomes for patients with DNR status during the </w:t>
      </w:r>
      <w:r w:rsidR="007930BD">
        <w:rPr>
          <w:rFonts w:ascii="Book Antiqua" w:hAnsi="Book Antiqua" w:cs="Times New Roman"/>
          <w:lang w:val="en-GB"/>
        </w:rPr>
        <w:t>peri</w:t>
      </w:r>
      <w:r w:rsidR="007C1944" w:rsidRPr="006F15BB">
        <w:rPr>
          <w:rFonts w:ascii="Book Antiqua" w:hAnsi="Book Antiqua" w:cs="Times New Roman"/>
          <w:lang w:val="en-GB"/>
        </w:rPr>
        <w:t>operative period, exploring the data among other surgical populations and hypotheses for this effect.</w:t>
      </w:r>
    </w:p>
    <w:p w14:paraId="5B1FC165" w14:textId="77777777" w:rsidR="007C1944" w:rsidRPr="006F15BB" w:rsidRDefault="007C1944" w:rsidP="008E7BBF">
      <w:pPr>
        <w:adjustRightInd w:val="0"/>
        <w:snapToGrid w:val="0"/>
        <w:spacing w:line="360" w:lineRule="auto"/>
        <w:jc w:val="both"/>
        <w:rPr>
          <w:rFonts w:ascii="Book Antiqua" w:hAnsi="Book Antiqua" w:cs="Times New Roman"/>
          <w:lang w:val="en-GB"/>
        </w:rPr>
      </w:pPr>
    </w:p>
    <w:p w14:paraId="6C4B2C2F" w14:textId="77777777" w:rsidR="007C1944" w:rsidRPr="006F15BB" w:rsidRDefault="007C1944" w:rsidP="008E7BBF">
      <w:pPr>
        <w:adjustRightInd w:val="0"/>
        <w:snapToGrid w:val="0"/>
        <w:spacing w:line="360" w:lineRule="auto"/>
        <w:jc w:val="both"/>
        <w:rPr>
          <w:rFonts w:ascii="Book Antiqua" w:hAnsi="Book Antiqua" w:cs="Times New Roman"/>
          <w:color w:val="000000" w:themeColor="text1"/>
          <w:lang w:val="en-GB"/>
        </w:rPr>
      </w:pPr>
      <w:proofErr w:type="spellStart"/>
      <w:r w:rsidRPr="006F15BB">
        <w:rPr>
          <w:rFonts w:ascii="Book Antiqua" w:hAnsi="Book Antiqua" w:cs="Times New Roman"/>
          <w:lang w:val="en-GB"/>
        </w:rPr>
        <w:t>Brovman</w:t>
      </w:r>
      <w:proofErr w:type="spellEnd"/>
      <w:r w:rsidRPr="006F15BB">
        <w:rPr>
          <w:rFonts w:ascii="Book Antiqua" w:hAnsi="Book Antiqua" w:cs="Times New Roman"/>
          <w:lang w:val="en-GB"/>
        </w:rPr>
        <w:t xml:space="preserve"> EY, </w:t>
      </w:r>
      <w:proofErr w:type="spellStart"/>
      <w:r w:rsidRPr="006F15BB">
        <w:rPr>
          <w:rFonts w:ascii="Book Antiqua" w:hAnsi="Book Antiqua" w:cs="Times New Roman"/>
          <w:lang w:val="en-GB"/>
        </w:rPr>
        <w:t>Pisansky</w:t>
      </w:r>
      <w:proofErr w:type="spellEnd"/>
      <w:r w:rsidRPr="006F15BB">
        <w:rPr>
          <w:rFonts w:ascii="Book Antiqua" w:hAnsi="Book Antiqua" w:cs="Times New Roman"/>
          <w:lang w:val="en-GB"/>
        </w:rPr>
        <w:t xml:space="preserve"> AJ, </w:t>
      </w:r>
      <w:proofErr w:type="spellStart"/>
      <w:r w:rsidR="00D4719C" w:rsidRPr="006F15BB">
        <w:rPr>
          <w:rFonts w:ascii="Book Antiqua" w:hAnsi="Book Antiqua" w:cs="Times New Roman"/>
          <w:lang w:val="en-GB"/>
        </w:rPr>
        <w:t>Anair</w:t>
      </w:r>
      <w:proofErr w:type="spellEnd"/>
      <w:r w:rsidR="00D4719C" w:rsidRPr="006F15BB">
        <w:rPr>
          <w:rFonts w:ascii="Book Antiqua" w:hAnsi="Book Antiqua" w:cs="Times New Roman"/>
          <w:lang w:val="en-GB"/>
        </w:rPr>
        <w:t xml:space="preserve"> B,</w:t>
      </w:r>
      <w:r w:rsidR="00DA57F3" w:rsidRPr="006F15BB">
        <w:rPr>
          <w:rFonts w:ascii="Book Antiqua" w:hAnsi="Book Antiqua" w:cs="Times New Roman"/>
          <w:b/>
          <w:lang w:val="en-GB"/>
        </w:rPr>
        <w:t xml:space="preserve"> </w:t>
      </w:r>
      <w:r w:rsidRPr="006F15BB">
        <w:rPr>
          <w:rFonts w:ascii="Book Antiqua" w:hAnsi="Book Antiqua" w:cs="Times New Roman"/>
          <w:lang w:val="en-GB"/>
        </w:rPr>
        <w:t xml:space="preserve">Bader A, </w:t>
      </w:r>
      <w:proofErr w:type="spellStart"/>
      <w:r w:rsidRPr="006F15BB">
        <w:rPr>
          <w:rFonts w:ascii="Book Antiqua" w:hAnsi="Book Antiqua" w:cs="Times New Roman"/>
          <w:lang w:val="en-GB"/>
        </w:rPr>
        <w:t>Urman</w:t>
      </w:r>
      <w:proofErr w:type="spellEnd"/>
      <w:r w:rsidRPr="006F15BB">
        <w:rPr>
          <w:rFonts w:ascii="Book Antiqua" w:hAnsi="Book Antiqua" w:cs="Times New Roman"/>
          <w:lang w:val="en-GB"/>
        </w:rPr>
        <w:t xml:space="preserve"> RD. </w:t>
      </w:r>
      <w:r w:rsidR="00135440" w:rsidRPr="00135440">
        <w:rPr>
          <w:rFonts w:ascii="Book Antiqua" w:hAnsi="Book Antiqua" w:cs="Times New Roman"/>
          <w:color w:val="1A1A1A"/>
        </w:rPr>
        <w:t>Do Not Resuscitate</w:t>
      </w:r>
      <w:r w:rsidRPr="006F15BB">
        <w:rPr>
          <w:rFonts w:ascii="Book Antiqua" w:hAnsi="Book Antiqua" w:cs="Times New Roman"/>
          <w:color w:val="1A1A1A"/>
        </w:rPr>
        <w:t xml:space="preserve"> status as an independent risk factor for patients undergoing surgery for hip fracture</w:t>
      </w:r>
      <w:r w:rsidRPr="006F15BB">
        <w:rPr>
          <w:rFonts w:ascii="Book Antiqua" w:hAnsi="Book Antiqua" w:cs="Times New Roman"/>
          <w:color w:val="000000" w:themeColor="text1"/>
          <w:lang w:val="en-GB"/>
        </w:rPr>
        <w:t xml:space="preserve">. </w:t>
      </w:r>
      <w:r w:rsidR="00457D69" w:rsidRPr="00C341A0">
        <w:rPr>
          <w:rFonts w:ascii="Book Antiqua" w:hAnsi="Book Antiqua"/>
          <w:i/>
          <w:iCs/>
        </w:rPr>
        <w:t xml:space="preserve">World J </w:t>
      </w:r>
      <w:proofErr w:type="spellStart"/>
      <w:r w:rsidR="00457D69" w:rsidRPr="00C341A0">
        <w:rPr>
          <w:rFonts w:ascii="Book Antiqua" w:hAnsi="Book Antiqua"/>
          <w:i/>
          <w:iCs/>
        </w:rPr>
        <w:t>Orthop</w:t>
      </w:r>
      <w:proofErr w:type="spellEnd"/>
      <w:r w:rsidR="00BD7FAB" w:rsidRPr="006F15BB">
        <w:rPr>
          <w:rFonts w:ascii="Book Antiqua" w:hAnsi="Book Antiqua" w:cs="Book Antiqua"/>
          <w:i/>
          <w:iCs/>
        </w:rPr>
        <w:t xml:space="preserve"> </w:t>
      </w:r>
      <w:r w:rsidR="00BD7FAB" w:rsidRPr="006F15BB">
        <w:rPr>
          <w:rFonts w:ascii="Book Antiqua" w:hAnsi="Book Antiqua" w:cs="Book Antiqua"/>
        </w:rPr>
        <w:t>2017; In press</w:t>
      </w:r>
    </w:p>
    <w:p w14:paraId="1AEB07E1" w14:textId="77777777" w:rsidR="00181644" w:rsidRPr="006F15BB" w:rsidRDefault="00181644" w:rsidP="008E7BBF">
      <w:pPr>
        <w:adjustRightInd w:val="0"/>
        <w:snapToGrid w:val="0"/>
        <w:spacing w:line="360" w:lineRule="auto"/>
        <w:jc w:val="both"/>
        <w:rPr>
          <w:rFonts w:ascii="Book Antiqua" w:hAnsi="Book Antiqua" w:cs="Times New Roman"/>
          <w:lang w:val="en-GB"/>
        </w:rPr>
      </w:pPr>
    </w:p>
    <w:p w14:paraId="4599FF81" w14:textId="77777777" w:rsidR="00BA3490" w:rsidRPr="006F15BB" w:rsidRDefault="00181644" w:rsidP="008E7BBF">
      <w:pPr>
        <w:adjustRightInd w:val="0"/>
        <w:snapToGrid w:val="0"/>
        <w:spacing w:line="360" w:lineRule="auto"/>
        <w:jc w:val="both"/>
        <w:rPr>
          <w:rFonts w:ascii="Book Antiqua" w:hAnsi="Book Antiqua" w:cs="Times New Roman"/>
          <w:b/>
        </w:rPr>
      </w:pPr>
      <w:r w:rsidRPr="006F15BB">
        <w:rPr>
          <w:rFonts w:ascii="Book Antiqua" w:hAnsi="Book Antiqua" w:cs="Times New Roman"/>
        </w:rPr>
        <w:tab/>
      </w:r>
      <w:r w:rsidRPr="006F15BB">
        <w:rPr>
          <w:rFonts w:ascii="Book Antiqua" w:hAnsi="Book Antiqua" w:cs="Times New Roman"/>
        </w:rPr>
        <w:tab/>
      </w:r>
      <w:r w:rsidRPr="006F15BB">
        <w:rPr>
          <w:rFonts w:ascii="Book Antiqua" w:hAnsi="Book Antiqua" w:cs="Times New Roman"/>
        </w:rPr>
        <w:tab/>
      </w:r>
    </w:p>
    <w:p w14:paraId="3FEBDD9E" w14:textId="77777777" w:rsidR="00BA3490" w:rsidRPr="006F15BB" w:rsidRDefault="00BA3490" w:rsidP="008E7BBF">
      <w:pPr>
        <w:adjustRightInd w:val="0"/>
        <w:snapToGrid w:val="0"/>
        <w:spacing w:line="360" w:lineRule="auto"/>
        <w:jc w:val="both"/>
        <w:rPr>
          <w:rFonts w:ascii="Book Antiqua" w:hAnsi="Book Antiqua" w:cs="Times New Roman"/>
          <w:b/>
          <w:lang w:val="en-GB"/>
        </w:rPr>
      </w:pPr>
    </w:p>
    <w:p w14:paraId="56A1C380" w14:textId="77777777" w:rsidR="00D72EB1" w:rsidRPr="006F15BB" w:rsidRDefault="00D72EB1" w:rsidP="008E7BBF">
      <w:pPr>
        <w:adjustRightInd w:val="0"/>
        <w:snapToGrid w:val="0"/>
        <w:spacing w:line="360" w:lineRule="auto"/>
        <w:jc w:val="both"/>
        <w:rPr>
          <w:rFonts w:ascii="Book Antiqua" w:hAnsi="Book Antiqua" w:cs="Times New Roman"/>
          <w:b/>
          <w:lang w:val="en-GB"/>
        </w:rPr>
      </w:pPr>
      <w:r w:rsidRPr="006F15BB">
        <w:rPr>
          <w:rFonts w:ascii="Book Antiqua" w:hAnsi="Book Antiqua" w:cs="Times New Roman"/>
          <w:b/>
          <w:lang w:val="en-GB"/>
        </w:rPr>
        <w:br w:type="page"/>
      </w:r>
    </w:p>
    <w:p w14:paraId="16D5DBD2" w14:textId="77777777" w:rsidR="00EF2171" w:rsidRPr="006F15BB" w:rsidRDefault="0034509C" w:rsidP="008E7BBF">
      <w:pPr>
        <w:adjustRightInd w:val="0"/>
        <w:snapToGrid w:val="0"/>
        <w:spacing w:line="360" w:lineRule="auto"/>
        <w:jc w:val="both"/>
        <w:rPr>
          <w:rFonts w:ascii="Book Antiqua" w:hAnsi="Book Antiqua" w:cs="Times New Roman"/>
          <w:b/>
          <w:lang w:val="en-GB"/>
        </w:rPr>
      </w:pPr>
      <w:r w:rsidRPr="006F15BB">
        <w:rPr>
          <w:rFonts w:ascii="Book Antiqua" w:hAnsi="Book Antiqua" w:cs="Times New Roman"/>
          <w:b/>
          <w:lang w:val="en-GB"/>
        </w:rPr>
        <w:lastRenderedPageBreak/>
        <w:t>INTRODUCTION</w:t>
      </w:r>
    </w:p>
    <w:p w14:paraId="255EC45C" w14:textId="77777777" w:rsidR="00A51A2B" w:rsidRPr="006F15BB" w:rsidRDefault="00C14A6E" w:rsidP="008E7BBF">
      <w:pPr>
        <w:adjustRightInd w:val="0"/>
        <w:snapToGrid w:val="0"/>
        <w:spacing w:line="360" w:lineRule="auto"/>
        <w:jc w:val="both"/>
        <w:rPr>
          <w:rFonts w:ascii="Book Antiqua" w:hAnsi="Book Antiqua" w:cs="Times New Roman"/>
          <w:lang w:val="en-GB" w:eastAsia="zh-CN"/>
        </w:rPr>
      </w:pPr>
      <w:r w:rsidRPr="006F15BB">
        <w:rPr>
          <w:rFonts w:ascii="Book Antiqua" w:hAnsi="Book Antiqua" w:cs="Times New Roman"/>
          <w:lang w:val="en-GB"/>
        </w:rPr>
        <w:t>Do Not Resu</w:t>
      </w:r>
      <w:r w:rsidR="002C2B96" w:rsidRPr="006F15BB">
        <w:rPr>
          <w:rFonts w:ascii="Book Antiqua" w:hAnsi="Book Antiqua" w:cs="Times New Roman"/>
          <w:lang w:val="en-GB"/>
        </w:rPr>
        <w:t>scitate (DNR) status</w:t>
      </w:r>
      <w:r w:rsidR="00B55E1A" w:rsidRPr="006F15BB">
        <w:rPr>
          <w:rFonts w:ascii="Book Antiqua" w:hAnsi="Book Antiqua" w:cs="Times New Roman"/>
          <w:lang w:val="en-GB"/>
        </w:rPr>
        <w:t xml:space="preserve"> documents</w:t>
      </w:r>
      <w:r w:rsidRPr="006F15BB">
        <w:rPr>
          <w:rFonts w:ascii="Book Antiqua" w:hAnsi="Book Antiqua" w:cs="Times New Roman"/>
          <w:lang w:val="en-GB"/>
        </w:rPr>
        <w:t xml:space="preserve"> </w:t>
      </w:r>
      <w:r w:rsidR="003A2263" w:rsidRPr="006F15BB">
        <w:rPr>
          <w:rFonts w:ascii="Book Antiqua" w:hAnsi="Book Antiqua" w:cs="Times New Roman"/>
          <w:lang w:val="en-GB"/>
        </w:rPr>
        <w:t xml:space="preserve">that </w:t>
      </w:r>
      <w:r w:rsidRPr="006F15BB">
        <w:rPr>
          <w:rFonts w:ascii="Book Antiqua" w:hAnsi="Book Antiqua" w:cs="Times New Roman"/>
          <w:lang w:val="en-GB"/>
        </w:rPr>
        <w:t>a decision</w:t>
      </w:r>
      <w:r w:rsidR="00135A71" w:rsidRPr="006F15BB">
        <w:rPr>
          <w:rFonts w:ascii="Book Antiqua" w:hAnsi="Book Antiqua" w:cs="Times New Roman"/>
          <w:lang w:val="en-GB"/>
        </w:rPr>
        <w:t xml:space="preserve"> has been made to withhold </w:t>
      </w:r>
      <w:r w:rsidR="003A2263" w:rsidRPr="006F15BB">
        <w:rPr>
          <w:rFonts w:ascii="Book Antiqua" w:hAnsi="Book Antiqua" w:cs="Times New Roman"/>
          <w:lang w:val="en-GB"/>
        </w:rPr>
        <w:t xml:space="preserve">certain </w:t>
      </w:r>
      <w:r w:rsidR="00135A71" w:rsidRPr="006F15BB">
        <w:rPr>
          <w:rFonts w:ascii="Book Antiqua" w:hAnsi="Book Antiqua" w:cs="Times New Roman"/>
          <w:lang w:val="en-GB"/>
        </w:rPr>
        <w:t xml:space="preserve">resuscitative measures in the event of cardiorespiratory arrest. </w:t>
      </w:r>
      <w:r w:rsidR="003A2263" w:rsidRPr="006F15BB">
        <w:rPr>
          <w:rFonts w:ascii="Book Antiqua" w:hAnsi="Book Antiqua" w:cs="Times New Roman"/>
          <w:lang w:val="en-GB"/>
        </w:rPr>
        <w:t>This typically includes</w:t>
      </w:r>
      <w:r w:rsidR="00135A71" w:rsidRPr="006F15BB">
        <w:rPr>
          <w:rFonts w:ascii="Book Antiqua" w:hAnsi="Book Antiqua" w:cs="Times New Roman"/>
          <w:lang w:val="en-GB"/>
        </w:rPr>
        <w:t xml:space="preserve"> </w:t>
      </w:r>
      <w:r w:rsidR="003A2263" w:rsidRPr="006F15BB">
        <w:rPr>
          <w:rFonts w:ascii="Book Antiqua" w:hAnsi="Book Antiqua" w:cs="Times New Roman"/>
          <w:lang w:val="en-GB"/>
        </w:rPr>
        <w:t xml:space="preserve">withholding </w:t>
      </w:r>
      <w:r w:rsidR="002D2584" w:rsidRPr="006F15BB">
        <w:rPr>
          <w:rFonts w:ascii="Book Antiqua" w:hAnsi="Book Antiqua" w:cs="Times New Roman"/>
          <w:lang w:val="en-GB"/>
        </w:rPr>
        <w:t>chest compressions</w:t>
      </w:r>
      <w:r w:rsidR="003A2263" w:rsidRPr="006F15BB">
        <w:rPr>
          <w:rFonts w:ascii="Book Antiqua" w:hAnsi="Book Antiqua" w:cs="Times New Roman"/>
          <w:lang w:val="en-GB"/>
        </w:rPr>
        <w:t xml:space="preserve"> and </w:t>
      </w:r>
      <w:r w:rsidR="002D2584" w:rsidRPr="006F15BB">
        <w:rPr>
          <w:rFonts w:ascii="Book Antiqua" w:hAnsi="Book Antiqua" w:cs="Times New Roman"/>
          <w:lang w:val="en-GB"/>
        </w:rPr>
        <w:t>endo</w:t>
      </w:r>
      <w:r w:rsidR="003A2263" w:rsidRPr="006F15BB">
        <w:rPr>
          <w:rFonts w:ascii="Book Antiqua" w:hAnsi="Book Antiqua" w:cs="Times New Roman"/>
          <w:lang w:val="en-GB"/>
        </w:rPr>
        <w:t>tracheal intubation.</w:t>
      </w:r>
      <w:r w:rsidR="0034509C">
        <w:rPr>
          <w:rFonts w:ascii="Book Antiqua" w:hAnsi="Book Antiqua" w:cs="Times New Roman"/>
          <w:lang w:val="en-GB"/>
        </w:rPr>
        <w:t xml:space="preserve"> </w:t>
      </w:r>
      <w:r w:rsidR="003A2263" w:rsidRPr="006F15BB">
        <w:rPr>
          <w:rFonts w:ascii="Book Antiqua" w:hAnsi="Book Antiqua" w:cs="Times New Roman"/>
          <w:lang w:val="en-GB"/>
        </w:rPr>
        <w:t xml:space="preserve">DNR status </w:t>
      </w:r>
      <w:r w:rsidR="00581632" w:rsidRPr="006F15BB">
        <w:rPr>
          <w:rFonts w:ascii="Book Antiqua" w:hAnsi="Book Antiqua" w:cs="Times New Roman"/>
          <w:lang w:val="en-GB"/>
        </w:rPr>
        <w:t>document</w:t>
      </w:r>
      <w:r w:rsidR="00C94764" w:rsidRPr="006F15BB">
        <w:rPr>
          <w:rFonts w:ascii="Book Antiqua" w:hAnsi="Book Antiqua" w:cs="Times New Roman"/>
          <w:lang w:val="en-GB"/>
        </w:rPr>
        <w:t>s</w:t>
      </w:r>
      <w:r w:rsidR="00925337" w:rsidRPr="006F15BB">
        <w:rPr>
          <w:rFonts w:ascii="Book Antiqua" w:hAnsi="Book Antiqua" w:cs="Times New Roman"/>
          <w:lang w:val="en-GB"/>
        </w:rPr>
        <w:t xml:space="preserve"> a patient’s advance</w:t>
      </w:r>
      <w:r w:rsidR="00EC4A01" w:rsidRPr="006F15BB">
        <w:rPr>
          <w:rFonts w:ascii="Book Antiqua" w:hAnsi="Book Antiqua" w:cs="Times New Roman"/>
          <w:lang w:val="en-GB"/>
        </w:rPr>
        <w:t xml:space="preserve"> </w:t>
      </w:r>
      <w:r w:rsidR="00925337" w:rsidRPr="006F15BB">
        <w:rPr>
          <w:rFonts w:ascii="Book Antiqua" w:hAnsi="Book Antiqua" w:cs="Times New Roman"/>
          <w:lang w:val="en-GB"/>
        </w:rPr>
        <w:t>refusal of</w:t>
      </w:r>
      <w:r w:rsidR="00135A71" w:rsidRPr="006F15BB">
        <w:rPr>
          <w:rFonts w:ascii="Book Antiqua" w:hAnsi="Book Antiqua" w:cs="Times New Roman"/>
          <w:lang w:val="en-GB"/>
        </w:rPr>
        <w:t xml:space="preserve"> </w:t>
      </w:r>
      <w:r w:rsidR="00EC4A01" w:rsidRPr="006F15BB">
        <w:rPr>
          <w:rFonts w:ascii="Book Antiqua" w:hAnsi="Book Antiqua" w:cs="Times New Roman"/>
          <w:lang w:val="en-GB"/>
        </w:rPr>
        <w:t>resuscitative</w:t>
      </w:r>
      <w:r w:rsidR="00851A42" w:rsidRPr="006F15BB">
        <w:rPr>
          <w:rFonts w:ascii="Book Antiqua" w:hAnsi="Book Antiqua" w:cs="Times New Roman"/>
          <w:lang w:val="en-GB"/>
        </w:rPr>
        <w:t xml:space="preserve"> procedures</w:t>
      </w:r>
      <w:r w:rsidR="00581632" w:rsidRPr="006F15BB">
        <w:rPr>
          <w:rFonts w:ascii="Book Antiqua" w:hAnsi="Book Antiqua" w:cs="Times New Roman"/>
          <w:lang w:val="en-GB"/>
        </w:rPr>
        <w:t xml:space="preserve">, </w:t>
      </w:r>
      <w:r w:rsidR="0021570D" w:rsidRPr="006F15BB">
        <w:rPr>
          <w:rFonts w:ascii="Book Antiqua" w:hAnsi="Book Antiqua" w:cs="Times New Roman"/>
          <w:lang w:val="en-GB"/>
        </w:rPr>
        <w:t xml:space="preserve">due to expressed wishes or beliefs, or where cardiopulmonary resuscitation </w:t>
      </w:r>
      <w:r w:rsidRPr="006F15BB">
        <w:rPr>
          <w:rFonts w:ascii="Book Antiqua" w:hAnsi="Book Antiqua" w:cs="Times New Roman"/>
          <w:lang w:val="en-GB"/>
        </w:rPr>
        <w:t xml:space="preserve">would fail to restore a quality of life compatible with the patient’s </w:t>
      </w:r>
      <w:r w:rsidR="00394944" w:rsidRPr="006F15BB">
        <w:rPr>
          <w:rFonts w:ascii="Book Antiqua" w:hAnsi="Book Antiqua" w:cs="Times New Roman"/>
          <w:lang w:val="en-GB"/>
        </w:rPr>
        <w:t>goals of care</w:t>
      </w:r>
      <w:r w:rsidR="00436A47" w:rsidRPr="006F15BB">
        <w:rPr>
          <w:rFonts w:ascii="Book Antiqua" w:hAnsi="Book Antiqua" w:cs="Times New Roman"/>
          <w:lang w:val="en-GB"/>
        </w:rPr>
        <w:fldChar w:fldCharType="begin" w:fldLock="1"/>
      </w:r>
      <w:r w:rsidR="00C2761D" w:rsidRPr="006F15BB">
        <w:rPr>
          <w:rFonts w:ascii="Book Antiqua" w:hAnsi="Book Antiqua" w:cs="Times New Roman"/>
          <w:lang w:val="en-GB"/>
        </w:rPr>
        <w:instrText>ADDIN CSL_CITATION { "citationItems" : [ { "id" : "ITEM-1", "itemData" : { "DOI" : "10.1097/01.CCM.0000064743.44696.49", "ISBN" : "0090-3493", "ISSN" : "0090-3493", "PMID" : "12771631", "abstract" : "BACKGROUND: In 1976, the first hospital policies on orders not to resuscitate were published in the medical literature. Since that time, the concept has continued to evolve and evoke much debate. Indeed, few initials in medicine today evoke as much symbolism or controversy as the Do-Not-Resuscitate (DNR) order.\\n\\nOBJECTIVE: To review the development, implementation, and present standing of the DNR order.\\n\\nDESIGN: Review article.\\n\\nMAIN RESULTS: The DNR order concept brought an open decision-making framework to the resuscitation decision and did much to put appropriate restraint on the universal application of cardiopulmonary resuscitation for the dying patient. Yet, even today, many of the early concerns remain.\\n\\nCONCLUSIONS: After 25 yrs of DNR orders, it remains reasonable to presume consent and attempt resuscitation for people who suffer an unexpected cardiopulmonary arrest or for whom resuscitation may have physiologic effect and for whom no information is available at the time as to their wishes (or those of their surrogate). However, it is not reasonable to continue to rely on such a presumption without promptly and actively seeking to clarify the patient's (or surrogate's) wishes. The DNR order, then, remains an inducement to seek the informed patient's directive.", "author" : [ { "dropping-particle" : "", "family" : "Burns", "given" : "Jeffrey P.", "non-dropping-particle" : "", "parse-names" : false, "suffix" : "" }, { "dropping-particle" : "", "family" : "Edwards", "given" : "Jeffrey", "non-dropping-particle" : "", "parse-names" : false, "suffix" : "" }, { "dropping-particle" : "", "family" : "Johnson", "given" : "Judith", "non-dropping-particle" : "", "parse-names" : false, "suffix" : "" }, { "dropping-particle" : "", "family" : "Cassem", "given" : "Ned H.", "non-dropping-particle" : "", "parse-names" : false, "suffix" : "" }, { "dropping-particle" : "", "family" : "Truog", "given" : "Robert D.", "non-dropping-particle" : "", "parse-names" : false, "suffix" : "" } ], "container-title" : "Critical Care Medicine", "id" : "ITEM-1", "issue" : "5", "issued" : { "date-parts" : [ [ "2003", "5" ] ] }, "page" : "1543-1550", "title" : "Do-not-resuscitate order after 25 years*", "type" : "article-journal", "volume" : "31" }, "uris" : [ "http://www.mendeley.com/documents/?uuid=4e3d988c-d6cb-36a0-b38e-646af8ff0de8" ] }, { "id" : "ITEM-2", "itemData" : { "DOI" : "10.1016/j.amjmed.2009.05.029", "ISBN" : "1555-7162 (Electronic). 0002-9343 (Linking)", "ISSN" : "00029343", "PMID" : "20102982", "abstract" : "The do-not-resuscitate order, introduced nearly a half century ago, continues to raise questions and controversy among health care providers and patients. In today's society, the expectation and availability of medical interventions, including at the end of life, have rendered the do-not-resuscitate order particularly relevant. The do-not-resuscitate order is the only order that requires patient consent to prevent a medical procedure from being performed; therefore, informed code status discussions between physicians and patients are especially important. Epidemiologic studies have informed our understanding of resuscitation outcomes; however, patient, provider, and institutional characteristics account for great variability in the prevalence of do-not-resuscitate orders. Specific strategies can improve the quality of code status conversations and enhance end-of-life care planning. In this article, we review the history, epidemiology, and determinants of do-not-resuscitate orders, as well as frequently encountered questions and recommended strategies for discussing this important topic with patients. ?? 2010.", "author" : [ { "dropping-particle" : "", "family" : "Loertscher", "given" : "Laura", "non-dropping-particle" : "", "parse-names" : false, "suffix" : "" }, { "dropping-particle" : "", "family" : "Reed", "given" : "Darcy A.", "non-dropping-particle" : "", "parse-names" : false, "suffix" : "" }, { "dropping-particle" : "", "family" : "Bannon", "given" : "Michael P.", "non-dropping-particle" : "", "parse-names" : false, "suffix" : "" }, { "dropping-particle" : "", "family" : "Mueller", "given" : "Paul S.", "non-dropping-particle" : "", "parse-names" : false, "suffix" : "" } ], "container-title" : "American Journal of Medicine", "id" : "ITEM-2", "issue" : "1", "issued" : { "date-parts" : [ [ "2010", "1" ] ] }, "page" : "4-9", "title" : "Cardiopulmonary Resuscitation and Do-Not-Resuscitate Orders: A Guide for Clinicians", "type" : "article", "volume" : "123" }, "uris" : [ "http://www.mendeley.com/documents/?uuid=e1eaf8fb-d647-3d5b-aa12-2044035eefd1" ] }, { "id" : "ITEM-3", "itemData" : { "DOI" : "10.1136/jme.2007.022517", "ISBN" : "1473-4257", "ISSN" : "0306-6800", "PMID" : "18757631", "abstract" : "BACKGROUND: Since the passage of the Patient Self-Determination Act, numerous policy mandates and institutional measures have been implemented. It is unknown to what extent those measures have affected end-of-life care, particularly with regard to the do-not-resuscitate (DNR) order. METHODS: Retrospective cohort study to assess associations of the frequency and timing of DNR orders with advance directive status, patient demographics, physician's specialty and extent of documentation of discussion on end-of-life care. RESULTS: DNR orders were more frequent for patients on a medical service than on a surgical service (77.34% vs 64.20%, p = 0.02) and were made earlier in the hospital stay for medicine than for surgical patients (adjusted mean ratio of time from DNR orders to death versus total length of stay 0.30 for internists vs 0.21 for surgeons, p = 0.04). 22.18% of all patients had some form of an advance directive in their chart, yet this variable had no impact on the frequency or timing of DNR ordering. Documentation of DNR discussion was significantly associated with the frequency of DNR orders and the time from DNR to death (2.1 days with no or minimal discussion vs 2.8 days with extensive discussion, p&lt;0.01). CONCLUSIONS: The physician's specialty continues to have a significant impact on the frequency and timing of DNR orders, while advance directive status still has no measurable impact. Additionally, documentation of end-of-life discussions is significantly associated with varying DNR ordering rates and timing.", "author" : [ { "dropping-particle" : "", "family" : "Morrell", "given" : "E D", "non-dropping-particle" : "", "parse-names" : false, "suffix" : "" }, { "dropping-particle" : "", "family" : "Brown", "given" : "B P", "non-dropping-particle" : "", "parse-names" : false, "suffix" : "" }, { "dropping-particle" : "", "family" : "Qi", "given" : "R", "non-dropping-particle" : "", "parse-names" : false, "suffix" : "" }, { "dropping-particle" : "", "family" : "Drabiak", "given" : "K", "non-dropping-particle" : "", "parse-names" : false, "suffix" : "" }, { "dropping-particle" : "", "family" : "Helft", "given" : "P R", "non-dropping-particle" : "", "parse-names" : false, "suffix" : "" } ], "container-title" : "Journal of medical ethics", "id" : "ITEM-3", "issue" : "9", "issued" : { "date-parts" : [ [ "2008", "9", "1" ] ] }, "page" : "642-647", "title" : "The do-not-resuscitate order: associations with advance directives, physician specialty and documentation of discussion 15 years after the Patient Self-Determination Act.", "type" : "article-journal", "volume" : "34" }, "uris" : [ "http://www.mendeley.com/documents/?uuid=a943f0f7-045a-35b7-a375-0765bd7ddeaa" ] } ], "mendeley" : { "formattedCitation" : "&lt;sup&gt;[&lt;sup&gt;1&lt;/sup&gt;\u2013&lt;sup&gt;3&lt;/sup&gt;]&lt;/sup&gt;", "plainTextFormattedCitation" : "[1\u20133]", "previouslyFormattedCitation" : "&lt;sup&gt;[&lt;sup&gt;1&lt;/sup&gt;\u2013&lt;sup&gt;3&lt;/sup&gt;]&lt;/sup&gt;" }, "properties" : { "noteIndex" : 0 }, "schema" : "https://github.com/citation-style-language/schema/raw/master/csl-citation.json" }</w:instrText>
      </w:r>
      <w:r w:rsidR="00436A47" w:rsidRPr="006F15BB">
        <w:rPr>
          <w:rFonts w:ascii="Book Antiqua" w:hAnsi="Book Antiqua" w:cs="Times New Roman"/>
          <w:lang w:val="en-GB"/>
        </w:rPr>
        <w:fldChar w:fldCharType="separate"/>
      </w:r>
      <w:r w:rsidR="0052176A" w:rsidRPr="006F15BB">
        <w:rPr>
          <w:rFonts w:ascii="Book Antiqua" w:hAnsi="Book Antiqua" w:cs="Times New Roman"/>
          <w:noProof/>
          <w:vertAlign w:val="superscript"/>
          <w:lang w:val="en-GB"/>
        </w:rPr>
        <w:t>[1</w:t>
      </w:r>
      <w:r w:rsidR="00772635">
        <w:rPr>
          <w:rFonts w:ascii="Book Antiqua" w:hAnsi="Book Antiqua" w:cs="Times New Roman" w:hint="eastAsia"/>
          <w:noProof/>
          <w:vertAlign w:val="superscript"/>
          <w:lang w:val="en-GB" w:eastAsia="zh-CN"/>
        </w:rPr>
        <w:t>-</w:t>
      </w:r>
      <w:r w:rsidR="0052176A" w:rsidRPr="006F15BB">
        <w:rPr>
          <w:rFonts w:ascii="Book Antiqua" w:hAnsi="Book Antiqua" w:cs="Times New Roman"/>
          <w:noProof/>
          <w:vertAlign w:val="superscript"/>
          <w:lang w:val="en-GB"/>
        </w:rPr>
        <w:t>3]</w:t>
      </w:r>
      <w:r w:rsidR="00436A47" w:rsidRPr="006F15BB">
        <w:rPr>
          <w:rFonts w:ascii="Book Antiqua" w:hAnsi="Book Antiqua" w:cs="Times New Roman"/>
          <w:lang w:val="en-GB"/>
        </w:rPr>
        <w:fldChar w:fldCharType="end"/>
      </w:r>
      <w:r w:rsidRPr="006F15BB">
        <w:rPr>
          <w:rFonts w:ascii="Book Antiqua" w:hAnsi="Book Antiqua" w:cs="Times New Roman"/>
          <w:lang w:val="en-GB"/>
        </w:rPr>
        <w:t xml:space="preserve">. </w:t>
      </w:r>
      <w:r w:rsidR="0021570D" w:rsidRPr="006F15BB">
        <w:rPr>
          <w:rFonts w:ascii="Book Antiqua" w:hAnsi="Book Antiqua" w:cs="Times New Roman"/>
          <w:lang w:val="en-GB"/>
        </w:rPr>
        <w:t>DNR status is most common</w:t>
      </w:r>
      <w:r w:rsidR="0035086F" w:rsidRPr="006F15BB">
        <w:rPr>
          <w:rFonts w:ascii="Book Antiqua" w:hAnsi="Book Antiqua" w:cs="Times New Roman"/>
          <w:lang w:val="en-GB"/>
        </w:rPr>
        <w:t xml:space="preserve"> </w:t>
      </w:r>
      <w:r w:rsidR="002918B5" w:rsidRPr="006F15BB">
        <w:rPr>
          <w:rFonts w:ascii="Book Antiqua" w:hAnsi="Book Antiqua" w:cs="Times New Roman"/>
          <w:lang w:val="en-GB"/>
        </w:rPr>
        <w:t xml:space="preserve">when </w:t>
      </w:r>
      <w:r w:rsidR="0035086F" w:rsidRPr="006F15BB">
        <w:rPr>
          <w:rFonts w:ascii="Book Antiqua" w:hAnsi="Book Antiqua" w:cs="Times New Roman"/>
          <w:lang w:val="en-GB"/>
        </w:rPr>
        <w:t>patients have</w:t>
      </w:r>
      <w:r w:rsidR="003875B0" w:rsidRPr="006F15BB">
        <w:rPr>
          <w:rFonts w:ascii="Book Antiqua" w:hAnsi="Book Antiqua" w:cs="Times New Roman"/>
          <w:lang w:val="en-GB"/>
        </w:rPr>
        <w:t xml:space="preserve"> </w:t>
      </w:r>
      <w:r w:rsidR="003A2263" w:rsidRPr="006F15BB">
        <w:rPr>
          <w:rFonts w:ascii="Book Antiqua" w:hAnsi="Book Antiqua" w:cs="Times New Roman"/>
          <w:lang w:val="en-GB"/>
        </w:rPr>
        <w:t>multiple</w:t>
      </w:r>
      <w:r w:rsidR="002918B5" w:rsidRPr="006F15BB">
        <w:rPr>
          <w:rFonts w:ascii="Book Antiqua" w:hAnsi="Book Antiqua" w:cs="Times New Roman"/>
          <w:lang w:val="en-GB"/>
        </w:rPr>
        <w:t xml:space="preserve">, </w:t>
      </w:r>
      <w:r w:rsidR="0035086F" w:rsidRPr="006F15BB">
        <w:rPr>
          <w:rFonts w:ascii="Book Antiqua" w:hAnsi="Book Antiqua" w:cs="Times New Roman"/>
          <w:lang w:val="en-GB"/>
        </w:rPr>
        <w:t>severe</w:t>
      </w:r>
      <w:r w:rsidR="003A2263" w:rsidRPr="006F15BB">
        <w:rPr>
          <w:rFonts w:ascii="Book Antiqua" w:hAnsi="Book Antiqua" w:cs="Times New Roman"/>
          <w:lang w:val="en-GB"/>
        </w:rPr>
        <w:t xml:space="preserve"> co</w:t>
      </w:r>
      <w:r w:rsidR="00772635">
        <w:rPr>
          <w:rFonts w:ascii="Book Antiqua" w:hAnsi="Book Antiqua" w:cs="Times New Roman"/>
          <w:lang w:val="en-GB"/>
        </w:rPr>
        <w:t>-</w:t>
      </w:r>
      <w:r w:rsidR="003A2263" w:rsidRPr="006F15BB">
        <w:rPr>
          <w:rFonts w:ascii="Book Antiqua" w:hAnsi="Book Antiqua" w:cs="Times New Roman"/>
          <w:lang w:val="en-GB"/>
        </w:rPr>
        <w:t>morbidit</w:t>
      </w:r>
      <w:r w:rsidR="002918B5" w:rsidRPr="006F15BB">
        <w:rPr>
          <w:rFonts w:ascii="Book Antiqua" w:hAnsi="Book Antiqua" w:cs="Times New Roman"/>
          <w:lang w:val="en-GB"/>
        </w:rPr>
        <w:t>ies</w:t>
      </w:r>
      <w:r w:rsidR="003A2263" w:rsidRPr="006F15BB">
        <w:rPr>
          <w:rFonts w:ascii="Book Antiqua" w:hAnsi="Book Antiqua" w:cs="Times New Roman"/>
          <w:lang w:val="en-GB"/>
        </w:rPr>
        <w:t xml:space="preserve">, </w:t>
      </w:r>
      <w:r w:rsidRPr="006F15BB">
        <w:rPr>
          <w:rFonts w:ascii="Book Antiqua" w:hAnsi="Book Antiqua" w:cs="Times New Roman"/>
          <w:lang w:val="en-GB"/>
        </w:rPr>
        <w:t xml:space="preserve">extreme frailty, </w:t>
      </w:r>
      <w:r w:rsidR="0021570D" w:rsidRPr="006F15BB">
        <w:rPr>
          <w:rFonts w:ascii="Book Antiqua" w:hAnsi="Book Antiqua" w:cs="Times New Roman"/>
          <w:lang w:val="en-GB"/>
        </w:rPr>
        <w:t xml:space="preserve">or </w:t>
      </w:r>
      <w:r w:rsidR="0059079E" w:rsidRPr="006F15BB">
        <w:rPr>
          <w:rFonts w:ascii="Book Antiqua" w:hAnsi="Book Antiqua" w:cs="Times New Roman"/>
          <w:lang w:val="en-GB"/>
        </w:rPr>
        <w:t>end stage disease</w:t>
      </w:r>
      <w:r w:rsidR="0021570D" w:rsidRPr="006F15BB">
        <w:rPr>
          <w:rFonts w:ascii="Book Antiqua" w:hAnsi="Book Antiqua" w:cs="Times New Roman"/>
          <w:lang w:val="en-GB"/>
        </w:rPr>
        <w:t>s</w:t>
      </w:r>
      <w:r w:rsidR="00436A47" w:rsidRPr="006F15BB">
        <w:rPr>
          <w:rFonts w:ascii="Book Antiqua" w:hAnsi="Book Antiqua" w:cs="Times New Roman"/>
          <w:lang w:val="en-GB"/>
        </w:rPr>
        <w:fldChar w:fldCharType="begin" w:fldLock="1"/>
      </w:r>
      <w:r w:rsidR="00C2761D" w:rsidRPr="006F15BB">
        <w:rPr>
          <w:rFonts w:ascii="Book Antiqua" w:hAnsi="Book Antiqua" w:cs="Times New Roman"/>
          <w:lang w:val="en-GB"/>
        </w:rPr>
        <w:instrText>ADDIN CSL_CITATION { "citationItems" : [ { "id" : "ITEM-1", "itemData" : { "ISBN" : "0003-4819", "ISSN" : "0003-4819", "PMID" : "8678391", "abstract" : "BACKGROUND: Medical treatment decisions should be based on the preferences of informed patients or their proxies and on the expected outcomes of treatment. Because seriously ill patients are at risk for cardiac arrest, examination of do-not-resuscitate (DNR) practices affecting them provides useful insights into the associations between various factors and medical decision making.\\n\\nOBJECTIVE: To examine the association between patients' preferences for resuscitation (along with other patient and physician characteristics) and the frequency and timing of DNR orders.\\n\\nDESIGN: Prospective cohort study.\\n\\nSETTING: 5 teaching hospitals.\\n\\nPATIENTS: 6802 seriously ill hospitalized patients enrolled in the Study to Understand Prognoses and Preferences for Outcomes and Risks of Treatment (SUPPORT) between 1989 and 1994.\\n\\nMEASUREMENTS: Patients and their surrogates were interviewed about patients' cardiopulmonary resuscitation preferences, medical records were reviewed to determine disease severity, and a multivariable regression model was constructed to predict the time to the first DNR order.\\n\\nRESULTS: The patients' preference for cardiopulmonary resuscitation was the most important predictor of the timing of DNR orders, but only 52% of patients who preferred not to be resuscitated actually had DNR orders written. The probability of surviving for 2 months was the next most important predictor of the timing of DNR orders. Although DNR orders were not linearly related to the probability of surviving for 2 months, they were written earlier and more frequently for patients with a 50% or lower probability of surviving for 2 months. Orders were written more quickly for patients older than 75 years of age, regardless of prognosis. After adjustment for these and other influential patient characteristics, the use and timing of DNR orders varied significantly among physician specialties and among hospitals.\\n\\nCONCLUSIONS: Patients' preferences and short-term prognoses are associated with the timing of DNR orders. However, the substantial variation seen among hospital sites and among physician specialties suggests that there is room for improvement. In this study, DNR orders were written earlier for patients older than 75 years of age, regardless of prognosis. This finding suggests that physicians may be using age in a way that is inconsistent with the reported association between age and survival. The process for making decisions about DNR orders needs to be \u2026", "author" : [ { "dropping-particle" : "", "family" : "Hakim", "given" : "R B", "non-dropping-particle" : "", "parse-names" : false, "suffix" : "" }, { "dropping-particle" : "", "family" : "Teno", "given" : "J M", "non-dropping-particle" : "", "parse-names" : false, "suffix" : "" }, { "dropping-particle" : "", "family" : "Harrell", "given" : "F E", "non-dropping-particle" : "", "parse-names" : false, "suffix" : "" }, { "dropping-particle" : "", "family" : "Knaus", "given" : "W A", "non-dropping-particle" : "", "parse-names" : false, "suffix" : "" }, { "dropping-particle" : "", "family" : "Wenger", "given" : "N", "non-dropping-particle" : "", "parse-names" : false, "suffix" : "" }, { "dropping-particle" : "", "family" : "Phillips", "given" : "R S", "non-dropping-particle" : "", "parse-names" : false, "suffix" : "" }, { "dropping-particle" : "", "family" : "Layde", "given" : "P", "non-dropping-particle" : "", "parse-names" : false, "suffix" : "" }, { "dropping-particle" : "", "family" : "Califf", "given" : "R", "non-dropping-particle" : "", "parse-names" : false, "suffix" : "" }, { "dropping-particle" : "", "family" : "Connors", "given" : "A F", "non-dropping-particle" : "", "parse-names" : false, "suffix" : "" }, { "dropping-particle" : "", "family" : "Lynn", "given" : "J", "non-dropping-particle" : "", "parse-names" : false, "suffix" : "" } ], "container-title" : "Annals of internal medicine", "id" : "ITEM-1", "issue" : "4", "issued" : { "date-parts" : [ [ "1996" ] ] }, "page" : "284-93", "title" : "Factors associated with do-not-resuscitate orders: patients' preferences, prognoses, and physicians' judgments. SUPPORT Investigators. Study to Understand Prognoses and Preferences for Outcomes and Risks of Treatment.", "type" : "article-journal", "volume" : "125" }, "uris" : [ "http://www.mendeley.com/documents/?uuid=92c7e936-3caf-3381-b93e-ed6e646b235f" ] }, { "id" : "ITEM-2", "itemData" : { "DOI" : "10.1213/00000539-199704000-00029", "ISBN" : "0003-2999", "ISSN" : "0003-2999", "PMID" : "9085971", "abstract" : "The purpose of this study was to determine the perspectives and opinions of terminally ill patients regarding the management of their do not resuscitate (DNR) orders in the perioperative period. Eighteen patients who had DNR orders and were willing to discuss those orders and their intentions were identified by hospital nurses or hospice workers. An in-depth interview was conducted with each patient. Patients' intentions for DNR orders focused on themes of \"being ready to die\" and concern regarding financial and emotional cost to themselves and their families. Fifteen of 18 patients would agree to some type of surgery, some to palliative procedures, others to procedures unrelated to their primary disease. After a brief explanation of the different types of anesthesia and their risks, patients were asked how they would like their DNR orders to be respected during the perioperative period. Some would allow procedures in the operating room that ordinarily would be prohibited by a DNR order and felt that DNR orders should be suspended. Many felt that their DNR orders should be discussed with them preoperatively. Some wanted to be involved with decisions regarding specific procedures. Others were satisfied with discussing the intent of their orders. For various reasons and for various procedures, many patients with DNR orders are willing to undergo anesthesia and surgery. Anesthesiologists' awareness of the variety of opinions and perspectives held by patients regarding their DNR orders will enhance their preoperative discussion.", "author" : [ { "dropping-particle" : "V", "family" : "Clemency", "given" : "M", "non-dropping-particle" : "", "parse-names" : false, "suffix" : "" }, { "dropping-particle" : "", "family" : "Thompson", "given" : "N J", "non-dropping-particle" : "", "parse-names" : false, "suffix" : "" } ], "container-title" : "Anesthesia and analgesia", "id" : "ITEM-2", "issue" : "November 1995", "issued" : { "date-parts" : [ [ "1997" ] ] }, "page" : "859-864", "title" : "Do not resuscitate orders in the perioperative period: patient perspectives.", "type" : "article-journal", "volume" : "84" }, "uris" : [ "http://www.mendeley.com/documents/?uuid=0a59cde4-63a4-32ba-a57d-1bc339627b99" ] }, { "id" : "ITEM-3", "itemData" : { "DOI" : "10.1136/jme.29.6.372", "ISBN" : "0306-6800", "ISSN" : "0306-6800", "PMID" : "12356958", "abstract" : "Most elderly patients die with an order in place that they not be given cardiopulmonary resuscitation (DNR order). Surveys have shown that many elderly in different parts of the world want to be resuscitated, but may lack knowledge about the specifics of cardiopulmonary resuscitation (CPR). Data from countries other than the US is limited, but differences in physician and patient opinions by nationality regarding CPR do exist. Physicians' own preferences for CPR may predominate in the DNR decision making process for their patients, and many physicians may not want the participation of the elderly or believe that it is necessary. More complete and earlier discussions of a wider range of options of care for patients at the end of life have been advocated. The process ought to include education for patients about the process and efficacy of CPR, and for physicians on how to consider the values and levels of knowledge of their patients, whose preferences may differ from their own.", "author" : [ { "dropping-particle" : "", "family" : "Cherniack", "given" : "E P", "non-dropping-particle" : "", "parse-names" : false, "suffix" : "" } ], "container-title" : "Journal of medical ethics", "id" : "ITEM-3", "issue" : "5", "issued" : { "date-parts" : [ [ "2002", "10", "1" ] ] }, "page" : "303-307", "title" : "Increasing use of DNR orders in the elderly worldwide: whose choice is it?", "type" : "article-journal", "volume" : "28" }, "uris" : [ "http://www.mendeley.com/documents/?uuid=eba40a6c-07f5-337f-b230-975b0766f215" ] } ], "mendeley" : { "formattedCitation" : "&lt;sup&gt;[&lt;sup&gt;4&lt;/sup&gt;\u2013&lt;sup&gt;6&lt;/sup&gt;]&lt;/sup&gt;", "plainTextFormattedCitation" : "[4\u20136]", "previouslyFormattedCitation" : "&lt;sup&gt;[&lt;sup&gt;4&lt;/sup&gt;\u2013&lt;sup&gt;6&lt;/sup&gt;]&lt;/sup&gt;" }, "properties" : { "noteIndex" : 0 }, "schema" : "https://github.com/citation-style-language/schema/raw/master/csl-citation.json" }</w:instrText>
      </w:r>
      <w:r w:rsidR="00436A47" w:rsidRPr="006F15BB">
        <w:rPr>
          <w:rFonts w:ascii="Book Antiqua" w:hAnsi="Book Antiqua" w:cs="Times New Roman"/>
          <w:lang w:val="en-GB"/>
        </w:rPr>
        <w:fldChar w:fldCharType="separate"/>
      </w:r>
      <w:r w:rsidR="0052176A" w:rsidRPr="006F15BB">
        <w:rPr>
          <w:rFonts w:ascii="Book Antiqua" w:hAnsi="Book Antiqua" w:cs="Times New Roman"/>
          <w:noProof/>
          <w:vertAlign w:val="superscript"/>
          <w:lang w:val="en-GB"/>
        </w:rPr>
        <w:t>[4</w:t>
      </w:r>
      <w:r w:rsidR="00772635">
        <w:rPr>
          <w:rFonts w:ascii="Book Antiqua" w:hAnsi="Book Antiqua" w:cs="Times New Roman" w:hint="eastAsia"/>
          <w:noProof/>
          <w:vertAlign w:val="superscript"/>
          <w:lang w:val="en-GB" w:eastAsia="zh-CN"/>
        </w:rPr>
        <w:t>-</w:t>
      </w:r>
      <w:r w:rsidR="0052176A" w:rsidRPr="006F15BB">
        <w:rPr>
          <w:rFonts w:ascii="Book Antiqua" w:hAnsi="Book Antiqua" w:cs="Times New Roman"/>
          <w:noProof/>
          <w:vertAlign w:val="superscript"/>
          <w:lang w:val="en-GB"/>
        </w:rPr>
        <w:t>6]</w:t>
      </w:r>
      <w:r w:rsidR="00436A47" w:rsidRPr="006F15BB">
        <w:rPr>
          <w:rFonts w:ascii="Book Antiqua" w:hAnsi="Book Antiqua" w:cs="Times New Roman"/>
          <w:lang w:val="en-GB"/>
        </w:rPr>
        <w:fldChar w:fldCharType="end"/>
      </w:r>
      <w:r w:rsidRPr="006F15BB">
        <w:rPr>
          <w:rFonts w:ascii="Book Antiqua" w:hAnsi="Book Antiqua" w:cs="Times New Roman"/>
          <w:lang w:val="en-GB"/>
        </w:rPr>
        <w:t xml:space="preserve">. </w:t>
      </w:r>
    </w:p>
    <w:p w14:paraId="3F9FB252" w14:textId="77777777" w:rsidR="009E6BEB" w:rsidRPr="0034509C" w:rsidRDefault="00B55E1A" w:rsidP="008E7BBF">
      <w:pPr>
        <w:pStyle w:val="Default"/>
        <w:adjustRightInd w:val="0"/>
        <w:snapToGrid w:val="0"/>
        <w:spacing w:line="360" w:lineRule="auto"/>
        <w:ind w:firstLine="720"/>
        <w:jc w:val="both"/>
        <w:rPr>
          <w:rFonts w:ascii="Book Antiqua" w:eastAsia="宋体" w:hAnsi="Book Antiqua" w:cs="Times New Roman"/>
          <w:sz w:val="24"/>
          <w:szCs w:val="24"/>
          <w:bdr w:val="none" w:sz="0" w:space="0" w:color="auto"/>
          <w:lang w:val="en-GB" w:eastAsia="zh-CN"/>
        </w:rPr>
      </w:pPr>
      <w:r w:rsidRPr="006F15BB">
        <w:rPr>
          <w:rFonts w:ascii="Book Antiqua" w:hAnsi="Book Antiqua" w:cs="Times New Roman"/>
          <w:sz w:val="24"/>
          <w:szCs w:val="24"/>
          <w:lang w:val="en-GB"/>
        </w:rPr>
        <w:t>DNR status does not prevent surgery</w:t>
      </w:r>
      <w:r w:rsidR="0035086F" w:rsidRPr="006F15BB">
        <w:rPr>
          <w:rFonts w:ascii="Book Antiqua" w:hAnsi="Book Antiqua" w:cs="Times New Roman"/>
          <w:sz w:val="24"/>
          <w:szCs w:val="24"/>
          <w:lang w:val="en-GB"/>
        </w:rPr>
        <w:t xml:space="preserve">, </w:t>
      </w:r>
      <w:r w:rsidR="00B02A5A" w:rsidRPr="006F15BB">
        <w:rPr>
          <w:rFonts w:ascii="Book Antiqua" w:hAnsi="Book Antiqua" w:cs="Times New Roman"/>
          <w:sz w:val="24"/>
          <w:szCs w:val="24"/>
          <w:lang w:val="en-GB"/>
        </w:rPr>
        <w:t>despite</w:t>
      </w:r>
      <w:r w:rsidR="00CB3090" w:rsidRPr="006F15BB">
        <w:rPr>
          <w:rFonts w:ascii="Book Antiqua" w:hAnsi="Book Antiqua" w:cs="Times New Roman"/>
          <w:sz w:val="24"/>
          <w:szCs w:val="24"/>
          <w:lang w:val="en-GB"/>
        </w:rPr>
        <w:t xml:space="preserve"> </w:t>
      </w:r>
      <w:r w:rsidR="0021570D" w:rsidRPr="006F15BB">
        <w:rPr>
          <w:rFonts w:ascii="Book Antiqua" w:hAnsi="Book Antiqua" w:cs="Times New Roman"/>
          <w:sz w:val="24"/>
          <w:szCs w:val="24"/>
          <w:lang w:val="en-GB"/>
        </w:rPr>
        <w:t xml:space="preserve">the </w:t>
      </w:r>
      <w:r w:rsidR="00CB3090" w:rsidRPr="006F15BB">
        <w:rPr>
          <w:rFonts w:ascii="Book Antiqua" w:hAnsi="Book Antiqua" w:cs="Times New Roman"/>
          <w:sz w:val="24"/>
          <w:szCs w:val="24"/>
          <w:lang w:val="en-GB"/>
        </w:rPr>
        <w:t>potential</w:t>
      </w:r>
      <w:r w:rsidR="00B02A5A" w:rsidRPr="006F15BB">
        <w:rPr>
          <w:rFonts w:ascii="Book Antiqua" w:hAnsi="Book Antiqua" w:cs="Times New Roman"/>
          <w:sz w:val="24"/>
          <w:szCs w:val="24"/>
          <w:lang w:val="en-GB"/>
        </w:rPr>
        <w:t xml:space="preserve"> </w:t>
      </w:r>
      <w:r w:rsidR="00CB3090" w:rsidRPr="006F15BB">
        <w:rPr>
          <w:rFonts w:ascii="Book Antiqua" w:hAnsi="Book Antiqua" w:cs="Times New Roman"/>
          <w:sz w:val="24"/>
          <w:szCs w:val="24"/>
          <w:lang w:val="en-GB"/>
        </w:rPr>
        <w:t xml:space="preserve">need for </w:t>
      </w:r>
      <w:r w:rsidR="0035086F" w:rsidRPr="006F15BB">
        <w:rPr>
          <w:rFonts w:ascii="Book Antiqua" w:hAnsi="Book Antiqua" w:cs="Times New Roman"/>
          <w:sz w:val="24"/>
          <w:szCs w:val="24"/>
          <w:lang w:val="en-GB"/>
        </w:rPr>
        <w:t xml:space="preserve">endotracheal intubation or inotropic support during </w:t>
      </w:r>
      <w:proofErr w:type="spellStart"/>
      <w:r w:rsidR="0035086F" w:rsidRPr="006F15BB">
        <w:rPr>
          <w:rFonts w:ascii="Book Antiqua" w:hAnsi="Book Antiqua" w:cs="Times New Roman"/>
          <w:sz w:val="24"/>
          <w:szCs w:val="24"/>
          <w:lang w:val="en-GB"/>
        </w:rPr>
        <w:t>anesthesia</w:t>
      </w:r>
      <w:proofErr w:type="spellEnd"/>
      <w:r w:rsidR="0035086F" w:rsidRPr="006F15BB">
        <w:rPr>
          <w:rFonts w:ascii="Book Antiqua" w:hAnsi="Book Antiqua" w:cs="Times New Roman"/>
          <w:sz w:val="24"/>
          <w:szCs w:val="24"/>
          <w:lang w:val="en-GB"/>
        </w:rPr>
        <w:t>.</w:t>
      </w:r>
      <w:r w:rsidR="0034509C">
        <w:rPr>
          <w:rFonts w:ascii="Book Antiqua" w:hAnsi="Book Antiqua" w:cs="Times New Roman"/>
          <w:sz w:val="24"/>
          <w:szCs w:val="24"/>
          <w:lang w:val="en-GB"/>
        </w:rPr>
        <w:t xml:space="preserve"> </w:t>
      </w:r>
      <w:r w:rsidR="00B02A5A" w:rsidRPr="006F15BB">
        <w:rPr>
          <w:rFonts w:ascii="Book Antiqua" w:hAnsi="Book Antiqua" w:cs="Times New Roman"/>
          <w:sz w:val="24"/>
          <w:szCs w:val="24"/>
          <w:lang w:val="en-GB"/>
        </w:rPr>
        <w:t xml:space="preserve">The American Society of </w:t>
      </w:r>
      <w:r w:rsidR="009E6BEB" w:rsidRPr="006F15BB">
        <w:rPr>
          <w:rFonts w:ascii="Book Antiqua" w:hAnsi="Book Antiqua" w:cs="Times New Roman"/>
          <w:sz w:val="24"/>
          <w:szCs w:val="24"/>
          <w:lang w:val="en-GB"/>
        </w:rPr>
        <w:t>Anaesthesiologists’</w:t>
      </w:r>
      <w:r w:rsidR="00B02A5A" w:rsidRPr="006F15BB">
        <w:rPr>
          <w:rFonts w:ascii="Book Antiqua" w:hAnsi="Book Antiqua" w:cs="Times New Roman"/>
          <w:sz w:val="24"/>
          <w:szCs w:val="24"/>
          <w:lang w:val="en-GB"/>
        </w:rPr>
        <w:t xml:space="preserve"> Ethics Committee guidance of 2013 </w:t>
      </w:r>
      <w:r w:rsidR="00CB3090" w:rsidRPr="006F15BB">
        <w:rPr>
          <w:rFonts w:ascii="Book Antiqua" w:hAnsi="Book Antiqua" w:cs="Times New Roman"/>
          <w:sz w:val="24"/>
          <w:szCs w:val="24"/>
          <w:lang w:val="en-GB"/>
        </w:rPr>
        <w:t>states</w:t>
      </w:r>
      <w:r w:rsidRPr="006F15BB">
        <w:rPr>
          <w:rFonts w:ascii="Book Antiqua" w:hAnsi="Book Antiqua" w:cs="Times New Roman"/>
          <w:sz w:val="24"/>
          <w:szCs w:val="24"/>
          <w:lang w:val="en-GB"/>
        </w:rPr>
        <w:t xml:space="preserve">: </w:t>
      </w:r>
      <w:r w:rsidR="00B02A5A" w:rsidRPr="006F15BB">
        <w:rPr>
          <w:rFonts w:ascii="Book Antiqua" w:hAnsi="Book Antiqua" w:cs="Times New Roman"/>
          <w:sz w:val="24"/>
          <w:szCs w:val="24"/>
          <w:lang w:val="en-GB"/>
        </w:rPr>
        <w:t>“</w:t>
      </w:r>
      <w:r w:rsidRPr="006F15BB">
        <w:rPr>
          <w:rFonts w:ascii="Book Antiqua" w:hAnsi="Book Antiqua" w:cs="Times New Roman"/>
          <w:sz w:val="24"/>
          <w:szCs w:val="24"/>
          <w:lang w:val="en-GB"/>
        </w:rPr>
        <w:t xml:space="preserve">an </w:t>
      </w:r>
      <w:r w:rsidR="00B02A5A" w:rsidRPr="006F15BB">
        <w:rPr>
          <w:rFonts w:ascii="Book Antiqua" w:hAnsi="Book Antiqua" w:cs="Times New Roman"/>
          <w:sz w:val="24"/>
          <w:szCs w:val="24"/>
        </w:rPr>
        <w:t xml:space="preserve">essential element of preoperative preparation and perioperative care for patients with </w:t>
      </w:r>
      <w:r w:rsidRPr="006F15BB">
        <w:rPr>
          <w:rFonts w:ascii="Book Antiqua" w:hAnsi="Book Antiqua" w:cs="Times New Roman"/>
          <w:sz w:val="24"/>
          <w:szCs w:val="24"/>
        </w:rPr>
        <w:t xml:space="preserve">DNR </w:t>
      </w:r>
      <w:r w:rsidR="00B02A5A" w:rsidRPr="006F15BB">
        <w:rPr>
          <w:rFonts w:ascii="Book Antiqua" w:hAnsi="Book Antiqua" w:cs="Times New Roman"/>
          <w:sz w:val="24"/>
          <w:szCs w:val="24"/>
        </w:rPr>
        <w:t>orders …is communication among involved partie</w:t>
      </w:r>
      <w:r w:rsidRPr="006F15BB">
        <w:rPr>
          <w:rFonts w:ascii="Book Antiqua" w:hAnsi="Book Antiqua" w:cs="Times New Roman"/>
          <w:sz w:val="24"/>
          <w:szCs w:val="24"/>
        </w:rPr>
        <w:t>s.</w:t>
      </w:r>
      <w:r w:rsidR="00354A8C" w:rsidRPr="006F15BB">
        <w:rPr>
          <w:rFonts w:ascii="Book Antiqua" w:hAnsi="Book Antiqua" w:cs="Times New Roman"/>
          <w:sz w:val="24"/>
          <w:szCs w:val="24"/>
        </w:rPr>
        <w:t xml:space="preserve"> …</w:t>
      </w:r>
      <w:r w:rsidRPr="006F15BB">
        <w:rPr>
          <w:rFonts w:ascii="Book Antiqua" w:hAnsi="Book Antiqua" w:cs="Times New Roman"/>
          <w:sz w:val="24"/>
          <w:szCs w:val="24"/>
        </w:rPr>
        <w:t>T</w:t>
      </w:r>
      <w:r w:rsidR="00B02A5A" w:rsidRPr="006F15BB">
        <w:rPr>
          <w:rFonts w:ascii="Book Antiqua" w:hAnsi="Book Antiqua" w:cs="Times New Roman"/>
          <w:sz w:val="24"/>
          <w:szCs w:val="24"/>
        </w:rPr>
        <w:t>he status of these directives should be clarified or modified based on the preferences of the patient</w:t>
      </w:r>
      <w:r w:rsidR="005C6F2A" w:rsidRPr="006F15BB">
        <w:rPr>
          <w:rFonts w:ascii="Book Antiqua" w:hAnsi="Book Antiqua" w:cs="Times New Roman"/>
          <w:sz w:val="24"/>
          <w:szCs w:val="24"/>
        </w:rPr>
        <w:t>”</w:t>
      </w:r>
      <w:r w:rsidR="00436A47" w:rsidRPr="006F15BB">
        <w:rPr>
          <w:rFonts w:ascii="Book Antiqua" w:hAnsi="Book Antiqua" w:cs="Times New Roman"/>
          <w:sz w:val="24"/>
          <w:szCs w:val="24"/>
        </w:rPr>
        <w:fldChar w:fldCharType="begin" w:fldLock="1"/>
      </w:r>
      <w:r w:rsidR="00C2761D" w:rsidRPr="006F15BB">
        <w:rPr>
          <w:rFonts w:ascii="Book Antiqua" w:hAnsi="Book Antiqua" w:cs="Times New Roman"/>
          <w:sz w:val="24"/>
          <w:szCs w:val="24"/>
        </w:rPr>
        <w:instrText>ADDIN CSL_CITATION { "citationItems" : [ { "id" : "ITEM-1", "itemData" : { "author" : [ { "dropping-particle" : "", "family" : "American Society of Anesthesiologists.", "given" : "", "non-dropping-particle" : "", "parse-names" : false, "suffix" : "" } ], "id" : "ITEM-1", "issued" : { "date-parts" : [ [ "2013" ] ] }, "title" : "Ethical guidelines for the anesthesia care of patients with do-not-resuscitate orders or other directives that limit treatment", "type" : "article-journal" }, "uris" : [ "http://www.mendeley.com/documents/?uuid=86acda3c-29b1-4029-8652-00aa533eeb8e" ] } ], "mendeley" : { "formattedCitation" : "&lt;sup&gt;[&lt;sup&gt;7&lt;/sup&gt;]&lt;/sup&gt;", "plainTextFormattedCitation" : "[7]", "previouslyFormattedCitation" : "&lt;sup&gt;[&lt;sup&gt;7&lt;/sup&gt;]&lt;/sup&gt;" }, "properties" : { "noteIndex" : 0 }, "schema" : "https://github.com/citation-style-language/schema/raw/master/csl-citation.json" }</w:instrText>
      </w:r>
      <w:r w:rsidR="00436A47" w:rsidRPr="006F15BB">
        <w:rPr>
          <w:rFonts w:ascii="Book Antiqua" w:hAnsi="Book Antiqua" w:cs="Times New Roman"/>
          <w:sz w:val="24"/>
          <w:szCs w:val="24"/>
        </w:rPr>
        <w:fldChar w:fldCharType="separate"/>
      </w:r>
      <w:r w:rsidR="0052176A" w:rsidRPr="006F15BB">
        <w:rPr>
          <w:rFonts w:ascii="Book Antiqua" w:hAnsi="Book Antiqua" w:cs="Times New Roman"/>
          <w:noProof/>
          <w:sz w:val="24"/>
          <w:szCs w:val="24"/>
          <w:vertAlign w:val="superscript"/>
        </w:rPr>
        <w:t>[7]</w:t>
      </w:r>
      <w:r w:rsidR="00436A47" w:rsidRPr="006F15BB">
        <w:rPr>
          <w:rFonts w:ascii="Book Antiqua" w:hAnsi="Book Antiqua" w:cs="Times New Roman"/>
          <w:sz w:val="24"/>
          <w:szCs w:val="24"/>
        </w:rPr>
        <w:fldChar w:fldCharType="end"/>
      </w:r>
      <w:r w:rsidR="00126F21" w:rsidRPr="006F15BB">
        <w:rPr>
          <w:rFonts w:ascii="Book Antiqua" w:hAnsi="Book Antiqua" w:cs="Times New Roman"/>
          <w:sz w:val="24"/>
          <w:szCs w:val="24"/>
        </w:rPr>
        <w:t>.</w:t>
      </w:r>
      <w:r w:rsidR="00CB3090" w:rsidRPr="006F15BB">
        <w:rPr>
          <w:rFonts w:ascii="Book Antiqua" w:hAnsi="Book Antiqua" w:cs="Times New Roman"/>
          <w:sz w:val="24"/>
          <w:szCs w:val="24"/>
        </w:rPr>
        <w:t xml:space="preserve"> </w:t>
      </w:r>
      <w:r w:rsidR="00CB3090" w:rsidRPr="006F15BB">
        <w:rPr>
          <w:rFonts w:ascii="Book Antiqua" w:hAnsi="Book Antiqua" w:cs="Times New Roman"/>
          <w:sz w:val="24"/>
          <w:szCs w:val="24"/>
          <w:lang w:val="en-GB"/>
        </w:rPr>
        <w:t>P</w:t>
      </w:r>
      <w:r w:rsidR="0035086F" w:rsidRPr="006F15BB">
        <w:rPr>
          <w:rFonts w:ascii="Book Antiqua" w:hAnsi="Book Antiqua" w:cs="Times New Roman"/>
          <w:sz w:val="24"/>
          <w:szCs w:val="24"/>
          <w:lang w:val="en-GB"/>
        </w:rPr>
        <w:t xml:space="preserve">atients with DNR status </w:t>
      </w:r>
      <w:r w:rsidR="009E6BEB" w:rsidRPr="006F15BB">
        <w:rPr>
          <w:rFonts w:ascii="Book Antiqua" w:hAnsi="Book Antiqua" w:cs="Times New Roman"/>
          <w:sz w:val="24"/>
          <w:szCs w:val="24"/>
          <w:lang w:val="en-GB"/>
        </w:rPr>
        <w:t xml:space="preserve">can </w:t>
      </w:r>
      <w:r w:rsidR="00925337" w:rsidRPr="006F15BB">
        <w:rPr>
          <w:rFonts w:ascii="Book Antiqua" w:hAnsi="Book Antiqua" w:cs="Times New Roman"/>
          <w:sz w:val="24"/>
          <w:szCs w:val="24"/>
          <w:lang w:val="en-GB"/>
        </w:rPr>
        <w:t xml:space="preserve">undergo a range of emergency, urgent </w:t>
      </w:r>
      <w:r w:rsidR="009E6BEB" w:rsidRPr="006F15BB">
        <w:rPr>
          <w:rFonts w:ascii="Book Antiqua" w:hAnsi="Book Antiqua" w:cs="Times New Roman"/>
          <w:sz w:val="24"/>
          <w:szCs w:val="24"/>
          <w:lang w:val="en-GB"/>
        </w:rPr>
        <w:t xml:space="preserve">or </w:t>
      </w:r>
      <w:r w:rsidR="00925337" w:rsidRPr="006F15BB">
        <w:rPr>
          <w:rFonts w:ascii="Book Antiqua" w:hAnsi="Book Antiqua" w:cs="Times New Roman"/>
          <w:sz w:val="24"/>
          <w:szCs w:val="24"/>
          <w:lang w:val="en-GB"/>
        </w:rPr>
        <w:t xml:space="preserve">elective surgical procedures to prolong </w:t>
      </w:r>
      <w:r w:rsidR="0035086F" w:rsidRPr="006F15BB">
        <w:rPr>
          <w:rFonts w:ascii="Book Antiqua" w:hAnsi="Book Antiqua" w:cs="Times New Roman"/>
          <w:sz w:val="24"/>
          <w:szCs w:val="24"/>
          <w:lang w:val="en-GB"/>
        </w:rPr>
        <w:t xml:space="preserve">life </w:t>
      </w:r>
      <w:r w:rsidR="00925337" w:rsidRPr="006F15BB">
        <w:rPr>
          <w:rFonts w:ascii="Book Antiqua" w:hAnsi="Book Antiqua" w:cs="Times New Roman"/>
          <w:sz w:val="24"/>
          <w:szCs w:val="24"/>
          <w:lang w:val="en-GB"/>
        </w:rPr>
        <w:t>or improve quality of life.</w:t>
      </w:r>
      <w:r w:rsidR="009E6BEB" w:rsidRPr="006F15BB">
        <w:rPr>
          <w:rFonts w:ascii="Book Antiqua" w:hAnsi="Book Antiqua" w:cs="Times New Roman"/>
          <w:sz w:val="24"/>
          <w:szCs w:val="24"/>
          <w:lang w:val="en-GB"/>
        </w:rPr>
        <w:t xml:space="preserve"> However,</w:t>
      </w:r>
      <w:r w:rsidR="00925337" w:rsidRPr="006F15BB">
        <w:rPr>
          <w:rFonts w:ascii="Book Antiqua" w:hAnsi="Book Antiqua" w:cs="Times New Roman"/>
          <w:sz w:val="24"/>
          <w:szCs w:val="24"/>
          <w:lang w:val="en-GB"/>
        </w:rPr>
        <w:t xml:space="preserve"> </w:t>
      </w:r>
      <w:r w:rsidR="0021570D" w:rsidRPr="006F15BB">
        <w:rPr>
          <w:rFonts w:ascii="Book Antiqua" w:hAnsi="Book Antiqua" w:cs="Times New Roman"/>
          <w:sz w:val="24"/>
          <w:szCs w:val="24"/>
          <w:lang w:val="en-GB"/>
        </w:rPr>
        <w:t xml:space="preserve">as </w:t>
      </w:r>
      <w:r w:rsidR="0035086F" w:rsidRPr="006F15BB">
        <w:rPr>
          <w:rFonts w:ascii="Book Antiqua" w:hAnsi="Book Antiqua" w:cs="Times New Roman"/>
          <w:sz w:val="24"/>
          <w:szCs w:val="24"/>
          <w:lang w:val="en-GB"/>
        </w:rPr>
        <w:t>DNR status frequently</w:t>
      </w:r>
      <w:r w:rsidR="0095459B" w:rsidRPr="006F15BB">
        <w:rPr>
          <w:rFonts w:ascii="Book Antiqua" w:hAnsi="Book Antiqua" w:cs="Times New Roman"/>
          <w:sz w:val="24"/>
          <w:szCs w:val="24"/>
          <w:lang w:val="en-GB"/>
        </w:rPr>
        <w:t xml:space="preserve"> coincide</w:t>
      </w:r>
      <w:r w:rsidR="0035086F" w:rsidRPr="006F15BB">
        <w:rPr>
          <w:rFonts w:ascii="Book Antiqua" w:hAnsi="Book Antiqua" w:cs="Times New Roman"/>
          <w:sz w:val="24"/>
          <w:szCs w:val="24"/>
          <w:lang w:val="en-GB"/>
        </w:rPr>
        <w:t>s</w:t>
      </w:r>
      <w:r w:rsidR="00946B20" w:rsidRPr="006F15BB">
        <w:rPr>
          <w:rFonts w:ascii="Book Antiqua" w:hAnsi="Book Antiqua" w:cs="Times New Roman"/>
          <w:sz w:val="24"/>
          <w:szCs w:val="24"/>
          <w:lang w:val="en-GB"/>
        </w:rPr>
        <w:t xml:space="preserve"> </w:t>
      </w:r>
      <w:r w:rsidR="00581632" w:rsidRPr="006F15BB">
        <w:rPr>
          <w:rFonts w:ascii="Book Antiqua" w:hAnsi="Book Antiqua" w:cs="Times New Roman"/>
          <w:sz w:val="24"/>
          <w:szCs w:val="24"/>
          <w:lang w:val="en-GB"/>
        </w:rPr>
        <w:t>with narrowed goals</w:t>
      </w:r>
      <w:r w:rsidR="001A4B28" w:rsidRPr="006F15BB">
        <w:rPr>
          <w:rFonts w:ascii="Book Antiqua" w:hAnsi="Book Antiqua" w:cs="Times New Roman"/>
          <w:sz w:val="24"/>
          <w:szCs w:val="24"/>
          <w:lang w:val="en-GB"/>
        </w:rPr>
        <w:t xml:space="preserve"> of care</w:t>
      </w:r>
      <w:r w:rsidR="0095459B" w:rsidRPr="006F15BB">
        <w:rPr>
          <w:rFonts w:ascii="Book Antiqua" w:hAnsi="Book Antiqua" w:cs="Times New Roman"/>
          <w:sz w:val="24"/>
          <w:szCs w:val="24"/>
          <w:lang w:val="en-GB"/>
        </w:rPr>
        <w:t>,</w:t>
      </w:r>
      <w:r w:rsidR="00581632" w:rsidRPr="006F15BB">
        <w:rPr>
          <w:rFonts w:ascii="Book Antiqua" w:hAnsi="Book Antiqua" w:cs="Times New Roman"/>
          <w:sz w:val="24"/>
          <w:szCs w:val="24"/>
          <w:lang w:val="en-GB"/>
        </w:rPr>
        <w:t xml:space="preserve"> </w:t>
      </w:r>
      <w:r w:rsidR="0021570D" w:rsidRPr="006F15BB">
        <w:rPr>
          <w:rFonts w:ascii="Book Antiqua" w:hAnsi="Book Antiqua" w:cs="Times New Roman"/>
          <w:sz w:val="24"/>
          <w:szCs w:val="24"/>
          <w:lang w:val="en-GB"/>
        </w:rPr>
        <w:t xml:space="preserve">procedures tend to be </w:t>
      </w:r>
      <w:r w:rsidR="0035086F" w:rsidRPr="006F15BB">
        <w:rPr>
          <w:rFonts w:ascii="Book Antiqua" w:hAnsi="Book Antiqua" w:cs="Times New Roman"/>
          <w:sz w:val="24"/>
          <w:szCs w:val="24"/>
          <w:lang w:val="en-GB"/>
        </w:rPr>
        <w:t>life s</w:t>
      </w:r>
      <w:r w:rsidR="0021570D" w:rsidRPr="006F15BB">
        <w:rPr>
          <w:rFonts w:ascii="Book Antiqua" w:hAnsi="Book Antiqua" w:cs="Times New Roman"/>
          <w:sz w:val="24"/>
          <w:szCs w:val="24"/>
          <w:lang w:val="en-GB"/>
        </w:rPr>
        <w:t>ustaining or palliative, rather than elective</w:t>
      </w:r>
      <w:r w:rsidR="0035086F" w:rsidRPr="006F15BB">
        <w:rPr>
          <w:rFonts w:ascii="Book Antiqua" w:hAnsi="Book Antiqua" w:cs="Times New Roman"/>
          <w:sz w:val="24"/>
          <w:szCs w:val="24"/>
          <w:lang w:val="en-GB"/>
        </w:rPr>
        <w:t>.</w:t>
      </w:r>
      <w:r w:rsidR="0034509C">
        <w:rPr>
          <w:rFonts w:ascii="Book Antiqua" w:hAnsi="Book Antiqua" w:cs="Times New Roman"/>
          <w:sz w:val="24"/>
          <w:szCs w:val="24"/>
          <w:lang w:val="en-GB"/>
        </w:rPr>
        <w:t xml:space="preserve"> </w:t>
      </w:r>
    </w:p>
    <w:p w14:paraId="6C88D6C4" w14:textId="77777777" w:rsidR="00B55E1A" w:rsidRPr="0034509C" w:rsidRDefault="009E6BEB" w:rsidP="008E7BBF">
      <w:pPr>
        <w:pStyle w:val="Default"/>
        <w:adjustRightInd w:val="0"/>
        <w:snapToGrid w:val="0"/>
        <w:spacing w:line="360" w:lineRule="auto"/>
        <w:ind w:firstLine="720"/>
        <w:jc w:val="both"/>
        <w:rPr>
          <w:rFonts w:ascii="Book Antiqua" w:eastAsia="宋体" w:hAnsi="Book Antiqua" w:cs="Times New Roman"/>
          <w:sz w:val="24"/>
          <w:szCs w:val="24"/>
          <w:lang w:val="en-GB" w:eastAsia="zh-CN"/>
        </w:rPr>
      </w:pPr>
      <w:r w:rsidRPr="006F15BB">
        <w:rPr>
          <w:rFonts w:ascii="Book Antiqua" w:hAnsi="Book Antiqua" w:cs="Times New Roman"/>
          <w:sz w:val="24"/>
          <w:szCs w:val="24"/>
          <w:lang w:val="en-GB"/>
        </w:rPr>
        <w:t xml:space="preserve">The true incidence and composition of surgery </w:t>
      </w:r>
      <w:r w:rsidR="0021570D" w:rsidRPr="006F15BB">
        <w:rPr>
          <w:rFonts w:ascii="Book Antiqua" w:hAnsi="Book Antiqua" w:cs="Times New Roman"/>
          <w:sz w:val="24"/>
          <w:szCs w:val="24"/>
          <w:lang w:val="en-GB"/>
        </w:rPr>
        <w:t xml:space="preserve">in patients with </w:t>
      </w:r>
      <w:r w:rsidR="001A4B28" w:rsidRPr="006F15BB">
        <w:rPr>
          <w:rFonts w:ascii="Book Antiqua" w:hAnsi="Book Antiqua" w:cs="Times New Roman"/>
          <w:sz w:val="24"/>
          <w:szCs w:val="24"/>
          <w:lang w:val="en-GB"/>
        </w:rPr>
        <w:t>DNR status</w:t>
      </w:r>
      <w:r w:rsidR="0021570D" w:rsidRPr="006F15BB">
        <w:rPr>
          <w:rFonts w:ascii="Book Antiqua" w:hAnsi="Book Antiqua" w:cs="Times New Roman"/>
          <w:sz w:val="24"/>
          <w:szCs w:val="24"/>
          <w:lang w:val="en-GB"/>
        </w:rPr>
        <w:t xml:space="preserve"> </w:t>
      </w:r>
      <w:r w:rsidR="001A4B28" w:rsidRPr="006F15BB">
        <w:rPr>
          <w:rFonts w:ascii="Book Antiqua" w:hAnsi="Book Antiqua" w:cs="Times New Roman"/>
          <w:sz w:val="24"/>
          <w:szCs w:val="24"/>
          <w:lang w:val="en-GB"/>
        </w:rPr>
        <w:t xml:space="preserve">is unknown. One </w:t>
      </w:r>
      <w:r w:rsidRPr="006F15BB">
        <w:rPr>
          <w:rFonts w:ascii="Book Antiqua" w:hAnsi="Book Antiqua" w:cs="Times New Roman"/>
          <w:sz w:val="24"/>
          <w:szCs w:val="24"/>
          <w:lang w:val="en-GB"/>
        </w:rPr>
        <w:t xml:space="preserve">recent analysis </w:t>
      </w:r>
      <w:r w:rsidR="0021570D" w:rsidRPr="006F15BB">
        <w:rPr>
          <w:rFonts w:ascii="Book Antiqua" w:hAnsi="Book Antiqua" w:cs="Times New Roman"/>
          <w:sz w:val="24"/>
          <w:szCs w:val="24"/>
          <w:lang w:val="en-GB"/>
        </w:rPr>
        <w:t>identified</w:t>
      </w:r>
      <w:r w:rsidRPr="006F15BB">
        <w:rPr>
          <w:rFonts w:ascii="Book Antiqua" w:hAnsi="Book Antiqua" w:cs="Times New Roman"/>
          <w:sz w:val="24"/>
          <w:szCs w:val="24"/>
          <w:lang w:val="en-GB"/>
        </w:rPr>
        <w:t xml:space="preserve"> 22% of</w:t>
      </w:r>
      <w:r w:rsidR="009132B1" w:rsidRPr="006F15BB">
        <w:rPr>
          <w:rFonts w:ascii="Book Antiqua" w:hAnsi="Book Antiqua" w:cs="Times New Roman"/>
          <w:sz w:val="24"/>
          <w:szCs w:val="24"/>
          <w:lang w:val="en-GB"/>
        </w:rPr>
        <w:t xml:space="preserve"> all surgeries in</w:t>
      </w:r>
      <w:r w:rsidRPr="006F15BB">
        <w:rPr>
          <w:rFonts w:ascii="Book Antiqua" w:hAnsi="Book Antiqua" w:cs="Times New Roman"/>
          <w:sz w:val="24"/>
          <w:szCs w:val="24"/>
          <w:lang w:val="en-GB"/>
        </w:rPr>
        <w:t xml:space="preserve"> patients with DNR status </w:t>
      </w:r>
      <w:r w:rsidR="009132B1" w:rsidRPr="006F15BB">
        <w:rPr>
          <w:rFonts w:ascii="Book Antiqua" w:hAnsi="Book Antiqua" w:cs="Times New Roman"/>
          <w:sz w:val="24"/>
          <w:szCs w:val="24"/>
          <w:lang w:val="en-GB"/>
        </w:rPr>
        <w:t xml:space="preserve">were lower limb </w:t>
      </w:r>
      <w:proofErr w:type="spellStart"/>
      <w:r w:rsidR="009132B1" w:rsidRPr="006F15BB">
        <w:rPr>
          <w:rFonts w:ascii="Book Antiqua" w:hAnsi="Book Antiqua" w:cs="Times New Roman"/>
          <w:sz w:val="24"/>
          <w:szCs w:val="24"/>
          <w:lang w:val="en-GB"/>
        </w:rPr>
        <w:t>orthopedic</w:t>
      </w:r>
      <w:proofErr w:type="spellEnd"/>
      <w:r w:rsidR="009132B1" w:rsidRPr="006F15BB">
        <w:rPr>
          <w:rFonts w:ascii="Book Antiqua" w:hAnsi="Book Antiqua" w:cs="Times New Roman"/>
          <w:sz w:val="24"/>
          <w:szCs w:val="24"/>
          <w:lang w:val="en-GB"/>
        </w:rPr>
        <w:t xml:space="preserve"> procedures</w:t>
      </w:r>
      <w:r w:rsidR="00436A47" w:rsidRPr="006F15BB">
        <w:rPr>
          <w:rFonts w:ascii="Book Antiqua" w:hAnsi="Book Antiqua" w:cs="Times New Roman"/>
          <w:sz w:val="24"/>
          <w:szCs w:val="24"/>
          <w:lang w:val="en-GB"/>
        </w:rPr>
        <w:fldChar w:fldCharType="begin" w:fldLock="1"/>
      </w:r>
      <w:r w:rsidR="00C2761D" w:rsidRPr="006F15BB">
        <w:rPr>
          <w:rFonts w:ascii="Book Antiqua" w:hAnsi="Book Antiqua" w:cs="Times New Roman"/>
          <w:sz w:val="24"/>
          <w:szCs w:val="24"/>
          <w:lang w:val="en-GB"/>
        </w:rPr>
        <w:instrText>ADDIN CSL_CITATION { "citationItems" : [ { "id" : "ITEM-1", "itemData" : { "DOI" : "10.1213/ANE.0000000000001904", "ISSN" : "0003-2999", "author" : [ { "dropping-particle" : "", "family" : "Walsh", "given" : "Elisa C.", "non-dropping-particle" : "", "parse-names" : false, "suffix" : "" }, { "dropping-particle" : "", "family" : "Brovman", "given" : "Ethan Y.", "non-dropping-particle" : "", "parse-names" : false, "suffix" : "" }, { "dropping-particle" : "", "family" : "Bader", "given" : "Angela M.", "non-dropping-particle" : "", "parse-names" : false, "suffix" : "" }, { "dropping-particle" : "", "family" : "Urman", "given" : "Richard D.", "non-dropping-particle" : "", "parse-names" : false, "suffix" : "" } ], "container-title" : "Anesthesia &amp; Analgesia", "id" : "ITEM-1", "issued" : { "date-parts" : [ [ "2017", "3" ] ] }, "page" : "1", "title" : "Do-Not-Resuscitate Status Is Associated With Increased Mortality But Not Morbidity", "type" : "article-journal" }, "uris" : [ "http://www.mendeley.com/documents/?uuid=dc658d9a-00ed-349b-b393-5008e00f406f" ] } ], "mendeley" : { "formattedCitation" : "&lt;sup&gt;[&lt;sup&gt;8&lt;/sup&gt;]&lt;/sup&gt;", "plainTextFormattedCitation" : "[8]", "previouslyFormattedCitation" : "&lt;sup&gt;[&lt;sup&gt;8&lt;/sup&gt;]&lt;/sup&gt;" }, "properties" : { "noteIndex" : 0 }, "schema" : "https://github.com/citation-style-language/schema/raw/master/csl-citation.json" }</w:instrText>
      </w:r>
      <w:r w:rsidR="00436A47" w:rsidRPr="006F15BB">
        <w:rPr>
          <w:rFonts w:ascii="Book Antiqua" w:hAnsi="Book Antiqua" w:cs="Times New Roman"/>
          <w:sz w:val="24"/>
          <w:szCs w:val="24"/>
          <w:lang w:val="en-GB"/>
        </w:rPr>
        <w:fldChar w:fldCharType="separate"/>
      </w:r>
      <w:r w:rsidR="0052176A" w:rsidRPr="006F15BB">
        <w:rPr>
          <w:rFonts w:ascii="Book Antiqua" w:hAnsi="Book Antiqua" w:cs="Times New Roman"/>
          <w:noProof/>
          <w:sz w:val="24"/>
          <w:szCs w:val="24"/>
          <w:vertAlign w:val="superscript"/>
          <w:lang w:val="en-GB"/>
        </w:rPr>
        <w:t>[8]</w:t>
      </w:r>
      <w:r w:rsidR="00436A47" w:rsidRPr="006F15BB">
        <w:rPr>
          <w:rFonts w:ascii="Book Antiqua" w:hAnsi="Book Antiqua" w:cs="Times New Roman"/>
          <w:sz w:val="24"/>
          <w:szCs w:val="24"/>
          <w:lang w:val="en-GB"/>
        </w:rPr>
        <w:fldChar w:fldCharType="end"/>
      </w:r>
      <w:r w:rsidR="00775540" w:rsidRPr="006F15BB">
        <w:rPr>
          <w:rFonts w:ascii="Book Antiqua" w:hAnsi="Book Antiqua" w:cs="Times New Roman"/>
          <w:sz w:val="24"/>
          <w:szCs w:val="24"/>
          <w:lang w:val="en-GB"/>
        </w:rPr>
        <w:t xml:space="preserve">. </w:t>
      </w:r>
      <w:r w:rsidR="001A4B28" w:rsidRPr="006F15BB">
        <w:rPr>
          <w:rFonts w:ascii="Book Antiqua" w:hAnsi="Book Antiqua" w:cs="Times New Roman"/>
          <w:sz w:val="24"/>
          <w:szCs w:val="24"/>
          <w:lang w:val="en-GB"/>
        </w:rPr>
        <w:t>H</w:t>
      </w:r>
      <w:r w:rsidR="00B55E1A" w:rsidRPr="006F15BB">
        <w:rPr>
          <w:rFonts w:ascii="Book Antiqua" w:hAnsi="Book Antiqua" w:cs="Times New Roman"/>
          <w:sz w:val="24"/>
          <w:szCs w:val="24"/>
          <w:lang w:val="en-GB"/>
        </w:rPr>
        <w:t>ip fracture fixation is the</w:t>
      </w:r>
      <w:r w:rsidR="001A4B28" w:rsidRPr="006F15BB">
        <w:rPr>
          <w:rFonts w:ascii="Book Antiqua" w:hAnsi="Book Antiqua" w:cs="Times New Roman"/>
          <w:sz w:val="24"/>
          <w:szCs w:val="24"/>
          <w:lang w:val="en-GB"/>
        </w:rPr>
        <w:t xml:space="preserve"> </w:t>
      </w:r>
      <w:r w:rsidR="00F67FD8" w:rsidRPr="006F15BB">
        <w:rPr>
          <w:rFonts w:ascii="Book Antiqua" w:hAnsi="Book Antiqua" w:cs="Times New Roman"/>
          <w:sz w:val="24"/>
          <w:szCs w:val="24"/>
          <w:lang w:val="en-GB"/>
        </w:rPr>
        <w:t xml:space="preserve">most </w:t>
      </w:r>
      <w:r w:rsidR="001A4B28" w:rsidRPr="006F15BB">
        <w:rPr>
          <w:rFonts w:ascii="Book Antiqua" w:hAnsi="Book Antiqua" w:cs="Times New Roman"/>
          <w:sz w:val="24"/>
          <w:szCs w:val="24"/>
          <w:lang w:val="en-GB"/>
        </w:rPr>
        <w:t xml:space="preserve">common indication for </w:t>
      </w:r>
      <w:r w:rsidR="0021570D" w:rsidRPr="006F15BB">
        <w:rPr>
          <w:rFonts w:ascii="Book Antiqua" w:hAnsi="Book Antiqua" w:cs="Times New Roman"/>
          <w:sz w:val="24"/>
          <w:szCs w:val="24"/>
          <w:lang w:val="en-GB"/>
        </w:rPr>
        <w:t>hip surgery at</w:t>
      </w:r>
      <w:r w:rsidR="0095459B" w:rsidRPr="006F15BB">
        <w:rPr>
          <w:rFonts w:ascii="Book Antiqua" w:hAnsi="Book Antiqua" w:cs="Times New Roman"/>
          <w:sz w:val="24"/>
          <w:szCs w:val="24"/>
          <w:lang w:val="en-GB"/>
        </w:rPr>
        <w:t xml:space="preserve"> </w:t>
      </w:r>
      <w:r w:rsidR="00354A8C" w:rsidRPr="006F15BB">
        <w:rPr>
          <w:rFonts w:ascii="Book Antiqua" w:hAnsi="Book Antiqua" w:cs="Times New Roman"/>
          <w:sz w:val="24"/>
          <w:szCs w:val="24"/>
          <w:lang w:val="en-GB"/>
        </w:rPr>
        <w:t>the older</w:t>
      </w:r>
      <w:r w:rsidR="0021570D" w:rsidRPr="006F15BB">
        <w:rPr>
          <w:rFonts w:ascii="Book Antiqua" w:hAnsi="Book Antiqua" w:cs="Times New Roman"/>
          <w:sz w:val="24"/>
          <w:szCs w:val="24"/>
          <w:lang w:val="en-GB"/>
        </w:rPr>
        <w:t xml:space="preserve"> extreme of age</w:t>
      </w:r>
      <w:r w:rsidR="00F67FD8" w:rsidRPr="006F15BB">
        <w:rPr>
          <w:rFonts w:ascii="Book Antiqua" w:hAnsi="Book Antiqua" w:cs="Times New Roman"/>
          <w:sz w:val="24"/>
          <w:szCs w:val="24"/>
          <w:lang w:val="en-GB"/>
        </w:rPr>
        <w:t>,</w:t>
      </w:r>
      <w:r w:rsidR="0021570D" w:rsidRPr="006F15BB">
        <w:rPr>
          <w:rFonts w:ascii="Book Antiqua" w:hAnsi="Book Antiqua" w:cs="Times New Roman"/>
          <w:sz w:val="24"/>
          <w:szCs w:val="24"/>
          <w:lang w:val="en-GB"/>
        </w:rPr>
        <w:t xml:space="preserve"> </w:t>
      </w:r>
      <w:r w:rsidR="009132B1" w:rsidRPr="006F15BB">
        <w:rPr>
          <w:rFonts w:ascii="Book Antiqua" w:hAnsi="Book Antiqua" w:cs="Times New Roman"/>
          <w:sz w:val="24"/>
          <w:szCs w:val="24"/>
          <w:lang w:val="en-GB"/>
        </w:rPr>
        <w:t xml:space="preserve">and </w:t>
      </w:r>
      <w:proofErr w:type="spellStart"/>
      <w:r w:rsidR="00354A8C" w:rsidRPr="006F15BB">
        <w:rPr>
          <w:rFonts w:ascii="Book Antiqua" w:hAnsi="Book Antiqua" w:cs="Times New Roman"/>
          <w:sz w:val="24"/>
          <w:szCs w:val="24"/>
          <w:lang w:val="en-GB"/>
        </w:rPr>
        <w:t>orthogeriatric</w:t>
      </w:r>
      <w:proofErr w:type="spellEnd"/>
      <w:r w:rsidR="00354A8C" w:rsidRPr="006F15BB">
        <w:rPr>
          <w:rFonts w:ascii="Book Antiqua" w:hAnsi="Book Antiqua" w:cs="Times New Roman"/>
          <w:sz w:val="24"/>
          <w:szCs w:val="24"/>
          <w:lang w:val="en-GB"/>
        </w:rPr>
        <w:t xml:space="preserve"> </w:t>
      </w:r>
      <w:r w:rsidR="0021570D" w:rsidRPr="006F15BB">
        <w:rPr>
          <w:rFonts w:ascii="Book Antiqua" w:hAnsi="Book Antiqua" w:cs="Times New Roman"/>
          <w:sz w:val="24"/>
          <w:szCs w:val="24"/>
          <w:lang w:val="en-GB"/>
        </w:rPr>
        <w:t>patient outcomes have</w:t>
      </w:r>
      <w:r w:rsidR="009132B1" w:rsidRPr="006F15BB">
        <w:rPr>
          <w:rFonts w:ascii="Book Antiqua" w:hAnsi="Book Antiqua" w:cs="Times New Roman"/>
          <w:sz w:val="24"/>
          <w:szCs w:val="24"/>
          <w:lang w:val="en-GB"/>
        </w:rPr>
        <w:t xml:space="preserve"> been the focus of recent national quality improvement initiatives</w:t>
      </w:r>
      <w:r w:rsidR="00436A47" w:rsidRPr="006F15BB">
        <w:rPr>
          <w:rFonts w:ascii="Book Antiqua" w:hAnsi="Book Antiqua" w:cs="Times New Roman"/>
          <w:sz w:val="24"/>
          <w:szCs w:val="24"/>
          <w:lang w:val="en-GB"/>
        </w:rPr>
        <w:fldChar w:fldCharType="begin" w:fldLock="1"/>
      </w:r>
      <w:r w:rsidR="00C2761D" w:rsidRPr="006F15BB">
        <w:rPr>
          <w:rFonts w:ascii="Book Antiqua" w:hAnsi="Book Antiqua" w:cs="Times New Roman"/>
          <w:sz w:val="24"/>
          <w:szCs w:val="24"/>
          <w:lang w:val="en-GB"/>
        </w:rPr>
        <w:instrText>ADDIN CSL_CITATION { "citationItems" : [ { "id" : "ITEM-1", "itemData" : { "DOI" : "10.1302/2046-3758.36.2000239", "ISBN" : "2046-3758", "ISSN" : "2046-3758", "PMID" : "24894596", "abstract" : "Total hip replacement causes a short-term increase in the risk of mortality. It is important to quantify this and to identify modifiable risk factors so that the risk of post-operative mortality can be minimised. We performed a systematic review and critical evaluation of the current literature on the topic. We identified 32 studies published over the last 10 years which provide either 30-day or 90-day mortality data. We estimate the pooled incidence of mortality during the first 30 and 90 days following hip replacement to be 0.30% (95% CI 0.22 to 0.38) and 0.65% (95% CI 0.50 to 0.81), respectively. We found strong evidence of a temporal trend towards reducing mortality rates despite increasingly co-morbid patients. The risk factors for early mortality most commonly identified are increasing age, male gender and co-morbid conditions, particularly cardiovascular disease. Cardiovascular complications appear to have overtaken fatal pulmonary emboli as the leading cause of death after hip replacement. Cite this article: Bone Joint Res 2014;3:175-82.", "author" : [ { "dropping-particle" : "", "family" : "Berstock", "given" : "J. R.", "non-dropping-particle" : "", "parse-names" : false, "suffix" : "" }, { "dropping-particle" : "", "family" : "Beswick", "given" : "A. D.", "non-dropping-particle" : "", "parse-names" : false, "suffix" : "" }, { "dropping-particle" : "", "family" : "Lenguerrand", "given" : "E.", "non-dropping-particle" : "", "parse-names" : false, "suffix" : "" }, { "dropping-particle" : "", "family" : "Whitehouse", "given" : "M. R.", "non-dropping-particle" : "", "parse-names" : false, "suffix" : "" }, { "dropping-particle" : "", "family" : "Blom", "given" : "A. W.", "non-dropping-particle" : "", "parse-names" : false, "suffix" : "" } ], "container-title" : "Bone &amp; joint research", "id" : "ITEM-1", "issue" : "6", "issued" : { "date-parts" : [ [ "2014" ] ] }, "page" : "175-82", "title" : "Mortality after total hip replacement surgery: A systematic review.", "type" : "article-journal", "volume" : "3" }, "uris" : [ "http://www.mendeley.com/documents/?uuid=05443a16-dc60-34f0-ab12-964280ff29b8" ] }, { "id" : "ITEM-2", "itemData" : { "DOI" : "10.1001/jama.2015.10842", "ISBN" : "0098-7484\\r1538-3598", "ISSN" : "0098-7484", "PMID" : "26372585", "abstract" : "IMPORTANCE: Patients undergoing surgery for a hip fracture have a higher risk of mortality and major complications compared with patients undergoing an elective total hip replacement (THR) operation. The effect of older age and comorbidities associated with hip fracture on this increased perioperative risk is unknown.\\n\\nOBJECTIVE: To determine if there was a difference in hospital mortality among patients who underwent hip fracture surgery relative to an elective THR, after adjustment for age, sex, and preoperative comorbidities.\\n\\nDESIGN, SETTING, AND PARTICIPANTS: Using the French National Hospital Discharge Database from January 2010 to December 2013, patients older than 45 years undergoing hip surgery at French hospitals were included. The International Statistical Classification of Diseases and Related Health Problems, 10th Revision (ICD-10), codes were used to determine patients' comorbidities and complications after surgery. A population matched for age, sex, and preoperative comorbidities of patients who underwent elective THR or hip fracture surgery was created using a multivariable logistic model and a greedy matching algorithm with a 1:1 ratio.\\n\\nEXPOSURE: Hip fracture.\\n\\nMAIN OUTCOMES AND MEASURES: Postoperative in-hospital mortality.\\n\\nRESULTS: A total of 690,995 eligible patients were included from 864 centers in France. Patients undergoing elective THR surgery (n = 371,191) were younger, more commonly men, and had less comorbidity compared with patients undergoing hip fracture surgery. Following hip fracture surgery (n = 319,804), 10,931 patients (3.42%) died before hospital discharge and 669 patients (0.18%) died after elective THR. Multivariable analysis of the matched populations (n = 234,314) demonstrated a higher risk of mortality (1.82% for hip fracture surgery vs 0.31% for elective THR; absolute risk increase, 1.51% [95% CI, 1.46%-1.55%]; relative risk [RR], 5.88 [95% CI, 5.26-6.58]; P &lt; .001) and of major postoperative complications (5.88% for hip fracture surgery vs 2.34% for elective THR; absolute risk increase, 3.54% [95% CI, 3.50%-3.59%]; RR, 2.50 [95% CI, 2.40-2.62]; P &lt; .001) among patients undergoing hip fracture surgery.\\n\\nCONCLUSIONS AND RELEVANCE: In a large cohort of French patients, hip fracture surgery compared with elective THR was associated with a higher risk of in-hospital mortality after adjustment for age, sex, and measured comorbidities. Further studies are needed to define the causes for these differences.", "author" : [ { "dropping-particle" : "", "family" : "Manach", "given" : "Yannick", "non-dropping-particle" : "Le", "parse-names" : false, "suffix" : "" }, { "dropping-particle" : "", "family" : "Collins", "given" : "Gary", "non-dropping-particle" : "", "parse-names" : false, "suffix" : "" }, { "dropping-particle" : "", "family" : "Bhandari", "given" : "Mohit", "non-dropping-particle" : "", "parse-names" : false, "suffix" : "" }, { "dropping-particle" : "", "family" : "Bessissow", "given" : "Amal", "non-dropping-particle" : "", "parse-names" : false, "suffix" : "" }, { "dropping-particle" : "", "family" : "Boddaert", "given" : "Jacques", "non-dropping-particle" : "", "parse-names" : false, "suffix" : "" }, { "dropping-particle" : "", "family" : "Khiami", "given" : "Fr\u00e9d\u00e9ric", "non-dropping-particle" : "", "parse-names" : false, "suffix" : "" }, { "dropping-particle" : "", "family" : "Chaudhry", "given" : "Harman", "non-dropping-particle" : "", "parse-names" : false, "suffix" : "" }, { "dropping-particle" : "", "family" : "Beer", "given" : "Justin", "non-dropping-particle" : "De", "parse-names" : false, "suffix" : "" }, { "dropping-particle" : "", "family" : "Riou", "given" : "Bruno", "non-dropping-particle" : "", "parse-names" : false, "suffix" : "" }, { "dropping-particle" : "", "family" : "Landais", "given" : "Paul", "non-dropping-particle" : "", "parse-names" : false, "suffix" : "" }, { "dropping-particle" : "", "family" : "Winemaker", "given" : "Mitchell", "non-dropping-particle" : "", "parse-names" : false, "suffix" : "" }, { "dropping-particle" : "", "family" : "Boudemaghe", "given" : "Thierry", "non-dropping-particle" : "", "parse-names" : false, "suffix" : "" }, { "dropping-particle" : "", "family" : "Devereaux", "given" : "P. J.", "non-dropping-particle" : "", "parse-names" : false, "suffix" : "" } ], "container-title" : "JAMA", "id" : "ITEM-2", "issue" : "11", "issued" : { "date-parts" : [ [ "2015", "9", "15" ] ] }, "page" : "1159", "publisher" : "Springer, Paris, France", "title" : "Outcomes After Hip Fracture Surgery Compared With Elective Total Hip Replacement", "type" : "article-journal", "volume" : "314" }, "uris" : [ "http://www.mendeley.com/documents/?uuid=8703be7a-04d6-3aed-be67-7151baf9cc79" ] }, { "id" : "ITEM-3", "itemData" : { "DOI" : "10.1016/j.injury.2004.05.030", "ISBN" : "0020-1383", "ISSN" : "00201383", "abstract" : "Hip fractures in nonagenarians represent a special group because of their advanced age and co-morbidities. Surgery is advocated for their younger counterparts but may not appear desirable in nonagenarians. Eighty-four patients were studied over a 2-year period. There were 73 female and 11 male patients. Forty-seven patients sustained an intertrochanteric fracture of the femur. 37 suffered a neck of femur fracture. ASA score of II was the largest group with 51. At least 62 had one co-morbidity or more; 46 were considered demented with a mental test score of less than 7. The mean length of stay was 31 days. Treatment consisted of either traction or surgery. Forty-six patients were managed surgically and 38 non-surgically. Patient review was done 2 years after the fracture. The overall rate of complications was 52% for the operative and non-operative groups. Death outcome at 24 months was not significantly affected by ASA status, number of co-morbidities at admission, or between surgical and non-surgical treatment. However, there was statistical significance between death and the mini-mental test score of less than 7 (P &lt; 0.05). Forty-three patients were still alive after 2 years; of which 27 had been treated surgically and 16 non-surgically. The overall mortality in both operative and non-operative groups is 49%. Surgery significantly increases the ability for independent ambulation (P &lt; 0.01). Therefore the outcome of non-operative and non-operative treatment in nonagenarians with hip fractures is poor due to the high rates of mortality and morbidity. ?? 2004 Elsevier Ltd. All rights reserved.", "author" : [ { "dropping-particle" : "", "family" : "Ooi", "given" : "L. H.", "non-dropping-particle" : "", "parse-names" : false, "suffix" : "" }, { "dropping-particle" : "", "family" : "Wong", "given" : "T. H.", "non-dropping-particle" : "", "parse-names" : false, "suffix" : "" }, { "dropping-particle" : "", "family" : "Toh", "given" : "C. L.", "non-dropping-particle" : "", "parse-names" : false, "suffix" : "" }, { "dropping-particle" : "", "family" : "Wong", "given" : "H. P.", "non-dropping-particle" : "", "parse-names" : false, "suffix" : "" } ], "container-title" : "Injury", "id" : "ITEM-3", "issue" : "1", "issued" : { "date-parts" : [ [ "2005", "1" ] ] }, "page" : "142-147", "title" : "Hip fractures in nonagenarians - A study on operative and non-operative management", "type" : "article-journal", "volume" : "36" }, "uris" : [ "http://www.mendeley.com/documents/?uuid=622a23b7-ba28-3530-bb65-efa77569d779" ] }, { "id" : "ITEM-4", "itemData" : { "DOI" : "10.1016/j.injury.2014.10.051", "ISBN" : "0020-1383", "ISSN" : "18790267", "PMID" : "25457339", "abstract" : "Introduction Hip fractures are one of the most common types of orthopaedic injury with high rates of morbidity. Currently, no study has compared risk factors and adverse events following the different types of hip fracture surgeries. The purpose of this paper is to investigate the major and minor adverse events and risk factors for complication development associated with five common surgeries for the treatment of hip fractures using the NSQIP database. Methods Using the ACS-NSQIP database, complications for five forms of hip surgeries were selected and categorized into major and minor adverse events. Demographics and clinical variables were collected and an unadjusted bivariate logistic regression analyses was performed to determine significant risk factors for adverse events. Five multivariate regressions were run for each surgery as well as a combined regression analysis. Results A total of 9640 patients undergoing surgery for hip fracture were identified with an adverse events rate of 25.2% (n = 2433). Open reduction and internal fixation of a femoral neck fracture had the greatest percentage of all major events (16.6%) and total adverse events (27.4%), whereas partial hip hemiarthroplasty had the greatest percentage of all minor events (11.6%). Mortality was the most common major adverse event (44.9-50.6%). For minor complications, urinary tract infections were the most common minor adverse event (52.7-62.6%). Significant risk factors for development of any adverse event included age, BMI, gender, race, active smoking status, history of COPD, history of CHF, ASA score, dyspnoea, and functional status, with various combinations of these factors significantly affecting complication development for the individual surgeries. Conclusions Hip fractures are associated with significantly high numbers of adverse events. The type of surgery affects the type of complications developed and also has an effect on what risk factors significantly predict the development of a complication. Concerted efforts from orthopaedists should be made to identify higher risk patients and prevent the most common adverse events that occur postoperatively.", "author" : [ { "dropping-particle" : "", "family" : "Sathiyakumar", "given" : "Vasanth", "non-dropping-particle" : "", "parse-names" : false, "suffix" : "" }, { "dropping-particle" : "", "family" : "Greenberg", "given" : "Sarah E.", "non-dropping-particle" : "", "parse-names" : false, "suffix" : "" }, { "dropping-particle" : "", "family" : "Molina", "given" : "Cesar S.", "non-dropping-particle" : "", "parse-names" : false, "suffix" : "" }, { "dropping-particle" : "V.", "family" : "Thakore", "given" : "Rachel", "non-dropping-particle" : "", "parse-names" : false, "suffix" : "" }, { "dropping-particle" : "", "family" : "Obremskey", "given" : "William T.", "non-dropping-particle" : "", "parse-names" : false, "suffix" : "" }, { "dropping-particle" : "", "family" : "Sethi", "given" : "Manish K.", "non-dropping-particle" : "", "parse-names" : false, "suffix" : "" } ], "container-title" : "Injury", "id" : "ITEM-4", "issue" : "4", "issued" : { "date-parts" : [ [ "2015", "4" ] ] }, "page" : "703-708", "title" : "Hip fractures are risky business: An analysis of the NSQIP data", "type" : "article-journal", "volume" : "46" }, "uris" : [ "http://www.mendeley.com/documents/?uuid=a23170cd-a1e3-3c92-a878-5596ae1ec2cf" ] } ], "mendeley" : { "formattedCitation" : "&lt;sup&gt;[&lt;sup&gt;9&lt;/sup&gt;\u2013&lt;sup&gt;12&lt;/sup&gt;]&lt;/sup&gt;", "plainTextFormattedCitation" : "[9\u201312]", "previouslyFormattedCitation" : "&lt;sup&gt;[&lt;sup&gt;9&lt;/sup&gt;\u2013&lt;sup&gt;12&lt;/sup&gt;]&lt;/sup&gt;" }, "properties" : { "noteIndex" : 0 }, "schema" : "https://github.com/citation-style-language/schema/raw/master/csl-citation.json" }</w:instrText>
      </w:r>
      <w:r w:rsidR="00436A47" w:rsidRPr="006F15BB">
        <w:rPr>
          <w:rFonts w:ascii="Book Antiqua" w:hAnsi="Book Antiqua" w:cs="Times New Roman"/>
          <w:sz w:val="24"/>
          <w:szCs w:val="24"/>
          <w:lang w:val="en-GB"/>
        </w:rPr>
        <w:fldChar w:fldCharType="separate"/>
      </w:r>
      <w:r w:rsidR="0052176A" w:rsidRPr="006F15BB">
        <w:rPr>
          <w:rFonts w:ascii="Book Antiqua" w:hAnsi="Book Antiqua" w:cs="Times New Roman"/>
          <w:noProof/>
          <w:sz w:val="24"/>
          <w:szCs w:val="24"/>
          <w:vertAlign w:val="superscript"/>
          <w:lang w:val="en-GB"/>
        </w:rPr>
        <w:t>[9</w:t>
      </w:r>
      <w:r w:rsidR="00772635">
        <w:rPr>
          <w:rFonts w:ascii="Book Antiqua" w:eastAsia="宋体" w:hAnsi="Book Antiqua" w:cs="Times New Roman" w:hint="eastAsia"/>
          <w:noProof/>
          <w:sz w:val="24"/>
          <w:szCs w:val="24"/>
          <w:vertAlign w:val="superscript"/>
          <w:lang w:val="en-GB" w:eastAsia="zh-CN"/>
        </w:rPr>
        <w:t>-</w:t>
      </w:r>
      <w:r w:rsidR="0052176A" w:rsidRPr="006F15BB">
        <w:rPr>
          <w:rFonts w:ascii="Book Antiqua" w:hAnsi="Book Antiqua" w:cs="Times New Roman"/>
          <w:noProof/>
          <w:sz w:val="24"/>
          <w:szCs w:val="24"/>
          <w:vertAlign w:val="superscript"/>
          <w:lang w:val="en-GB"/>
        </w:rPr>
        <w:t>12]</w:t>
      </w:r>
      <w:r w:rsidR="00436A47" w:rsidRPr="006F15BB">
        <w:rPr>
          <w:rFonts w:ascii="Book Antiqua" w:hAnsi="Book Antiqua" w:cs="Times New Roman"/>
          <w:sz w:val="24"/>
          <w:szCs w:val="24"/>
          <w:lang w:val="en-GB"/>
        </w:rPr>
        <w:fldChar w:fldCharType="end"/>
      </w:r>
      <w:r w:rsidR="00496B6D" w:rsidRPr="006F15BB">
        <w:rPr>
          <w:rFonts w:ascii="Book Antiqua" w:hAnsi="Book Antiqua" w:cs="Times New Roman"/>
          <w:sz w:val="24"/>
          <w:szCs w:val="24"/>
          <w:lang w:val="en-GB"/>
        </w:rPr>
        <w:t>.</w:t>
      </w:r>
      <w:r w:rsidR="001A4B28" w:rsidRPr="006F15BB">
        <w:rPr>
          <w:rFonts w:ascii="Book Antiqua" w:hAnsi="Book Antiqua" w:cs="Times New Roman"/>
          <w:sz w:val="24"/>
          <w:szCs w:val="24"/>
          <w:lang w:val="en-GB"/>
        </w:rPr>
        <w:t xml:space="preserve"> </w:t>
      </w:r>
      <w:r w:rsidR="00581632" w:rsidRPr="006F15BB">
        <w:rPr>
          <w:rFonts w:ascii="Book Antiqua" w:hAnsi="Book Antiqua" w:cs="Times New Roman"/>
          <w:sz w:val="24"/>
          <w:szCs w:val="24"/>
          <w:lang w:val="en-GB"/>
        </w:rPr>
        <w:t>However</w:t>
      </w:r>
      <w:r w:rsidR="00957A87" w:rsidRPr="006F15BB">
        <w:rPr>
          <w:rFonts w:ascii="Book Antiqua" w:hAnsi="Book Antiqua" w:cs="Times New Roman"/>
          <w:sz w:val="24"/>
          <w:szCs w:val="24"/>
          <w:lang w:val="en-GB"/>
        </w:rPr>
        <w:t>,</w:t>
      </w:r>
      <w:r w:rsidR="00581632" w:rsidRPr="006F15BB">
        <w:rPr>
          <w:rFonts w:ascii="Book Antiqua" w:hAnsi="Book Antiqua" w:cs="Times New Roman"/>
          <w:sz w:val="24"/>
          <w:szCs w:val="24"/>
          <w:lang w:val="en-GB"/>
        </w:rPr>
        <w:t xml:space="preserve"> </w:t>
      </w:r>
      <w:r w:rsidR="00496B6D" w:rsidRPr="006F15BB">
        <w:rPr>
          <w:rFonts w:ascii="Book Antiqua" w:hAnsi="Book Antiqua" w:cs="Times New Roman"/>
          <w:sz w:val="24"/>
          <w:szCs w:val="24"/>
          <w:lang w:val="en-GB"/>
        </w:rPr>
        <w:t xml:space="preserve">outcomes after </w:t>
      </w:r>
      <w:r w:rsidR="0095459B" w:rsidRPr="006F15BB">
        <w:rPr>
          <w:rFonts w:ascii="Book Antiqua" w:hAnsi="Book Antiqua" w:cs="Times New Roman"/>
          <w:sz w:val="24"/>
          <w:szCs w:val="24"/>
          <w:lang w:val="en-GB"/>
        </w:rPr>
        <w:t xml:space="preserve">hip fracture surgery </w:t>
      </w:r>
      <w:r w:rsidR="009132B1" w:rsidRPr="006F15BB">
        <w:rPr>
          <w:rFonts w:ascii="Book Antiqua" w:hAnsi="Book Antiqua" w:cs="Times New Roman"/>
          <w:sz w:val="24"/>
          <w:szCs w:val="24"/>
          <w:lang w:val="en-GB"/>
        </w:rPr>
        <w:t>specifically in the DNR status</w:t>
      </w:r>
      <w:r w:rsidR="00496B6D" w:rsidRPr="006F15BB">
        <w:rPr>
          <w:rFonts w:ascii="Book Antiqua" w:hAnsi="Book Antiqua" w:cs="Times New Roman"/>
          <w:sz w:val="24"/>
          <w:szCs w:val="24"/>
          <w:lang w:val="en-GB"/>
        </w:rPr>
        <w:t xml:space="preserve"> </w:t>
      </w:r>
      <w:r w:rsidR="00581632" w:rsidRPr="006F15BB">
        <w:rPr>
          <w:rFonts w:ascii="Book Antiqua" w:hAnsi="Book Antiqua" w:cs="Times New Roman"/>
          <w:sz w:val="24"/>
          <w:szCs w:val="24"/>
          <w:lang w:val="en-GB"/>
        </w:rPr>
        <w:t>popula</w:t>
      </w:r>
      <w:r w:rsidR="00496B6D" w:rsidRPr="006F15BB">
        <w:rPr>
          <w:rFonts w:ascii="Book Antiqua" w:hAnsi="Book Antiqua" w:cs="Times New Roman"/>
          <w:sz w:val="24"/>
          <w:szCs w:val="24"/>
          <w:lang w:val="en-GB"/>
        </w:rPr>
        <w:t>tion</w:t>
      </w:r>
      <w:r w:rsidR="0035086F" w:rsidRPr="006F15BB">
        <w:rPr>
          <w:rFonts w:ascii="Book Antiqua" w:hAnsi="Book Antiqua" w:cs="Times New Roman"/>
          <w:sz w:val="24"/>
          <w:szCs w:val="24"/>
          <w:lang w:val="en-GB"/>
        </w:rPr>
        <w:t xml:space="preserve"> are unknown</w:t>
      </w:r>
      <w:r w:rsidR="00496B6D" w:rsidRPr="006F15BB">
        <w:rPr>
          <w:rFonts w:ascii="Book Antiqua" w:hAnsi="Book Antiqua" w:cs="Times New Roman"/>
          <w:sz w:val="24"/>
          <w:szCs w:val="24"/>
          <w:lang w:val="en-GB"/>
        </w:rPr>
        <w:t>.</w:t>
      </w:r>
      <w:r w:rsidR="0034509C">
        <w:rPr>
          <w:rFonts w:ascii="Book Antiqua" w:hAnsi="Book Antiqua" w:cs="Times New Roman"/>
          <w:sz w:val="24"/>
          <w:szCs w:val="24"/>
          <w:lang w:val="en-GB"/>
        </w:rPr>
        <w:t xml:space="preserve"> </w:t>
      </w:r>
    </w:p>
    <w:p w14:paraId="58A41B62" w14:textId="77777777" w:rsidR="00946B20" w:rsidRPr="006F15BB" w:rsidRDefault="00B55E1A" w:rsidP="008E7BBF">
      <w:pPr>
        <w:pStyle w:val="Default"/>
        <w:adjustRightInd w:val="0"/>
        <w:snapToGrid w:val="0"/>
        <w:spacing w:line="360" w:lineRule="auto"/>
        <w:ind w:firstLine="720"/>
        <w:jc w:val="both"/>
        <w:rPr>
          <w:rFonts w:ascii="Book Antiqua" w:eastAsiaTheme="minorHAnsi" w:hAnsi="Book Antiqua" w:cs="Times New Roman"/>
          <w:sz w:val="24"/>
          <w:szCs w:val="24"/>
          <w:bdr w:val="none" w:sz="0" w:space="0" w:color="auto"/>
        </w:rPr>
      </w:pPr>
      <w:r w:rsidRPr="006F15BB">
        <w:rPr>
          <w:rFonts w:ascii="Book Antiqua" w:hAnsi="Book Antiqua" w:cs="Times New Roman"/>
          <w:sz w:val="24"/>
          <w:szCs w:val="24"/>
          <w:lang w:val="en-GB"/>
        </w:rPr>
        <w:t>I</w:t>
      </w:r>
      <w:r w:rsidR="00496B6D" w:rsidRPr="006F15BB">
        <w:rPr>
          <w:rFonts w:ascii="Book Antiqua" w:hAnsi="Book Antiqua" w:cs="Times New Roman"/>
          <w:sz w:val="24"/>
          <w:szCs w:val="24"/>
          <w:lang w:val="en-GB"/>
        </w:rPr>
        <w:t xml:space="preserve">t is also unclear whether </w:t>
      </w:r>
      <w:r w:rsidR="00D64379" w:rsidRPr="006F15BB">
        <w:rPr>
          <w:rFonts w:ascii="Book Antiqua" w:hAnsi="Book Antiqua" w:cs="Times New Roman"/>
          <w:sz w:val="24"/>
          <w:szCs w:val="24"/>
          <w:lang w:val="en-GB"/>
        </w:rPr>
        <w:t>DNR status itself</w:t>
      </w:r>
      <w:r w:rsidR="0095459B" w:rsidRPr="006F15BB">
        <w:rPr>
          <w:rFonts w:ascii="Book Antiqua" w:hAnsi="Book Antiqua" w:cs="Times New Roman"/>
          <w:sz w:val="24"/>
          <w:szCs w:val="24"/>
          <w:lang w:val="en-GB"/>
        </w:rPr>
        <w:t xml:space="preserve"> </w:t>
      </w:r>
      <w:r w:rsidR="00D9593F" w:rsidRPr="006F15BB">
        <w:rPr>
          <w:rFonts w:ascii="Book Antiqua" w:hAnsi="Book Antiqua" w:cs="Times New Roman"/>
          <w:sz w:val="24"/>
          <w:szCs w:val="24"/>
          <w:lang w:val="en-GB"/>
        </w:rPr>
        <w:t>indepe</w:t>
      </w:r>
      <w:r w:rsidR="00D64379" w:rsidRPr="006F15BB">
        <w:rPr>
          <w:rFonts w:ascii="Book Antiqua" w:hAnsi="Book Antiqua" w:cs="Times New Roman"/>
          <w:sz w:val="24"/>
          <w:szCs w:val="24"/>
          <w:lang w:val="en-GB"/>
        </w:rPr>
        <w:t>ndently and negatively impacts</w:t>
      </w:r>
      <w:r w:rsidR="00D9593F" w:rsidRPr="006F15BB">
        <w:rPr>
          <w:rFonts w:ascii="Book Antiqua" w:hAnsi="Book Antiqua" w:cs="Times New Roman"/>
          <w:sz w:val="24"/>
          <w:szCs w:val="24"/>
          <w:lang w:val="en-GB"/>
        </w:rPr>
        <w:t xml:space="preserve"> </w:t>
      </w:r>
      <w:r w:rsidR="0021570D" w:rsidRPr="006F15BB">
        <w:rPr>
          <w:rFonts w:ascii="Book Antiqua" w:hAnsi="Book Antiqua" w:cs="Times New Roman"/>
          <w:sz w:val="24"/>
          <w:szCs w:val="24"/>
          <w:lang w:val="en-GB"/>
        </w:rPr>
        <w:t xml:space="preserve">major </w:t>
      </w:r>
      <w:r w:rsidR="0095459B" w:rsidRPr="006F15BB">
        <w:rPr>
          <w:rFonts w:ascii="Book Antiqua" w:hAnsi="Book Antiqua" w:cs="Times New Roman"/>
          <w:sz w:val="24"/>
          <w:szCs w:val="24"/>
          <w:lang w:val="en-GB"/>
        </w:rPr>
        <w:t>o</w:t>
      </w:r>
      <w:r w:rsidR="006B03F4" w:rsidRPr="006F15BB">
        <w:rPr>
          <w:rFonts w:ascii="Book Antiqua" w:hAnsi="Book Antiqua" w:cs="Times New Roman"/>
          <w:sz w:val="24"/>
          <w:szCs w:val="24"/>
          <w:lang w:val="en-GB"/>
        </w:rPr>
        <w:t>utcomes</w:t>
      </w:r>
      <w:r w:rsidR="00D9593F" w:rsidRPr="006F15BB">
        <w:rPr>
          <w:rFonts w:ascii="Book Antiqua" w:hAnsi="Book Antiqua" w:cs="Times New Roman"/>
          <w:sz w:val="24"/>
          <w:szCs w:val="24"/>
          <w:lang w:val="en-GB"/>
        </w:rPr>
        <w:t xml:space="preserve"> </w:t>
      </w:r>
      <w:r w:rsidR="00496B6D" w:rsidRPr="006F15BB">
        <w:rPr>
          <w:rFonts w:ascii="Book Antiqua" w:hAnsi="Book Antiqua" w:cs="Times New Roman"/>
          <w:sz w:val="24"/>
          <w:szCs w:val="24"/>
          <w:lang w:val="en-GB"/>
        </w:rPr>
        <w:t>such as morbidity</w:t>
      </w:r>
      <w:r w:rsidR="0089264F" w:rsidRPr="006F15BB">
        <w:rPr>
          <w:rFonts w:ascii="Book Antiqua" w:hAnsi="Book Antiqua" w:cs="Times New Roman"/>
          <w:sz w:val="24"/>
          <w:szCs w:val="24"/>
          <w:lang w:val="en-GB"/>
        </w:rPr>
        <w:t xml:space="preserve"> and </w:t>
      </w:r>
      <w:r w:rsidR="00496B6D" w:rsidRPr="006F15BB">
        <w:rPr>
          <w:rFonts w:ascii="Book Antiqua" w:hAnsi="Book Antiqua" w:cs="Times New Roman"/>
          <w:sz w:val="24"/>
          <w:szCs w:val="24"/>
          <w:lang w:val="en-GB"/>
        </w:rPr>
        <w:t>length of stay</w:t>
      </w:r>
      <w:r w:rsidR="00436A47" w:rsidRPr="006F15BB">
        <w:rPr>
          <w:rFonts w:ascii="Book Antiqua" w:hAnsi="Book Antiqua" w:cs="Times New Roman"/>
          <w:sz w:val="24"/>
          <w:szCs w:val="24"/>
          <w:lang w:val="en-GB"/>
        </w:rPr>
        <w:fldChar w:fldCharType="begin" w:fldLock="1"/>
      </w:r>
      <w:r w:rsidR="00C2761D" w:rsidRPr="006F15BB">
        <w:rPr>
          <w:rFonts w:ascii="Book Antiqua" w:hAnsi="Book Antiqua" w:cs="Times New Roman"/>
          <w:sz w:val="24"/>
          <w:szCs w:val="24"/>
          <w:lang w:val="en-GB"/>
        </w:rPr>
        <w:instrText>ADDIN CSL_CITATION { "citationItems" : [ { "id" : "ITEM-1", "itemData" : { "DOI" : "10.1097/CCM.0b013e31820eb4fc", "ISBN" : "1530-0293 (Electronic)\\r0090-3493 (Linking)", "ISSN" : "1530-0293", "PMID" : "21336133", "abstract" : "OBJECTIVE: : To assess the relationship between pre-existing do-not-resuscitate orders and the incidence of postoperative 30-day minor morbidity in surgical patients. DESIGN: : Retrospective analysis of prospectively collected data from the American College of Surgeons National Surgical Quality Improvement Program database in patients undergoing general surgical procedures between 2005 and 2008. SETTING: : All U.S. hospitals that participated in the American College of Surgeons National Surgical Quality Improvement Program, which is the nationally validated, risk-adjusted, outcomes-based program that uses a prospective, peer-controlled, validated database to quantify 30-day risk-adjusted surgical outcomes, allowing valid comparison of outcomes among all hospitals in the program. INTERVENTIONS: : American College of Surgeons National Surgical Quality Improvement Program data included preoperative risk factors, intraoperative variables, and 30-day postoperative mortality and morbidity outcomes for patients undergoing major surgical procedures in both the inpatient and outpatient setting. The data were collected, validated, and submitted by a trained Surgical Clinical Reviewer at each site. Association between do-not-resuscitate status and minor and major morbidities was assessed using proportional hazards models adjusting for death as a competing risk. MEASUREMENTS AND MAIN RESULTS: : Of 635,265 patients in the database, 576,745 patients were analyzed. Propensity-matched analysis successfully matched 2,199 (of 2,687 [81.8%]) patients having pre-existing do-not-resuscitate orders (DNR group) with 6,002 non-do-not-resuscitate control subjects (nonDNR group). At any time point within 30 days of surgery, DNR patients were 16% (95% confidence interval, 3-28%; p = .02) less likely to have a minor complication as compared with nonDNR patients after accounting for the competing risk of death. DNR patients were more likely to experience 30-day mortality compared with nonDNR patients (hazard ratio, 2.3; 95% confidence interval, 1.9-2.7; p &lt; .001). However, there was no association between pre-existing do-not-resuscitate orders and occurrence of any major complication (p = .65) treating death as a competing risk event. When associations between do-not-resuscitate orders and individual minor complications were analyzed, a pre-existing do-not-resuscitate order remained independently associated only with decreased odds of superficial surgical site infection (p = .001).\u2026", "author" : [ { "dropping-particle" : "", "family" : "Saager", "given" : "Leif", "non-dropping-particle" : "", "parse-names" : false, "suffix" : "" }, { "dropping-particle" : "", "family" : "Kurz", "given" : "Andrea", "non-dropping-particle" : "", "parse-names" : false, "suffix" : "" }, { "dropping-particle" : "", "family" : "Deogaonkar", "given" : "Anupa", "non-dropping-particle" : "", "parse-names" : false, "suffix" : "" }, { "dropping-particle" : "", "family" : "You", "given" : "Jing", "non-dropping-particle" : "", "parse-names" : false, "suffix" : "" }, { "dropping-particle" : "", "family" : "Mascha", "given" : "Edward J.", "non-dropping-particle" : "", "parse-names" : false, "suffix" : "" }, { "dropping-particle" : "", "family" : "Jahan", "given" : "Ali", "non-dropping-particle" : "", "parse-names" : false, "suffix" : "" }, { "dropping-particle" : "", "family" : "Turner", "given" : "Patricia L.", "non-dropping-particle" : "", "parse-names" : false, "suffix" : "" }, { "dropping-particle" : "", "family" : "Sessler", "given" : "Daniel I.", "non-dropping-particle" : "", "parse-names" : false, "suffix" : "" }, { "dropping-particle" : "", "family" : "Turan", "given" : "Alparslan", "non-dropping-particle" : "", "parse-names" : false, "suffix" : "" } ], "container-title" : "Crit Care Med", "id" : "ITEM-1", "issue" : "5", "issued" : { "date-parts" : [ [ "2011", "5" ] ] }, "page" : "1036-1041", "title" : "Pre-existing do-not-resuscitate orders are not associated with increased postoperative morbidity at 30 days in surgical patients", "type" : "article-journal", "volume" : "39" }, "uris" : [ "http://www.mendeley.com/documents/?uuid=b73f8861-91a2-3108-9620-e8a50bf0d146" ] }, { "id" : "ITEM-2", "itemData" : { "DOI" : "10.1097/SLA.0b013e31826578fb", "ISSN" : "0003-4932", "author" : [ { "dropping-particle" : "", "family" : "Scarborough", "given" : "John E.", "non-dropping-particle" : "", "parse-names" : false, "suffix" : "" }, { "dropping-particle" : "", "family" : "Pappas", "given" : "Theodore N.", "non-dropping-particle" : "", "parse-names" : false, "suffix" : "" }, { "dropping-particle" : "", "family" : "Bennett", "given" : "Kyla M.", "non-dropping-particle" : "", "parse-names" : false, "suffix" : "" }, { "dropping-particle" : "", "family" : "Lagoo-Deenadayalan", "given" : "Sandhya", "non-dropping-particle" : "", "parse-names" : false, "suffix" : "" } ], "container-title" : "Annals of Surgery", "id" : "ITEM-2", "issue" : "3", "issued" : { "date-parts" : [ [ "2012", "9" ] ] }, "page" : "453-461", "title" : "Failure-to-Pursue Rescue", "type" : "article-journal", "volume" : "256" }, "uris" : [ "http://www.mendeley.com/documents/?uuid=4e35cbfb-c5bb-3ab8-b53b-622b36ce3147" ] }, { "id" : "ITEM-3", "itemData" : { "author" : [ { "dropping-particle" : "", "family" : "Shepardson", "given" : "Laura", "non-dropping-particle" : "", "parse-names" : false, "suffix" : "" }, { "dropping-particle" : "", "family" : "Youngner", "given" : "Stuart", "non-dropping-particle" : "", "parse-names" : false, "suffix" : "" }, { "dropping-particle" : "", "family" : "Speroff", "given" : "Theodore", "non-dropping-particle" : "", "parse-names" : false, "suffix" : "" }, { "dropping-particle" : "", "family" : "Rosenthal", "given" : "Gary", "non-dropping-particle" : "", "parse-names" : false, "suffix" : "" } ], "container-title" : "Medical Care", "id" : "ITEM-3", "issue" : "8", "issued" : { "date-parts" : [ [ "1999" ] ] }, "page" : "727-737", "title" : "Increased Risk of Death in Patients With Do-Not-Resuscitate Orders", "type" : "article-journal", "volume" : "37" }, "uris" : [ "http://www.mendeley.com/documents/?uuid=63dfdcc4-6025-374f-b40b-29c5b946d6fa" ] }, { "id" : "ITEM-4", "itemData" : { "DOI" : "10.1016/j.surg.2008.06.010", "ISBN" : "1532-7361 (Electronic)\\r0039-6060 (Linking)", "ISSN" : "00396060", "PMID" : "18847652", "abstract" : "Background: All hospitals are required to perform quality assurance activities. Many risk adjustment methodologies have been developed, and many medical centers use 1 or more than 1 risk adjustment program in an attempt to characterize their outcomes better rather than simply assessing unadjusted outcome statistics. The University HealthSystem Consortium (UHC) and American College of Surgeons-National Surgical Quality Improvement Program (NSQIP) both produce risk-adjusted outcome data. Our institution recognized a large disparity between our UHC and NSQIP risk-adjusted mortality. The purpose of this study was to attempt to discover the cause of that disparity. Methods: One hundred twenty consecutive NSQIP records were matched with their UHC submissions during 2006. All patients' comorbidities and outcomes were reviewed, and the 2 systems, UHC and NSQIP, were compared for degree of discordance. Results: Approximately twice the number of comorbidities per patient were documented in UHC (2.85\u00b12.52) submissions compared with NSQIP (1.38\u00b11.52, P &lt; .001). The reporting of the comorbidities of hypertension, cardiac disease, pulmonary disease, and diabetes between UHC and NSQIP were similar in the percentage of patients reported as having each of those disease states, but the discordance between the 2 systems was 12%, 13%, 15%, and 5%, respectively (P &lt; .001 in all 4). A total of 28% of patients were reported as suffering complications in NSQIP but only 11% in UHC, with a 26% rate of discordance (P &lt; .01). Overall, 13% of patients were reported as having a surgical site infection in NSQIP, but only 1% in UHC. Conclusions: We found significant differences in the reporting of both comorbidities and outcomes between our medical center's submissions to UHC and NSQIP in a consecutive series of patients. This may be at least partially responsible for the difference in the risk-adjusted mortality for our institution, as reported by UHC and NSQIP. \u00a9 2008 Mosby, Inc. All rights reserved.", "author" : [ { "dropping-particle" : "", "family" : "Steinberg", "given" : "Steven M.", "non-dropping-particle" : "", "parse-names" : false, "suffix" : "" }, { "dropping-particle" : "", "family" : "Popa", "given" : "Michael R.", "non-dropping-particle" : "", "parse-names" : false, "suffix" : "" }, { "dropping-particle" : "", "family" : "Michalek", "given" : "Judith A.", "non-dropping-particle" : "", "parse-names" : false, "suffix" : "" }, { "dropping-particle" : "", "family" : "Bethel", "given" : "Matthew J.", "non-dropping-particle" : "", "parse-names" : false, "suffix" : "" }, { "dropping-particle" : "", "family" : "Ellison", "given" : "E. Christopher", "non-dropping-particle" : "", "parse-names" : false, "suffix" : "" } ], "container-title" : "Surgery", "id" : "ITEM-4", "issue" : "4", "issued" : { "date-parts" : [ [ "2008", "10" ] ] }, "page" : "662-669", "title" : "Comparison of risk adjustment methodologies in surgical quality improvement", "type" : "article-journal", "volume" : "144" }, "uris" : [ "http://www.mendeley.com/documents/?uuid=962ce339-e2a7-392a-a242-767e1fb0773a" ] } ], "mendeley" : { "formattedCitation" : "&lt;sup&gt;[&lt;sup&gt;13&lt;/sup&gt;\u2013&lt;sup&gt;16&lt;/sup&gt;]&lt;/sup&gt;", "plainTextFormattedCitation" : "[13\u201316]", "previouslyFormattedCitation" : "&lt;sup&gt;[&lt;sup&gt;13&lt;/sup&gt;\u2013&lt;sup&gt;16&lt;/sup&gt;]&lt;/sup&gt;" }, "properties" : { "noteIndex" : 0 }, "schema" : "https://github.com/citation-style-language/schema/raw/master/csl-citation.json" }</w:instrText>
      </w:r>
      <w:r w:rsidR="00436A47" w:rsidRPr="006F15BB">
        <w:rPr>
          <w:rFonts w:ascii="Book Antiqua" w:hAnsi="Book Antiqua" w:cs="Times New Roman"/>
          <w:sz w:val="24"/>
          <w:szCs w:val="24"/>
          <w:lang w:val="en-GB"/>
        </w:rPr>
        <w:fldChar w:fldCharType="separate"/>
      </w:r>
      <w:r w:rsidR="0052176A" w:rsidRPr="006F15BB">
        <w:rPr>
          <w:rFonts w:ascii="Book Antiqua" w:hAnsi="Book Antiqua" w:cs="Times New Roman"/>
          <w:noProof/>
          <w:sz w:val="24"/>
          <w:szCs w:val="24"/>
          <w:vertAlign w:val="superscript"/>
          <w:lang w:val="en-GB"/>
        </w:rPr>
        <w:t>[13</w:t>
      </w:r>
      <w:r w:rsidR="00772635">
        <w:rPr>
          <w:rFonts w:ascii="Book Antiqua" w:eastAsia="宋体" w:hAnsi="Book Antiqua" w:cs="Times New Roman" w:hint="eastAsia"/>
          <w:noProof/>
          <w:sz w:val="24"/>
          <w:szCs w:val="24"/>
          <w:vertAlign w:val="superscript"/>
          <w:lang w:val="en-GB" w:eastAsia="zh-CN"/>
        </w:rPr>
        <w:t>-</w:t>
      </w:r>
      <w:r w:rsidR="0052176A" w:rsidRPr="006F15BB">
        <w:rPr>
          <w:rFonts w:ascii="Book Antiqua" w:hAnsi="Book Antiqua" w:cs="Times New Roman"/>
          <w:noProof/>
          <w:sz w:val="24"/>
          <w:szCs w:val="24"/>
          <w:vertAlign w:val="superscript"/>
          <w:lang w:val="en-GB"/>
        </w:rPr>
        <w:t>16]</w:t>
      </w:r>
      <w:r w:rsidR="00436A47" w:rsidRPr="006F15BB">
        <w:rPr>
          <w:rFonts w:ascii="Book Antiqua" w:hAnsi="Book Antiqua" w:cs="Times New Roman"/>
          <w:sz w:val="24"/>
          <w:szCs w:val="24"/>
          <w:lang w:val="en-GB"/>
        </w:rPr>
        <w:fldChar w:fldCharType="end"/>
      </w:r>
      <w:r w:rsidR="00581632" w:rsidRPr="006F15BB">
        <w:rPr>
          <w:rFonts w:ascii="Book Antiqua" w:hAnsi="Book Antiqua" w:cs="Times New Roman"/>
          <w:sz w:val="24"/>
          <w:szCs w:val="24"/>
          <w:lang w:val="en-GB"/>
        </w:rPr>
        <w:t xml:space="preserve">. </w:t>
      </w:r>
      <w:r w:rsidR="0021570D" w:rsidRPr="006F15BB">
        <w:rPr>
          <w:rFonts w:ascii="Book Antiqua" w:hAnsi="Book Antiqua" w:cs="Times New Roman"/>
          <w:sz w:val="24"/>
          <w:szCs w:val="24"/>
          <w:lang w:val="en-GB"/>
        </w:rPr>
        <w:t xml:space="preserve">DNR status only directs actions </w:t>
      </w:r>
      <w:r w:rsidR="006B03F4" w:rsidRPr="006F15BB">
        <w:rPr>
          <w:rFonts w:ascii="Book Antiqua" w:hAnsi="Book Antiqua" w:cs="Times New Roman"/>
          <w:sz w:val="24"/>
          <w:szCs w:val="24"/>
          <w:lang w:val="en-GB"/>
        </w:rPr>
        <w:t>in the</w:t>
      </w:r>
      <w:r w:rsidR="00D9593F" w:rsidRPr="006F15BB">
        <w:rPr>
          <w:rFonts w:ascii="Book Antiqua" w:hAnsi="Book Antiqua" w:cs="Times New Roman"/>
          <w:sz w:val="24"/>
          <w:szCs w:val="24"/>
          <w:lang w:val="en-GB"/>
        </w:rPr>
        <w:t xml:space="preserve"> event of cardiopulmonary arrest</w:t>
      </w:r>
      <w:r w:rsidR="002248E1" w:rsidRPr="006F15BB">
        <w:rPr>
          <w:rFonts w:ascii="Book Antiqua" w:hAnsi="Book Antiqua" w:cs="Times New Roman"/>
          <w:sz w:val="24"/>
          <w:szCs w:val="24"/>
          <w:lang w:val="en-GB"/>
        </w:rPr>
        <w:t>.</w:t>
      </w:r>
      <w:r w:rsidR="00D64379" w:rsidRPr="006F15BB">
        <w:rPr>
          <w:rFonts w:ascii="Book Antiqua" w:hAnsi="Book Antiqua" w:cs="Times New Roman"/>
          <w:sz w:val="24"/>
          <w:szCs w:val="24"/>
          <w:lang w:val="en-GB"/>
        </w:rPr>
        <w:t xml:space="preserve"> The “failure to treat” hypothesis, describing inadequate (non</w:t>
      </w:r>
      <w:r w:rsidR="00772635">
        <w:rPr>
          <w:rFonts w:ascii="Book Antiqua" w:hAnsi="Book Antiqua" w:cs="Times New Roman"/>
          <w:sz w:val="24"/>
          <w:szCs w:val="24"/>
          <w:lang w:val="en-GB"/>
        </w:rPr>
        <w:t>-</w:t>
      </w:r>
      <w:r w:rsidR="00D64379" w:rsidRPr="006F15BB">
        <w:rPr>
          <w:rFonts w:ascii="Book Antiqua" w:hAnsi="Book Antiqua" w:cs="Times New Roman"/>
          <w:sz w:val="24"/>
          <w:szCs w:val="24"/>
          <w:lang w:val="en-GB"/>
        </w:rPr>
        <w:t xml:space="preserve">resuscitative) treatment of patients because of DNR status, has </w:t>
      </w:r>
      <w:r w:rsidR="006B03F4" w:rsidRPr="006F15BB">
        <w:rPr>
          <w:rFonts w:ascii="Book Antiqua" w:hAnsi="Book Antiqua" w:cs="Times New Roman"/>
          <w:sz w:val="24"/>
          <w:szCs w:val="24"/>
          <w:lang w:val="en-GB"/>
        </w:rPr>
        <w:t>been suggested</w:t>
      </w:r>
      <w:r w:rsidR="002248E1" w:rsidRPr="006F15BB">
        <w:rPr>
          <w:rFonts w:ascii="Book Antiqua" w:hAnsi="Book Antiqua" w:cs="Times New Roman"/>
          <w:sz w:val="24"/>
          <w:szCs w:val="24"/>
          <w:lang w:val="en-GB"/>
        </w:rPr>
        <w:t xml:space="preserve"> but</w:t>
      </w:r>
      <w:r w:rsidR="00775540" w:rsidRPr="006F15BB">
        <w:rPr>
          <w:rFonts w:ascii="Book Antiqua" w:hAnsi="Book Antiqua" w:cs="Times New Roman"/>
          <w:sz w:val="24"/>
          <w:szCs w:val="24"/>
          <w:lang w:val="en-GB"/>
        </w:rPr>
        <w:t xml:space="preserve"> with inconclusive evidence</w:t>
      </w:r>
      <w:r w:rsidR="00436A47" w:rsidRPr="006F15BB">
        <w:rPr>
          <w:rFonts w:ascii="Book Antiqua" w:hAnsi="Book Antiqua" w:cs="Times New Roman"/>
          <w:sz w:val="24"/>
          <w:szCs w:val="24"/>
          <w:lang w:val="en-GB"/>
        </w:rPr>
        <w:fldChar w:fldCharType="begin" w:fldLock="1"/>
      </w:r>
      <w:r w:rsidR="00C2761D" w:rsidRPr="006F15BB">
        <w:rPr>
          <w:rFonts w:ascii="Book Antiqua" w:hAnsi="Book Antiqua" w:cs="Times New Roman"/>
          <w:sz w:val="24"/>
          <w:szCs w:val="24"/>
          <w:lang w:val="en-GB"/>
        </w:rPr>
        <w:instrText>ADDIN CSL_CITATION { "citationItems" : [ { "id" : "ITEM-1", "itemData" : { "DOI" : "10.1007/s11606-011-1632-x", "ISBN" : "0884-8734\\r1525-1497", "ISSN" : "08848734", "PMID" : "21286839", "abstract" : "Do-not-resuscitate (DNR) orders have been in use in hospitals nationwide for over 20 years. Nonetheless, as currently implemented, they fail to adequately fulfill their two intended purposes--to support patient autonomy and to prevent non-beneficial interventions. These failures lead to serious consequences. Patients are deprived of the opportunity to make informed decisions regarding resuscitation, and CPR is performed on patients who would have wanted it withheld or are harmed by the procedure. This article highlights the persistent problems with today's use of inpatient DNR orders, i.e., DNR discussions do not occur frequently enough and occur too late in the course of patients' illnesses to allow their participation in resuscitation decisions. Furthermore, many physicians fail to provide adequate information to allow patients or surrogates to make informed decisions and inappropriately extrapolate DNR orders to limit other treatments. Because these failings are primarily due to systemic factors that result in deficient physician behaviors, we propose strategies to target these factors including changing the hospital culture, reforming hospital policies on DNR discussions, mandating provider communication skills training, and using financial incentives. These strategies could help overcome existing barriers to proper DNR discussions and align the use of DNR orders closer to their intended purposes of supporting patient self-determination and avoiding non-beneficial interventions at the end of life.", "author" : [ { "dropping-particle" : "", "family" : "Yuen", "given" : "Jacqueline K.", "non-dropping-particle" : "", "parse-names" : false, "suffix" : "" }, { "dropping-particle" : "", "family" : "Reid", "given" : "M. Carrington", "non-dropping-particle" : "", "parse-names" : false, "suffix" : "" }, { "dropping-particle" : "", "family" : "Fetters", "given" : "Michael D.", "non-dropping-particle" : "", "parse-names" : false, "suffix" : "" } ], "container-title" : "Journal of General Internal Medicine", "id" : "ITEM-1", "issue" : "7", "issued" : { "date-parts" : [ [ "2011", "7", "1" ] ] }, "page" : "791-797", "publisher" : "Springer-Verlag", "title" : "Hospital do-not-resuscitate orders: Why they have failed and how to fix them", "type" : "article", "volume" : "26" }, "uris" : [ "http://www.mendeley.com/documents/?uuid=6327202d-7eef-3230-8fb2-0b68391affd9" ] } ], "mendeley" : { "formattedCitation" : "&lt;sup&gt;[&lt;sup&gt;17&lt;/sup&gt;]&lt;/sup&gt;", "plainTextFormattedCitation" : "[17]", "previouslyFormattedCitation" : "&lt;sup&gt;[&lt;sup&gt;17&lt;/sup&gt;]&lt;/sup&gt;" }, "properties" : { "noteIndex" : 0 }, "schema" : "https://github.com/citation-style-language/schema/raw/master/csl-citation.json" }</w:instrText>
      </w:r>
      <w:r w:rsidR="00436A47" w:rsidRPr="006F15BB">
        <w:rPr>
          <w:rFonts w:ascii="Book Antiqua" w:hAnsi="Book Antiqua" w:cs="Times New Roman"/>
          <w:sz w:val="24"/>
          <w:szCs w:val="24"/>
          <w:lang w:val="en-GB"/>
        </w:rPr>
        <w:fldChar w:fldCharType="separate"/>
      </w:r>
      <w:r w:rsidR="0052176A" w:rsidRPr="006F15BB">
        <w:rPr>
          <w:rFonts w:ascii="Book Antiqua" w:hAnsi="Book Antiqua" w:cs="Times New Roman"/>
          <w:noProof/>
          <w:sz w:val="24"/>
          <w:szCs w:val="24"/>
          <w:vertAlign w:val="superscript"/>
          <w:lang w:val="en-GB"/>
        </w:rPr>
        <w:t>[17]</w:t>
      </w:r>
      <w:r w:rsidR="00436A47" w:rsidRPr="006F15BB">
        <w:rPr>
          <w:rFonts w:ascii="Book Antiqua" w:hAnsi="Book Antiqua" w:cs="Times New Roman"/>
          <w:sz w:val="24"/>
          <w:szCs w:val="24"/>
          <w:lang w:val="en-GB"/>
        </w:rPr>
        <w:fldChar w:fldCharType="end"/>
      </w:r>
      <w:r w:rsidR="00126F21" w:rsidRPr="006F15BB">
        <w:rPr>
          <w:rFonts w:ascii="Book Antiqua" w:hAnsi="Book Antiqua" w:cs="Times New Roman"/>
          <w:sz w:val="24"/>
          <w:szCs w:val="24"/>
          <w:lang w:val="en-GB"/>
        </w:rPr>
        <w:t xml:space="preserve">. </w:t>
      </w:r>
      <w:r w:rsidR="00946B20" w:rsidRPr="006F15BB">
        <w:rPr>
          <w:rFonts w:ascii="Book Antiqua" w:hAnsi="Book Antiqua" w:cs="Times New Roman"/>
          <w:sz w:val="24"/>
          <w:szCs w:val="24"/>
          <w:lang w:val="en-GB"/>
        </w:rPr>
        <w:t xml:space="preserve">The </w:t>
      </w:r>
      <w:r w:rsidR="00441FFE" w:rsidRPr="006F15BB">
        <w:rPr>
          <w:rFonts w:ascii="Book Antiqua" w:hAnsi="Book Antiqua" w:cs="Times New Roman"/>
          <w:sz w:val="24"/>
          <w:szCs w:val="24"/>
          <w:lang w:val="en-GB"/>
        </w:rPr>
        <w:t xml:space="preserve">aim of this study </w:t>
      </w:r>
      <w:r w:rsidR="00BB1AE0" w:rsidRPr="006F15BB">
        <w:rPr>
          <w:rFonts w:ascii="Book Antiqua" w:hAnsi="Book Antiqua" w:cs="Times New Roman"/>
          <w:sz w:val="24"/>
          <w:szCs w:val="24"/>
          <w:lang w:val="en-GB"/>
        </w:rPr>
        <w:t>is</w:t>
      </w:r>
      <w:r w:rsidR="00441FFE" w:rsidRPr="006F15BB">
        <w:rPr>
          <w:rFonts w:ascii="Book Antiqua" w:hAnsi="Book Antiqua" w:cs="Times New Roman"/>
          <w:sz w:val="24"/>
          <w:szCs w:val="24"/>
          <w:lang w:val="en-GB"/>
        </w:rPr>
        <w:t xml:space="preserve"> to describe the </w:t>
      </w:r>
      <w:r w:rsidR="00C24979" w:rsidRPr="006F15BB">
        <w:rPr>
          <w:rFonts w:ascii="Book Antiqua" w:hAnsi="Book Antiqua" w:cs="Times New Roman"/>
          <w:sz w:val="24"/>
          <w:szCs w:val="24"/>
          <w:lang w:val="en-GB"/>
        </w:rPr>
        <w:t xml:space="preserve">incidence and distribution of DNR status in patients </w:t>
      </w:r>
      <w:r w:rsidR="00C24979" w:rsidRPr="006F15BB">
        <w:rPr>
          <w:rFonts w:ascii="Book Antiqua" w:hAnsi="Book Antiqua" w:cs="Times New Roman"/>
          <w:sz w:val="24"/>
          <w:szCs w:val="24"/>
          <w:lang w:val="en-GB"/>
        </w:rPr>
        <w:lastRenderedPageBreak/>
        <w:t xml:space="preserve">undergoing hip fracture surgery </w:t>
      </w:r>
      <w:r w:rsidR="00441FFE" w:rsidRPr="006F15BB">
        <w:rPr>
          <w:rFonts w:ascii="Book Antiqua" w:hAnsi="Book Antiqua" w:cs="Times New Roman"/>
          <w:sz w:val="24"/>
          <w:szCs w:val="24"/>
          <w:lang w:val="en-GB"/>
        </w:rPr>
        <w:t xml:space="preserve">and </w:t>
      </w:r>
      <w:r w:rsidR="00581632" w:rsidRPr="006F15BB">
        <w:rPr>
          <w:rFonts w:ascii="Book Antiqua" w:hAnsi="Book Antiqua" w:cs="Times New Roman"/>
          <w:sz w:val="24"/>
          <w:szCs w:val="24"/>
          <w:lang w:val="en-GB"/>
        </w:rPr>
        <w:t>to</w:t>
      </w:r>
      <w:r w:rsidR="00C24979" w:rsidRPr="006F15BB">
        <w:rPr>
          <w:rFonts w:ascii="Book Antiqua" w:hAnsi="Book Antiqua" w:cs="Times New Roman"/>
          <w:sz w:val="24"/>
          <w:szCs w:val="24"/>
          <w:lang w:val="en-GB"/>
        </w:rPr>
        <w:t xml:space="preserve"> determine whether DNR status is an independent risk factor for worse outcomes on 30 d follow up</w:t>
      </w:r>
      <w:r w:rsidR="00441FFE" w:rsidRPr="006F15BB">
        <w:rPr>
          <w:rFonts w:ascii="Book Antiqua" w:hAnsi="Book Antiqua" w:cs="Times New Roman"/>
          <w:sz w:val="24"/>
          <w:szCs w:val="24"/>
          <w:lang w:val="en-GB"/>
        </w:rPr>
        <w:t>.</w:t>
      </w:r>
      <w:r w:rsidR="00156FD9" w:rsidRPr="006F15BB">
        <w:rPr>
          <w:rFonts w:ascii="Book Antiqua" w:hAnsi="Book Antiqua" w:cs="Times New Roman"/>
          <w:sz w:val="24"/>
          <w:szCs w:val="24"/>
          <w:lang w:val="en-GB"/>
        </w:rPr>
        <w:t xml:space="preserve"> </w:t>
      </w:r>
    </w:p>
    <w:p w14:paraId="2ABB53F2" w14:textId="77777777" w:rsidR="00441FFE" w:rsidRPr="006F15BB" w:rsidRDefault="00441FFE" w:rsidP="008E7BBF">
      <w:pPr>
        <w:adjustRightInd w:val="0"/>
        <w:snapToGrid w:val="0"/>
        <w:spacing w:line="360" w:lineRule="auto"/>
        <w:jc w:val="both"/>
        <w:rPr>
          <w:rFonts w:ascii="Book Antiqua" w:hAnsi="Book Antiqua" w:cs="Times New Roman"/>
          <w:lang w:val="en-GB"/>
        </w:rPr>
      </w:pPr>
    </w:p>
    <w:p w14:paraId="6F90407B" w14:textId="77777777" w:rsidR="00D40970" w:rsidRPr="0034509C" w:rsidRDefault="0034509C" w:rsidP="008E7BBF">
      <w:pPr>
        <w:pStyle w:val="Default"/>
        <w:adjustRightInd w:val="0"/>
        <w:snapToGrid w:val="0"/>
        <w:spacing w:line="360" w:lineRule="auto"/>
        <w:jc w:val="both"/>
        <w:rPr>
          <w:rFonts w:ascii="Book Antiqua" w:eastAsia="宋体" w:hAnsi="Book Antiqua" w:cs="Times New Roman"/>
          <w:b/>
          <w:bCs/>
          <w:color w:val="222222"/>
          <w:sz w:val="24"/>
          <w:szCs w:val="24"/>
          <w:lang w:eastAsia="zh-CN"/>
        </w:rPr>
      </w:pPr>
      <w:r>
        <w:rPr>
          <w:rFonts w:ascii="Book Antiqua" w:hAnsi="Book Antiqua" w:cs="Times New Roman"/>
          <w:b/>
          <w:bCs/>
          <w:color w:val="222222"/>
          <w:sz w:val="24"/>
          <w:szCs w:val="24"/>
        </w:rPr>
        <w:t>MATERIALS AND METHODS</w:t>
      </w:r>
    </w:p>
    <w:p w14:paraId="0C069929" w14:textId="77777777" w:rsidR="00D40970" w:rsidRPr="0034509C" w:rsidRDefault="00D40970" w:rsidP="008E7BBF">
      <w:pPr>
        <w:adjustRightInd w:val="0"/>
        <w:snapToGrid w:val="0"/>
        <w:spacing w:line="360" w:lineRule="auto"/>
        <w:jc w:val="both"/>
        <w:rPr>
          <w:rFonts w:ascii="Book Antiqua" w:hAnsi="Book Antiqua" w:cs="Times New Roman"/>
          <w:b/>
          <w:i/>
        </w:rPr>
      </w:pPr>
      <w:r w:rsidRPr="0034509C">
        <w:rPr>
          <w:rFonts w:ascii="Book Antiqua" w:hAnsi="Book Antiqua" w:cs="Times New Roman"/>
          <w:b/>
          <w:i/>
        </w:rPr>
        <w:t xml:space="preserve">Data </w:t>
      </w:r>
      <w:r w:rsidR="0034509C" w:rsidRPr="0034509C">
        <w:rPr>
          <w:rFonts w:ascii="Book Antiqua" w:hAnsi="Book Antiqua" w:cs="Times New Roman"/>
          <w:b/>
          <w:i/>
        </w:rPr>
        <w:t>s</w:t>
      </w:r>
      <w:r w:rsidRPr="0034509C">
        <w:rPr>
          <w:rFonts w:ascii="Book Antiqua" w:hAnsi="Book Antiqua" w:cs="Times New Roman"/>
          <w:b/>
          <w:i/>
        </w:rPr>
        <w:t>ource</w:t>
      </w:r>
    </w:p>
    <w:p w14:paraId="742E71B7" w14:textId="77777777" w:rsidR="00D40970" w:rsidRPr="006F15BB" w:rsidRDefault="00D40970" w:rsidP="008E7BBF">
      <w:pPr>
        <w:adjustRightInd w:val="0"/>
        <w:snapToGrid w:val="0"/>
        <w:spacing w:line="360" w:lineRule="auto"/>
        <w:jc w:val="both"/>
        <w:rPr>
          <w:rFonts w:ascii="Book Antiqua" w:hAnsi="Book Antiqua" w:cs="Times New Roman"/>
        </w:rPr>
      </w:pPr>
      <w:r w:rsidRPr="006F15BB">
        <w:rPr>
          <w:rFonts w:ascii="Book Antiqua" w:hAnsi="Book Antiqua" w:cs="Times New Roman"/>
        </w:rPr>
        <w:t>The American College of Surgeons (ACS) National Surgical Quality Improvement Program (NSQIP) is a data registry of cases reported from approximately 400 participating sites. ACS</w:t>
      </w:r>
      <w:r w:rsidR="00772635">
        <w:rPr>
          <w:rFonts w:ascii="Book Antiqua" w:hAnsi="Book Antiqua" w:cs="Times New Roman"/>
        </w:rPr>
        <w:t>-</w:t>
      </w:r>
      <w:r w:rsidRPr="006F15BB">
        <w:rPr>
          <w:rFonts w:ascii="Book Antiqua" w:hAnsi="Book Antiqua" w:cs="Times New Roman"/>
        </w:rPr>
        <w:t>NSQIP</w:t>
      </w:r>
      <w:r w:rsidR="00437BC0" w:rsidRPr="006F15BB">
        <w:rPr>
          <w:rFonts w:ascii="Book Antiqua" w:hAnsi="Book Antiqua" w:cs="Times New Roman"/>
        </w:rPr>
        <w:t xml:space="preserve"> is a well</w:t>
      </w:r>
      <w:r w:rsidR="00772635">
        <w:rPr>
          <w:rFonts w:ascii="Book Antiqua" w:hAnsi="Book Antiqua" w:cs="Times New Roman"/>
        </w:rPr>
        <w:t>-</w:t>
      </w:r>
      <w:r w:rsidR="00F55FF3" w:rsidRPr="006F15BB">
        <w:rPr>
          <w:rFonts w:ascii="Book Antiqua" w:hAnsi="Book Antiqua" w:cs="Times New Roman"/>
        </w:rPr>
        <w:t>validated database and</w:t>
      </w:r>
      <w:r w:rsidRPr="006F15BB">
        <w:rPr>
          <w:rFonts w:ascii="Book Antiqua" w:hAnsi="Book Antiqua" w:cs="Times New Roman"/>
        </w:rPr>
        <w:t xml:space="preserve"> </w:t>
      </w:r>
      <w:r w:rsidR="00F55FF3" w:rsidRPr="006F15BB">
        <w:rPr>
          <w:rFonts w:ascii="Book Antiqua" w:hAnsi="Book Antiqua" w:cs="Times New Roman"/>
        </w:rPr>
        <w:t>incorporates data from patient</w:t>
      </w:r>
      <w:r w:rsidRPr="006F15BB">
        <w:rPr>
          <w:rFonts w:ascii="Book Antiqua" w:hAnsi="Book Antiqua" w:cs="Times New Roman"/>
        </w:rPr>
        <w:t>s</w:t>
      </w:r>
      <w:r w:rsidR="00F55FF3" w:rsidRPr="006F15BB">
        <w:rPr>
          <w:rFonts w:ascii="Book Antiqua" w:hAnsi="Book Antiqua" w:cs="Times New Roman"/>
        </w:rPr>
        <w:t>’</w:t>
      </w:r>
      <w:r w:rsidRPr="006F15BB">
        <w:rPr>
          <w:rFonts w:ascii="Book Antiqua" w:hAnsi="Book Antiqua" w:cs="Times New Roman"/>
        </w:rPr>
        <w:t xml:space="preserve"> medical chart</w:t>
      </w:r>
      <w:r w:rsidR="00F55FF3" w:rsidRPr="006F15BB">
        <w:rPr>
          <w:rFonts w:ascii="Book Antiqua" w:hAnsi="Book Antiqua" w:cs="Times New Roman"/>
        </w:rPr>
        <w:t>s</w:t>
      </w:r>
      <w:r w:rsidRPr="006F15BB">
        <w:rPr>
          <w:rFonts w:ascii="Book Antiqua" w:hAnsi="Book Antiqua" w:cs="Times New Roman"/>
        </w:rPr>
        <w:t>, with data entry overseen by a designated Surgical Clinical Reviewer (SCR) at each sit</w:t>
      </w:r>
      <w:r w:rsidR="00AE11FC" w:rsidRPr="006F15BB">
        <w:rPr>
          <w:rFonts w:ascii="Book Antiqua" w:hAnsi="Book Antiqua" w:cs="Times New Roman"/>
        </w:rPr>
        <w:t>e</w:t>
      </w:r>
      <w:r w:rsidRPr="006F15BB">
        <w:rPr>
          <w:rFonts w:ascii="Book Antiqua" w:hAnsi="Book Antiqua" w:cs="Times New Roman"/>
        </w:rPr>
        <w:t>. Institutional Review Board (Brigham and Women’s Hospital, Boston, MA) approval was obtained for analysis of the data and was exempted from the consent requirement due to the de</w:t>
      </w:r>
      <w:r w:rsidR="00772635">
        <w:rPr>
          <w:rFonts w:ascii="Book Antiqua" w:hAnsi="Book Antiqua" w:cs="Times New Roman"/>
        </w:rPr>
        <w:t>-</w:t>
      </w:r>
      <w:r w:rsidRPr="006F15BB">
        <w:rPr>
          <w:rFonts w:ascii="Book Antiqua" w:hAnsi="Book Antiqua" w:cs="Times New Roman"/>
        </w:rPr>
        <w:t>identified nature of the data.</w:t>
      </w:r>
    </w:p>
    <w:p w14:paraId="34CD5FAF" w14:textId="77777777" w:rsidR="00D40970" w:rsidRPr="006F15BB" w:rsidRDefault="00D40970" w:rsidP="008E7BBF">
      <w:pPr>
        <w:pStyle w:val="Default"/>
        <w:adjustRightInd w:val="0"/>
        <w:snapToGrid w:val="0"/>
        <w:spacing w:line="360" w:lineRule="auto"/>
        <w:jc w:val="both"/>
        <w:rPr>
          <w:rFonts w:ascii="Book Antiqua" w:eastAsia="Arial" w:hAnsi="Book Antiqua" w:cs="Times New Roman"/>
          <w:color w:val="222222"/>
          <w:sz w:val="24"/>
          <w:szCs w:val="24"/>
        </w:rPr>
      </w:pPr>
    </w:p>
    <w:p w14:paraId="45DC8D1F" w14:textId="77777777" w:rsidR="00D40970" w:rsidRPr="0034509C" w:rsidRDefault="00D40970" w:rsidP="008E7BBF">
      <w:pPr>
        <w:pStyle w:val="Default"/>
        <w:adjustRightInd w:val="0"/>
        <w:snapToGrid w:val="0"/>
        <w:spacing w:line="360" w:lineRule="auto"/>
        <w:jc w:val="both"/>
        <w:rPr>
          <w:rFonts w:ascii="Book Antiqua" w:eastAsia="Arial" w:hAnsi="Book Antiqua" w:cs="Times New Roman"/>
          <w:b/>
          <w:i/>
          <w:color w:val="222222"/>
          <w:sz w:val="24"/>
          <w:szCs w:val="24"/>
        </w:rPr>
      </w:pPr>
      <w:r w:rsidRPr="0034509C">
        <w:rPr>
          <w:rFonts w:ascii="Book Antiqua" w:eastAsia="Arial" w:hAnsi="Book Antiqua" w:cs="Times New Roman"/>
          <w:b/>
          <w:i/>
          <w:color w:val="222222"/>
          <w:sz w:val="24"/>
          <w:szCs w:val="24"/>
        </w:rPr>
        <w:t xml:space="preserve">Study </w:t>
      </w:r>
      <w:r w:rsidR="0034509C" w:rsidRPr="0034509C">
        <w:rPr>
          <w:rFonts w:ascii="Book Antiqua" w:eastAsia="Arial" w:hAnsi="Book Antiqua" w:cs="Times New Roman"/>
          <w:b/>
          <w:i/>
          <w:color w:val="222222"/>
          <w:sz w:val="24"/>
          <w:szCs w:val="24"/>
        </w:rPr>
        <w:t>s</w:t>
      </w:r>
      <w:r w:rsidRPr="0034509C">
        <w:rPr>
          <w:rFonts w:ascii="Book Antiqua" w:eastAsia="Arial" w:hAnsi="Book Antiqua" w:cs="Times New Roman"/>
          <w:b/>
          <w:i/>
          <w:color w:val="222222"/>
          <w:sz w:val="24"/>
          <w:szCs w:val="24"/>
        </w:rPr>
        <w:t>ample</w:t>
      </w:r>
    </w:p>
    <w:p w14:paraId="391EC238" w14:textId="77777777" w:rsidR="00D64379" w:rsidRPr="006F15BB" w:rsidRDefault="00D40970" w:rsidP="008E7BBF">
      <w:pPr>
        <w:adjustRightInd w:val="0"/>
        <w:snapToGrid w:val="0"/>
        <w:spacing w:line="360" w:lineRule="auto"/>
        <w:jc w:val="both"/>
        <w:rPr>
          <w:rFonts w:ascii="Book Antiqua" w:hAnsi="Book Antiqua" w:cs="Times New Roman"/>
          <w:lang w:eastAsia="zh-CN"/>
        </w:rPr>
      </w:pPr>
      <w:r w:rsidRPr="006F15BB">
        <w:rPr>
          <w:rFonts w:ascii="Book Antiqua" w:hAnsi="Book Antiqua" w:cs="Times New Roman"/>
        </w:rPr>
        <w:t>The 2007</w:t>
      </w:r>
      <w:r w:rsidR="00772635">
        <w:rPr>
          <w:rFonts w:ascii="Book Antiqua" w:hAnsi="Book Antiqua" w:cs="Times New Roman"/>
        </w:rPr>
        <w:t>-</w:t>
      </w:r>
      <w:r w:rsidRPr="006F15BB">
        <w:rPr>
          <w:rFonts w:ascii="Book Antiqua" w:hAnsi="Book Antiqua" w:cs="Times New Roman"/>
        </w:rPr>
        <w:t xml:space="preserve">2013 NSQIP was compiled into a single data file containing 306 variables across 2.8 million surgical cases. </w:t>
      </w:r>
      <w:r w:rsidR="00F55FF3" w:rsidRPr="006F15BB">
        <w:rPr>
          <w:rFonts w:ascii="Book Antiqua" w:hAnsi="Book Antiqua" w:cs="Times New Roman"/>
        </w:rPr>
        <w:t>All cases recording</w:t>
      </w:r>
      <w:r w:rsidRPr="006F15BB">
        <w:rPr>
          <w:rFonts w:ascii="Book Antiqua" w:hAnsi="Book Antiqua" w:cs="Times New Roman"/>
        </w:rPr>
        <w:t xml:space="preserve"> patients under age 18, trauma cases, transplant sur</w:t>
      </w:r>
      <w:r w:rsidR="00F55FF3" w:rsidRPr="006F15BB">
        <w:rPr>
          <w:rFonts w:ascii="Book Antiqua" w:hAnsi="Book Antiqua" w:cs="Times New Roman"/>
        </w:rPr>
        <w:t>geries, cases</w:t>
      </w:r>
      <w:r w:rsidRPr="006F15BB">
        <w:rPr>
          <w:rFonts w:ascii="Book Antiqua" w:hAnsi="Book Antiqua" w:cs="Times New Roman"/>
        </w:rPr>
        <w:t xml:space="preserve"> where the patient is American Society of Anesthesiologists (ASA) physical status class 6, representing a brain</w:t>
      </w:r>
      <w:r w:rsidR="00772635">
        <w:rPr>
          <w:rFonts w:ascii="Book Antiqua" w:hAnsi="Book Antiqua" w:cs="Times New Roman"/>
        </w:rPr>
        <w:t>-</w:t>
      </w:r>
      <w:r w:rsidRPr="006F15BB">
        <w:rPr>
          <w:rFonts w:ascii="Book Antiqua" w:hAnsi="Book Antiqua" w:cs="Times New Roman"/>
        </w:rPr>
        <w:t>dead organ donor</w:t>
      </w:r>
      <w:r w:rsidR="00F55FF3" w:rsidRPr="006F15BB">
        <w:rPr>
          <w:rFonts w:ascii="Book Antiqua" w:hAnsi="Book Antiqua" w:cs="Times New Roman"/>
        </w:rPr>
        <w:t xml:space="preserve"> are excluded from NSQIP</w:t>
      </w:r>
      <w:r w:rsidRPr="006F15BB">
        <w:rPr>
          <w:rFonts w:ascii="Book Antiqua" w:hAnsi="Book Antiqua" w:cs="Times New Roman"/>
        </w:rPr>
        <w:t xml:space="preserve">. </w:t>
      </w:r>
      <w:r w:rsidRPr="006F15BB">
        <w:rPr>
          <w:rFonts w:ascii="Book Antiqua" w:hAnsi="Book Antiqua" w:cs="Times New Roman"/>
          <w:color w:val="222222"/>
        </w:rPr>
        <w:t xml:space="preserve">We isolated all admissions for hip </w:t>
      </w:r>
      <w:r w:rsidR="00C24979" w:rsidRPr="006F15BB">
        <w:rPr>
          <w:rFonts w:ascii="Book Antiqua" w:hAnsi="Book Antiqua" w:cs="Times New Roman"/>
          <w:color w:val="222222"/>
        </w:rPr>
        <w:t xml:space="preserve">fracture </w:t>
      </w:r>
      <w:r w:rsidRPr="006F15BB">
        <w:rPr>
          <w:rFonts w:ascii="Book Antiqua" w:hAnsi="Book Antiqua" w:cs="Times New Roman"/>
          <w:color w:val="222222"/>
        </w:rPr>
        <w:t xml:space="preserve">surgery using </w:t>
      </w:r>
      <w:r w:rsidR="006B03F4" w:rsidRPr="006F15BB">
        <w:rPr>
          <w:rFonts w:ascii="Book Antiqua" w:hAnsi="Book Antiqua" w:cs="Times New Roman"/>
          <w:color w:val="222222"/>
        </w:rPr>
        <w:t xml:space="preserve">all </w:t>
      </w:r>
      <w:r w:rsidR="00174DB9" w:rsidRPr="006F15BB">
        <w:rPr>
          <w:rFonts w:ascii="Book Antiqua" w:hAnsi="Book Antiqua" w:cs="Times New Roman"/>
          <w:color w:val="222222"/>
        </w:rPr>
        <w:t xml:space="preserve">listed ICD codes (Appendix 1) and </w:t>
      </w:r>
      <w:r w:rsidRPr="006F15BB">
        <w:rPr>
          <w:rFonts w:ascii="Book Antiqua" w:hAnsi="Book Antiqua" w:cs="Times New Roman"/>
          <w:color w:val="222222"/>
        </w:rPr>
        <w:t>Current Procedural Terminology (CPT) codes</w:t>
      </w:r>
      <w:r w:rsidR="00174DB9" w:rsidRPr="006F15BB">
        <w:rPr>
          <w:rFonts w:ascii="Book Antiqua" w:hAnsi="Book Antiqua" w:cs="Times New Roman"/>
          <w:color w:val="222222"/>
        </w:rPr>
        <w:t xml:space="preserve"> (</w:t>
      </w:r>
      <w:r w:rsidR="005412D3" w:rsidRPr="006F15BB">
        <w:rPr>
          <w:rFonts w:ascii="Book Antiqua" w:hAnsi="Book Antiqua" w:cs="Times New Roman"/>
          <w:color w:val="222222"/>
        </w:rPr>
        <w:t>included in Table 3 with case mix data</w:t>
      </w:r>
      <w:r w:rsidR="006B03F4" w:rsidRPr="006F15BB">
        <w:rPr>
          <w:rFonts w:ascii="Book Antiqua" w:hAnsi="Book Antiqua" w:cs="Times New Roman"/>
          <w:color w:val="222222"/>
        </w:rPr>
        <w:t>)</w:t>
      </w:r>
      <w:r w:rsidR="00DC6F45" w:rsidRPr="006F15BB">
        <w:rPr>
          <w:rFonts w:ascii="Book Antiqua" w:hAnsi="Book Antiqua" w:cs="Times New Roman"/>
          <w:color w:val="222222"/>
        </w:rPr>
        <w:t xml:space="preserve">. </w:t>
      </w:r>
      <w:r w:rsidR="00F55FF3" w:rsidRPr="006F15BB">
        <w:rPr>
          <w:rFonts w:ascii="Book Antiqua" w:hAnsi="Book Antiqua" w:cs="Times New Roman"/>
        </w:rPr>
        <w:t>All cases failing to report the ‘do not resuscitate’ variable or CPT code were excluded from the analysis.</w:t>
      </w:r>
      <w:r w:rsidR="00DC6F45" w:rsidRPr="006F15BB">
        <w:rPr>
          <w:rFonts w:ascii="Book Antiqua" w:hAnsi="Book Antiqua" w:cs="Times New Roman"/>
        </w:rPr>
        <w:t xml:space="preserve"> </w:t>
      </w:r>
      <w:r w:rsidRPr="006F15BB">
        <w:rPr>
          <w:rFonts w:ascii="Book Antiqua" w:hAnsi="Book Antiqua" w:cs="Times New Roman"/>
        </w:rPr>
        <w:t xml:space="preserve">Patient demographic data were collected for age, </w:t>
      </w:r>
      <w:r w:rsidR="000E1B33" w:rsidRPr="006F15BB">
        <w:rPr>
          <w:rFonts w:ascii="Book Antiqua" w:hAnsi="Book Antiqua" w:cs="Times New Roman"/>
        </w:rPr>
        <w:t xml:space="preserve">ASA </w:t>
      </w:r>
      <w:r w:rsidR="00EA1BDD" w:rsidRPr="006F15BB">
        <w:rPr>
          <w:rFonts w:ascii="Book Antiqua" w:hAnsi="Book Antiqua" w:cs="Times New Roman"/>
        </w:rPr>
        <w:t xml:space="preserve">physical status (PS) </w:t>
      </w:r>
      <w:r w:rsidR="000E1B33" w:rsidRPr="006F15BB">
        <w:rPr>
          <w:rFonts w:ascii="Book Antiqua" w:hAnsi="Book Antiqua" w:cs="Times New Roman"/>
        </w:rPr>
        <w:t>class</w:t>
      </w:r>
      <w:r w:rsidRPr="006F15BB">
        <w:rPr>
          <w:rFonts w:ascii="Book Antiqua" w:hAnsi="Book Antiqua" w:cs="Times New Roman"/>
        </w:rPr>
        <w:t xml:space="preserve">, sex, race, </w:t>
      </w:r>
      <w:r w:rsidR="00DC6F45" w:rsidRPr="006F15BB">
        <w:rPr>
          <w:rFonts w:ascii="Book Antiqua" w:hAnsi="Book Antiqua" w:cs="Times New Roman"/>
        </w:rPr>
        <w:t xml:space="preserve">ethnicity, </w:t>
      </w:r>
      <w:r w:rsidR="00581632" w:rsidRPr="006F15BB">
        <w:rPr>
          <w:rFonts w:ascii="Book Antiqua" w:hAnsi="Book Antiqua" w:cs="Times New Roman"/>
        </w:rPr>
        <w:t>height, weight, and body mass index.</w:t>
      </w:r>
      <w:r w:rsidRPr="006F15BB">
        <w:rPr>
          <w:rFonts w:ascii="Book Antiqua" w:hAnsi="Book Antiqua" w:cs="Times New Roman"/>
        </w:rPr>
        <w:t xml:space="preserve"> Preoperative comorbidity data were collected for functional status prior to surgery, defined as ability to perform activities of daily living (ADL), baseline dyspnea, diabetes mellitus (insulin and non</w:t>
      </w:r>
      <w:r w:rsidR="00772635">
        <w:rPr>
          <w:rFonts w:ascii="Book Antiqua" w:hAnsi="Book Antiqua" w:cs="Times New Roman"/>
        </w:rPr>
        <w:t>-</w:t>
      </w:r>
      <w:r w:rsidRPr="006F15BB">
        <w:rPr>
          <w:rFonts w:ascii="Book Antiqua" w:hAnsi="Book Antiqua" w:cs="Times New Roman"/>
        </w:rPr>
        <w:t>insulin dependent); smoking status within one year prior to admission; presence of chronic obstructive pulmonary disease, congestive heart failure, coronary artery disease (defined as a composite of a history of angina, myocardial infarction, percutaneous coronary interventions or</w:t>
      </w:r>
      <w:r w:rsidR="00890E8C" w:rsidRPr="006F15BB">
        <w:rPr>
          <w:rFonts w:ascii="Book Antiqua" w:hAnsi="Book Antiqua" w:cs="Times New Roman"/>
        </w:rPr>
        <w:t xml:space="preserve"> previous</w:t>
      </w:r>
      <w:r w:rsidRPr="006F15BB">
        <w:rPr>
          <w:rFonts w:ascii="Book Antiqua" w:hAnsi="Book Antiqua" w:cs="Times New Roman"/>
        </w:rPr>
        <w:t xml:space="preserve"> cardiac surgery), hypertension, chronic kidney disease, cerebrovascular accidents, pre</w:t>
      </w:r>
      <w:r w:rsidR="00772635">
        <w:rPr>
          <w:rFonts w:ascii="Book Antiqua" w:hAnsi="Book Antiqua" w:cs="Times New Roman"/>
        </w:rPr>
        <w:t>-</w:t>
      </w:r>
      <w:r w:rsidRPr="006F15BB">
        <w:rPr>
          <w:rFonts w:ascii="Book Antiqua" w:hAnsi="Book Antiqua" w:cs="Times New Roman"/>
        </w:rPr>
        <w:t xml:space="preserve">operative weight loss of </w:t>
      </w:r>
      <w:r w:rsidRPr="006F15BB">
        <w:rPr>
          <w:rFonts w:ascii="Book Antiqua" w:hAnsi="Book Antiqua" w:cs="Times New Roman"/>
        </w:rPr>
        <w:lastRenderedPageBreak/>
        <w:t xml:space="preserve">greater than 10% in the 6 </w:t>
      </w:r>
      <w:proofErr w:type="spellStart"/>
      <w:r w:rsidR="0034509C">
        <w:rPr>
          <w:rFonts w:ascii="Book Antiqua" w:hAnsi="Book Antiqua" w:cs="Times New Roman"/>
        </w:rPr>
        <w:t>mo</w:t>
      </w:r>
      <w:proofErr w:type="spellEnd"/>
      <w:r w:rsidRPr="006F15BB">
        <w:rPr>
          <w:rFonts w:ascii="Book Antiqua" w:hAnsi="Book Antiqua" w:cs="Times New Roman"/>
        </w:rPr>
        <w:t xml:space="preserve"> prior to surgery, sepsis physiology and a previous operation within the past 30 </w:t>
      </w:r>
      <w:r w:rsidR="0034509C">
        <w:rPr>
          <w:rFonts w:ascii="Book Antiqua" w:hAnsi="Book Antiqua" w:cs="Times New Roman"/>
        </w:rPr>
        <w:t>d</w:t>
      </w:r>
      <w:r w:rsidRPr="006F15BB">
        <w:rPr>
          <w:rFonts w:ascii="Book Antiqua" w:hAnsi="Book Antiqua" w:cs="Times New Roman"/>
        </w:rPr>
        <w:t>. Additional pre</w:t>
      </w:r>
      <w:r w:rsidR="00772635">
        <w:rPr>
          <w:rFonts w:ascii="Book Antiqua" w:hAnsi="Book Antiqua" w:cs="Times New Roman"/>
        </w:rPr>
        <w:t>-</w:t>
      </w:r>
      <w:r w:rsidRPr="006F15BB">
        <w:rPr>
          <w:rFonts w:ascii="Book Antiqua" w:hAnsi="Book Antiqua" w:cs="Times New Roman"/>
        </w:rPr>
        <w:t>operative laboratories, including the creatinine, albumin, hematocrit, platelet count and international normalized ratio (INR) were collected.</w:t>
      </w:r>
    </w:p>
    <w:p w14:paraId="6C0D9DA8" w14:textId="77777777" w:rsidR="00D40970" w:rsidRPr="006F15BB" w:rsidRDefault="00D64379" w:rsidP="008E7BBF">
      <w:pPr>
        <w:adjustRightInd w:val="0"/>
        <w:snapToGrid w:val="0"/>
        <w:spacing w:line="360" w:lineRule="auto"/>
        <w:ind w:firstLine="720"/>
        <w:jc w:val="both"/>
        <w:rPr>
          <w:rFonts w:ascii="Book Antiqua" w:hAnsi="Book Antiqua" w:cs="Times New Roman"/>
          <w:lang w:eastAsia="zh-CN"/>
        </w:rPr>
      </w:pPr>
      <w:r w:rsidRPr="006F15BB">
        <w:rPr>
          <w:rFonts w:ascii="Book Antiqua" w:hAnsi="Book Antiqua" w:cs="Times New Roman"/>
        </w:rPr>
        <w:t xml:space="preserve">We calculated a frailty score for each patient undergoing </w:t>
      </w:r>
      <w:r w:rsidR="006B03F4" w:rsidRPr="006F15BB">
        <w:rPr>
          <w:rFonts w:ascii="Book Antiqua" w:hAnsi="Book Antiqua" w:cs="Times New Roman"/>
        </w:rPr>
        <w:t xml:space="preserve">hip fracture surgery to assess </w:t>
      </w:r>
      <w:r w:rsidRPr="006F15BB">
        <w:rPr>
          <w:rFonts w:ascii="Book Antiqua" w:hAnsi="Book Antiqua" w:cs="Times New Roman"/>
        </w:rPr>
        <w:t xml:space="preserve">for </w:t>
      </w:r>
      <w:r w:rsidR="006B03F4" w:rsidRPr="006F15BB">
        <w:rPr>
          <w:rFonts w:ascii="Book Antiqua" w:hAnsi="Book Antiqua" w:cs="Times New Roman"/>
        </w:rPr>
        <w:t xml:space="preserve">presence of </w:t>
      </w:r>
      <w:r w:rsidR="00354A8C" w:rsidRPr="006F15BB">
        <w:rPr>
          <w:rFonts w:ascii="Book Antiqua" w:hAnsi="Book Antiqua" w:cs="Times New Roman"/>
        </w:rPr>
        <w:t xml:space="preserve">any </w:t>
      </w:r>
      <w:r w:rsidR="006B03F4" w:rsidRPr="006F15BB">
        <w:rPr>
          <w:rFonts w:ascii="Book Antiqua" w:hAnsi="Book Antiqua" w:cs="Times New Roman"/>
        </w:rPr>
        <w:t xml:space="preserve">baseline differences in </w:t>
      </w:r>
      <w:r w:rsidRPr="006F15BB">
        <w:rPr>
          <w:rFonts w:ascii="Book Antiqua" w:hAnsi="Book Antiqua" w:cs="Times New Roman"/>
        </w:rPr>
        <w:t>pre</w:t>
      </w:r>
      <w:r w:rsidR="00772635">
        <w:rPr>
          <w:rFonts w:ascii="Book Antiqua" w:hAnsi="Book Antiqua" w:cs="Times New Roman"/>
        </w:rPr>
        <w:t>-</w:t>
      </w:r>
      <w:r w:rsidRPr="006F15BB">
        <w:rPr>
          <w:rFonts w:ascii="Book Antiqua" w:hAnsi="Book Antiqua" w:cs="Times New Roman"/>
        </w:rPr>
        <w:t xml:space="preserve">morbid status between </w:t>
      </w:r>
      <w:r w:rsidR="00437BC0" w:rsidRPr="006F15BB">
        <w:rPr>
          <w:rFonts w:ascii="Book Antiqua" w:hAnsi="Book Antiqua" w:cs="Times New Roman"/>
        </w:rPr>
        <w:t>the DNR and non</w:t>
      </w:r>
      <w:r w:rsidR="00772635">
        <w:rPr>
          <w:rFonts w:ascii="Book Antiqua" w:hAnsi="Book Antiqua" w:cs="Times New Roman"/>
        </w:rPr>
        <w:t>-</w:t>
      </w:r>
      <w:r w:rsidR="006B03F4" w:rsidRPr="006F15BB">
        <w:rPr>
          <w:rFonts w:ascii="Book Antiqua" w:hAnsi="Book Antiqua" w:cs="Times New Roman"/>
        </w:rPr>
        <w:t>DNR status groups. We</w:t>
      </w:r>
      <w:r w:rsidRPr="006F15BB">
        <w:rPr>
          <w:rFonts w:ascii="Book Antiqua" w:hAnsi="Book Antiqua" w:cs="Times New Roman"/>
        </w:rPr>
        <w:t xml:space="preserve"> used</w:t>
      </w:r>
      <w:r w:rsidR="00354A8C" w:rsidRPr="006F15BB">
        <w:rPr>
          <w:rFonts w:ascii="Book Antiqua" w:hAnsi="Book Antiqua" w:cs="Times New Roman"/>
        </w:rPr>
        <w:t xml:space="preserve"> a variation of the well</w:t>
      </w:r>
      <w:r w:rsidR="00772635">
        <w:rPr>
          <w:rFonts w:ascii="Book Antiqua" w:hAnsi="Book Antiqua" w:cs="Times New Roman"/>
        </w:rPr>
        <w:t>-</w:t>
      </w:r>
      <w:r w:rsidR="00354A8C" w:rsidRPr="006F15BB">
        <w:rPr>
          <w:rFonts w:ascii="Book Antiqua" w:hAnsi="Book Antiqua" w:cs="Times New Roman"/>
        </w:rPr>
        <w:t xml:space="preserve">known </w:t>
      </w:r>
      <w:proofErr w:type="spellStart"/>
      <w:r w:rsidR="00354A8C" w:rsidRPr="006F15BB">
        <w:rPr>
          <w:rFonts w:ascii="Book Antiqua" w:hAnsi="Book Antiqua" w:cs="Times New Roman"/>
        </w:rPr>
        <w:t>Ch</w:t>
      </w:r>
      <w:r w:rsidR="002E12AC" w:rsidRPr="006F15BB">
        <w:rPr>
          <w:rFonts w:ascii="Book Antiqua" w:hAnsi="Book Antiqua" w:cs="Times New Roman"/>
        </w:rPr>
        <w:t>arlson</w:t>
      </w:r>
      <w:proofErr w:type="spellEnd"/>
      <w:r w:rsidR="002E12AC" w:rsidRPr="006F15BB">
        <w:rPr>
          <w:rFonts w:ascii="Book Antiqua" w:hAnsi="Book Antiqua" w:cs="Times New Roman"/>
        </w:rPr>
        <w:t xml:space="preserve"> Comorbidity Index</w:t>
      </w:r>
      <w:r w:rsidR="00436A47" w:rsidRPr="006F15BB">
        <w:rPr>
          <w:rFonts w:ascii="Book Antiqua" w:hAnsi="Book Antiqua" w:cs="Times New Roman"/>
        </w:rPr>
        <w:fldChar w:fldCharType="begin" w:fldLock="1"/>
      </w:r>
      <w:r w:rsidR="00C2761D" w:rsidRPr="006F15BB">
        <w:rPr>
          <w:rFonts w:ascii="Book Antiqua" w:hAnsi="Book Antiqua" w:cs="Times New Roman"/>
        </w:rPr>
        <w:instrText>ADDIN CSL_CITATION { "citationItems" : [ { "id" : "ITEM-1", "itemData" : { "DOI" : "10.1007/s00264-015-2810-y", "ISBN" : "1432-5195", "ISSN" : "14325195", "PMID" : "26105762", "abstract" : "PURPOSE: The Charlson comorbidity index (CCI) was developed to quantify the influence of comorbidities on survival. The age-related CCI respects patients' age as an additional risk factor. There are several studies available based on administrative data regarding functional outcome, implant survival, resource use and length of hospital stay in patients undergoing primary total hip arthroplasty (THA). To date, there is a lack of knowledge regarding the correlation of the CCI and the age-related CCI in case of revision total hip arthroplasty (RTHA). OBJECTIVE: Our objective was to validate the influence of the CCI and age-related CCI in patients undergoing RTHA regarding complication rate, resource use implant survival and mortality rate. METHODS: Between October 2007 and November 2012, 142 consecutive patients undergoing RTHA were included in this retrospective study. Routine clinical data were collected and analysed as anonymized aggregated data. In accordance to CCI and age-related CCI the rate of complications (internal medical and surgical complications), the length of hospital stay and the need for ICU treatment and the mortality rate was evaluated. Kaplan-Meier survivorship was used to determine implant survival. RESULTS: Twenty-one patients (15 %) had a low risk CCI, 59 patients (41 %) a moderate risk CCI and 62 patients (44 %) a high risk CCI. The mean follow-up was 27 months (range 24-70 months). In total, we recorded 57 complications (40 %), of which 45 were surgical (79 %) and 12 were internal medical complications (21 %). Twenty-four patients (17 %) had to undergo revision surgery. CCI and age-related CCI had no influence regarding implant survival. We recorded a significant influence of the age-related CCI in regard to the necessity of postoperative intensive care unit stay and the length of total hospital stay. Further we recorded a significant influence of the CCI and the age-related CCI regarding postoperative complications and internal complications, postoperative dislocation and the need for surgical revision. CONCLUSION: In summary, we conclude that the CCI and the age-related CCI are strong predictors regarding complication rate in patients undergoing RTHA. In a short- to mid-term follow-up, no influence on implant survival is detectable.", "author" : [ { "dropping-particle" : "", "family" : "Schmolders", "given" : "Jan", "non-dropping-particle" : "", "parse-names" : false, "suffix" : "" }, { "dropping-particle" : "", "family" : "Friedrich", "given" : "Max J.", "non-dropping-particle" : "", "parse-names" : false, "suffix" : "" }, { "dropping-particle" : "", "family" : "Michel", "given" : "Robert", "non-dropping-particle" : "", "parse-names" : false, "suffix" : "" }, { "dropping-particle" : "", "family" : "Strauss", "given" : "Andreas C.", "non-dropping-particle" : "", "parse-names" : false, "suffix" : "" }, { "dropping-particle" : "", "family" : "Wimmer", "given" : "Matthias D.", "non-dropping-particle" : "", "parse-names" : false, "suffix" : "" }, { "dropping-particle" : "", "family" : "Randau", "given" : "Thomas M.", "non-dropping-particle" : "", "parse-names" : false, "suffix" : "" }, { "dropping-particle" : "", "family" : "Pennekamp", "given" : "Peter H.", "non-dropping-particle" : "", "parse-names" : false, "suffix" : "" }, { "dropping-particle" : "", "family" : "Wirtz", "given" : "Dieter C.", "non-dropping-particle" : "", "parse-names" : false, "suffix" : "" }, { "dropping-particle" : "", "family" : "Gravius", "given" : "Sascha", "non-dropping-particle" : "", "parse-names" : false, "suffix" : "" } ], "container-title" : "International Orthopaedics", "id" : "ITEM-1", "issue" : "9", "issued" : { "date-parts" : [ [ "2015", "9", "24" ] ] }, "page" : "1771-1777", "publisher" : "Springer Berlin Heidelberg", "title" : "Validation of the Charlson comorbidity index in patients undergoing revision total hip arthroplasty", "type" : "article-journal", "volume" : "39" }, "uris" : [ "http://www.mendeley.com/documents/?uuid=70dfb766-bdbc-3b55-bc61-24db5d267e5d" ] }, { "id" : "ITEM-2", "itemData" : { "DOI" : "10.1097/MLR.0000000000000471", "ISBN" : "1537-1948 (Electronic)\\r0025-7079 (Linking)", "ISSN" : "0025-7079", "PMID" : "26683778", "abstract" : "Background: The most used score to measure comorbidity is the Charlson index. Its application to a health care administrative database including International Classification of Diseases, 10th edition (ICD-10) codes, medical procedures, and medication required studying its properties on survival. Our objectives were to adapt the Charlson comorbidity index to the French National Health Insurance database to predict 1-year mortality of discharged patients and to compare discrimination and calibration of different versions of the Charlson index. Methods: Our cohort included all adults discharged from a hospital stay in France in 2010 registered in the French National Health Insurance general scheme. The pathologies of the Charlson index were identified through ICD-10 codes of discharge diagnoses and long-term disease, specific medical procedures, and reimbursement of specific medications in the past 12 months before inclusion. Results: We included 6,602,641 subjects at the date of their first discharge from medical, surgical, or obstetrical department in 2010. One-year survival was 94.88%, decreasing from 98.41% for Charlson index of 0-71.64% for Charlson index of &gt;=5. With a discrimination of 0.91 and an appropriate calibration curve, we retained the crude Cox model including the age-adjusted Charlson index as a 4-level score. Conclusions: Our study is the first to adapt the Charlson index to a large health care database including &gt;6 million of inpatients. When mortality is the outcome, we recommended using the age-adjusted Charlson index as 4-level score to take into account comorbidities. Copyright (C) 2015 Wolters Kluwer Health, Inc. All rights reserved.", "author" : [ { "dropping-particle" : "", "family" : "Bannay", "given" : "Aur\u00e9lie", "non-dropping-particle" : "", "parse-names" : false, "suffix" : "" }, { "dropping-particle" : "", "family" : "Chaignot", "given" : "Christophe", "non-dropping-particle" : "", "parse-names" : false, "suffix" : "" }, { "dropping-particle" : "", "family" : "Bloti\u00e8re", "given" : "Pierre-Olivier", "non-dropping-particle" : "", "parse-names" : false, "suffix" : "" }, { "dropping-particle" : "", "family" : "Basson", "given" : "Micka\u00ebl", "non-dropping-particle" : "", "parse-names" : false, "suffix" : "" }, { "dropping-particle" : "", "family" : "Weill", "given" : "Alain", "non-dropping-particle" : "", "parse-names" : false, "suffix" : "" }, { "dropping-particle" : "", "family" : "Ricordeau", "given" : "Philippe", "non-dropping-particle" : "", "parse-names" : false, "suffix" : "" }, { "dropping-particle" : "", "family" : "Alla", "given" : "Fran\u00e7ois", "non-dropping-particle" : "", "parse-names" : false, "suffix" : "" } ], "container-title" : "Medical Care", "id" : "ITEM-2", "issue" : "2", "issued" : { "date-parts" : [ [ "2016", "2" ] ] }, "page" : "188-194", "title" : "The Best Use of the Charlson Comorbidity Index With Electronic Health Care Database to Predict Mortality", "type" : "article-journal", "volume" : "54" }, "uris" : [ "http://www.mendeley.com/documents/?uuid=0581d64a-2d27-38dc-ac86-29d9e7f9d97d" ] }, { "id" : "ITEM-3", "itemData" : { "DOI" : "10.1016/j.arth.2016.11.014", "ISSN" : "15328406", "PMID" : "28109762", "abstract" : "Background Revision total hip arthroplasty (RHA) has been associated with greater morbidity and length of stay (LOS) compared to primary total hip arthroplasty. Despite this, few validated metrics exist for risk stratification in RHA cohorts. The Charlson Comorbidity Index (CCI) has been associated with complications in total hip arthroplasty, but its utility in revision surgery remains unexplored. The purpose of this study was to examine the relationship between preoperative CCI and a variety of outcome metrics following RHA. Methods The National Surgical Quality Improvement Program database was used to identify all patients undergoing aseptic RHA between 2006 and 2013. A variety of demographics and perioperative variables were collected. Modified CCI scores were computed for each patient based on a validated formula incorporating comorbidities found in the National Surgical Quality Improvement Program database. Outcome variables of interest included mortality, major postoperative complications, minor adverse events, incidence of transfusion, and prolonged LOS. Perioperative factors were tested for association with these outcomes using bivariate analysis and significant variables were then incorporated into a logistic regression model to explore the relationship between preoperative CCI scores and postoperative events. Results In a multivariable regression model controlling for the significant perioperative variables, operative time, and American Society of Anesthesiologists classification, higher CCI scores were significantly associated with mortality (odds ratio [OR] 1.89, 95% confidence interval [CI] 1.64-2.18, P &lt; .001), major complications (OR 1.12, 95% CI 1.05-1.20, P = .001), minor complications (OR 1.53, 95% CI 1.39-1.69, P &lt; .001), transfusions (OR 1.14, 95% CI 1.09-1.20, P &lt; .001), and prolonged LOS (OR 1.32, 95% CI 1.26-1.39, P &lt; .001). Conclusion Higher preoperative CCI scores were independent risk factors for numerous complications. This highlights the potential utility of the CCI in risk stratification for RHA populations.", "author" : [ { "dropping-particle" : "", "family" : "Lakomkin", "given" : "Nikita", "non-dropping-particle" : "", "parse-names" : false, "suffix" : "" }, { "dropping-particle" : "", "family" : "Goz", "given" : "Vadim", "non-dropping-particle" : "", "parse-names" : false, "suffix" : "" }, { "dropping-particle" : "", "family" : "Lajam", "given" : "Claudette M.", "non-dropping-particle" : "", "parse-names" : false, "suffix" : "" }, { "dropping-particle" : "", "family" : "Iorio", "given" : "Richard", "non-dropping-particle" : "", "parse-names" : false, "suffix" : "" }, { "dropping-particle" : "", "family" : "Bosco", "given" : "Joseph A.", "non-dropping-particle" : "", "parse-names" : false, "suffix" : "" } ], "container-title" : "Journal of Arthroplasty", "id" : "ITEM-3", "issue" : "4", "issued" : { "date-parts" : [ [ "2017" ] ] }, "page" : "1121-1124", "title" : "Higher Modified Charlson Index Scores Are Associated With Increased Incidence of Complications, Transfusion Events, and Length of Stay Following Revision Hip Arthroplasty", "type" : "article-journal", "volume" : "32" }, "uris" : [ "http://www.mendeley.com/documents/?uuid=06882840-4e89-3275-8637-1d581e80a7d0" ] }, { "id" : "ITEM-4", "itemData" : { "DOI" : "10.1016/0021-9681(87)90171-8", "ISBN" : "0021-9681 (Print)\\n0021-9681 (Linking)", "ISSN" : "00219681", "PMID" : "3558716", "abstract" : "The objective of this study was to develop a prospectively applicable method for classifying comorbid conditions which might alter the risk of mortality for use in longitudinal studies. A weighted index that takes into account the number and the seriousness of comorbid disease was developed in a cohort of 559 medical patients. The 1-yr mortality rates for the different scores were: \"0\", 12% (181); \"1-2\", 26% (225); \"3-4\", 52% (71); and \"??? 5\", 85% (82). The index was tested for its ability to predict risk of death from comorbid disease in the second cohort of 685 patients during a 10-yr follow-up. The percent of patients who died of comorbid disease for the different scores were: \"0\", 8% (588); \"1\", 25% (54); \"2\", 48% (25); \" ??? 3\", 59% (18). With each increased level of the comorbidity index, there were stepwise increases in the cumulative mortality attributable to comorbid disease (log rank ??2 = 165; p &lt; 0.0001). In this longer follow-up, age was also a predictor of mortality (p &lt; 0.001). The new index performed similarly to a previous system devised by Kaplan and Feinstein. The method of classifying comorbidity provides a simple, readily applicable and valid method of estimating risk of death from comorbid disease for use in longitudinal studies. Further work in larger populations is still required to refine the approach because the number of patients with any given condition in this study was relatively small. ?? 1987.", "author" : [ { "dropping-particle" : "", "family" : "Charlson", "given" : "Mary E.", "non-dropping-particle" : "", "parse-names" : false, "suffix" : "" }, { "dropping-particle" : "", "family" : "Pompei", "given" : "Peter", "non-dropping-particle" : "", "parse-names" : false, "suffix" : "" }, { "dropping-particle" : "", "family" : "Ales", "given" : "Kathy L.", "non-dropping-particle" : "", "parse-names" : false, "suffix" : "" }, { "dropping-particle" : "", "family" : "MacKenzie", "given" : "C. Ronald", "non-dropping-particle" : "", "parse-names" : false, "suffix" : "" } ], "container-title" : "Journal of Chronic Diseases", "id" : "ITEM-4", "issue" : "5", "issued" : { "date-parts" : [ [ "1987", "1" ] ] }, "page" : "373-383", "title" : "A new method of classifying prognostic comorbidity in longitudinal studies: Development and validation", "type" : "article-journal", "volume" : "40" }, "uris" : [ "http://www.mendeley.com/documents/?uuid=9328d423-6f53-33c2-974f-48f8f5f07348" ] } ], "mendeley" : { "formattedCitation" : "&lt;sup&gt;[&lt;sup&gt;18&lt;/sup&gt;\u2013&lt;sup&gt;21&lt;/sup&gt;]&lt;/sup&gt;", "plainTextFormattedCitation" : "[18\u201321]", "previouslyFormattedCitation" : "&lt;sup&gt;[&lt;sup&gt;18&lt;/sup&gt;\u2013&lt;sup&gt;21&lt;/sup&gt;]&lt;/sup&gt;" }, "properties" : { "noteIndex" : 0 }, "schema" : "https://github.com/citation-style-language/schema/raw/master/csl-citation.json" }</w:instrText>
      </w:r>
      <w:r w:rsidR="00436A47" w:rsidRPr="006F15BB">
        <w:rPr>
          <w:rFonts w:ascii="Book Antiqua" w:hAnsi="Book Antiqua" w:cs="Times New Roman"/>
        </w:rPr>
        <w:fldChar w:fldCharType="separate"/>
      </w:r>
      <w:r w:rsidR="0052176A" w:rsidRPr="006F15BB">
        <w:rPr>
          <w:rFonts w:ascii="Book Antiqua" w:hAnsi="Book Antiqua" w:cs="Times New Roman"/>
          <w:noProof/>
          <w:vertAlign w:val="superscript"/>
        </w:rPr>
        <w:t>[18</w:t>
      </w:r>
      <w:r w:rsidR="00772635">
        <w:rPr>
          <w:rFonts w:ascii="Book Antiqua" w:hAnsi="Book Antiqua" w:cs="Times New Roman" w:hint="eastAsia"/>
          <w:noProof/>
          <w:vertAlign w:val="superscript"/>
          <w:lang w:eastAsia="zh-CN"/>
        </w:rPr>
        <w:t>-</w:t>
      </w:r>
      <w:r w:rsidR="0052176A" w:rsidRPr="006F15BB">
        <w:rPr>
          <w:rFonts w:ascii="Book Antiqua" w:hAnsi="Book Antiqua" w:cs="Times New Roman"/>
          <w:noProof/>
          <w:vertAlign w:val="superscript"/>
        </w:rPr>
        <w:t>21]</w:t>
      </w:r>
      <w:r w:rsidR="00436A47" w:rsidRPr="006F15BB">
        <w:rPr>
          <w:rFonts w:ascii="Book Antiqua" w:hAnsi="Book Antiqua" w:cs="Times New Roman"/>
        </w:rPr>
        <w:fldChar w:fldCharType="end"/>
      </w:r>
      <w:r w:rsidR="00354A8C" w:rsidRPr="006F15BB">
        <w:rPr>
          <w:rFonts w:ascii="Book Antiqua" w:hAnsi="Book Antiqua" w:cs="Times New Roman"/>
        </w:rPr>
        <w:t>.</w:t>
      </w:r>
      <w:r w:rsidR="00740BF4" w:rsidRPr="006F15BB">
        <w:rPr>
          <w:rFonts w:ascii="Book Antiqua" w:hAnsi="Book Antiqua" w:cs="Times New Roman"/>
        </w:rPr>
        <w:t xml:space="preserve"> T</w:t>
      </w:r>
      <w:r w:rsidRPr="006F15BB">
        <w:rPr>
          <w:rFonts w:ascii="Book Antiqua" w:hAnsi="Book Antiqua" w:cs="Times New Roman"/>
        </w:rPr>
        <w:t xml:space="preserve">he Canadian Study of </w:t>
      </w:r>
      <w:r w:rsidR="00354A8C" w:rsidRPr="006F15BB">
        <w:rPr>
          <w:rFonts w:ascii="Book Antiqua" w:hAnsi="Book Antiqua" w:cs="Times New Roman"/>
        </w:rPr>
        <w:t xml:space="preserve">Health and Ageing </w:t>
      </w:r>
      <w:r w:rsidR="00E32BBE" w:rsidRPr="006F15BB">
        <w:rPr>
          <w:rFonts w:ascii="Book Antiqua" w:hAnsi="Book Antiqua" w:cs="Times New Roman"/>
        </w:rPr>
        <w:t>(CSHA)</w:t>
      </w:r>
      <w:r w:rsidR="00436A47" w:rsidRPr="006F15BB">
        <w:rPr>
          <w:rFonts w:ascii="Book Antiqua" w:hAnsi="Book Antiqua" w:cs="Times New Roman"/>
        </w:rPr>
        <w:fldChar w:fldCharType="begin" w:fldLock="1"/>
      </w:r>
      <w:r w:rsidR="00E413D6" w:rsidRPr="006F15BB">
        <w:rPr>
          <w:rFonts w:ascii="Book Antiqua" w:hAnsi="Book Antiqua" w:cs="Times New Roman"/>
        </w:rPr>
        <w:instrText>ADDIN CSL_CITATION { "citationItems" : [ { "id" : "ITEM-1", "itemData" : { "DOI" : "10.1503/cmaj.050051", "ISBN" : "1488-2329 (Electronic)\\r0820-3946 (Linking)", "ISSN" : "08203946", "PMID" : "16129869", "abstract" : "BACKGROUND There is no single generally accepted clinical definition of frailty. Previously developed tools to assess frailty that have been shown to be predictive of death or need for entry into an institutional facility have not gained acceptance among practising clinicians. We aimed to develop a tool that would be both predictive and easy to use. METHODS We developed the 7-point Clinical Frailty Scale and applied it and other established tools that measure frailty to 2305 elderly patients who participated in the second stage of the Canadian Study of Health and Aging (CSHA). We followed this cohort prospectively; after 5 years, we determined the ability of the Clinical Frailty Scale to predict death or need for institutional care, and correlated the results with those obtained from other established tools. RESULTS The CSHA Clinical Frailty Scale was highly correlated (r = 0.80) with the Frailty Index. Each 1-category increment of our scale significantly increased the medium-term risks of death (21.2% within about 70 mo, 95% confidence interval [CI] 12.5%-30.6%) and entry into an institution (23.9%, 95% CI 8.8%-41.2%) in multivariable models that adjusted for age, sex and education. Analyses of receiver operating characteristic curves showed that our Clinical Frailty Scale performed better than measures of cognition, function or comorbidity in assessing risk for death (area under the curve 0.77 for 18-month and 0.70 for 70-month mortality). INTERPRETATION Frailty is a valid and clinically important construct that is recognizable by physicians. Clinical judgments about frailty can yield useful predictive information.", "author" : [ { "dropping-particle" : "", "family" : "Rockwood", "given" : "Kenneth", "non-dropping-particle" : "", "parse-names" : false, "suffix" : "" }, { "dropping-particle" : "", "family" : "Song", "given" : "Xiaowei", "non-dropping-particle" : "", "parse-names" : false, "suffix" : "" }, { "dropping-particle" : "", "family" : "MacKnight", "given" : "Chris", "non-dropping-particle" : "", "parse-names" : false, "suffix" : "" }, { "dropping-particle" : "", "family" : "Bergman", "given" : "Howard", "non-dropping-particle" : "", "parse-names" : false, "suffix" : "" }, { "dropping-particle" : "", "family" : "Hogan", "given" : "David B", "non-dropping-particle" : "", "parse-names" : false, "suffix" : "" }, { "dropping-particle" : "", "family" : "McDowell", "given" : "Ian", "non-dropping-particle" : "", "parse-names" : false, "suffix" : "" }, { "dropping-particle" : "", "family" : "Mitnitski", "given" : "Arnold", "non-dropping-particle" : "", "parse-names" : false, "suffix" : "" } ], "container-title" : "CMAJ", "id" : "ITEM-1", "issue" : "5", "issued" : { "date-parts" : [ [ "2005", "8", "30" ] ] }, "page" : "489-495", "publisher" : "Canadian Medical Association", "title" : "A global clinical measure of fitness and frailty in elderly people", "type" : "article-journal", "volume" : "173" }, "uris" : [ "http://www.mendeley.com/documents/?uuid=59cd3938-23b8-310c-82f2-5e6c2d808efe" ] } ], "mendeley" : { "formattedCitation" : "&lt;sup&gt;[&lt;sup&gt;22&lt;/sup&gt;]&lt;/sup&gt;", "plainTextFormattedCitation" : "[22]", "previouslyFormattedCitation" : "&lt;sup&gt;[&lt;sup&gt;22&lt;/sup&gt;]&lt;/sup&gt;" }, "properties" : { "noteIndex" : 0 }, "schema" : "https://github.com/citation-style-language/schema/raw/master/csl-citation.json" }</w:instrText>
      </w:r>
      <w:r w:rsidR="00436A47" w:rsidRPr="006F15BB">
        <w:rPr>
          <w:rFonts w:ascii="Book Antiqua" w:hAnsi="Book Antiqua" w:cs="Times New Roman"/>
        </w:rPr>
        <w:fldChar w:fldCharType="separate"/>
      </w:r>
      <w:r w:rsidR="00E413D6" w:rsidRPr="006F15BB">
        <w:rPr>
          <w:rFonts w:ascii="Book Antiqua" w:hAnsi="Book Antiqua" w:cs="Times New Roman"/>
          <w:noProof/>
          <w:vertAlign w:val="superscript"/>
        </w:rPr>
        <w:t>[22]</w:t>
      </w:r>
      <w:r w:rsidR="00436A47" w:rsidRPr="006F15BB">
        <w:rPr>
          <w:rFonts w:ascii="Book Antiqua" w:hAnsi="Book Antiqua" w:cs="Times New Roman"/>
        </w:rPr>
        <w:fldChar w:fldCharType="end"/>
      </w:r>
      <w:r w:rsidR="00E32BBE" w:rsidRPr="006F15BB">
        <w:rPr>
          <w:rFonts w:ascii="Book Antiqua" w:hAnsi="Book Antiqua" w:cs="Times New Roman"/>
        </w:rPr>
        <w:t xml:space="preserve"> Clinical Frailty Scale </w:t>
      </w:r>
      <w:r w:rsidR="00354A8C" w:rsidRPr="006F15BB">
        <w:rPr>
          <w:rFonts w:ascii="Book Antiqua" w:hAnsi="Book Antiqua" w:cs="Times New Roman"/>
        </w:rPr>
        <w:t>is</w:t>
      </w:r>
      <w:r w:rsidR="00E32BBE" w:rsidRPr="006F15BB">
        <w:rPr>
          <w:rFonts w:ascii="Book Antiqua" w:hAnsi="Book Antiqua" w:cs="Times New Roman"/>
        </w:rPr>
        <w:t xml:space="preserve"> a 7</w:t>
      </w:r>
      <w:r w:rsidR="00354A8C" w:rsidRPr="006F15BB">
        <w:rPr>
          <w:rFonts w:ascii="Book Antiqua" w:hAnsi="Book Antiqua" w:cs="Times New Roman"/>
        </w:rPr>
        <w:t xml:space="preserve"> point </w:t>
      </w:r>
      <w:r w:rsidR="006B03F4" w:rsidRPr="006F15BB">
        <w:rPr>
          <w:rFonts w:ascii="Book Antiqua" w:hAnsi="Book Antiqua" w:cs="Times New Roman"/>
        </w:rPr>
        <w:t xml:space="preserve">index, </w:t>
      </w:r>
      <w:r w:rsidR="00E32BBE" w:rsidRPr="006F15BB">
        <w:rPr>
          <w:rFonts w:ascii="Book Antiqua" w:hAnsi="Book Antiqua" w:cs="Times New Roman"/>
        </w:rPr>
        <w:t xml:space="preserve">modified from the </w:t>
      </w:r>
      <w:proofErr w:type="spellStart"/>
      <w:r w:rsidR="00354A8C" w:rsidRPr="006F15BB">
        <w:rPr>
          <w:rFonts w:ascii="Book Antiqua" w:hAnsi="Book Antiqua" w:cs="Times New Roman"/>
        </w:rPr>
        <w:t>Charlson</w:t>
      </w:r>
      <w:proofErr w:type="spellEnd"/>
      <w:r w:rsidR="00354A8C" w:rsidRPr="006F15BB">
        <w:rPr>
          <w:rFonts w:ascii="Book Antiqua" w:hAnsi="Book Antiqua" w:cs="Times New Roman"/>
        </w:rPr>
        <w:t xml:space="preserve"> </w:t>
      </w:r>
      <w:r w:rsidR="002E12AC" w:rsidRPr="006F15BB">
        <w:rPr>
          <w:rFonts w:ascii="Book Antiqua" w:hAnsi="Book Antiqua" w:cs="Times New Roman"/>
        </w:rPr>
        <w:t>Comorbidity Index</w:t>
      </w:r>
      <w:r w:rsidR="00354A8C" w:rsidRPr="006F15BB">
        <w:rPr>
          <w:rFonts w:ascii="Book Antiqua" w:hAnsi="Book Antiqua" w:cs="Times New Roman"/>
        </w:rPr>
        <w:t xml:space="preserve">. It has been </w:t>
      </w:r>
      <w:r w:rsidR="006B03F4" w:rsidRPr="006F15BB">
        <w:rPr>
          <w:rFonts w:ascii="Book Antiqua" w:hAnsi="Book Antiqua" w:cs="Times New Roman"/>
        </w:rPr>
        <w:t xml:space="preserve">validated previously using NSQIP data, and </w:t>
      </w:r>
      <w:r w:rsidR="00354A8C" w:rsidRPr="006F15BB">
        <w:rPr>
          <w:rFonts w:ascii="Book Antiqua" w:hAnsi="Book Antiqua" w:cs="Times New Roman"/>
        </w:rPr>
        <w:t xml:space="preserve">has been </w:t>
      </w:r>
      <w:r w:rsidR="006B03F4" w:rsidRPr="006F15BB">
        <w:rPr>
          <w:rFonts w:ascii="Book Antiqua" w:hAnsi="Book Antiqua" w:cs="Times New Roman"/>
        </w:rPr>
        <w:t xml:space="preserve">modified for use with </w:t>
      </w:r>
      <w:r w:rsidR="00354A8C" w:rsidRPr="006F15BB">
        <w:rPr>
          <w:rFonts w:ascii="Book Antiqua" w:hAnsi="Book Antiqua" w:cs="Times New Roman"/>
        </w:rPr>
        <w:t xml:space="preserve">data collected within the </w:t>
      </w:r>
      <w:r w:rsidR="006B03F4" w:rsidRPr="006F15BB">
        <w:rPr>
          <w:rFonts w:ascii="Book Antiqua" w:hAnsi="Book Antiqua" w:cs="Times New Roman"/>
        </w:rPr>
        <w:t xml:space="preserve">NSQIP </w:t>
      </w:r>
      <w:r w:rsidR="00354A8C" w:rsidRPr="006F15BB">
        <w:rPr>
          <w:rFonts w:ascii="Book Antiqua" w:hAnsi="Book Antiqua" w:cs="Times New Roman"/>
        </w:rPr>
        <w:t>dataset</w:t>
      </w:r>
      <w:r w:rsidR="00436A47" w:rsidRPr="006F15BB">
        <w:rPr>
          <w:rFonts w:ascii="Book Antiqua" w:hAnsi="Book Antiqua" w:cs="Times New Roman"/>
        </w:rPr>
        <w:fldChar w:fldCharType="begin" w:fldLock="1"/>
      </w:r>
      <w:r w:rsidR="00C2761D" w:rsidRPr="006F15BB">
        <w:rPr>
          <w:rFonts w:ascii="Book Antiqua" w:hAnsi="Book Antiqua" w:cs="Times New Roman"/>
        </w:rPr>
        <w:instrText>ADDIN CSL_CITATION { "citationItems" : [ { "id" : "ITEM-1", "itemData" : { "DOI" : "10.1016/j.jss.2013.01.021", "ISBN" : "1095-8673", "ISSN" : "00224804", "PMID" : "23415494", "abstract" : "Background: Frailty has been associated with a number of adverse outcomes. One model of frailty is the \"accumulating deficits\" concept. We hypothesized that this model can be applied to a national database to predict postoperative mortality and morbidity. Methods: We accessed the National Surgical Quality Improvement Program (NSQIP) Participant Use File for the years 2005-2009 for inpatient surgical patients who had undergone cardiac, general, gynecologic, neurosurgical, orthopedic, otolaryngologic, plastic, general thoracic, urologic, and vascular surgical operations. Items of the Canadian Study of Health and Aging-frailty index (FI) were compared with preoperative clinical variables recorded by NSQIP. Eleven items were matched, and a simplified FI, defined as the number of deficits present divided by the number of deficits matched, using the number of items present was determined for each patient. The 30-d morbidity and mortality were correlated to this simplified FI and stratified by operation complexity based on the operation's relative value units. Results: Of the 971,434 patients identified, there was a stepwise increase in risk of both mortality (odds ratios ranged from 1.33 to 46.33) and morbidity (odds ratios ranged from 1.24 to 3.36) for each unit increase in FI for each specialty and each level of operation complexity (trend of odds P value &lt;0.0001 for all comparisons). Conclusions: A simple 11-point FI correlated with both mortality and morbidity for all surgical specialties. This may be applicable to other national databases and clinical practice. \u00a9 2013 Elsevier Inc. All rights reserved.", "author" : [ { "dropping-particle" : "", "family" : "Velanovich", "given" : "Vic", "non-dropping-particle" : "", "parse-names" : false, "suffix" : "" }, { "dropping-particle" : "", "family" : "Antoine", "given" : "Heath", "non-dropping-particle" : "", "parse-names" : false, "suffix" : "" }, { "dropping-particle" : "", "family" : "Swartz", "given" : "Andrew", "non-dropping-particle" : "", "parse-names" : false, "suffix" : "" }, { "dropping-particle" : "", "family" : "Peters", "given" : "David", "non-dropping-particle" : "", "parse-names" : false, "suffix" : "" }, { "dropping-particle" : "", "family" : "Rubinfeld", "given" : "Ilan", "non-dropping-particle" : "", "parse-names" : false, "suffix" : "" } ], "container-title" : "Journal of Surgical Research", "id" : "ITEM-1", "issue" : "1", "issued" : { "date-parts" : [ [ "2013", "7" ] ] }, "page" : "104-110", "title" : "Accumulating deficits model of frailty and postoperative mortality and morbidity: Its application to a national database", "type" : "article-journal", "volume" : "183" }, "uris" : [ "http://www.mendeley.com/documents/?uuid=96f25344-7095-3ebf-b997-6ff3b9677eac" ] } ], "mendeley" : { "formattedCitation" : "&lt;sup&gt;[&lt;sup&gt;23&lt;/sup&gt;]&lt;/sup&gt;", "plainTextFormattedCitation" : "[23]", "previouslyFormattedCitation" : "&lt;sup&gt;[&lt;sup&gt;23&lt;/sup&gt;]&lt;/sup&gt;" }, "properties" : { "noteIndex" : 0 }, "schema" : "https://github.com/citation-style-language/schema/raw/master/csl-citation.json" }</w:instrText>
      </w:r>
      <w:r w:rsidR="00436A47" w:rsidRPr="006F15BB">
        <w:rPr>
          <w:rFonts w:ascii="Book Antiqua" w:hAnsi="Book Antiqua" w:cs="Times New Roman"/>
        </w:rPr>
        <w:fldChar w:fldCharType="separate"/>
      </w:r>
      <w:r w:rsidR="0052176A" w:rsidRPr="006F15BB">
        <w:rPr>
          <w:rFonts w:ascii="Book Antiqua" w:hAnsi="Book Antiqua" w:cs="Times New Roman"/>
          <w:noProof/>
          <w:vertAlign w:val="superscript"/>
        </w:rPr>
        <w:t>[23]</w:t>
      </w:r>
      <w:r w:rsidR="00436A47" w:rsidRPr="006F15BB">
        <w:rPr>
          <w:rFonts w:ascii="Book Antiqua" w:hAnsi="Book Antiqua" w:cs="Times New Roman"/>
        </w:rPr>
        <w:fldChar w:fldCharType="end"/>
      </w:r>
      <w:r w:rsidR="006B03F4" w:rsidRPr="006F15BB">
        <w:rPr>
          <w:rFonts w:ascii="Book Antiqua" w:hAnsi="Book Antiqua" w:cs="Times New Roman"/>
        </w:rPr>
        <w:t>.</w:t>
      </w:r>
    </w:p>
    <w:p w14:paraId="61662287" w14:textId="77777777" w:rsidR="00D40970" w:rsidRPr="006F15BB" w:rsidRDefault="00D40970" w:rsidP="008E7BBF">
      <w:pPr>
        <w:adjustRightInd w:val="0"/>
        <w:snapToGrid w:val="0"/>
        <w:spacing w:line="360" w:lineRule="auto"/>
        <w:ind w:firstLine="720"/>
        <w:jc w:val="both"/>
        <w:rPr>
          <w:rFonts w:ascii="Book Antiqua" w:hAnsi="Book Antiqua" w:cs="Times New Roman"/>
          <w:lang w:eastAsia="zh-CN"/>
        </w:rPr>
      </w:pPr>
      <w:r w:rsidRPr="006F15BB">
        <w:rPr>
          <w:rFonts w:ascii="Book Antiqua" w:hAnsi="Book Antiqua" w:cs="Times New Roman"/>
        </w:rPr>
        <w:t>Data</w:t>
      </w:r>
      <w:r w:rsidR="00E478DA" w:rsidRPr="006F15BB">
        <w:rPr>
          <w:rFonts w:ascii="Book Antiqua" w:hAnsi="Book Antiqua" w:cs="Times New Roman"/>
        </w:rPr>
        <w:t xml:space="preserve"> collection for </w:t>
      </w:r>
      <w:r w:rsidRPr="006F15BB">
        <w:rPr>
          <w:rFonts w:ascii="Book Antiqua" w:hAnsi="Book Antiqua" w:cs="Times New Roman"/>
        </w:rPr>
        <w:t xml:space="preserve">the surgical procedure </w:t>
      </w:r>
      <w:r w:rsidR="00E478DA" w:rsidRPr="006F15BB">
        <w:rPr>
          <w:rFonts w:ascii="Book Antiqua" w:hAnsi="Book Antiqua" w:cs="Times New Roman"/>
        </w:rPr>
        <w:t>included</w:t>
      </w:r>
      <w:r w:rsidR="006B03F4" w:rsidRPr="006F15BB">
        <w:rPr>
          <w:rFonts w:ascii="Book Antiqua" w:hAnsi="Book Antiqua" w:cs="Times New Roman"/>
        </w:rPr>
        <w:t xml:space="preserve"> the primary surgical CPT</w:t>
      </w:r>
      <w:r w:rsidRPr="006F15BB">
        <w:rPr>
          <w:rFonts w:ascii="Book Antiqua" w:hAnsi="Book Antiqua" w:cs="Times New Roman"/>
        </w:rPr>
        <w:t xml:space="preserve"> code, surgical wound classification, total anesthesia and surgical time and anesthesia type.</w:t>
      </w:r>
      <w:r w:rsidR="0005485A" w:rsidRPr="006F15BB">
        <w:rPr>
          <w:rFonts w:ascii="Book Antiqua" w:hAnsi="Book Antiqua" w:cs="Times New Roman"/>
        </w:rPr>
        <w:t xml:space="preserve"> </w:t>
      </w:r>
      <w:r w:rsidR="00D9136F" w:rsidRPr="006F15BB">
        <w:rPr>
          <w:rFonts w:ascii="Book Antiqua" w:hAnsi="Book Antiqua" w:cs="Times New Roman"/>
        </w:rPr>
        <w:t>To assess for independent association between preoperative patient demographic, co</w:t>
      </w:r>
      <w:r w:rsidR="00772635">
        <w:rPr>
          <w:rFonts w:ascii="Book Antiqua" w:hAnsi="Book Antiqua" w:cs="Times New Roman"/>
        </w:rPr>
        <w:t>-</w:t>
      </w:r>
      <w:r w:rsidR="00D9136F" w:rsidRPr="006F15BB">
        <w:rPr>
          <w:rFonts w:ascii="Book Antiqua" w:hAnsi="Book Antiqua" w:cs="Times New Roman"/>
        </w:rPr>
        <w:t xml:space="preserve">morbidity and frailty variables and DNR status, we conducted </w:t>
      </w:r>
      <w:proofErr w:type="spellStart"/>
      <w:r w:rsidR="00D9136F" w:rsidRPr="006F15BB">
        <w:rPr>
          <w:rFonts w:ascii="Book Antiqua" w:hAnsi="Book Antiqua" w:cs="Times New Roman"/>
        </w:rPr>
        <w:t>univariable</w:t>
      </w:r>
      <w:proofErr w:type="spellEnd"/>
      <w:r w:rsidR="00D9136F" w:rsidRPr="006F15BB">
        <w:rPr>
          <w:rFonts w:ascii="Book Antiqua" w:hAnsi="Book Antiqua" w:cs="Times New Roman"/>
        </w:rPr>
        <w:t xml:space="preserve"> and multivariable regression analysis. For the logistic regression, odds ratios (OR) were reported with their associated 95% confidence intervals (CI). OR not including 1.00 in their </w:t>
      </w:r>
      <w:r w:rsidR="0034509C">
        <w:rPr>
          <w:rFonts w:ascii="Book Antiqua" w:hAnsi="Book Antiqua" w:cs="Times New Roman"/>
        </w:rPr>
        <w:t xml:space="preserve">95%CI </w:t>
      </w:r>
      <w:r w:rsidR="00D9136F" w:rsidRPr="006F15BB">
        <w:rPr>
          <w:rFonts w:ascii="Book Antiqua" w:hAnsi="Book Antiqua" w:cs="Times New Roman"/>
        </w:rPr>
        <w:t>were considered statistically significant and were included in the multivariable regression analysis</w:t>
      </w:r>
      <w:r w:rsidR="0034509C">
        <w:rPr>
          <w:rFonts w:ascii="Book Antiqua" w:hAnsi="Book Antiqua" w:cs="Times New Roman"/>
        </w:rPr>
        <w:t>.</w:t>
      </w:r>
    </w:p>
    <w:p w14:paraId="26476F7C" w14:textId="77777777" w:rsidR="00D40970" w:rsidRPr="006F15BB" w:rsidRDefault="000309FD" w:rsidP="008E7BBF">
      <w:pPr>
        <w:adjustRightInd w:val="0"/>
        <w:snapToGrid w:val="0"/>
        <w:spacing w:line="360" w:lineRule="auto"/>
        <w:ind w:firstLine="720"/>
        <w:jc w:val="both"/>
        <w:rPr>
          <w:rFonts w:ascii="Book Antiqua" w:hAnsi="Book Antiqua" w:cs="Times New Roman"/>
        </w:rPr>
      </w:pPr>
      <w:r w:rsidRPr="006F15BB">
        <w:rPr>
          <w:rFonts w:ascii="Book Antiqua" w:hAnsi="Book Antiqua" w:cs="Times New Roman"/>
        </w:rPr>
        <w:t xml:space="preserve">We collected binary outcomes data </w:t>
      </w:r>
      <w:r w:rsidR="00D40970" w:rsidRPr="006F15BB">
        <w:rPr>
          <w:rFonts w:ascii="Book Antiqua" w:hAnsi="Book Antiqua" w:cs="Times New Roman"/>
        </w:rPr>
        <w:t xml:space="preserve">for </w:t>
      </w:r>
      <w:r w:rsidRPr="006F15BB">
        <w:rPr>
          <w:rFonts w:ascii="Book Antiqua" w:hAnsi="Book Antiqua" w:cs="Times New Roman"/>
        </w:rPr>
        <w:t xml:space="preserve">the following </w:t>
      </w:r>
      <w:r w:rsidR="00D40970" w:rsidRPr="006F15BB">
        <w:rPr>
          <w:rFonts w:ascii="Book Antiqua" w:hAnsi="Book Antiqua" w:cs="Times New Roman"/>
        </w:rPr>
        <w:t>postoperative eve</w:t>
      </w:r>
      <w:r w:rsidRPr="006F15BB">
        <w:rPr>
          <w:rFonts w:ascii="Book Antiqua" w:hAnsi="Book Antiqua" w:cs="Times New Roman"/>
        </w:rPr>
        <w:t xml:space="preserve">nts up to 30 </w:t>
      </w:r>
      <w:r w:rsidR="0034509C">
        <w:rPr>
          <w:rFonts w:ascii="Book Antiqua" w:hAnsi="Book Antiqua" w:cs="Times New Roman"/>
        </w:rPr>
        <w:t>d</w:t>
      </w:r>
      <w:r w:rsidRPr="006F15BB">
        <w:rPr>
          <w:rFonts w:ascii="Book Antiqua" w:hAnsi="Book Antiqua" w:cs="Times New Roman"/>
        </w:rPr>
        <w:t xml:space="preserve"> after surgery</w:t>
      </w:r>
      <w:r w:rsidR="0005485A" w:rsidRPr="006F15BB">
        <w:rPr>
          <w:rFonts w:ascii="Book Antiqua" w:hAnsi="Book Antiqua" w:cs="Times New Roman"/>
        </w:rPr>
        <w:t xml:space="preserve">: </w:t>
      </w:r>
      <w:r w:rsidR="0034509C" w:rsidRPr="006F15BB">
        <w:rPr>
          <w:rFonts w:ascii="Book Antiqua" w:hAnsi="Book Antiqua" w:cs="Times New Roman"/>
        </w:rPr>
        <w:t>D</w:t>
      </w:r>
      <w:r w:rsidR="00D40970" w:rsidRPr="006F15BB">
        <w:rPr>
          <w:rFonts w:ascii="Book Antiqua" w:hAnsi="Book Antiqua" w:cs="Times New Roman"/>
        </w:rPr>
        <w:t>eath</w:t>
      </w:r>
      <w:r w:rsidRPr="006F15BB">
        <w:rPr>
          <w:rFonts w:ascii="Book Antiqua" w:hAnsi="Book Antiqua" w:cs="Times New Roman"/>
        </w:rPr>
        <w:t xml:space="preserve">, return to the operating room, </w:t>
      </w:r>
      <w:r w:rsidR="00D40970" w:rsidRPr="006F15BB">
        <w:rPr>
          <w:rFonts w:ascii="Book Antiqua" w:hAnsi="Book Antiqua" w:cs="Times New Roman"/>
        </w:rPr>
        <w:t>superficial and deep space surgical site infections, post</w:t>
      </w:r>
      <w:r w:rsidR="00772635">
        <w:rPr>
          <w:rFonts w:ascii="Book Antiqua" w:hAnsi="Book Antiqua" w:cs="Times New Roman"/>
        </w:rPr>
        <w:t>-</w:t>
      </w:r>
      <w:r w:rsidR="00D40970" w:rsidRPr="006F15BB">
        <w:rPr>
          <w:rFonts w:ascii="Book Antiqua" w:hAnsi="Book Antiqua" w:cs="Times New Roman"/>
        </w:rPr>
        <w:t>operative pneumonia, unplanned intubation, failure to wean from the ventilator, progressive renal insufficiency and acute renal failure requiring dialysis, urinary tract infections, cerebrovascular accidents, myocardial infarction, post</w:t>
      </w:r>
      <w:r w:rsidR="00772635">
        <w:rPr>
          <w:rFonts w:ascii="Book Antiqua" w:hAnsi="Book Antiqua" w:cs="Times New Roman"/>
        </w:rPr>
        <w:t>-</w:t>
      </w:r>
      <w:r w:rsidR="00D40970" w:rsidRPr="006F15BB">
        <w:rPr>
          <w:rFonts w:ascii="Book Antiqua" w:hAnsi="Book Antiqua" w:cs="Times New Roman"/>
        </w:rPr>
        <w:t>operative bleeding requiring transfusion of packed red blood cells, deep venous thrombosis requiring therapy, pulmonary embolism and post</w:t>
      </w:r>
      <w:r w:rsidR="00772635">
        <w:rPr>
          <w:rFonts w:ascii="Book Antiqua" w:hAnsi="Book Antiqua" w:cs="Times New Roman"/>
        </w:rPr>
        <w:t>-</w:t>
      </w:r>
      <w:r w:rsidR="00D40970" w:rsidRPr="006F15BB">
        <w:rPr>
          <w:rFonts w:ascii="Book Antiqua" w:hAnsi="Book Antiqua" w:cs="Times New Roman"/>
        </w:rPr>
        <w:t>operative sepsis. Additional data on discharge</w:t>
      </w:r>
      <w:r w:rsidR="006B03F4" w:rsidRPr="006F15BB">
        <w:rPr>
          <w:rFonts w:ascii="Book Antiqua" w:hAnsi="Book Antiqua" w:cs="Times New Roman"/>
        </w:rPr>
        <w:t xml:space="preserve"> destination</w:t>
      </w:r>
      <w:r w:rsidR="00D40970" w:rsidRPr="006F15BB">
        <w:rPr>
          <w:rFonts w:ascii="Book Antiqua" w:hAnsi="Book Antiqua" w:cs="Times New Roman"/>
        </w:rPr>
        <w:t xml:space="preserve"> (Home, Skilled Care, or Rehabilitation facility) and total length of stay were also collected. All outcomes were reported as percentages, with the numerator defined as the absolute count reporting a given outcome and the denominator defined as the total number of cases reporting any outcome for that variable. To assess for the association</w:t>
      </w:r>
      <w:r w:rsidR="000305E7" w:rsidRPr="006F15BB">
        <w:rPr>
          <w:rFonts w:ascii="Book Antiqua" w:hAnsi="Book Antiqua" w:cs="Times New Roman"/>
        </w:rPr>
        <w:t>s between DNR status and post</w:t>
      </w:r>
      <w:r w:rsidR="00772635">
        <w:rPr>
          <w:rFonts w:ascii="Book Antiqua" w:hAnsi="Book Antiqua" w:cs="Times New Roman"/>
        </w:rPr>
        <w:t>-</w:t>
      </w:r>
      <w:r w:rsidR="000305E7" w:rsidRPr="006F15BB">
        <w:rPr>
          <w:rFonts w:ascii="Book Antiqua" w:hAnsi="Book Antiqua" w:cs="Times New Roman"/>
        </w:rPr>
        <w:t xml:space="preserve">operative outcomes, we </w:t>
      </w:r>
      <w:r w:rsidR="00DD7B50" w:rsidRPr="006F15BB">
        <w:rPr>
          <w:rFonts w:ascii="Book Antiqua" w:hAnsi="Book Antiqua" w:cs="Times New Roman"/>
        </w:rPr>
        <w:t xml:space="preserve">developed a propensity score matched </w:t>
      </w:r>
      <w:r w:rsidR="00DD7B50" w:rsidRPr="006F15BB">
        <w:rPr>
          <w:rFonts w:ascii="Book Antiqua" w:hAnsi="Book Antiqua" w:cs="Times New Roman"/>
        </w:rPr>
        <w:lastRenderedPageBreak/>
        <w:t xml:space="preserve">cohort in which patients were matched by propensity for DNR status. </w:t>
      </w:r>
      <w:r w:rsidR="00E478DA" w:rsidRPr="006F15BB">
        <w:rPr>
          <w:rFonts w:ascii="Book Antiqua" w:hAnsi="Book Antiqua" w:cs="Times New Roman"/>
        </w:rPr>
        <w:t xml:space="preserve">We </w:t>
      </w:r>
      <w:r w:rsidR="000305E7" w:rsidRPr="006F15BB">
        <w:rPr>
          <w:rFonts w:ascii="Book Antiqua" w:hAnsi="Book Antiqua" w:cs="Times New Roman"/>
        </w:rPr>
        <w:t xml:space="preserve">performed </w:t>
      </w:r>
      <w:proofErr w:type="spellStart"/>
      <w:r w:rsidR="000305E7" w:rsidRPr="006F15BB">
        <w:rPr>
          <w:rFonts w:ascii="Book Antiqua" w:hAnsi="Book Antiqua" w:cs="Times New Roman"/>
        </w:rPr>
        <w:t>univariable</w:t>
      </w:r>
      <w:proofErr w:type="spellEnd"/>
      <w:r w:rsidR="000305E7" w:rsidRPr="006F15BB">
        <w:rPr>
          <w:rFonts w:ascii="Book Antiqua" w:hAnsi="Book Antiqua" w:cs="Times New Roman"/>
        </w:rPr>
        <w:t xml:space="preserve"> and multivariable regression analysis</w:t>
      </w:r>
      <w:r w:rsidR="00DD7B50" w:rsidRPr="006F15BB">
        <w:rPr>
          <w:rFonts w:ascii="Book Antiqua" w:hAnsi="Book Antiqua" w:cs="Times New Roman"/>
        </w:rPr>
        <w:t xml:space="preserve"> on the matched cohort and </w:t>
      </w:r>
      <w:r w:rsidR="000305E7" w:rsidRPr="006F15BB">
        <w:rPr>
          <w:rFonts w:ascii="Book Antiqua" w:hAnsi="Book Antiqua" w:cs="Times New Roman"/>
        </w:rPr>
        <w:t xml:space="preserve">OR not including 1.00 in their </w:t>
      </w:r>
      <w:r w:rsidR="0034509C">
        <w:rPr>
          <w:rFonts w:ascii="Book Antiqua" w:hAnsi="Book Antiqua" w:cs="Times New Roman"/>
        </w:rPr>
        <w:t xml:space="preserve">95%CI </w:t>
      </w:r>
      <w:r w:rsidR="000305E7" w:rsidRPr="006F15BB">
        <w:rPr>
          <w:rFonts w:ascii="Book Antiqua" w:hAnsi="Book Antiqua" w:cs="Times New Roman"/>
        </w:rPr>
        <w:t>were considered statistically significant.</w:t>
      </w:r>
    </w:p>
    <w:p w14:paraId="1D8CA4BE" w14:textId="77777777" w:rsidR="00D40970" w:rsidRPr="006F15BB" w:rsidRDefault="00D40970" w:rsidP="008E7BBF">
      <w:pPr>
        <w:adjustRightInd w:val="0"/>
        <w:snapToGrid w:val="0"/>
        <w:spacing w:line="360" w:lineRule="auto"/>
        <w:jc w:val="both"/>
        <w:rPr>
          <w:rFonts w:ascii="Book Antiqua" w:hAnsi="Book Antiqua" w:cs="Times New Roman"/>
        </w:rPr>
      </w:pPr>
    </w:p>
    <w:p w14:paraId="3798C572" w14:textId="77777777" w:rsidR="00D40970" w:rsidRPr="0034509C" w:rsidRDefault="00D40970" w:rsidP="008E7BBF">
      <w:pPr>
        <w:pStyle w:val="Default"/>
        <w:adjustRightInd w:val="0"/>
        <w:snapToGrid w:val="0"/>
        <w:spacing w:line="360" w:lineRule="auto"/>
        <w:jc w:val="both"/>
        <w:rPr>
          <w:rFonts w:ascii="Book Antiqua" w:hAnsi="Book Antiqua" w:cs="Times New Roman"/>
          <w:b/>
          <w:i/>
          <w:sz w:val="24"/>
          <w:szCs w:val="24"/>
        </w:rPr>
      </w:pPr>
      <w:r w:rsidRPr="0034509C">
        <w:rPr>
          <w:rFonts w:ascii="Book Antiqua" w:hAnsi="Book Antiqua" w:cs="Times New Roman"/>
          <w:b/>
          <w:i/>
          <w:sz w:val="24"/>
          <w:szCs w:val="24"/>
        </w:rPr>
        <w:t xml:space="preserve">Statistical </w:t>
      </w:r>
      <w:r w:rsidR="0034509C" w:rsidRPr="0034509C">
        <w:rPr>
          <w:rFonts w:ascii="Book Antiqua" w:hAnsi="Book Antiqua" w:cs="Times New Roman"/>
          <w:b/>
          <w:i/>
          <w:sz w:val="24"/>
          <w:szCs w:val="24"/>
        </w:rPr>
        <w:t>a</w:t>
      </w:r>
      <w:r w:rsidRPr="0034509C">
        <w:rPr>
          <w:rFonts w:ascii="Book Antiqua" w:hAnsi="Book Antiqua" w:cs="Times New Roman"/>
          <w:b/>
          <w:i/>
          <w:sz w:val="24"/>
          <w:szCs w:val="24"/>
        </w:rPr>
        <w:t>nalysis</w:t>
      </w:r>
    </w:p>
    <w:p w14:paraId="7ADB77A2" w14:textId="77777777" w:rsidR="0021677F" w:rsidRPr="006F15BB" w:rsidRDefault="00D40970" w:rsidP="008E7BBF">
      <w:pPr>
        <w:adjustRightInd w:val="0"/>
        <w:snapToGrid w:val="0"/>
        <w:spacing w:line="360" w:lineRule="auto"/>
        <w:jc w:val="both"/>
        <w:rPr>
          <w:rFonts w:ascii="Book Antiqua" w:hAnsi="Book Antiqua" w:cs="Times New Roman"/>
        </w:rPr>
      </w:pPr>
      <w:r w:rsidRPr="006F15BB">
        <w:rPr>
          <w:rFonts w:ascii="Book Antiqua" w:hAnsi="Book Antiqua" w:cs="Times New Roman"/>
        </w:rPr>
        <w:t xml:space="preserve">R Project for Statistical Computing (R version 3.2.3) was used to perform all statistical analysis. Differences between cohorts were assessed using the Pearson </w:t>
      </w:r>
      <w:r w:rsidR="00E478DA" w:rsidRPr="006F15BB">
        <w:rPr>
          <w:rFonts w:ascii="Book Antiqua" w:hAnsi="Book Antiqua" w:cs="Times New Roman"/>
        </w:rPr>
        <w:t>chi squared</w:t>
      </w:r>
      <w:r w:rsidRPr="006F15BB">
        <w:rPr>
          <w:rFonts w:ascii="Book Antiqua" w:hAnsi="Book Antiqua" w:cs="Times New Roman"/>
        </w:rPr>
        <w:t xml:space="preserve"> test for categorical variables and using the Student’s t</w:t>
      </w:r>
      <w:r w:rsidR="00772635">
        <w:rPr>
          <w:rFonts w:ascii="Book Antiqua" w:hAnsi="Book Antiqua" w:cs="Times New Roman"/>
        </w:rPr>
        <w:t>-</w:t>
      </w:r>
      <w:r w:rsidRPr="006F15BB">
        <w:rPr>
          <w:rFonts w:ascii="Book Antiqua" w:hAnsi="Book Antiqua" w:cs="Times New Roman"/>
        </w:rPr>
        <w:t>test for continuous variables</w:t>
      </w:r>
      <w:r w:rsidR="001538F4" w:rsidRPr="006F15BB">
        <w:rPr>
          <w:rFonts w:ascii="Book Antiqua" w:hAnsi="Book Antiqua" w:cs="Times New Roman"/>
        </w:rPr>
        <w:t xml:space="preserve"> due to the assessment of normality. However, for the variable length of stay, assessment of the distribution of data was non</w:t>
      </w:r>
      <w:r w:rsidR="00772635">
        <w:rPr>
          <w:rFonts w:ascii="Book Antiqua" w:hAnsi="Book Antiqua" w:cs="Times New Roman"/>
        </w:rPr>
        <w:t>-</w:t>
      </w:r>
      <w:r w:rsidR="001538F4" w:rsidRPr="006F15BB">
        <w:rPr>
          <w:rFonts w:ascii="Book Antiqua" w:hAnsi="Book Antiqua" w:cs="Times New Roman"/>
        </w:rPr>
        <w:t xml:space="preserve">normal; </w:t>
      </w:r>
      <w:proofErr w:type="gramStart"/>
      <w:r w:rsidR="001538F4" w:rsidRPr="006F15BB">
        <w:rPr>
          <w:rFonts w:ascii="Book Antiqua" w:hAnsi="Book Antiqua" w:cs="Times New Roman"/>
        </w:rPr>
        <w:t>thus</w:t>
      </w:r>
      <w:proofErr w:type="gramEnd"/>
      <w:r w:rsidR="001538F4" w:rsidRPr="006F15BB">
        <w:rPr>
          <w:rFonts w:ascii="Book Antiqua" w:hAnsi="Book Antiqua" w:cs="Times New Roman"/>
        </w:rPr>
        <w:t xml:space="preserve"> a Wilcoxon rank sum test was performed on </w:t>
      </w:r>
      <w:r w:rsidR="007E1EAA" w:rsidRPr="006F15BB">
        <w:rPr>
          <w:rFonts w:ascii="Book Antiqua" w:hAnsi="Book Antiqua" w:cs="Times New Roman"/>
        </w:rPr>
        <w:t xml:space="preserve">this </w:t>
      </w:r>
      <w:r w:rsidR="001538F4" w:rsidRPr="006F15BB">
        <w:rPr>
          <w:rFonts w:ascii="Book Antiqua" w:hAnsi="Book Antiqua" w:cs="Times New Roman"/>
        </w:rPr>
        <w:t>variable</w:t>
      </w:r>
      <w:r w:rsidR="00D9136F" w:rsidRPr="006F15BB">
        <w:rPr>
          <w:rFonts w:ascii="Book Antiqua" w:hAnsi="Book Antiqua" w:cs="Times New Roman"/>
        </w:rPr>
        <w:t xml:space="preserve">. For all demographic, comorbidity, and operative characteristics, a </w:t>
      </w:r>
      <w:proofErr w:type="spellStart"/>
      <w:r w:rsidR="00D9136F" w:rsidRPr="006F15BB">
        <w:rPr>
          <w:rFonts w:ascii="Book Antiqua" w:hAnsi="Book Antiqua" w:cs="Times New Roman"/>
        </w:rPr>
        <w:t>univariable</w:t>
      </w:r>
      <w:proofErr w:type="spellEnd"/>
      <w:r w:rsidR="00D9136F" w:rsidRPr="006F15BB">
        <w:rPr>
          <w:rFonts w:ascii="Book Antiqua" w:hAnsi="Book Antiqua" w:cs="Times New Roman"/>
        </w:rPr>
        <w:t xml:space="preserve"> logistic regression model was fitted to assess the association of each variable w</w:t>
      </w:r>
      <w:r w:rsidR="000305E7" w:rsidRPr="006F15BB">
        <w:rPr>
          <w:rFonts w:ascii="Book Antiqua" w:hAnsi="Book Antiqua" w:cs="Times New Roman"/>
        </w:rPr>
        <w:t>ith DNR status</w:t>
      </w:r>
      <w:r w:rsidR="002A4C69" w:rsidRPr="006F15BB">
        <w:rPr>
          <w:rFonts w:ascii="Book Antiqua" w:hAnsi="Book Antiqua" w:cs="Times New Roman"/>
        </w:rPr>
        <w:t xml:space="preserve">. Of note, the database does not report any postoperative outcomes (including death) occurring more than 30 </w:t>
      </w:r>
      <w:r w:rsidR="0034509C">
        <w:rPr>
          <w:rFonts w:ascii="Book Antiqua" w:hAnsi="Book Antiqua" w:cs="Times New Roman"/>
        </w:rPr>
        <w:t>d</w:t>
      </w:r>
      <w:r w:rsidR="002A4C69" w:rsidRPr="006F15BB">
        <w:rPr>
          <w:rFonts w:ascii="Book Antiqua" w:hAnsi="Book Antiqua" w:cs="Times New Roman"/>
        </w:rPr>
        <w:t xml:space="preserve"> after surgery. </w:t>
      </w:r>
      <w:r w:rsidR="007A522B" w:rsidRPr="006F15BB">
        <w:rPr>
          <w:rFonts w:ascii="Book Antiqua" w:hAnsi="Book Antiqua" w:cs="Times New Roman"/>
        </w:rPr>
        <w:t xml:space="preserve">Additionally, for variables with a large continuous range, the following assumptions were made; platelet count assumes a change of 100,000, while the morbidity and mortality risk scores assume a change of 10%. </w:t>
      </w:r>
      <w:r w:rsidR="0021677F" w:rsidRPr="006F15BB">
        <w:rPr>
          <w:rFonts w:ascii="Book Antiqua" w:hAnsi="Book Antiqua" w:cs="Times New Roman"/>
        </w:rPr>
        <w:t xml:space="preserve">For anesthesia and surgical operating time, the regression model assumes a time interval change of 10 minutes. </w:t>
      </w:r>
    </w:p>
    <w:p w14:paraId="50897E28" w14:textId="77777777" w:rsidR="007F6FCE" w:rsidRPr="006F15BB" w:rsidRDefault="007F6FCE" w:rsidP="008E7BBF">
      <w:pPr>
        <w:adjustRightInd w:val="0"/>
        <w:snapToGrid w:val="0"/>
        <w:spacing w:line="360" w:lineRule="auto"/>
        <w:jc w:val="both"/>
        <w:rPr>
          <w:rFonts w:ascii="Book Antiqua" w:hAnsi="Book Antiqua" w:cs="Times New Roman"/>
        </w:rPr>
      </w:pPr>
    </w:p>
    <w:p w14:paraId="45B9AB8F" w14:textId="77777777" w:rsidR="00A20431" w:rsidRPr="0034509C" w:rsidRDefault="00D9136F" w:rsidP="008E7BBF">
      <w:pPr>
        <w:adjustRightInd w:val="0"/>
        <w:snapToGrid w:val="0"/>
        <w:spacing w:line="360" w:lineRule="auto"/>
        <w:jc w:val="both"/>
        <w:rPr>
          <w:rFonts w:ascii="Book Antiqua" w:hAnsi="Book Antiqua" w:cs="Times New Roman"/>
          <w:b/>
          <w:i/>
        </w:rPr>
      </w:pPr>
      <w:r w:rsidRPr="0034509C">
        <w:rPr>
          <w:rFonts w:ascii="Book Antiqua" w:hAnsi="Book Antiqua" w:cs="Times New Roman"/>
          <w:b/>
          <w:i/>
        </w:rPr>
        <w:t xml:space="preserve">Multivariable </w:t>
      </w:r>
      <w:r w:rsidR="0034509C" w:rsidRPr="0034509C">
        <w:rPr>
          <w:rFonts w:ascii="Book Antiqua" w:hAnsi="Book Antiqua" w:cs="Times New Roman"/>
          <w:b/>
          <w:i/>
        </w:rPr>
        <w:t xml:space="preserve">logistic regression propensity score matched model </w:t>
      </w:r>
    </w:p>
    <w:p w14:paraId="7EF75D6B" w14:textId="77777777" w:rsidR="007F6FCE" w:rsidRPr="006F15BB" w:rsidRDefault="002A4C69" w:rsidP="008E7BBF">
      <w:pPr>
        <w:adjustRightInd w:val="0"/>
        <w:snapToGrid w:val="0"/>
        <w:spacing w:line="360" w:lineRule="auto"/>
        <w:jc w:val="both"/>
        <w:rPr>
          <w:rFonts w:ascii="Book Antiqua" w:hAnsi="Book Antiqua" w:cs="Times New Roman"/>
        </w:rPr>
      </w:pPr>
      <w:r w:rsidRPr="006F15BB">
        <w:rPr>
          <w:rFonts w:ascii="Book Antiqua" w:hAnsi="Book Antiqua" w:cs="Times New Roman"/>
        </w:rPr>
        <w:t xml:space="preserve">For our primary analysis, we applied a </w:t>
      </w:r>
      <w:r w:rsidR="00DC7047" w:rsidRPr="006F15BB">
        <w:rPr>
          <w:rFonts w:ascii="Book Antiqua" w:hAnsi="Book Antiqua" w:cs="Times New Roman"/>
        </w:rPr>
        <w:t xml:space="preserve">propensity </w:t>
      </w:r>
      <w:r w:rsidR="004D26B0" w:rsidRPr="006F15BB">
        <w:rPr>
          <w:rFonts w:ascii="Book Antiqua" w:hAnsi="Book Antiqua" w:cs="Times New Roman"/>
        </w:rPr>
        <w:t xml:space="preserve">score </w:t>
      </w:r>
      <w:r w:rsidR="00DC7047" w:rsidRPr="006F15BB">
        <w:rPr>
          <w:rFonts w:ascii="Book Antiqua" w:hAnsi="Book Antiqua" w:cs="Times New Roman"/>
        </w:rPr>
        <w:t xml:space="preserve">matched logistic </w:t>
      </w:r>
      <w:r w:rsidRPr="006F15BB">
        <w:rPr>
          <w:rFonts w:ascii="Book Antiqua" w:hAnsi="Book Antiqua" w:cs="Times New Roman"/>
        </w:rPr>
        <w:t>regression model accounting for</w:t>
      </w:r>
      <w:r w:rsidR="00DC7047" w:rsidRPr="006F15BB">
        <w:rPr>
          <w:rFonts w:ascii="Book Antiqua" w:hAnsi="Book Antiqua" w:cs="Times New Roman"/>
        </w:rPr>
        <w:t xml:space="preserve"> propensity for DNR status.</w:t>
      </w:r>
      <w:r w:rsidR="0034509C">
        <w:rPr>
          <w:rFonts w:ascii="Book Antiqua" w:hAnsi="Book Antiqua" w:cs="Times New Roman"/>
        </w:rPr>
        <w:t xml:space="preserve"> </w:t>
      </w:r>
      <w:r w:rsidR="00DC7047" w:rsidRPr="006F15BB">
        <w:rPr>
          <w:rFonts w:ascii="Book Antiqua" w:hAnsi="Book Antiqua" w:cs="Times New Roman"/>
        </w:rPr>
        <w:t xml:space="preserve">The matched cohort was developed using a propensity scoring method </w:t>
      </w:r>
      <w:r w:rsidR="004D26B0" w:rsidRPr="006F15BB">
        <w:rPr>
          <w:rFonts w:ascii="Book Antiqua" w:hAnsi="Book Antiqua" w:cs="Times New Roman"/>
        </w:rPr>
        <w:t>in which we incorporated</w:t>
      </w:r>
      <w:r w:rsidR="00DC7047" w:rsidRPr="006F15BB">
        <w:rPr>
          <w:rFonts w:ascii="Book Antiqua" w:hAnsi="Book Antiqua" w:cs="Times New Roman"/>
        </w:rPr>
        <w:t xml:space="preserve"> statistically significant variables from the unmatched model into a propensity score model.</w:t>
      </w:r>
      <w:r w:rsidR="0034509C">
        <w:rPr>
          <w:rFonts w:ascii="Book Antiqua" w:hAnsi="Book Antiqua" w:cs="Times New Roman"/>
        </w:rPr>
        <w:t xml:space="preserve"> </w:t>
      </w:r>
      <w:r w:rsidR="00DC7047" w:rsidRPr="006F15BB">
        <w:rPr>
          <w:rFonts w:ascii="Book Antiqua" w:hAnsi="Book Antiqua"/>
        </w:rPr>
        <w:t xml:space="preserve">A 1:1 greedy, nearest neighbor matching strategy was employed utilizing the </w:t>
      </w:r>
      <w:proofErr w:type="spellStart"/>
      <w:r w:rsidR="00DC7047" w:rsidRPr="006F15BB">
        <w:rPr>
          <w:rFonts w:ascii="Book Antiqua" w:hAnsi="Book Antiqua"/>
        </w:rPr>
        <w:t>MatchIt</w:t>
      </w:r>
      <w:proofErr w:type="spellEnd"/>
      <w:r w:rsidR="00DC7047" w:rsidRPr="006F15BB">
        <w:rPr>
          <w:rFonts w:ascii="Book Antiqua" w:hAnsi="Book Antiqua"/>
        </w:rPr>
        <w:t xml:space="preserve"> library, producing successful matching of 725 patients who were DNR to 725 patients who were not DNR.</w:t>
      </w:r>
      <w:r w:rsidR="0034509C">
        <w:rPr>
          <w:rFonts w:ascii="Book Antiqua" w:hAnsi="Book Antiqua"/>
        </w:rPr>
        <w:t xml:space="preserve"> </w:t>
      </w:r>
      <w:r w:rsidR="00DC7047" w:rsidRPr="006F15BB">
        <w:rPr>
          <w:rFonts w:ascii="Book Antiqua" w:hAnsi="Book Antiqua"/>
        </w:rPr>
        <w:t xml:space="preserve">Success of the matching process was evaluated using </w:t>
      </w:r>
      <w:r w:rsidR="00C100E0" w:rsidRPr="006F15BB">
        <w:rPr>
          <w:rFonts w:ascii="Book Antiqua" w:hAnsi="Book Antiqua"/>
        </w:rPr>
        <w:t xml:space="preserve">Student’s </w:t>
      </w:r>
      <w:r w:rsidR="004D26B0" w:rsidRPr="006F15BB">
        <w:rPr>
          <w:rFonts w:ascii="Book Antiqua" w:hAnsi="Book Antiqua"/>
        </w:rPr>
        <w:t>t</w:t>
      </w:r>
      <w:r w:rsidR="00772635">
        <w:rPr>
          <w:rFonts w:ascii="Book Antiqua" w:hAnsi="Book Antiqua"/>
        </w:rPr>
        <w:t>-</w:t>
      </w:r>
      <w:r w:rsidR="00DC7047" w:rsidRPr="006F15BB">
        <w:rPr>
          <w:rFonts w:ascii="Book Antiqua" w:hAnsi="Book Antiqua"/>
        </w:rPr>
        <w:t xml:space="preserve">test for continuous </w:t>
      </w:r>
      <w:r w:rsidR="004D26B0" w:rsidRPr="006F15BB">
        <w:rPr>
          <w:rFonts w:ascii="Book Antiqua" w:hAnsi="Book Antiqua"/>
        </w:rPr>
        <w:t>variables and Pearson’s chi</w:t>
      </w:r>
      <w:r w:rsidR="00772635">
        <w:rPr>
          <w:rFonts w:ascii="Book Antiqua" w:hAnsi="Book Antiqua"/>
        </w:rPr>
        <w:t>-</w:t>
      </w:r>
      <w:r w:rsidR="004D26B0" w:rsidRPr="006F15BB">
        <w:rPr>
          <w:rFonts w:ascii="Book Antiqua" w:hAnsi="Book Antiqua"/>
        </w:rPr>
        <w:t>s</w:t>
      </w:r>
      <w:r w:rsidR="00DC7047" w:rsidRPr="006F15BB">
        <w:rPr>
          <w:rFonts w:ascii="Book Antiqua" w:hAnsi="Book Antiqua"/>
        </w:rPr>
        <w:t>quared test for categorical variables</w:t>
      </w:r>
      <w:r w:rsidR="00DC7047" w:rsidRPr="006F15BB">
        <w:rPr>
          <w:rFonts w:ascii="Book Antiqua" w:hAnsi="Book Antiqua" w:cs="Times New Roman"/>
        </w:rPr>
        <w:t>.</w:t>
      </w:r>
      <w:r w:rsidR="0034509C">
        <w:rPr>
          <w:rFonts w:ascii="Book Antiqua" w:hAnsi="Book Antiqua" w:cs="Times New Roman"/>
        </w:rPr>
        <w:t xml:space="preserve"> </w:t>
      </w:r>
      <w:r w:rsidR="00DC7047" w:rsidRPr="006F15BB">
        <w:rPr>
          <w:rFonts w:ascii="Book Antiqua" w:hAnsi="Book Antiqua" w:cs="Times New Roman"/>
        </w:rPr>
        <w:t xml:space="preserve">We found only one statistically significant difference between the cohorts after matching, which suggested that the matched groups may have </w:t>
      </w:r>
      <w:r w:rsidR="00DC7047" w:rsidRPr="006F15BB">
        <w:rPr>
          <w:rFonts w:ascii="Book Antiqua" w:hAnsi="Book Antiqua" w:cs="Times New Roman"/>
        </w:rPr>
        <w:lastRenderedPageBreak/>
        <w:t>hematocrit values that differed by approximately 1</w:t>
      </w:r>
      <w:r w:rsidR="00A61B19" w:rsidRPr="006F15BB">
        <w:rPr>
          <w:rFonts w:ascii="Book Antiqua" w:hAnsi="Book Antiqua" w:cs="Times New Roman"/>
        </w:rPr>
        <w:t>.</w:t>
      </w:r>
      <w:r w:rsidR="00DC7047" w:rsidRPr="006F15BB">
        <w:rPr>
          <w:rFonts w:ascii="Book Antiqua" w:hAnsi="Book Antiqua" w:cs="Times New Roman"/>
        </w:rPr>
        <w:t xml:space="preserve">3% (OR 0.87; </w:t>
      </w:r>
      <w:r w:rsidR="0034509C" w:rsidRPr="0034509C">
        <w:rPr>
          <w:rFonts w:ascii="Book Antiqua" w:hAnsi="Book Antiqua" w:cs="Times New Roman"/>
          <w:i/>
        </w:rPr>
        <w:t xml:space="preserve">P = </w:t>
      </w:r>
      <w:r w:rsidR="00DC7047" w:rsidRPr="006F15BB">
        <w:rPr>
          <w:rFonts w:ascii="Book Antiqua" w:hAnsi="Book Antiqua" w:cs="Times New Roman"/>
        </w:rPr>
        <w:t>0.017</w:t>
      </w:r>
      <w:r w:rsidR="00E97CD2" w:rsidRPr="006F15BB">
        <w:rPr>
          <w:rFonts w:ascii="Book Antiqua" w:hAnsi="Book Antiqua" w:cs="Times New Roman"/>
        </w:rPr>
        <w:t xml:space="preserve">; </w:t>
      </w:r>
      <w:r w:rsidR="005F67CC" w:rsidRPr="006F15BB">
        <w:rPr>
          <w:rFonts w:ascii="Book Antiqua" w:hAnsi="Book Antiqua" w:cs="Times New Roman"/>
        </w:rPr>
        <w:t xml:space="preserve">see </w:t>
      </w:r>
      <w:r w:rsidR="001D4E0C" w:rsidRPr="006F15BB">
        <w:rPr>
          <w:rFonts w:ascii="Book Antiqua" w:hAnsi="Book Antiqua" w:cs="Times New Roman"/>
        </w:rPr>
        <w:t xml:space="preserve">Table </w:t>
      </w:r>
      <w:r w:rsidR="005F67CC" w:rsidRPr="006F15BB">
        <w:rPr>
          <w:rFonts w:ascii="Book Antiqua" w:hAnsi="Book Antiqua" w:cs="Times New Roman"/>
        </w:rPr>
        <w:t>2</w:t>
      </w:r>
      <w:r w:rsidR="00DC7047" w:rsidRPr="006F15BB">
        <w:rPr>
          <w:rFonts w:ascii="Book Antiqua" w:hAnsi="Book Antiqua" w:cs="Times New Roman"/>
        </w:rPr>
        <w:t>).</w:t>
      </w:r>
      <w:r w:rsidR="0034509C">
        <w:rPr>
          <w:rFonts w:ascii="Book Antiqua" w:hAnsi="Book Antiqua" w:cs="Times New Roman"/>
        </w:rPr>
        <w:t xml:space="preserve"> </w:t>
      </w:r>
    </w:p>
    <w:p w14:paraId="72C7D538" w14:textId="77777777" w:rsidR="000F453A" w:rsidRPr="006F15BB" w:rsidRDefault="002A4C69" w:rsidP="008E7BBF">
      <w:pPr>
        <w:adjustRightInd w:val="0"/>
        <w:snapToGrid w:val="0"/>
        <w:spacing w:line="360" w:lineRule="auto"/>
        <w:ind w:firstLine="720"/>
        <w:jc w:val="both"/>
        <w:rPr>
          <w:rFonts w:ascii="Book Antiqua" w:hAnsi="Book Antiqua" w:cs="Times New Roman"/>
        </w:rPr>
      </w:pPr>
      <w:r w:rsidRPr="006F15BB">
        <w:rPr>
          <w:rFonts w:ascii="Book Antiqua" w:hAnsi="Book Antiqua" w:cs="Times New Roman"/>
        </w:rPr>
        <w:t>For the logistic regression</w:t>
      </w:r>
      <w:r w:rsidR="00E97CD2" w:rsidRPr="006F15BB">
        <w:rPr>
          <w:rFonts w:ascii="Book Antiqua" w:hAnsi="Book Antiqua" w:cs="Times New Roman"/>
        </w:rPr>
        <w:t xml:space="preserve"> on the matched cohorts</w:t>
      </w:r>
      <w:r w:rsidRPr="006F15BB">
        <w:rPr>
          <w:rFonts w:ascii="Book Antiqua" w:hAnsi="Book Antiqua" w:cs="Times New Roman"/>
        </w:rPr>
        <w:t xml:space="preserve">, odds ratios (OR) were reported with associated 95% confidence intervals (CI). OR not including 1.00 in the </w:t>
      </w:r>
      <w:r w:rsidR="0034509C">
        <w:rPr>
          <w:rFonts w:ascii="Book Antiqua" w:hAnsi="Book Antiqua" w:cs="Times New Roman"/>
        </w:rPr>
        <w:t xml:space="preserve">95%CI </w:t>
      </w:r>
      <w:r w:rsidRPr="006F15BB">
        <w:rPr>
          <w:rFonts w:ascii="Book Antiqua" w:hAnsi="Book Antiqua" w:cs="Times New Roman"/>
        </w:rPr>
        <w:t>were considered statistically significant.</w:t>
      </w:r>
      <w:r w:rsidR="00A256D1" w:rsidRPr="006F15BB">
        <w:rPr>
          <w:rFonts w:ascii="Book Antiqua" w:hAnsi="Book Antiqua" w:cs="Times New Roman"/>
        </w:rPr>
        <w:t xml:space="preserve"> </w:t>
      </w:r>
      <w:r w:rsidR="00DC5398" w:rsidRPr="006F15BB">
        <w:rPr>
          <w:rFonts w:ascii="Book Antiqua" w:hAnsi="Book Antiqua" w:cs="Times New Roman"/>
        </w:rPr>
        <w:t>To assess the association specifically between length of stay and DNR status, a Cox proportional hazard model was fitted, incorporating the demographic and comorbidity co</w:t>
      </w:r>
      <w:r w:rsidR="00772635">
        <w:rPr>
          <w:rFonts w:ascii="Book Antiqua" w:hAnsi="Book Antiqua" w:cs="Times New Roman"/>
        </w:rPr>
        <w:t>-</w:t>
      </w:r>
      <w:r w:rsidR="00DC5398" w:rsidRPr="006F15BB">
        <w:rPr>
          <w:rFonts w:ascii="Book Antiqua" w:hAnsi="Book Antiqua" w:cs="Times New Roman"/>
        </w:rPr>
        <w:t>variables as described above</w:t>
      </w:r>
      <w:r w:rsidR="004D26B0" w:rsidRPr="006F15BB">
        <w:rPr>
          <w:rFonts w:ascii="Book Antiqua" w:hAnsi="Book Antiqua" w:cs="Times New Roman"/>
        </w:rPr>
        <w:t xml:space="preserve"> to generate a hazard ratio (HR)</w:t>
      </w:r>
      <w:r w:rsidR="00DC5398" w:rsidRPr="006F15BB">
        <w:rPr>
          <w:rFonts w:ascii="Book Antiqua" w:hAnsi="Book Antiqua" w:cs="Times New Roman"/>
        </w:rPr>
        <w:t>. The model was right censored with death as a comp</w:t>
      </w:r>
      <w:r w:rsidR="00E60909" w:rsidRPr="006F15BB">
        <w:rPr>
          <w:rFonts w:ascii="Book Antiqua" w:hAnsi="Book Antiqua" w:cs="Times New Roman"/>
        </w:rPr>
        <w:t>l</w:t>
      </w:r>
      <w:r w:rsidR="00DC5398" w:rsidRPr="006F15BB">
        <w:rPr>
          <w:rFonts w:ascii="Book Antiqua" w:hAnsi="Book Antiqua" w:cs="Times New Roman"/>
        </w:rPr>
        <w:t>eting event. </w:t>
      </w:r>
    </w:p>
    <w:p w14:paraId="774BAF37" w14:textId="77777777" w:rsidR="00156FD9" w:rsidRPr="006F15BB" w:rsidRDefault="00156FD9" w:rsidP="008E7BBF">
      <w:pPr>
        <w:adjustRightInd w:val="0"/>
        <w:snapToGrid w:val="0"/>
        <w:spacing w:line="360" w:lineRule="auto"/>
        <w:jc w:val="both"/>
        <w:rPr>
          <w:rFonts w:ascii="Book Antiqua" w:hAnsi="Book Antiqua" w:cs="Times New Roman"/>
          <w:color w:val="222222"/>
        </w:rPr>
      </w:pPr>
    </w:p>
    <w:p w14:paraId="2D8DC426" w14:textId="77777777" w:rsidR="00813E31" w:rsidRPr="006F15BB" w:rsidRDefault="0034509C" w:rsidP="008E7BBF">
      <w:pPr>
        <w:adjustRightInd w:val="0"/>
        <w:snapToGrid w:val="0"/>
        <w:spacing w:line="360" w:lineRule="auto"/>
        <w:jc w:val="both"/>
        <w:rPr>
          <w:rFonts w:ascii="Book Antiqua" w:hAnsi="Book Antiqua" w:cs="Times New Roman"/>
          <w:b/>
          <w:lang w:val="en-GB" w:eastAsia="zh-CN"/>
        </w:rPr>
      </w:pPr>
      <w:r>
        <w:rPr>
          <w:rFonts w:ascii="Book Antiqua" w:hAnsi="Book Antiqua" w:cs="Times New Roman"/>
          <w:b/>
          <w:lang w:val="en-GB"/>
        </w:rPr>
        <w:t>RESULTS</w:t>
      </w:r>
    </w:p>
    <w:p w14:paraId="32AAA053" w14:textId="77777777" w:rsidR="00A20431" w:rsidRPr="0034509C" w:rsidRDefault="00A20431" w:rsidP="008E7BBF">
      <w:pPr>
        <w:adjustRightInd w:val="0"/>
        <w:snapToGrid w:val="0"/>
        <w:spacing w:line="360" w:lineRule="auto"/>
        <w:jc w:val="both"/>
        <w:rPr>
          <w:rFonts w:ascii="Book Antiqua" w:hAnsi="Book Antiqua" w:cs="Times New Roman"/>
          <w:b/>
          <w:i/>
          <w:lang w:val="en-GB"/>
        </w:rPr>
      </w:pPr>
      <w:r w:rsidRPr="0034509C">
        <w:rPr>
          <w:rFonts w:ascii="Book Antiqua" w:hAnsi="Book Antiqua" w:cs="Times New Roman"/>
          <w:b/>
          <w:i/>
          <w:lang w:val="en-GB"/>
        </w:rPr>
        <w:t>Study population</w:t>
      </w:r>
    </w:p>
    <w:p w14:paraId="56D564AC" w14:textId="77777777" w:rsidR="005B1FF2" w:rsidRPr="006F15BB" w:rsidRDefault="00F67FD8" w:rsidP="008E7BBF">
      <w:pPr>
        <w:adjustRightInd w:val="0"/>
        <w:snapToGrid w:val="0"/>
        <w:spacing w:line="360" w:lineRule="auto"/>
        <w:jc w:val="both"/>
        <w:rPr>
          <w:rFonts w:ascii="Book Antiqua" w:hAnsi="Book Antiqua" w:cs="Times New Roman"/>
          <w:lang w:val="en-GB"/>
        </w:rPr>
      </w:pPr>
      <w:r w:rsidRPr="006F15BB">
        <w:rPr>
          <w:rFonts w:ascii="Book Antiqua" w:hAnsi="Book Antiqua" w:cs="Times New Roman"/>
          <w:lang w:val="en-GB"/>
        </w:rPr>
        <w:t>The</w:t>
      </w:r>
      <w:r w:rsidR="00174DB9" w:rsidRPr="006F15BB">
        <w:rPr>
          <w:rFonts w:ascii="Book Antiqua" w:hAnsi="Book Antiqua" w:cs="Times New Roman"/>
          <w:lang w:val="en-GB"/>
        </w:rPr>
        <w:t xml:space="preserve"> ICD codes included in the analysis</w:t>
      </w:r>
      <w:r w:rsidRPr="006F15BB">
        <w:rPr>
          <w:rFonts w:ascii="Book Antiqua" w:hAnsi="Book Antiqua" w:cs="Times New Roman"/>
          <w:lang w:val="en-GB"/>
        </w:rPr>
        <w:t xml:space="preserve"> are shown in Appendix 1</w:t>
      </w:r>
      <w:r w:rsidR="00174DB9" w:rsidRPr="006F15BB">
        <w:rPr>
          <w:rFonts w:ascii="Book Antiqua" w:hAnsi="Book Antiqua" w:cs="Times New Roman"/>
          <w:lang w:val="en-GB"/>
        </w:rPr>
        <w:t xml:space="preserve">. </w:t>
      </w:r>
      <w:r w:rsidRPr="006F15BB">
        <w:rPr>
          <w:rFonts w:ascii="Book Antiqua" w:hAnsi="Book Antiqua" w:cs="Times New Roman"/>
          <w:lang w:val="en-GB"/>
        </w:rPr>
        <w:t xml:space="preserve">A total of </w:t>
      </w:r>
      <w:r w:rsidR="00566DEF" w:rsidRPr="006F15BB">
        <w:rPr>
          <w:rFonts w:ascii="Book Antiqua" w:hAnsi="Book Antiqua" w:cs="Times New Roman"/>
          <w:lang w:val="en-GB"/>
        </w:rPr>
        <w:t>9</w:t>
      </w:r>
      <w:r w:rsidR="004538C0">
        <w:rPr>
          <w:rFonts w:ascii="Book Antiqua" w:hAnsi="Book Antiqua" w:cs="Times New Roman"/>
          <w:lang w:val="en-GB"/>
        </w:rPr>
        <w:t>,</w:t>
      </w:r>
      <w:r w:rsidR="004D26B0" w:rsidRPr="006F15BB">
        <w:rPr>
          <w:rFonts w:ascii="Book Antiqua" w:hAnsi="Book Antiqua" w:cs="Times New Roman"/>
          <w:lang w:val="en-GB"/>
        </w:rPr>
        <w:t>218</w:t>
      </w:r>
      <w:r w:rsidR="0005485A" w:rsidRPr="006F15BB">
        <w:rPr>
          <w:rFonts w:ascii="Book Antiqua" w:hAnsi="Book Antiqua" w:cs="Times New Roman"/>
          <w:lang w:val="en-GB"/>
        </w:rPr>
        <w:t xml:space="preserve"> cases met inclusion crite</w:t>
      </w:r>
      <w:r w:rsidR="00581632" w:rsidRPr="006F15BB">
        <w:rPr>
          <w:rFonts w:ascii="Book Antiqua" w:hAnsi="Book Antiqua" w:cs="Times New Roman"/>
          <w:lang w:val="en-GB"/>
        </w:rPr>
        <w:t>ria</w:t>
      </w:r>
      <w:r w:rsidR="0005485A" w:rsidRPr="006F15BB">
        <w:rPr>
          <w:rFonts w:ascii="Book Antiqua" w:hAnsi="Book Antiqua" w:cs="Times New Roman"/>
          <w:lang w:val="en-GB"/>
        </w:rPr>
        <w:t xml:space="preserve"> </w:t>
      </w:r>
      <w:r w:rsidR="00581632" w:rsidRPr="006F15BB">
        <w:rPr>
          <w:rFonts w:ascii="Book Antiqua" w:hAnsi="Book Antiqua" w:cs="Times New Roman"/>
          <w:lang w:val="en-GB"/>
        </w:rPr>
        <w:t xml:space="preserve">(Figure 1). </w:t>
      </w:r>
      <w:r w:rsidR="00566DEF" w:rsidRPr="006F15BB">
        <w:rPr>
          <w:rFonts w:ascii="Book Antiqua" w:hAnsi="Book Antiqua" w:cs="Times New Roman"/>
          <w:lang w:val="en-GB"/>
        </w:rPr>
        <w:t>Of these, 1,25</w:t>
      </w:r>
      <w:r w:rsidR="004D26B0" w:rsidRPr="006F15BB">
        <w:rPr>
          <w:rFonts w:ascii="Book Antiqua" w:hAnsi="Book Antiqua" w:cs="Times New Roman"/>
          <w:lang w:val="en-GB"/>
        </w:rPr>
        <w:t>6</w:t>
      </w:r>
      <w:r w:rsidR="00566DEF" w:rsidRPr="006F15BB">
        <w:rPr>
          <w:rFonts w:ascii="Book Antiqua" w:hAnsi="Book Antiqua" w:cs="Times New Roman"/>
          <w:lang w:val="en-GB"/>
        </w:rPr>
        <w:t xml:space="preserve"> (13.6</w:t>
      </w:r>
      <w:r w:rsidR="000A06C0" w:rsidRPr="006F15BB">
        <w:rPr>
          <w:rFonts w:ascii="Book Antiqua" w:hAnsi="Book Antiqua" w:cs="Times New Roman"/>
          <w:lang w:val="en-GB"/>
        </w:rPr>
        <w:t>%) were</w:t>
      </w:r>
      <w:r w:rsidR="0005485A" w:rsidRPr="006F15BB">
        <w:rPr>
          <w:rFonts w:ascii="Book Antiqua" w:hAnsi="Book Antiqua" w:cs="Times New Roman"/>
          <w:lang w:val="en-GB"/>
        </w:rPr>
        <w:t xml:space="preserve"> patients with</w:t>
      </w:r>
      <w:r w:rsidR="0034509C">
        <w:rPr>
          <w:rFonts w:ascii="Book Antiqua" w:hAnsi="Book Antiqua" w:cs="Times New Roman"/>
          <w:lang w:val="en-GB"/>
        </w:rPr>
        <w:t xml:space="preserve"> DNR status, and 7</w:t>
      </w:r>
      <w:r w:rsidR="004538C0">
        <w:rPr>
          <w:rFonts w:ascii="Book Antiqua" w:hAnsi="Book Antiqua" w:cs="Times New Roman"/>
          <w:lang w:val="en-GB"/>
        </w:rPr>
        <w:t>,</w:t>
      </w:r>
      <w:r w:rsidR="00566DEF" w:rsidRPr="006F15BB">
        <w:rPr>
          <w:rFonts w:ascii="Book Antiqua" w:hAnsi="Book Antiqua" w:cs="Times New Roman"/>
          <w:lang w:val="en-GB"/>
        </w:rPr>
        <w:t>9</w:t>
      </w:r>
      <w:r w:rsidR="004D26B0" w:rsidRPr="006F15BB">
        <w:rPr>
          <w:rFonts w:ascii="Book Antiqua" w:hAnsi="Book Antiqua" w:cs="Times New Roman"/>
          <w:lang w:val="en-GB"/>
        </w:rPr>
        <w:t>62</w:t>
      </w:r>
      <w:r w:rsidR="00566DEF" w:rsidRPr="006F15BB">
        <w:rPr>
          <w:rFonts w:ascii="Book Antiqua" w:hAnsi="Book Antiqua" w:cs="Times New Roman"/>
          <w:lang w:val="en-GB"/>
        </w:rPr>
        <w:t xml:space="preserve"> (86.4</w:t>
      </w:r>
      <w:r w:rsidR="000A06C0" w:rsidRPr="006F15BB">
        <w:rPr>
          <w:rFonts w:ascii="Book Antiqua" w:hAnsi="Book Antiqua" w:cs="Times New Roman"/>
          <w:lang w:val="en-GB"/>
        </w:rPr>
        <w:t>%) were</w:t>
      </w:r>
      <w:r w:rsidR="0005485A" w:rsidRPr="006F15BB">
        <w:rPr>
          <w:rFonts w:ascii="Book Antiqua" w:hAnsi="Book Antiqua" w:cs="Times New Roman"/>
          <w:lang w:val="en-GB"/>
        </w:rPr>
        <w:t xml:space="preserve"> patients without</w:t>
      </w:r>
      <w:r w:rsidR="005F019E" w:rsidRPr="006F15BB">
        <w:rPr>
          <w:rFonts w:ascii="Book Antiqua" w:hAnsi="Book Antiqua" w:cs="Times New Roman"/>
          <w:lang w:val="en-GB"/>
        </w:rPr>
        <w:t xml:space="preserve"> </w:t>
      </w:r>
      <w:r w:rsidR="004E3513" w:rsidRPr="006F15BB">
        <w:rPr>
          <w:rFonts w:ascii="Book Antiqua" w:hAnsi="Book Antiqua" w:cs="Times New Roman"/>
          <w:lang w:val="en-GB"/>
        </w:rPr>
        <w:t>DNR status</w:t>
      </w:r>
      <w:r w:rsidR="0005485A" w:rsidRPr="006F15BB">
        <w:rPr>
          <w:rFonts w:ascii="Book Antiqua" w:hAnsi="Book Antiqua" w:cs="Times New Roman"/>
          <w:i/>
          <w:lang w:val="en-GB"/>
        </w:rPr>
        <w:t>.</w:t>
      </w:r>
      <w:r w:rsidR="00F27436" w:rsidRPr="006F15BB">
        <w:rPr>
          <w:rFonts w:ascii="Book Antiqua" w:hAnsi="Book Antiqua" w:cs="Times New Roman"/>
          <w:lang w:val="en-GB"/>
        </w:rPr>
        <w:t xml:space="preserve"> </w:t>
      </w:r>
      <w:r w:rsidR="004D26B0" w:rsidRPr="006F15BB">
        <w:rPr>
          <w:rFonts w:ascii="Book Antiqua" w:hAnsi="Book Antiqua" w:cs="Times New Roman"/>
          <w:lang w:val="en-GB"/>
        </w:rPr>
        <w:t xml:space="preserve">Unmatched </w:t>
      </w:r>
      <w:r w:rsidR="00F63E9D" w:rsidRPr="006F15BB">
        <w:rPr>
          <w:rFonts w:ascii="Book Antiqua" w:hAnsi="Book Antiqua" w:cs="Times New Roman"/>
          <w:lang w:val="en-GB"/>
        </w:rPr>
        <w:t>u</w:t>
      </w:r>
      <w:r w:rsidR="00826132" w:rsidRPr="006F15BB">
        <w:rPr>
          <w:rFonts w:ascii="Book Antiqua" w:hAnsi="Book Antiqua" w:cs="Times New Roman"/>
          <w:lang w:val="en-GB"/>
        </w:rPr>
        <w:t>ni</w:t>
      </w:r>
      <w:r w:rsidR="00F63E9D" w:rsidRPr="006F15BB">
        <w:rPr>
          <w:rFonts w:ascii="Book Antiqua" w:hAnsi="Book Antiqua" w:cs="Times New Roman"/>
          <w:lang w:val="en-GB"/>
        </w:rPr>
        <w:t xml:space="preserve">variate and </w:t>
      </w:r>
      <w:r w:rsidR="004D26B0" w:rsidRPr="006F15BB">
        <w:rPr>
          <w:rFonts w:ascii="Book Antiqua" w:hAnsi="Book Antiqua" w:cs="Times New Roman"/>
          <w:lang w:val="en-GB"/>
        </w:rPr>
        <w:t>m</w:t>
      </w:r>
      <w:r w:rsidR="00CD0F6C" w:rsidRPr="006F15BB">
        <w:rPr>
          <w:rFonts w:ascii="Book Antiqua" w:hAnsi="Book Antiqua" w:cs="Times New Roman"/>
          <w:lang w:val="en-GB"/>
        </w:rPr>
        <w:t>ultivariable</w:t>
      </w:r>
      <w:r w:rsidR="00317167" w:rsidRPr="006F15BB">
        <w:rPr>
          <w:rFonts w:ascii="Book Antiqua" w:hAnsi="Book Antiqua" w:cs="Times New Roman"/>
          <w:lang w:val="en-GB"/>
        </w:rPr>
        <w:t xml:space="preserve"> analysis demonstrated that patients undergoing hip </w:t>
      </w:r>
      <w:r w:rsidR="00566DEF" w:rsidRPr="006F15BB">
        <w:rPr>
          <w:rFonts w:ascii="Book Antiqua" w:hAnsi="Book Antiqua" w:cs="Times New Roman"/>
          <w:lang w:val="en-GB"/>
        </w:rPr>
        <w:t xml:space="preserve">fracture </w:t>
      </w:r>
      <w:r w:rsidR="00317167" w:rsidRPr="006F15BB">
        <w:rPr>
          <w:rFonts w:ascii="Book Antiqua" w:hAnsi="Book Antiqua" w:cs="Times New Roman"/>
          <w:lang w:val="en-GB"/>
        </w:rPr>
        <w:t>surgery with</w:t>
      </w:r>
      <w:r w:rsidR="000A06C0" w:rsidRPr="006F15BB">
        <w:rPr>
          <w:rFonts w:ascii="Book Antiqua" w:hAnsi="Book Antiqua" w:cs="Times New Roman"/>
          <w:lang w:val="en-GB"/>
        </w:rPr>
        <w:t xml:space="preserve"> </w:t>
      </w:r>
      <w:r w:rsidR="00317167" w:rsidRPr="006F15BB">
        <w:rPr>
          <w:rFonts w:ascii="Book Antiqua" w:hAnsi="Book Antiqua" w:cs="Times New Roman"/>
          <w:lang w:val="en-GB"/>
        </w:rPr>
        <w:t xml:space="preserve">DNR status were more likely to be female, aged over </w:t>
      </w:r>
      <w:r w:rsidR="001724D1" w:rsidRPr="006F15BB">
        <w:rPr>
          <w:rFonts w:ascii="Book Antiqua" w:hAnsi="Book Antiqua" w:cs="Times New Roman"/>
          <w:lang w:val="en-GB"/>
        </w:rPr>
        <w:t>&gt;80</w:t>
      </w:r>
      <w:r w:rsidR="00F63E9D" w:rsidRPr="006F15BB">
        <w:rPr>
          <w:rFonts w:ascii="Book Antiqua" w:hAnsi="Book Antiqua" w:cs="Times New Roman"/>
          <w:lang w:val="en-GB"/>
        </w:rPr>
        <w:t xml:space="preserve"> years</w:t>
      </w:r>
      <w:r w:rsidR="00317167" w:rsidRPr="006F15BB">
        <w:rPr>
          <w:rFonts w:ascii="Book Antiqua" w:hAnsi="Book Antiqua" w:cs="Times New Roman"/>
          <w:lang w:val="en-GB"/>
        </w:rPr>
        <w:t xml:space="preserve">, </w:t>
      </w:r>
      <w:r w:rsidR="00F63E9D" w:rsidRPr="006F15BB">
        <w:rPr>
          <w:rFonts w:ascii="Book Antiqua" w:hAnsi="Book Antiqua" w:cs="Times New Roman"/>
          <w:lang w:val="en-GB"/>
        </w:rPr>
        <w:t xml:space="preserve">unreported race/ethnicity, BMI </w:t>
      </w:r>
      <w:r w:rsidR="00A57D52">
        <w:rPr>
          <w:rFonts w:ascii="Book Antiqua" w:hAnsi="Book Antiqua" w:cs="Times New Roman"/>
          <w:lang w:val="en-GB"/>
        </w:rPr>
        <w:t>&lt;</w:t>
      </w:r>
      <w:r w:rsidR="00482EEC">
        <w:rPr>
          <w:rFonts w:ascii="Book Antiqua" w:hAnsi="Book Antiqua" w:cs="Times New Roman"/>
          <w:lang w:val="en-GB"/>
        </w:rPr>
        <w:t xml:space="preserve"> </w:t>
      </w:r>
      <w:r w:rsidR="00F63E9D" w:rsidRPr="006F15BB">
        <w:rPr>
          <w:rFonts w:ascii="Book Antiqua" w:hAnsi="Book Antiqua" w:cs="Times New Roman"/>
          <w:lang w:val="en-GB"/>
        </w:rPr>
        <w:t xml:space="preserve">18.5, </w:t>
      </w:r>
      <w:proofErr w:type="spellStart"/>
      <w:r w:rsidR="00F63E9D" w:rsidRPr="006F15BB">
        <w:rPr>
          <w:rFonts w:ascii="Book Antiqua" w:hAnsi="Book Antiqua" w:cs="Times New Roman"/>
          <w:lang w:val="en-GB"/>
        </w:rPr>
        <w:t>dyspneic</w:t>
      </w:r>
      <w:proofErr w:type="spellEnd"/>
      <w:r w:rsidR="00F63E9D" w:rsidRPr="006F15BB">
        <w:rPr>
          <w:rFonts w:ascii="Book Antiqua" w:hAnsi="Book Antiqua" w:cs="Times New Roman"/>
          <w:lang w:val="en-GB"/>
        </w:rPr>
        <w:t xml:space="preserve"> with moderate exertion or rest, </w:t>
      </w:r>
      <w:r w:rsidR="00317167" w:rsidRPr="006F15BB">
        <w:rPr>
          <w:rFonts w:ascii="Book Antiqua" w:hAnsi="Book Antiqua" w:cs="Times New Roman"/>
          <w:lang w:val="en-GB"/>
        </w:rPr>
        <w:t>ASA class III or IV, partially or totally dependent for activities of daily living</w:t>
      </w:r>
      <w:r w:rsidR="001724D1" w:rsidRPr="006F15BB">
        <w:rPr>
          <w:rFonts w:ascii="Book Antiqua" w:hAnsi="Book Antiqua" w:cs="Times New Roman"/>
          <w:lang w:val="en-GB"/>
        </w:rPr>
        <w:t xml:space="preserve"> or </w:t>
      </w:r>
      <w:r w:rsidR="00F63E9D" w:rsidRPr="006F15BB">
        <w:rPr>
          <w:rFonts w:ascii="Book Antiqua" w:hAnsi="Book Antiqua" w:cs="Times New Roman"/>
          <w:lang w:val="en-GB"/>
        </w:rPr>
        <w:t>diagnosed with</w:t>
      </w:r>
      <w:r w:rsidR="001724D1" w:rsidRPr="006F15BB">
        <w:rPr>
          <w:rFonts w:ascii="Book Antiqua" w:hAnsi="Book Antiqua" w:cs="Times New Roman"/>
          <w:lang w:val="en-GB"/>
        </w:rPr>
        <w:t xml:space="preserve"> </w:t>
      </w:r>
      <w:r w:rsidR="00F63E9D" w:rsidRPr="006F15BB">
        <w:rPr>
          <w:rFonts w:ascii="Book Antiqua" w:hAnsi="Book Antiqua" w:cs="Times New Roman"/>
          <w:lang w:val="en-GB"/>
        </w:rPr>
        <w:t xml:space="preserve">hypertension, diabetes, </w:t>
      </w:r>
      <w:r w:rsidR="001724D1" w:rsidRPr="006F15BB">
        <w:rPr>
          <w:rFonts w:ascii="Book Antiqua" w:hAnsi="Book Antiqua" w:cs="Times New Roman"/>
          <w:lang w:val="en-GB"/>
        </w:rPr>
        <w:t>COPD</w:t>
      </w:r>
      <w:r w:rsidR="00F63E9D" w:rsidRPr="006F15BB">
        <w:rPr>
          <w:rFonts w:ascii="Book Antiqua" w:hAnsi="Book Antiqua" w:cs="Times New Roman"/>
          <w:lang w:val="en-GB"/>
        </w:rPr>
        <w:t>, CHF, PVD, prior stroke, weight loss, or sepsis</w:t>
      </w:r>
      <w:r w:rsidR="00C71825" w:rsidRPr="006F15BB">
        <w:rPr>
          <w:rFonts w:ascii="Book Antiqua" w:hAnsi="Book Antiqua" w:cs="Times New Roman"/>
          <w:lang w:val="en-GB"/>
        </w:rPr>
        <w:t xml:space="preserve"> </w:t>
      </w:r>
      <w:r w:rsidR="00DD7B50" w:rsidRPr="006F15BB">
        <w:rPr>
          <w:rFonts w:ascii="Book Antiqua" w:hAnsi="Book Antiqua" w:cs="Times New Roman"/>
          <w:lang w:val="en-GB"/>
        </w:rPr>
        <w:t>(Table</w:t>
      </w:r>
      <w:r w:rsidR="00457D69">
        <w:rPr>
          <w:rFonts w:ascii="Book Antiqua" w:hAnsi="Book Antiqua" w:cs="Times New Roman" w:hint="eastAsia"/>
          <w:lang w:val="en-GB" w:eastAsia="zh-CN"/>
        </w:rPr>
        <w:t xml:space="preserve"> </w:t>
      </w:r>
      <w:r w:rsidR="00DD7B50" w:rsidRPr="006F15BB">
        <w:rPr>
          <w:rFonts w:ascii="Book Antiqua" w:hAnsi="Book Antiqua" w:cs="Times New Roman"/>
          <w:lang w:val="en-GB"/>
        </w:rPr>
        <w:t>1</w:t>
      </w:r>
      <w:r w:rsidR="00C71825" w:rsidRPr="006F15BB">
        <w:rPr>
          <w:rFonts w:ascii="Book Antiqua" w:hAnsi="Book Antiqua" w:cs="Times New Roman"/>
          <w:lang w:val="en-GB"/>
        </w:rPr>
        <w:t>)</w:t>
      </w:r>
      <w:r w:rsidR="001724D1" w:rsidRPr="006F15BB">
        <w:rPr>
          <w:rFonts w:ascii="Book Antiqua" w:hAnsi="Book Antiqua" w:cs="Times New Roman"/>
          <w:i/>
          <w:lang w:val="en-GB"/>
        </w:rPr>
        <w:t>.</w:t>
      </w:r>
      <w:r w:rsidR="0034509C">
        <w:rPr>
          <w:rFonts w:ascii="Book Antiqua" w:hAnsi="Book Antiqua" w:cs="Times New Roman"/>
          <w:lang w:val="en-GB"/>
        </w:rPr>
        <w:t xml:space="preserve"> </w:t>
      </w:r>
      <w:r w:rsidR="007827DD" w:rsidRPr="006F15BB">
        <w:rPr>
          <w:rFonts w:ascii="Book Antiqua" w:hAnsi="Book Antiqua" w:cs="Times New Roman"/>
          <w:lang w:val="en-GB"/>
        </w:rPr>
        <w:t xml:space="preserve">Comparison between the groups in the unmatched cohort also suggested that patients with DNR status were more likely to have surgery booked as emergent, to receive a </w:t>
      </w:r>
      <w:proofErr w:type="spellStart"/>
      <w:r w:rsidR="007827DD" w:rsidRPr="006F15BB">
        <w:rPr>
          <w:rFonts w:ascii="Book Antiqua" w:hAnsi="Book Antiqua" w:cs="Times New Roman"/>
          <w:lang w:val="en-GB"/>
        </w:rPr>
        <w:t>neuraxial</w:t>
      </w:r>
      <w:proofErr w:type="spellEnd"/>
      <w:r w:rsidR="007827DD" w:rsidRPr="006F15BB">
        <w:rPr>
          <w:rFonts w:ascii="Book Antiqua" w:hAnsi="Book Antiqua" w:cs="Times New Roman"/>
          <w:lang w:val="en-GB"/>
        </w:rPr>
        <w:t xml:space="preserve"> or regional </w:t>
      </w:r>
      <w:proofErr w:type="spellStart"/>
      <w:r w:rsidR="007827DD" w:rsidRPr="006F15BB">
        <w:rPr>
          <w:rFonts w:ascii="Book Antiqua" w:hAnsi="Book Antiqua" w:cs="Times New Roman"/>
          <w:lang w:val="en-GB"/>
        </w:rPr>
        <w:t>anesthetic</w:t>
      </w:r>
      <w:proofErr w:type="spellEnd"/>
      <w:r w:rsidR="007827DD" w:rsidRPr="006F15BB">
        <w:rPr>
          <w:rFonts w:ascii="Book Antiqua" w:hAnsi="Book Antiqua" w:cs="Times New Roman"/>
          <w:lang w:val="en-GB"/>
        </w:rPr>
        <w:t xml:space="preserve">, have a shorter </w:t>
      </w:r>
      <w:proofErr w:type="spellStart"/>
      <w:r w:rsidR="007827DD" w:rsidRPr="006F15BB">
        <w:rPr>
          <w:rFonts w:ascii="Book Antiqua" w:hAnsi="Book Antiqua" w:cs="Times New Roman"/>
          <w:lang w:val="en-GB"/>
        </w:rPr>
        <w:t>anesthetic</w:t>
      </w:r>
      <w:proofErr w:type="spellEnd"/>
      <w:r w:rsidR="007827DD" w:rsidRPr="006F15BB">
        <w:rPr>
          <w:rFonts w:ascii="Book Antiqua" w:hAnsi="Book Antiqua" w:cs="Times New Roman"/>
          <w:lang w:val="en-GB"/>
        </w:rPr>
        <w:t xml:space="preserve"> and operative time, and a higher modified </w:t>
      </w:r>
      <w:proofErr w:type="spellStart"/>
      <w:r w:rsidR="007827DD" w:rsidRPr="006F15BB">
        <w:rPr>
          <w:rFonts w:ascii="Book Antiqua" w:hAnsi="Book Antiqua" w:cs="Times New Roman"/>
          <w:lang w:val="en-GB"/>
        </w:rPr>
        <w:t>Charlson</w:t>
      </w:r>
      <w:proofErr w:type="spellEnd"/>
      <w:r w:rsidR="007827DD" w:rsidRPr="006F15BB">
        <w:rPr>
          <w:rFonts w:ascii="Book Antiqua" w:hAnsi="Book Antiqua" w:cs="Times New Roman"/>
          <w:lang w:val="en-GB"/>
        </w:rPr>
        <w:t xml:space="preserve"> score. These factors were used to construct the propensity score mat</w:t>
      </w:r>
      <w:r w:rsidR="00C76426" w:rsidRPr="006F15BB">
        <w:rPr>
          <w:rFonts w:ascii="Book Antiqua" w:hAnsi="Book Antiqua" w:cs="Times New Roman"/>
          <w:lang w:val="en-GB"/>
        </w:rPr>
        <w:t>ched cohort as described above</w:t>
      </w:r>
      <w:r w:rsidR="00317167" w:rsidRPr="006F15BB">
        <w:rPr>
          <w:rFonts w:ascii="Book Antiqua" w:hAnsi="Book Antiqua" w:cs="Times New Roman"/>
          <w:lang w:val="en-GB"/>
        </w:rPr>
        <w:t>.</w:t>
      </w:r>
      <w:r w:rsidR="0034509C">
        <w:rPr>
          <w:rFonts w:ascii="Book Antiqua" w:hAnsi="Book Antiqua" w:cs="Times New Roman"/>
          <w:lang w:val="en-GB"/>
        </w:rPr>
        <w:t xml:space="preserve"> </w:t>
      </w:r>
      <w:r w:rsidR="00C76426" w:rsidRPr="006F15BB">
        <w:rPr>
          <w:rFonts w:ascii="Book Antiqua" w:hAnsi="Book Antiqua" w:cs="Times New Roman"/>
          <w:lang w:val="en-GB"/>
        </w:rPr>
        <w:t>The propensity matched groups are shown in Table 2.</w:t>
      </w:r>
      <w:r w:rsidR="00BA1E48" w:rsidRPr="006F15BB">
        <w:rPr>
          <w:rFonts w:ascii="Book Antiqua" w:hAnsi="Book Antiqua" w:cs="Times New Roman"/>
          <w:lang w:val="en-GB"/>
        </w:rPr>
        <w:t xml:space="preserve"> </w:t>
      </w:r>
    </w:p>
    <w:p w14:paraId="5383F020" w14:textId="77777777" w:rsidR="003869C7" w:rsidRPr="006F15BB" w:rsidRDefault="003869C7" w:rsidP="008E7BBF">
      <w:pPr>
        <w:adjustRightInd w:val="0"/>
        <w:snapToGrid w:val="0"/>
        <w:spacing w:line="360" w:lineRule="auto"/>
        <w:jc w:val="both"/>
        <w:rPr>
          <w:rFonts w:ascii="Book Antiqua" w:hAnsi="Book Antiqua" w:cs="Times New Roman"/>
          <w:lang w:val="en-GB" w:eastAsia="zh-CN"/>
        </w:rPr>
      </w:pPr>
    </w:p>
    <w:p w14:paraId="079FED12" w14:textId="77777777" w:rsidR="00A20431" w:rsidRPr="0034509C" w:rsidRDefault="00A20431" w:rsidP="008E7BBF">
      <w:pPr>
        <w:adjustRightInd w:val="0"/>
        <w:snapToGrid w:val="0"/>
        <w:spacing w:line="360" w:lineRule="auto"/>
        <w:jc w:val="both"/>
        <w:rPr>
          <w:rFonts w:ascii="Book Antiqua" w:hAnsi="Book Antiqua" w:cs="Times New Roman"/>
          <w:b/>
          <w:i/>
          <w:lang w:val="en-GB"/>
        </w:rPr>
      </w:pPr>
      <w:r w:rsidRPr="0034509C">
        <w:rPr>
          <w:rFonts w:ascii="Book Antiqua" w:hAnsi="Book Antiqua" w:cs="Times New Roman"/>
          <w:b/>
          <w:i/>
          <w:lang w:val="en-GB"/>
        </w:rPr>
        <w:t xml:space="preserve">Risk </w:t>
      </w:r>
      <w:r w:rsidR="0034509C" w:rsidRPr="0034509C">
        <w:rPr>
          <w:rFonts w:ascii="Book Antiqua" w:hAnsi="Book Antiqua" w:cs="Times New Roman"/>
          <w:b/>
          <w:i/>
          <w:lang w:val="en-GB"/>
        </w:rPr>
        <w:t>p</w:t>
      </w:r>
      <w:r w:rsidRPr="0034509C">
        <w:rPr>
          <w:rFonts w:ascii="Book Antiqua" w:hAnsi="Book Antiqua" w:cs="Times New Roman"/>
          <w:b/>
          <w:i/>
          <w:lang w:val="en-GB"/>
        </w:rPr>
        <w:t>rediction</w:t>
      </w:r>
    </w:p>
    <w:p w14:paraId="1D567F2B" w14:textId="77777777" w:rsidR="000A06C0" w:rsidRPr="006F15BB" w:rsidRDefault="004660F8" w:rsidP="008E7BBF">
      <w:pPr>
        <w:adjustRightInd w:val="0"/>
        <w:snapToGrid w:val="0"/>
        <w:spacing w:line="360" w:lineRule="auto"/>
        <w:jc w:val="both"/>
        <w:rPr>
          <w:rFonts w:ascii="Book Antiqua" w:hAnsi="Book Antiqua" w:cs="Times New Roman"/>
          <w:lang w:val="en-GB"/>
        </w:rPr>
      </w:pPr>
      <w:r w:rsidRPr="006F15BB">
        <w:rPr>
          <w:rFonts w:ascii="Book Antiqua" w:hAnsi="Book Antiqua" w:cs="Times New Roman"/>
          <w:lang w:val="en-GB"/>
        </w:rPr>
        <w:t xml:space="preserve">Using </w:t>
      </w:r>
      <w:r w:rsidR="000A06C0" w:rsidRPr="006F15BB">
        <w:rPr>
          <w:rFonts w:ascii="Book Antiqua" w:hAnsi="Book Antiqua" w:cs="Times New Roman"/>
          <w:lang w:val="en-GB"/>
        </w:rPr>
        <w:t>the ACS</w:t>
      </w:r>
      <w:r w:rsidR="00772635">
        <w:rPr>
          <w:rFonts w:ascii="Book Antiqua" w:hAnsi="Book Antiqua" w:cs="Times New Roman"/>
          <w:lang w:val="en-GB"/>
        </w:rPr>
        <w:t>-</w:t>
      </w:r>
      <w:r w:rsidRPr="006F15BB">
        <w:rPr>
          <w:rFonts w:ascii="Book Antiqua" w:hAnsi="Book Antiqua" w:cs="Times New Roman"/>
          <w:lang w:val="en-GB"/>
        </w:rPr>
        <w:t xml:space="preserve">NSQIP </w:t>
      </w:r>
      <w:r w:rsidR="000A06C0" w:rsidRPr="006F15BB">
        <w:rPr>
          <w:rFonts w:ascii="Book Antiqua" w:hAnsi="Book Antiqua" w:cs="Times New Roman"/>
          <w:lang w:val="en-GB"/>
        </w:rPr>
        <w:t>calculator</w:t>
      </w:r>
      <w:r w:rsidRPr="006F15BB">
        <w:rPr>
          <w:rFonts w:ascii="Book Antiqua" w:hAnsi="Book Antiqua" w:cs="Times New Roman"/>
          <w:lang w:val="en-GB"/>
        </w:rPr>
        <w:t>, the average pre</w:t>
      </w:r>
      <w:r w:rsidR="00772635">
        <w:rPr>
          <w:rFonts w:ascii="Book Antiqua" w:hAnsi="Book Antiqua" w:cs="Times New Roman"/>
          <w:lang w:val="en-GB"/>
        </w:rPr>
        <w:t>-</w:t>
      </w:r>
      <w:r w:rsidRPr="006F15BB">
        <w:rPr>
          <w:rFonts w:ascii="Book Antiqua" w:hAnsi="Book Antiqua" w:cs="Times New Roman"/>
          <w:lang w:val="en-GB"/>
        </w:rPr>
        <w:t xml:space="preserve">operative risk prediction within the DNR status group was a mortality of </w:t>
      </w:r>
      <w:r w:rsidR="000A06C0" w:rsidRPr="006F15BB">
        <w:rPr>
          <w:rFonts w:ascii="Book Antiqua" w:hAnsi="Book Antiqua" w:cs="Times New Roman"/>
          <w:lang w:val="en-GB"/>
        </w:rPr>
        <w:t>10</w:t>
      </w:r>
      <w:r w:rsidRPr="006F15BB">
        <w:rPr>
          <w:rFonts w:ascii="Book Antiqua" w:hAnsi="Book Antiqua" w:cs="Times New Roman"/>
          <w:lang w:val="en-GB"/>
        </w:rPr>
        <w:t>% (Standard deviation (S.D) 10%) and morbidity of 15</w:t>
      </w:r>
      <w:r w:rsidR="000A06C0" w:rsidRPr="006F15BB">
        <w:rPr>
          <w:rFonts w:ascii="Book Antiqua" w:hAnsi="Book Antiqua" w:cs="Times New Roman"/>
          <w:lang w:val="en-GB"/>
        </w:rPr>
        <w:t>% (</w:t>
      </w:r>
      <w:r w:rsidRPr="006F15BB">
        <w:rPr>
          <w:rFonts w:ascii="Book Antiqua" w:hAnsi="Book Antiqua" w:cs="Times New Roman"/>
          <w:lang w:val="en-GB"/>
        </w:rPr>
        <w:t>S.D 7</w:t>
      </w:r>
      <w:r w:rsidR="000A06C0" w:rsidRPr="006F15BB">
        <w:rPr>
          <w:rFonts w:ascii="Book Antiqua" w:hAnsi="Book Antiqua" w:cs="Times New Roman"/>
          <w:lang w:val="en-GB"/>
        </w:rPr>
        <w:t>%)</w:t>
      </w:r>
      <w:r w:rsidRPr="006F15BB">
        <w:rPr>
          <w:rFonts w:ascii="Book Antiqua" w:hAnsi="Book Antiqua" w:cs="Times New Roman"/>
          <w:lang w:val="en-GB"/>
        </w:rPr>
        <w:t>. In the non</w:t>
      </w:r>
      <w:r w:rsidR="00772635">
        <w:rPr>
          <w:rFonts w:ascii="Book Antiqua" w:hAnsi="Book Antiqua" w:cs="Times New Roman"/>
          <w:lang w:val="en-GB"/>
        </w:rPr>
        <w:t>-</w:t>
      </w:r>
      <w:r w:rsidRPr="006F15BB">
        <w:rPr>
          <w:rFonts w:ascii="Book Antiqua" w:hAnsi="Book Antiqua" w:cs="Times New Roman"/>
          <w:lang w:val="en-GB"/>
        </w:rPr>
        <w:t xml:space="preserve">DNR status group, </w:t>
      </w:r>
      <w:r w:rsidR="000A06C0" w:rsidRPr="006F15BB">
        <w:rPr>
          <w:rFonts w:ascii="Book Antiqua" w:hAnsi="Book Antiqua" w:cs="Times New Roman"/>
          <w:lang w:val="en-GB"/>
        </w:rPr>
        <w:t>using the ACS</w:t>
      </w:r>
      <w:r w:rsidR="00772635">
        <w:rPr>
          <w:rFonts w:ascii="Book Antiqua" w:hAnsi="Book Antiqua" w:cs="Times New Roman"/>
          <w:lang w:val="en-GB"/>
        </w:rPr>
        <w:t>-</w:t>
      </w:r>
      <w:r w:rsidR="000A06C0" w:rsidRPr="006F15BB">
        <w:rPr>
          <w:rFonts w:ascii="Book Antiqua" w:hAnsi="Book Antiqua" w:cs="Times New Roman"/>
          <w:lang w:val="en-GB"/>
        </w:rPr>
        <w:t xml:space="preserve">NSQIP risk </w:t>
      </w:r>
      <w:r w:rsidR="000A06C0" w:rsidRPr="006F15BB">
        <w:rPr>
          <w:rFonts w:ascii="Book Antiqua" w:hAnsi="Book Antiqua" w:cs="Times New Roman"/>
          <w:lang w:val="en-GB"/>
        </w:rPr>
        <w:lastRenderedPageBreak/>
        <w:t xml:space="preserve">prediction calculator </w:t>
      </w:r>
      <w:r w:rsidRPr="006F15BB">
        <w:rPr>
          <w:rFonts w:ascii="Book Antiqua" w:hAnsi="Book Antiqua" w:cs="Times New Roman"/>
          <w:lang w:val="en-GB"/>
        </w:rPr>
        <w:t>the average predicted mortality was 4% (S.D 6%) and morbidity of 11</w:t>
      </w:r>
      <w:r w:rsidR="000A06C0" w:rsidRPr="006F15BB">
        <w:rPr>
          <w:rFonts w:ascii="Book Antiqua" w:hAnsi="Book Antiqua" w:cs="Times New Roman"/>
          <w:lang w:val="en-GB"/>
        </w:rPr>
        <w:t>% (</w:t>
      </w:r>
      <w:r w:rsidRPr="006F15BB">
        <w:rPr>
          <w:rFonts w:ascii="Book Antiqua" w:hAnsi="Book Antiqua" w:cs="Times New Roman"/>
          <w:lang w:val="en-GB"/>
        </w:rPr>
        <w:t>S.D 6%).</w:t>
      </w:r>
    </w:p>
    <w:p w14:paraId="1A594DDE" w14:textId="77777777" w:rsidR="000A06C0" w:rsidRPr="006F15BB" w:rsidRDefault="000A06C0" w:rsidP="008E7BBF">
      <w:pPr>
        <w:adjustRightInd w:val="0"/>
        <w:snapToGrid w:val="0"/>
        <w:spacing w:line="360" w:lineRule="auto"/>
        <w:jc w:val="both"/>
        <w:rPr>
          <w:rFonts w:ascii="Book Antiqua" w:hAnsi="Book Antiqua" w:cs="Times New Roman"/>
          <w:lang w:val="en-GB"/>
        </w:rPr>
      </w:pPr>
    </w:p>
    <w:p w14:paraId="6F0D0ECB" w14:textId="77777777" w:rsidR="004660F8" w:rsidRPr="0034509C" w:rsidRDefault="004660F8" w:rsidP="008E7BBF">
      <w:pPr>
        <w:adjustRightInd w:val="0"/>
        <w:snapToGrid w:val="0"/>
        <w:spacing w:line="360" w:lineRule="auto"/>
        <w:jc w:val="both"/>
        <w:rPr>
          <w:rFonts w:ascii="Book Antiqua" w:hAnsi="Book Antiqua" w:cs="Times New Roman"/>
          <w:b/>
          <w:i/>
          <w:lang w:val="en-GB" w:eastAsia="zh-CN"/>
        </w:rPr>
      </w:pPr>
      <w:r w:rsidRPr="0034509C">
        <w:rPr>
          <w:rFonts w:ascii="Book Antiqua" w:hAnsi="Book Antiqua" w:cs="Times New Roman"/>
          <w:b/>
          <w:i/>
          <w:lang w:val="en-GB"/>
        </w:rPr>
        <w:t>Surgical case mix for hip fracture surgery</w:t>
      </w:r>
      <w:r w:rsidR="0034509C">
        <w:rPr>
          <w:rFonts w:ascii="Book Antiqua" w:hAnsi="Book Antiqua" w:cs="Times New Roman"/>
          <w:b/>
          <w:i/>
          <w:lang w:val="en-GB"/>
        </w:rPr>
        <w:t xml:space="preserve"> in DNR and non</w:t>
      </w:r>
      <w:r w:rsidR="00772635">
        <w:rPr>
          <w:rFonts w:ascii="Book Antiqua" w:hAnsi="Book Antiqua" w:cs="Times New Roman"/>
          <w:b/>
          <w:i/>
          <w:lang w:val="en-GB"/>
        </w:rPr>
        <w:t>-</w:t>
      </w:r>
      <w:r w:rsidR="0034509C">
        <w:rPr>
          <w:rFonts w:ascii="Book Antiqua" w:hAnsi="Book Antiqua" w:cs="Times New Roman"/>
          <w:b/>
          <w:i/>
          <w:lang w:val="en-GB"/>
        </w:rPr>
        <w:t>DNR populations</w:t>
      </w:r>
    </w:p>
    <w:p w14:paraId="62FD7715" w14:textId="77777777" w:rsidR="004660F8" w:rsidRPr="006F15BB" w:rsidRDefault="00C76426" w:rsidP="008E7BBF">
      <w:pPr>
        <w:adjustRightInd w:val="0"/>
        <w:snapToGrid w:val="0"/>
        <w:spacing w:line="360" w:lineRule="auto"/>
        <w:jc w:val="both"/>
        <w:rPr>
          <w:rFonts w:ascii="Book Antiqua" w:hAnsi="Book Antiqua" w:cs="Times New Roman"/>
          <w:lang w:val="en-GB"/>
        </w:rPr>
      </w:pPr>
      <w:r w:rsidRPr="006F15BB">
        <w:rPr>
          <w:rFonts w:ascii="Book Antiqua" w:hAnsi="Book Antiqua" w:cs="Times New Roman"/>
          <w:lang w:val="en-GB"/>
        </w:rPr>
        <w:t>Table 3</w:t>
      </w:r>
      <w:r w:rsidR="00905E66" w:rsidRPr="006F15BB">
        <w:rPr>
          <w:rFonts w:ascii="Book Antiqua" w:hAnsi="Book Antiqua" w:cs="Times New Roman"/>
          <w:lang w:val="en-GB"/>
        </w:rPr>
        <w:t xml:space="preserve"> shows </w:t>
      </w:r>
      <w:r w:rsidR="00491E08" w:rsidRPr="006F15BB">
        <w:rPr>
          <w:rFonts w:ascii="Book Antiqua" w:hAnsi="Book Antiqua" w:cs="Times New Roman"/>
          <w:lang w:val="en-GB"/>
        </w:rPr>
        <w:t xml:space="preserve">the commonest </w:t>
      </w:r>
      <w:r w:rsidR="008C549A" w:rsidRPr="006F15BB">
        <w:rPr>
          <w:rFonts w:ascii="Book Antiqua" w:hAnsi="Book Antiqua" w:cs="Times New Roman"/>
          <w:lang w:val="en-GB"/>
        </w:rPr>
        <w:t xml:space="preserve">23 </w:t>
      </w:r>
      <w:r w:rsidR="00905E66" w:rsidRPr="006F15BB">
        <w:rPr>
          <w:rFonts w:ascii="Book Antiqua" w:hAnsi="Book Antiqua" w:cs="Times New Roman"/>
          <w:lang w:val="en-GB"/>
        </w:rPr>
        <w:t xml:space="preserve">CPT codes </w:t>
      </w:r>
      <w:r w:rsidR="00491E08" w:rsidRPr="006F15BB">
        <w:rPr>
          <w:rFonts w:ascii="Book Antiqua" w:hAnsi="Book Antiqua" w:cs="Times New Roman"/>
          <w:lang w:val="en-GB"/>
        </w:rPr>
        <w:t xml:space="preserve">encountered </w:t>
      </w:r>
      <w:r w:rsidR="00905E66" w:rsidRPr="006F15BB">
        <w:rPr>
          <w:rFonts w:ascii="Book Antiqua" w:hAnsi="Book Antiqua" w:cs="Times New Roman"/>
          <w:lang w:val="en-GB"/>
        </w:rPr>
        <w:t>for hip fracture surgery</w:t>
      </w:r>
      <w:r w:rsidR="00BA5350" w:rsidRPr="006F15BB">
        <w:rPr>
          <w:rFonts w:ascii="Book Antiqua" w:hAnsi="Book Antiqua" w:cs="Times New Roman"/>
          <w:lang w:val="en-GB"/>
        </w:rPr>
        <w:t xml:space="preserve"> in the matched cohorts</w:t>
      </w:r>
      <w:r w:rsidR="00905E66" w:rsidRPr="006F15BB">
        <w:rPr>
          <w:rFonts w:ascii="Book Antiqua" w:hAnsi="Book Antiqua" w:cs="Times New Roman"/>
          <w:lang w:val="en-GB"/>
        </w:rPr>
        <w:t xml:space="preserve">. </w:t>
      </w:r>
      <w:proofErr w:type="gramStart"/>
      <w:r w:rsidR="0034509C">
        <w:rPr>
          <w:rFonts w:ascii="Book Antiqua" w:hAnsi="Book Antiqua" w:cs="Times New Roman" w:hint="eastAsia"/>
          <w:lang w:val="en-GB" w:eastAsia="zh-CN"/>
        </w:rPr>
        <w:t>Nin</w:t>
      </w:r>
      <w:r w:rsidR="00F572C8">
        <w:rPr>
          <w:rFonts w:ascii="Book Antiqua" w:hAnsi="Book Antiqua" w:cs="Times New Roman"/>
          <w:lang w:val="en-GB" w:eastAsia="zh-CN"/>
        </w:rPr>
        <w:t>e</w:t>
      </w:r>
      <w:r w:rsidR="0034509C">
        <w:rPr>
          <w:rFonts w:ascii="Book Antiqua" w:hAnsi="Book Antiqua" w:cs="Times New Roman" w:hint="eastAsia"/>
          <w:lang w:val="en-GB" w:eastAsia="zh-CN"/>
        </w:rPr>
        <w:t>ty</w:t>
      </w:r>
      <w:r w:rsidR="00772635">
        <w:rPr>
          <w:rFonts w:ascii="Book Antiqua" w:hAnsi="Book Antiqua" w:cs="Times New Roman" w:hint="eastAsia"/>
          <w:lang w:val="en-GB" w:eastAsia="zh-CN"/>
        </w:rPr>
        <w:t>-</w:t>
      </w:r>
      <w:r w:rsidR="0034509C">
        <w:rPr>
          <w:rFonts w:ascii="Book Antiqua" w:hAnsi="Book Antiqua" w:cs="Times New Roman" w:hint="eastAsia"/>
          <w:lang w:val="en-GB" w:eastAsia="zh-CN"/>
        </w:rPr>
        <w:t>seven point</w:t>
      </w:r>
      <w:proofErr w:type="gramEnd"/>
      <w:r w:rsidR="0034509C">
        <w:rPr>
          <w:rFonts w:ascii="Book Antiqua" w:hAnsi="Book Antiqua" w:cs="Times New Roman" w:hint="eastAsia"/>
          <w:lang w:val="en-GB" w:eastAsia="zh-CN"/>
        </w:rPr>
        <w:t xml:space="preserve"> six percent</w:t>
      </w:r>
      <w:r w:rsidR="00491E08" w:rsidRPr="006F15BB">
        <w:rPr>
          <w:rFonts w:ascii="Book Antiqua" w:hAnsi="Book Antiqua" w:cs="Times New Roman"/>
          <w:lang w:val="en-GB"/>
        </w:rPr>
        <w:t xml:space="preserve"> of all DNR patients and 95% of all non</w:t>
      </w:r>
      <w:r w:rsidR="00772635">
        <w:rPr>
          <w:rFonts w:ascii="Book Antiqua" w:hAnsi="Book Antiqua" w:cs="Times New Roman"/>
          <w:lang w:val="en-GB"/>
        </w:rPr>
        <w:t>-</w:t>
      </w:r>
      <w:r w:rsidR="00491E08" w:rsidRPr="006F15BB">
        <w:rPr>
          <w:rFonts w:ascii="Book Antiqua" w:hAnsi="Book Antiqua" w:cs="Times New Roman"/>
          <w:lang w:val="en-GB"/>
        </w:rPr>
        <w:t>DNR patients had hip fracture surgery classed by one of these CPT codes. The remaining minority (2.4% of DNR and 5% of non</w:t>
      </w:r>
      <w:r w:rsidR="00772635">
        <w:rPr>
          <w:rFonts w:ascii="Book Antiqua" w:hAnsi="Book Antiqua" w:cs="Times New Roman"/>
          <w:lang w:val="en-GB"/>
        </w:rPr>
        <w:t>-</w:t>
      </w:r>
      <w:r w:rsidR="00491E08" w:rsidRPr="006F15BB">
        <w:rPr>
          <w:rFonts w:ascii="Book Antiqua" w:hAnsi="Book Antiqua" w:cs="Times New Roman"/>
          <w:lang w:val="en-GB"/>
        </w:rPr>
        <w:t>DNR) had other hip fracture surgery CPT codes not listed</w:t>
      </w:r>
      <w:r w:rsidR="009F134E" w:rsidRPr="006F15BB">
        <w:rPr>
          <w:rFonts w:ascii="Book Antiqua" w:hAnsi="Book Antiqua" w:cs="Times New Roman"/>
          <w:lang w:val="en-GB"/>
        </w:rPr>
        <w:t>, and t</w:t>
      </w:r>
      <w:r w:rsidR="00491E08" w:rsidRPr="006F15BB">
        <w:rPr>
          <w:rFonts w:ascii="Book Antiqua" w:hAnsi="Book Antiqua" w:cs="Times New Roman"/>
          <w:lang w:val="en-GB"/>
        </w:rPr>
        <w:t>hese patients were still included in the analysis</w:t>
      </w:r>
      <w:r w:rsidR="0072114A" w:rsidRPr="006F15BB">
        <w:rPr>
          <w:rFonts w:ascii="Book Antiqua" w:hAnsi="Book Antiqua" w:cs="Times New Roman"/>
          <w:lang w:val="en-GB"/>
        </w:rPr>
        <w:t xml:space="preserve">. </w:t>
      </w:r>
      <w:r w:rsidRPr="006F15BB">
        <w:rPr>
          <w:rFonts w:ascii="Book Antiqua" w:hAnsi="Book Antiqua" w:cs="Times New Roman"/>
          <w:lang w:val="en-GB"/>
        </w:rPr>
        <w:t>Table 3</w:t>
      </w:r>
      <w:r w:rsidR="00905E66" w:rsidRPr="006F15BB">
        <w:rPr>
          <w:rFonts w:ascii="Book Antiqua" w:hAnsi="Book Antiqua" w:cs="Times New Roman"/>
          <w:lang w:val="en-GB"/>
        </w:rPr>
        <w:t xml:space="preserve"> </w:t>
      </w:r>
      <w:r w:rsidR="008C549A" w:rsidRPr="006F15BB">
        <w:rPr>
          <w:rFonts w:ascii="Book Antiqua" w:hAnsi="Book Antiqua" w:cs="Times New Roman"/>
          <w:lang w:val="en-GB"/>
        </w:rPr>
        <w:t xml:space="preserve">also </w:t>
      </w:r>
      <w:r w:rsidR="00905E66" w:rsidRPr="006F15BB">
        <w:rPr>
          <w:rFonts w:ascii="Book Antiqua" w:hAnsi="Book Antiqua" w:cs="Times New Roman"/>
          <w:lang w:val="en-GB"/>
        </w:rPr>
        <w:t>demonstrate</w:t>
      </w:r>
      <w:r w:rsidR="00EB451E" w:rsidRPr="006F15BB">
        <w:rPr>
          <w:rFonts w:ascii="Book Antiqua" w:hAnsi="Book Antiqua" w:cs="Times New Roman"/>
          <w:lang w:val="en-GB"/>
        </w:rPr>
        <w:t>s</w:t>
      </w:r>
      <w:r w:rsidR="00905E66" w:rsidRPr="006F15BB">
        <w:rPr>
          <w:rFonts w:ascii="Book Antiqua" w:hAnsi="Book Antiqua" w:cs="Times New Roman"/>
          <w:lang w:val="en-GB"/>
        </w:rPr>
        <w:t xml:space="preserve"> the </w:t>
      </w:r>
      <w:r w:rsidR="001D3C38" w:rsidRPr="006F15BB">
        <w:rPr>
          <w:rFonts w:ascii="Book Antiqua" w:hAnsi="Book Antiqua" w:cs="Times New Roman"/>
          <w:lang w:val="en-GB"/>
        </w:rPr>
        <w:t xml:space="preserve">propensity score matched </w:t>
      </w:r>
      <w:r w:rsidR="00905E66" w:rsidRPr="006F15BB">
        <w:rPr>
          <w:rFonts w:ascii="Book Antiqua" w:hAnsi="Book Antiqua" w:cs="Times New Roman"/>
          <w:lang w:val="en-GB"/>
        </w:rPr>
        <w:t>case mix of procedures and the distribution within DNR and non</w:t>
      </w:r>
      <w:r w:rsidR="00772635">
        <w:rPr>
          <w:rFonts w:ascii="Book Antiqua" w:hAnsi="Book Antiqua" w:cs="Times New Roman"/>
          <w:lang w:val="en-GB"/>
        </w:rPr>
        <w:t>-</w:t>
      </w:r>
      <w:r w:rsidR="00905E66" w:rsidRPr="006F15BB">
        <w:rPr>
          <w:rFonts w:ascii="Book Antiqua" w:hAnsi="Book Antiqua" w:cs="Times New Roman"/>
          <w:lang w:val="en-GB"/>
        </w:rPr>
        <w:t xml:space="preserve">DNR status groups. </w:t>
      </w:r>
      <w:r w:rsidR="0020745F" w:rsidRPr="006F15BB">
        <w:rPr>
          <w:rFonts w:ascii="Book Antiqua" w:hAnsi="Book Antiqua" w:cs="Times New Roman"/>
          <w:lang w:val="en-GB"/>
        </w:rPr>
        <w:t>The numbers of patients per CPT code were too small to conduct regression analysis. However, ranking CPT codes by frequency demonstrated very similar surgical case mixes in terms of CPT codes between the DNR and non</w:t>
      </w:r>
      <w:r w:rsidR="00772635">
        <w:rPr>
          <w:rFonts w:ascii="Book Antiqua" w:hAnsi="Book Antiqua" w:cs="Times New Roman"/>
          <w:lang w:val="en-GB"/>
        </w:rPr>
        <w:t>-</w:t>
      </w:r>
      <w:r w:rsidR="0020745F" w:rsidRPr="006F15BB">
        <w:rPr>
          <w:rFonts w:ascii="Book Antiqua" w:hAnsi="Book Antiqua" w:cs="Times New Roman"/>
          <w:lang w:val="en-GB"/>
        </w:rPr>
        <w:t xml:space="preserve">DNR groups, with the same 10 CPT codes accounting for over 95% of cases and occurring in the same order of frequency, with </w:t>
      </w:r>
      <w:r w:rsidR="001D4E0C" w:rsidRPr="006F15BB">
        <w:rPr>
          <w:rFonts w:ascii="Book Antiqua" w:hAnsi="Book Antiqua" w:cs="Times New Roman"/>
          <w:lang w:val="en-GB"/>
        </w:rPr>
        <w:t xml:space="preserve">several </w:t>
      </w:r>
      <w:r w:rsidR="00740BF4" w:rsidRPr="006F15BB">
        <w:rPr>
          <w:rFonts w:ascii="Book Antiqua" w:hAnsi="Book Antiqua" w:cs="Times New Roman"/>
          <w:lang w:val="en-GB"/>
        </w:rPr>
        <w:t xml:space="preserve">low volume </w:t>
      </w:r>
      <w:r w:rsidR="0020745F" w:rsidRPr="006F15BB">
        <w:rPr>
          <w:rFonts w:ascii="Book Antiqua" w:hAnsi="Book Antiqua" w:cs="Times New Roman"/>
          <w:lang w:val="en-GB"/>
        </w:rPr>
        <w:t>exception</w:t>
      </w:r>
      <w:r w:rsidR="001D4E0C" w:rsidRPr="006F15BB">
        <w:rPr>
          <w:rFonts w:ascii="Book Antiqua" w:hAnsi="Book Antiqua" w:cs="Times New Roman"/>
          <w:lang w:val="en-GB"/>
        </w:rPr>
        <w:t>s</w:t>
      </w:r>
      <w:r w:rsidR="0020745F" w:rsidRPr="006F15BB">
        <w:rPr>
          <w:rFonts w:ascii="Book Antiqua" w:hAnsi="Book Antiqua" w:cs="Times New Roman"/>
          <w:lang w:val="en-GB"/>
        </w:rPr>
        <w:t xml:space="preserve">. This suggests there were minimal differences </w:t>
      </w:r>
      <w:r w:rsidR="00E26E2B" w:rsidRPr="006F15BB">
        <w:rPr>
          <w:rFonts w:ascii="Book Antiqua" w:hAnsi="Book Antiqua" w:cs="Times New Roman"/>
          <w:lang w:val="en-GB"/>
        </w:rPr>
        <w:t xml:space="preserve">and a high correlation </w:t>
      </w:r>
      <w:r w:rsidR="0020745F" w:rsidRPr="006F15BB">
        <w:rPr>
          <w:rFonts w:ascii="Book Antiqua" w:hAnsi="Book Antiqua" w:cs="Times New Roman"/>
          <w:lang w:val="en-GB"/>
        </w:rPr>
        <w:t>between the surgical case mixes encountered across the two groups</w:t>
      </w:r>
      <w:r w:rsidR="00E26E2B" w:rsidRPr="006F15BB">
        <w:rPr>
          <w:rFonts w:ascii="Book Antiqua" w:hAnsi="Book Antiqua" w:cs="Times New Roman"/>
          <w:lang w:val="en-GB"/>
        </w:rPr>
        <w:t>, however the degree or significance of differences beyond this were not analysed further</w:t>
      </w:r>
      <w:r w:rsidR="00FC0712" w:rsidRPr="006F15BB">
        <w:rPr>
          <w:rFonts w:ascii="Book Antiqua" w:hAnsi="Book Antiqua" w:cs="Times New Roman"/>
          <w:lang w:val="en-GB"/>
        </w:rPr>
        <w:t>.</w:t>
      </w:r>
      <w:r w:rsidR="001724D1" w:rsidRPr="006F15BB">
        <w:rPr>
          <w:rFonts w:ascii="Book Antiqua" w:hAnsi="Book Antiqua" w:cs="Times New Roman"/>
          <w:lang w:val="en-GB"/>
        </w:rPr>
        <w:t xml:space="preserve"> CPT codes were not included in </w:t>
      </w:r>
      <w:r w:rsidR="00CD0F6C" w:rsidRPr="006F15BB">
        <w:rPr>
          <w:rFonts w:ascii="Book Antiqua" w:hAnsi="Book Antiqua" w:cs="Times New Roman"/>
          <w:lang w:val="en-GB"/>
        </w:rPr>
        <w:t>multivariable</w:t>
      </w:r>
      <w:r w:rsidR="001724D1" w:rsidRPr="006F15BB">
        <w:rPr>
          <w:rFonts w:ascii="Book Antiqua" w:hAnsi="Book Antiqua" w:cs="Times New Roman"/>
          <w:lang w:val="en-GB"/>
        </w:rPr>
        <w:t xml:space="preserve"> regression modelling.</w:t>
      </w:r>
    </w:p>
    <w:p w14:paraId="30CE4BDA" w14:textId="77777777" w:rsidR="0020745F" w:rsidRPr="006F15BB" w:rsidRDefault="0020745F" w:rsidP="008E7BBF">
      <w:pPr>
        <w:adjustRightInd w:val="0"/>
        <w:snapToGrid w:val="0"/>
        <w:spacing w:line="360" w:lineRule="auto"/>
        <w:jc w:val="both"/>
        <w:rPr>
          <w:rFonts w:ascii="Book Antiqua" w:hAnsi="Book Antiqua" w:cs="Times New Roman"/>
          <w:b/>
          <w:lang w:val="en-GB"/>
        </w:rPr>
      </w:pPr>
    </w:p>
    <w:p w14:paraId="7540C142" w14:textId="77777777" w:rsidR="0020745F" w:rsidRPr="00356262" w:rsidRDefault="0020745F" w:rsidP="008E7BBF">
      <w:pPr>
        <w:adjustRightInd w:val="0"/>
        <w:snapToGrid w:val="0"/>
        <w:spacing w:line="360" w:lineRule="auto"/>
        <w:jc w:val="both"/>
        <w:rPr>
          <w:rFonts w:ascii="Book Antiqua" w:hAnsi="Book Antiqua" w:cs="Times New Roman"/>
          <w:b/>
          <w:i/>
          <w:lang w:val="en-GB"/>
        </w:rPr>
      </w:pPr>
      <w:r w:rsidRPr="00356262">
        <w:rPr>
          <w:rFonts w:ascii="Book Antiqua" w:hAnsi="Book Antiqua" w:cs="Times New Roman"/>
          <w:b/>
          <w:i/>
          <w:lang w:val="en-GB"/>
        </w:rPr>
        <w:t xml:space="preserve">Operative and </w:t>
      </w:r>
      <w:proofErr w:type="spellStart"/>
      <w:r w:rsidR="00356262" w:rsidRPr="00356262">
        <w:rPr>
          <w:rFonts w:ascii="Book Antiqua" w:hAnsi="Book Antiqua" w:cs="Times New Roman"/>
          <w:b/>
          <w:i/>
          <w:lang w:val="en-GB"/>
        </w:rPr>
        <w:t>a</w:t>
      </w:r>
      <w:r w:rsidRPr="00356262">
        <w:rPr>
          <w:rFonts w:ascii="Book Antiqua" w:hAnsi="Book Antiqua" w:cs="Times New Roman"/>
          <w:b/>
          <w:i/>
          <w:lang w:val="en-GB"/>
        </w:rPr>
        <w:t>nesthetic</w:t>
      </w:r>
      <w:proofErr w:type="spellEnd"/>
      <w:r w:rsidRPr="00356262">
        <w:rPr>
          <w:rFonts w:ascii="Book Antiqua" w:hAnsi="Book Antiqua" w:cs="Times New Roman"/>
          <w:b/>
          <w:i/>
          <w:lang w:val="en-GB"/>
        </w:rPr>
        <w:t xml:space="preserve"> comparisons in DNR and non</w:t>
      </w:r>
      <w:r w:rsidR="00772635">
        <w:rPr>
          <w:rFonts w:ascii="Book Antiqua" w:hAnsi="Book Antiqua" w:cs="Times New Roman"/>
          <w:b/>
          <w:i/>
          <w:lang w:val="en-GB"/>
        </w:rPr>
        <w:t>-</w:t>
      </w:r>
      <w:r w:rsidRPr="00356262">
        <w:rPr>
          <w:rFonts w:ascii="Book Antiqua" w:hAnsi="Book Antiqua" w:cs="Times New Roman"/>
          <w:b/>
          <w:i/>
          <w:lang w:val="en-GB"/>
        </w:rPr>
        <w:t>DNR populations undergoing hip fracture surgery</w:t>
      </w:r>
    </w:p>
    <w:p w14:paraId="504303BA" w14:textId="77777777" w:rsidR="007F4BFD" w:rsidRPr="006F15BB" w:rsidRDefault="00C76426" w:rsidP="008E7BBF">
      <w:pPr>
        <w:adjustRightInd w:val="0"/>
        <w:snapToGrid w:val="0"/>
        <w:spacing w:line="360" w:lineRule="auto"/>
        <w:jc w:val="both"/>
        <w:rPr>
          <w:rFonts w:ascii="Book Antiqua" w:eastAsia="Times New Roman" w:hAnsi="Book Antiqua" w:cs="Times New Roman"/>
          <w:color w:val="000000"/>
        </w:rPr>
      </w:pPr>
      <w:r w:rsidRPr="006F15BB">
        <w:rPr>
          <w:rFonts w:ascii="Book Antiqua" w:hAnsi="Book Antiqua" w:cs="Times New Roman"/>
          <w:lang w:val="en-GB"/>
        </w:rPr>
        <w:t>Table 2</w:t>
      </w:r>
      <w:r w:rsidR="002A035C" w:rsidRPr="006F15BB">
        <w:rPr>
          <w:rFonts w:ascii="Book Antiqua" w:hAnsi="Book Antiqua" w:cs="Times New Roman"/>
          <w:lang w:val="en-GB"/>
        </w:rPr>
        <w:t xml:space="preserve"> demonstrates </w:t>
      </w:r>
      <w:r w:rsidR="007E5C13" w:rsidRPr="006F15BB">
        <w:rPr>
          <w:rFonts w:ascii="Book Antiqua" w:hAnsi="Book Antiqua" w:cs="Times New Roman"/>
          <w:lang w:val="en-GB"/>
        </w:rPr>
        <w:t xml:space="preserve">various </w:t>
      </w:r>
      <w:r w:rsidR="002A035C" w:rsidRPr="006F15BB">
        <w:rPr>
          <w:rFonts w:ascii="Book Antiqua" w:hAnsi="Book Antiqua" w:cs="Times New Roman"/>
          <w:lang w:val="en-GB"/>
        </w:rPr>
        <w:t>surgical and anaesthetic factors</w:t>
      </w:r>
      <w:r w:rsidR="005F67CC" w:rsidRPr="006F15BB">
        <w:rPr>
          <w:rFonts w:ascii="Book Antiqua" w:hAnsi="Book Antiqua" w:cs="Times New Roman"/>
          <w:lang w:val="en-GB"/>
        </w:rPr>
        <w:t xml:space="preserve"> between the matched groups</w:t>
      </w:r>
      <w:r w:rsidR="002A035C" w:rsidRPr="006F15BB">
        <w:rPr>
          <w:rFonts w:ascii="Book Antiqua" w:hAnsi="Book Antiqua" w:cs="Times New Roman"/>
          <w:lang w:val="en-GB"/>
        </w:rPr>
        <w:t xml:space="preserve">. </w:t>
      </w:r>
      <w:r w:rsidR="00CD0F6C" w:rsidRPr="006F15BB">
        <w:rPr>
          <w:rFonts w:ascii="Book Antiqua" w:hAnsi="Book Antiqua" w:cs="Times New Roman"/>
          <w:lang w:val="en-GB"/>
        </w:rPr>
        <w:t>Multivariable</w:t>
      </w:r>
      <w:r w:rsidR="00486A63" w:rsidRPr="006F15BB">
        <w:rPr>
          <w:rFonts w:ascii="Book Antiqua" w:hAnsi="Book Antiqua" w:cs="Times New Roman"/>
          <w:lang w:val="en-GB"/>
        </w:rPr>
        <w:t xml:space="preserve"> regression demonstrated </w:t>
      </w:r>
      <w:r w:rsidR="007E5C13" w:rsidRPr="006F15BB">
        <w:rPr>
          <w:rFonts w:ascii="Book Antiqua" w:hAnsi="Book Antiqua" w:cs="Times New Roman"/>
          <w:lang w:val="en-GB"/>
        </w:rPr>
        <w:t xml:space="preserve">no increased likelihood for patients with DNR status </w:t>
      </w:r>
      <w:r w:rsidR="00757881" w:rsidRPr="006F15BB">
        <w:rPr>
          <w:rFonts w:ascii="Book Antiqua" w:hAnsi="Book Antiqua" w:cs="Times New Roman"/>
          <w:lang w:val="en-GB"/>
        </w:rPr>
        <w:t>to have a</w:t>
      </w:r>
      <w:r w:rsidR="007E5C13" w:rsidRPr="006F15BB">
        <w:rPr>
          <w:rFonts w:ascii="Book Antiqua" w:hAnsi="Book Antiqua" w:cs="Times New Roman"/>
          <w:lang w:val="en-GB"/>
        </w:rPr>
        <w:t xml:space="preserve"> hip </w:t>
      </w:r>
      <w:r w:rsidR="00FC0712" w:rsidRPr="006F15BB">
        <w:rPr>
          <w:rFonts w:ascii="Book Antiqua" w:hAnsi="Book Antiqua" w:cs="Times New Roman"/>
          <w:lang w:val="en-GB"/>
        </w:rPr>
        <w:t xml:space="preserve">fracture </w:t>
      </w:r>
      <w:r w:rsidR="007E5C13" w:rsidRPr="006F15BB">
        <w:rPr>
          <w:rFonts w:ascii="Book Antiqua" w:hAnsi="Book Antiqua" w:cs="Times New Roman"/>
          <w:lang w:val="en-GB"/>
        </w:rPr>
        <w:t>surgery as an emergency procedure</w:t>
      </w:r>
      <w:r w:rsidR="00E26E2B" w:rsidRPr="006F15BB">
        <w:rPr>
          <w:rFonts w:ascii="Book Antiqua" w:hAnsi="Book Antiqua" w:cs="Times New Roman"/>
          <w:lang w:val="en-GB"/>
        </w:rPr>
        <w:t xml:space="preserve">. </w:t>
      </w:r>
      <w:r w:rsidR="007F4BFD" w:rsidRPr="006F15BB">
        <w:rPr>
          <w:rFonts w:ascii="Book Antiqua" w:hAnsi="Book Antiqua" w:cs="Times New Roman"/>
          <w:lang w:val="en-GB"/>
        </w:rPr>
        <w:t xml:space="preserve">DNR status was not </w:t>
      </w:r>
      <w:r w:rsidR="001724D1" w:rsidRPr="006F15BB">
        <w:rPr>
          <w:rFonts w:ascii="Book Antiqua" w:hAnsi="Book Antiqua" w:cs="Times New Roman"/>
          <w:lang w:val="en-GB"/>
        </w:rPr>
        <w:t xml:space="preserve">independently </w:t>
      </w:r>
      <w:r w:rsidR="007F4BFD" w:rsidRPr="006F15BB">
        <w:rPr>
          <w:rFonts w:ascii="Book Antiqua" w:hAnsi="Book Antiqua" w:cs="Times New Roman"/>
          <w:lang w:val="en-GB"/>
        </w:rPr>
        <w:t xml:space="preserve">associated with shorter surgical time </w:t>
      </w:r>
      <w:r w:rsidR="00E7199B" w:rsidRPr="006F15BB">
        <w:rPr>
          <w:rFonts w:ascii="Book Antiqua" w:hAnsi="Book Antiqua" w:cs="Times New Roman"/>
          <w:lang w:val="en-GB"/>
        </w:rPr>
        <w:t xml:space="preserve">(OR </w:t>
      </w:r>
      <w:r w:rsidR="00E7199B" w:rsidRPr="006F15BB">
        <w:rPr>
          <w:rFonts w:ascii="Book Antiqua" w:eastAsia="Times New Roman" w:hAnsi="Book Antiqua" w:cs="Times New Roman"/>
          <w:color w:val="000000"/>
        </w:rPr>
        <w:t>0.9</w:t>
      </w:r>
      <w:r w:rsidR="005F67CC" w:rsidRPr="006F15BB">
        <w:rPr>
          <w:rFonts w:ascii="Book Antiqua" w:eastAsia="Times New Roman" w:hAnsi="Book Antiqua" w:cs="Times New Roman"/>
          <w:color w:val="000000"/>
        </w:rPr>
        <w:t>9</w:t>
      </w:r>
      <w:r w:rsidR="00E7199B" w:rsidRPr="006F15BB">
        <w:rPr>
          <w:rFonts w:ascii="Book Antiqua" w:eastAsia="Times New Roman" w:hAnsi="Book Antiqua" w:cs="Times New Roman"/>
          <w:color w:val="000000"/>
        </w:rPr>
        <w:t>, CI 0.9</w:t>
      </w:r>
      <w:r w:rsidR="005F67CC" w:rsidRPr="006F15BB">
        <w:rPr>
          <w:rFonts w:ascii="Book Antiqua" w:eastAsia="Times New Roman" w:hAnsi="Book Antiqua" w:cs="Times New Roman"/>
          <w:color w:val="000000"/>
        </w:rPr>
        <w:t>9</w:t>
      </w:r>
      <w:r w:rsidR="00E7199B" w:rsidRPr="006F15BB">
        <w:rPr>
          <w:rFonts w:ascii="Book Antiqua" w:eastAsia="Times New Roman" w:hAnsi="Book Antiqua" w:cs="Times New Roman"/>
          <w:color w:val="000000"/>
        </w:rPr>
        <w:t xml:space="preserve"> </w:t>
      </w:r>
      <w:r w:rsidR="00772635">
        <w:rPr>
          <w:rFonts w:ascii="Book Antiqua" w:eastAsia="Times New Roman" w:hAnsi="Book Antiqua" w:cs="Times New Roman"/>
          <w:color w:val="000000"/>
        </w:rPr>
        <w:t>-</w:t>
      </w:r>
      <w:r w:rsidR="00E7199B" w:rsidRPr="006F15BB">
        <w:rPr>
          <w:rFonts w:ascii="Book Antiqua" w:eastAsia="Times New Roman" w:hAnsi="Book Antiqua" w:cs="Times New Roman"/>
          <w:color w:val="000000"/>
        </w:rPr>
        <w:t xml:space="preserve"> 1.0</w:t>
      </w:r>
      <w:r w:rsidR="005F67CC" w:rsidRPr="006F15BB">
        <w:rPr>
          <w:rFonts w:ascii="Book Antiqua" w:eastAsia="Times New Roman" w:hAnsi="Book Antiqua" w:cs="Times New Roman"/>
          <w:color w:val="000000"/>
        </w:rPr>
        <w:t>0</w:t>
      </w:r>
      <w:r w:rsidR="00E7199B" w:rsidRPr="006F15BB">
        <w:rPr>
          <w:rFonts w:ascii="Book Antiqua" w:eastAsia="Times New Roman" w:hAnsi="Book Antiqua" w:cs="Times New Roman"/>
          <w:color w:val="000000"/>
        </w:rPr>
        <w:t xml:space="preserve">) </w:t>
      </w:r>
      <w:r w:rsidR="00E7199B" w:rsidRPr="006F15BB">
        <w:rPr>
          <w:rFonts w:ascii="Book Antiqua" w:hAnsi="Book Antiqua" w:cs="Times New Roman"/>
          <w:lang w:val="en-GB"/>
        </w:rPr>
        <w:t xml:space="preserve">or </w:t>
      </w:r>
      <w:proofErr w:type="spellStart"/>
      <w:r w:rsidR="00E7199B" w:rsidRPr="006F15BB">
        <w:rPr>
          <w:rFonts w:ascii="Book Antiqua" w:hAnsi="Book Antiqua" w:cs="Times New Roman"/>
          <w:lang w:val="en-GB"/>
        </w:rPr>
        <w:t>anesthetic</w:t>
      </w:r>
      <w:proofErr w:type="spellEnd"/>
      <w:r w:rsidR="00E7199B" w:rsidRPr="006F15BB">
        <w:rPr>
          <w:rFonts w:ascii="Book Antiqua" w:hAnsi="Book Antiqua" w:cs="Times New Roman"/>
          <w:lang w:val="en-GB"/>
        </w:rPr>
        <w:t xml:space="preserve"> time (OR </w:t>
      </w:r>
      <w:r w:rsidR="00E7199B" w:rsidRPr="006F15BB">
        <w:rPr>
          <w:rFonts w:ascii="Book Antiqua" w:eastAsia="Times New Roman" w:hAnsi="Book Antiqua" w:cs="Times New Roman"/>
          <w:color w:val="000000"/>
        </w:rPr>
        <w:t>0.9</w:t>
      </w:r>
      <w:r w:rsidR="005F67CC" w:rsidRPr="006F15BB">
        <w:rPr>
          <w:rFonts w:ascii="Book Antiqua" w:eastAsia="Times New Roman" w:hAnsi="Book Antiqua" w:cs="Times New Roman"/>
          <w:color w:val="000000"/>
        </w:rPr>
        <w:t>9</w:t>
      </w:r>
      <w:r w:rsidR="00E7199B" w:rsidRPr="006F15BB">
        <w:rPr>
          <w:rFonts w:ascii="Book Antiqua" w:eastAsia="Times New Roman" w:hAnsi="Book Antiqua" w:cs="Times New Roman"/>
          <w:color w:val="000000"/>
        </w:rPr>
        <w:t xml:space="preserve">, </w:t>
      </w:r>
      <w:r w:rsidR="00356262">
        <w:rPr>
          <w:rFonts w:ascii="Book Antiqua" w:eastAsia="Times New Roman" w:hAnsi="Book Antiqua" w:cs="Times New Roman"/>
          <w:color w:val="000000"/>
        </w:rPr>
        <w:t>95%CI:</w:t>
      </w:r>
      <w:r w:rsidR="00E7199B" w:rsidRPr="006F15BB">
        <w:rPr>
          <w:rFonts w:ascii="Book Antiqua" w:eastAsia="Times New Roman" w:hAnsi="Book Antiqua" w:cs="Times New Roman"/>
          <w:color w:val="000000"/>
        </w:rPr>
        <w:t xml:space="preserve"> 0.9</w:t>
      </w:r>
      <w:r w:rsidR="005F67CC" w:rsidRPr="006F15BB">
        <w:rPr>
          <w:rFonts w:ascii="Book Antiqua" w:eastAsia="Times New Roman" w:hAnsi="Book Antiqua" w:cs="Times New Roman"/>
          <w:color w:val="000000"/>
        </w:rPr>
        <w:t>9</w:t>
      </w:r>
      <w:r w:rsidR="00043104">
        <w:rPr>
          <w:rFonts w:ascii="Book Antiqua" w:hAnsi="Book Antiqua" w:cs="Times New Roman" w:hint="eastAsia"/>
          <w:color w:val="000000"/>
          <w:lang w:eastAsia="zh-CN"/>
        </w:rPr>
        <w:t>-</w:t>
      </w:r>
      <w:r w:rsidR="00E7199B" w:rsidRPr="006F15BB">
        <w:rPr>
          <w:rFonts w:ascii="Book Antiqua" w:eastAsia="Times New Roman" w:hAnsi="Book Antiqua" w:cs="Times New Roman"/>
          <w:color w:val="000000"/>
        </w:rPr>
        <w:t>1.0</w:t>
      </w:r>
      <w:r w:rsidR="005F67CC" w:rsidRPr="006F15BB">
        <w:rPr>
          <w:rFonts w:ascii="Book Antiqua" w:eastAsia="Times New Roman" w:hAnsi="Book Antiqua" w:cs="Times New Roman"/>
          <w:color w:val="000000"/>
        </w:rPr>
        <w:t>0</w:t>
      </w:r>
      <w:r w:rsidR="00E7199B" w:rsidRPr="006F15BB">
        <w:rPr>
          <w:rFonts w:ascii="Book Antiqua" w:eastAsia="Times New Roman" w:hAnsi="Book Antiqua" w:cs="Times New Roman"/>
          <w:color w:val="000000"/>
        </w:rPr>
        <w:t>)</w:t>
      </w:r>
      <w:r w:rsidR="00E7199B" w:rsidRPr="006F15BB">
        <w:rPr>
          <w:rFonts w:ascii="Book Antiqua" w:hAnsi="Book Antiqua" w:cs="Times New Roman"/>
          <w:lang w:val="en-GB"/>
        </w:rPr>
        <w:t xml:space="preserve">. DNR status </w:t>
      </w:r>
      <w:r w:rsidR="001724D1" w:rsidRPr="006F15BB">
        <w:rPr>
          <w:rFonts w:ascii="Book Antiqua" w:hAnsi="Book Antiqua" w:cs="Times New Roman"/>
          <w:lang w:val="en-GB"/>
        </w:rPr>
        <w:t xml:space="preserve">also </w:t>
      </w:r>
      <w:r w:rsidR="00E7199B" w:rsidRPr="006F15BB">
        <w:rPr>
          <w:rFonts w:ascii="Book Antiqua" w:hAnsi="Book Antiqua" w:cs="Times New Roman"/>
          <w:lang w:val="en-GB"/>
        </w:rPr>
        <w:t>did not appea</w:t>
      </w:r>
      <w:r w:rsidR="001724D1" w:rsidRPr="006F15BB">
        <w:rPr>
          <w:rFonts w:ascii="Book Antiqua" w:hAnsi="Book Antiqua" w:cs="Times New Roman"/>
          <w:lang w:val="en-GB"/>
        </w:rPr>
        <w:t xml:space="preserve">r to impact </w:t>
      </w:r>
      <w:proofErr w:type="spellStart"/>
      <w:r w:rsidR="001724D1" w:rsidRPr="006F15BB">
        <w:rPr>
          <w:rFonts w:ascii="Book Antiqua" w:hAnsi="Book Antiqua" w:cs="Times New Roman"/>
          <w:lang w:val="en-GB"/>
        </w:rPr>
        <w:t>anesthesia</w:t>
      </w:r>
      <w:proofErr w:type="spellEnd"/>
      <w:r w:rsidR="001724D1" w:rsidRPr="006F15BB">
        <w:rPr>
          <w:rFonts w:ascii="Book Antiqua" w:hAnsi="Book Antiqua" w:cs="Times New Roman"/>
          <w:lang w:val="en-GB"/>
        </w:rPr>
        <w:t xml:space="preserve"> modality:</w:t>
      </w:r>
      <w:r w:rsidR="00E7199B" w:rsidRPr="006F15BB">
        <w:rPr>
          <w:rFonts w:ascii="Book Antiqua" w:hAnsi="Book Antiqua" w:cs="Times New Roman"/>
          <w:lang w:val="en-GB"/>
        </w:rPr>
        <w:t xml:space="preserve"> </w:t>
      </w:r>
      <w:r w:rsidR="001724D1" w:rsidRPr="006F15BB">
        <w:rPr>
          <w:rFonts w:ascii="Book Antiqua" w:hAnsi="Book Antiqua" w:cs="Times New Roman"/>
          <w:lang w:val="en-GB"/>
        </w:rPr>
        <w:t>compared to general anaesthesia,</w:t>
      </w:r>
      <w:r w:rsidR="007F4BFD" w:rsidRPr="006F15BB">
        <w:rPr>
          <w:rFonts w:ascii="Book Antiqua" w:hAnsi="Book Antiqua" w:cs="Times New Roman"/>
          <w:lang w:val="en-GB"/>
        </w:rPr>
        <w:t xml:space="preserve"> spinal </w:t>
      </w:r>
      <w:proofErr w:type="spellStart"/>
      <w:r w:rsidR="007F4BFD" w:rsidRPr="006F15BB">
        <w:rPr>
          <w:rFonts w:ascii="Book Antiqua" w:hAnsi="Book Antiqua" w:cs="Times New Roman"/>
          <w:lang w:val="en-GB"/>
        </w:rPr>
        <w:t>anesthesia</w:t>
      </w:r>
      <w:proofErr w:type="spellEnd"/>
      <w:r w:rsidR="007F4BFD" w:rsidRPr="006F15BB">
        <w:rPr>
          <w:rFonts w:ascii="Book Antiqua" w:hAnsi="Book Antiqua" w:cs="Times New Roman"/>
          <w:lang w:val="en-GB"/>
        </w:rPr>
        <w:t xml:space="preserve"> was not more likely </w:t>
      </w:r>
      <w:r w:rsidR="00E7199B" w:rsidRPr="006F15BB">
        <w:rPr>
          <w:rFonts w:ascii="Book Antiqua" w:hAnsi="Book Antiqua" w:cs="Times New Roman"/>
          <w:lang w:val="en-GB"/>
        </w:rPr>
        <w:t>in the DNR patient group compared to the non</w:t>
      </w:r>
      <w:r w:rsidR="00772635">
        <w:rPr>
          <w:rFonts w:ascii="Book Antiqua" w:hAnsi="Book Antiqua" w:cs="Times New Roman"/>
          <w:lang w:val="en-GB"/>
        </w:rPr>
        <w:t>-</w:t>
      </w:r>
      <w:r w:rsidR="00E7199B" w:rsidRPr="006F15BB">
        <w:rPr>
          <w:rFonts w:ascii="Book Antiqua" w:hAnsi="Book Antiqua" w:cs="Times New Roman"/>
          <w:lang w:val="en-GB"/>
        </w:rPr>
        <w:t xml:space="preserve">DNR patient group </w:t>
      </w:r>
      <w:r w:rsidR="005F67CC" w:rsidRPr="006F15BB">
        <w:rPr>
          <w:rFonts w:ascii="Book Antiqua" w:hAnsi="Book Antiqua" w:cs="Times New Roman"/>
          <w:lang w:val="en-GB"/>
        </w:rPr>
        <w:t xml:space="preserve">in the propensity score matched analysis </w:t>
      </w:r>
      <w:r w:rsidR="00E7199B" w:rsidRPr="006F15BB">
        <w:rPr>
          <w:rFonts w:ascii="Book Antiqua" w:hAnsi="Book Antiqua" w:cs="Times New Roman"/>
          <w:lang w:val="en-GB"/>
        </w:rPr>
        <w:t xml:space="preserve">(OR </w:t>
      </w:r>
      <w:r w:rsidR="00447CE4" w:rsidRPr="006F15BB">
        <w:rPr>
          <w:rFonts w:ascii="Book Antiqua" w:eastAsia="Times New Roman" w:hAnsi="Book Antiqua" w:cs="Times New Roman"/>
          <w:color w:val="000000"/>
        </w:rPr>
        <w:t>0.96</w:t>
      </w:r>
      <w:r w:rsidR="00E7199B" w:rsidRPr="006F15BB">
        <w:rPr>
          <w:rFonts w:ascii="Book Antiqua" w:eastAsia="Times New Roman" w:hAnsi="Book Antiqua" w:cs="Times New Roman"/>
          <w:color w:val="000000"/>
        </w:rPr>
        <w:t xml:space="preserve">, </w:t>
      </w:r>
      <w:r w:rsidR="00356262">
        <w:rPr>
          <w:rFonts w:ascii="Book Antiqua" w:eastAsia="Times New Roman" w:hAnsi="Book Antiqua" w:cs="Times New Roman"/>
          <w:color w:val="000000"/>
        </w:rPr>
        <w:t>95%CI:</w:t>
      </w:r>
      <w:r w:rsidR="00E7199B" w:rsidRPr="006F15BB">
        <w:rPr>
          <w:rFonts w:ascii="Book Antiqua" w:eastAsia="Times New Roman" w:hAnsi="Book Antiqua" w:cs="Times New Roman"/>
          <w:color w:val="000000"/>
        </w:rPr>
        <w:t xml:space="preserve"> 0.</w:t>
      </w:r>
      <w:r w:rsidR="00447CE4" w:rsidRPr="006F15BB">
        <w:rPr>
          <w:rFonts w:ascii="Book Antiqua" w:eastAsia="Times New Roman" w:hAnsi="Book Antiqua" w:cs="Times New Roman"/>
          <w:color w:val="000000"/>
        </w:rPr>
        <w:t>75</w:t>
      </w:r>
      <w:r w:rsidR="00772635">
        <w:rPr>
          <w:rFonts w:ascii="Book Antiqua" w:eastAsia="Times New Roman" w:hAnsi="Book Antiqua" w:cs="Times New Roman"/>
          <w:color w:val="000000"/>
        </w:rPr>
        <w:t>-</w:t>
      </w:r>
      <w:r w:rsidR="00E7199B" w:rsidRPr="006F15BB">
        <w:rPr>
          <w:rFonts w:ascii="Book Antiqua" w:eastAsia="Times New Roman" w:hAnsi="Book Antiqua" w:cs="Times New Roman"/>
          <w:color w:val="000000"/>
        </w:rPr>
        <w:t>1.</w:t>
      </w:r>
      <w:r w:rsidR="00447CE4" w:rsidRPr="006F15BB">
        <w:rPr>
          <w:rFonts w:ascii="Book Antiqua" w:eastAsia="Times New Roman" w:hAnsi="Book Antiqua" w:cs="Times New Roman"/>
          <w:color w:val="000000"/>
        </w:rPr>
        <w:t>22</w:t>
      </w:r>
      <w:r w:rsidR="00E7199B" w:rsidRPr="006F15BB">
        <w:rPr>
          <w:rFonts w:ascii="Book Antiqua" w:eastAsia="Times New Roman" w:hAnsi="Book Antiqua" w:cs="Times New Roman"/>
          <w:color w:val="000000"/>
        </w:rPr>
        <w:t>).</w:t>
      </w:r>
      <w:r w:rsidR="0034509C">
        <w:rPr>
          <w:rFonts w:ascii="Book Antiqua" w:eastAsia="Times New Roman" w:hAnsi="Book Antiqua" w:cs="Times New Roman"/>
          <w:color w:val="000000"/>
        </w:rPr>
        <w:t xml:space="preserve"> </w:t>
      </w:r>
    </w:p>
    <w:p w14:paraId="35F2CF10" w14:textId="77777777" w:rsidR="002A035C" w:rsidRPr="006F15BB" w:rsidRDefault="002A035C" w:rsidP="008E7BBF">
      <w:pPr>
        <w:adjustRightInd w:val="0"/>
        <w:snapToGrid w:val="0"/>
        <w:spacing w:line="360" w:lineRule="auto"/>
        <w:jc w:val="both"/>
        <w:rPr>
          <w:rFonts w:ascii="Book Antiqua" w:eastAsia="Times New Roman" w:hAnsi="Book Antiqua" w:cs="Times New Roman"/>
          <w:color w:val="000000"/>
        </w:rPr>
      </w:pPr>
    </w:p>
    <w:p w14:paraId="3EFE6025" w14:textId="77777777" w:rsidR="00E7199B" w:rsidRPr="00772635" w:rsidRDefault="002A035C" w:rsidP="008E7BBF">
      <w:pPr>
        <w:adjustRightInd w:val="0"/>
        <w:snapToGrid w:val="0"/>
        <w:spacing w:line="360" w:lineRule="auto"/>
        <w:jc w:val="both"/>
        <w:rPr>
          <w:rFonts w:ascii="Book Antiqua" w:eastAsia="Times New Roman" w:hAnsi="Book Antiqua" w:cs="Times New Roman"/>
          <w:b/>
          <w:i/>
          <w:color w:val="000000"/>
        </w:rPr>
      </w:pPr>
      <w:r w:rsidRPr="00772635">
        <w:rPr>
          <w:rFonts w:ascii="Book Antiqua" w:eastAsia="Times New Roman" w:hAnsi="Book Antiqua" w:cs="Times New Roman"/>
          <w:b/>
          <w:i/>
          <w:color w:val="000000"/>
        </w:rPr>
        <w:t>Post</w:t>
      </w:r>
      <w:r w:rsidR="00772635">
        <w:rPr>
          <w:rFonts w:ascii="Book Antiqua" w:eastAsia="Times New Roman" w:hAnsi="Book Antiqua" w:cs="Times New Roman"/>
          <w:b/>
          <w:i/>
          <w:color w:val="000000"/>
        </w:rPr>
        <w:t>-</w:t>
      </w:r>
      <w:r w:rsidRPr="00772635">
        <w:rPr>
          <w:rFonts w:ascii="Book Antiqua" w:eastAsia="Times New Roman" w:hAnsi="Book Antiqua" w:cs="Times New Roman"/>
          <w:b/>
          <w:i/>
          <w:color w:val="000000"/>
        </w:rPr>
        <w:t>operative 30 d outcomes:</w:t>
      </w:r>
      <w:r w:rsidR="00A20431" w:rsidRPr="00772635">
        <w:rPr>
          <w:rFonts w:ascii="Book Antiqua" w:eastAsia="Times New Roman" w:hAnsi="Book Antiqua" w:cs="Times New Roman"/>
          <w:b/>
          <w:i/>
          <w:color w:val="000000"/>
        </w:rPr>
        <w:t xml:space="preserve"> Mortality</w:t>
      </w:r>
    </w:p>
    <w:p w14:paraId="3FBB4249" w14:textId="77777777" w:rsidR="00DF074D" w:rsidRPr="006F15BB" w:rsidRDefault="00DD7B50" w:rsidP="008E7BBF">
      <w:pPr>
        <w:adjustRightInd w:val="0"/>
        <w:snapToGrid w:val="0"/>
        <w:spacing w:line="360" w:lineRule="auto"/>
        <w:jc w:val="both"/>
        <w:rPr>
          <w:rFonts w:ascii="Book Antiqua" w:eastAsia="Times New Roman" w:hAnsi="Book Antiqua" w:cs="Times New Roman"/>
          <w:bCs/>
          <w:color w:val="000000"/>
        </w:rPr>
      </w:pPr>
      <w:r w:rsidRPr="006F15BB">
        <w:rPr>
          <w:rFonts w:ascii="Book Antiqua" w:hAnsi="Book Antiqua" w:cs="Times New Roman"/>
          <w:lang w:val="en-GB"/>
        </w:rPr>
        <w:lastRenderedPageBreak/>
        <w:t>Table</w:t>
      </w:r>
      <w:r w:rsidR="002A035C" w:rsidRPr="006F15BB">
        <w:rPr>
          <w:rFonts w:ascii="Book Antiqua" w:hAnsi="Book Antiqua" w:cs="Times New Roman"/>
          <w:i/>
          <w:lang w:val="en-GB"/>
        </w:rPr>
        <w:t xml:space="preserve"> </w:t>
      </w:r>
      <w:r w:rsidRPr="006F15BB">
        <w:rPr>
          <w:rFonts w:ascii="Book Antiqua" w:hAnsi="Book Antiqua" w:cs="Times New Roman"/>
          <w:lang w:val="en-GB"/>
        </w:rPr>
        <w:t>4</w:t>
      </w:r>
      <w:r w:rsidR="002A035C" w:rsidRPr="006F15BB">
        <w:rPr>
          <w:rFonts w:ascii="Book Antiqua" w:hAnsi="Book Antiqua" w:cs="Times New Roman"/>
          <w:lang w:val="en-GB"/>
        </w:rPr>
        <w:t xml:space="preserve"> presents outcomes up to 30 </w:t>
      </w:r>
      <w:r w:rsidR="0034509C">
        <w:rPr>
          <w:rFonts w:ascii="Book Antiqua" w:hAnsi="Book Antiqua" w:cs="Times New Roman"/>
          <w:lang w:val="en-GB"/>
        </w:rPr>
        <w:t>d</w:t>
      </w:r>
      <w:r w:rsidR="002A035C" w:rsidRPr="006F15BB">
        <w:rPr>
          <w:rFonts w:ascii="Book Antiqua" w:hAnsi="Book Antiqua" w:cs="Times New Roman"/>
          <w:lang w:val="en-GB"/>
        </w:rPr>
        <w:t xml:space="preserve"> postoperative</w:t>
      </w:r>
      <w:r w:rsidR="009F134E" w:rsidRPr="006F15BB">
        <w:rPr>
          <w:rFonts w:ascii="Book Antiqua" w:hAnsi="Book Antiqua" w:cs="Times New Roman"/>
          <w:lang w:val="en-GB"/>
        </w:rPr>
        <w:t>ly</w:t>
      </w:r>
      <w:r w:rsidR="00447CE4" w:rsidRPr="006F15BB">
        <w:rPr>
          <w:rFonts w:ascii="Book Antiqua" w:hAnsi="Book Antiqua" w:cs="Times New Roman"/>
          <w:lang w:val="en-GB"/>
        </w:rPr>
        <w:t xml:space="preserve"> between the propensity matched cohorts</w:t>
      </w:r>
      <w:r w:rsidR="002A035C" w:rsidRPr="006F15BB">
        <w:rPr>
          <w:rFonts w:ascii="Book Antiqua" w:hAnsi="Book Antiqua" w:cs="Times New Roman"/>
          <w:lang w:val="en-GB"/>
        </w:rPr>
        <w:t xml:space="preserve">. Mortality was higher in DNR status patients </w:t>
      </w:r>
      <w:r w:rsidR="006E26CC" w:rsidRPr="006F15BB">
        <w:rPr>
          <w:rFonts w:ascii="Book Antiqua" w:hAnsi="Book Antiqua" w:cs="Times New Roman"/>
          <w:lang w:val="en-GB"/>
        </w:rPr>
        <w:t xml:space="preserve">than </w:t>
      </w:r>
      <w:r w:rsidR="00757881" w:rsidRPr="006F15BB">
        <w:rPr>
          <w:rFonts w:ascii="Book Antiqua" w:hAnsi="Book Antiqua" w:cs="Times New Roman"/>
          <w:lang w:val="en-GB"/>
        </w:rPr>
        <w:t xml:space="preserve">in </w:t>
      </w:r>
      <w:r w:rsidR="006E26CC" w:rsidRPr="006F15BB">
        <w:rPr>
          <w:rFonts w:ascii="Book Antiqua" w:hAnsi="Book Antiqua" w:cs="Times New Roman"/>
          <w:lang w:val="en-GB"/>
        </w:rPr>
        <w:t>non</w:t>
      </w:r>
      <w:r w:rsidR="00772635">
        <w:rPr>
          <w:rFonts w:ascii="Book Antiqua" w:hAnsi="Book Antiqua" w:cs="Times New Roman"/>
          <w:lang w:val="en-GB"/>
        </w:rPr>
        <w:t>-</w:t>
      </w:r>
      <w:r w:rsidR="006E26CC" w:rsidRPr="006F15BB">
        <w:rPr>
          <w:rFonts w:ascii="Book Antiqua" w:hAnsi="Book Antiqua" w:cs="Times New Roman"/>
          <w:lang w:val="en-GB"/>
        </w:rPr>
        <w:t xml:space="preserve">DNR status patients </w:t>
      </w:r>
      <w:r w:rsidR="002A035C" w:rsidRPr="006F15BB">
        <w:rPr>
          <w:rFonts w:ascii="Book Antiqua" w:hAnsi="Book Antiqua" w:cs="Times New Roman"/>
          <w:lang w:val="en-GB"/>
        </w:rPr>
        <w:t>undergoing hip fracture surgery</w:t>
      </w:r>
      <w:r w:rsidR="00D71926" w:rsidRPr="006F15BB">
        <w:rPr>
          <w:rFonts w:ascii="Book Antiqua" w:hAnsi="Book Antiqua" w:cs="Times New Roman"/>
          <w:lang w:val="en-GB"/>
        </w:rPr>
        <w:t xml:space="preserve">, at </w:t>
      </w:r>
      <w:r w:rsidR="00447CE4" w:rsidRPr="006F15BB">
        <w:rPr>
          <w:rFonts w:ascii="Book Antiqua" w:hAnsi="Book Antiqua" w:cs="Times New Roman"/>
          <w:lang w:val="en-GB"/>
        </w:rPr>
        <w:t>15.3</w:t>
      </w:r>
      <w:r w:rsidR="00D71926" w:rsidRPr="006F15BB">
        <w:rPr>
          <w:rFonts w:ascii="Book Antiqua" w:hAnsi="Book Antiqua" w:cs="Times New Roman"/>
          <w:lang w:val="en-GB"/>
        </w:rPr>
        <w:t xml:space="preserve">% vs </w:t>
      </w:r>
      <w:r w:rsidR="00447CE4" w:rsidRPr="006F15BB">
        <w:rPr>
          <w:rFonts w:ascii="Book Antiqua" w:hAnsi="Book Antiqua" w:cs="Times New Roman"/>
          <w:lang w:val="en-GB"/>
        </w:rPr>
        <w:t>8.1</w:t>
      </w:r>
      <w:r w:rsidR="00D71926" w:rsidRPr="006F15BB">
        <w:rPr>
          <w:rFonts w:ascii="Book Antiqua" w:hAnsi="Book Antiqua" w:cs="Times New Roman"/>
          <w:lang w:val="en-GB"/>
        </w:rPr>
        <w:t xml:space="preserve">% of patients. </w:t>
      </w:r>
      <w:r w:rsidR="00CD0F6C" w:rsidRPr="006F15BB">
        <w:rPr>
          <w:rFonts w:ascii="Book Antiqua" w:hAnsi="Book Antiqua" w:cs="Times New Roman"/>
          <w:lang w:val="en-GB"/>
        </w:rPr>
        <w:t>Multivariable</w:t>
      </w:r>
      <w:r w:rsidR="00D71926" w:rsidRPr="006F15BB">
        <w:rPr>
          <w:rFonts w:ascii="Book Antiqua" w:hAnsi="Book Antiqua" w:cs="Times New Roman"/>
          <w:lang w:val="en-GB"/>
        </w:rPr>
        <w:t xml:space="preserve"> regression demonstrated DNR status was independently associated with mortality (OR </w:t>
      </w:r>
      <w:r w:rsidR="00447CE4" w:rsidRPr="006F15BB">
        <w:rPr>
          <w:rFonts w:ascii="Book Antiqua" w:eastAsia="Times New Roman" w:hAnsi="Book Antiqua" w:cs="Times New Roman"/>
          <w:bCs/>
          <w:color w:val="000000"/>
        </w:rPr>
        <w:t>2.04</w:t>
      </w:r>
      <w:r w:rsidR="00D71926" w:rsidRPr="006F15BB">
        <w:rPr>
          <w:rFonts w:ascii="Book Antiqua" w:eastAsia="Times New Roman" w:hAnsi="Book Antiqua" w:cs="Times New Roman"/>
          <w:bCs/>
          <w:color w:val="000000"/>
        </w:rPr>
        <w:t xml:space="preserve">, </w:t>
      </w:r>
      <w:r w:rsidR="00356262">
        <w:rPr>
          <w:rFonts w:ascii="Book Antiqua" w:eastAsia="Times New Roman" w:hAnsi="Book Antiqua" w:cs="Times New Roman"/>
          <w:bCs/>
          <w:color w:val="000000"/>
        </w:rPr>
        <w:t>95%CI:</w:t>
      </w:r>
      <w:r w:rsidR="00D71926" w:rsidRPr="006F15BB">
        <w:rPr>
          <w:rFonts w:ascii="Book Antiqua" w:eastAsia="Times New Roman" w:hAnsi="Book Antiqua" w:cs="Times New Roman"/>
          <w:bCs/>
          <w:color w:val="000000"/>
        </w:rPr>
        <w:t xml:space="preserve"> 1.</w:t>
      </w:r>
      <w:r w:rsidR="00447CE4" w:rsidRPr="006F15BB">
        <w:rPr>
          <w:rFonts w:ascii="Book Antiqua" w:eastAsia="Times New Roman" w:hAnsi="Book Antiqua" w:cs="Times New Roman"/>
          <w:bCs/>
          <w:color w:val="000000"/>
        </w:rPr>
        <w:t>46</w:t>
      </w:r>
      <w:r w:rsidR="00772635">
        <w:rPr>
          <w:rFonts w:ascii="Book Antiqua" w:eastAsia="Times New Roman" w:hAnsi="Book Antiqua" w:cs="Times New Roman"/>
          <w:bCs/>
          <w:color w:val="000000"/>
        </w:rPr>
        <w:t>–</w:t>
      </w:r>
      <w:r w:rsidR="00447CE4" w:rsidRPr="006F15BB">
        <w:rPr>
          <w:rFonts w:ascii="Book Antiqua" w:eastAsia="Times New Roman" w:hAnsi="Book Antiqua" w:cs="Times New Roman"/>
          <w:bCs/>
          <w:color w:val="000000"/>
        </w:rPr>
        <w:t>2.85</w:t>
      </w:r>
      <w:r w:rsidR="007F4BFD" w:rsidRPr="006F15BB">
        <w:rPr>
          <w:rFonts w:ascii="Book Antiqua" w:eastAsia="Times New Roman" w:hAnsi="Book Antiqua" w:cs="Times New Roman"/>
          <w:bCs/>
          <w:color w:val="000000"/>
        </w:rPr>
        <w:t xml:space="preserve">, </w:t>
      </w:r>
      <w:r w:rsidR="00457D69" w:rsidRPr="00457D69">
        <w:rPr>
          <w:rFonts w:ascii="Book Antiqua" w:hAnsi="Book Antiqua" w:cs="Times New Roman" w:hint="eastAsia"/>
          <w:bCs/>
          <w:i/>
          <w:color w:val="000000"/>
          <w:lang w:eastAsia="zh-CN"/>
        </w:rPr>
        <w:t>P</w:t>
      </w:r>
      <w:r w:rsidR="00457D69">
        <w:rPr>
          <w:rFonts w:ascii="Book Antiqua" w:hAnsi="Book Antiqua" w:cs="Times New Roman" w:hint="eastAsia"/>
          <w:bCs/>
          <w:color w:val="000000"/>
          <w:lang w:eastAsia="zh-CN"/>
        </w:rPr>
        <w:t xml:space="preserve"> </w:t>
      </w:r>
      <w:r w:rsidR="00A57D52">
        <w:rPr>
          <w:rFonts w:ascii="Book Antiqua" w:eastAsia="Times New Roman" w:hAnsi="Book Antiqua" w:cs="Times New Roman"/>
          <w:bCs/>
          <w:color w:val="000000"/>
        </w:rPr>
        <w:t xml:space="preserve">&lt; </w:t>
      </w:r>
      <w:r w:rsidR="007F4BFD" w:rsidRPr="006F15BB">
        <w:rPr>
          <w:rFonts w:ascii="Book Antiqua" w:eastAsia="Times New Roman" w:hAnsi="Book Antiqua" w:cs="Times New Roman"/>
          <w:bCs/>
          <w:color w:val="000000"/>
        </w:rPr>
        <w:t>0.001). DNR status was not associated with return to the OR</w:t>
      </w:r>
      <w:r w:rsidR="00757881" w:rsidRPr="006F15BB">
        <w:rPr>
          <w:rFonts w:ascii="Book Antiqua" w:eastAsia="Times New Roman" w:hAnsi="Book Antiqua" w:cs="Times New Roman"/>
          <w:bCs/>
          <w:color w:val="000000"/>
        </w:rPr>
        <w:t xml:space="preserve"> on </w:t>
      </w:r>
      <w:r w:rsidR="00CD0F6C" w:rsidRPr="006F15BB">
        <w:rPr>
          <w:rFonts w:ascii="Book Antiqua" w:eastAsia="Times New Roman" w:hAnsi="Book Antiqua" w:cs="Times New Roman"/>
          <w:bCs/>
          <w:color w:val="000000"/>
        </w:rPr>
        <w:t>multivariable</w:t>
      </w:r>
      <w:r w:rsidR="00757881" w:rsidRPr="006F15BB">
        <w:rPr>
          <w:rFonts w:ascii="Book Antiqua" w:eastAsia="Times New Roman" w:hAnsi="Book Antiqua" w:cs="Times New Roman"/>
          <w:bCs/>
          <w:color w:val="000000"/>
        </w:rPr>
        <w:t xml:space="preserve"> regression</w:t>
      </w:r>
      <w:r w:rsidR="007F4BFD" w:rsidRPr="006F15BB">
        <w:rPr>
          <w:rFonts w:ascii="Book Antiqua" w:eastAsia="Times New Roman" w:hAnsi="Book Antiqua" w:cs="Times New Roman"/>
          <w:bCs/>
          <w:color w:val="000000"/>
        </w:rPr>
        <w:t>.</w:t>
      </w:r>
      <w:r w:rsidR="00757881" w:rsidRPr="006F15BB">
        <w:rPr>
          <w:rFonts w:ascii="Book Antiqua" w:eastAsia="Times New Roman" w:hAnsi="Book Antiqua" w:cs="Times New Roman"/>
          <w:bCs/>
          <w:color w:val="000000"/>
        </w:rPr>
        <w:t xml:space="preserve"> </w:t>
      </w:r>
    </w:p>
    <w:p w14:paraId="0DEAB201" w14:textId="77777777" w:rsidR="00DF074D" w:rsidRPr="006F15BB" w:rsidRDefault="00DF074D" w:rsidP="008E7BBF">
      <w:pPr>
        <w:adjustRightInd w:val="0"/>
        <w:snapToGrid w:val="0"/>
        <w:spacing w:line="360" w:lineRule="auto"/>
        <w:jc w:val="both"/>
        <w:rPr>
          <w:rFonts w:ascii="Book Antiqua" w:eastAsia="Times New Roman" w:hAnsi="Book Antiqua" w:cs="Times New Roman"/>
          <w:bCs/>
          <w:color w:val="000000"/>
        </w:rPr>
      </w:pPr>
    </w:p>
    <w:p w14:paraId="7FBB8EC6" w14:textId="77777777" w:rsidR="00A20431" w:rsidRPr="00772635" w:rsidRDefault="00A20431" w:rsidP="008E7BBF">
      <w:pPr>
        <w:adjustRightInd w:val="0"/>
        <w:snapToGrid w:val="0"/>
        <w:spacing w:line="360" w:lineRule="auto"/>
        <w:jc w:val="both"/>
        <w:rPr>
          <w:rFonts w:ascii="Book Antiqua" w:eastAsia="Times New Roman" w:hAnsi="Book Antiqua" w:cs="Times New Roman"/>
          <w:b/>
          <w:i/>
          <w:color w:val="000000"/>
        </w:rPr>
      </w:pPr>
      <w:r w:rsidRPr="00772635">
        <w:rPr>
          <w:rFonts w:ascii="Book Antiqua" w:eastAsia="Times New Roman" w:hAnsi="Book Antiqua" w:cs="Times New Roman"/>
          <w:b/>
          <w:i/>
          <w:color w:val="000000"/>
        </w:rPr>
        <w:t>Post</w:t>
      </w:r>
      <w:r w:rsidR="00772635" w:rsidRPr="00772635">
        <w:rPr>
          <w:rFonts w:ascii="Book Antiqua" w:eastAsia="Times New Roman" w:hAnsi="Book Antiqua" w:cs="Times New Roman"/>
          <w:b/>
          <w:i/>
          <w:color w:val="000000"/>
        </w:rPr>
        <w:t>-</w:t>
      </w:r>
      <w:r w:rsidRPr="00772635">
        <w:rPr>
          <w:rFonts w:ascii="Book Antiqua" w:eastAsia="Times New Roman" w:hAnsi="Book Antiqua" w:cs="Times New Roman"/>
          <w:b/>
          <w:i/>
          <w:color w:val="000000"/>
        </w:rPr>
        <w:t>operative 30 d outcomes: Morbidity</w:t>
      </w:r>
    </w:p>
    <w:p w14:paraId="59614DE5" w14:textId="77777777" w:rsidR="002A035C" w:rsidRPr="006F15BB" w:rsidRDefault="00664370" w:rsidP="008E7BBF">
      <w:pPr>
        <w:adjustRightInd w:val="0"/>
        <w:snapToGrid w:val="0"/>
        <w:spacing w:line="360" w:lineRule="auto"/>
        <w:jc w:val="both"/>
        <w:rPr>
          <w:rFonts w:ascii="Book Antiqua" w:eastAsia="Times New Roman" w:hAnsi="Book Antiqua" w:cs="Times New Roman"/>
          <w:color w:val="000000"/>
        </w:rPr>
      </w:pPr>
      <w:r w:rsidRPr="006F15BB">
        <w:rPr>
          <w:rFonts w:ascii="Book Antiqua" w:eastAsia="Times New Roman" w:hAnsi="Book Antiqua" w:cs="Times New Roman"/>
          <w:color w:val="000000"/>
        </w:rPr>
        <w:t xml:space="preserve">Our analysis of the propensity score matched cohort found </w:t>
      </w:r>
      <w:r w:rsidR="00522558" w:rsidRPr="006F15BB">
        <w:rPr>
          <w:rFonts w:ascii="Book Antiqua" w:eastAsia="Times New Roman" w:hAnsi="Book Antiqua" w:cs="Times New Roman"/>
          <w:color w:val="000000"/>
        </w:rPr>
        <w:t xml:space="preserve">one </w:t>
      </w:r>
      <w:r w:rsidRPr="006F15BB">
        <w:rPr>
          <w:rFonts w:ascii="Book Antiqua" w:eastAsia="Times New Roman" w:hAnsi="Book Antiqua" w:cs="Times New Roman"/>
          <w:color w:val="000000"/>
        </w:rPr>
        <w:t xml:space="preserve">difference with respect to </w:t>
      </w:r>
      <w:proofErr w:type="spellStart"/>
      <w:r w:rsidRPr="006F15BB">
        <w:rPr>
          <w:rFonts w:ascii="Book Antiqua" w:eastAsia="Times New Roman" w:hAnsi="Book Antiqua" w:cs="Times New Roman"/>
          <w:color w:val="000000"/>
        </w:rPr>
        <w:t>post operative</w:t>
      </w:r>
      <w:proofErr w:type="spellEnd"/>
      <w:r w:rsidRPr="006F15BB">
        <w:rPr>
          <w:rFonts w:ascii="Book Antiqua" w:eastAsia="Times New Roman" w:hAnsi="Book Antiqua" w:cs="Times New Roman"/>
          <w:color w:val="000000"/>
        </w:rPr>
        <w:t xml:space="preserve"> morbidity.</w:t>
      </w:r>
      <w:r w:rsidR="0034509C">
        <w:rPr>
          <w:rFonts w:ascii="Book Antiqua" w:eastAsia="Times New Roman" w:hAnsi="Book Antiqua" w:cs="Times New Roman"/>
          <w:color w:val="000000"/>
        </w:rPr>
        <w:t xml:space="preserve"> </w:t>
      </w:r>
      <w:r w:rsidRPr="006F15BB">
        <w:rPr>
          <w:rFonts w:ascii="Book Antiqua" w:eastAsia="Times New Roman" w:hAnsi="Book Antiqua" w:cs="Times New Roman"/>
          <w:color w:val="000000"/>
        </w:rPr>
        <w:t xml:space="preserve">Patients with DNR status </w:t>
      </w:r>
      <w:r w:rsidR="004007A4" w:rsidRPr="006F15BB">
        <w:rPr>
          <w:rFonts w:ascii="Book Antiqua" w:eastAsia="Times New Roman" w:hAnsi="Book Antiqua" w:cs="Times New Roman"/>
          <w:color w:val="000000"/>
        </w:rPr>
        <w:t xml:space="preserve">had a slightly higher average number of complications per hospitalization (0.53 </w:t>
      </w:r>
      <w:r w:rsidR="004007A4" w:rsidRPr="00457D69">
        <w:rPr>
          <w:rFonts w:ascii="Book Antiqua" w:eastAsia="Times New Roman" w:hAnsi="Book Antiqua" w:cs="Times New Roman"/>
          <w:i/>
          <w:color w:val="000000"/>
        </w:rPr>
        <w:t>vs</w:t>
      </w:r>
      <w:r w:rsidR="004007A4" w:rsidRPr="006F15BB">
        <w:rPr>
          <w:rFonts w:ascii="Book Antiqua" w:eastAsia="Times New Roman" w:hAnsi="Book Antiqua" w:cs="Times New Roman"/>
          <w:color w:val="000000"/>
        </w:rPr>
        <w:t xml:space="preserve"> 0.43; OR 1.213, </w:t>
      </w:r>
      <w:r w:rsidR="00356262">
        <w:rPr>
          <w:rFonts w:ascii="Book Antiqua" w:eastAsia="Times New Roman" w:hAnsi="Book Antiqua" w:cs="Times New Roman"/>
          <w:color w:val="000000"/>
        </w:rPr>
        <w:t>95%CI:</w:t>
      </w:r>
      <w:r w:rsidR="004007A4" w:rsidRPr="006F15BB">
        <w:rPr>
          <w:rFonts w:ascii="Book Antiqua" w:eastAsia="Times New Roman" w:hAnsi="Book Antiqua" w:cs="Times New Roman"/>
          <w:color w:val="000000"/>
        </w:rPr>
        <w:t xml:space="preserve"> 1.04</w:t>
      </w:r>
      <w:r w:rsidR="00772635">
        <w:rPr>
          <w:rFonts w:ascii="Book Antiqua" w:eastAsia="Times New Roman" w:hAnsi="Book Antiqua" w:cs="Times New Roman"/>
          <w:color w:val="000000"/>
        </w:rPr>
        <w:t>–</w:t>
      </w:r>
      <w:r w:rsidR="004007A4" w:rsidRPr="006F15BB">
        <w:rPr>
          <w:rFonts w:ascii="Book Antiqua" w:eastAsia="Times New Roman" w:hAnsi="Book Antiqua" w:cs="Times New Roman"/>
          <w:color w:val="000000"/>
        </w:rPr>
        <w:t>1.41).</w:t>
      </w:r>
      <w:r w:rsidR="0034509C">
        <w:rPr>
          <w:rFonts w:ascii="Book Antiqua" w:eastAsia="Times New Roman" w:hAnsi="Book Antiqua" w:cs="Times New Roman"/>
          <w:color w:val="000000"/>
        </w:rPr>
        <w:t xml:space="preserve"> </w:t>
      </w:r>
      <w:r w:rsidR="00522558" w:rsidRPr="006F15BB">
        <w:rPr>
          <w:rFonts w:ascii="Book Antiqua" w:eastAsia="Times New Roman" w:hAnsi="Book Antiqua" w:cs="Times New Roman"/>
          <w:color w:val="000000"/>
        </w:rPr>
        <w:t xml:space="preserve">Although DNR patients appeared more likely to experience superficial surgical site infections (OR 21.3; </w:t>
      </w:r>
      <w:r w:rsidR="00356262">
        <w:rPr>
          <w:rFonts w:ascii="Book Antiqua" w:eastAsia="Times New Roman" w:hAnsi="Book Antiqua" w:cs="Times New Roman"/>
          <w:color w:val="000000"/>
        </w:rPr>
        <w:t>95%CI:</w:t>
      </w:r>
      <w:r w:rsidR="00522558" w:rsidRPr="006F15BB">
        <w:rPr>
          <w:rFonts w:ascii="Book Antiqua" w:eastAsia="Times New Roman" w:hAnsi="Book Antiqua" w:cs="Times New Roman"/>
          <w:color w:val="000000"/>
        </w:rPr>
        <w:t xml:space="preserve"> 1.25</w:t>
      </w:r>
      <w:r w:rsidR="00772635">
        <w:rPr>
          <w:rFonts w:ascii="Book Antiqua" w:eastAsia="Times New Roman" w:hAnsi="Book Antiqua" w:cs="Times New Roman"/>
          <w:color w:val="000000"/>
        </w:rPr>
        <w:t>–</w:t>
      </w:r>
      <w:r w:rsidR="00522558" w:rsidRPr="006F15BB">
        <w:rPr>
          <w:rFonts w:ascii="Book Antiqua" w:eastAsia="Times New Roman" w:hAnsi="Book Antiqua" w:cs="Times New Roman"/>
          <w:color w:val="000000"/>
        </w:rPr>
        <w:t>364), this was likely an artifact of no events for the non</w:t>
      </w:r>
      <w:r w:rsidR="00772635">
        <w:rPr>
          <w:rFonts w:ascii="Book Antiqua" w:eastAsia="Times New Roman" w:hAnsi="Book Antiqua" w:cs="Times New Roman"/>
          <w:color w:val="000000"/>
        </w:rPr>
        <w:t>-</w:t>
      </w:r>
      <w:r w:rsidR="00522558" w:rsidRPr="006F15BB">
        <w:rPr>
          <w:rFonts w:ascii="Book Antiqua" w:eastAsia="Times New Roman" w:hAnsi="Book Antiqua" w:cs="Times New Roman"/>
          <w:color w:val="000000"/>
        </w:rPr>
        <w:t>DNR patients and was no difference was seen with deep surgical site infections or dehiscence rates.</w:t>
      </w:r>
      <w:r w:rsidR="0034509C">
        <w:rPr>
          <w:rFonts w:ascii="Book Antiqua" w:eastAsia="Times New Roman" w:hAnsi="Book Antiqua" w:cs="Times New Roman"/>
          <w:color w:val="000000"/>
        </w:rPr>
        <w:t xml:space="preserve"> </w:t>
      </w:r>
      <w:r w:rsidR="004007A4" w:rsidRPr="006F15BB">
        <w:rPr>
          <w:rFonts w:ascii="Book Antiqua" w:eastAsia="Times New Roman" w:hAnsi="Book Antiqua" w:cs="Times New Roman"/>
          <w:color w:val="000000"/>
        </w:rPr>
        <w:t xml:space="preserve">DNR patients were less likely to experience reintubation (OR 0.253; </w:t>
      </w:r>
      <w:r w:rsidR="00356262">
        <w:rPr>
          <w:rFonts w:ascii="Book Antiqua" w:eastAsia="Times New Roman" w:hAnsi="Book Antiqua" w:cs="Times New Roman"/>
          <w:color w:val="000000"/>
        </w:rPr>
        <w:t>95%CI:</w:t>
      </w:r>
      <w:r w:rsidR="004007A4" w:rsidRPr="006F15BB">
        <w:rPr>
          <w:rFonts w:ascii="Book Antiqua" w:eastAsia="Times New Roman" w:hAnsi="Book Antiqua" w:cs="Times New Roman"/>
          <w:color w:val="000000"/>
        </w:rPr>
        <w:t xml:space="preserve"> 0.09</w:t>
      </w:r>
      <w:r w:rsidR="00772635">
        <w:rPr>
          <w:rFonts w:ascii="Book Antiqua" w:eastAsia="Times New Roman" w:hAnsi="Book Antiqua" w:cs="Times New Roman"/>
          <w:color w:val="000000"/>
        </w:rPr>
        <w:t>–</w:t>
      </w:r>
      <w:r w:rsidR="004007A4" w:rsidRPr="006F15BB">
        <w:rPr>
          <w:rFonts w:ascii="Book Antiqua" w:eastAsia="Times New Roman" w:hAnsi="Book Antiqua" w:cs="Times New Roman"/>
          <w:color w:val="000000"/>
        </w:rPr>
        <w:t xml:space="preserve">0.69), or cardiac arrest with CPR (OR 0.115; </w:t>
      </w:r>
      <w:r w:rsidR="00356262">
        <w:rPr>
          <w:rFonts w:ascii="Book Antiqua" w:eastAsia="Times New Roman" w:hAnsi="Book Antiqua" w:cs="Times New Roman"/>
          <w:color w:val="000000"/>
        </w:rPr>
        <w:t>95%CI:</w:t>
      </w:r>
      <w:r w:rsidR="004007A4" w:rsidRPr="006F15BB">
        <w:rPr>
          <w:rFonts w:ascii="Book Antiqua" w:eastAsia="Times New Roman" w:hAnsi="Book Antiqua" w:cs="Times New Roman"/>
          <w:color w:val="000000"/>
        </w:rPr>
        <w:t xml:space="preserve"> 0.03</w:t>
      </w:r>
      <w:r w:rsidR="00772635">
        <w:rPr>
          <w:rFonts w:ascii="Book Antiqua" w:eastAsia="Times New Roman" w:hAnsi="Book Antiqua" w:cs="Times New Roman"/>
          <w:color w:val="000000"/>
        </w:rPr>
        <w:t>–</w:t>
      </w:r>
      <w:r w:rsidR="004007A4" w:rsidRPr="006F15BB">
        <w:rPr>
          <w:rFonts w:ascii="Book Antiqua" w:eastAsia="Times New Roman" w:hAnsi="Book Antiqua" w:cs="Times New Roman"/>
          <w:color w:val="000000"/>
        </w:rPr>
        <w:t>0.52).</w:t>
      </w:r>
      <w:r w:rsidR="00A47712" w:rsidRPr="006F15BB">
        <w:rPr>
          <w:rFonts w:ascii="Book Antiqua" w:eastAsia="Times New Roman" w:hAnsi="Book Antiqua" w:cs="Times New Roman"/>
          <w:color w:val="000000"/>
        </w:rPr>
        <w:t xml:space="preserve"> </w:t>
      </w:r>
      <w:r w:rsidR="00DF074D" w:rsidRPr="006F15BB">
        <w:rPr>
          <w:rFonts w:ascii="Book Antiqua" w:eastAsia="Times New Roman" w:hAnsi="Book Antiqua" w:cs="Times New Roman"/>
          <w:color w:val="000000"/>
        </w:rPr>
        <w:t xml:space="preserve">Mean length of stay in the DNR group was </w:t>
      </w:r>
      <w:r w:rsidR="004007A4" w:rsidRPr="006F15BB">
        <w:rPr>
          <w:rFonts w:ascii="Book Antiqua" w:eastAsia="Times New Roman" w:hAnsi="Book Antiqua" w:cs="Times New Roman"/>
          <w:color w:val="000000"/>
        </w:rPr>
        <w:t>no different between the propensity score matched groups.</w:t>
      </w:r>
      <w:r w:rsidR="0034509C">
        <w:rPr>
          <w:rFonts w:ascii="Book Antiqua" w:eastAsia="Times New Roman" w:hAnsi="Book Antiqua" w:cs="Times New Roman"/>
          <w:color w:val="000000"/>
        </w:rPr>
        <w:t xml:space="preserve"> </w:t>
      </w:r>
    </w:p>
    <w:p w14:paraId="04F62FB9" w14:textId="77777777" w:rsidR="00C77C82" w:rsidRPr="006F15BB" w:rsidRDefault="00C77C82" w:rsidP="008E7BBF">
      <w:pPr>
        <w:adjustRightInd w:val="0"/>
        <w:snapToGrid w:val="0"/>
        <w:spacing w:line="360" w:lineRule="auto"/>
        <w:jc w:val="both"/>
        <w:rPr>
          <w:rFonts w:ascii="Book Antiqua" w:eastAsia="Times New Roman" w:hAnsi="Book Antiqua" w:cs="Times New Roman"/>
          <w:color w:val="000000"/>
        </w:rPr>
      </w:pPr>
    </w:p>
    <w:p w14:paraId="73918467" w14:textId="77777777" w:rsidR="0048191D" w:rsidRPr="006F15BB" w:rsidRDefault="00772635" w:rsidP="008E7BBF">
      <w:pPr>
        <w:adjustRightInd w:val="0"/>
        <w:snapToGrid w:val="0"/>
        <w:spacing w:line="360" w:lineRule="auto"/>
        <w:jc w:val="both"/>
        <w:rPr>
          <w:rFonts w:ascii="Book Antiqua" w:hAnsi="Book Antiqua" w:cs="Times New Roman"/>
          <w:b/>
          <w:lang w:val="en-GB" w:eastAsia="zh-CN"/>
        </w:rPr>
      </w:pPr>
      <w:r>
        <w:rPr>
          <w:rFonts w:ascii="Book Antiqua" w:hAnsi="Book Antiqua" w:cs="Times New Roman"/>
          <w:b/>
          <w:lang w:val="en-GB"/>
        </w:rPr>
        <w:t>DISCUSSION</w:t>
      </w:r>
    </w:p>
    <w:p w14:paraId="3091461A" w14:textId="77777777" w:rsidR="00740BF4" w:rsidRPr="00772635" w:rsidRDefault="00740BF4" w:rsidP="008E7BBF">
      <w:pPr>
        <w:adjustRightInd w:val="0"/>
        <w:snapToGrid w:val="0"/>
        <w:spacing w:line="360" w:lineRule="auto"/>
        <w:jc w:val="both"/>
        <w:rPr>
          <w:rFonts w:ascii="Book Antiqua" w:hAnsi="Book Antiqua" w:cs="Times New Roman"/>
          <w:lang w:val="en-GB" w:eastAsia="zh-CN"/>
        </w:rPr>
      </w:pPr>
      <w:r w:rsidRPr="006F15BB">
        <w:rPr>
          <w:rFonts w:ascii="Book Antiqua" w:hAnsi="Book Antiqua" w:cs="Times New Roman"/>
          <w:lang w:val="en-GB"/>
        </w:rPr>
        <w:t xml:space="preserve">Our study aimed to </w:t>
      </w:r>
      <w:r w:rsidR="00D03951" w:rsidRPr="006F15BB">
        <w:rPr>
          <w:rFonts w:ascii="Book Antiqua" w:hAnsi="Book Antiqua" w:cs="Times New Roman"/>
          <w:lang w:val="en-GB"/>
        </w:rPr>
        <w:t xml:space="preserve">examine </w:t>
      </w:r>
      <w:r w:rsidRPr="006F15BB">
        <w:rPr>
          <w:rFonts w:ascii="Book Antiqua" w:hAnsi="Book Antiqua" w:cs="Times New Roman"/>
          <w:lang w:val="en-GB"/>
        </w:rPr>
        <w:t>post</w:t>
      </w:r>
      <w:r w:rsidR="00772635">
        <w:rPr>
          <w:rFonts w:ascii="Book Antiqua" w:hAnsi="Book Antiqua" w:cs="Times New Roman"/>
          <w:lang w:val="en-GB"/>
        </w:rPr>
        <w:t>-</w:t>
      </w:r>
      <w:r w:rsidRPr="006F15BB">
        <w:rPr>
          <w:rFonts w:ascii="Book Antiqua" w:hAnsi="Book Antiqua" w:cs="Times New Roman"/>
          <w:lang w:val="en-GB"/>
        </w:rPr>
        <w:t xml:space="preserve">operative mortality and morbidity in patients with DNR status undergoing hip fracture surgery. We also aimed to determine whether DNR status </w:t>
      </w:r>
      <w:r w:rsidR="00677CD5" w:rsidRPr="006F15BB">
        <w:rPr>
          <w:rFonts w:ascii="Book Antiqua" w:hAnsi="Book Antiqua" w:cs="Times New Roman"/>
          <w:lang w:val="en-GB"/>
        </w:rPr>
        <w:t xml:space="preserve">was </w:t>
      </w:r>
      <w:r w:rsidRPr="006F15BB">
        <w:rPr>
          <w:rFonts w:ascii="Book Antiqua" w:hAnsi="Book Antiqua" w:cs="Times New Roman"/>
          <w:lang w:val="en-GB"/>
        </w:rPr>
        <w:t xml:space="preserve">independently </w:t>
      </w:r>
      <w:r w:rsidR="00677CD5" w:rsidRPr="006F15BB">
        <w:rPr>
          <w:rFonts w:ascii="Book Antiqua" w:hAnsi="Book Antiqua" w:cs="Times New Roman"/>
          <w:lang w:val="en-GB"/>
        </w:rPr>
        <w:t xml:space="preserve">associated with increased </w:t>
      </w:r>
      <w:r w:rsidRPr="006F15BB">
        <w:rPr>
          <w:rFonts w:ascii="Book Antiqua" w:hAnsi="Book Antiqua" w:cs="Times New Roman"/>
          <w:lang w:val="en-GB"/>
        </w:rPr>
        <w:t>morbidity or whether DNR status purely decreased utilisation of CPR and reintubation</w:t>
      </w:r>
      <w:r w:rsidR="000F5E0C" w:rsidRPr="006F15BB">
        <w:rPr>
          <w:rFonts w:ascii="Book Antiqua" w:hAnsi="Book Antiqua" w:cs="Times New Roman"/>
          <w:lang w:val="en-GB"/>
        </w:rPr>
        <w:t>,</w:t>
      </w:r>
      <w:r w:rsidRPr="006F15BB">
        <w:rPr>
          <w:rFonts w:ascii="Book Antiqua" w:hAnsi="Book Antiqua" w:cs="Times New Roman"/>
          <w:lang w:val="en-GB"/>
        </w:rPr>
        <w:t xml:space="preserve"> without affecting other postoperative outcomes.</w:t>
      </w:r>
      <w:r w:rsidR="00A739CF" w:rsidRPr="006F15BB">
        <w:rPr>
          <w:rFonts w:ascii="Book Antiqua" w:hAnsi="Book Antiqua" w:cs="Times New Roman"/>
          <w:lang w:val="en-GB"/>
        </w:rPr>
        <w:t xml:space="preserve"> We found that</w:t>
      </w:r>
      <w:r w:rsidR="00A66C57" w:rsidRPr="006F15BB">
        <w:rPr>
          <w:rFonts w:ascii="Book Antiqua" w:hAnsi="Book Antiqua" w:cs="Times New Roman"/>
          <w:lang w:val="en-GB"/>
        </w:rPr>
        <w:t xml:space="preserve"> mortality was over </w:t>
      </w:r>
      <w:r w:rsidR="00D03951" w:rsidRPr="006F15BB">
        <w:rPr>
          <w:rFonts w:ascii="Book Antiqua" w:hAnsi="Book Antiqua" w:cs="Times New Roman"/>
          <w:lang w:val="en-GB"/>
        </w:rPr>
        <w:t xml:space="preserve">two </w:t>
      </w:r>
      <w:r w:rsidR="00A66C57" w:rsidRPr="006F15BB">
        <w:rPr>
          <w:rFonts w:ascii="Book Antiqua" w:hAnsi="Book Antiqua" w:cs="Times New Roman"/>
          <w:lang w:val="en-GB"/>
        </w:rPr>
        <w:t>times greater in the DNR status group, with DNR status independently predicting m</w:t>
      </w:r>
      <w:r w:rsidR="00A739CF" w:rsidRPr="006F15BB">
        <w:rPr>
          <w:rFonts w:ascii="Book Antiqua" w:hAnsi="Book Antiqua" w:cs="Times New Roman"/>
          <w:lang w:val="en-GB"/>
        </w:rPr>
        <w:t>ortality</w:t>
      </w:r>
      <w:r w:rsidR="004633BE" w:rsidRPr="006F15BB">
        <w:rPr>
          <w:rFonts w:ascii="Book Antiqua" w:hAnsi="Book Antiqua" w:cs="Times New Roman"/>
          <w:lang w:val="en-GB"/>
        </w:rPr>
        <w:t xml:space="preserve"> after patient groups were matched for other underlying comorbidities using propensity scoring methods</w:t>
      </w:r>
      <w:r w:rsidR="00A739CF" w:rsidRPr="006F15BB">
        <w:rPr>
          <w:rFonts w:ascii="Book Antiqua" w:hAnsi="Book Antiqua" w:cs="Times New Roman"/>
          <w:lang w:val="en-GB"/>
        </w:rPr>
        <w:t>.</w:t>
      </w:r>
      <w:r w:rsidR="00A66C57" w:rsidRPr="006F15BB">
        <w:rPr>
          <w:rFonts w:ascii="Book Antiqua" w:hAnsi="Book Antiqua" w:cs="Times New Roman"/>
          <w:lang w:val="en-GB"/>
        </w:rPr>
        <w:t xml:space="preserve"> </w:t>
      </w:r>
      <w:r w:rsidR="00A739CF" w:rsidRPr="006F15BB">
        <w:rPr>
          <w:rFonts w:ascii="Book Antiqua" w:hAnsi="Book Antiqua" w:cs="Times New Roman"/>
          <w:lang w:val="en-GB"/>
        </w:rPr>
        <w:t xml:space="preserve">However, </w:t>
      </w:r>
      <w:r w:rsidR="004633BE" w:rsidRPr="006F15BB">
        <w:rPr>
          <w:rFonts w:ascii="Book Antiqua" w:hAnsi="Book Antiqua" w:cs="Times New Roman"/>
          <w:lang w:val="en-GB"/>
        </w:rPr>
        <w:t xml:space="preserve">relatively few sources of </w:t>
      </w:r>
      <w:r w:rsidR="00A739CF" w:rsidRPr="006F15BB">
        <w:rPr>
          <w:rFonts w:ascii="Book Antiqua" w:hAnsi="Book Antiqua" w:cs="Times New Roman"/>
          <w:lang w:val="en-GB"/>
        </w:rPr>
        <w:t xml:space="preserve">morbidity </w:t>
      </w:r>
      <w:r w:rsidR="004633BE" w:rsidRPr="006F15BB">
        <w:rPr>
          <w:rFonts w:ascii="Book Antiqua" w:hAnsi="Book Antiqua" w:cs="Times New Roman"/>
          <w:lang w:val="en-GB"/>
        </w:rPr>
        <w:t>were</w:t>
      </w:r>
      <w:r w:rsidR="00A739CF" w:rsidRPr="006F15BB">
        <w:rPr>
          <w:rFonts w:ascii="Book Antiqua" w:hAnsi="Book Antiqua" w:cs="Times New Roman"/>
          <w:lang w:val="en-GB"/>
        </w:rPr>
        <w:t xml:space="preserve"> independently associated with DNR </w:t>
      </w:r>
      <w:r w:rsidR="000F5E0C" w:rsidRPr="006F15BB">
        <w:rPr>
          <w:rFonts w:ascii="Book Antiqua" w:hAnsi="Book Antiqua" w:cs="Times New Roman"/>
          <w:lang w:val="en-GB"/>
        </w:rPr>
        <w:t>status</w:t>
      </w:r>
      <w:r w:rsidR="00522558" w:rsidRPr="006F15BB">
        <w:rPr>
          <w:rFonts w:ascii="Book Antiqua" w:hAnsi="Book Antiqua" w:cs="Times New Roman"/>
          <w:lang w:val="en-GB"/>
        </w:rPr>
        <w:t>.</w:t>
      </w:r>
      <w:r w:rsidR="0034509C">
        <w:rPr>
          <w:rFonts w:ascii="Book Antiqua" w:hAnsi="Book Antiqua" w:cs="Times New Roman"/>
          <w:lang w:val="en-GB"/>
        </w:rPr>
        <w:t xml:space="preserve"> </w:t>
      </w:r>
      <w:r w:rsidR="00522558" w:rsidRPr="006F15BB">
        <w:rPr>
          <w:rFonts w:ascii="Book Antiqua" w:hAnsi="Book Antiqua" w:cs="Times New Roman"/>
          <w:lang w:val="en-GB"/>
        </w:rPr>
        <w:t>A</w:t>
      </w:r>
      <w:r w:rsidR="004633BE" w:rsidRPr="006F15BB">
        <w:rPr>
          <w:rFonts w:ascii="Book Antiqua" w:hAnsi="Book Antiqua" w:cs="Times New Roman"/>
          <w:lang w:val="en-GB"/>
        </w:rPr>
        <w:t xml:space="preserve">lthough overall complication rates were slightly higher, rates of reintubation and cardiac arrest with CPR were much lower among patients with a DNR order in place. </w:t>
      </w:r>
      <w:r w:rsidR="00522558" w:rsidRPr="006F15BB">
        <w:rPr>
          <w:rFonts w:ascii="Book Antiqua" w:hAnsi="Book Antiqua" w:cs="Times New Roman"/>
          <w:lang w:val="en-GB"/>
        </w:rPr>
        <w:t xml:space="preserve">This raises the question of how we reconcile the </w:t>
      </w:r>
      <w:r w:rsidR="00522558" w:rsidRPr="006F15BB">
        <w:rPr>
          <w:rFonts w:ascii="Book Antiqua" w:hAnsi="Book Antiqua" w:cs="Times New Roman"/>
          <w:lang w:val="en-GB"/>
        </w:rPr>
        <w:lastRenderedPageBreak/>
        <w:t>increased rate of mortality observed among the DNR cohort in the setting of an isolated, modest overall rate of complications but no clear source of morbidity.</w:t>
      </w:r>
    </w:p>
    <w:p w14:paraId="503B0F76" w14:textId="77777777" w:rsidR="0059079E" w:rsidRPr="00772635" w:rsidRDefault="0048191D" w:rsidP="008E7BBF">
      <w:pPr>
        <w:adjustRightInd w:val="0"/>
        <w:snapToGrid w:val="0"/>
        <w:spacing w:line="360" w:lineRule="auto"/>
        <w:ind w:firstLine="720"/>
        <w:jc w:val="both"/>
        <w:rPr>
          <w:rFonts w:ascii="Book Antiqua" w:hAnsi="Book Antiqua" w:cs="Times New Roman"/>
          <w:lang w:val="en-GB" w:eastAsia="zh-CN"/>
        </w:rPr>
      </w:pPr>
      <w:r w:rsidRPr="006F15BB">
        <w:rPr>
          <w:rFonts w:ascii="Book Antiqua" w:hAnsi="Book Antiqua" w:cs="Times New Roman"/>
          <w:lang w:val="en-GB"/>
        </w:rPr>
        <w:t xml:space="preserve">Historically, some surgeons and </w:t>
      </w:r>
      <w:proofErr w:type="spellStart"/>
      <w:r w:rsidR="001D7064" w:rsidRPr="006F15BB">
        <w:rPr>
          <w:rFonts w:ascii="Book Antiqua" w:hAnsi="Book Antiqua" w:cs="Times New Roman"/>
          <w:lang w:val="en-GB"/>
        </w:rPr>
        <w:t>anesthesiologists</w:t>
      </w:r>
      <w:proofErr w:type="spellEnd"/>
      <w:r w:rsidR="001D7064" w:rsidRPr="006F15BB">
        <w:rPr>
          <w:rFonts w:ascii="Book Antiqua" w:hAnsi="Book Antiqua" w:cs="Times New Roman"/>
          <w:lang w:val="en-GB"/>
        </w:rPr>
        <w:t xml:space="preserve"> </w:t>
      </w:r>
      <w:r w:rsidR="002E3164" w:rsidRPr="006F15BB">
        <w:rPr>
          <w:rFonts w:ascii="Book Antiqua" w:hAnsi="Book Antiqua" w:cs="Times New Roman"/>
          <w:lang w:val="en-GB"/>
        </w:rPr>
        <w:t>have considered</w:t>
      </w:r>
      <w:r w:rsidRPr="006F15BB">
        <w:rPr>
          <w:rFonts w:ascii="Book Antiqua" w:hAnsi="Book Antiqua" w:cs="Times New Roman"/>
          <w:lang w:val="en-GB"/>
        </w:rPr>
        <w:t xml:space="preserve"> perioperative DNR status controversial</w:t>
      </w:r>
      <w:r w:rsidR="002E3164" w:rsidRPr="006F15BB">
        <w:rPr>
          <w:rFonts w:ascii="Book Antiqua" w:hAnsi="Book Antiqua" w:cs="Times New Roman"/>
          <w:lang w:val="en-GB"/>
        </w:rPr>
        <w:t>,</w:t>
      </w:r>
      <w:r w:rsidR="00430A0F" w:rsidRPr="006F15BB">
        <w:rPr>
          <w:rFonts w:ascii="Book Antiqua" w:hAnsi="Book Antiqua" w:cs="Times New Roman"/>
          <w:lang w:val="en-GB"/>
        </w:rPr>
        <w:t xml:space="preserve"> given the </w:t>
      </w:r>
      <w:r w:rsidR="0059079E" w:rsidRPr="006F15BB">
        <w:rPr>
          <w:rFonts w:ascii="Book Antiqua" w:hAnsi="Book Antiqua" w:cs="Times New Roman"/>
          <w:lang w:val="en-GB"/>
        </w:rPr>
        <w:t xml:space="preserve">interventional procedures and unique physiologic changes </w:t>
      </w:r>
      <w:r w:rsidR="00430A0F" w:rsidRPr="006F15BB">
        <w:rPr>
          <w:rFonts w:ascii="Book Antiqua" w:hAnsi="Book Antiqua" w:cs="Times New Roman"/>
          <w:lang w:val="en-GB"/>
        </w:rPr>
        <w:t xml:space="preserve">that occur during </w:t>
      </w:r>
      <w:proofErr w:type="spellStart"/>
      <w:r w:rsidR="00430A0F" w:rsidRPr="006F15BB">
        <w:rPr>
          <w:rFonts w:ascii="Book Antiqua" w:hAnsi="Book Antiqua" w:cs="Times New Roman"/>
          <w:lang w:val="en-GB"/>
        </w:rPr>
        <w:t>anesthesia</w:t>
      </w:r>
      <w:proofErr w:type="spellEnd"/>
      <w:r w:rsidR="006B2828" w:rsidRPr="006F15BB">
        <w:rPr>
          <w:rFonts w:ascii="Book Antiqua" w:hAnsi="Book Antiqua" w:cs="Times New Roman"/>
          <w:lang w:val="en-GB"/>
        </w:rPr>
        <w:t xml:space="preserve"> and the</w:t>
      </w:r>
      <w:r w:rsidR="004A01B0" w:rsidRPr="006F15BB">
        <w:rPr>
          <w:rFonts w:ascii="Book Antiqua" w:hAnsi="Book Antiqua" w:cs="Times New Roman"/>
          <w:lang w:val="en-GB"/>
        </w:rPr>
        <w:t xml:space="preserve"> way clinicians manage these</w:t>
      </w:r>
      <w:r w:rsidR="000B2C71" w:rsidRPr="006F15BB">
        <w:rPr>
          <w:rFonts w:ascii="Book Antiqua" w:hAnsi="Book Antiqua" w:cs="Times New Roman"/>
          <w:lang w:val="en-GB"/>
        </w:rPr>
        <w:t xml:space="preserve"> events</w:t>
      </w:r>
      <w:r w:rsidR="00430A0F" w:rsidRPr="006F15BB">
        <w:rPr>
          <w:rFonts w:ascii="Book Antiqua" w:hAnsi="Book Antiqua" w:cs="Times New Roman"/>
          <w:lang w:val="en-GB"/>
        </w:rPr>
        <w:t>.</w:t>
      </w:r>
      <w:r w:rsidR="00C24AA5" w:rsidRPr="006F15BB">
        <w:rPr>
          <w:rFonts w:ascii="Book Antiqua" w:hAnsi="Book Antiqua" w:cs="Times New Roman"/>
          <w:lang w:val="en-GB"/>
        </w:rPr>
        <w:t xml:space="preserve"> </w:t>
      </w:r>
      <w:r w:rsidRPr="006F15BB">
        <w:rPr>
          <w:rFonts w:ascii="Book Antiqua" w:hAnsi="Book Antiqua" w:cs="Times New Roman"/>
          <w:lang w:val="en-GB"/>
        </w:rPr>
        <w:t>In light of this</w:t>
      </w:r>
      <w:r w:rsidR="00732DCF" w:rsidRPr="006F15BB">
        <w:rPr>
          <w:rFonts w:ascii="Book Antiqua" w:hAnsi="Book Antiqua" w:cs="Times New Roman"/>
          <w:lang w:val="en-GB"/>
        </w:rPr>
        <w:t xml:space="preserve">, </w:t>
      </w:r>
      <w:r w:rsidR="00B65F76" w:rsidRPr="006F15BB">
        <w:rPr>
          <w:rFonts w:ascii="Book Antiqua" w:hAnsi="Book Antiqua" w:cs="Times New Roman"/>
          <w:lang w:val="en-GB"/>
        </w:rPr>
        <w:t xml:space="preserve">both </w:t>
      </w:r>
      <w:r w:rsidR="00BD569B" w:rsidRPr="006F15BB">
        <w:rPr>
          <w:rFonts w:ascii="Book Antiqua" w:hAnsi="Book Antiqua" w:cs="Times New Roman"/>
          <w:lang w:val="en-GB"/>
        </w:rPr>
        <w:t xml:space="preserve">the </w:t>
      </w:r>
      <w:r w:rsidR="00B65F76" w:rsidRPr="006F15BB">
        <w:rPr>
          <w:rFonts w:ascii="Book Antiqua" w:hAnsi="Book Antiqua" w:cs="Times New Roman"/>
          <w:lang w:val="en-GB"/>
        </w:rPr>
        <w:t>American College of Surgeons</w:t>
      </w:r>
      <w:r w:rsidR="00436A47" w:rsidRPr="006F15BB">
        <w:rPr>
          <w:rFonts w:ascii="Book Antiqua" w:hAnsi="Book Antiqua" w:cs="Times New Roman"/>
          <w:lang w:val="en-GB"/>
        </w:rPr>
        <w:fldChar w:fldCharType="begin" w:fldLock="1"/>
      </w:r>
      <w:r w:rsidR="00E413D6" w:rsidRPr="006F15BB">
        <w:rPr>
          <w:rFonts w:ascii="Book Antiqua" w:hAnsi="Book Antiqua" w:cs="Times New Roman"/>
          <w:lang w:val="en-GB"/>
        </w:rPr>
        <w:instrText>ADDIN CSL_CITATION { "citationItems" : [ { "id" : "ITEM-1", "itemData" : { "author" : [ { "dropping-particle" : "", "family" : "American College of Surgeons", "given" : "", "non-dropping-particle" : "", "parse-names" : false, "suffix" : "" } ], "container-title" : "Bulletin of the American College of Surgeons", "id" : "ITEM-1", "issued" : { "date-parts" : [ [ "2014" ] ] }, "page" : "42-43", "title" : "Statement on advance directives by patients: \"do not resuscitate\" in the operating room", "type" : "article-journal", "volume" : "99" }, "uris" : [ "http://www.mendeley.com/documents/?uuid=d5e60ff2-edc1-4650-bc23-f556bedb2c2b" ] } ], "mendeley" : { "formattedCitation" : "&lt;sup&gt;[&lt;sup&gt;24&lt;/sup&gt;]&lt;/sup&gt;", "plainTextFormattedCitation" : "[24]", "previouslyFormattedCitation" : "&lt;sup&gt;[&lt;sup&gt;24&lt;/sup&gt;]&lt;/sup&gt;" }, "properties" : { "noteIndex" : 12 }, "schema" : "https://github.com/citation-style-language/schema/raw/master/csl-citation.json" }</w:instrText>
      </w:r>
      <w:r w:rsidR="00436A47" w:rsidRPr="006F15BB">
        <w:rPr>
          <w:rFonts w:ascii="Book Antiqua" w:hAnsi="Book Antiqua" w:cs="Times New Roman"/>
          <w:lang w:val="en-GB"/>
        </w:rPr>
        <w:fldChar w:fldCharType="separate"/>
      </w:r>
      <w:r w:rsidR="00E413D6" w:rsidRPr="006F15BB">
        <w:rPr>
          <w:rFonts w:ascii="Book Antiqua" w:hAnsi="Book Antiqua" w:cs="Times New Roman"/>
          <w:noProof/>
          <w:vertAlign w:val="superscript"/>
          <w:lang w:val="en-GB"/>
        </w:rPr>
        <w:t>[24]</w:t>
      </w:r>
      <w:r w:rsidR="00436A47" w:rsidRPr="006F15BB">
        <w:rPr>
          <w:rFonts w:ascii="Book Antiqua" w:hAnsi="Book Antiqua" w:cs="Times New Roman"/>
          <w:lang w:val="en-GB"/>
        </w:rPr>
        <w:fldChar w:fldCharType="end"/>
      </w:r>
      <w:r w:rsidR="00B65F76" w:rsidRPr="006F15BB">
        <w:rPr>
          <w:rFonts w:ascii="Book Antiqua" w:hAnsi="Book Antiqua" w:cs="Times New Roman"/>
          <w:lang w:val="en-GB"/>
        </w:rPr>
        <w:t xml:space="preserve"> and America</w:t>
      </w:r>
      <w:r w:rsidR="00E94295" w:rsidRPr="006F15BB">
        <w:rPr>
          <w:rFonts w:ascii="Book Antiqua" w:hAnsi="Book Antiqua" w:cs="Times New Roman"/>
          <w:lang w:val="en-GB"/>
        </w:rPr>
        <w:t xml:space="preserve">n Society of </w:t>
      </w:r>
      <w:proofErr w:type="spellStart"/>
      <w:r w:rsidR="00E94295" w:rsidRPr="006F15BB">
        <w:rPr>
          <w:rFonts w:ascii="Book Antiqua" w:hAnsi="Book Antiqua" w:cs="Times New Roman"/>
          <w:lang w:val="en-GB"/>
        </w:rPr>
        <w:t>Anesthesiologists</w:t>
      </w:r>
      <w:proofErr w:type="spellEnd"/>
      <w:r w:rsidR="00436A47" w:rsidRPr="006F15BB">
        <w:rPr>
          <w:rFonts w:ascii="Book Antiqua" w:hAnsi="Book Antiqua" w:cs="Times New Roman"/>
          <w:lang w:val="en-GB"/>
        </w:rPr>
        <w:fldChar w:fldCharType="begin" w:fldLock="1"/>
      </w:r>
      <w:r w:rsidR="00E413D6" w:rsidRPr="006F15BB">
        <w:rPr>
          <w:rFonts w:ascii="Book Antiqua" w:hAnsi="Book Antiqua" w:cs="Times New Roman"/>
          <w:lang w:val="en-GB"/>
        </w:rPr>
        <w:instrText>ADDIN CSL_CITATION { "citationItems" : [ { "id" : "ITEM-1", "itemData" : { "author" : [ { "dropping-particle" : "", "family" : "American Society of Anesthesiologists.", "given" : "", "non-dropping-particle" : "", "parse-names" : false, "suffix" : "" } ], "id" : "ITEM-1", "issued" : { "date-parts" : [ [ "2013" ] ] }, "title" : "Ethical guidelines for the anesthesia care of patients with do-not-resuscitate orders or other directives that limit treatment", "type" : "article-journal" }, "uris" : [ "http://www.mendeley.com/documents/?uuid=86acda3c-29b1-4029-8652-00aa533eeb8e" ] } ], "mendeley" : { "formattedCitation" : "&lt;sup&gt;[&lt;sup&gt;7&lt;/sup&gt;]&lt;/sup&gt;", "plainTextFormattedCitation" : "[7]", "previouslyFormattedCitation" : "&lt;sup&gt;[&lt;sup&gt;7&lt;/sup&gt;]&lt;/sup&gt;" }, "properties" : { "noteIndex" : 12 }, "schema" : "https://github.com/citation-style-language/schema/raw/master/csl-citation.json" }</w:instrText>
      </w:r>
      <w:r w:rsidR="00436A47" w:rsidRPr="006F15BB">
        <w:rPr>
          <w:rFonts w:ascii="Book Antiqua" w:hAnsi="Book Antiqua" w:cs="Times New Roman"/>
          <w:lang w:val="en-GB"/>
        </w:rPr>
        <w:fldChar w:fldCharType="separate"/>
      </w:r>
      <w:r w:rsidR="00E413D6" w:rsidRPr="006F15BB">
        <w:rPr>
          <w:rFonts w:ascii="Book Antiqua" w:hAnsi="Book Antiqua" w:cs="Times New Roman"/>
          <w:noProof/>
          <w:vertAlign w:val="superscript"/>
          <w:lang w:val="en-GB"/>
        </w:rPr>
        <w:t>[7]</w:t>
      </w:r>
      <w:r w:rsidR="00436A47" w:rsidRPr="006F15BB">
        <w:rPr>
          <w:rFonts w:ascii="Book Antiqua" w:hAnsi="Book Antiqua" w:cs="Times New Roman"/>
          <w:lang w:val="en-GB"/>
        </w:rPr>
        <w:fldChar w:fldCharType="end"/>
      </w:r>
      <w:r w:rsidR="00B65F76" w:rsidRPr="006F15BB">
        <w:rPr>
          <w:rFonts w:ascii="Book Antiqua" w:hAnsi="Book Antiqua" w:cs="Times New Roman"/>
          <w:lang w:val="en-GB"/>
        </w:rPr>
        <w:t xml:space="preserve"> have produced </w:t>
      </w:r>
      <w:r w:rsidR="00C048B1" w:rsidRPr="006F15BB">
        <w:rPr>
          <w:rFonts w:ascii="Book Antiqua" w:hAnsi="Book Antiqua" w:cs="Times New Roman"/>
          <w:lang w:val="en-GB"/>
        </w:rPr>
        <w:t>consensus</w:t>
      </w:r>
      <w:r w:rsidRPr="006F15BB">
        <w:rPr>
          <w:rFonts w:ascii="Book Antiqua" w:hAnsi="Book Antiqua" w:cs="Times New Roman"/>
          <w:lang w:val="en-GB"/>
        </w:rPr>
        <w:t xml:space="preserve"> statement</w:t>
      </w:r>
      <w:r w:rsidR="00732DCF" w:rsidRPr="006F15BB">
        <w:rPr>
          <w:rFonts w:ascii="Book Antiqua" w:hAnsi="Book Antiqua" w:cs="Times New Roman"/>
          <w:lang w:val="en-GB"/>
        </w:rPr>
        <w:t>s</w:t>
      </w:r>
      <w:r w:rsidRPr="006F15BB">
        <w:rPr>
          <w:rFonts w:ascii="Book Antiqua" w:hAnsi="Book Antiqua" w:cs="Times New Roman"/>
          <w:lang w:val="en-GB"/>
        </w:rPr>
        <w:t xml:space="preserve"> to guide perioperative </w:t>
      </w:r>
      <w:r w:rsidR="00732DCF" w:rsidRPr="006F15BB">
        <w:rPr>
          <w:rFonts w:ascii="Book Antiqua" w:hAnsi="Book Antiqua" w:cs="Times New Roman"/>
          <w:lang w:val="en-GB"/>
        </w:rPr>
        <w:t xml:space="preserve">management of </w:t>
      </w:r>
      <w:r w:rsidRPr="006F15BB">
        <w:rPr>
          <w:rFonts w:ascii="Book Antiqua" w:hAnsi="Book Antiqua" w:cs="Times New Roman"/>
          <w:lang w:val="en-GB"/>
        </w:rPr>
        <w:t>DNR status</w:t>
      </w:r>
      <w:r w:rsidR="004A01B0" w:rsidRPr="006F15BB">
        <w:rPr>
          <w:rFonts w:ascii="Book Antiqua" w:hAnsi="Book Antiqua" w:cs="Times New Roman"/>
          <w:lang w:val="en-GB"/>
        </w:rPr>
        <w:t>. These emphasize communication and individualized</w:t>
      </w:r>
      <w:r w:rsidR="00513FAD" w:rsidRPr="006F15BB">
        <w:rPr>
          <w:rFonts w:ascii="Book Antiqua" w:hAnsi="Book Antiqua" w:cs="Times New Roman"/>
          <w:lang w:val="en-GB"/>
        </w:rPr>
        <w:t xml:space="preserve"> management plans, </w:t>
      </w:r>
      <w:r w:rsidR="004A01B0" w:rsidRPr="006F15BB">
        <w:rPr>
          <w:rFonts w:ascii="Book Antiqua" w:hAnsi="Book Antiqua" w:cs="Times New Roman"/>
          <w:lang w:val="en-GB"/>
        </w:rPr>
        <w:t>includ</w:t>
      </w:r>
      <w:r w:rsidR="004633BE" w:rsidRPr="006F15BB">
        <w:rPr>
          <w:rFonts w:ascii="Book Antiqua" w:hAnsi="Book Antiqua" w:cs="Times New Roman"/>
          <w:lang w:val="en-GB"/>
        </w:rPr>
        <w:t>ing</w:t>
      </w:r>
      <w:r w:rsidR="004A01B0" w:rsidRPr="006F15BB">
        <w:rPr>
          <w:rFonts w:ascii="Book Antiqua" w:hAnsi="Book Antiqua" w:cs="Times New Roman"/>
          <w:lang w:val="en-GB"/>
        </w:rPr>
        <w:t xml:space="preserve"> </w:t>
      </w:r>
      <w:r w:rsidR="00513FAD" w:rsidRPr="006F15BB">
        <w:rPr>
          <w:rFonts w:ascii="Book Antiqua" w:hAnsi="Book Antiqua" w:cs="Times New Roman"/>
          <w:lang w:val="en-GB"/>
        </w:rPr>
        <w:t>suspend</w:t>
      </w:r>
      <w:r w:rsidR="002E3164" w:rsidRPr="006F15BB">
        <w:rPr>
          <w:rFonts w:ascii="Book Antiqua" w:hAnsi="Book Antiqua" w:cs="Times New Roman"/>
          <w:lang w:val="en-GB"/>
        </w:rPr>
        <w:t>ing</w:t>
      </w:r>
      <w:r w:rsidR="0059079E" w:rsidRPr="006F15BB">
        <w:rPr>
          <w:rFonts w:ascii="Book Antiqua" w:hAnsi="Book Antiqua" w:cs="Times New Roman"/>
          <w:lang w:val="en-GB"/>
        </w:rPr>
        <w:t>,</w:t>
      </w:r>
      <w:r w:rsidR="00513FAD" w:rsidRPr="006F15BB">
        <w:rPr>
          <w:rFonts w:ascii="Book Antiqua" w:hAnsi="Book Antiqua" w:cs="Times New Roman"/>
          <w:lang w:val="en-GB"/>
        </w:rPr>
        <w:t xml:space="preserve"> </w:t>
      </w:r>
      <w:r w:rsidR="00A13F46" w:rsidRPr="006F15BB">
        <w:rPr>
          <w:rFonts w:ascii="Book Antiqua" w:hAnsi="Book Antiqua" w:cs="Times New Roman"/>
          <w:lang w:val="en-GB"/>
        </w:rPr>
        <w:t>then reinstating</w:t>
      </w:r>
      <w:r w:rsidR="00513FAD" w:rsidRPr="006F15BB">
        <w:rPr>
          <w:rFonts w:ascii="Book Antiqua" w:hAnsi="Book Antiqua" w:cs="Times New Roman"/>
          <w:lang w:val="en-GB"/>
        </w:rPr>
        <w:t xml:space="preserve"> DNR status </w:t>
      </w:r>
      <w:r w:rsidR="002E3164" w:rsidRPr="006F15BB">
        <w:rPr>
          <w:rFonts w:ascii="Book Antiqua" w:hAnsi="Book Antiqua" w:cs="Times New Roman"/>
          <w:lang w:val="en-GB"/>
        </w:rPr>
        <w:t>post</w:t>
      </w:r>
      <w:r w:rsidR="00772635">
        <w:rPr>
          <w:rFonts w:ascii="Book Antiqua" w:hAnsi="Book Antiqua" w:cs="Times New Roman"/>
          <w:lang w:val="en-GB"/>
        </w:rPr>
        <w:t>-</w:t>
      </w:r>
      <w:r w:rsidR="002E3164" w:rsidRPr="006F15BB">
        <w:rPr>
          <w:rFonts w:ascii="Book Antiqua" w:hAnsi="Book Antiqua" w:cs="Times New Roman"/>
          <w:lang w:val="en-GB"/>
        </w:rPr>
        <w:t xml:space="preserve">operatively, </w:t>
      </w:r>
      <w:r w:rsidR="006D2270" w:rsidRPr="006F15BB">
        <w:rPr>
          <w:rFonts w:ascii="Book Antiqua" w:hAnsi="Book Antiqua" w:cs="Times New Roman"/>
          <w:lang w:val="en-GB"/>
        </w:rPr>
        <w:t xml:space="preserve">if </w:t>
      </w:r>
      <w:r w:rsidR="00513FAD" w:rsidRPr="006F15BB">
        <w:rPr>
          <w:rFonts w:ascii="Book Antiqua" w:hAnsi="Book Antiqua" w:cs="Times New Roman"/>
          <w:lang w:val="en-GB"/>
        </w:rPr>
        <w:t>in accordance with a patient’s wishes.</w:t>
      </w:r>
    </w:p>
    <w:p w14:paraId="04CD0EAB" w14:textId="77777777" w:rsidR="000F513E" w:rsidRPr="006F15BB" w:rsidRDefault="000F513E" w:rsidP="008E7BBF">
      <w:pPr>
        <w:adjustRightInd w:val="0"/>
        <w:snapToGrid w:val="0"/>
        <w:spacing w:line="360" w:lineRule="auto"/>
        <w:ind w:firstLine="720"/>
        <w:jc w:val="both"/>
        <w:rPr>
          <w:rFonts w:ascii="Book Antiqua" w:hAnsi="Book Antiqua" w:cs="Times New Roman"/>
          <w:lang w:val="en-GB"/>
        </w:rPr>
      </w:pPr>
      <w:r w:rsidRPr="006F15BB">
        <w:rPr>
          <w:rFonts w:ascii="Book Antiqua" w:hAnsi="Book Antiqua" w:cs="Times New Roman"/>
          <w:lang w:val="en-GB"/>
        </w:rPr>
        <w:t>The impact of DNR status on surgical outcomes has been e</w:t>
      </w:r>
      <w:r w:rsidR="00641966" w:rsidRPr="006F15BB">
        <w:rPr>
          <w:rFonts w:ascii="Book Antiqua" w:hAnsi="Book Antiqua" w:cs="Times New Roman"/>
          <w:lang w:val="en-GB"/>
        </w:rPr>
        <w:t>xamined previously in the wider surgical cohort and in specific specialty groups such as patients undergoing vascular surgery</w:t>
      </w:r>
      <w:r w:rsidR="00436A47" w:rsidRPr="006F15BB">
        <w:rPr>
          <w:rFonts w:ascii="Book Antiqua" w:hAnsi="Book Antiqua" w:cs="Times New Roman"/>
          <w:lang w:val="en-GB"/>
        </w:rPr>
        <w:fldChar w:fldCharType="begin" w:fldLock="1"/>
      </w:r>
      <w:r w:rsidR="00C2761D" w:rsidRPr="006F15BB">
        <w:rPr>
          <w:rFonts w:ascii="Book Antiqua" w:hAnsi="Book Antiqua" w:cs="Times New Roman"/>
          <w:lang w:val="en-GB"/>
        </w:rPr>
        <w:instrText>ADDIN CSL_CITATION { "citationItems" : [ { "id" : "ITEM-1", "itemData" : { "DOI" : "10.1001/archsurg.2011.69", "ISSN" : "0004-0010", "abstract" : "Objective To evaluate outcomes of patients who undergo surgery with a do-not-resuscitate (DNR) order. Design Retrospective cohort study. Setting More than 120 hospitals participating in the American College of Surgeons National Surgical Quality Improvement Program from 2005 to 2008. Patients There were 4128 adult DNR patients and 4128 age-matched and procedure-matched non-DNR patients. Main Outcome Measures Outcomes were occurrence of 1 or more postoperative complications, reoperation, death within 30 days of surgery, total time in the operating room, and length of stay. The \u03c72 test was used for categorical variables and t and Wilcoxon tests were used for continuous variables. Multivariate logistic regression was done to determine independent risk factors associated with mortality in DNR patients. Results Most DNR patients were white (81.5%), female (58.2%), and elderly (mean age, 79 years). Compared with non-DNR patients, DNR patients experienced longer length of stay (36% increase; P &lt; .001) and higher complication (26.4% vs 31%; P &lt; .001) and mortality (8.4% vs 23.1%; P &lt; .001) rates. Nearly 63% of DNR patients underwent nonemergent procedures; they sustained a 16.6% mortality rate. After risk adjustment, DNR status remained an independent predictor of mortality (odds ratio, 2.2; 95% confidence interval, 1.8-2.8). American Society of Anesthesiologists class 3 to 5, age older than 65 years, and preoperative sepsis were among independent risk factors associated with mortality in DNR patients. Conclusions Surgical patients with DNR orders have significant comorbidities; many sustain postoperative complications, and nearly 1 in 4 die within 30 days of surgery. Do-not-resuscitate status appears to be an independent risk factor for poor surgical outcome.", "author" : [ { "dropping-particle" : "", "family" : "Kazaure", "given" : "Hadiza", "non-dropping-particle" : "", "parse-names" : false, "suffix" : "" }, { "dropping-particle" : "", "family" : "Roman", "given" : "Sanziana", "non-dropping-particle" : "", "parse-names" : false, "suffix" : "" }, { "dropping-particle" : "", "family" : "Sosa", "given" : "Julie A.", "non-dropping-particle" : "", "parse-names" : false, "suffix" : "" } ], "container-title" : "Archives of Surgery", "id" : "ITEM-1", "issue" : "8", "issued" : { "date-parts" : [ [ "2011", "8", "1" ] ] }, "page" : "922", "publisher" : "American Medical Association", "title" : "High Mortality in Surgical Patients With Do-Not-Resuscitate Orders", "type" : "article-journal", "volume" : "146" }, "uris" : [ "http://www.mendeley.com/documents/?uuid=fd1db2dd-8c1c-30df-ab35-dd643363aa4a" ] }, { "id" : "ITEM-2", "itemData" : { "DOI" : "10.1016/j.jvs.2014.11.087", "ISBN" : "0741-5214", "ISSN" : "10976809", "PMID" : "25704406", "abstract" : "Background Do-not-resuscitate (DNR) orders allow patients to communicate their wishes regarding cardiopulmonary resuscitation. Although DNR status may influence physician decision making regarding resuscitation, the effect of DNR status on outcomes of patients undergoing emergency vascular operation remains unknown. The aim of this study was to analyze the effect of DNR status on the outcomes of emergency vascular surgery. Methods The National Surgical Quality Improvement Program database was queried to identify all patients requiring emergency vascular surgical interventions between 2005 and 2010. Demographics, clinical data, and outcomes were extracted. Patients were compared according to DNR status. The primary outcome measure was 30-day mortality. Results During the study period, 16,678 patients underwent emergency vascular operations (10.8% of the total vascular surgery population). Of those, 548 patients (3.3%) had a DNR status. The differences in rates of open or endovascular repair or of intraoperative blood requirement between the two groups were not significant. After adjusting for differences in demographics and clinical data, DNR patients were more likely to have higher rates of graft failure (8.7% vs 2.4%; adjusted P &lt;.01) and failure to wean from mechanical ventilation (14.9 % vs 9.9%; adjusted P &lt;.001). DNR status was associated with a 2.5-fold rise in 30-day mortality (35.0% vs 14.0%; 95% confidence interval, 1.7-2.9; adjusted P &lt;.001). Conclusions The presence of a DNR order was independently associated with mortality. Patient and family counseling on surgical expectations before emergency vascular operations is warranted because the risks of perioperative events are significantly elevated when a DNR order exists.", "author" : [ { "dropping-particle" : "", "family" : "Aziz", "given" : "Hassan", "non-dropping-particle" : "", "parse-names" : false, "suffix" : "" }, { "dropping-particle" : "", "family" : "Branco", "given" : "Bernardino C.", "non-dropping-particle" : "", "parse-names" : false, "suffix" : "" }, { "dropping-particle" : "", "family" : "Braun", "given" : "Jonathan", "non-dropping-particle" : "", "parse-names" : false, "suffix" : "" }, { "dropping-particle" : "", "family" : "Hughes", "given" : "John D.", "non-dropping-particle" : "", "parse-names" : false, "suffix" : "" }, { "dropping-particle" : "", "family" : "Goshima", "given" : "Kay R.", "non-dropping-particle" : "", "parse-names" : false, "suffix" : "" }, { "dropping-particle" : "", "family" : "Trinidad-Hernandez", "given" : "Magdiel", "non-dropping-particle" : "", "parse-names" : false, "suffix" : "" }, { "dropping-particle" : "", "family" : "Hunter", "given" : "Glenn", "non-dropping-particle" : "", "parse-names" : false, "suffix" : "" }, { "dropping-particle" : "", "family" : "Mills", "given" : "Joseph L.", "non-dropping-particle" : "", "parse-names" : false, "suffix" : "" } ], "container-title" : "Journal of Vascular Surgery", "id" : "ITEM-2", "issue" : "6", "issued" : { "date-parts" : [ [ "2015", "6" ] ] }, "page" : "1538-1542", "title" : "The influence of do-not-resuscitate status on the outcomes of patients undergoing emergency vascular operations", "type" : "article-journal", "volume" : "61" }, "uris" : [ "http://www.mendeley.com/documents/?uuid=f9989ca2-3674-30cb-993b-43047e474342" ] } ], "mendeley" : { "formattedCitation" : "&lt;sup&gt;[&lt;sup&gt;25&lt;/sup&gt;, &lt;sup&gt;26&lt;/sup&gt;]&lt;/sup&gt;", "plainTextFormattedCitation" : "[25, 26]", "previouslyFormattedCitation" : "&lt;sup&gt;[&lt;sup&gt;25&lt;/sup&gt;, &lt;sup&gt;26&lt;/sup&gt;]&lt;/sup&gt;" }, "properties" : { "noteIndex" : 0 }, "schema" : "https://github.com/citation-style-language/schema/raw/master/csl-citation.json" }</w:instrText>
      </w:r>
      <w:r w:rsidR="00436A47" w:rsidRPr="006F15BB">
        <w:rPr>
          <w:rFonts w:ascii="Book Antiqua" w:hAnsi="Book Antiqua" w:cs="Times New Roman"/>
          <w:lang w:val="en-GB"/>
        </w:rPr>
        <w:fldChar w:fldCharType="separate"/>
      </w:r>
      <w:r w:rsidR="00457D69">
        <w:rPr>
          <w:rFonts w:ascii="Book Antiqua" w:hAnsi="Book Antiqua" w:cs="Times New Roman"/>
          <w:noProof/>
          <w:vertAlign w:val="superscript"/>
          <w:lang w:val="en-GB"/>
        </w:rPr>
        <w:t>[25,</w:t>
      </w:r>
      <w:r w:rsidR="0052176A" w:rsidRPr="006F15BB">
        <w:rPr>
          <w:rFonts w:ascii="Book Antiqua" w:hAnsi="Book Antiqua" w:cs="Times New Roman"/>
          <w:noProof/>
          <w:vertAlign w:val="superscript"/>
          <w:lang w:val="en-GB"/>
        </w:rPr>
        <w:t>26]</w:t>
      </w:r>
      <w:r w:rsidR="00436A47" w:rsidRPr="006F15BB">
        <w:rPr>
          <w:rFonts w:ascii="Book Antiqua" w:hAnsi="Book Antiqua" w:cs="Times New Roman"/>
          <w:lang w:val="en-GB"/>
        </w:rPr>
        <w:fldChar w:fldCharType="end"/>
      </w:r>
      <w:r w:rsidR="00641966" w:rsidRPr="006F15BB">
        <w:rPr>
          <w:rFonts w:ascii="Book Antiqua" w:hAnsi="Book Antiqua" w:cs="Times New Roman"/>
          <w:lang w:val="en-GB"/>
        </w:rPr>
        <w:t xml:space="preserve">. </w:t>
      </w:r>
      <w:proofErr w:type="spellStart"/>
      <w:r w:rsidR="00641966" w:rsidRPr="006F15BB">
        <w:rPr>
          <w:rFonts w:ascii="Book Antiqua" w:hAnsi="Book Antiqua" w:cs="Times New Roman"/>
          <w:lang w:val="en-GB"/>
        </w:rPr>
        <w:t>Kazaure</w:t>
      </w:r>
      <w:proofErr w:type="spellEnd"/>
      <w:r w:rsidR="00641966" w:rsidRPr="006F15BB">
        <w:rPr>
          <w:rFonts w:ascii="Book Antiqua" w:hAnsi="Book Antiqua" w:cs="Times New Roman"/>
          <w:lang w:val="en-GB"/>
        </w:rPr>
        <w:t xml:space="preserve"> </w:t>
      </w:r>
      <w:r w:rsidR="00772635" w:rsidRPr="00772635">
        <w:rPr>
          <w:rFonts w:ascii="Book Antiqua" w:hAnsi="Book Antiqua" w:cs="Times New Roman"/>
          <w:i/>
          <w:lang w:val="en-GB"/>
        </w:rPr>
        <w:t>et al</w:t>
      </w:r>
      <w:r w:rsidR="00436A47" w:rsidRPr="006F15BB">
        <w:rPr>
          <w:rFonts w:ascii="Book Antiqua" w:hAnsi="Book Antiqua" w:cs="Times New Roman"/>
          <w:lang w:val="en-GB"/>
        </w:rPr>
        <w:fldChar w:fldCharType="begin" w:fldLock="1"/>
      </w:r>
      <w:r w:rsidR="00E413D6" w:rsidRPr="006F15BB">
        <w:rPr>
          <w:rFonts w:ascii="Book Antiqua" w:hAnsi="Book Antiqua" w:cs="Times New Roman"/>
          <w:lang w:val="en-GB"/>
        </w:rPr>
        <w:instrText>ADDIN CSL_CITATION { "citationItems" : [ { "id" : "ITEM-1", "itemData" : { "DOI" : "10.1001/archsurg.2011.69", "ISSN" : "0004-0010", "abstract" : "Objective To evaluate outcomes of patients who undergo surgery with a do-not-resuscitate (DNR) order. Design Retrospective cohort study. Setting More than 120 hospitals participating in the American College of Surgeons National Surgical Quality Improvement Program from 2005 to 2008. Patients There were 4128 adult DNR patients and 4128 age-matched and procedure-matched non-DNR patients. Main Outcome Measures Outcomes were occurrence of 1 or more postoperative complications, reoperation, death within 30 days of surgery, total time in the operating room, and length of stay. The \u03c72 test was used for categorical variables and t and Wilcoxon tests were used for continuous variables. Multivariate logistic regression was done to determine independent risk factors associated with mortality in DNR patients. Results Most DNR patients were white (81.5%), female (58.2%), and elderly (mean age, 79 years). Compared with non-DNR patients, DNR patients experienced longer length of stay (36% increase; P &lt; .001) and higher complication (26.4% vs 31%; P &lt; .001) and mortality (8.4% vs 23.1%; P &lt; .001) rates. Nearly 63% of DNR patients underwent nonemergent procedures; they sustained a 16.6% mortality rate. After risk adjustment, DNR status remained an independent predictor of mortality (odds ratio, 2.2; 95% confidence interval, 1.8-2.8). American Society of Anesthesiologists class 3 to 5, age older than 65 years, and preoperative sepsis were among independent risk factors associated with mortality in DNR patients. Conclusions Surgical patients with DNR orders have significant comorbidities; many sustain postoperative complications, and nearly 1 in 4 die within 30 days of surgery. Do-not-resuscitate status appears to be an independent risk factor for poor surgical outcome.", "author" : [ { "dropping-particle" : "", "family" : "Kazaure", "given" : "Hadiza", "non-dropping-particle" : "", "parse-names" : false, "suffix" : "" }, { "dropping-particle" : "", "family" : "Roman", "given" : "Sanziana", "non-dropping-particle" : "", "parse-names" : false, "suffix" : "" }, { "dropping-particle" : "", "family" : "Sosa", "given" : "Julie A.", "non-dropping-particle" : "", "parse-names" : false, "suffix" : "" } ], "container-title" : "Archives of Surgery", "id" : "ITEM-1", "issue" : "8", "issued" : { "date-parts" : [ [ "2011", "8", "1" ] ] }, "page" : "922", "publisher" : "American Medical Association", "title" : "High Mortality in Surgical Patients With Do-Not-Resuscitate Orders", "type" : "article-journal", "volume" : "146" }, "uris" : [ "http://www.mendeley.com/documents/?uuid=fd1db2dd-8c1c-30df-ab35-dd643363aa4a" ] } ], "mendeley" : { "formattedCitation" : "&lt;sup&gt;[&lt;sup&gt;25&lt;/sup&gt;]&lt;/sup&gt;", "plainTextFormattedCitation" : "[25]", "previouslyFormattedCitation" : "&lt;sup&gt;[&lt;sup&gt;25&lt;/sup&gt;]&lt;/sup&gt;" }, "properties" : { "noteIndex" : 12 }, "schema" : "https://github.com/citation-style-language/schema/raw/master/csl-citation.json" }</w:instrText>
      </w:r>
      <w:r w:rsidR="00436A47" w:rsidRPr="006F15BB">
        <w:rPr>
          <w:rFonts w:ascii="Book Antiqua" w:hAnsi="Book Antiqua" w:cs="Times New Roman"/>
          <w:lang w:val="en-GB"/>
        </w:rPr>
        <w:fldChar w:fldCharType="separate"/>
      </w:r>
      <w:r w:rsidR="00E413D6" w:rsidRPr="006F15BB">
        <w:rPr>
          <w:rFonts w:ascii="Book Antiqua" w:hAnsi="Book Antiqua" w:cs="Times New Roman"/>
          <w:noProof/>
          <w:vertAlign w:val="superscript"/>
          <w:lang w:val="en-GB"/>
        </w:rPr>
        <w:t>[25]</w:t>
      </w:r>
      <w:r w:rsidR="00436A47" w:rsidRPr="006F15BB">
        <w:rPr>
          <w:rFonts w:ascii="Book Antiqua" w:hAnsi="Book Antiqua" w:cs="Times New Roman"/>
          <w:lang w:val="en-GB"/>
        </w:rPr>
        <w:fldChar w:fldCharType="end"/>
      </w:r>
      <w:r w:rsidR="00641966" w:rsidRPr="006F15BB">
        <w:rPr>
          <w:rFonts w:ascii="Book Antiqua" w:hAnsi="Book Antiqua" w:cs="Times New Roman"/>
          <w:lang w:val="en-GB"/>
        </w:rPr>
        <w:t xml:space="preserve"> demonstrated </w:t>
      </w:r>
      <w:r w:rsidR="00041EA7" w:rsidRPr="006F15BB">
        <w:rPr>
          <w:rFonts w:ascii="Book Antiqua" w:hAnsi="Book Antiqua" w:cs="Times New Roman"/>
          <w:lang w:val="en-GB"/>
        </w:rPr>
        <w:t>similar patient associations with having DNR status (white, female, &gt;</w:t>
      </w:r>
      <w:r w:rsidR="00457D69">
        <w:rPr>
          <w:rFonts w:ascii="Book Antiqua" w:hAnsi="Book Antiqua" w:cs="Times New Roman" w:hint="eastAsia"/>
          <w:lang w:val="en-GB" w:eastAsia="zh-CN"/>
        </w:rPr>
        <w:t xml:space="preserve"> </w:t>
      </w:r>
      <w:r w:rsidR="00041EA7" w:rsidRPr="006F15BB">
        <w:rPr>
          <w:rFonts w:ascii="Book Antiqua" w:hAnsi="Book Antiqua" w:cs="Times New Roman"/>
          <w:lang w:val="en-GB"/>
        </w:rPr>
        <w:t xml:space="preserve">85) and </w:t>
      </w:r>
      <w:r w:rsidR="00B547E3" w:rsidRPr="006F15BB">
        <w:rPr>
          <w:rFonts w:ascii="Book Antiqua" w:hAnsi="Book Antiqua" w:cs="Times New Roman"/>
          <w:lang w:val="en-GB"/>
        </w:rPr>
        <w:t xml:space="preserve">also </w:t>
      </w:r>
      <w:r w:rsidR="00041EA7" w:rsidRPr="006F15BB">
        <w:rPr>
          <w:rFonts w:ascii="Book Antiqua" w:hAnsi="Book Antiqua" w:cs="Times New Roman"/>
          <w:lang w:val="en-GB"/>
        </w:rPr>
        <w:t xml:space="preserve">demonstrated </w:t>
      </w:r>
      <w:r w:rsidR="00641966" w:rsidRPr="006F15BB">
        <w:rPr>
          <w:rFonts w:ascii="Book Antiqua" w:hAnsi="Book Antiqua" w:cs="Times New Roman"/>
          <w:lang w:val="en-GB"/>
        </w:rPr>
        <w:t xml:space="preserve">high mortality </w:t>
      </w:r>
      <w:r w:rsidR="00041EA7" w:rsidRPr="006F15BB">
        <w:rPr>
          <w:rFonts w:ascii="Book Antiqua" w:hAnsi="Book Antiqua" w:cs="Times New Roman"/>
          <w:lang w:val="en-GB"/>
        </w:rPr>
        <w:t xml:space="preserve">(nearly 1 in 4) </w:t>
      </w:r>
      <w:r w:rsidR="00641966" w:rsidRPr="006F15BB">
        <w:rPr>
          <w:rFonts w:ascii="Book Antiqua" w:hAnsi="Book Antiqua" w:cs="Times New Roman"/>
          <w:lang w:val="en-GB"/>
        </w:rPr>
        <w:t>in su</w:t>
      </w:r>
      <w:r w:rsidR="00041EA7" w:rsidRPr="006F15BB">
        <w:rPr>
          <w:rFonts w:ascii="Book Antiqua" w:hAnsi="Book Antiqua" w:cs="Times New Roman"/>
          <w:lang w:val="en-GB"/>
        </w:rPr>
        <w:t>rgical patients with DNR status.</w:t>
      </w:r>
      <w:r w:rsidR="00641966" w:rsidRPr="006F15BB">
        <w:rPr>
          <w:rFonts w:ascii="Book Antiqua" w:hAnsi="Book Antiqua" w:cs="Times New Roman"/>
          <w:lang w:val="en-GB"/>
        </w:rPr>
        <w:t xml:space="preserve"> </w:t>
      </w:r>
      <w:r w:rsidR="00041EA7" w:rsidRPr="006F15BB">
        <w:rPr>
          <w:rFonts w:ascii="Book Antiqua" w:hAnsi="Book Antiqua" w:cs="Times New Roman"/>
          <w:lang w:val="en-GB"/>
        </w:rPr>
        <w:t>However</w:t>
      </w:r>
      <w:r w:rsidR="00DC0589" w:rsidRPr="006F15BB">
        <w:rPr>
          <w:rFonts w:ascii="Book Antiqua" w:hAnsi="Book Antiqua" w:cs="Times New Roman"/>
          <w:lang w:val="en-GB"/>
        </w:rPr>
        <w:t>,</w:t>
      </w:r>
      <w:r w:rsidR="00041EA7" w:rsidRPr="006F15BB">
        <w:rPr>
          <w:rFonts w:ascii="Book Antiqua" w:hAnsi="Book Antiqua" w:cs="Times New Roman"/>
          <w:lang w:val="en-GB"/>
        </w:rPr>
        <w:t xml:space="preserve"> in contrast</w:t>
      </w:r>
      <w:r w:rsidR="00145DFB" w:rsidRPr="006F15BB">
        <w:rPr>
          <w:rFonts w:ascii="Book Antiqua" w:hAnsi="Book Antiqua" w:cs="Times New Roman"/>
          <w:lang w:val="en-GB"/>
        </w:rPr>
        <w:t xml:space="preserve"> to our findings</w:t>
      </w:r>
      <w:r w:rsidR="00041EA7" w:rsidRPr="006F15BB">
        <w:rPr>
          <w:rFonts w:ascii="Book Antiqua" w:hAnsi="Book Antiqua" w:cs="Times New Roman"/>
          <w:lang w:val="en-GB"/>
        </w:rPr>
        <w:t>, they demonstrated significantly higher morbidity rates in DNR vs non DNR</w:t>
      </w:r>
      <w:r w:rsidR="00B547E3" w:rsidRPr="006F15BB">
        <w:rPr>
          <w:rFonts w:ascii="Book Antiqua" w:hAnsi="Book Antiqua" w:cs="Times New Roman"/>
          <w:lang w:val="en-GB"/>
        </w:rPr>
        <w:t xml:space="preserve"> patients</w:t>
      </w:r>
      <w:r w:rsidR="00DC0589" w:rsidRPr="006F15BB">
        <w:rPr>
          <w:rFonts w:ascii="Book Antiqua" w:hAnsi="Book Antiqua" w:cs="Times New Roman"/>
          <w:lang w:val="en-GB"/>
        </w:rPr>
        <w:t>. These</w:t>
      </w:r>
      <w:r w:rsidR="00145DFB" w:rsidRPr="006F15BB">
        <w:rPr>
          <w:rFonts w:ascii="Book Antiqua" w:hAnsi="Book Antiqua" w:cs="Times New Roman"/>
          <w:lang w:val="en-GB"/>
        </w:rPr>
        <w:t xml:space="preserve"> higher rates of morbidity</w:t>
      </w:r>
      <w:r w:rsidR="00041EA7" w:rsidRPr="006F15BB">
        <w:rPr>
          <w:rFonts w:ascii="Book Antiqua" w:hAnsi="Book Antiqua" w:cs="Times New Roman"/>
          <w:lang w:val="en-GB"/>
        </w:rPr>
        <w:t xml:space="preserve"> were not replicated in our </w:t>
      </w:r>
      <w:r w:rsidR="00B547E3" w:rsidRPr="006F15BB">
        <w:rPr>
          <w:rFonts w:ascii="Book Antiqua" w:hAnsi="Book Antiqua" w:cs="Times New Roman"/>
          <w:lang w:val="en-GB"/>
        </w:rPr>
        <w:t xml:space="preserve">hip fracture specific </w:t>
      </w:r>
      <w:r w:rsidR="00041EA7" w:rsidRPr="006F15BB">
        <w:rPr>
          <w:rFonts w:ascii="Book Antiqua" w:hAnsi="Book Antiqua" w:cs="Times New Roman"/>
          <w:lang w:val="en-GB"/>
        </w:rPr>
        <w:t xml:space="preserve">study, and therefore may </w:t>
      </w:r>
      <w:r w:rsidR="00145DFB" w:rsidRPr="006F15BB">
        <w:rPr>
          <w:rFonts w:ascii="Book Antiqua" w:hAnsi="Book Antiqua" w:cs="Times New Roman"/>
          <w:lang w:val="en-GB"/>
        </w:rPr>
        <w:t xml:space="preserve">imply </w:t>
      </w:r>
      <w:r w:rsidR="00041EA7" w:rsidRPr="006F15BB">
        <w:rPr>
          <w:rFonts w:ascii="Book Antiqua" w:hAnsi="Book Antiqua" w:cs="Times New Roman"/>
          <w:lang w:val="en-GB"/>
        </w:rPr>
        <w:t>that in</w:t>
      </w:r>
      <w:r w:rsidR="00DC0589" w:rsidRPr="006F15BB">
        <w:rPr>
          <w:rFonts w:ascii="Book Antiqua" w:hAnsi="Book Antiqua" w:cs="Times New Roman"/>
          <w:lang w:val="en-GB"/>
        </w:rPr>
        <w:t xml:space="preserve"> our</w:t>
      </w:r>
      <w:r w:rsidR="00041EA7" w:rsidRPr="006F15BB">
        <w:rPr>
          <w:rFonts w:ascii="Book Antiqua" w:hAnsi="Book Antiqua" w:cs="Times New Roman"/>
          <w:lang w:val="en-GB"/>
        </w:rPr>
        <w:t xml:space="preserve"> </w:t>
      </w:r>
      <w:proofErr w:type="spellStart"/>
      <w:r w:rsidR="00B547E3" w:rsidRPr="006F15BB">
        <w:rPr>
          <w:rFonts w:ascii="Book Antiqua" w:hAnsi="Book Antiqua" w:cs="Times New Roman"/>
          <w:lang w:val="en-GB"/>
        </w:rPr>
        <w:t>orthopedic</w:t>
      </w:r>
      <w:proofErr w:type="spellEnd"/>
      <w:r w:rsidR="00B547E3" w:rsidRPr="006F15BB">
        <w:rPr>
          <w:rFonts w:ascii="Book Antiqua" w:hAnsi="Book Antiqua" w:cs="Times New Roman"/>
          <w:lang w:val="en-GB"/>
        </w:rPr>
        <w:t xml:space="preserve"> </w:t>
      </w:r>
      <w:r w:rsidR="00DC0589" w:rsidRPr="006F15BB">
        <w:rPr>
          <w:rFonts w:ascii="Book Antiqua" w:hAnsi="Book Antiqua" w:cs="Times New Roman"/>
          <w:lang w:val="en-GB"/>
        </w:rPr>
        <w:t>cohort a DNR status did</w:t>
      </w:r>
      <w:r w:rsidR="00041EA7" w:rsidRPr="006F15BB">
        <w:rPr>
          <w:rFonts w:ascii="Book Antiqua" w:hAnsi="Book Antiqua" w:cs="Times New Roman"/>
          <w:lang w:val="en-GB"/>
        </w:rPr>
        <w:t xml:space="preserve"> not </w:t>
      </w:r>
      <w:r w:rsidR="00DC0589" w:rsidRPr="006F15BB">
        <w:rPr>
          <w:rFonts w:ascii="Book Antiqua" w:hAnsi="Book Antiqua" w:cs="Times New Roman"/>
          <w:lang w:val="en-GB"/>
        </w:rPr>
        <w:t xml:space="preserve">negatively </w:t>
      </w:r>
      <w:r w:rsidR="00041EA7" w:rsidRPr="006F15BB">
        <w:rPr>
          <w:rFonts w:ascii="Book Antiqua" w:hAnsi="Book Antiqua" w:cs="Times New Roman"/>
          <w:lang w:val="en-GB"/>
        </w:rPr>
        <w:t xml:space="preserve">impact </w:t>
      </w:r>
      <w:r w:rsidR="00B547E3" w:rsidRPr="006F15BB">
        <w:rPr>
          <w:rFonts w:ascii="Book Antiqua" w:hAnsi="Book Antiqua" w:cs="Times New Roman"/>
          <w:lang w:val="en-GB"/>
        </w:rPr>
        <w:t xml:space="preserve">outcomes or morbidity to </w:t>
      </w:r>
      <w:r w:rsidR="00DC0589" w:rsidRPr="006F15BB">
        <w:rPr>
          <w:rFonts w:ascii="Book Antiqua" w:hAnsi="Book Antiqua" w:cs="Times New Roman"/>
          <w:lang w:val="en-GB"/>
        </w:rPr>
        <w:t>the degree d</w:t>
      </w:r>
      <w:r w:rsidR="00B547E3" w:rsidRPr="006F15BB">
        <w:rPr>
          <w:rFonts w:ascii="Book Antiqua" w:hAnsi="Book Antiqua" w:cs="Times New Roman"/>
          <w:lang w:val="en-GB"/>
        </w:rPr>
        <w:t>escribed in the</w:t>
      </w:r>
      <w:r w:rsidR="00DC0589" w:rsidRPr="006F15BB">
        <w:rPr>
          <w:rFonts w:ascii="Book Antiqua" w:hAnsi="Book Antiqua" w:cs="Times New Roman"/>
          <w:lang w:val="en-GB"/>
        </w:rPr>
        <w:t xml:space="preserve"> predominantly general surgery </w:t>
      </w:r>
      <w:r w:rsidR="00B547E3" w:rsidRPr="006F15BB">
        <w:rPr>
          <w:rFonts w:ascii="Book Antiqua" w:hAnsi="Book Antiqua" w:cs="Times New Roman"/>
          <w:lang w:val="en-GB"/>
        </w:rPr>
        <w:t xml:space="preserve">(63%) </w:t>
      </w:r>
      <w:r w:rsidR="00DC0589" w:rsidRPr="006F15BB">
        <w:rPr>
          <w:rFonts w:ascii="Book Antiqua" w:hAnsi="Book Antiqua" w:cs="Times New Roman"/>
          <w:lang w:val="en-GB"/>
        </w:rPr>
        <w:t>cohort</w:t>
      </w:r>
      <w:r w:rsidR="00B547E3" w:rsidRPr="006F15BB">
        <w:rPr>
          <w:rFonts w:ascii="Book Antiqua" w:hAnsi="Book Antiqua" w:cs="Times New Roman"/>
          <w:lang w:val="en-GB"/>
        </w:rPr>
        <w:t xml:space="preserve"> which they analysed</w:t>
      </w:r>
      <w:r w:rsidR="00DC0589" w:rsidRPr="006F15BB">
        <w:rPr>
          <w:rFonts w:ascii="Book Antiqua" w:hAnsi="Book Antiqua" w:cs="Times New Roman"/>
          <w:lang w:val="en-GB"/>
        </w:rPr>
        <w:t xml:space="preserve">. </w:t>
      </w:r>
      <w:r w:rsidR="00641966" w:rsidRPr="006F15BB">
        <w:rPr>
          <w:rFonts w:ascii="Book Antiqua" w:hAnsi="Book Antiqua" w:cs="Times New Roman"/>
          <w:lang w:val="en-GB"/>
        </w:rPr>
        <w:t xml:space="preserve">Aziz </w:t>
      </w:r>
      <w:r w:rsidR="00772635" w:rsidRPr="00772635">
        <w:rPr>
          <w:rFonts w:ascii="Book Antiqua" w:hAnsi="Book Antiqua" w:cs="Times New Roman"/>
          <w:i/>
          <w:lang w:val="en-GB"/>
        </w:rPr>
        <w:t>et al</w:t>
      </w:r>
      <w:r w:rsidR="00436A47" w:rsidRPr="006F15BB">
        <w:rPr>
          <w:rFonts w:ascii="Book Antiqua" w:hAnsi="Book Antiqua" w:cs="Times New Roman"/>
          <w:lang w:val="en-GB"/>
        </w:rPr>
        <w:fldChar w:fldCharType="begin" w:fldLock="1"/>
      </w:r>
      <w:r w:rsidR="00E413D6" w:rsidRPr="006F15BB">
        <w:rPr>
          <w:rFonts w:ascii="Book Antiqua" w:hAnsi="Book Antiqua" w:cs="Times New Roman"/>
          <w:lang w:val="en-GB"/>
        </w:rPr>
        <w:instrText>ADDIN CSL_CITATION { "citationItems" : [ { "id" : "ITEM-1", "itemData" : { "DOI" : "10.1016/j.jvs.2014.11.087", "ISBN" : "0741-5214", "ISSN" : "10976809", "PMID" : "25704406", "abstract" : "Background Do-not-resuscitate (DNR) orders allow patients to communicate their wishes regarding cardiopulmonary resuscitation. Although DNR status may influence physician decision making regarding resuscitation, the effect of DNR status on outcomes of patients undergoing emergency vascular operation remains unknown. The aim of this study was to analyze the effect of DNR status on the outcomes of emergency vascular surgery. Methods The National Surgical Quality Improvement Program database was queried to identify all patients requiring emergency vascular surgical interventions between 2005 and 2010. Demographics, clinical data, and outcomes were extracted. Patients were compared according to DNR status. The primary outcome measure was 30-day mortality. Results During the study period, 16,678 patients underwent emergency vascular operations (10.8% of the total vascular surgery population). Of those, 548 patients (3.3%) had a DNR status. The differences in rates of open or endovascular repair or of intraoperative blood requirement between the two groups were not significant. After adjusting for differences in demographics and clinical data, DNR patients were more likely to have higher rates of graft failure (8.7% vs 2.4%; adjusted P &lt;.01) and failure to wean from mechanical ventilation (14.9 % vs 9.9%; adjusted P &lt;.001). DNR status was associated with a 2.5-fold rise in 30-day mortality (35.0% vs 14.0%; 95% confidence interval, 1.7-2.9; adjusted P &lt;.001). Conclusions The presence of a DNR order was independently associated with mortality. Patient and family counseling on surgical expectations before emergency vascular operations is warranted because the risks of perioperative events are significantly elevated when a DNR order exists.", "author" : [ { "dropping-particle" : "", "family" : "Aziz", "given" : "Hassan", "non-dropping-particle" : "", "parse-names" : false, "suffix" : "" }, { "dropping-particle" : "", "family" : "Branco", "given" : "Bernardino C.", "non-dropping-particle" : "", "parse-names" : false, "suffix" : "" }, { "dropping-particle" : "", "family" : "Braun", "given" : "Jonathan", "non-dropping-particle" : "", "parse-names" : false, "suffix" : "" }, { "dropping-particle" : "", "family" : "Hughes", "given" : "John D.", "non-dropping-particle" : "", "parse-names" : false, "suffix" : "" }, { "dropping-particle" : "", "family" : "Goshima", "given" : "Kay R.", "non-dropping-particle" : "", "parse-names" : false, "suffix" : "" }, { "dropping-particle" : "", "family" : "Trinidad-Hernandez", "given" : "Magdiel", "non-dropping-particle" : "", "parse-names" : false, "suffix" : "" }, { "dropping-particle" : "", "family" : "Hunter", "given" : "Glenn", "non-dropping-particle" : "", "parse-names" : false, "suffix" : "" }, { "dropping-particle" : "", "family" : "Mills", "given" : "Joseph L.", "non-dropping-particle" : "", "parse-names" : false, "suffix" : "" } ], "container-title" : "Journal of Vascular Surgery", "id" : "ITEM-1", "issue" : "6", "issued" : { "date-parts" : [ [ "2015", "6" ] ] }, "page" : "1538-1542", "title" : "The influence of do-not-resuscitate status on the outcomes of patients undergoing emergency vascular operations", "type" : "article-journal", "volume" : "61" }, "uris" : [ "http://www.mendeley.com/documents/?uuid=f9989ca2-3674-30cb-993b-43047e474342" ] } ], "mendeley" : { "formattedCitation" : "&lt;sup&gt;[&lt;sup&gt;26&lt;/sup&gt;]&lt;/sup&gt;", "plainTextFormattedCitation" : "[26]", "previouslyFormattedCitation" : "&lt;sup&gt;[&lt;sup&gt;26&lt;/sup&gt;]&lt;/sup&gt;" }, "properties" : { "noteIndex" : 13 }, "schema" : "https://github.com/citation-style-language/schema/raw/master/csl-citation.json" }</w:instrText>
      </w:r>
      <w:r w:rsidR="00436A47" w:rsidRPr="006F15BB">
        <w:rPr>
          <w:rFonts w:ascii="Book Antiqua" w:hAnsi="Book Antiqua" w:cs="Times New Roman"/>
          <w:lang w:val="en-GB"/>
        </w:rPr>
        <w:fldChar w:fldCharType="separate"/>
      </w:r>
      <w:r w:rsidR="00E413D6" w:rsidRPr="006F15BB">
        <w:rPr>
          <w:rFonts w:ascii="Book Antiqua" w:hAnsi="Book Antiqua" w:cs="Times New Roman"/>
          <w:noProof/>
          <w:vertAlign w:val="superscript"/>
          <w:lang w:val="en-GB"/>
        </w:rPr>
        <w:t>[26]</w:t>
      </w:r>
      <w:r w:rsidR="00436A47" w:rsidRPr="006F15BB">
        <w:rPr>
          <w:rFonts w:ascii="Book Antiqua" w:hAnsi="Book Antiqua" w:cs="Times New Roman"/>
          <w:lang w:val="en-GB"/>
        </w:rPr>
        <w:fldChar w:fldCharType="end"/>
      </w:r>
      <w:r w:rsidR="00641966" w:rsidRPr="006F15BB">
        <w:rPr>
          <w:rFonts w:ascii="Book Antiqua" w:hAnsi="Book Antiqua" w:cs="Times New Roman"/>
          <w:lang w:val="en-GB"/>
        </w:rPr>
        <w:t xml:space="preserve"> investigated outcomes of patient</w:t>
      </w:r>
      <w:r w:rsidR="00B547E3" w:rsidRPr="006F15BB">
        <w:rPr>
          <w:rFonts w:ascii="Book Antiqua" w:hAnsi="Book Antiqua" w:cs="Times New Roman"/>
          <w:lang w:val="en-GB"/>
        </w:rPr>
        <w:t>s</w:t>
      </w:r>
      <w:r w:rsidR="00641966" w:rsidRPr="006F15BB">
        <w:rPr>
          <w:rFonts w:ascii="Book Antiqua" w:hAnsi="Book Antiqua" w:cs="Times New Roman"/>
          <w:lang w:val="en-GB"/>
        </w:rPr>
        <w:t xml:space="preserve"> undergoing vascular surgery with DNR status and </w:t>
      </w:r>
      <w:r w:rsidR="00DC0589" w:rsidRPr="006F15BB">
        <w:rPr>
          <w:rFonts w:ascii="Book Antiqua" w:hAnsi="Book Antiqua" w:cs="Times New Roman"/>
          <w:lang w:val="en-GB"/>
        </w:rPr>
        <w:t xml:space="preserve">also </w:t>
      </w:r>
      <w:r w:rsidR="00641966" w:rsidRPr="006F15BB">
        <w:rPr>
          <w:rFonts w:ascii="Book Antiqua" w:hAnsi="Book Antiqua" w:cs="Times New Roman"/>
          <w:lang w:val="en-GB"/>
        </w:rPr>
        <w:t xml:space="preserve">demonstrated </w:t>
      </w:r>
      <w:r w:rsidR="00DC0589" w:rsidRPr="006F15BB">
        <w:rPr>
          <w:rFonts w:ascii="Book Antiqua" w:hAnsi="Book Antiqua" w:cs="Times New Roman"/>
          <w:lang w:val="en-GB"/>
        </w:rPr>
        <w:t xml:space="preserve">higher mortality in DNR patients, but </w:t>
      </w:r>
      <w:r w:rsidR="00B547E3" w:rsidRPr="006F15BB">
        <w:rPr>
          <w:rFonts w:ascii="Book Antiqua" w:hAnsi="Book Antiqua" w:cs="Times New Roman"/>
          <w:lang w:val="en-GB"/>
        </w:rPr>
        <w:t xml:space="preserve">found </w:t>
      </w:r>
      <w:r w:rsidR="00DC0589" w:rsidRPr="006F15BB">
        <w:rPr>
          <w:rFonts w:ascii="Book Antiqua" w:hAnsi="Book Antiqua" w:cs="Times New Roman"/>
          <w:lang w:val="en-GB"/>
        </w:rPr>
        <w:t>similarity in rates of complications between the two groups, except for graft failure, a procedure specific complication.</w:t>
      </w:r>
      <w:r w:rsidR="00B547E3" w:rsidRPr="006F15BB">
        <w:rPr>
          <w:rFonts w:ascii="Book Antiqua" w:hAnsi="Book Antiqua" w:cs="Times New Roman"/>
          <w:lang w:val="en-GB"/>
        </w:rPr>
        <w:t xml:space="preserve"> This demonstrates the importance of procedure specific information in discussing risk with patients.</w:t>
      </w:r>
    </w:p>
    <w:p w14:paraId="49B85FB5" w14:textId="77777777" w:rsidR="00641966" w:rsidRPr="006F15BB" w:rsidRDefault="004633BE" w:rsidP="008E7BBF">
      <w:pPr>
        <w:adjustRightInd w:val="0"/>
        <w:snapToGrid w:val="0"/>
        <w:spacing w:line="360" w:lineRule="auto"/>
        <w:ind w:firstLine="720"/>
        <w:jc w:val="both"/>
        <w:rPr>
          <w:rFonts w:ascii="Book Antiqua" w:hAnsi="Book Antiqua" w:cs="Times New Roman"/>
          <w:lang w:val="en-GB" w:eastAsia="zh-CN"/>
        </w:rPr>
      </w:pPr>
      <w:r w:rsidRPr="006F15BB">
        <w:rPr>
          <w:rFonts w:ascii="Book Antiqua" w:hAnsi="Book Antiqua" w:cs="Times New Roman"/>
          <w:lang w:val="en-GB"/>
        </w:rPr>
        <w:t>Other emerging literature supports our findings of relatively high mortality among patients with DNR orders who undergo surgery.</w:t>
      </w:r>
      <w:r w:rsidR="0034509C">
        <w:rPr>
          <w:rFonts w:ascii="Book Antiqua" w:hAnsi="Book Antiqua" w:cs="Times New Roman"/>
          <w:lang w:val="en-GB"/>
        </w:rPr>
        <w:t xml:space="preserve"> </w:t>
      </w:r>
      <w:r w:rsidRPr="006F15BB">
        <w:rPr>
          <w:rFonts w:ascii="Book Antiqua" w:hAnsi="Book Antiqua" w:cs="Times New Roman"/>
          <w:lang w:val="en-GB"/>
        </w:rPr>
        <w:t>A recent study by our group</w:t>
      </w:r>
      <w:r w:rsidR="00436A47" w:rsidRPr="006F15BB">
        <w:rPr>
          <w:rFonts w:ascii="Book Antiqua" w:hAnsi="Book Antiqua" w:cs="Times New Roman"/>
          <w:lang w:val="en-GB"/>
        </w:rPr>
        <w:fldChar w:fldCharType="begin" w:fldLock="1"/>
      </w:r>
      <w:r w:rsidR="00E413D6" w:rsidRPr="006F15BB">
        <w:rPr>
          <w:rFonts w:ascii="Book Antiqua" w:hAnsi="Book Antiqua" w:cs="Times New Roman"/>
          <w:lang w:val="en-GB"/>
        </w:rPr>
        <w:instrText>ADDIN CSL_CITATION { "citationItems" : [ { "id" : "ITEM-1", "itemData" : { "DOI" : "10.1213/ANE.0000000000001904", "ISSN" : "0003-2999", "author" : [ { "dropping-particle" : "", "family" : "Walsh", "given" : "Elisa C.", "non-dropping-particle" : "", "parse-names" : false, "suffix" : "" }, { "dropping-particle" : "", "family" : "Brovman", "given" : "Ethan Y.", "non-dropping-particle" : "", "parse-names" : false, "suffix" : "" }, { "dropping-particle" : "", "family" : "Bader", "given" : "Angela M.", "non-dropping-particle" : "", "parse-names" : false, "suffix" : "" }, { "dropping-particle" : "", "family" : "Urman", "given" : "Richard D.", "non-dropping-particle" : "", "parse-names" : false, "suffix" : "" } ], "container-title" : "Anesthesia &amp; Analgesia", "id" : "ITEM-1", "issued" : { "date-parts" : [ [ "2017", "3" ] ] }, "page" : "1", "title" : "Do-Not-Resuscitate Status Is Associated With Increased Mortality But Not Morbidity", "type" : "article-journal" }, "uris" : [ "http://www.mendeley.com/documents/?uuid=dc658d9a-00ed-349b-b393-5008e00f406f" ] } ], "mendeley" : { "formattedCitation" : "&lt;sup&gt;[&lt;sup&gt;8&lt;/sup&gt;]&lt;/sup&gt;", "plainTextFormattedCitation" : "[8]" }, "properties" : { "noteIndex" : 13 }, "schema" : "https://github.com/citation-style-language/schema/raw/master/csl-citation.json" }</w:instrText>
      </w:r>
      <w:r w:rsidR="00436A47" w:rsidRPr="006F15BB">
        <w:rPr>
          <w:rFonts w:ascii="Book Antiqua" w:hAnsi="Book Antiqua" w:cs="Times New Roman"/>
          <w:lang w:val="en-GB"/>
        </w:rPr>
        <w:fldChar w:fldCharType="separate"/>
      </w:r>
      <w:r w:rsidR="00E413D6" w:rsidRPr="006F15BB">
        <w:rPr>
          <w:rFonts w:ascii="Book Antiqua" w:hAnsi="Book Antiqua" w:cs="Times New Roman"/>
          <w:noProof/>
          <w:vertAlign w:val="superscript"/>
          <w:lang w:val="en-GB"/>
        </w:rPr>
        <w:t>[8]</w:t>
      </w:r>
      <w:r w:rsidR="00436A47" w:rsidRPr="006F15BB">
        <w:rPr>
          <w:rFonts w:ascii="Book Antiqua" w:hAnsi="Book Antiqua" w:cs="Times New Roman"/>
          <w:lang w:val="en-GB"/>
        </w:rPr>
        <w:fldChar w:fldCharType="end"/>
      </w:r>
      <w:r w:rsidRPr="006F15BB">
        <w:rPr>
          <w:rFonts w:ascii="Book Antiqua" w:hAnsi="Book Antiqua" w:cs="Times New Roman"/>
          <w:lang w:val="en-GB"/>
        </w:rPr>
        <w:t xml:space="preserve"> examined outcomes among DNR patients undergoing a variety of the most common procedures done for this patient population using NSQIP data.</w:t>
      </w:r>
      <w:r w:rsidR="0034509C">
        <w:rPr>
          <w:rFonts w:ascii="Book Antiqua" w:hAnsi="Book Antiqua" w:cs="Times New Roman"/>
          <w:lang w:val="en-GB"/>
        </w:rPr>
        <w:t xml:space="preserve"> </w:t>
      </w:r>
      <w:r w:rsidRPr="006F15BB">
        <w:rPr>
          <w:rFonts w:ascii="Book Antiqua" w:hAnsi="Book Antiqua" w:cs="Times New Roman"/>
          <w:lang w:val="en-GB"/>
        </w:rPr>
        <w:t>The most common procedures among DNR patients focused on symptom relief but were also associated with higher rates of 30 d mortality (but not morbidity) when compared to non</w:t>
      </w:r>
      <w:r w:rsidR="00772635">
        <w:rPr>
          <w:rFonts w:ascii="Book Antiqua" w:hAnsi="Book Antiqua" w:cs="Times New Roman"/>
          <w:lang w:val="en-GB"/>
        </w:rPr>
        <w:t>-</w:t>
      </w:r>
      <w:r w:rsidRPr="006F15BB">
        <w:rPr>
          <w:rFonts w:ascii="Book Antiqua" w:hAnsi="Book Antiqua" w:cs="Times New Roman"/>
          <w:lang w:val="en-GB"/>
        </w:rPr>
        <w:t>DNR matched controls</w:t>
      </w:r>
      <w:r w:rsidR="00436A47" w:rsidRPr="006F15BB">
        <w:rPr>
          <w:rFonts w:ascii="Book Antiqua" w:hAnsi="Book Antiqua" w:cs="Times New Roman"/>
          <w:lang w:val="en-GB"/>
        </w:rPr>
        <w:fldChar w:fldCharType="begin" w:fldLock="1"/>
      </w:r>
      <w:r w:rsidR="00C2761D" w:rsidRPr="006F15BB">
        <w:rPr>
          <w:rFonts w:ascii="Book Antiqua" w:hAnsi="Book Antiqua" w:cs="Times New Roman"/>
          <w:lang w:val="en-GB"/>
        </w:rPr>
        <w:instrText>ADDIN CSL_CITATION { "citationItems" : [ { "id" : "ITEM-1", "itemData" : { "DOI" : "10.1213/ANE.0000000000001904", "ISSN" : "0003-2999", "author" : [ { "dropping-particle" : "", "family" : "Walsh", "given" : "Elisa C.", "non-dropping-particle" : "", "parse-names" : false, "suffix" : "" }, { "dropping-particle" : "", "family" : "Brovman", "given" : "Ethan Y.", "non-dropping-particle" : "", "parse-names" : false, "suffix" : "" }, { "dropping-particle" : "", "family" : "Bader", "given" : "Angela M.", "non-dropping-particle" : "", "parse-names" : false, "suffix" : "" }, { "dropping-particle" : "", "family" : "Urman", "given" : "Richard D.", "non-dropping-particle" : "", "parse-names" : false, "suffix" : "" } ], "container-title" : "Anesthesia &amp; Analgesia", "id" : "ITEM-1", "issued" : { "date-parts" : [ [ "2017", "3" ] ] }, "page" : "1", "title" : "Do-Not-Resuscitate Status Is Associated With Increased Mortality But Not Morbidity", "type" : "article-journal" }, "uris" : [ "http://www.mendeley.com/documents/?uuid=dc658d9a-00ed-349b-b393-5008e00f406f" ] } ], "mendeley" : { "formattedCitation" : "&lt;sup&gt;[&lt;sup&gt;8&lt;/sup&gt;]&lt;/sup&gt;", "plainTextFormattedCitation" : "[8]", "previouslyFormattedCitation" : "&lt;sup&gt;[&lt;sup&gt;8&lt;/sup&gt;]&lt;/sup&gt;" }, "properties" : { "noteIndex" : 0 }, "schema" : "https://github.com/citation-style-language/schema/raw/master/csl-citation.json" }</w:instrText>
      </w:r>
      <w:r w:rsidR="00436A47" w:rsidRPr="006F15BB">
        <w:rPr>
          <w:rFonts w:ascii="Book Antiqua" w:hAnsi="Book Antiqua" w:cs="Times New Roman"/>
          <w:lang w:val="en-GB"/>
        </w:rPr>
        <w:fldChar w:fldCharType="separate"/>
      </w:r>
      <w:r w:rsidR="0052176A" w:rsidRPr="006F15BB">
        <w:rPr>
          <w:rFonts w:ascii="Book Antiqua" w:hAnsi="Book Antiqua" w:cs="Times New Roman"/>
          <w:noProof/>
          <w:vertAlign w:val="superscript"/>
          <w:lang w:val="en-GB"/>
        </w:rPr>
        <w:t>[8]</w:t>
      </w:r>
      <w:r w:rsidR="00436A47" w:rsidRPr="006F15BB">
        <w:rPr>
          <w:rFonts w:ascii="Book Antiqua" w:hAnsi="Book Antiqua" w:cs="Times New Roman"/>
          <w:lang w:val="en-GB"/>
        </w:rPr>
        <w:fldChar w:fldCharType="end"/>
      </w:r>
      <w:r w:rsidRPr="006F15BB">
        <w:rPr>
          <w:rFonts w:ascii="Book Antiqua" w:hAnsi="Book Antiqua" w:cs="Times New Roman"/>
          <w:lang w:val="en-GB"/>
        </w:rPr>
        <w:t xml:space="preserve">. In another analysis focused on DNR patients </w:t>
      </w:r>
      <w:r w:rsidRPr="006F15BB">
        <w:rPr>
          <w:rFonts w:ascii="Book Antiqua" w:hAnsi="Book Antiqua" w:cs="Times New Roman"/>
          <w:lang w:val="en-GB"/>
        </w:rPr>
        <w:lastRenderedPageBreak/>
        <w:t xml:space="preserve">undergoing hip surgery, </w:t>
      </w:r>
      <w:r w:rsidR="00886963" w:rsidRPr="006F15BB">
        <w:rPr>
          <w:rFonts w:ascii="Book Antiqua" w:hAnsi="Book Antiqua" w:cs="Times New Roman"/>
          <w:lang w:val="en-GB"/>
        </w:rPr>
        <w:t>the urgency of the procedure (emergent vs non</w:t>
      </w:r>
      <w:r w:rsidR="00772635">
        <w:rPr>
          <w:rFonts w:ascii="Book Antiqua" w:hAnsi="Book Antiqua" w:cs="Times New Roman"/>
          <w:lang w:val="en-GB"/>
        </w:rPr>
        <w:t>-</w:t>
      </w:r>
      <w:r w:rsidR="00886963" w:rsidRPr="006F15BB">
        <w:rPr>
          <w:rFonts w:ascii="Book Antiqua" w:hAnsi="Book Antiqua" w:cs="Times New Roman"/>
          <w:lang w:val="en-GB"/>
        </w:rPr>
        <w:t>emergent) was found to cause no indep</w:t>
      </w:r>
      <w:r w:rsidR="00145DFB" w:rsidRPr="006F15BB">
        <w:rPr>
          <w:rFonts w:ascii="Book Antiqua" w:hAnsi="Book Antiqua" w:cs="Times New Roman"/>
          <w:lang w:val="en-GB"/>
        </w:rPr>
        <w:t>en</w:t>
      </w:r>
      <w:r w:rsidR="00886963" w:rsidRPr="006F15BB">
        <w:rPr>
          <w:rFonts w:ascii="Book Antiqua" w:hAnsi="Book Antiqua" w:cs="Times New Roman"/>
          <w:lang w:val="en-GB"/>
        </w:rPr>
        <w:t>dent increase in 30</w:t>
      </w:r>
      <w:r w:rsidR="00772635">
        <w:rPr>
          <w:rFonts w:ascii="Book Antiqua" w:hAnsi="Book Antiqua" w:cs="Times New Roman" w:hint="eastAsia"/>
          <w:lang w:val="en-GB" w:eastAsia="zh-CN"/>
        </w:rPr>
        <w:t>-</w:t>
      </w:r>
      <w:r w:rsidR="00886963" w:rsidRPr="006F15BB">
        <w:rPr>
          <w:rFonts w:ascii="Book Antiqua" w:hAnsi="Book Antiqua" w:cs="Times New Roman"/>
          <w:lang w:val="en-GB"/>
        </w:rPr>
        <w:t>d mor</w:t>
      </w:r>
      <w:r w:rsidR="00145DFB" w:rsidRPr="006F15BB">
        <w:rPr>
          <w:rFonts w:ascii="Book Antiqua" w:hAnsi="Book Antiqua" w:cs="Times New Roman"/>
          <w:lang w:val="en-GB"/>
        </w:rPr>
        <w:t>bidity</w:t>
      </w:r>
      <w:r w:rsidR="00886963" w:rsidRPr="006F15BB">
        <w:rPr>
          <w:rFonts w:ascii="Book Antiqua" w:hAnsi="Book Antiqua" w:cs="Times New Roman"/>
          <w:lang w:val="en-GB"/>
        </w:rPr>
        <w:t>, while DNR status itsel</w:t>
      </w:r>
      <w:r w:rsidR="00772635">
        <w:rPr>
          <w:rFonts w:ascii="Book Antiqua" w:hAnsi="Book Antiqua" w:cs="Times New Roman"/>
          <w:lang w:val="en-GB"/>
        </w:rPr>
        <w:t>f again demonstrated high 30</w:t>
      </w:r>
      <w:r w:rsidR="00772635">
        <w:rPr>
          <w:rFonts w:ascii="Book Antiqua" w:hAnsi="Book Antiqua" w:cs="Times New Roman" w:hint="eastAsia"/>
          <w:lang w:val="en-GB" w:eastAsia="zh-CN"/>
        </w:rPr>
        <w:t>-</w:t>
      </w:r>
      <w:r w:rsidR="00772635">
        <w:rPr>
          <w:rFonts w:ascii="Book Antiqua" w:hAnsi="Book Antiqua" w:cs="Times New Roman"/>
          <w:lang w:val="en-GB"/>
        </w:rPr>
        <w:t>d</w:t>
      </w:r>
      <w:r w:rsidR="00886963" w:rsidRPr="006F15BB">
        <w:rPr>
          <w:rFonts w:ascii="Book Antiqua" w:hAnsi="Book Antiqua" w:cs="Times New Roman"/>
          <w:lang w:val="en-GB"/>
        </w:rPr>
        <w:t xml:space="preserve"> mortality rates in excess of those predicted by the NSQIP risk calculator</w:t>
      </w:r>
      <w:r w:rsidR="00436A47" w:rsidRPr="006F15BB">
        <w:rPr>
          <w:rFonts w:ascii="Book Antiqua" w:hAnsi="Book Antiqua" w:cs="Times New Roman"/>
          <w:lang w:val="en-GB"/>
        </w:rPr>
        <w:fldChar w:fldCharType="begin" w:fldLock="1"/>
      </w:r>
      <w:r w:rsidR="00C2761D" w:rsidRPr="006F15BB">
        <w:rPr>
          <w:rFonts w:ascii="Book Antiqua" w:hAnsi="Book Antiqua" w:cs="Times New Roman"/>
          <w:lang w:val="en-GB"/>
        </w:rPr>
        <w:instrText>ADDIN CSL_CITATION { "citationItems" : [ { "id" : "ITEM-1", "itemData" : { "DOI" : "10.1177/2151458516685826", "ISSN" : "2151-4585", "abstract" : "Purpose:Emergency hip surgery generally has worse outcomes than elective hip surgery, even when adjusted for patient and surgical factors. Do-not-resuscitate (DNR) status patients are typically at higher perioperative risk and undergo a narrow range of surgical procedures. We aimed to compare the outcomes after hip surgery of differing degrees of urgency in this cohort.Materials and Methods:Using National Surgical Quality Improvement Program (NSQIP) data, we conducted univariate and multivariate analyses comparing outcomes of DNR status patients after emergency and nonemergency hip surgery (2007-2013). We conducted a subanalysis of mortality in elective versus nonelective cases (elective variable introduced from 2011).Results:Of 668 hip surgery cases in DNR status patients, 210 (31.4%) were emergency and 458 (68.8%) were nonemergency. There were no significant associations between emergency and nonemergency surgery regarding patient demographics, comorbidities, functional capacity, anesthesia type, or ope...", "author" : [ { "dropping-particle" : "", "family" : "Beverly", "given" : "Anair", "non-dropping-particle" : "", "parse-names" : false, "suffix" : "" }, { "dropping-particle" : "", "family" : "Brovman", "given" : "Ethan Y.", "non-dropping-particle" : "", "parse-names" : false, "suffix" : "" }, { "dropping-particle" : "", "family" : "Urman", "given" : "Richard D.", "non-dropping-particle" : "", "parse-names" : false, "suffix" : "" } ], "container-title" : "Geriatric Orthopaedic Surgery &amp; Rehabilitation", "id" : "ITEM-1", "issue" : "2", "issued" : { "date-parts" : [ [ "2017", "6", "15" ] ] }, "page" : "78-86", "publisher" : "SAGE PublicationsSage CA: Los Angeles, CA", "title" : "Comparison of Postoperative Outcomes in Elderly Patients With a Do-Not-Resuscitate Order Undergoing Elective and Nonelective Hip Surgery", "type" : "article-journal", "volume" : "8" }, "uris" : [ "http://www.mendeley.com/documents/?uuid=d5af3515-f0b2-36b8-b83a-b919c823ab97" ] } ], "mendeley" : { "formattedCitation" : "&lt;sup&gt;[&lt;sup&gt;27&lt;/sup&gt;]&lt;/sup&gt;", "plainTextFormattedCitation" : "[27]", "previouslyFormattedCitation" : "&lt;sup&gt;[&lt;sup&gt;27&lt;/sup&gt;]&lt;/sup&gt;" }, "properties" : { "noteIndex" : 0 }, "schema" : "https://github.com/citation-style-language/schema/raw/master/csl-citation.json" }</w:instrText>
      </w:r>
      <w:r w:rsidR="00436A47" w:rsidRPr="006F15BB">
        <w:rPr>
          <w:rFonts w:ascii="Book Antiqua" w:hAnsi="Book Antiqua" w:cs="Times New Roman"/>
          <w:lang w:val="en-GB"/>
        </w:rPr>
        <w:fldChar w:fldCharType="separate"/>
      </w:r>
      <w:r w:rsidR="0052176A" w:rsidRPr="006F15BB">
        <w:rPr>
          <w:rFonts w:ascii="Book Antiqua" w:hAnsi="Book Antiqua" w:cs="Times New Roman"/>
          <w:noProof/>
          <w:vertAlign w:val="superscript"/>
          <w:lang w:val="en-GB"/>
        </w:rPr>
        <w:t>[27]</w:t>
      </w:r>
      <w:r w:rsidR="00436A47" w:rsidRPr="006F15BB">
        <w:rPr>
          <w:rFonts w:ascii="Book Antiqua" w:hAnsi="Book Antiqua" w:cs="Times New Roman"/>
          <w:lang w:val="en-GB"/>
        </w:rPr>
        <w:fldChar w:fldCharType="end"/>
      </w:r>
      <w:r w:rsidR="00145DFB" w:rsidRPr="006F15BB">
        <w:rPr>
          <w:rFonts w:ascii="Book Antiqua" w:hAnsi="Book Antiqua" w:cs="Times New Roman"/>
          <w:lang w:val="en-GB"/>
        </w:rPr>
        <w:t>.</w:t>
      </w:r>
    </w:p>
    <w:p w14:paraId="413C7553" w14:textId="77777777" w:rsidR="00DD7B50" w:rsidRPr="006F15BB" w:rsidRDefault="0059079E" w:rsidP="008E7BBF">
      <w:pPr>
        <w:adjustRightInd w:val="0"/>
        <w:snapToGrid w:val="0"/>
        <w:spacing w:line="360" w:lineRule="auto"/>
        <w:ind w:firstLine="720"/>
        <w:jc w:val="both"/>
        <w:rPr>
          <w:rFonts w:ascii="Book Antiqua" w:hAnsi="Book Antiqua" w:cs="Times New Roman"/>
          <w:lang w:val="en-GB"/>
        </w:rPr>
      </w:pPr>
      <w:r w:rsidRPr="006F15BB">
        <w:rPr>
          <w:rFonts w:ascii="Book Antiqua" w:hAnsi="Book Antiqua" w:cs="Times New Roman"/>
          <w:lang w:val="en-GB"/>
        </w:rPr>
        <w:t xml:space="preserve">Patients undergoing hip </w:t>
      </w:r>
      <w:r w:rsidR="006D2270" w:rsidRPr="006F15BB">
        <w:rPr>
          <w:rFonts w:ascii="Book Antiqua" w:hAnsi="Book Antiqua" w:cs="Times New Roman"/>
          <w:lang w:val="en-GB"/>
        </w:rPr>
        <w:t xml:space="preserve">fracture </w:t>
      </w:r>
      <w:r w:rsidRPr="006F15BB">
        <w:rPr>
          <w:rFonts w:ascii="Book Antiqua" w:hAnsi="Book Antiqua" w:cs="Times New Roman"/>
          <w:lang w:val="en-GB"/>
        </w:rPr>
        <w:t>surgery comprise a diverse patient group</w:t>
      </w:r>
      <w:r w:rsidR="00CA50C2" w:rsidRPr="006F15BB">
        <w:rPr>
          <w:rFonts w:ascii="Book Antiqua" w:hAnsi="Book Antiqua" w:cs="Times New Roman"/>
          <w:lang w:val="en-GB"/>
        </w:rPr>
        <w:t>, making risk stratification important</w:t>
      </w:r>
      <w:r w:rsidR="00436A47" w:rsidRPr="006F15BB">
        <w:rPr>
          <w:rFonts w:ascii="Book Antiqua" w:hAnsi="Book Antiqua" w:cs="Times New Roman"/>
          <w:lang w:val="en-GB"/>
        </w:rPr>
        <w:fldChar w:fldCharType="begin" w:fldLock="1"/>
      </w:r>
      <w:r w:rsidR="00C2761D" w:rsidRPr="006F15BB">
        <w:rPr>
          <w:rFonts w:ascii="Book Antiqua" w:hAnsi="Book Antiqua" w:cs="Times New Roman"/>
          <w:lang w:val="en-GB"/>
        </w:rPr>
        <w:instrText>ADDIN CSL_CITATION { "citationItems" : [ { "id" : "ITEM-1", "itemData" : { "DOI" : "10.1186/1471-2318-14-75", "ISBN" : "1471-2318 (Electronic)\\r1471-2318 (Linking)", "ISSN" : "1471-2318", "PMID" : "24934411", "abstract" : "BACKGROUND The coexistence of several chronic diseases in one same individual, known as multimorbidity, is an important challenge facing health care systems in developed countries. Recent studies have revealed the existence of multimorbidity patterns clustering systematically associated distinct clinical entities. We sought to describe age and gender differences in the prevalence and patterns of multimorbidity in men and women over 65 years. METHODS Observational retrospective multicentre study based on diagnostic information gathered from electronic medical records of 19 primary care centres in Aragon and Catalonia. Multimorbidity patterns were identified through exploratory factor analysis. We performed a descriptive analysis of previously obtained patterns (i.e. cardiometabolic (CM), mechanical (MEC) and psychogeriatric (PG)) and the diseases included in the patterns stratifying by sex and age group. RESULTS 67.5% of the aged population suffered two or more chronic diseases. 32.2% of men and 45.3% of women were assigned to at least one specific pattern of multimorbidity, and 4.6% of men and 8% of women presented more than one pattern simultaneously. Among women over 65 years the most frequent pattern was the MEC pattern (33.3%), whereas among men it was the CM pattern (21.2%). While the prevalence of the CM and MEC patterns decreased with age, the PG pattern showed a higher prevalence in the older age groups. CONCLUSIONS Significant gender differences were observed in the prevalence of multimorbidity patterns, women showing a higher prevalence of the MEC and PG patterns, as well as a higher degree of pattern overlapping, probably due to a higher life expectancy and/or worse health. Future studies on multimorbidity patterns should take into account these differences and, therefore, the study of multimorbidity and its impact should be stratified by age and sex.", "author" : [ { "dropping-particle" : "", "family" : "Abad-D\u00edez", "given" : "Jos\u00e9 Mar\u00eda", "non-dropping-particle" : "", "parse-names" : false, "suffix" : "" }, { "dropping-particle" : "", "family" : "Calder\u00f3n-Larra\u00f1aga", "given" : "Amaia", "non-dropping-particle" : "", "parse-names" : false, "suffix" : "" }, { "dropping-particle" : "", "family" : "Poncel-Falc\u00f3", "given" : "Antonio", "non-dropping-particle" : "", "parse-names" : false, "suffix" : "" }, { "dropping-particle" : "", "family" : "Poblador-Plou", "given" : "Beatriz", "non-dropping-particle" : "", "parse-names" : false, "suffix" : "" }, { "dropping-particle" : "", "family" : "Calder\u00f3n-Meza", "given" : "Jos\u00e9 Manuel", "non-dropping-particle" : "", "parse-names" : false, "suffix" : "" }, { "dropping-particle" : "", "family" : "Sicras-Mainar", "given" : "Antoni", "non-dropping-particle" : "", "parse-names" : false, "suffix" : "" }, { "dropping-particle" : "", "family" : "Clerencia-Sierra", "given" : "Mercedes", "non-dropping-particle" : "", "parse-names" : false, "suffix" : "" }, { "dropping-particle" : "", "family" : "Prados-Torres", "given" : "Alexandra", "non-dropping-particle" : "", "parse-names" : false, "suffix" : "" } ], "container-title" : "BMC Geriatrics", "id" : "ITEM-1", "issue" : "1", "issued" : { "date-parts" : [ [ "2014", "12", "17" ] ] }, "page" : "75", "title" : "Age and gender differences in the prevalence and patterns of multimorbidity in the older population", "type" : "article-journal", "volume" : "14" }, "uris" : [ "http://www.mendeley.com/documents/?uuid=9de32560-b905-36cf-a037-ce0a91cd87a3" ] }, { "id" : "ITEM-2", "itemData" : { "DOI" : "10.1007/s11136-005-8661-z", "ISBN" : "1113600586", "ISSN" : "09629343", "PMID" : "98", "abstract" : "Abstract Previous studies about the association of multimorbidity and the health-related quality of life (HRQOL) in primary-care patients are limited because of their reliance on simple counts of diseases from a limited list of diseases and their failure to assess the severity of disease. We evaluated the association while taking into account the severity of the medical conditions based on the Cumulative Illness Rating Scale (CIRS) score, and controlling for potential confounders (age, sex, household income, education, self-perception of economic status, number of people living in the same dwelling, and perceived social support). We randomly selected 238 patients to construct quintiles of increasing multimorbidity (CIRS). Patients completed the 36-item Medical Outcomes study questionnaire (SF-36) to evaluate their HRQOL. Applying bivariate and multivariate linear regression analyses, we used the CIRS as either a continuous or a categorical (quintiles) variable. Use of the CIRS revealed a stronger association of HRQOL with multimorbidity than using a simple count of chronic conditions. Physical more than mental health deteriorated with increasing multimorbidity. Perceived social support and self-perception of economic status were significantly related to all scales of the SF-36 (p &lt; 0.05). Increased multimorbidity adversely affected HRQOL in primary-care adult patients, even when confounding variables were controlled for", "author" : [ { "dropping-particle" : "", "family" : "Fortin", "given" : "Martin", "non-dropping-particle" : "", "parse-names" : false, "suffix" : "" }, { "dropping-particle" : "", "family" : "Bravo", "given" : "Gina", "non-dropping-particle" : "", "parse-names" : false, "suffix" : "" }, { "dropping-particle" : "", "family" : "Hudon", "given" : "Catherine", "non-dropping-particle" : "", "parse-names" : false, "suffix" : "" }, { "dropping-particle" : "", "family" : "Lapointe", "given" : "Lise", "non-dropping-particle" : "", "parse-names" : false, "suffix" : "" }, { "dropping-particle" : "", "family" : "Almirall", "given" : "Jos\u00e9", "non-dropping-particle" : "", "parse-names" : false, "suffix" : "" }, { "dropping-particle" : "", "family" : "Dubois", "given" : "Marie France", "non-dropping-particle" : "", "parse-names" : false, "suffix" : "" }, { "dropping-particle" : "", "family" : "Vanasse", "given" : "Alain", "non-dropping-particle" : "", "parse-names" : false, "suffix" : "" } ], "container-title" : "Quality of Life Research", "id" : "ITEM-2", "issue" : "1", "issued" : { "date-parts" : [ [ "2006", "2" ] ] }, "page" : "83-91", "publisher" : "Kluwer Academic Publishers", "title" : "Relationship between multimorbidity and health-related quality of life of patients in primary care", "type" : "article-journal", "volume" : "15" }, "uris" : [ "http://www.mendeley.com/documents/?uuid=4c7877b2-e638-3f11-a210-66f80295c0f2" ] } ], "mendeley" : { "formattedCitation" : "&lt;sup&gt;[&lt;sup&gt;28&lt;/sup&gt;, &lt;sup&gt;29&lt;/sup&gt;]&lt;/sup&gt;", "plainTextFormattedCitation" : "[28, 29]", "previouslyFormattedCitation" : "&lt;sup&gt;[&lt;sup&gt;28&lt;/sup&gt;, &lt;sup&gt;29&lt;/sup&gt;]&lt;/sup&gt;" }, "properties" : { "noteIndex" : 0 }, "schema" : "https://github.com/citation-style-language/schema/raw/master/csl-citation.json" }</w:instrText>
      </w:r>
      <w:r w:rsidR="00436A47" w:rsidRPr="006F15BB">
        <w:rPr>
          <w:rFonts w:ascii="Book Antiqua" w:hAnsi="Book Antiqua" w:cs="Times New Roman"/>
          <w:lang w:val="en-GB"/>
        </w:rPr>
        <w:fldChar w:fldCharType="separate"/>
      </w:r>
      <w:r w:rsidR="00457D69">
        <w:rPr>
          <w:rFonts w:ascii="Book Antiqua" w:hAnsi="Book Antiqua" w:cs="Times New Roman"/>
          <w:noProof/>
          <w:vertAlign w:val="superscript"/>
          <w:lang w:val="en-GB"/>
        </w:rPr>
        <w:t>[28,</w:t>
      </w:r>
      <w:r w:rsidR="0052176A" w:rsidRPr="006F15BB">
        <w:rPr>
          <w:rFonts w:ascii="Book Antiqua" w:hAnsi="Book Antiqua" w:cs="Times New Roman"/>
          <w:noProof/>
          <w:vertAlign w:val="superscript"/>
          <w:lang w:val="en-GB"/>
        </w:rPr>
        <w:t>29]</w:t>
      </w:r>
      <w:r w:rsidR="00436A47" w:rsidRPr="006F15BB">
        <w:rPr>
          <w:rFonts w:ascii="Book Antiqua" w:hAnsi="Book Antiqua" w:cs="Times New Roman"/>
          <w:lang w:val="en-GB"/>
        </w:rPr>
        <w:fldChar w:fldCharType="end"/>
      </w:r>
      <w:r w:rsidRPr="006F15BB">
        <w:rPr>
          <w:rFonts w:ascii="Book Antiqua" w:hAnsi="Book Antiqua" w:cs="Times New Roman"/>
          <w:lang w:val="en-GB"/>
        </w:rPr>
        <w:t xml:space="preserve">. </w:t>
      </w:r>
      <w:r w:rsidR="00145DFB" w:rsidRPr="006F15BB">
        <w:rPr>
          <w:rFonts w:ascii="Book Antiqua" w:hAnsi="Book Antiqua" w:cs="Times New Roman"/>
          <w:lang w:val="en-GB"/>
        </w:rPr>
        <w:t>High q</w:t>
      </w:r>
      <w:r w:rsidRPr="006F15BB">
        <w:rPr>
          <w:rFonts w:ascii="Book Antiqua" w:hAnsi="Book Antiqua" w:cs="Times New Roman"/>
          <w:lang w:val="en-GB"/>
        </w:rPr>
        <w:t xml:space="preserve">uality perioperative care and subsequent recovery </w:t>
      </w:r>
      <w:r w:rsidR="00041EA7" w:rsidRPr="006F15BB">
        <w:rPr>
          <w:rFonts w:ascii="Book Antiqua" w:hAnsi="Book Antiqua" w:cs="Times New Roman"/>
          <w:lang w:val="en-GB"/>
        </w:rPr>
        <w:t xml:space="preserve">particularly </w:t>
      </w:r>
      <w:r w:rsidRPr="006F15BB">
        <w:rPr>
          <w:rFonts w:ascii="Book Antiqua" w:hAnsi="Book Antiqua" w:cs="Times New Roman"/>
          <w:lang w:val="en-GB"/>
        </w:rPr>
        <w:t xml:space="preserve">in the most elderly and </w:t>
      </w:r>
      <w:r w:rsidR="0000198E" w:rsidRPr="006F15BB">
        <w:rPr>
          <w:rFonts w:ascii="Book Antiqua" w:hAnsi="Book Antiqua" w:cs="Times New Roman"/>
          <w:lang w:val="en-GB"/>
        </w:rPr>
        <w:t xml:space="preserve">medically complex </w:t>
      </w:r>
      <w:r w:rsidR="00041EA7" w:rsidRPr="006F15BB">
        <w:rPr>
          <w:rFonts w:ascii="Book Antiqua" w:hAnsi="Book Antiqua" w:cs="Times New Roman"/>
          <w:lang w:val="en-GB"/>
        </w:rPr>
        <w:t xml:space="preserve">patients </w:t>
      </w:r>
      <w:r w:rsidRPr="006F15BB">
        <w:rPr>
          <w:rFonts w:ascii="Book Antiqua" w:hAnsi="Book Antiqua" w:cs="Times New Roman"/>
          <w:lang w:val="en-GB"/>
        </w:rPr>
        <w:t>presents a growing challenge</w:t>
      </w:r>
      <w:r w:rsidR="00641966" w:rsidRPr="006F15BB">
        <w:rPr>
          <w:rFonts w:ascii="Book Antiqua" w:hAnsi="Book Antiqua" w:cs="Times New Roman"/>
          <w:lang w:val="en-GB"/>
        </w:rPr>
        <w:t xml:space="preserve"> for an ageing population</w:t>
      </w:r>
      <w:r w:rsidR="00436A47" w:rsidRPr="006F15BB">
        <w:rPr>
          <w:rFonts w:ascii="Book Antiqua" w:hAnsi="Book Antiqua" w:cs="Times New Roman"/>
          <w:lang w:val="en-GB"/>
        </w:rPr>
        <w:fldChar w:fldCharType="begin" w:fldLock="1"/>
      </w:r>
      <w:r w:rsidR="00C2761D" w:rsidRPr="006F15BB">
        <w:rPr>
          <w:rFonts w:ascii="Book Antiqua" w:hAnsi="Book Antiqua" w:cs="Times New Roman"/>
          <w:lang w:val="en-GB"/>
        </w:rPr>
        <w:instrText>ADDIN CSL_CITATION { "citationItems" : [ { "id" : "ITEM-1", "itemData" : { "DOI" : "10.1001/jama.2015.10842", "ISBN" : "0098-7484\\r1538-3598", "ISSN" : "0098-7484", "PMID" : "26372585", "abstract" : "IMPORTANCE: Patients undergoing surgery for a hip fracture have a higher risk of mortality and major complications compared with patients undergoing an elective total hip replacement (THR) operation. The effect of older age and comorbidities associated with hip fracture on this increased perioperative risk is unknown.\\n\\nOBJECTIVE: To determine if there was a difference in hospital mortality among patients who underwent hip fracture surgery relative to an elective THR, after adjustment for age, sex, and preoperative comorbidities.\\n\\nDESIGN, SETTING, AND PARTICIPANTS: Using the French National Hospital Discharge Database from January 2010 to December 2013, patients older than 45 years undergoing hip surgery at French hospitals were included. The International Statistical Classification of Diseases and Related Health Problems, 10th Revision (ICD-10), codes were used to determine patients' comorbidities and complications after surgery. A population matched for age, sex, and preoperative comorbidities of patients who underwent elective THR or hip fracture surgery was created using a multivariable logistic model and a greedy matching algorithm with a 1:1 ratio.\\n\\nEXPOSURE: Hip fracture.\\n\\nMAIN OUTCOMES AND MEASURES: Postoperative in-hospital mortality.\\n\\nRESULTS: A total of 690,995 eligible patients were included from 864 centers in France. Patients undergoing elective THR surgery (n = 371,191) were younger, more commonly men, and had less comorbidity compared with patients undergoing hip fracture surgery. Following hip fracture surgery (n = 319,804), 10,931 patients (3.42%) died before hospital discharge and 669 patients (0.18%) died after elective THR. Multivariable analysis of the matched populations (n = 234,314) demonstrated a higher risk of mortality (1.82% for hip fracture surgery vs 0.31% for elective THR; absolute risk increase, 1.51% [95% CI, 1.46%-1.55%]; relative risk [RR], 5.88 [95% CI, 5.26-6.58]; P &lt; .001) and of major postoperative complications (5.88% for hip fracture surgery vs 2.34% for elective THR; absolute risk increase, 3.54% [95% CI, 3.50%-3.59%]; RR, 2.50 [95% CI, 2.40-2.62]; P &lt; .001) among patients undergoing hip fracture surgery.\\n\\nCONCLUSIONS AND RELEVANCE: In a large cohort of French patients, hip fracture surgery compared with elective THR was associated with a higher risk of in-hospital mortality after adjustment for age, sex, and measured comorbidities. Further studies are needed to define the causes for these differences.", "author" : [ { "dropping-particle" : "", "family" : "Manach", "given" : "Yannick", "non-dropping-particle" : "Le", "parse-names" : false, "suffix" : "" }, { "dropping-particle" : "", "family" : "Collins", "given" : "Gary", "non-dropping-particle" : "", "parse-names" : false, "suffix" : "" }, { "dropping-particle" : "", "family" : "Bhandari", "given" : "Mohit", "non-dropping-particle" : "", "parse-names" : false, "suffix" : "" }, { "dropping-particle" : "", "family" : "Bessissow", "given" : "Amal", "non-dropping-particle" : "", "parse-names" : false, "suffix" : "" }, { "dropping-particle" : "", "family" : "Boddaert", "given" : "Jacques", "non-dropping-particle" : "", "parse-names" : false, "suffix" : "" }, { "dropping-particle" : "", "family" : "Khiami", "given" : "Fr\u00e9d\u00e9ric", "non-dropping-particle" : "", "parse-names" : false, "suffix" : "" }, { "dropping-particle" : "", "family" : "Chaudhry", "given" : "Harman", "non-dropping-particle" : "", "parse-names" : false, "suffix" : "" }, { "dropping-particle" : "", "family" : "Beer", "given" : "Justin", "non-dropping-particle" : "De", "parse-names" : false, "suffix" : "" }, { "dropping-particle" : "", "family" : "Riou", "given" : "Bruno", "non-dropping-particle" : "", "parse-names" : false, "suffix" : "" }, { "dropping-particle" : "", "family" : "Landais", "given" : "Paul", "non-dropping-particle" : "", "parse-names" : false, "suffix" : "" }, { "dropping-particle" : "", "family" : "Winemaker", "given" : "Mitchell", "non-dropping-particle" : "", "parse-names" : false, "suffix" : "" }, { "dropping-particle" : "", "family" : "Boudemaghe", "given" : "Thierry", "non-dropping-particle" : "", "parse-names" : false, "suffix" : "" }, { "dropping-particle" : "", "family" : "Devereaux", "given" : "P. J.", "non-dropping-particle" : "", "parse-names" : false, "suffix" : "" } ], "container-title" : "JAMA", "id" : "ITEM-1", "issue" : "11", "issued" : { "date-parts" : [ [ "2015", "9", "15" ] ] }, "page" : "1159", "publisher" : "Springer, Paris, France", "title" : "Outcomes After Hip Fracture Surgery Compared With Elective Total Hip Replacement", "type" : "article-journal", "volume" : "314" }, "uris" : [ "http://www.mendeley.com/documents/?uuid=8703be7a-04d6-3aed-be67-7151baf9cc79" ] }, { "id" : "ITEM-2", "itemData" : { "DOI" : "10.1016/j.injury.2004.05.030", "ISBN" : "0020-1383", "ISSN" : "00201383", "abstract" : "Hip fractures in nonagenarians represent a special group because of their advanced age and co-morbidities. Surgery is advocated for their younger counterparts but may not appear desirable in nonagenarians. Eighty-four patients were studied over a 2-year period. There were 73 female and 11 male patients. Forty-seven patients sustained an intertrochanteric fracture of the femur. 37 suffered a neck of femur fracture. ASA score of II was the largest group with 51. At least 62 had one co-morbidity or more; 46 were considered demented with a mental test score of less than 7. The mean length of stay was 31 days. Treatment consisted of either traction or surgery. Forty-six patients were managed surgically and 38 non-surgically. Patient review was done 2 years after the fracture. The overall rate of complications was 52% for the operative and non-operative groups. Death outcome at 24 months was not significantly affected by ASA status, number of co-morbidities at admission, or between surgical and non-surgical treatment. However, there was statistical significance between death and the mini-mental test score of less than 7 (P &lt; 0.05). Forty-three patients were still alive after 2 years; of which 27 had been treated surgically and 16 non-surgically. The overall mortality in both operative and non-operative groups is 49%. Surgery significantly increases the ability for independent ambulation (P &lt; 0.01). Therefore the outcome of non-operative and non-operative treatment in nonagenarians with hip fractures is poor due to the high rates of mortality and morbidity. ?? 2004 Elsevier Ltd. All rights reserved.", "author" : [ { "dropping-particle" : "", "family" : "Ooi", "given" : "L. H.", "non-dropping-particle" : "", "parse-names" : false, "suffix" : "" }, { "dropping-particle" : "", "family" : "Wong", "given" : "T. H.", "non-dropping-particle" : "", "parse-names" : false, "suffix" : "" }, { "dropping-particle" : "", "family" : "Toh", "given" : "C. L.", "non-dropping-particle" : "", "parse-names" : false, "suffix" : "" }, { "dropping-particle" : "", "family" : "Wong", "given" : "H. P.", "non-dropping-particle" : "", "parse-names" : false, "suffix" : "" } ], "container-title" : "Injury", "id" : "ITEM-2", "issue" : "1", "issued" : { "date-parts" : [ [ "2005", "1" ] ] }, "page" : "142-147", "title" : "Hip fractures in nonagenarians - A study on operative and non-operative management", "type" : "article-journal", "volume" : "36" }, "uris" : [ "http://www.mendeley.com/documents/?uuid=622a23b7-ba28-3530-bb65-efa77569d779" ] }, { "id" : "ITEM-3", "itemData" : { "DOI" : "10.1016/j.injury.2014.10.051", "ISBN" : "0020-1383", "ISSN" : "18790267", "PMID" : "25457339", "abstract" : "Introduction Hip fractures are one of the most common types of orthopaedic injury with high rates of morbidity. Currently, no study has compared risk factors and adverse events following the different types of hip fracture surgeries. The purpose of this paper is to investigate the major and minor adverse events and risk factors for complication development associated with five common surgeries for the treatment of hip fractures using the NSQIP database. Methods Using the ACS-NSQIP database, complications for five forms of hip surgeries were selected and categorized into major and minor adverse events. Demographics and clinical variables were collected and an unadjusted bivariate logistic regression analyses was performed to determine significant risk factors for adverse events. Five multivariate regressions were run for each surgery as well as a combined regression analysis. Results A total of 9640 patients undergoing surgery for hip fracture were identified with an adverse events rate of 25.2% (n = 2433). Open reduction and internal fixation of a femoral neck fracture had the greatest percentage of all major events (16.6%) and total adverse events (27.4%), whereas partial hip hemiarthroplasty had the greatest percentage of all minor events (11.6%). Mortality was the most common major adverse event (44.9-50.6%). For minor complications, urinary tract infections were the most common minor adverse event (52.7-62.6%). Significant risk factors for development of any adverse event included age, BMI, gender, race, active smoking status, history of COPD, history of CHF, ASA score, dyspnoea, and functional status, with various combinations of these factors significantly affecting complication development for the individual surgeries. Conclusions Hip fractures are associated with significantly high numbers of adverse events. The type of surgery affects the type of complications developed and also has an effect on what risk factors significantly predict the development of a complication. Concerted efforts from orthopaedists should be made to identify higher risk patients and prevent the most common adverse events that occur postoperatively.", "author" : [ { "dropping-particle" : "", "family" : "Sathiyakumar", "given" : "Vasanth", "non-dropping-particle" : "", "parse-names" : false, "suffix" : "" }, { "dropping-particle" : "", "family" : "Greenberg", "given" : "Sarah E.", "non-dropping-particle" : "", "parse-names" : false, "suffix" : "" }, { "dropping-particle" : "", "family" : "Molina", "given" : "Cesar S.", "non-dropping-particle" : "", "parse-names" : false, "suffix" : "" }, { "dropping-particle" : "V.", "family" : "Thakore", "given" : "Rachel", "non-dropping-particle" : "", "parse-names" : false, "suffix" : "" }, { "dropping-particle" : "", "family" : "Obremskey", "given" : "William T.", "non-dropping-particle" : "", "parse-names" : false, "suffix" : "" }, { "dropping-particle" : "", "family" : "Sethi", "given" : "Manish K.", "non-dropping-particle" : "", "parse-names" : false, "suffix" : "" } ], "container-title" : "Injury", "id" : "ITEM-3", "issue" : "4", "issued" : { "date-parts" : [ [ "2015", "4" ] ] }, "page" : "703-708", "title" : "Hip fractures are risky business: An analysis of the NSQIP data", "type" : "article-journal", "volume" : "46" }, "uris" : [ "http://www.mendeley.com/documents/?uuid=a23170cd-a1e3-3c92-a878-5596ae1ec2cf" ] } ], "mendeley" : { "formattedCitation" : "&lt;sup&gt;[&lt;sup&gt;10&lt;/sup&gt;\u2013&lt;sup&gt;12&lt;/sup&gt;]&lt;/sup&gt;", "plainTextFormattedCitation" : "[10\u201312]", "previouslyFormattedCitation" : "&lt;sup&gt;[&lt;sup&gt;10&lt;/sup&gt;\u2013&lt;sup&gt;12&lt;/sup&gt;]&lt;/sup&gt;" }, "properties" : { "noteIndex" : 0 }, "schema" : "https://github.com/citation-style-language/schema/raw/master/csl-citation.json" }</w:instrText>
      </w:r>
      <w:r w:rsidR="00436A47" w:rsidRPr="006F15BB">
        <w:rPr>
          <w:rFonts w:ascii="Book Antiqua" w:hAnsi="Book Antiqua" w:cs="Times New Roman"/>
          <w:lang w:val="en-GB"/>
        </w:rPr>
        <w:fldChar w:fldCharType="separate"/>
      </w:r>
      <w:r w:rsidR="0052176A" w:rsidRPr="006F15BB">
        <w:rPr>
          <w:rFonts w:ascii="Book Antiqua" w:hAnsi="Book Antiqua" w:cs="Times New Roman"/>
          <w:noProof/>
          <w:vertAlign w:val="superscript"/>
          <w:lang w:val="en-GB"/>
        </w:rPr>
        <w:t>[10</w:t>
      </w:r>
      <w:r w:rsidR="00772635">
        <w:rPr>
          <w:rFonts w:ascii="Book Antiqua" w:hAnsi="Book Antiqua" w:cs="Times New Roman"/>
          <w:noProof/>
          <w:vertAlign w:val="superscript"/>
          <w:lang w:val="en-GB"/>
        </w:rPr>
        <w:t>-</w:t>
      </w:r>
      <w:r w:rsidR="0052176A" w:rsidRPr="006F15BB">
        <w:rPr>
          <w:rFonts w:ascii="Book Antiqua" w:hAnsi="Book Antiqua" w:cs="Times New Roman"/>
          <w:noProof/>
          <w:vertAlign w:val="superscript"/>
          <w:lang w:val="en-GB"/>
        </w:rPr>
        <w:t>12]</w:t>
      </w:r>
      <w:r w:rsidR="00436A47" w:rsidRPr="006F15BB">
        <w:rPr>
          <w:rFonts w:ascii="Book Antiqua" w:hAnsi="Book Antiqua" w:cs="Times New Roman"/>
          <w:lang w:val="en-GB"/>
        </w:rPr>
        <w:fldChar w:fldCharType="end"/>
      </w:r>
      <w:r w:rsidRPr="006F15BB">
        <w:rPr>
          <w:rFonts w:ascii="Book Antiqua" w:hAnsi="Book Antiqua" w:cs="Times New Roman"/>
          <w:lang w:val="en-GB"/>
        </w:rPr>
        <w:t xml:space="preserve">. </w:t>
      </w:r>
      <w:r w:rsidR="0000198E" w:rsidRPr="006F15BB">
        <w:rPr>
          <w:rFonts w:ascii="Book Antiqua" w:hAnsi="Book Antiqua" w:cs="Times New Roman"/>
          <w:lang w:val="en-GB"/>
        </w:rPr>
        <w:t xml:space="preserve">Ours </w:t>
      </w:r>
      <w:r w:rsidR="00041EA7" w:rsidRPr="006F15BB">
        <w:rPr>
          <w:rFonts w:ascii="Book Antiqua" w:hAnsi="Book Antiqua" w:cs="Times New Roman"/>
          <w:lang w:val="en-GB"/>
        </w:rPr>
        <w:t xml:space="preserve">is </w:t>
      </w:r>
      <w:r w:rsidR="00886963" w:rsidRPr="006F15BB">
        <w:rPr>
          <w:rFonts w:ascii="Book Antiqua" w:hAnsi="Book Antiqua" w:cs="Times New Roman"/>
          <w:lang w:val="en-GB"/>
        </w:rPr>
        <w:t xml:space="preserve">among the emerging </w:t>
      </w:r>
      <w:r w:rsidR="00145DFB" w:rsidRPr="006F15BB">
        <w:rPr>
          <w:rFonts w:ascii="Book Antiqua" w:hAnsi="Book Antiqua" w:cs="Times New Roman"/>
          <w:lang w:val="en-GB"/>
        </w:rPr>
        <w:t>literature to</w:t>
      </w:r>
      <w:r w:rsidR="00041EA7" w:rsidRPr="006F15BB">
        <w:rPr>
          <w:rFonts w:ascii="Book Antiqua" w:hAnsi="Book Antiqua" w:cs="Times New Roman"/>
          <w:lang w:val="en-GB"/>
        </w:rPr>
        <w:t xml:space="preserve"> measure hip fracture surgery </w:t>
      </w:r>
      <w:r w:rsidRPr="006F15BB">
        <w:rPr>
          <w:rFonts w:ascii="Book Antiqua" w:hAnsi="Book Antiqua" w:cs="Times New Roman"/>
          <w:lang w:val="en-GB"/>
        </w:rPr>
        <w:t>outcomes in the presence of a DNR status and quantify the impact of this important risk factor</w:t>
      </w:r>
      <w:r w:rsidR="00641966" w:rsidRPr="006F15BB">
        <w:rPr>
          <w:rFonts w:ascii="Book Antiqua" w:hAnsi="Book Antiqua" w:cs="Times New Roman"/>
          <w:lang w:val="en-GB"/>
        </w:rPr>
        <w:t xml:space="preserve"> </w:t>
      </w:r>
      <w:r w:rsidR="00041EA7" w:rsidRPr="006F15BB">
        <w:rPr>
          <w:rFonts w:ascii="Book Antiqua" w:hAnsi="Book Antiqua" w:cs="Times New Roman"/>
          <w:lang w:val="en-GB"/>
        </w:rPr>
        <w:t>in this common condition</w:t>
      </w:r>
      <w:r w:rsidRPr="006F15BB">
        <w:rPr>
          <w:rFonts w:ascii="Book Antiqua" w:hAnsi="Book Antiqua" w:cs="Times New Roman"/>
          <w:lang w:val="en-GB"/>
        </w:rPr>
        <w:t>. Our analysis d</w:t>
      </w:r>
      <w:r w:rsidR="00E3391B" w:rsidRPr="006F15BB">
        <w:rPr>
          <w:rFonts w:ascii="Book Antiqua" w:hAnsi="Book Antiqua" w:cs="Times New Roman"/>
          <w:lang w:val="en-GB"/>
        </w:rPr>
        <w:t>emonstrates that at present, 13.6</w:t>
      </w:r>
      <w:r w:rsidRPr="006F15BB">
        <w:rPr>
          <w:rFonts w:ascii="Book Antiqua" w:hAnsi="Book Antiqua" w:cs="Times New Roman"/>
          <w:lang w:val="en-GB"/>
        </w:rPr>
        <w:t xml:space="preserve">% of all patients undergoing hip </w:t>
      </w:r>
      <w:r w:rsidR="00E3391B" w:rsidRPr="006F15BB">
        <w:rPr>
          <w:rFonts w:ascii="Book Antiqua" w:hAnsi="Book Antiqua" w:cs="Times New Roman"/>
          <w:lang w:val="en-GB"/>
        </w:rPr>
        <w:t xml:space="preserve">fracture </w:t>
      </w:r>
      <w:r w:rsidRPr="006F15BB">
        <w:rPr>
          <w:rFonts w:ascii="Book Antiqua" w:hAnsi="Book Antiqua" w:cs="Times New Roman"/>
          <w:lang w:val="en-GB"/>
        </w:rPr>
        <w:t>surgery have DNR status. This incidence was previously unknown, despite the growing awareness of the high</w:t>
      </w:r>
      <w:r w:rsidR="00E3391B" w:rsidRPr="006F15BB">
        <w:rPr>
          <w:rFonts w:ascii="Book Antiqua" w:hAnsi="Book Antiqua" w:cs="Times New Roman"/>
          <w:lang w:val="en-GB"/>
        </w:rPr>
        <w:t>er</w:t>
      </w:r>
      <w:r w:rsidRPr="006F15BB">
        <w:rPr>
          <w:rFonts w:ascii="Book Antiqua" w:hAnsi="Book Antiqua" w:cs="Times New Roman"/>
          <w:lang w:val="en-GB"/>
        </w:rPr>
        <w:t xml:space="preserve"> risk </w:t>
      </w:r>
      <w:proofErr w:type="spellStart"/>
      <w:r w:rsidRPr="006F15BB">
        <w:rPr>
          <w:rFonts w:ascii="Book Antiqua" w:hAnsi="Book Antiqua" w:cs="Times New Roman"/>
          <w:lang w:val="en-GB"/>
        </w:rPr>
        <w:t>orthogeriatric</w:t>
      </w:r>
      <w:proofErr w:type="spellEnd"/>
      <w:r w:rsidRPr="006F15BB">
        <w:rPr>
          <w:rFonts w:ascii="Book Antiqua" w:hAnsi="Book Antiqua" w:cs="Times New Roman"/>
          <w:lang w:val="en-GB"/>
        </w:rPr>
        <w:t xml:space="preserve"> population. The burden of mortality and morbidity in this population therefore may present a sizeable and specific opportunity for quality improvement</w:t>
      </w:r>
      <w:r w:rsidR="00436A47" w:rsidRPr="006F15BB">
        <w:rPr>
          <w:rFonts w:ascii="Book Antiqua" w:hAnsi="Book Antiqua" w:cs="Times New Roman"/>
          <w:lang w:val="en-GB"/>
        </w:rPr>
        <w:fldChar w:fldCharType="begin" w:fldLock="1"/>
      </w:r>
      <w:r w:rsidR="00C2761D" w:rsidRPr="006F15BB">
        <w:rPr>
          <w:rFonts w:ascii="Book Antiqua" w:hAnsi="Book Antiqua" w:cs="Times New Roman"/>
          <w:lang w:val="en-GB"/>
        </w:rPr>
        <w:instrText>ADDIN CSL_CITATION { "citationItems" : [ { "id" : "ITEM-1", "itemData" : { "DOI" : "10.1377/hlthaff.2013.0714", "ISBN" : "1544-5208 (Electronic)\\r0278-2715 (Linking)", "ISSN" : "02782715", "PMID" : "24191094", "abstract" : "As the US population ages, the increasing prevalence of chronic disease and complex medical conditions will have profound implications for the future health care system. We projected future prevalence of selected diseases and health risk factors to model future demand for health care services for each person in a representative sample of the current and projected future population. Based on changing demographic characteristics and expanded medical coverage under the Affordable Care Act, we project that the demand for adult primary care services will grow by approximately 14 percent between 2013 and 2025. Vascular surgery has the highest projected demand growth (31 percent), followed by cardiology (20 percent) and neurological surgery, radiology, and general surgery (each 18 percent). Market indicators such as long wait times to obtain appointments suggest that the current supply of many specialists throughout the United States is inadequate to meet the current demand. Failure to train sufficient numbers and the correct mix of specialists could exacerbate already long wait times for appointments, reduce access to care for some of the nation's most vulnerable patients, and reduce patients' quality of life.", "author" : [ { "dropping-particle" : "", "family" : "Dall", "given" : "Timothy M", "non-dropping-particle" : "", "parse-names" : false, "suffix" : "" }, { "dropping-particle" : "", "family" : "Gallo", "given" : "Paul D", "non-dropping-particle" : "", "parse-names" : false, "suffix" : "" }, { "dropping-particle" : "", "family" : "Chakrabarti", "given" : "Ritasree", "non-dropping-particle" : "", "parse-names" : false, "suffix" : "" }, { "dropping-particle" : "", "family" : "West", "given" : "Terry", "non-dropping-particle" : "", "parse-names" : false, "suffix" : "" }, { "dropping-particle" : "", "family" : "Semilla", "given" : "April P", "non-dropping-particle" : "", "parse-names" : false, "suffix" : "" }, { "dropping-particle" : "V", "family" : "Storm", "given" : "Michael", "non-dropping-particle" : "", "parse-names" : false, "suffix" : "" } ], "container-title" : "Health Affairs", "id" : "ITEM-1", "issue" : "11", "issued" : { "date-parts" : [ [ "2013", "11", "1" ] ] }, "page" : "2013-2020", "publisher" : "Project HOPE - The People-to-People Health Foundation, Inc.", "title" : "The care span: An aging population and growing disease burden will require a large and specialized health care workforce by 2025", "type" : "article-journal", "volume" : "32" }, "uris" : [ "http://www.mendeley.com/documents/?uuid=a5c80403-c7ed-3ac0-957a-65ca97d71f4b" ] } ], "mendeley" : { "formattedCitation" : "&lt;sup&gt;[&lt;sup&gt;30&lt;/sup&gt;]&lt;/sup&gt;", "plainTextFormattedCitation" : "[30]", "previouslyFormattedCitation" : "&lt;sup&gt;[&lt;sup&gt;30&lt;/sup&gt;]&lt;/sup&gt;" }, "properties" : { "noteIndex" : 0 }, "schema" : "https://github.com/citation-style-language/schema/raw/master/csl-citation.json" }</w:instrText>
      </w:r>
      <w:r w:rsidR="00436A47" w:rsidRPr="006F15BB">
        <w:rPr>
          <w:rFonts w:ascii="Book Antiqua" w:hAnsi="Book Antiqua" w:cs="Times New Roman"/>
          <w:lang w:val="en-GB"/>
        </w:rPr>
        <w:fldChar w:fldCharType="separate"/>
      </w:r>
      <w:r w:rsidR="0052176A" w:rsidRPr="006F15BB">
        <w:rPr>
          <w:rFonts w:ascii="Book Antiqua" w:hAnsi="Book Antiqua" w:cs="Times New Roman"/>
          <w:noProof/>
          <w:vertAlign w:val="superscript"/>
          <w:lang w:val="en-GB"/>
        </w:rPr>
        <w:t>[30]</w:t>
      </w:r>
      <w:r w:rsidR="00436A47" w:rsidRPr="006F15BB">
        <w:rPr>
          <w:rFonts w:ascii="Book Antiqua" w:hAnsi="Book Antiqua" w:cs="Times New Roman"/>
          <w:lang w:val="en-GB"/>
        </w:rPr>
        <w:fldChar w:fldCharType="end"/>
      </w:r>
      <w:r w:rsidRPr="006F15BB">
        <w:rPr>
          <w:rFonts w:ascii="Book Antiqua" w:hAnsi="Book Antiqua" w:cs="Times New Roman"/>
          <w:lang w:val="en-GB"/>
        </w:rPr>
        <w:t>.</w:t>
      </w:r>
      <w:r w:rsidR="007871E0" w:rsidRPr="006F15BB">
        <w:rPr>
          <w:rFonts w:ascii="Book Antiqua" w:hAnsi="Book Antiqua" w:cs="Times New Roman"/>
          <w:lang w:val="en-GB"/>
        </w:rPr>
        <w:t xml:space="preserve"> It may also identify a skills gap or systems gap in broaching discussions about end of life wishes in a </w:t>
      </w:r>
      <w:r w:rsidR="00041EA7" w:rsidRPr="006F15BB">
        <w:rPr>
          <w:rFonts w:ascii="Book Antiqua" w:hAnsi="Book Antiqua" w:cs="Times New Roman"/>
          <w:lang w:val="en-GB"/>
        </w:rPr>
        <w:t>pre</w:t>
      </w:r>
      <w:r w:rsidR="00772635">
        <w:rPr>
          <w:rFonts w:ascii="Book Antiqua" w:hAnsi="Book Antiqua" w:cs="Times New Roman"/>
          <w:lang w:val="en-GB"/>
        </w:rPr>
        <w:t>-</w:t>
      </w:r>
      <w:r w:rsidR="00041EA7" w:rsidRPr="006F15BB">
        <w:rPr>
          <w:rFonts w:ascii="Book Antiqua" w:hAnsi="Book Antiqua" w:cs="Times New Roman"/>
          <w:lang w:val="en-GB"/>
        </w:rPr>
        <w:t xml:space="preserve">emptive, </w:t>
      </w:r>
      <w:r w:rsidR="007871E0" w:rsidRPr="006F15BB">
        <w:rPr>
          <w:rFonts w:ascii="Book Antiqua" w:hAnsi="Book Antiqua" w:cs="Times New Roman"/>
          <w:lang w:val="en-GB"/>
        </w:rPr>
        <w:t>comprehen</w:t>
      </w:r>
      <w:r w:rsidR="00041EA7" w:rsidRPr="006F15BB">
        <w:rPr>
          <w:rFonts w:ascii="Book Antiqua" w:hAnsi="Book Antiqua" w:cs="Times New Roman"/>
          <w:lang w:val="en-GB"/>
        </w:rPr>
        <w:t xml:space="preserve">sive, acceptable and sensitive </w:t>
      </w:r>
      <w:r w:rsidR="007871E0" w:rsidRPr="006F15BB">
        <w:rPr>
          <w:rFonts w:ascii="Book Antiqua" w:hAnsi="Book Antiqua" w:cs="Times New Roman"/>
          <w:lang w:val="en-GB"/>
        </w:rPr>
        <w:t>fashion.</w:t>
      </w:r>
      <w:r w:rsidR="0034509C">
        <w:rPr>
          <w:rFonts w:ascii="Book Antiqua" w:hAnsi="Book Antiqua" w:cs="Times New Roman"/>
          <w:lang w:val="en-GB"/>
        </w:rPr>
        <w:t xml:space="preserve"> </w:t>
      </w:r>
      <w:r w:rsidR="00886963" w:rsidRPr="006F15BB">
        <w:rPr>
          <w:rFonts w:ascii="Book Antiqua" w:hAnsi="Book Antiqua" w:cs="Times New Roman"/>
          <w:lang w:val="en-GB"/>
        </w:rPr>
        <w:t>Shared surgical decision making is an emerging topic in the literature, and there have been research and policy agendas proposed for improved perioperative code status discussion between providers involved in perioperative care and patients as well as their families</w:t>
      </w:r>
      <w:r w:rsidR="00436A47" w:rsidRPr="006F15BB">
        <w:rPr>
          <w:rFonts w:ascii="Book Antiqua" w:hAnsi="Book Antiqua" w:cs="Times New Roman"/>
          <w:lang w:val="en-GB"/>
        </w:rPr>
        <w:fldChar w:fldCharType="begin" w:fldLock="1"/>
      </w:r>
      <w:r w:rsidR="00C2761D" w:rsidRPr="006F15BB">
        <w:rPr>
          <w:rFonts w:ascii="Book Antiqua" w:hAnsi="Book Antiqua" w:cs="Times New Roman"/>
          <w:lang w:val="en-GB"/>
        </w:rPr>
        <w:instrText>ADDIN CSL_CITATION { "citationItems" : [ { "id" : "ITEM-1", "itemData" : { "DOI" : "10.1213/XAA.0000000000000327", "ISSN" : "2325-7237", "author" : [ { "dropping-particle" : "", "family" : "Hickey", "given" : "Thomas R.", "non-dropping-particle" : "", "parse-names" : false, "suffix" : "" }, { "dropping-particle" : "", "family" : "Cooper", "given" : "Zara", "non-dropping-particle" : "", "parse-names" : false, "suffix" : "" }, { "dropping-particle" : "", "family" : "Urman", "given" : "Richard D.", "non-dropping-particle" : "", "parse-names" : false, "suffix" : "" }, { "dropping-particle" : "", "family" : "Hepner", "given" : "David L.", "non-dropping-particle" : "", "parse-names" : false, "suffix" : "" }, { "dropping-particle" : "", "family" : "Bader", "given" : "Angela M.", "non-dropping-particle" : "", "parse-names" : false, "suffix" : "" } ], "container-title" : "A &amp; A Case Reports", "id" : "ITEM-1", "issue" : "12", "issued" : { "date-parts" : [ [ "2016", "6" ] ] }, "page" : "411-415", "title" : "An Agenda for Improving Perioperative Code Status Discussion", "type" : "article-journal", "volume" : "6" }, "uris" : [ "http://www.mendeley.com/documents/?uuid=8f7124f9-e13f-3662-8eb1-2b635349a2f4" ] } ], "mendeley" : { "formattedCitation" : "&lt;sup&gt;[&lt;sup&gt;31&lt;/sup&gt;]&lt;/sup&gt;", "plainTextFormattedCitation" : "[31]", "previouslyFormattedCitation" : "&lt;sup&gt;[&lt;sup&gt;31&lt;/sup&gt;]&lt;/sup&gt;" }, "properties" : { "noteIndex" : 0 }, "schema" : "https://github.com/citation-style-language/schema/raw/master/csl-citation.json" }</w:instrText>
      </w:r>
      <w:r w:rsidR="00436A47" w:rsidRPr="006F15BB">
        <w:rPr>
          <w:rFonts w:ascii="Book Antiqua" w:hAnsi="Book Antiqua" w:cs="Times New Roman"/>
          <w:lang w:val="en-GB"/>
        </w:rPr>
        <w:fldChar w:fldCharType="separate"/>
      </w:r>
      <w:r w:rsidR="0052176A" w:rsidRPr="006F15BB">
        <w:rPr>
          <w:rFonts w:ascii="Book Antiqua" w:hAnsi="Book Antiqua" w:cs="Times New Roman"/>
          <w:noProof/>
          <w:vertAlign w:val="superscript"/>
          <w:lang w:val="en-GB"/>
        </w:rPr>
        <w:t>[31]</w:t>
      </w:r>
      <w:r w:rsidR="00436A47" w:rsidRPr="006F15BB">
        <w:rPr>
          <w:rFonts w:ascii="Book Antiqua" w:hAnsi="Book Antiqua" w:cs="Times New Roman"/>
          <w:lang w:val="en-GB"/>
        </w:rPr>
        <w:fldChar w:fldCharType="end"/>
      </w:r>
      <w:r w:rsidR="00886963" w:rsidRPr="006F15BB">
        <w:rPr>
          <w:rFonts w:ascii="Book Antiqua" w:hAnsi="Book Antiqua" w:cs="Times New Roman"/>
          <w:lang w:val="en-GB"/>
        </w:rPr>
        <w:t>.</w:t>
      </w:r>
      <w:r w:rsidR="0034509C">
        <w:rPr>
          <w:rFonts w:ascii="Book Antiqua" w:hAnsi="Book Antiqua" w:cs="Times New Roman"/>
          <w:lang w:val="en-GB"/>
        </w:rPr>
        <w:t xml:space="preserve"> </w:t>
      </w:r>
    </w:p>
    <w:p w14:paraId="476DD16F" w14:textId="77777777" w:rsidR="00E3391B" w:rsidRPr="006F15BB" w:rsidRDefault="0059079E" w:rsidP="008E7BBF">
      <w:pPr>
        <w:adjustRightInd w:val="0"/>
        <w:snapToGrid w:val="0"/>
        <w:spacing w:line="360" w:lineRule="auto"/>
        <w:ind w:firstLine="720"/>
        <w:jc w:val="both"/>
        <w:rPr>
          <w:rFonts w:ascii="Book Antiqua" w:hAnsi="Book Antiqua" w:cs="Times New Roman"/>
          <w:lang w:val="en-GB" w:eastAsia="zh-CN"/>
        </w:rPr>
      </w:pPr>
      <w:r w:rsidRPr="006F15BB">
        <w:rPr>
          <w:rFonts w:ascii="Book Antiqua" w:hAnsi="Book Antiqua" w:cs="Times New Roman"/>
          <w:lang w:val="en-GB"/>
        </w:rPr>
        <w:t xml:space="preserve">We </w:t>
      </w:r>
      <w:r w:rsidR="003528D1" w:rsidRPr="006F15BB">
        <w:rPr>
          <w:rFonts w:ascii="Book Antiqua" w:hAnsi="Book Antiqua" w:cs="Times New Roman"/>
          <w:lang w:val="en-GB"/>
        </w:rPr>
        <w:t>report</w:t>
      </w:r>
      <w:r w:rsidR="0048191D" w:rsidRPr="006F15BB">
        <w:rPr>
          <w:rFonts w:ascii="Book Antiqua" w:hAnsi="Book Antiqua" w:cs="Times New Roman"/>
          <w:lang w:val="en-GB"/>
        </w:rPr>
        <w:t xml:space="preserve"> that patients with DNR status </w:t>
      </w:r>
      <w:r w:rsidR="00FA5BB5" w:rsidRPr="006F15BB">
        <w:rPr>
          <w:rFonts w:ascii="Book Antiqua" w:hAnsi="Book Antiqua" w:cs="Times New Roman"/>
          <w:lang w:val="en-GB"/>
        </w:rPr>
        <w:t xml:space="preserve">undergoing hip fracture surgery </w:t>
      </w:r>
      <w:r w:rsidR="0048191D" w:rsidRPr="006F15BB">
        <w:rPr>
          <w:rFonts w:ascii="Book Antiqua" w:hAnsi="Book Antiqua" w:cs="Times New Roman"/>
          <w:lang w:val="en-GB"/>
        </w:rPr>
        <w:t xml:space="preserve">were more likely to be female, </w:t>
      </w:r>
      <w:r w:rsidR="00195E05" w:rsidRPr="006F15BB">
        <w:rPr>
          <w:rFonts w:ascii="Book Antiqua" w:hAnsi="Book Antiqua" w:cs="Times New Roman"/>
          <w:lang w:val="en-GB"/>
        </w:rPr>
        <w:t>aged over &gt;</w:t>
      </w:r>
      <w:r w:rsidR="00772635">
        <w:rPr>
          <w:rFonts w:ascii="Book Antiqua" w:hAnsi="Book Antiqua" w:cs="Times New Roman" w:hint="eastAsia"/>
          <w:lang w:val="en-GB" w:eastAsia="zh-CN"/>
        </w:rPr>
        <w:t xml:space="preserve"> </w:t>
      </w:r>
      <w:r w:rsidR="00195E05" w:rsidRPr="006F15BB">
        <w:rPr>
          <w:rFonts w:ascii="Book Antiqua" w:hAnsi="Book Antiqua" w:cs="Times New Roman"/>
          <w:lang w:val="en-GB"/>
        </w:rPr>
        <w:t>80 years,</w:t>
      </w:r>
      <w:r w:rsidR="00482EEC">
        <w:rPr>
          <w:rFonts w:ascii="Book Antiqua" w:hAnsi="Book Antiqua" w:cs="Times New Roman"/>
          <w:lang w:val="en-GB"/>
        </w:rPr>
        <w:t xml:space="preserve"> </w:t>
      </w:r>
      <w:proofErr w:type="spellStart"/>
      <w:r w:rsidR="00195E05" w:rsidRPr="006F15BB">
        <w:rPr>
          <w:rFonts w:ascii="Book Antiqua" w:hAnsi="Book Antiqua" w:cs="Times New Roman"/>
          <w:lang w:val="en-GB"/>
        </w:rPr>
        <w:t>dyspneic</w:t>
      </w:r>
      <w:proofErr w:type="spellEnd"/>
      <w:r w:rsidR="00195E05" w:rsidRPr="006F15BB">
        <w:rPr>
          <w:rFonts w:ascii="Book Antiqua" w:hAnsi="Book Antiqua" w:cs="Times New Roman"/>
          <w:lang w:val="en-GB"/>
        </w:rPr>
        <w:t xml:space="preserve"> with moderate exertion or rest, ASA class III or IV, partially or totally dependent for activities of daily living or diagnosed with hypertension, diabetes, COPD, CHF, PVD, prior stroke, weight loss, or sepsis</w:t>
      </w:r>
      <w:r w:rsidR="00195E05" w:rsidRPr="006F15BB" w:rsidDel="00195E05">
        <w:rPr>
          <w:rFonts w:ascii="Book Antiqua" w:hAnsi="Book Antiqua" w:cs="Times New Roman"/>
          <w:lang w:val="en-GB"/>
        </w:rPr>
        <w:t xml:space="preserve"> </w:t>
      </w:r>
      <w:r w:rsidR="004A01B0" w:rsidRPr="006F15BB">
        <w:rPr>
          <w:rFonts w:ascii="Book Antiqua" w:hAnsi="Book Antiqua" w:cs="Times New Roman"/>
          <w:lang w:val="en-GB"/>
        </w:rPr>
        <w:t xml:space="preserve">and this is </w:t>
      </w:r>
      <w:r w:rsidR="0048191D" w:rsidRPr="006F15BB">
        <w:rPr>
          <w:rFonts w:ascii="Book Antiqua" w:hAnsi="Book Antiqua" w:cs="Times New Roman"/>
          <w:lang w:val="en-GB"/>
        </w:rPr>
        <w:t>in keeping with patterns desc</w:t>
      </w:r>
      <w:r w:rsidR="00E94295" w:rsidRPr="006F15BB">
        <w:rPr>
          <w:rFonts w:ascii="Book Antiqua" w:hAnsi="Book Antiqua" w:cs="Times New Roman"/>
          <w:lang w:val="en-GB"/>
        </w:rPr>
        <w:t>ribed</w:t>
      </w:r>
      <w:r w:rsidR="0048191D" w:rsidRPr="006F15BB">
        <w:rPr>
          <w:rFonts w:ascii="Book Antiqua" w:hAnsi="Book Antiqua" w:cs="Times New Roman"/>
          <w:lang w:val="en-GB"/>
        </w:rPr>
        <w:t xml:space="preserve"> </w:t>
      </w:r>
      <w:r w:rsidR="00E3391B" w:rsidRPr="006F15BB">
        <w:rPr>
          <w:rFonts w:ascii="Book Antiqua" w:hAnsi="Book Antiqua" w:cs="Times New Roman"/>
          <w:lang w:val="en-GB"/>
        </w:rPr>
        <w:t>elsewhere</w:t>
      </w:r>
      <w:r w:rsidR="00436A47" w:rsidRPr="006F15BB">
        <w:rPr>
          <w:rFonts w:ascii="Book Antiqua" w:hAnsi="Book Antiqua" w:cs="Times New Roman"/>
          <w:lang w:val="en-GB"/>
        </w:rPr>
        <w:fldChar w:fldCharType="begin" w:fldLock="1"/>
      </w:r>
      <w:r w:rsidR="00C2761D" w:rsidRPr="006F15BB">
        <w:rPr>
          <w:rFonts w:ascii="Book Antiqua" w:hAnsi="Book Antiqua" w:cs="Times New Roman"/>
          <w:lang w:val="en-GB"/>
        </w:rPr>
        <w:instrText>ADDIN CSL_CITATION { "citationItems" : [ { "id" : "ITEM-1", "itemData" : { "ISBN" : "0003-4819", "ISSN" : "0003-4819", "PMID" : "8678391", "abstract" : "BACKGROUND: Medical treatment decisions should be based on the preferences of informed patients or their proxies and on the expected outcomes of treatment. Because seriously ill patients are at risk for cardiac arrest, examination of do-not-resuscitate (DNR) practices affecting them provides useful insights into the associations between various factors and medical decision making.\\n\\nOBJECTIVE: To examine the association between patients' preferences for resuscitation (along with other patient and physician characteristics) and the frequency and timing of DNR orders.\\n\\nDESIGN: Prospective cohort study.\\n\\nSETTING: 5 teaching hospitals.\\n\\nPATIENTS: 6802 seriously ill hospitalized patients enrolled in the Study to Understand Prognoses and Preferences for Outcomes and Risks of Treatment (SUPPORT) between 1989 and 1994.\\n\\nMEASUREMENTS: Patients and their surrogates were interviewed about patients' cardiopulmonary resuscitation preferences, medical records were reviewed to determine disease severity, and a multivariable regression model was constructed to predict the time to the first DNR order.\\n\\nRESULTS: The patients' preference for cardiopulmonary resuscitation was the most important predictor of the timing of DNR orders, but only 52% of patients who preferred not to be resuscitated actually had DNR orders written. The probability of surviving for 2 months was the next most important predictor of the timing of DNR orders. Although DNR orders were not linearly related to the probability of surviving for 2 months, they were written earlier and more frequently for patients with a 50% or lower probability of surviving for 2 months. Orders were written more quickly for patients older than 75 years of age, regardless of prognosis. After adjustment for these and other influential patient characteristics, the use and timing of DNR orders varied significantly among physician specialties and among hospitals.\\n\\nCONCLUSIONS: Patients' preferences and short-term prognoses are associated with the timing of DNR orders. However, the substantial variation seen among hospital sites and among physician specialties suggests that there is room for improvement. In this study, DNR orders were written earlier for patients older than 75 years of age, regardless of prognosis. This finding suggests that physicians may be using age in a way that is inconsistent with the reported association between age and survival. The process for making decisions about DNR orders needs to be \u2026", "author" : [ { "dropping-particle" : "", "family" : "Hakim", "given" : "R B", "non-dropping-particle" : "", "parse-names" : false, "suffix" : "" }, { "dropping-particle" : "", "family" : "Teno", "given" : "J M", "non-dropping-particle" : "", "parse-names" : false, "suffix" : "" }, { "dropping-particle" : "", "family" : "Harrell", "given" : "F E", "non-dropping-particle" : "", "parse-names" : false, "suffix" : "" }, { "dropping-particle" : "", "family" : "Knaus", "given" : "W A", "non-dropping-particle" : "", "parse-names" : false, "suffix" : "" }, { "dropping-particle" : "", "family" : "Wenger", "given" : "N", "non-dropping-particle" : "", "parse-names" : false, "suffix" : "" }, { "dropping-particle" : "", "family" : "Phillips", "given" : "R S", "non-dropping-particle" : "", "parse-names" : false, "suffix" : "" }, { "dropping-particle" : "", "family" : "Layde", "given" : "P", "non-dropping-particle" : "", "parse-names" : false, "suffix" : "" }, { "dropping-particle" : "", "family" : "Califf", "given" : "R", "non-dropping-particle" : "", "parse-names" : false, "suffix" : "" }, { "dropping-particle" : "", "family" : "Connors", "given" : "A F", "non-dropping-particle" : "", "parse-names" : false, "suffix" : "" }, { "dropping-particle" : "", "family" : "Lynn", "given" : "J", "non-dropping-particle" : "", "parse-names" : false, "suffix" : "" } ], "container-title" : "Annals of internal medicine", "id" : "ITEM-1", "issue" : "4", "issued" : { "date-parts" : [ [ "1996" ] ] }, "page" : "284-93", "title" : "Factors associated with do-not-resuscitate orders: patients' preferences, prognoses, and physicians' judgments. SUPPORT Investigators. Study to Understand Prognoses and Preferences for Outcomes and Risks of Treatment.", "type" : "article-journal", "volume" : "125" }, "uris" : [ "http://www.mendeley.com/documents/?uuid=92c7e936-3caf-3381-b93e-ed6e646b235f" ] }, { "id" : "ITEM-2", "itemData" : { "DOI" : "10.1001/archsurg.2011.69", "ISSN" : "0004-0010", "abstract" : "Objective To evaluate outcomes of patients who undergo surgery with a do-not-resuscitate (DNR) order. Design Retrospective cohort study. Setting More than 120 hospitals participating in the American College of Surgeons National Surgical Quality Improvement Program from 2005 to 2008. Patients There were 4128 adult DNR patients and 4128 age-matched and procedure-matched non-DNR patients. Main Outcome Measures Outcomes were occurrence of 1 or more postoperative complications, reoperation, death within 30 days of surgery, total time in the operating room, and length of stay. The \u03c72 test was used for categorical variables and t and Wilcoxon tests were used for continuous variables. Multivariate logistic regression was done to determine independent risk factors associated with mortality in DNR patients. Results Most DNR patients were white (81.5%), female (58.2%), and elderly (mean age, 79 years). Compared with non-DNR patients, DNR patients experienced longer length of stay (36% increase; P &lt; .001) and higher complication (26.4% vs 31%; P &lt; .001) and mortality (8.4% vs 23.1%; P &lt; .001) rates. Nearly 63% of DNR patients underwent nonemergent procedures; they sustained a 16.6% mortality rate. After risk adjustment, DNR status remained an independent predictor of mortality (odds ratio, 2.2; 95% confidence interval, 1.8-2.8). American Society of Anesthesiologists class 3 to 5, age older than 65 years, and preoperative sepsis were among independent risk factors associated with mortality in DNR patients. Conclusions Surgical patients with DNR orders have significant comorbidities; many sustain postoperative complications, and nearly 1 in 4 die within 30 days of surgery. Do-not-resuscitate status appears to be an independent risk factor for poor surgical outcome.", "author" : [ { "dropping-particle" : "", "family" : "Kazaure", "given" : "Hadiza", "non-dropping-particle" : "", "parse-names" : false, "suffix" : "" }, { "dropping-particle" : "", "family" : "Roman", "given" : "Sanziana", "non-dropping-particle" : "", "parse-names" : false, "suffix" : "" }, { "dropping-particle" : "", "family" : "Sosa", "given" : "Julie A.", "non-dropping-particle" : "", "parse-names" : false, "suffix" : "" } ], "container-title" : "Archives of Surgery", "id" : "ITEM-2", "issue" : "8", "issued" : { "date-parts" : [ [ "2011", "8", "1" ] ] }, "page" : "922", "publisher" : "American Medical Association", "title" : "High Mortality in Surgical Patients With Do-Not-Resuscitate Orders", "type" : "article-journal", "volume" : "146" }, "uris" : [ "http://www.mendeley.com/documents/?uuid=fd1db2dd-8c1c-30df-ab35-dd643363aa4a" ] }, { "id" : "ITEM-3", "itemData" : { "DOI" : "10.1111/ijs.12161", "ISBN" : "1747-4949 (Electronic)\\n1747-4930 (Linking)", "ISSN" : "17474930", "PMID" : "24148872", "abstract" : "BACKGROUND AND PURPOSE: Do-not-resuscitate orders may be associated with poor outcome in patients with intracerebral hemorrhage because of less active management.\\n\\nAIMS: We sought to characterize the practice of issuing do-not-resuscitate orders in intracerebral hemorrhage. We also aimed to identify possible differences in care according to do-not-resuscitate status.\\n\\nMETHODS: We conducted a retrospective study of all consecutive intracerebral hemorrhage patients admitted to the Meilahti Hospital of the Helsinki University Central Hospital between January 2005 and March 2010. Data obtained from medical records allowed comparison of characteristics of patients and care of do-not-resuscitate and non-do-not-resuscitate patients as well as patients with early (within 24 h) and late (&gt;24 h) do-not-resuscitate decisions. Logistic regression was used to identify factors independently associated with do-not-resuscitate decisions.\\n\\nRESULTS: Of our 1013 patients, a do-not-resuscitate order was issued in 368 (35%), of which 262 (73%) occurred within 24 h from admission. Advanced age (odds ratio 1\u00b706 per year; 95% confidence interval 1\u00b704-1\u00b708), more severe stroke (1\u00b709 per National Institutes of Health Stroke Scale point; 1\u00b706-1\u00b713), and deterioration soon after admission (5\u00b712, 3\u00b733-7\u00b787) had the strongest associations with do-not-resuscitate decisions. Patients with do-not-resuscitate orders received recommended care including stroke unit care (43% vs. 64%; P &lt; 0\u00b7001) and prophylaxis for deep venous thrombosis (45% vs. 54%; P = 0\u00b7027) less often than non-do-not-resuscitate patients. This was especially the case when the do-not-resuscitate order was issued early.\\n\\nCONCLUSIONS: In addition to confirming the role of known intracerebral hemorrhage prognostic factors in do-not-resuscitate decision-making, our results demonstrate that do-not-resuscitate orders led to less active care of intracerebral hemorrhage patients.", "author" : [ { "dropping-particle" : "", "family" : "Silvennoinen", "given" : "Katri", "non-dropping-particle" : "", "parse-names" : false, "suffix" : "" }, { "dropping-particle" : "", "family" : "Meretoja", "given" : "Atte", "non-dropping-particle" : "", "parse-names" : false, "suffix" : "" }, { "dropping-particle" : "", "family" : "Strbian", "given" : "Daniel", "non-dropping-particle" : "", "parse-names" : false, "suffix" : "" }, { "dropping-particle" : "", "family" : "Putaala", "given" : "Jukka", "non-dropping-particle" : "", "parse-names" : false, "suffix" : "" }, { "dropping-particle" : "", "family" : "Kaste", "given" : "Markku", "non-dropping-particle" : "", "parse-names" : false, "suffix" : "" }, { "dropping-particle" : "", "family" : "Tatlisumak", "given" : "Turgut", "non-dropping-particle" : "", "parse-names" : false, "suffix" : "" } ], "container-title" : "International Journal of Stroke", "id" : "ITEM-3", "issue" : "1", "issued" : { "date-parts" : [ [ "2014", "1", "22" ] ] }, "page" : "53-58", "title" : "Do-not-resuscitate (DNR) orders in patients with intracerebral hemorrhage", "type" : "article-journal", "volume" : "9" }, "uris" : [ "http://www.mendeley.com/documents/?uuid=a72a90ef-b5f7-38c6-8025-26373d3018cf" ] }, { "id" : "ITEM-4", "itemData" : { "DOI" : "10.1001/archinte.1995.00430190042006", "ISSN" : "0003-9926", "abstract" : "Background: The relationship of do-not-resuscitate (DNR) orders to patient and hospital characteristics has not been well characterized. Methods: This observational study of a nationally representative sample of 14 008 Medicare patients hospitalized with congestive heart failure, acute myocardial infarction, pneumonia, cerebrovascular accident, or hip fracture evaluated the relationship of DNR orders to patient sickness at admission, functional impairment, age, disease, race, gender, preadmission residence, insurance status, and hospital characteristics. Results: Of the 14 008 patients, DNR orders were assigned to 11.6%. Patients with greater sickness at admission and functional impairment received more DNR orders (P&lt;.001) but even among patients in the sickest quartile (with a 65% chance of death within 180 days), only 31% received DNR orders. The DNR orders were assigned more often to older patients after adjustment for sickness at admission and functional impairment (P&lt;.001), and DNR order rates differed by diagnosis (P&lt;.001). After adjustment for patient and hospital characteristics, DNR orders were assigned more often to women and patients with dementia or incontinence and were assigned less often to black patients, patients with Medicaid insurance, and patients in rural hospitals. Conclusions: Do-not-resuscitate orders are assigned more often to sicker patients but may be underused even among the most sick. Sickness at admission and functional impairment do not explain the increase in DNR orders with age or the disparity across diagnosis. Further evaluation is needed into whether variation in DNR order rates with age, diagnosis, race, gender, insurance status, and rural location represents differences in patient preferences or care compromising patient autonomy. (Arch Intern Med. 1995;155:2056-2062)", "author" : [ { "dropping-particle" : "", "family" : "Wenger", "given" : "Neil S.", "non-dropping-particle" : "", "parse-names" : false, "suffix" : "" }, { "dropping-particle" : "", "family" : "Pearson", "given" : "Marjorie L.", "non-dropping-particle" : "", "parse-names" : false, "suffix" : "" }, { "dropping-particle" : "", "family" : "Desmond", "given" : "Katherine A.", "non-dropping-particle" : "", "parse-names" : false, "suffix" : "" }, { "dropping-particle" : "", "family" : "Harrison", "given" : "Ellen R.", "non-dropping-particle" : "", "parse-names" : false, "suffix" : "" }, { "dropping-particle" : "V.", "family" : "Rubenstein", "given" : "Lisa", "non-dropping-particle" : "", "parse-names" : false, "suffix" : "" }, { "dropping-particle" : "", "family" : "Rogers", "given" : "William H.", "non-dropping-particle" : "", "parse-names" : false, "suffix" : "" }, { "dropping-particle" : "", "family" : "Kahn", "given" : "Katherine L.", "non-dropping-particle" : "", "parse-names" : false, "suffix" : "" } ], "container-title" : "Archives of Internal Medicine", "id" : "ITEM-4", "issue" : "19", "issued" : { "date-parts" : [ [ "1995", "10", "23" ] ] }, "page" : "2056", "publisher" : "American Medical Association", "title" : "Epidemiology of Do-Not-Resuscitate Orders", "type" : "article-journal", "volume" : "155" }, "uris" : [ "http://www.mendeley.com/documents/?uuid=4c385648-6965-30b6-bfaf-af9dfb4bb083" ] } ], "mendeley" : { "formattedCitation" : "&lt;sup&gt;[&lt;sup&gt;4&lt;/sup&gt;, &lt;sup&gt;25&lt;/sup&gt;, &lt;sup&gt;32&lt;/sup&gt;, &lt;sup&gt;33&lt;/sup&gt;]&lt;/sup&gt;", "plainTextFormattedCitation" : "[4, 25, 32, 33]", "previouslyFormattedCitation" : "&lt;sup&gt;[&lt;sup&gt;4&lt;/sup&gt;, &lt;sup&gt;25&lt;/sup&gt;, &lt;sup&gt;32&lt;/sup&gt;, &lt;sup&gt;33&lt;/sup&gt;]&lt;/sup&gt;" }, "properties" : { "noteIndex" : 0 }, "schema" : "https://github.com/citation-style-language/schema/raw/master/csl-citation.json" }</w:instrText>
      </w:r>
      <w:r w:rsidR="00436A47" w:rsidRPr="006F15BB">
        <w:rPr>
          <w:rFonts w:ascii="Book Antiqua" w:hAnsi="Book Antiqua" w:cs="Times New Roman"/>
          <w:lang w:val="en-GB"/>
        </w:rPr>
        <w:fldChar w:fldCharType="separate"/>
      </w:r>
      <w:r w:rsidR="00772635">
        <w:rPr>
          <w:rFonts w:ascii="Book Antiqua" w:hAnsi="Book Antiqua" w:cs="Times New Roman"/>
          <w:noProof/>
          <w:vertAlign w:val="superscript"/>
          <w:lang w:val="en-GB"/>
        </w:rPr>
        <w:t>[4,25,32,</w:t>
      </w:r>
      <w:r w:rsidR="0052176A" w:rsidRPr="006F15BB">
        <w:rPr>
          <w:rFonts w:ascii="Book Antiqua" w:hAnsi="Book Antiqua" w:cs="Times New Roman"/>
          <w:noProof/>
          <w:vertAlign w:val="superscript"/>
          <w:lang w:val="en-GB"/>
        </w:rPr>
        <w:t>33]</w:t>
      </w:r>
      <w:r w:rsidR="00436A47" w:rsidRPr="006F15BB">
        <w:rPr>
          <w:rFonts w:ascii="Book Antiqua" w:hAnsi="Book Antiqua" w:cs="Times New Roman"/>
          <w:lang w:val="en-GB"/>
        </w:rPr>
        <w:fldChar w:fldCharType="end"/>
      </w:r>
      <w:r w:rsidR="0048191D" w:rsidRPr="006F15BB">
        <w:rPr>
          <w:rFonts w:ascii="Book Antiqua" w:hAnsi="Book Antiqua" w:cs="Times New Roman"/>
          <w:lang w:val="en-GB"/>
        </w:rPr>
        <w:t xml:space="preserve">. </w:t>
      </w:r>
      <w:r w:rsidR="00AF1FAC" w:rsidRPr="006F15BB">
        <w:rPr>
          <w:rFonts w:ascii="Book Antiqua" w:hAnsi="Book Antiqua" w:cs="Times New Roman"/>
          <w:lang w:val="en-GB"/>
        </w:rPr>
        <w:t xml:space="preserve">Similar to previous reports on DNR status, </w:t>
      </w:r>
      <w:r w:rsidR="0048191D" w:rsidRPr="006F15BB">
        <w:rPr>
          <w:rFonts w:ascii="Book Antiqua" w:hAnsi="Book Antiqua" w:cs="Times New Roman"/>
          <w:lang w:val="en-GB"/>
        </w:rPr>
        <w:t>we</w:t>
      </w:r>
      <w:r w:rsidR="004A01B0" w:rsidRPr="006F15BB">
        <w:rPr>
          <w:rFonts w:ascii="Book Antiqua" w:hAnsi="Book Antiqua" w:cs="Times New Roman"/>
          <w:lang w:val="en-GB"/>
        </w:rPr>
        <w:t xml:space="preserve"> </w:t>
      </w:r>
      <w:r w:rsidR="00F5612A" w:rsidRPr="006F15BB">
        <w:rPr>
          <w:rFonts w:ascii="Book Antiqua" w:hAnsi="Book Antiqua" w:cs="Times New Roman"/>
          <w:lang w:val="en-GB"/>
        </w:rPr>
        <w:t xml:space="preserve">also </w:t>
      </w:r>
      <w:r w:rsidR="0048191D" w:rsidRPr="006F15BB">
        <w:rPr>
          <w:rFonts w:ascii="Book Antiqua" w:hAnsi="Book Antiqua" w:cs="Times New Roman"/>
          <w:lang w:val="en-GB"/>
        </w:rPr>
        <w:t xml:space="preserve">found patients with DNR status were </w:t>
      </w:r>
      <w:r w:rsidR="00195E05" w:rsidRPr="006F15BB">
        <w:rPr>
          <w:rFonts w:ascii="Book Antiqua" w:hAnsi="Book Antiqua" w:cs="Times New Roman"/>
          <w:lang w:val="en-GB"/>
        </w:rPr>
        <w:t xml:space="preserve">less likely to report their race/ethnicity and more likely to be underweight (BMI </w:t>
      </w:r>
      <w:r w:rsidR="00A57D52">
        <w:rPr>
          <w:rFonts w:ascii="Book Antiqua" w:hAnsi="Book Antiqua" w:cs="Times New Roman"/>
          <w:lang w:val="en-GB"/>
        </w:rPr>
        <w:t>&lt;</w:t>
      </w:r>
      <w:r w:rsidR="00482EEC">
        <w:rPr>
          <w:rFonts w:ascii="Book Antiqua" w:hAnsi="Book Antiqua" w:cs="Times New Roman"/>
          <w:lang w:val="en-GB"/>
        </w:rPr>
        <w:t xml:space="preserve"> </w:t>
      </w:r>
      <w:r w:rsidR="00195E05" w:rsidRPr="006F15BB">
        <w:rPr>
          <w:rFonts w:ascii="Book Antiqua" w:hAnsi="Book Antiqua" w:cs="Times New Roman"/>
          <w:lang w:val="en-GB"/>
        </w:rPr>
        <w:t>18.5)</w:t>
      </w:r>
      <w:r w:rsidR="00436A47" w:rsidRPr="006F15BB">
        <w:rPr>
          <w:rFonts w:ascii="Book Antiqua" w:hAnsi="Book Antiqua" w:cs="Times New Roman"/>
          <w:lang w:val="en-GB"/>
        </w:rPr>
        <w:fldChar w:fldCharType="begin" w:fldLock="1"/>
      </w:r>
      <w:r w:rsidR="00C2761D" w:rsidRPr="006F15BB">
        <w:rPr>
          <w:rFonts w:ascii="Book Antiqua" w:hAnsi="Book Antiqua" w:cs="Times New Roman"/>
          <w:lang w:val="en-GB"/>
        </w:rPr>
        <w:instrText>ADDIN CSL_CITATION { "citationItems" : [ { "id" : "ITEM-1", "itemData" : { "DOI" : "10.1001/archinte.1995.00430190042006", "ISSN" : "0003-9926", "abstract" : "Background: The relationship of do-not-resuscitate (DNR) orders to patient and hospital characteristics has not been well characterized. Methods: This observational study of a nationally representative sample of 14 008 Medicare patients hospitalized with congestive heart failure, acute myocardial infarction, pneumonia, cerebrovascular accident, or hip fracture evaluated the relationship of DNR orders to patient sickness at admission, functional impairment, age, disease, race, gender, preadmission residence, insurance status, and hospital characteristics. Results: Of the 14 008 patients, DNR orders were assigned to 11.6%. Patients with greater sickness at admission and functional impairment received more DNR orders (P&lt;.001) but even among patients in the sickest quartile (with a 65% chance of death within 180 days), only 31% received DNR orders. The DNR orders were assigned more often to older patients after adjustment for sickness at admission and functional impairment (P&lt;.001), and DNR order rates differed by diagnosis (P&lt;.001). After adjustment for patient and hospital characteristics, DNR orders were assigned more often to women and patients with dementia or incontinence and were assigned less often to black patients, patients with Medicaid insurance, and patients in rural hospitals. Conclusions: Do-not-resuscitate orders are assigned more often to sicker patients but may be underused even among the most sick. Sickness at admission and functional impairment do not explain the increase in DNR orders with age or the disparity across diagnosis. Further evaluation is needed into whether variation in DNR order rates with age, diagnosis, race, gender, insurance status, and rural location represents differences in patient preferences or care compromising patient autonomy. (Arch Intern Med. 1995;155:2056-2062)", "author" : [ { "dropping-particle" : "", "family" : "Wenger", "given" : "Neil S.", "non-dropping-particle" : "", "parse-names" : false, "suffix" : "" }, { "dropping-particle" : "", "family" : "Pearson", "given" : "Marjorie L.", "non-dropping-particle" : "", "parse-names" : false, "suffix" : "" }, { "dropping-particle" : "", "family" : "Desmond", "given" : "Katherine A.", "non-dropping-particle" : "", "parse-names" : false, "suffix" : "" }, { "dropping-particle" : "", "family" : "Harrison", "given" : "Ellen R.", "non-dropping-particle" : "", "parse-names" : false, "suffix" : "" }, { "dropping-particle" : "V.", "family" : "Rubenstein", "given" : "Lisa", "non-dropping-particle" : "", "parse-names" : false, "suffix" : "" }, { "dropping-particle" : "", "family" : "Rogers", "given" : "William H.", "non-dropping-particle" : "", "parse-names" : false, "suffix" : "" }, { "dropping-particle" : "", "family" : "Kahn", "given" : "Katherine L.", "non-dropping-particle" : "", "parse-names" : false, "suffix" : "" } ], "container-title" : "Archives of Internal Medicine", "id" : "ITEM-1", "issue" : "19", "issued" : { "date-parts" : [ [ "1995", "10", "23" ] ] }, "page" : "2056", "publisher" : "American Medical Association", "title" : "Epidemiology of Do-Not-Resuscitate Orders", "type" : "article-journal", "volume" : "155" }, "uris" : [ "http://www.mendeley.com/documents/?uuid=4c385648-6965-30b6-bfaf-af9dfb4bb083" ] }, { "id" : "ITEM-2", "itemData" : { "DOI" : "10.1161/STROKEAHA.113.002814", "ISSN" : "0039-2499", "abstract" : "BACKGROUND AND PURPOSE: Studies show that women are more likely to receive do-not-resuscitate (DNR) orders after acute medical illnesses than men. However, the sex differences in the use of DNR orders after acute intracerebral hemorrhage (ICH) have not been described. METHODS: We conducted a retrospective study of consecutive patients hospitalized for acute ICH at a tertiary stroke center between 2006 and 2010. Unadjusted and multivariable logistic regression analyses were performed to test for associations between female sex and early ({&lt;}24 hours of presentation) DNR orders. RESULTS: A total of 372 consecutive ICH patients without preexisting DNR orders were studied. Overall, 82 (22{%}) patients had early DNR orders after being hospitalized with ICH. In the fully adjusted model, early DNR orders were more likely in women (odds ratio, 3.18; 95{%} confidence interval, 1.51-6.70), higher age (odds ratio, 1.09 per year; 95{%} confidence interval, 1.05-1.12), larger ICH volume (odds ratio, 1.01 per cm(3); 95{%} confidence interval, 1.01-1.02), and lower initial GCS score (odds ratio, 0.76 per point; 95{%} confidence interval, 0.69-0.84). Early DNR orders were less likely when the patients were transferred from another hospital (odds ratio, 0.28, 95{%} confidence interval, 0.11-0.76). CONCLUSIONS: Women are more likely to receive early DNR orders after ICH than men. Further prospective studies are needed to determine factors contributing to the sex variation in the use of early DNR order after ICH.", "author" : [ { "dropping-particle" : "", "family" : "Nakagawa", "given" : "Kazuma", "non-dropping-particle" : "", "parse-names" : false, "suffix" : "" }, { "dropping-particle" : "", "family" : "Vento", "given" : "Megan A.", "non-dropping-particle" : "", "parse-names" : false, "suffix" : "" }, { "dropping-particle" : "", "family" : "Seto", "given" : "Todd B.", "non-dropping-particle" : "", "parse-names" : false, "suffix" : "" }, { "dropping-particle" : "", "family" : "Koenig", "given" : "Matthew A.", "non-dropping-particle" : "", "parse-names" : false, "suffix" : "" }, { "dropping-particle" : "", "family" : "Asai", "given" : "Susan M.", "non-dropping-particle" : "", "parse-names" : false, "suffix" : "" }, { "dropping-particle" : "", "family" : "Chang", "given" : "Cherylee W J", "non-dropping-particle" : "", "parse-names" : false, "suffix" : "" }, { "dropping-particle" : "", "family" : "Hemphill 3rd", "given" : "J Claude", "non-dropping-particle" : "", "parse-names" : false, "suffix" : "" } ], "container-title" : "Stroke (00392499)", "id" : "ITEM-2", "issue" : "11", "issued" : { "date-parts" : [ [ "2013" ] ] }, "page" : "3229--3231 3p", "title" : "Sex differences in the use of early do-not-resuscitate orders after intracerebral hemorrhage.", "type" : "article-journal", "volume" : "44" }, "uris" : [ "http://www.mendeley.com/documents/?uuid=729a3cf1-4293-3653-9fca-879cff83c47d" ] }, { "id" : "ITEM-3", "itemData" : { "DOI" : "10.1186/s13049-015-0094-2", "ISBN" : "1304901500942", "ISSN" : "1757-7241", "PMID" : "25645242", "abstract" : "BackgroundDo-Not-Resuscitate (DNR) orders in patients with traumatic injury are insufficiently described. The objective is to describe the epidemiology and outcomes of DNR orders in trauma patients.MethodsWe included all adults with trauma to a community Level I Trauma Center over 6 years (2008\u00bf2013). We used chi-square, Wilcoxon rank-sum, and multivariate stepwise logistic regression tests to characterize DNR (established in-house vs. pre-existing), describe predictors of establishing an in-house DNR, timing of an in-house DNR (early [within 1 day] vs late), and outcomes (death, ICU stay, major complications).ResultsIncluded were 10,053 patients with trauma, of which 1523 had a DNR order in place (15%); 715 (7%) had a pre-existing DNR and 808 (8%) had a DNR established in-house. Increases were observed over time in both the proportions of patients with DNRs established in-house (p\u00bf=\u00bf0.008) and age \u00bf65 (p\u00bf&lt;\u00bf0.001). Over 90% of patients with an in-house DNR were \u00bf65 years. The following covariates were independently associated with establishing a DNR in-house: age \u00bf65, severe neurologic deficit (GCS 3\u00bf8), fall mechanism of injury, ED tachycardia, female gender, and comorbidities (p\u00bf&lt;\u00bf0.05 for all). Age \u00bf65, female gender, non-surgical service admission and transfers-in were associated with a DNR established early (p\u00bf&lt;\u00bf0.05 for all). As expected, mortality was greater in patients with DNR than those without (22% vs. 1%), as was the development of a major complication (8% vs. 5%), while ICU admission was similar (19% vs. 17%). Poor outcomes were greatest in patients with DNR orders executed later in the hospital stay.ConclusionsOur analysis of a broad cohort of patients with traumatic injury establishes the relationship between DNR and patient characteristics and outcomes. At 15%, DNR orders are prevalent in our general trauma population, particularly in patients \u00bf65 years, and are placed early after arrival. Established prognostic factors, including age and physiologic severity, were determinants for in-house DNR orders. These data may improve physician predictions of outcomes with DNR and help inform patient preferences, particularly in an environment with increasing use of DNR and increasing age of patients with trauma.", "author" : [ { "dropping-particle" : "", "family" : "Salottolo", "given" : "Kristin", "non-dropping-particle" : "", "parse-names" : false, "suffix" : "" }, { "dropping-particle" : "", "family" : "Offner", "given" : "Patrick J", "non-dropping-particle" : "", "parse-names" : false, "suffix" : "" }, { "dropping-particle" : "", "family" : "Orlando", "given" : "Alessandro", "non-dropping-particle" : "", "parse-names" : false, "suffix" : "" }, { "dropping-particle" : "", "family" : "Slone", "given" : "Denetta S", "non-dropping-particle" : "", "parse-names" : false, "suffix" : "" }, { "dropping-particle" : "", "family" : "Mains", "given" : "Charles W", "non-dropping-particle" : "", "parse-names" : false, "suffix" : "" }, { "dropping-particle" : "", "family" : "Carrick", "given" : "Matthew", "non-dropping-particle" : "", "parse-names" : false, "suffix" : "" }, { "dropping-particle" : "", "family" : "Bar-Or", "given" : "David", "non-dropping-particle" : "", "parse-names" : false, "suffix" : "" } ], "container-title" : "Scandinavian journal of trauma, resuscitation and emergency medicine", "id" : "ITEM-3", "issue" : "1", "issued" : { "date-parts" : [ [ "2015" ] ] }, "page" : "9", "title" : "The epidemiology of do-not-resuscitate orders in patients with trauma: a community level one trauma center observational experience.", "type" : "article-journal", "volume" : "23" }, "uris" : [ "http://www.mendeley.com/documents/?uuid=a4dbde97-375d-3e99-b80a-ddb5d7297c28" ] } ], "mendeley" : { "formattedCitation" : "&lt;sup&gt;[&lt;sup&gt;33&lt;/sup&gt;\u2013&lt;sup&gt;35&lt;/sup&gt;]&lt;/sup&gt;", "plainTextFormattedCitation" : "[33\u201335]", "previouslyFormattedCitation" : "&lt;sup&gt;[&lt;sup&gt;33&lt;/sup&gt;\u2013&lt;sup&gt;35&lt;/sup&gt;]&lt;/sup&gt;" }, "properties" : { "noteIndex" : 0 }, "schema" : "https://github.com/citation-style-language/schema/raw/master/csl-citation.json" }</w:instrText>
      </w:r>
      <w:r w:rsidR="00436A47" w:rsidRPr="006F15BB">
        <w:rPr>
          <w:rFonts w:ascii="Book Antiqua" w:hAnsi="Book Antiqua" w:cs="Times New Roman"/>
          <w:lang w:val="en-GB"/>
        </w:rPr>
        <w:fldChar w:fldCharType="separate"/>
      </w:r>
      <w:r w:rsidR="0052176A" w:rsidRPr="006F15BB">
        <w:rPr>
          <w:rFonts w:ascii="Book Antiqua" w:hAnsi="Book Antiqua" w:cs="Times New Roman"/>
          <w:noProof/>
          <w:vertAlign w:val="superscript"/>
          <w:lang w:val="en-GB"/>
        </w:rPr>
        <w:t>[33</w:t>
      </w:r>
      <w:r w:rsidR="00772635">
        <w:rPr>
          <w:rFonts w:ascii="Book Antiqua" w:hAnsi="Book Antiqua" w:cs="Times New Roman" w:hint="eastAsia"/>
          <w:noProof/>
          <w:vertAlign w:val="superscript"/>
          <w:lang w:val="en-GB" w:eastAsia="zh-CN"/>
        </w:rPr>
        <w:t>-</w:t>
      </w:r>
      <w:r w:rsidR="0052176A" w:rsidRPr="006F15BB">
        <w:rPr>
          <w:rFonts w:ascii="Book Antiqua" w:hAnsi="Book Antiqua" w:cs="Times New Roman"/>
          <w:noProof/>
          <w:vertAlign w:val="superscript"/>
          <w:lang w:val="en-GB"/>
        </w:rPr>
        <w:t>35]</w:t>
      </w:r>
      <w:r w:rsidR="00436A47" w:rsidRPr="006F15BB">
        <w:rPr>
          <w:rFonts w:ascii="Book Antiqua" w:hAnsi="Book Antiqua" w:cs="Times New Roman"/>
          <w:lang w:val="en-GB"/>
        </w:rPr>
        <w:fldChar w:fldCharType="end"/>
      </w:r>
      <w:r w:rsidR="0048191D" w:rsidRPr="006F15BB">
        <w:rPr>
          <w:rFonts w:ascii="Book Antiqua" w:hAnsi="Book Antiqua" w:cs="Times New Roman"/>
          <w:lang w:val="en-GB"/>
        </w:rPr>
        <w:t xml:space="preserve">. </w:t>
      </w:r>
      <w:r w:rsidR="00195E05" w:rsidRPr="006F15BB">
        <w:rPr>
          <w:rFonts w:ascii="Book Antiqua" w:hAnsi="Book Antiqua" w:cs="Times New Roman"/>
          <w:lang w:val="en-GB"/>
        </w:rPr>
        <w:t>This</w:t>
      </w:r>
      <w:r w:rsidRPr="006F15BB">
        <w:rPr>
          <w:rFonts w:ascii="Book Antiqua" w:hAnsi="Book Antiqua" w:cs="Times New Roman"/>
          <w:lang w:val="en-GB"/>
        </w:rPr>
        <w:t xml:space="preserve"> could also reflect </w:t>
      </w:r>
      <w:r w:rsidR="00E3391B" w:rsidRPr="006F15BB">
        <w:rPr>
          <w:rFonts w:ascii="Book Antiqua" w:hAnsi="Book Antiqua" w:cs="Times New Roman"/>
          <w:lang w:val="en-GB"/>
        </w:rPr>
        <w:t xml:space="preserve">physician </w:t>
      </w:r>
      <w:r w:rsidRPr="006F15BB">
        <w:rPr>
          <w:rFonts w:ascii="Book Antiqua" w:hAnsi="Book Antiqua" w:cs="Times New Roman"/>
          <w:lang w:val="en-GB"/>
        </w:rPr>
        <w:t>inconsistency</w:t>
      </w:r>
      <w:r w:rsidR="00E3391B" w:rsidRPr="006F15BB">
        <w:rPr>
          <w:rFonts w:ascii="Book Antiqua" w:hAnsi="Book Antiqua" w:cs="Times New Roman"/>
          <w:lang w:val="en-GB"/>
        </w:rPr>
        <w:t xml:space="preserve"> in</w:t>
      </w:r>
      <w:r w:rsidR="00F5612A" w:rsidRPr="006F15BB">
        <w:rPr>
          <w:rFonts w:ascii="Book Antiqua" w:hAnsi="Book Antiqua" w:cs="Times New Roman"/>
          <w:lang w:val="en-GB"/>
        </w:rPr>
        <w:t xml:space="preserve"> discussing end of life and resuscitation status</w:t>
      </w:r>
      <w:r w:rsidR="007871E0" w:rsidRPr="006F15BB">
        <w:rPr>
          <w:rFonts w:ascii="Book Antiqua" w:hAnsi="Book Antiqua" w:cs="Times New Roman"/>
          <w:lang w:val="en-GB"/>
        </w:rPr>
        <w:t xml:space="preserve"> </w:t>
      </w:r>
      <w:r w:rsidR="00195E05" w:rsidRPr="006F15BB">
        <w:rPr>
          <w:rFonts w:ascii="Book Antiqua" w:hAnsi="Book Antiqua" w:cs="Times New Roman"/>
          <w:lang w:val="en-GB"/>
        </w:rPr>
        <w:t xml:space="preserve">as well as </w:t>
      </w:r>
      <w:r w:rsidR="00E3391B" w:rsidRPr="006F15BB">
        <w:rPr>
          <w:rFonts w:ascii="Book Antiqua" w:hAnsi="Book Antiqua" w:cs="Times New Roman"/>
          <w:lang w:val="en-GB"/>
        </w:rPr>
        <w:t xml:space="preserve">ethnic variations in fragility fractures or </w:t>
      </w:r>
      <w:r w:rsidR="007871E0" w:rsidRPr="006F15BB">
        <w:rPr>
          <w:rFonts w:ascii="Book Antiqua" w:hAnsi="Book Antiqua" w:cs="Times New Roman"/>
          <w:lang w:val="en-GB"/>
        </w:rPr>
        <w:t xml:space="preserve">even </w:t>
      </w:r>
      <w:r w:rsidR="00E3391B" w:rsidRPr="006F15BB">
        <w:rPr>
          <w:rFonts w:ascii="Book Antiqua" w:hAnsi="Book Antiqua" w:cs="Times New Roman"/>
          <w:lang w:val="en-GB"/>
        </w:rPr>
        <w:t>of life expectancy</w:t>
      </w:r>
      <w:r w:rsidR="00436A47" w:rsidRPr="006F15BB">
        <w:rPr>
          <w:rFonts w:ascii="Book Antiqua" w:hAnsi="Book Antiqua" w:cs="Times New Roman"/>
          <w:lang w:val="en-GB"/>
        </w:rPr>
        <w:fldChar w:fldCharType="begin" w:fldLock="1"/>
      </w:r>
      <w:r w:rsidR="00C2761D" w:rsidRPr="006F15BB">
        <w:rPr>
          <w:rFonts w:ascii="Book Antiqua" w:hAnsi="Book Antiqua" w:cs="Times New Roman"/>
          <w:lang w:val="en-GB"/>
        </w:rPr>
        <w:instrText>ADDIN CSL_CITATION { "citationItems" : [ { "id" : "ITEM-1", "itemData" : { "DOI" : "10.1016/j.bone.2016.03.006", "ISBN" : "8756-3282", "ISSN" : "87563282", "PMID" : "26968752", "abstract" : "Summary: Rates of fracture worldwide are changing. Using the Clinical Practice Research Datalink (CPRD), age, and gender, geographical, ethnic and socioeconomic trends in fracture rates across the United Kingdom were studied over a 24-year period 1988-2012. Previously observed patterns in fracture incidence by age and fracture site were evident. New data on the influence of geographic location, ethnic group and socioeconomic status were obtained. Introduction: With secular changes in age- and sex-specific fracture incidence observed in many populations, and global shifts towards an elderly demography, it is vital for health care planners to have an accurate understanding of fracture incidence nationally. We aimed to present up to date fracture incidence data in the UK, stratified by age, sex, geographic location, ethnicity and socioeconomic status. Methods: The Clinical Practice Research Datalink (CPRD) contains anonymised electronic health records for approximately 6.9% of the UK population. Information comes from General Practitioners, and covers 11.3 million people from 674 practices across the UK, demonstrated to be representative of the national population. The study population consisted of all permanently registered individuals aged \u2265. 18 years. Validated data on fracture incidence were obtained from their medical records, as was information on socioeconomic deprivation, ethnicity and geographic location. Age- and sex-specific fracture incidence rates were calculated. Results: Fracture incidence rates by age and sex were comparable to those documented in previous studies and demonstrated a bimodal distribution. Substantial geographic heterogeneity in age- and sex adjusted fracture incidence was observed, with rates in Scotland almost 50% greater than those in London and South East England. Lowest rates of fracture were observed in black individuals of both sexes; rates of fragility fracture in white women were 4.7 times greater than in black women. Strong associations between deprivation and fracture risk were observed in hip fracture in men, with a relative risk of 1.3 (95% CI 1.21-1.41) in Index of Multiple Deprivation category 5 (representing the most deprived) compared to category 1. Conclusions: This study presents robust estimates of fracture incidence across the UK, which will aid decisions regarding allocation of healthcare provision to populations of greatest need. It will also assist the implementation and design of strategies to reduce \u2026", "author" : [ { "dropping-particle" : "", "family" : "Curtis", "given" : "Elizabeth M.", "non-dropping-particle" : "", "parse-names" : false, "suffix" : "" }, { "dropping-particle" : "", "family" : "Velde", "given" : "Robert", "non-dropping-particle" : "van der", "parse-names" : false, "suffix" : "" }, { "dropping-particle" : "", "family" : "Moon", "given" : "Rebecca J.", "non-dropping-particle" : "", "parse-names" : false, "suffix" : "" }, { "dropping-particle" : "", "family" : "Bergh", "given" : "Joop P W", "non-dropping-particle" : "van den", "parse-names" : false, "suffix" : "" }, { "dropping-particle" : "", "family" : "Geusens", "given" : "Piet", "non-dropping-particle" : "", "parse-names" : false, "suffix" : "" }, { "dropping-particle" : "", "family" : "Vries", "given" : "Frank", "non-dropping-particle" : "de", "parse-names" : false, "suffix" : "" }, { "dropping-particle" : "", "family" : "Staa", "given" : "Tjeerd P.", "non-dropping-particle" : "van", "parse-names" : false, "suffix" : "" }, { "dropping-particle" : "", "family" : "Cooper", "given" : "Cyrus", "non-dropping-particle" : "", "parse-names" : false, "suffix" : "" }, { "dropping-particle" : "", "family" : "Harvey", "given" : "Nicholas C.", "non-dropping-particle" : "", "parse-names" : false, "suffix" : "" } ], "container-title" : "Bone", "id" : "ITEM-1", "issued" : { "date-parts" : [ [ "2016", "6" ] ] }, "page" : "19-26", "title" : "Epidemiology of fractures in the United Kingdom 1988-2012: Variation with age, sex, geography, ethnicity and socioeconomic status", "type" : "article-journal", "volume" : "87" }, "uris" : [ "http://www.mendeley.com/documents/?uuid=8cef5411-3356-3f9a-b5fd-55d658b4cca4" ] }, { "id" : "ITEM-2", "itemData" : { "DOI" : "10.1007/s11999-011-1863-5", "ISBN" : "1528-1132 (Electronic)\\r0009-921X (Linking)", "ISSN" : "0009921X", "PMID" : "21431462", "abstract" : "BACKGROUND Osteoporotic fractures are a major public health issue. The literature suggests there are variations in occurrence of fractures by ethnicity and race. QUESTIONS/PURPOSES My purpose is to review current literature related to the influence of ethnicity and race on the (1) epidemiology of fracture; (2) prevalence of osteoporosis by bone mineral density; (3) consequences of osteoporotic hip fracture; (4) differences in risk fracture for fracture; and (5) disparities in screening, diagnosis, and treatment of osteoporosis. METHODS Current literature was selectively reviewed related to osteoporosis, ethnicity, and race. RESULTS Ethnicity and race, like sex, influence the epidemiology of fractures, with highest fracture rates in white women. Bone mineral density is higher in African Americans; however, these women are more likely to die after hip fracture, have longer hospital stays, and are less likely to be ambulatory at discharge. Consistent risk factors for fracture across ethnicity include older age, lower bone mineral density, previous history of fracture, and history of two or more falls. Ethnic and racial disparities exist in the screening, diagnosis, and treatment of osteoporosis. CONCLUSIONS Across ethnic and racial groups, more women experience fractures than the combined number of women who experience breast cancer, myocardial infarction, and coronary death in 1 year. Prevention efforts should target all women, irrespective of their race/ethnicity, especially if they have multiple risk factors.", "author" : [ { "dropping-particle" : "", "family" : "Cauley", "given" : "Jane A.", "non-dropping-particle" : "", "parse-names" : false, "suffix" : "" } ], "container-title" : "Clinical Orthopaedics and Related Research", "id" : "ITEM-2", "issue" : "7", "issued" : { "date-parts" : [ [ "2011", "7", "23" ] ] }, "page" : "1891-1899", "publisher" : "Springer-Verlag", "title" : "Defining ethnic and racial differences in osteoporosis and fragility fractures", "type" : "paper-conference", "volume" : "469" }, "uris" : [ "http://www.mendeley.com/documents/?uuid=2c1d0dbe-ed5a-3c26-a5b2-2d813e74f31b" ] } ], "mendeley" : { "formattedCitation" : "&lt;sup&gt;[&lt;sup&gt;36&lt;/sup&gt;, &lt;sup&gt;37&lt;/sup&gt;]&lt;/sup&gt;", "plainTextFormattedCitation" : "[36, 37]", "previouslyFormattedCitation" : "&lt;sup&gt;[&lt;sup&gt;36&lt;/sup&gt;, &lt;sup&gt;37&lt;/sup&gt;]&lt;/sup&gt;" }, "properties" : { "noteIndex" : 0 }, "schema" : "https://github.com/citation-style-language/schema/raw/master/csl-citation.json" }</w:instrText>
      </w:r>
      <w:r w:rsidR="00436A47" w:rsidRPr="006F15BB">
        <w:rPr>
          <w:rFonts w:ascii="Book Antiqua" w:hAnsi="Book Antiqua" w:cs="Times New Roman"/>
          <w:lang w:val="en-GB"/>
        </w:rPr>
        <w:fldChar w:fldCharType="separate"/>
      </w:r>
      <w:r w:rsidR="00772635">
        <w:rPr>
          <w:rFonts w:ascii="Book Antiqua" w:hAnsi="Book Antiqua" w:cs="Times New Roman"/>
          <w:noProof/>
          <w:vertAlign w:val="superscript"/>
          <w:lang w:val="en-GB"/>
        </w:rPr>
        <w:t>[36,</w:t>
      </w:r>
      <w:r w:rsidR="0052176A" w:rsidRPr="006F15BB">
        <w:rPr>
          <w:rFonts w:ascii="Book Antiqua" w:hAnsi="Book Antiqua" w:cs="Times New Roman"/>
          <w:noProof/>
          <w:vertAlign w:val="superscript"/>
          <w:lang w:val="en-GB"/>
        </w:rPr>
        <w:t>37]</w:t>
      </w:r>
      <w:r w:rsidR="00436A47" w:rsidRPr="006F15BB">
        <w:rPr>
          <w:rFonts w:ascii="Book Antiqua" w:hAnsi="Book Antiqua" w:cs="Times New Roman"/>
          <w:lang w:val="en-GB"/>
        </w:rPr>
        <w:fldChar w:fldCharType="end"/>
      </w:r>
      <w:r w:rsidR="003D3D7A" w:rsidRPr="006F15BB">
        <w:rPr>
          <w:rFonts w:ascii="Book Antiqua" w:hAnsi="Book Antiqua" w:cs="Times New Roman"/>
          <w:lang w:val="en-GB"/>
        </w:rPr>
        <w:t xml:space="preserve">. </w:t>
      </w:r>
    </w:p>
    <w:p w14:paraId="5B0878D2" w14:textId="77777777" w:rsidR="0048191D" w:rsidRPr="006F15BB" w:rsidRDefault="00A941E6" w:rsidP="008E7BBF">
      <w:pPr>
        <w:adjustRightInd w:val="0"/>
        <w:snapToGrid w:val="0"/>
        <w:spacing w:line="360" w:lineRule="auto"/>
        <w:ind w:firstLine="720"/>
        <w:jc w:val="both"/>
        <w:rPr>
          <w:rFonts w:ascii="Book Antiqua" w:hAnsi="Book Antiqua" w:cs="Times New Roman"/>
          <w:lang w:val="en-GB" w:eastAsia="zh-CN"/>
        </w:rPr>
      </w:pPr>
      <w:r w:rsidRPr="006F15BB">
        <w:rPr>
          <w:rFonts w:ascii="Book Antiqua" w:hAnsi="Book Antiqua" w:cs="Times New Roman"/>
          <w:lang w:val="en-GB"/>
        </w:rPr>
        <w:lastRenderedPageBreak/>
        <w:t>Concern has been expressed prev</w:t>
      </w:r>
      <w:r w:rsidR="00A13F46" w:rsidRPr="006F15BB">
        <w:rPr>
          <w:rFonts w:ascii="Book Antiqua" w:hAnsi="Book Antiqua" w:cs="Times New Roman"/>
          <w:lang w:val="en-GB"/>
        </w:rPr>
        <w:t>iously that DNR status may carry</w:t>
      </w:r>
      <w:r w:rsidR="00773889" w:rsidRPr="006F15BB">
        <w:rPr>
          <w:rFonts w:ascii="Book Antiqua" w:hAnsi="Book Antiqua" w:cs="Times New Roman"/>
          <w:lang w:val="en-GB"/>
        </w:rPr>
        <w:t xml:space="preserve"> inadvertent care provider bias</w:t>
      </w:r>
      <w:r w:rsidR="00B853CB" w:rsidRPr="006F15BB">
        <w:rPr>
          <w:rFonts w:ascii="Book Antiqua" w:hAnsi="Book Antiqua" w:cs="Times New Roman"/>
          <w:lang w:val="en-GB"/>
        </w:rPr>
        <w:t xml:space="preserve">, or </w:t>
      </w:r>
      <w:r w:rsidR="00773889" w:rsidRPr="006F15BB">
        <w:rPr>
          <w:rFonts w:ascii="Book Antiqua" w:hAnsi="Book Antiqua" w:cs="Times New Roman"/>
          <w:lang w:val="en-GB"/>
        </w:rPr>
        <w:t>the so</w:t>
      </w:r>
      <w:r w:rsidR="00772635">
        <w:rPr>
          <w:rFonts w:ascii="Book Antiqua" w:hAnsi="Book Antiqua" w:cs="Times New Roman"/>
          <w:lang w:val="en-GB"/>
        </w:rPr>
        <w:t>-</w:t>
      </w:r>
      <w:r w:rsidR="00773889" w:rsidRPr="006F15BB">
        <w:rPr>
          <w:rFonts w:ascii="Book Antiqua" w:hAnsi="Book Antiqua" w:cs="Times New Roman"/>
          <w:lang w:val="en-GB"/>
        </w:rPr>
        <w:t>called “failure to rescue” hypothesis. This could</w:t>
      </w:r>
      <w:r w:rsidRPr="006F15BB">
        <w:rPr>
          <w:rFonts w:ascii="Book Antiqua" w:hAnsi="Book Antiqua" w:cs="Times New Roman"/>
          <w:lang w:val="en-GB"/>
        </w:rPr>
        <w:t xml:space="preserve"> lead to inadequate or insuffici</w:t>
      </w:r>
      <w:r w:rsidR="00E94295" w:rsidRPr="006F15BB">
        <w:rPr>
          <w:rFonts w:ascii="Book Antiqua" w:hAnsi="Book Antiqua" w:cs="Times New Roman"/>
          <w:lang w:val="en-GB"/>
        </w:rPr>
        <w:t>ent care</w:t>
      </w:r>
      <w:r w:rsidR="007871E0" w:rsidRPr="006F15BB">
        <w:rPr>
          <w:rFonts w:ascii="Book Antiqua" w:hAnsi="Book Antiqua" w:cs="Times New Roman"/>
          <w:lang w:val="en-GB"/>
        </w:rPr>
        <w:t>, extending</w:t>
      </w:r>
      <w:r w:rsidR="00E94295" w:rsidRPr="006F15BB">
        <w:rPr>
          <w:rFonts w:ascii="Book Antiqua" w:hAnsi="Book Antiqua" w:cs="Times New Roman"/>
          <w:lang w:val="en-GB"/>
        </w:rPr>
        <w:t xml:space="preserve"> beyond withholding CPR</w:t>
      </w:r>
      <w:r w:rsidR="007871E0" w:rsidRPr="006F15BB">
        <w:rPr>
          <w:rFonts w:ascii="Book Antiqua" w:hAnsi="Book Antiqua" w:cs="Times New Roman"/>
          <w:lang w:val="en-GB"/>
        </w:rPr>
        <w:t xml:space="preserve"> or intubation and ventilation</w:t>
      </w:r>
      <w:r w:rsidR="00436A47" w:rsidRPr="006F15BB">
        <w:rPr>
          <w:rFonts w:ascii="Book Antiqua" w:hAnsi="Book Antiqua" w:cs="Times New Roman"/>
          <w:lang w:val="en-GB"/>
        </w:rPr>
        <w:fldChar w:fldCharType="begin" w:fldLock="1"/>
      </w:r>
      <w:r w:rsidR="00C2761D" w:rsidRPr="006F15BB">
        <w:rPr>
          <w:rFonts w:ascii="Book Antiqua" w:hAnsi="Book Antiqua" w:cs="Times New Roman"/>
          <w:lang w:val="en-GB"/>
        </w:rPr>
        <w:instrText>ADDIN CSL_CITATION { "citationItems" : [ { "id" : "ITEM-1", "itemData" : { "DOI" : "10.1097/SLA.0b013e31826578fb", "ISSN" : "0003-4932", "author" : [ { "dropping-particle" : "", "family" : "Scarborough", "given" : "John E.", "non-dropping-particle" : "", "parse-names" : false, "suffix" : "" }, { "dropping-particle" : "", "family" : "Pappas", "given" : "Theodore N.", "non-dropping-particle" : "", "parse-names" : false, "suffix" : "" }, { "dropping-particle" : "", "family" : "Bennett", "given" : "Kyla M.", "non-dropping-particle" : "", "parse-names" : false, "suffix" : "" }, { "dropping-particle" : "", "family" : "Lagoo-Deenadayalan", "given" : "Sandhya", "non-dropping-particle" : "", "parse-names" : false, "suffix" : "" } ], "container-title" : "Annals of Surgery", "id" : "ITEM-1", "issue" : "3", "issued" : { "date-parts" : [ [ "2012", "9" ] ] }, "page" : "453-461", "title" : "Failure-to-Pursue Rescue", "type" : "article-journal", "volume" : "256" }, "uris" : [ "http://www.mendeley.com/documents/?uuid=4e35cbfb-c5bb-3ab8-b53b-622b36ce3147" ] } ], "mendeley" : { "formattedCitation" : "&lt;sup&gt;[&lt;sup&gt;14&lt;/sup&gt;]&lt;/sup&gt;", "plainTextFormattedCitation" : "[14]", "previouslyFormattedCitation" : "&lt;sup&gt;[&lt;sup&gt;14&lt;/sup&gt;]&lt;/sup&gt;" }, "properties" : { "noteIndex" : 0 }, "schema" : "https://github.com/citation-style-language/schema/raw/master/csl-citation.json" }</w:instrText>
      </w:r>
      <w:r w:rsidR="00436A47" w:rsidRPr="006F15BB">
        <w:rPr>
          <w:rFonts w:ascii="Book Antiqua" w:hAnsi="Book Antiqua" w:cs="Times New Roman"/>
          <w:lang w:val="en-GB"/>
        </w:rPr>
        <w:fldChar w:fldCharType="separate"/>
      </w:r>
      <w:r w:rsidR="0052176A" w:rsidRPr="006F15BB">
        <w:rPr>
          <w:rFonts w:ascii="Book Antiqua" w:hAnsi="Book Antiqua" w:cs="Times New Roman"/>
          <w:noProof/>
          <w:vertAlign w:val="superscript"/>
          <w:lang w:val="en-GB"/>
        </w:rPr>
        <w:t>[14]</w:t>
      </w:r>
      <w:r w:rsidR="00436A47" w:rsidRPr="006F15BB">
        <w:rPr>
          <w:rFonts w:ascii="Book Antiqua" w:hAnsi="Book Antiqua" w:cs="Times New Roman"/>
          <w:lang w:val="en-GB"/>
        </w:rPr>
        <w:fldChar w:fldCharType="end"/>
      </w:r>
      <w:r w:rsidRPr="006F15BB">
        <w:rPr>
          <w:rFonts w:ascii="Book Antiqua" w:hAnsi="Book Antiqua" w:cs="Times New Roman"/>
          <w:lang w:val="en-GB"/>
        </w:rPr>
        <w:t xml:space="preserve">. </w:t>
      </w:r>
      <w:r w:rsidR="00905E9F" w:rsidRPr="006F15BB">
        <w:rPr>
          <w:rFonts w:ascii="Book Antiqua" w:hAnsi="Book Antiqua" w:cs="Times New Roman"/>
          <w:lang w:val="en-GB"/>
        </w:rPr>
        <w:t xml:space="preserve">Our </w:t>
      </w:r>
      <w:r w:rsidRPr="006F15BB">
        <w:rPr>
          <w:rFonts w:ascii="Book Antiqua" w:hAnsi="Book Antiqua" w:cs="Times New Roman"/>
          <w:lang w:val="en-GB"/>
        </w:rPr>
        <w:t>study was not designed to evaluate this specifically</w:t>
      </w:r>
      <w:r w:rsidR="00E3391B" w:rsidRPr="006F15BB">
        <w:rPr>
          <w:rFonts w:ascii="Book Antiqua" w:hAnsi="Book Antiqua" w:cs="Times New Roman"/>
          <w:lang w:val="en-GB"/>
        </w:rPr>
        <w:t xml:space="preserve">, however </w:t>
      </w:r>
      <w:r w:rsidR="00195E05" w:rsidRPr="006F15BB">
        <w:rPr>
          <w:rFonts w:ascii="Book Antiqua" w:hAnsi="Book Antiqua" w:cs="Times New Roman"/>
          <w:lang w:val="en-GB"/>
        </w:rPr>
        <w:t xml:space="preserve">propensity score matching and </w:t>
      </w:r>
      <w:r w:rsidR="00E3391B" w:rsidRPr="006F15BB">
        <w:rPr>
          <w:rFonts w:ascii="Book Antiqua" w:hAnsi="Book Antiqua" w:cs="Times New Roman"/>
          <w:lang w:val="en-GB"/>
        </w:rPr>
        <w:t xml:space="preserve">regression analysis created a model </w:t>
      </w:r>
      <w:r w:rsidR="007871E0" w:rsidRPr="006F15BB">
        <w:rPr>
          <w:rFonts w:ascii="Book Antiqua" w:hAnsi="Book Antiqua" w:cs="Times New Roman"/>
          <w:lang w:val="en-GB"/>
        </w:rPr>
        <w:t>to compare outcomes in patient</w:t>
      </w:r>
      <w:r w:rsidR="00145DFB" w:rsidRPr="006F15BB">
        <w:rPr>
          <w:rFonts w:ascii="Book Antiqua" w:hAnsi="Book Antiqua" w:cs="Times New Roman"/>
          <w:lang w:val="en-GB"/>
        </w:rPr>
        <w:t>s</w:t>
      </w:r>
      <w:r w:rsidR="007871E0" w:rsidRPr="006F15BB">
        <w:rPr>
          <w:rFonts w:ascii="Book Antiqua" w:hAnsi="Book Antiqua" w:cs="Times New Roman"/>
          <w:lang w:val="en-GB"/>
        </w:rPr>
        <w:t xml:space="preserve"> with and without DNR status, </w:t>
      </w:r>
      <w:r w:rsidR="00E3391B" w:rsidRPr="006F15BB">
        <w:rPr>
          <w:rFonts w:ascii="Book Antiqua" w:hAnsi="Book Antiqua" w:cs="Times New Roman"/>
          <w:lang w:val="en-GB"/>
        </w:rPr>
        <w:t>controlling for age, gender, race, ethnicity, ASA class, functional status, albumin levels and presence of</w:t>
      </w:r>
      <w:r w:rsidR="0034509C">
        <w:rPr>
          <w:rFonts w:ascii="Book Antiqua" w:hAnsi="Book Antiqua" w:cs="Times New Roman"/>
          <w:lang w:val="en-GB"/>
        </w:rPr>
        <w:t xml:space="preserve"> </w:t>
      </w:r>
      <w:r w:rsidR="00195E05" w:rsidRPr="006F15BB">
        <w:rPr>
          <w:rFonts w:ascii="Book Antiqua" w:hAnsi="Book Antiqua" w:cs="Times New Roman"/>
          <w:lang w:val="en-GB"/>
        </w:rPr>
        <w:t>multiple independently significant</w:t>
      </w:r>
      <w:r w:rsidR="00145DFB" w:rsidRPr="006F15BB">
        <w:rPr>
          <w:rFonts w:ascii="Book Antiqua" w:hAnsi="Book Antiqua" w:cs="Times New Roman"/>
          <w:lang w:val="en-GB"/>
        </w:rPr>
        <w:t xml:space="preserve"> </w:t>
      </w:r>
      <w:r w:rsidR="00B03FC1" w:rsidRPr="006F15BB">
        <w:rPr>
          <w:rFonts w:ascii="Book Antiqua" w:hAnsi="Book Antiqua" w:cs="Times New Roman"/>
          <w:lang w:val="en-GB"/>
        </w:rPr>
        <w:t xml:space="preserve">comorbidities. </w:t>
      </w:r>
      <w:r w:rsidR="00195E05" w:rsidRPr="006F15BB">
        <w:rPr>
          <w:rFonts w:ascii="Book Antiqua" w:hAnsi="Book Antiqua" w:cs="Times New Roman"/>
          <w:lang w:val="en-GB"/>
        </w:rPr>
        <w:t xml:space="preserve">Additionally, our model matched patients using </w:t>
      </w:r>
      <w:r w:rsidR="00FC0712" w:rsidRPr="006F15BB">
        <w:rPr>
          <w:rFonts w:ascii="Book Antiqua" w:hAnsi="Book Antiqua" w:cs="Times New Roman"/>
          <w:lang w:val="en-GB"/>
        </w:rPr>
        <w:t>a frailty index</w:t>
      </w:r>
      <w:r w:rsidR="00195E05" w:rsidRPr="006F15BB">
        <w:rPr>
          <w:rFonts w:ascii="Book Antiqua" w:hAnsi="Book Antiqua" w:cs="Times New Roman"/>
          <w:lang w:val="en-GB"/>
        </w:rPr>
        <w:t xml:space="preserve">, which may have further eliminated differences between the matched groups </w:t>
      </w:r>
      <w:r w:rsidR="00772635">
        <w:rPr>
          <w:rFonts w:ascii="Book Antiqua" w:hAnsi="Book Antiqua" w:cs="Times New Roman"/>
          <w:lang w:val="en-GB"/>
        </w:rPr>
        <w:t>based on physical status alone.</w:t>
      </w:r>
    </w:p>
    <w:p w14:paraId="6F1006E6" w14:textId="77777777" w:rsidR="003869C7" w:rsidRDefault="00B07D94" w:rsidP="008E7BBF">
      <w:pPr>
        <w:adjustRightInd w:val="0"/>
        <w:snapToGrid w:val="0"/>
        <w:spacing w:line="360" w:lineRule="auto"/>
        <w:ind w:firstLine="720"/>
        <w:jc w:val="both"/>
        <w:rPr>
          <w:rFonts w:ascii="Book Antiqua" w:hAnsi="Book Antiqua" w:cs="Times New Roman"/>
          <w:lang w:val="en-GB" w:eastAsia="zh-CN"/>
        </w:rPr>
      </w:pPr>
      <w:r w:rsidRPr="006F15BB">
        <w:rPr>
          <w:rFonts w:ascii="Book Antiqua" w:hAnsi="Book Antiqua" w:cs="Times New Roman"/>
          <w:lang w:val="en-GB"/>
        </w:rPr>
        <w:t xml:space="preserve">Our study </w:t>
      </w:r>
      <w:r w:rsidR="007871E0" w:rsidRPr="006F15BB">
        <w:rPr>
          <w:rFonts w:ascii="Book Antiqua" w:hAnsi="Book Antiqua" w:cs="Times New Roman"/>
          <w:lang w:val="en-GB"/>
        </w:rPr>
        <w:t xml:space="preserve">found </w:t>
      </w:r>
      <w:r w:rsidRPr="006F15BB">
        <w:rPr>
          <w:rFonts w:ascii="Book Antiqua" w:hAnsi="Book Antiqua" w:cs="Times New Roman"/>
          <w:lang w:val="en-GB"/>
        </w:rPr>
        <w:t>that</w:t>
      </w:r>
      <w:r w:rsidR="00FC0712" w:rsidRPr="006F15BB">
        <w:rPr>
          <w:rFonts w:ascii="Book Antiqua" w:hAnsi="Book Antiqua" w:cs="Times New Roman"/>
          <w:lang w:val="en-GB"/>
        </w:rPr>
        <w:t xml:space="preserve"> patients with DNR status had </w:t>
      </w:r>
      <w:r w:rsidR="00B03FC1" w:rsidRPr="006F15BB">
        <w:rPr>
          <w:rFonts w:ascii="Book Antiqua" w:hAnsi="Book Antiqua" w:cs="Times New Roman"/>
          <w:lang w:val="en-GB"/>
        </w:rPr>
        <w:t xml:space="preserve">slightly </w:t>
      </w:r>
      <w:r w:rsidR="0048191D" w:rsidRPr="006F15BB">
        <w:rPr>
          <w:rFonts w:ascii="Book Antiqua" w:hAnsi="Book Antiqua" w:cs="Times New Roman"/>
          <w:lang w:val="en-GB"/>
        </w:rPr>
        <w:t>shorter</w:t>
      </w:r>
      <w:r w:rsidR="00FC0712" w:rsidRPr="006F15BB">
        <w:rPr>
          <w:rFonts w:ascii="Book Antiqua" w:hAnsi="Book Antiqua" w:cs="Times New Roman"/>
          <w:lang w:val="en-GB"/>
        </w:rPr>
        <w:t xml:space="preserve"> mean</w:t>
      </w:r>
      <w:r w:rsidR="0048191D" w:rsidRPr="006F15BB">
        <w:rPr>
          <w:rFonts w:ascii="Book Antiqua" w:hAnsi="Book Antiqua" w:cs="Times New Roman"/>
          <w:lang w:val="en-GB"/>
        </w:rPr>
        <w:t xml:space="preserve"> </w:t>
      </w:r>
      <w:proofErr w:type="spellStart"/>
      <w:r w:rsidR="0048191D" w:rsidRPr="006F15BB">
        <w:rPr>
          <w:rFonts w:ascii="Book Antiqua" w:hAnsi="Book Antiqua" w:cs="Times New Roman"/>
          <w:lang w:val="en-GB"/>
        </w:rPr>
        <w:t>anesthesia</w:t>
      </w:r>
      <w:proofErr w:type="spellEnd"/>
      <w:r w:rsidR="0048191D" w:rsidRPr="006F15BB">
        <w:rPr>
          <w:rFonts w:ascii="Book Antiqua" w:hAnsi="Book Antiqua" w:cs="Times New Roman"/>
          <w:lang w:val="en-GB"/>
        </w:rPr>
        <w:t xml:space="preserve"> and surgery times</w:t>
      </w:r>
      <w:r w:rsidR="00195E05" w:rsidRPr="006F15BB">
        <w:rPr>
          <w:rFonts w:ascii="Book Antiqua" w:hAnsi="Book Antiqua" w:cs="Times New Roman"/>
          <w:lang w:val="en-GB"/>
        </w:rPr>
        <w:t xml:space="preserve"> in the unmatched analyses</w:t>
      </w:r>
      <w:r w:rsidR="0048191D" w:rsidRPr="006F15BB">
        <w:rPr>
          <w:rFonts w:ascii="Book Antiqua" w:hAnsi="Book Antiqua" w:cs="Times New Roman"/>
          <w:lang w:val="en-GB"/>
        </w:rPr>
        <w:t>.</w:t>
      </w:r>
      <w:r w:rsidR="0034509C">
        <w:rPr>
          <w:rFonts w:ascii="Book Antiqua" w:hAnsi="Book Antiqua" w:cs="Times New Roman"/>
          <w:lang w:val="en-GB"/>
        </w:rPr>
        <w:t xml:space="preserve"> </w:t>
      </w:r>
      <w:r w:rsidR="0048191D" w:rsidRPr="006F15BB">
        <w:rPr>
          <w:rFonts w:ascii="Book Antiqua" w:hAnsi="Book Antiqua" w:cs="Times New Roman"/>
          <w:lang w:val="en-GB"/>
        </w:rPr>
        <w:t xml:space="preserve">This may </w:t>
      </w:r>
      <w:r w:rsidR="00E62FA1" w:rsidRPr="006F15BB">
        <w:rPr>
          <w:rFonts w:ascii="Book Antiqua" w:hAnsi="Book Antiqua" w:cs="Times New Roman"/>
          <w:lang w:val="en-GB"/>
        </w:rPr>
        <w:t xml:space="preserve">reflect </w:t>
      </w:r>
      <w:r w:rsidR="000135B5" w:rsidRPr="006F15BB">
        <w:rPr>
          <w:rFonts w:ascii="Book Antiqua" w:hAnsi="Book Antiqua" w:cs="Times New Roman"/>
          <w:lang w:val="en-GB"/>
        </w:rPr>
        <w:t xml:space="preserve">an effort to reduce </w:t>
      </w:r>
      <w:r w:rsidR="0048191D" w:rsidRPr="006F15BB">
        <w:rPr>
          <w:rFonts w:ascii="Book Antiqua" w:hAnsi="Book Antiqua" w:cs="Times New Roman"/>
          <w:lang w:val="en-GB"/>
        </w:rPr>
        <w:t xml:space="preserve">operative </w:t>
      </w:r>
      <w:r w:rsidR="00E62FA1" w:rsidRPr="006F15BB">
        <w:rPr>
          <w:rFonts w:ascii="Book Antiqua" w:hAnsi="Book Antiqua" w:cs="Times New Roman"/>
          <w:lang w:val="en-GB"/>
        </w:rPr>
        <w:t xml:space="preserve">or </w:t>
      </w:r>
      <w:proofErr w:type="spellStart"/>
      <w:r w:rsidR="00E62FA1" w:rsidRPr="006F15BB">
        <w:rPr>
          <w:rFonts w:ascii="Book Antiqua" w:hAnsi="Book Antiqua" w:cs="Times New Roman"/>
          <w:lang w:val="en-GB"/>
        </w:rPr>
        <w:t>anesthetic</w:t>
      </w:r>
      <w:proofErr w:type="spellEnd"/>
      <w:r w:rsidR="00E62FA1" w:rsidRPr="006F15BB">
        <w:rPr>
          <w:rFonts w:ascii="Book Antiqua" w:hAnsi="Book Antiqua" w:cs="Times New Roman"/>
          <w:lang w:val="en-GB"/>
        </w:rPr>
        <w:t xml:space="preserve"> </w:t>
      </w:r>
      <w:r w:rsidR="0048191D" w:rsidRPr="006F15BB">
        <w:rPr>
          <w:rFonts w:ascii="Book Antiqua" w:hAnsi="Book Antiqua" w:cs="Times New Roman"/>
          <w:lang w:val="en-GB"/>
        </w:rPr>
        <w:t>time</w:t>
      </w:r>
      <w:r w:rsidR="00E62FA1" w:rsidRPr="006F15BB">
        <w:rPr>
          <w:rFonts w:ascii="Book Antiqua" w:hAnsi="Book Antiqua" w:cs="Times New Roman"/>
          <w:lang w:val="en-GB"/>
        </w:rPr>
        <w:t xml:space="preserve"> for </w:t>
      </w:r>
      <w:r w:rsidR="0048191D" w:rsidRPr="006F15BB">
        <w:rPr>
          <w:rFonts w:ascii="Book Antiqua" w:hAnsi="Book Antiqua" w:cs="Times New Roman"/>
          <w:lang w:val="en-GB"/>
        </w:rPr>
        <w:t>higher risk</w:t>
      </w:r>
      <w:r w:rsidR="000135B5" w:rsidRPr="006F15BB">
        <w:rPr>
          <w:rFonts w:ascii="Book Antiqua" w:hAnsi="Book Antiqua" w:cs="Times New Roman"/>
          <w:lang w:val="en-GB"/>
        </w:rPr>
        <w:t xml:space="preserve"> patients</w:t>
      </w:r>
      <w:r w:rsidR="00E62FA1" w:rsidRPr="006F15BB">
        <w:rPr>
          <w:rFonts w:ascii="Book Antiqua" w:hAnsi="Book Antiqua" w:cs="Times New Roman"/>
          <w:lang w:val="en-GB"/>
        </w:rPr>
        <w:t xml:space="preserve">, by </w:t>
      </w:r>
      <w:r w:rsidR="000135B5" w:rsidRPr="006F15BB">
        <w:rPr>
          <w:rFonts w:ascii="Book Antiqua" w:hAnsi="Book Antiqua" w:cs="Times New Roman"/>
          <w:lang w:val="en-GB"/>
        </w:rPr>
        <w:t xml:space="preserve">selecting </w:t>
      </w:r>
      <w:r w:rsidR="00E62FA1" w:rsidRPr="006F15BB">
        <w:rPr>
          <w:rFonts w:ascii="Book Antiqua" w:hAnsi="Book Antiqua" w:cs="Times New Roman"/>
          <w:lang w:val="en-GB"/>
        </w:rPr>
        <w:t>more senior or experienced staff</w:t>
      </w:r>
      <w:r w:rsidR="00FC0712" w:rsidRPr="006F15BB">
        <w:rPr>
          <w:rFonts w:ascii="Book Antiqua" w:hAnsi="Book Antiqua" w:cs="Times New Roman"/>
          <w:lang w:val="en-GB"/>
        </w:rPr>
        <w:t>, or less complex operative procedures</w:t>
      </w:r>
      <w:r w:rsidR="00436A47" w:rsidRPr="006F15BB">
        <w:rPr>
          <w:rFonts w:ascii="Book Antiqua" w:hAnsi="Book Antiqua" w:cs="Times New Roman"/>
          <w:lang w:val="en-GB"/>
        </w:rPr>
        <w:fldChar w:fldCharType="begin" w:fldLock="1"/>
      </w:r>
      <w:r w:rsidR="00C2761D" w:rsidRPr="006F15BB">
        <w:rPr>
          <w:rFonts w:ascii="Book Antiqua" w:hAnsi="Book Antiqua" w:cs="Times New Roman"/>
          <w:lang w:val="en-GB"/>
        </w:rPr>
        <w:instrText>ADDIN CSL_CITATION { "citationItems" : [ { "id" : "ITEM-1", "itemData" : { "DOI" : "10.1016/j.jamcollsurg.2010.12.029", "ISBN" : "1879-1190 (Electronic)\\r1072-7515 (Linking)", "ISSN" : "10727515", "PMID" : "21398151", "abstract" : "Background: Although the training of surgical residents is often considered in national policy addressing complications and safety, the influence of resident intraoperative involvement on surgical outcomes has not been well studied. Study Design: We identified 607,683 surgical cases from 234 hospitals from the 2006 to 2009 American College of Surgeons National Surgical Quality Improvement Program (ACS NSQIP). Outcomes were compared by resident involvement for all general and vascular cases as well as for specific general surgical procedures. Results: After typical ACS NSQIP comorbidity risk adjustment and further adjustment for hospital teaching status and operative time in modeling, resident intraoperative involvement was associated with slightly increased morbidity when assessing overall general or vascular procedures (odds ratio [OR] 1.06; 95% CI 1.04 to 1.09), pancreatectomy or esophagectomy (OR 1.26; 95% CI 1.08 to 1.45), and colorectal resections (OR 1.15; 95% CI 1.09 to 1.22). In contrast, for mortality, resident intraoperative involvement was associated with reductions for overall general and vascular procedures (OR 0.91; 95% CI 0.84 to 0.99), colorectal resections (OR 0.88; 95% CI 0.78 to 0.99), and abdominal aortic aneurysm repair (OR 0.71; 95% CI 0.53 to 0.95). Results were moderated somewhat after hierarchical modeling was performed to account for hospital-level variation, with mortality results no longer reaching significance (overall morbidity OR 1.07; 95% CI 1.03 to 1.10, overall mortality OR 0.97; 95% CI 0.90 to 1.05). Based on risk-adjusted event rates, resident intraoperative involvement is associated with approximately 6.1 additional morbidity events but 1.4 fewer deaths per 1,000 general and vascular surgery procedures. Conclusions: Resident intraoperative participation is associated with slightly higher morbidity rates but slightly decreased mortality rates across a variety of procedures and is minimized further after taking into account hospital-level variation. These clinically small effects may serve to reassure patients and others that resident involvement in surgical care is safe and possibly protective with regard to mortality. \u00a9 2011 American College of Surgeons.", "author" : [ { "dropping-particle" : "V.", "family" : "Raval", "given" : "Mehul", "non-dropping-particle" : "", "parse-names" : false, "suffix" : "" }, { "dropping-particle" : "", "family" : "Wang", "given" : "Xue", "non-dropping-particle" : "", "parse-names" : false, "suffix" : "" }, { "dropping-particle" : "", "family" : "Cohen", "given" : "Mark E.", "non-dropping-particle" : "", "parse-names" : false, "suffix" : "" }, { "dropping-particle" : "", "family" : "Ingraham", "given" : "Angela M.", "non-dropping-particle" : "", "parse-names" : false, "suffix" : "" }, { "dropping-particle" : "", "family" : "Bentrem", "given" : "David J.", "non-dropping-particle" : "", "parse-names" : false, "suffix" : "" }, { "dropping-particle" : "", "family" : "Dimick", "given" : "Justin B.", "non-dropping-particle" : "", "parse-names" : false, "suffix" : "" }, { "dropping-particle" : "", "family" : "Flynn", "given" : "Timothy", "non-dropping-particle" : "", "parse-names" : false, "suffix" : "" }, { "dropping-particle" : "", "family" : "Hall", "given" : "Bruce L.", "non-dropping-particle" : "", "parse-names" : false, "suffix" : "" }, { "dropping-particle" : "", "family" : "Ko", "given" : "Clifford Y.", "non-dropping-particle" : "", "parse-names" : false, "suffix" : "" } ], "container-title" : "Journal of the American College of Surgeons", "id" : "ITEM-1", "issue" : "5", "issued" : { "date-parts" : [ [ "2011", "5" ] ] }, "page" : "889-898", "title" : "The influence of resident involvement on surgical outcomes", "type" : "article-journal", "volume" : "212" }, "uris" : [ "http://www.mendeley.com/documents/?uuid=e36765df-ab73-38ab-a9f2-065c366dfd5c" ] } ], "mendeley" : { "formattedCitation" : "&lt;sup&gt;[&lt;sup&gt;38&lt;/sup&gt;]&lt;/sup&gt;", "plainTextFormattedCitation" : "[38]", "previouslyFormattedCitation" : "&lt;sup&gt;[&lt;sup&gt;38&lt;/sup&gt;]&lt;/sup&gt;" }, "properties" : { "noteIndex" : 0 }, "schema" : "https://github.com/citation-style-language/schema/raw/master/csl-citation.json" }</w:instrText>
      </w:r>
      <w:r w:rsidR="00436A47" w:rsidRPr="006F15BB">
        <w:rPr>
          <w:rFonts w:ascii="Book Antiqua" w:hAnsi="Book Antiqua" w:cs="Times New Roman"/>
          <w:lang w:val="en-GB"/>
        </w:rPr>
        <w:fldChar w:fldCharType="separate"/>
      </w:r>
      <w:r w:rsidR="0052176A" w:rsidRPr="006F15BB">
        <w:rPr>
          <w:rFonts w:ascii="Book Antiqua" w:hAnsi="Book Antiqua" w:cs="Times New Roman"/>
          <w:noProof/>
          <w:vertAlign w:val="superscript"/>
          <w:lang w:val="en-GB"/>
        </w:rPr>
        <w:t>[38]</w:t>
      </w:r>
      <w:r w:rsidR="00436A47" w:rsidRPr="006F15BB">
        <w:rPr>
          <w:rFonts w:ascii="Book Antiqua" w:hAnsi="Book Antiqua" w:cs="Times New Roman"/>
          <w:lang w:val="en-GB"/>
        </w:rPr>
        <w:fldChar w:fldCharType="end"/>
      </w:r>
      <w:r w:rsidR="00E62FA1" w:rsidRPr="006F15BB">
        <w:rPr>
          <w:rFonts w:ascii="Book Antiqua" w:hAnsi="Book Antiqua" w:cs="Times New Roman"/>
          <w:lang w:val="en-GB"/>
        </w:rPr>
        <w:t>.</w:t>
      </w:r>
      <w:r w:rsidR="0044365E" w:rsidRPr="006F15BB">
        <w:rPr>
          <w:rFonts w:ascii="Book Antiqua" w:hAnsi="Book Antiqua" w:cs="Times New Roman"/>
          <w:lang w:val="en-GB"/>
        </w:rPr>
        <w:t xml:space="preserve"> </w:t>
      </w:r>
      <w:r w:rsidR="00A27B00" w:rsidRPr="006F15BB">
        <w:rPr>
          <w:rFonts w:ascii="Book Antiqua" w:hAnsi="Book Antiqua" w:cs="Times New Roman"/>
          <w:lang w:val="en-GB"/>
        </w:rPr>
        <w:t>We found t</w:t>
      </w:r>
      <w:r w:rsidR="00DD41C9" w:rsidRPr="006F15BB">
        <w:rPr>
          <w:rFonts w:ascii="Book Antiqua" w:hAnsi="Book Antiqua" w:cs="Times New Roman"/>
          <w:lang w:val="en-GB"/>
        </w:rPr>
        <w:t xml:space="preserve">he rates of spinal </w:t>
      </w:r>
      <w:proofErr w:type="spellStart"/>
      <w:r w:rsidR="00195E05" w:rsidRPr="006F15BB">
        <w:rPr>
          <w:rFonts w:ascii="Book Antiqua" w:hAnsi="Book Antiqua" w:cs="Times New Roman"/>
          <w:lang w:val="en-GB"/>
        </w:rPr>
        <w:t>a</w:t>
      </w:r>
      <w:r w:rsidR="00F51F87" w:rsidRPr="006F15BB">
        <w:rPr>
          <w:rFonts w:ascii="Book Antiqua" w:hAnsi="Book Antiqua" w:cs="Times New Roman"/>
          <w:lang w:val="en-GB"/>
        </w:rPr>
        <w:t>nesthesia</w:t>
      </w:r>
      <w:proofErr w:type="spellEnd"/>
      <w:r w:rsidR="00F51F87" w:rsidRPr="006F15BB">
        <w:rPr>
          <w:rFonts w:ascii="Book Antiqua" w:hAnsi="Book Antiqua" w:cs="Times New Roman"/>
          <w:lang w:val="en-GB"/>
        </w:rPr>
        <w:t xml:space="preserve"> were higher for patients who were DNR.</w:t>
      </w:r>
      <w:r w:rsidR="0034509C">
        <w:rPr>
          <w:rFonts w:ascii="Book Antiqua" w:hAnsi="Book Antiqua" w:cs="Times New Roman"/>
          <w:lang w:val="en-GB"/>
        </w:rPr>
        <w:t xml:space="preserve"> </w:t>
      </w:r>
      <w:r w:rsidR="007E3EEC" w:rsidRPr="006F15BB">
        <w:rPr>
          <w:rFonts w:ascii="Book Antiqua" w:hAnsi="Book Antiqua" w:cs="Times New Roman"/>
          <w:lang w:val="en-GB"/>
        </w:rPr>
        <w:t>This may reflect</w:t>
      </w:r>
      <w:r w:rsidR="00DD41C9" w:rsidRPr="006F15BB">
        <w:rPr>
          <w:rFonts w:ascii="Book Antiqua" w:hAnsi="Book Antiqua" w:cs="Times New Roman"/>
          <w:lang w:val="en-GB"/>
        </w:rPr>
        <w:t xml:space="preserve"> ongoing debate </w:t>
      </w:r>
      <w:r w:rsidR="00B22022" w:rsidRPr="006F15BB">
        <w:rPr>
          <w:rFonts w:ascii="Book Antiqua" w:hAnsi="Book Antiqua" w:cs="Times New Roman"/>
          <w:lang w:val="en-GB"/>
        </w:rPr>
        <w:t xml:space="preserve">as to </w:t>
      </w:r>
      <w:r w:rsidR="00DD41C9" w:rsidRPr="006F15BB">
        <w:rPr>
          <w:rFonts w:ascii="Book Antiqua" w:hAnsi="Book Antiqua" w:cs="Times New Roman"/>
          <w:lang w:val="en-GB"/>
        </w:rPr>
        <w:t xml:space="preserve">whether spinal </w:t>
      </w:r>
      <w:proofErr w:type="spellStart"/>
      <w:r w:rsidR="00DD41C9" w:rsidRPr="006F15BB">
        <w:rPr>
          <w:rFonts w:ascii="Book Antiqua" w:hAnsi="Book Antiqua" w:cs="Times New Roman"/>
          <w:lang w:val="en-GB"/>
        </w:rPr>
        <w:t>anesthesia</w:t>
      </w:r>
      <w:proofErr w:type="spellEnd"/>
      <w:r w:rsidR="00DD41C9" w:rsidRPr="006F15BB">
        <w:rPr>
          <w:rFonts w:ascii="Book Antiqua" w:hAnsi="Book Antiqua" w:cs="Times New Roman"/>
          <w:lang w:val="en-GB"/>
        </w:rPr>
        <w:t xml:space="preserve"> </w:t>
      </w:r>
      <w:r w:rsidR="00B03FC1" w:rsidRPr="006F15BB">
        <w:rPr>
          <w:rFonts w:ascii="Book Antiqua" w:hAnsi="Book Antiqua" w:cs="Times New Roman"/>
          <w:lang w:val="en-GB"/>
        </w:rPr>
        <w:t>out</w:t>
      </w:r>
      <w:r w:rsidR="00772635">
        <w:rPr>
          <w:rFonts w:ascii="Book Antiqua" w:hAnsi="Book Antiqua" w:cs="Times New Roman"/>
          <w:lang w:val="en-GB"/>
        </w:rPr>
        <w:t>-</w:t>
      </w:r>
      <w:r w:rsidR="00B03FC1" w:rsidRPr="006F15BB">
        <w:rPr>
          <w:rFonts w:ascii="Book Antiqua" w:hAnsi="Book Antiqua" w:cs="Times New Roman"/>
          <w:lang w:val="en-GB"/>
        </w:rPr>
        <w:t xml:space="preserve">performs </w:t>
      </w:r>
      <w:r w:rsidR="00DD41C9" w:rsidRPr="006F15BB">
        <w:rPr>
          <w:rFonts w:ascii="Book Antiqua" w:hAnsi="Book Antiqua" w:cs="Times New Roman"/>
          <w:lang w:val="en-GB"/>
        </w:rPr>
        <w:t xml:space="preserve">general </w:t>
      </w:r>
      <w:proofErr w:type="spellStart"/>
      <w:r w:rsidR="00DD41C9" w:rsidRPr="006F15BB">
        <w:rPr>
          <w:rFonts w:ascii="Book Antiqua" w:hAnsi="Book Antiqua" w:cs="Times New Roman"/>
          <w:lang w:val="en-GB"/>
        </w:rPr>
        <w:t>anesth</w:t>
      </w:r>
      <w:r w:rsidR="00A27B00" w:rsidRPr="006F15BB">
        <w:rPr>
          <w:rFonts w:ascii="Book Antiqua" w:hAnsi="Book Antiqua" w:cs="Times New Roman"/>
          <w:lang w:val="en-GB"/>
        </w:rPr>
        <w:t>esia</w:t>
      </w:r>
      <w:proofErr w:type="spellEnd"/>
      <w:r w:rsidR="00A27B00" w:rsidRPr="006F15BB">
        <w:rPr>
          <w:rFonts w:ascii="Book Antiqua" w:hAnsi="Book Antiqua" w:cs="Times New Roman"/>
          <w:lang w:val="en-GB"/>
        </w:rPr>
        <w:t xml:space="preserve"> </w:t>
      </w:r>
      <w:r w:rsidR="00B22022" w:rsidRPr="006F15BB">
        <w:rPr>
          <w:rFonts w:ascii="Book Antiqua" w:hAnsi="Book Antiqua" w:cs="Times New Roman"/>
          <w:lang w:val="en-GB"/>
        </w:rPr>
        <w:t>in specific patient groups</w:t>
      </w:r>
      <w:r w:rsidR="00436A47" w:rsidRPr="006F15BB">
        <w:rPr>
          <w:rFonts w:ascii="Book Antiqua" w:hAnsi="Book Antiqua" w:cs="Times New Roman"/>
          <w:lang w:val="en-GB"/>
        </w:rPr>
        <w:fldChar w:fldCharType="begin" w:fldLock="1"/>
      </w:r>
      <w:r w:rsidR="00C2761D" w:rsidRPr="006F15BB">
        <w:rPr>
          <w:rFonts w:ascii="Book Antiqua" w:hAnsi="Book Antiqua" w:cs="Times New Roman"/>
          <w:lang w:val="en-GB"/>
        </w:rPr>
        <w:instrText>ADDIN CSL_CITATION { "citationItems" : [ { "id" : "ITEM-1", "itemData" : { "DOI" : "10.5312/wjo.v5.i3.336", "ISBN" : "2218-5836 (Electronic) 2218-5836 (Linking)", "ISSN" : "2218-5836", "PMID" : "25035837", "abstract" : "Over the last decades the demand for hip surgery, be it elective or in a traumatic setting, has greatly increased and is projected to expand even further. Concurrent with demographic changes the affected population is burdened by an increase in average comorbidity and serious complications. It has been suggested that the choice of anesthesia not only affects the surgery setting but also the perioperative outcome as a whole. Therefore different approaches and anesthetic techniques have been developed to offer individual anesthetic and analgesic care to hip surgery patients. Recent studies on comparative effectiveness utilizing population based data have given us a novel insight on anesthetic practice and outcome, showing favorable results in the usage of regional vs general anesthesia. In this review we aim to give an overview of anesthetic techniques in use for hip surgery and their impact on perioperative outcome. While there still remains a scarcity of data investigating perioperative outcomes and anesthesia, most studies concur on a positive outcome in overall mortality, thromboembolic events, blood loss and transfusion requirements when comparing regional to general anesthesia. Much of the currently available evidence suggests that a comprehensive medical approach with emphasis on regional anesthesia can prove beneficial to patients and the health care system.", "author" : [ { "dropping-particle" : "", "family" : "Opperer", "given" : "Mathias", "non-dropping-particle" : "", "parse-names" : false, "suffix" : "" }, { "dropping-particle" : "", "family" : "Danninger", "given" : "Thomas", "non-dropping-particle" : "", "parse-names" : false, "suffix" : "" }, { "dropping-particle" : "", "family" : "Stundner", "given" : "Ottokar", "non-dropping-particle" : "", "parse-names" : false, "suffix" : "" }, { "dropping-particle" : "", "family" : "Memtsoudis", "given" : "Stavros G", "non-dropping-particle" : "", "parse-names" : false, "suffix" : "" } ], "container-title" : "World journal of orthopedics", "id" : "ITEM-1", "issue" : "3", "issued" : { "date-parts" : [ [ "2014", "7", "18" ] ] }, "page" : "336-43", "publisher" : "Baishideng Publishing Group Inc", "title" : "Perioperative outcomes and type of anesthesia in hip surgical patients: An evidence based review.", "type" : "article-journal", "volume" : "5" }, "uris" : [ "http://www.mendeley.com/documents/?uuid=cbbbe64e-1ea0-3db3-ab3e-1ae8c08c05fd" ] }, { "id" : "ITEM-2", "itemData" : { "DOI" : "10.2106/JBJS.N.00662", "ISBN" : "0021-9355", "ISSN" : "0021-9355", "PMID" : "25788301", "abstract" : "Background: Total hip arthroplasty may be performed under general or spinal anesthesia. The purpose of the current study was to compare perioperative outcomes between anesthetic types for patients undergoing primary elective total hip arthroplasty. Methods: Patients who had undergone primary elective total hip arthroplasty from 2010 to 2012 were identified from the American College of Surgeons National Surgical Quality Improvement Program database. Operating room times, length of stay, thirty-day adverse events, and readmission were compared between patients who had received general anesthesia and those who had received spinal anesthesia. Propensity-adjusted multivariate analysis was used to control for selection bias and baseline patient characteristics. Results: A total of 20,936 patients who had undergone total hip arthroplasty met inclusion criteria for this study. Of these, 12,752 patients (60.9%) had received general anesthesia and 8184 patients (39.1%) had received spinal anesthesia. On propensity-adjusted multivariate analyses, general anesthesia for total hip arthroplasty was associated with increased operative time (+12 minutes [95% confidence interval, +11 to +13 minutes]; p &lt; 0.001) and postoperative room time (+5 minutes [95% confidence interval, +4 to +6 minutes]; p &lt; 0.001). General anesthesia was also associated with the occurrence of any adverse event (odds ratio, 1.31 [95% confidence interval, 1.23 to 1.41]; p &lt; 0.001), prolonged postoperative ventilator use (odds ratio, 5.81 [95% confidence interval, 1.35 to 25.06]; p = 0.018), unplanned intubation (odds ratio, 2.17 [95% confidence interval, 1.11 to 4.29]; p = 0.024), stroke (odds ratio, 2.51 [95% confidence interval, 1.02 to 6.20]; p = 0.046), cardiac arrest (odds ratio, 5.04 [95% confidence interval, 1.15 to 22.07]; p = 0.032), any minor adverse event (odds ratio, 1.35 [95% confidence interval, 1.25 to 1.45]; p = 0.001), and blood transfusion (odds ratio, 1.34 [95% confidence interval, 1.25 to 1.45]; p &lt; 0.001). General anesthesia was not associated with any difference in preoperative room time, postoperative length of stay, or readmission. Conclusions: General anesthesia was associated with an increased rate of adverse events and mildly increased operating room times. Level of Evidence: Therapeutic Level III. See Instructions for Authors for a complete description of levels of evidence.", "author" : [ { "dropping-particle" : "", "family" : "Basques", "given" : "Bryce A", "non-dropping-particle" : "", "parse-names" : false, "suffix" : "" }, { "dropping-particle" : "", "family" : "Toy", "given" : "Jason O", "non-dropping-particle" : "", "parse-names" : false, "suffix" : "" }, { "dropping-particle" : "", "family" : "Bohl", "given" : "Daniel D", "non-dropping-particle" : "", "parse-names" : false, "suffix" : "" }, { "dropping-particle" : "", "family" : "Golinvaux", "given" : "Nicholas S", "non-dropping-particle" : "", "parse-names" : false, "suffix" : "" }, { "dropping-particle" : "", "family" : "Grauer", "given" : "Jonathan N", "non-dropping-particle" : "", "parse-names" : false, "suffix" : "" } ], "container-title" : "The Journal of Bone and Joint Surgery-American Volume", "id" : "ITEM-2", "issue" : "6", "issued" : { "date-parts" : [ [ "2015", "3", "18" ] ] }, "page" : "455-461", "publisher" : "Journal of Bone and Joint Surgery, Inc.", "title" : "General Compared with Spinal Anesthesia for Total Hip Arthroplasty", "type" : "article-journal", "volume" : "97" }, "uris" : [ "http://www.mendeley.com/documents/?uuid=c1744f0e-12a2-3621-8368-5d3f1d38c581" ] } ], "mendeley" : { "formattedCitation" : "&lt;sup&gt;[&lt;sup&gt;39&lt;/sup&gt;, &lt;sup&gt;40&lt;/sup&gt;]&lt;/sup&gt;", "plainTextFormattedCitation" : "[39, 40]", "previouslyFormattedCitation" : "&lt;sup&gt;[&lt;sup&gt;39&lt;/sup&gt;, &lt;sup&gt;40&lt;/sup&gt;]&lt;/sup&gt;" }, "properties" : { "noteIndex" : 0 }, "schema" : "https://github.com/citation-style-language/schema/raw/master/csl-citation.json" }</w:instrText>
      </w:r>
      <w:r w:rsidR="00436A47" w:rsidRPr="006F15BB">
        <w:rPr>
          <w:rFonts w:ascii="Book Antiqua" w:hAnsi="Book Antiqua" w:cs="Times New Roman"/>
          <w:lang w:val="en-GB"/>
        </w:rPr>
        <w:fldChar w:fldCharType="separate"/>
      </w:r>
      <w:r w:rsidR="00772635">
        <w:rPr>
          <w:rFonts w:ascii="Book Antiqua" w:hAnsi="Book Antiqua" w:cs="Times New Roman"/>
          <w:noProof/>
          <w:vertAlign w:val="superscript"/>
          <w:lang w:val="en-GB"/>
        </w:rPr>
        <w:t>[39,</w:t>
      </w:r>
      <w:r w:rsidR="0052176A" w:rsidRPr="006F15BB">
        <w:rPr>
          <w:rFonts w:ascii="Book Antiqua" w:hAnsi="Book Antiqua" w:cs="Times New Roman"/>
          <w:noProof/>
          <w:vertAlign w:val="superscript"/>
          <w:lang w:val="en-GB"/>
        </w:rPr>
        <w:t>40]</w:t>
      </w:r>
      <w:r w:rsidR="00436A47" w:rsidRPr="006F15BB">
        <w:rPr>
          <w:rFonts w:ascii="Book Antiqua" w:hAnsi="Book Antiqua" w:cs="Times New Roman"/>
          <w:lang w:val="en-GB"/>
        </w:rPr>
        <w:fldChar w:fldCharType="end"/>
      </w:r>
      <w:r w:rsidR="00A27B00" w:rsidRPr="006F15BB">
        <w:rPr>
          <w:rFonts w:ascii="Book Antiqua" w:hAnsi="Book Antiqua" w:cs="Times New Roman"/>
          <w:lang w:val="en-GB"/>
        </w:rPr>
        <w:t xml:space="preserve">. </w:t>
      </w:r>
      <w:r w:rsidR="00126FEC" w:rsidRPr="006F15BB">
        <w:rPr>
          <w:rFonts w:ascii="Book Antiqua" w:hAnsi="Book Antiqua" w:cs="Times New Roman"/>
          <w:lang w:val="en-GB"/>
        </w:rPr>
        <w:t xml:space="preserve">Potential </w:t>
      </w:r>
      <w:r w:rsidR="00A27B00" w:rsidRPr="006F15BB">
        <w:rPr>
          <w:rFonts w:ascii="Book Antiqua" w:hAnsi="Book Antiqua" w:cs="Times New Roman"/>
          <w:lang w:val="en-GB"/>
        </w:rPr>
        <w:t xml:space="preserve">benefits from </w:t>
      </w:r>
      <w:r w:rsidR="00403E1F" w:rsidRPr="006F15BB">
        <w:rPr>
          <w:rFonts w:ascii="Book Antiqua" w:hAnsi="Book Antiqua" w:cs="Times New Roman"/>
          <w:lang w:val="en-GB"/>
        </w:rPr>
        <w:t xml:space="preserve">regional </w:t>
      </w:r>
      <w:proofErr w:type="spellStart"/>
      <w:r w:rsidR="00403E1F" w:rsidRPr="006F15BB">
        <w:rPr>
          <w:rFonts w:ascii="Book Antiqua" w:hAnsi="Book Antiqua" w:cs="Times New Roman"/>
          <w:lang w:val="en-GB"/>
        </w:rPr>
        <w:t>anesthesia</w:t>
      </w:r>
      <w:proofErr w:type="spellEnd"/>
      <w:r w:rsidR="00403E1F" w:rsidRPr="006F15BB">
        <w:rPr>
          <w:rFonts w:ascii="Book Antiqua" w:hAnsi="Book Antiqua" w:cs="Times New Roman"/>
          <w:lang w:val="en-GB"/>
        </w:rPr>
        <w:t xml:space="preserve">, such as </w:t>
      </w:r>
      <w:r w:rsidR="0048191D" w:rsidRPr="006F15BB">
        <w:rPr>
          <w:rFonts w:ascii="Book Antiqua" w:hAnsi="Book Antiqua" w:cs="Times New Roman"/>
          <w:lang w:val="en-GB"/>
        </w:rPr>
        <w:t>reduced respiratory and neurological complications</w:t>
      </w:r>
      <w:r w:rsidR="00403E1F" w:rsidRPr="006F15BB">
        <w:rPr>
          <w:rFonts w:ascii="Book Antiqua" w:hAnsi="Book Antiqua" w:cs="Times New Roman"/>
          <w:lang w:val="en-GB"/>
        </w:rPr>
        <w:t>,</w:t>
      </w:r>
      <w:r w:rsidR="00A27B00" w:rsidRPr="006F15BB">
        <w:rPr>
          <w:rFonts w:ascii="Book Antiqua" w:hAnsi="Book Antiqua" w:cs="Times New Roman"/>
          <w:lang w:val="en-GB"/>
        </w:rPr>
        <w:t xml:space="preserve"> </w:t>
      </w:r>
      <w:r w:rsidR="007871E0" w:rsidRPr="006F15BB">
        <w:rPr>
          <w:rFonts w:ascii="Book Antiqua" w:hAnsi="Book Antiqua" w:cs="Times New Roman"/>
          <w:lang w:val="en-GB"/>
        </w:rPr>
        <w:t xml:space="preserve">and reduced opiate consumption and side effects </w:t>
      </w:r>
      <w:r w:rsidR="00A27B00" w:rsidRPr="006F15BB">
        <w:rPr>
          <w:rFonts w:ascii="Book Antiqua" w:hAnsi="Book Antiqua" w:cs="Times New Roman"/>
          <w:lang w:val="en-GB"/>
        </w:rPr>
        <w:t>may be mo</w:t>
      </w:r>
      <w:r w:rsidR="00126FEC" w:rsidRPr="006F15BB">
        <w:rPr>
          <w:rFonts w:ascii="Book Antiqua" w:hAnsi="Book Antiqua" w:cs="Times New Roman"/>
          <w:lang w:val="en-GB"/>
        </w:rPr>
        <w:t>re</w:t>
      </w:r>
      <w:r w:rsidR="00A27B00" w:rsidRPr="006F15BB">
        <w:rPr>
          <w:rFonts w:ascii="Book Antiqua" w:hAnsi="Book Antiqua" w:cs="Times New Roman"/>
          <w:lang w:val="en-GB"/>
        </w:rPr>
        <w:t xml:space="preserve"> p</w:t>
      </w:r>
      <w:r w:rsidR="007871E0" w:rsidRPr="006F15BB">
        <w:rPr>
          <w:rFonts w:ascii="Book Antiqua" w:hAnsi="Book Antiqua" w:cs="Times New Roman"/>
          <w:lang w:val="en-GB"/>
        </w:rPr>
        <w:t xml:space="preserve">ronounced in high risk patients. </w:t>
      </w:r>
      <w:r w:rsidR="00F51F87" w:rsidRPr="006F15BB">
        <w:rPr>
          <w:rFonts w:ascii="Book Antiqua" w:hAnsi="Book Antiqua" w:cs="Times New Roman"/>
          <w:lang w:val="en-GB"/>
        </w:rPr>
        <w:t>This find</w:t>
      </w:r>
      <w:r w:rsidR="008077F5">
        <w:rPr>
          <w:rFonts w:ascii="Book Antiqua" w:hAnsi="Book Antiqua" w:cs="Times New Roman"/>
          <w:lang w:val="en-GB"/>
        </w:rPr>
        <w:t>ing</w:t>
      </w:r>
      <w:r w:rsidR="00F51F87" w:rsidRPr="006F15BB">
        <w:rPr>
          <w:rFonts w:ascii="Book Antiqua" w:hAnsi="Book Antiqua" w:cs="Times New Roman"/>
          <w:lang w:val="en-GB"/>
        </w:rPr>
        <w:t xml:space="preserve"> was despite the fact that </w:t>
      </w:r>
      <w:r w:rsidR="00403E1F" w:rsidRPr="006F15BB">
        <w:rPr>
          <w:rFonts w:ascii="Book Antiqua" w:hAnsi="Book Antiqua" w:cs="Times New Roman"/>
          <w:lang w:val="en-GB"/>
        </w:rPr>
        <w:t xml:space="preserve">some contraindications </w:t>
      </w:r>
      <w:r w:rsidR="00A13F46" w:rsidRPr="006F15BB">
        <w:rPr>
          <w:rFonts w:ascii="Book Antiqua" w:hAnsi="Book Antiqua" w:cs="Times New Roman"/>
          <w:lang w:val="en-GB"/>
        </w:rPr>
        <w:t xml:space="preserve">to spinal </w:t>
      </w:r>
      <w:proofErr w:type="spellStart"/>
      <w:r w:rsidR="00A13F46" w:rsidRPr="006F15BB">
        <w:rPr>
          <w:rFonts w:ascii="Book Antiqua" w:hAnsi="Book Antiqua" w:cs="Times New Roman"/>
          <w:lang w:val="en-GB"/>
        </w:rPr>
        <w:t>anesthesia</w:t>
      </w:r>
      <w:proofErr w:type="spellEnd"/>
      <w:r w:rsidR="00B03FC1" w:rsidRPr="006F15BB">
        <w:rPr>
          <w:rFonts w:ascii="Book Antiqua" w:hAnsi="Book Antiqua" w:cs="Times New Roman"/>
          <w:lang w:val="en-GB"/>
        </w:rPr>
        <w:t>, such as anticoagulation</w:t>
      </w:r>
      <w:r w:rsidR="007871E0" w:rsidRPr="006F15BB">
        <w:rPr>
          <w:rFonts w:ascii="Book Antiqua" w:hAnsi="Book Antiqua" w:cs="Times New Roman"/>
          <w:lang w:val="en-GB"/>
        </w:rPr>
        <w:t>,</w:t>
      </w:r>
      <w:r w:rsidR="00A13F46" w:rsidRPr="006F15BB">
        <w:rPr>
          <w:rFonts w:ascii="Book Antiqua" w:hAnsi="Book Antiqua" w:cs="Times New Roman"/>
          <w:lang w:val="en-GB"/>
        </w:rPr>
        <w:t xml:space="preserve"> </w:t>
      </w:r>
      <w:r w:rsidR="00403E1F" w:rsidRPr="006F15BB">
        <w:rPr>
          <w:rFonts w:ascii="Book Antiqua" w:hAnsi="Book Antiqua" w:cs="Times New Roman"/>
          <w:lang w:val="en-GB"/>
        </w:rPr>
        <w:t>may be more prevalent</w:t>
      </w:r>
      <w:r w:rsidR="00436A47" w:rsidRPr="006F15BB">
        <w:rPr>
          <w:rFonts w:ascii="Book Antiqua" w:hAnsi="Book Antiqua" w:cs="Times New Roman"/>
          <w:lang w:val="en-GB"/>
        </w:rPr>
        <w:fldChar w:fldCharType="begin" w:fldLock="1"/>
      </w:r>
      <w:r w:rsidR="00C2761D" w:rsidRPr="006F15BB">
        <w:rPr>
          <w:rFonts w:ascii="Book Antiqua" w:hAnsi="Book Antiqua" w:cs="Times New Roman"/>
          <w:lang w:val="en-GB"/>
        </w:rPr>
        <w:instrText>ADDIN CSL_CITATION { "citationItems" : [ { "id" : "ITEM-1", "itemData" : { "DOI" : "10.5312/wjo.v5.i3.336", "ISBN" : "2218-5836 (Electronic) 2218-5836 (Linking)", "ISSN" : "2218-5836", "PMID" : "25035837", "abstract" : "Over the last decades the demand for hip surgery, be it elective or in a traumatic setting, has greatly increased and is projected to expand even further. Concurrent with demographic changes the affected population is burdened by an increase in average comorbidity and serious complications. It has been suggested that the choice of anesthesia not only affects the surgery setting but also the perioperative outcome as a whole. Therefore different approaches and anesthetic techniques have been developed to offer individual anesthetic and analgesic care to hip surgery patients. Recent studies on comparative effectiveness utilizing population based data have given us a novel insight on anesthetic practice and outcome, showing favorable results in the usage of regional vs general anesthesia. In this review we aim to give an overview of anesthetic techniques in use for hip surgery and their impact on perioperative outcome. While there still remains a scarcity of data investigating perioperative outcomes and anesthesia, most studies concur on a positive outcome in overall mortality, thromboembolic events, blood loss and transfusion requirements when comparing regional to general anesthesia. Much of the currently available evidence suggests that a comprehensive medical approach with emphasis on regional anesthesia can prove beneficial to patients and the health care system.", "author" : [ { "dropping-particle" : "", "family" : "Opperer", "given" : "Mathias", "non-dropping-particle" : "", "parse-names" : false, "suffix" : "" }, { "dropping-particle" : "", "family" : "Danninger", "given" : "Thomas", "non-dropping-particle" : "", "parse-names" : false, "suffix" : "" }, { "dropping-particle" : "", "family" : "Stundner", "given" : "Ottokar", "non-dropping-particle" : "", "parse-names" : false, "suffix" : "" }, { "dropping-particle" : "", "family" : "Memtsoudis", "given" : "Stavros G", "non-dropping-particle" : "", "parse-names" : false, "suffix" : "" } ], "container-title" : "World journal of orthopedics", "id" : "ITEM-1", "issue" : "3", "issued" : { "date-parts" : [ [ "2014", "7", "18" ] ] }, "page" : "336-43", "publisher" : "Baishideng Publishing Group Inc", "title" : "Perioperative outcomes and type of anesthesia in hip surgical patients: An evidence based review.", "type" : "article-journal", "volume" : "5" }, "uris" : [ "http://www.mendeley.com/documents/?uuid=cbbbe64e-1ea0-3db3-ab3e-1ae8c08c05fd" ] } ], "mendeley" : { "formattedCitation" : "&lt;sup&gt;[&lt;sup&gt;39&lt;/sup&gt;]&lt;/sup&gt;", "plainTextFormattedCitation" : "[39]", "previouslyFormattedCitation" : "&lt;sup&gt;[&lt;sup&gt;39&lt;/sup&gt;]&lt;/sup&gt;" }, "properties" : { "noteIndex" : 0 }, "schema" : "https://github.com/citation-style-language/schema/raw/master/csl-citation.json" }</w:instrText>
      </w:r>
      <w:r w:rsidR="00436A47" w:rsidRPr="006F15BB">
        <w:rPr>
          <w:rFonts w:ascii="Book Antiqua" w:hAnsi="Book Antiqua" w:cs="Times New Roman"/>
          <w:lang w:val="en-GB"/>
        </w:rPr>
        <w:fldChar w:fldCharType="separate"/>
      </w:r>
      <w:r w:rsidR="0052176A" w:rsidRPr="006F15BB">
        <w:rPr>
          <w:rFonts w:ascii="Book Antiqua" w:hAnsi="Book Antiqua" w:cs="Times New Roman"/>
          <w:noProof/>
          <w:vertAlign w:val="superscript"/>
          <w:lang w:val="en-GB"/>
        </w:rPr>
        <w:t>[39]</w:t>
      </w:r>
      <w:r w:rsidR="00436A47" w:rsidRPr="006F15BB">
        <w:rPr>
          <w:rFonts w:ascii="Book Antiqua" w:hAnsi="Book Antiqua" w:cs="Times New Roman"/>
          <w:lang w:val="en-GB"/>
        </w:rPr>
        <w:fldChar w:fldCharType="end"/>
      </w:r>
      <w:r w:rsidR="00403E1F" w:rsidRPr="006F15BB">
        <w:rPr>
          <w:rFonts w:ascii="Book Antiqua" w:hAnsi="Book Antiqua" w:cs="Times New Roman"/>
          <w:lang w:val="en-GB"/>
        </w:rPr>
        <w:t xml:space="preserve">. </w:t>
      </w:r>
    </w:p>
    <w:p w14:paraId="54E59400" w14:textId="77777777" w:rsidR="00772635" w:rsidRPr="006F15BB" w:rsidRDefault="00772635" w:rsidP="008E7BBF">
      <w:pPr>
        <w:adjustRightInd w:val="0"/>
        <w:snapToGrid w:val="0"/>
        <w:spacing w:line="360" w:lineRule="auto"/>
        <w:ind w:firstLine="720"/>
        <w:jc w:val="both"/>
        <w:rPr>
          <w:rFonts w:ascii="Book Antiqua" w:hAnsi="Book Antiqua" w:cs="Times New Roman"/>
          <w:lang w:val="en-GB" w:eastAsia="zh-CN"/>
        </w:rPr>
      </w:pPr>
    </w:p>
    <w:p w14:paraId="066B93F4" w14:textId="77777777" w:rsidR="003869C7" w:rsidRPr="00772635" w:rsidRDefault="00BD7FAB" w:rsidP="008E7BBF">
      <w:pPr>
        <w:adjustRightInd w:val="0"/>
        <w:snapToGrid w:val="0"/>
        <w:spacing w:line="360" w:lineRule="auto"/>
        <w:jc w:val="both"/>
        <w:rPr>
          <w:rFonts w:ascii="Book Antiqua" w:hAnsi="Book Antiqua" w:cs="Times New Roman"/>
          <w:b/>
          <w:i/>
          <w:lang w:val="en-GB" w:eastAsia="zh-CN"/>
        </w:rPr>
      </w:pPr>
      <w:r w:rsidRPr="00772635">
        <w:rPr>
          <w:rFonts w:ascii="Book Antiqua" w:hAnsi="Book Antiqua" w:cs="Times New Roman"/>
          <w:b/>
          <w:i/>
          <w:lang w:val="en-GB"/>
        </w:rPr>
        <w:t xml:space="preserve">Limits of the study and </w:t>
      </w:r>
      <w:r w:rsidR="00772635" w:rsidRPr="00772635">
        <w:rPr>
          <w:rFonts w:ascii="Book Antiqua" w:hAnsi="Book Antiqua" w:cs="Times New Roman" w:hint="eastAsia"/>
          <w:b/>
          <w:i/>
          <w:lang w:val="en-GB" w:eastAsia="zh-CN"/>
        </w:rPr>
        <w:t>summary</w:t>
      </w:r>
    </w:p>
    <w:p w14:paraId="6817A3D9" w14:textId="77777777" w:rsidR="00BD7FAB" w:rsidRPr="006F15BB" w:rsidRDefault="00BD7FAB" w:rsidP="008E7BBF">
      <w:pPr>
        <w:adjustRightInd w:val="0"/>
        <w:snapToGrid w:val="0"/>
        <w:spacing w:line="360" w:lineRule="auto"/>
        <w:jc w:val="both"/>
        <w:rPr>
          <w:rFonts w:ascii="Book Antiqua" w:hAnsi="Book Antiqua" w:cs="Times New Roman"/>
          <w:lang w:val="en-GB"/>
        </w:rPr>
      </w:pPr>
      <w:r w:rsidRPr="006F15BB">
        <w:rPr>
          <w:rFonts w:ascii="Book Antiqua" w:hAnsi="Book Antiqua" w:cs="Times New Roman"/>
          <w:lang w:val="en-GB"/>
        </w:rPr>
        <w:t>The primary limit to this study is fundamental to the retrospective data review design that we were obligated to by the dataset.</w:t>
      </w:r>
      <w:r w:rsidR="0034509C">
        <w:rPr>
          <w:rFonts w:ascii="Book Antiqua" w:hAnsi="Book Antiqua" w:cs="Times New Roman"/>
          <w:lang w:val="en-GB"/>
        </w:rPr>
        <w:t xml:space="preserve"> </w:t>
      </w:r>
      <w:r w:rsidRPr="006F15BB">
        <w:rPr>
          <w:rFonts w:ascii="Book Antiqua" w:hAnsi="Book Antiqua" w:cs="Times New Roman"/>
          <w:lang w:val="en-GB"/>
        </w:rPr>
        <w:t>We were not able to control selection of patients for the surgeries as a result, and therefore sought to address these limitations by our statistical methods, as described above.</w:t>
      </w:r>
    </w:p>
    <w:p w14:paraId="6DF59C1D" w14:textId="77777777" w:rsidR="00DD7B50" w:rsidRPr="006F15BB" w:rsidRDefault="007871E0" w:rsidP="008E7BBF">
      <w:pPr>
        <w:adjustRightInd w:val="0"/>
        <w:snapToGrid w:val="0"/>
        <w:spacing w:line="360" w:lineRule="auto"/>
        <w:ind w:firstLine="720"/>
        <w:jc w:val="both"/>
        <w:rPr>
          <w:rFonts w:ascii="Book Antiqua" w:hAnsi="Book Antiqua" w:cs="Times New Roman"/>
          <w:lang w:val="en-GB"/>
        </w:rPr>
      </w:pPr>
      <w:r w:rsidRPr="006F15BB">
        <w:rPr>
          <w:rFonts w:ascii="Book Antiqua" w:hAnsi="Book Antiqua" w:cs="Times New Roman"/>
          <w:lang w:val="en-GB"/>
        </w:rPr>
        <w:t>The surgical c</w:t>
      </w:r>
      <w:r w:rsidR="00FC0712" w:rsidRPr="006F15BB">
        <w:rPr>
          <w:rFonts w:ascii="Book Antiqua" w:hAnsi="Book Antiqua" w:cs="Times New Roman"/>
          <w:lang w:val="en-GB"/>
        </w:rPr>
        <w:t>ase mix was similar for both groups</w:t>
      </w:r>
      <w:r w:rsidRPr="006F15BB">
        <w:rPr>
          <w:rFonts w:ascii="Book Antiqua" w:hAnsi="Book Antiqua" w:cs="Times New Roman"/>
          <w:lang w:val="en-GB"/>
        </w:rPr>
        <w:t xml:space="preserve">, though due to </w:t>
      </w:r>
      <w:r w:rsidR="008937C1" w:rsidRPr="006F15BB">
        <w:rPr>
          <w:rFonts w:ascii="Book Antiqua" w:hAnsi="Book Antiqua" w:cs="Times New Roman"/>
          <w:lang w:val="en-GB"/>
        </w:rPr>
        <w:t xml:space="preserve">a relatively </w:t>
      </w:r>
      <w:r w:rsidRPr="006F15BB">
        <w:rPr>
          <w:rFonts w:ascii="Book Antiqua" w:hAnsi="Book Antiqua" w:cs="Times New Roman"/>
          <w:lang w:val="en-GB"/>
        </w:rPr>
        <w:t xml:space="preserve">small </w:t>
      </w:r>
      <w:r w:rsidR="008937C1" w:rsidRPr="006F15BB">
        <w:rPr>
          <w:rFonts w:ascii="Book Antiqua" w:hAnsi="Book Antiqua" w:cs="Times New Roman"/>
          <w:lang w:val="en-GB"/>
        </w:rPr>
        <w:t xml:space="preserve">sample size </w:t>
      </w:r>
      <w:r w:rsidRPr="006F15BB">
        <w:rPr>
          <w:rFonts w:ascii="Book Antiqua" w:hAnsi="Book Antiqua" w:cs="Times New Roman"/>
          <w:lang w:val="en-GB"/>
        </w:rPr>
        <w:t>this could not be analysed in detail.</w:t>
      </w:r>
      <w:r w:rsidR="0034509C">
        <w:rPr>
          <w:rFonts w:ascii="Book Antiqua" w:hAnsi="Book Antiqua" w:cs="Times New Roman"/>
          <w:lang w:val="en-GB"/>
        </w:rPr>
        <w:t xml:space="preserve"> </w:t>
      </w:r>
      <w:r w:rsidRPr="006F15BB">
        <w:rPr>
          <w:rFonts w:ascii="Book Antiqua" w:hAnsi="Book Antiqua" w:cs="Times New Roman"/>
          <w:lang w:val="en-GB"/>
        </w:rPr>
        <w:t xml:space="preserve">The 10 most common procedures appeared in </w:t>
      </w:r>
      <w:r w:rsidR="00295727" w:rsidRPr="006F15BB">
        <w:rPr>
          <w:rFonts w:ascii="Book Antiqua" w:hAnsi="Book Antiqua" w:cs="Times New Roman"/>
          <w:lang w:val="en-GB"/>
        </w:rPr>
        <w:t xml:space="preserve">approximately </w:t>
      </w:r>
      <w:r w:rsidRPr="006F15BB">
        <w:rPr>
          <w:rFonts w:ascii="Book Antiqua" w:hAnsi="Book Antiqua" w:cs="Times New Roman"/>
          <w:lang w:val="en-GB"/>
        </w:rPr>
        <w:t xml:space="preserve">the same order for both groups, and no gross discrepancies were apparent </w:t>
      </w:r>
      <w:r w:rsidR="00F51F87" w:rsidRPr="006F15BB">
        <w:rPr>
          <w:rFonts w:ascii="Book Antiqua" w:hAnsi="Book Antiqua" w:cs="Times New Roman"/>
          <w:lang w:val="en-GB"/>
        </w:rPr>
        <w:t>to visual inspection of the relative proportions.</w:t>
      </w:r>
      <w:r w:rsidRPr="006F15BB">
        <w:rPr>
          <w:rFonts w:ascii="Book Antiqua" w:hAnsi="Book Antiqua" w:cs="Times New Roman"/>
          <w:lang w:val="en-GB"/>
        </w:rPr>
        <w:t xml:space="preserve"> </w:t>
      </w:r>
      <w:r w:rsidR="00E62669" w:rsidRPr="006F15BB">
        <w:rPr>
          <w:rFonts w:ascii="Book Antiqua" w:hAnsi="Book Antiqua" w:cs="Times New Roman"/>
          <w:lang w:val="en-GB"/>
        </w:rPr>
        <w:t xml:space="preserve">Although our data was able to describe the case mix of procedures undertaken in </w:t>
      </w:r>
      <w:r w:rsidR="00E62669" w:rsidRPr="006F15BB">
        <w:rPr>
          <w:rFonts w:ascii="Book Antiqua" w:hAnsi="Book Antiqua" w:cs="Times New Roman"/>
          <w:lang w:val="en-GB"/>
        </w:rPr>
        <w:lastRenderedPageBreak/>
        <w:t>this population, we were not able to discern sufficient level of detail to describe all aspects of the procedures performed.</w:t>
      </w:r>
      <w:r w:rsidR="0034509C">
        <w:rPr>
          <w:rFonts w:ascii="Book Antiqua" w:hAnsi="Book Antiqua" w:cs="Times New Roman"/>
          <w:lang w:val="en-GB"/>
        </w:rPr>
        <w:t xml:space="preserve"> </w:t>
      </w:r>
      <w:r w:rsidR="00E62669" w:rsidRPr="006F15BB">
        <w:rPr>
          <w:rFonts w:ascii="Book Antiqua" w:hAnsi="Book Antiqua" w:cs="Times New Roman"/>
          <w:lang w:val="en-GB"/>
        </w:rPr>
        <w:t>For instance, although we describe an approximately 15% incidence of total hip arthroplasty, the data set does not provide specific details on the techniques used to accomplish the surgery (e.g. use of cementing agent type, specific screw or prosthesis hardware type). This must be recognized as one of the specific limitations of the study in addition to the general limitations of retrospective administrative and clinical datasets.</w:t>
      </w:r>
    </w:p>
    <w:p w14:paraId="0272EE0A" w14:textId="77777777" w:rsidR="00296920" w:rsidRPr="006F15BB" w:rsidRDefault="00BD7FAB" w:rsidP="008E7BBF">
      <w:pPr>
        <w:adjustRightInd w:val="0"/>
        <w:snapToGrid w:val="0"/>
        <w:spacing w:line="360" w:lineRule="auto"/>
        <w:ind w:firstLine="720"/>
        <w:jc w:val="both"/>
        <w:rPr>
          <w:rFonts w:ascii="Book Antiqua" w:hAnsi="Book Antiqua" w:cs="Times New Roman"/>
          <w:lang w:val="en-GB"/>
        </w:rPr>
      </w:pPr>
      <w:r w:rsidRPr="006F15BB">
        <w:rPr>
          <w:rFonts w:ascii="Book Antiqua" w:hAnsi="Book Antiqua" w:cs="Times New Roman"/>
          <w:lang w:val="en-GB"/>
        </w:rPr>
        <w:t>Although the emerging literature in this area suggests that shared decision making is a crucial aspect of care for patients with DNR status, our data sources did not allow us to investigate the surgical decision making that preceded the operations among DNR patients in this cohort.</w:t>
      </w:r>
      <w:r w:rsidR="0034509C">
        <w:rPr>
          <w:rFonts w:ascii="Book Antiqua" w:hAnsi="Book Antiqua" w:cs="Times New Roman"/>
          <w:lang w:val="en-GB"/>
        </w:rPr>
        <w:t xml:space="preserve"> </w:t>
      </w:r>
      <w:r w:rsidRPr="006F15BB">
        <w:rPr>
          <w:rFonts w:ascii="Book Antiqua" w:hAnsi="Book Antiqua" w:cs="Times New Roman"/>
          <w:lang w:val="en-GB"/>
        </w:rPr>
        <w:t xml:space="preserve">Thus, we cannot comment on the specific </w:t>
      </w:r>
      <w:proofErr w:type="gramStart"/>
      <w:r w:rsidRPr="006F15BB">
        <w:rPr>
          <w:rFonts w:ascii="Book Antiqua" w:hAnsi="Book Antiqua" w:cs="Times New Roman"/>
          <w:lang w:val="en-GB"/>
        </w:rPr>
        <w:t>decision making</w:t>
      </w:r>
      <w:proofErr w:type="gramEnd"/>
      <w:r w:rsidRPr="006F15BB">
        <w:rPr>
          <w:rFonts w:ascii="Book Antiqua" w:hAnsi="Book Antiqua" w:cs="Times New Roman"/>
          <w:lang w:val="en-GB"/>
        </w:rPr>
        <w:t xml:space="preserve"> process that was used in deciding to undergo surgery for hip fracture among these patients. However, this would be a valuable area of future investigation.</w:t>
      </w:r>
    </w:p>
    <w:p w14:paraId="0E229F85" w14:textId="77777777" w:rsidR="00036AB0" w:rsidRDefault="00BD7FAB" w:rsidP="008E7BBF">
      <w:pPr>
        <w:adjustRightInd w:val="0"/>
        <w:snapToGrid w:val="0"/>
        <w:spacing w:line="360" w:lineRule="auto"/>
        <w:ind w:firstLine="720"/>
        <w:jc w:val="both"/>
        <w:rPr>
          <w:rFonts w:ascii="Book Antiqua" w:hAnsi="Book Antiqua" w:cs="Times New Roman"/>
          <w:lang w:val="en-GB" w:eastAsia="zh-CN"/>
        </w:rPr>
      </w:pPr>
      <w:r w:rsidRPr="006F15BB">
        <w:rPr>
          <w:rFonts w:ascii="Book Antiqua" w:hAnsi="Book Antiqua" w:cs="Times New Roman"/>
          <w:lang w:val="en-GB"/>
        </w:rPr>
        <w:t>However, t</w:t>
      </w:r>
      <w:r w:rsidR="00296920" w:rsidRPr="006F15BB">
        <w:rPr>
          <w:rFonts w:ascii="Book Antiqua" w:hAnsi="Book Antiqua" w:cs="Times New Roman"/>
          <w:lang w:val="en-GB"/>
        </w:rPr>
        <w:t>he m</w:t>
      </w:r>
      <w:r w:rsidR="00036AB0" w:rsidRPr="006F15BB">
        <w:rPr>
          <w:rFonts w:ascii="Book Antiqua" w:hAnsi="Book Antiqua" w:cs="Times New Roman"/>
          <w:lang w:val="en-GB"/>
        </w:rPr>
        <w:t xml:space="preserve">ortality and morbidity demonstrated </w:t>
      </w:r>
      <w:r w:rsidR="00296920" w:rsidRPr="006F15BB">
        <w:rPr>
          <w:rFonts w:ascii="Book Antiqua" w:hAnsi="Book Antiqua" w:cs="Times New Roman"/>
          <w:lang w:val="en-GB"/>
        </w:rPr>
        <w:t xml:space="preserve">in this study </w:t>
      </w:r>
      <w:r w:rsidR="00036AB0" w:rsidRPr="006F15BB">
        <w:rPr>
          <w:rFonts w:ascii="Book Antiqua" w:hAnsi="Book Antiqua" w:cs="Times New Roman"/>
          <w:lang w:val="en-GB"/>
        </w:rPr>
        <w:t>provides a</w:t>
      </w:r>
      <w:r w:rsidR="00296920" w:rsidRPr="006F15BB">
        <w:rPr>
          <w:rFonts w:ascii="Book Antiqua" w:hAnsi="Book Antiqua" w:cs="Times New Roman"/>
          <w:lang w:val="en-GB"/>
        </w:rPr>
        <w:t xml:space="preserve"> useful reference point for specific </w:t>
      </w:r>
      <w:r w:rsidR="00036AB0" w:rsidRPr="006F15BB">
        <w:rPr>
          <w:rFonts w:ascii="Book Antiqua" w:hAnsi="Book Antiqua" w:cs="Times New Roman"/>
          <w:lang w:val="en-GB"/>
        </w:rPr>
        <w:t xml:space="preserve">discussions about risks of hip fracture surgery, for informed consent, end of life discussions, and for planning </w:t>
      </w:r>
      <w:r w:rsidR="00296920" w:rsidRPr="006F15BB">
        <w:rPr>
          <w:rFonts w:ascii="Book Antiqua" w:hAnsi="Book Antiqua" w:cs="Times New Roman"/>
          <w:lang w:val="en-GB"/>
        </w:rPr>
        <w:t xml:space="preserve">perioperative care in this </w:t>
      </w:r>
      <w:proofErr w:type="gramStart"/>
      <w:r w:rsidR="00296920" w:rsidRPr="006F15BB">
        <w:rPr>
          <w:rFonts w:ascii="Book Antiqua" w:hAnsi="Book Antiqua" w:cs="Times New Roman"/>
          <w:lang w:val="en-GB"/>
        </w:rPr>
        <w:t>high risk</w:t>
      </w:r>
      <w:proofErr w:type="gramEnd"/>
      <w:r w:rsidR="00296920" w:rsidRPr="006F15BB">
        <w:rPr>
          <w:rFonts w:ascii="Book Antiqua" w:hAnsi="Book Antiqua" w:cs="Times New Roman"/>
          <w:lang w:val="en-GB"/>
        </w:rPr>
        <w:t xml:space="preserve"> demographic</w:t>
      </w:r>
      <w:r w:rsidR="00036AB0" w:rsidRPr="006F15BB">
        <w:rPr>
          <w:rFonts w:ascii="Book Antiqua" w:hAnsi="Book Antiqua" w:cs="Times New Roman"/>
          <w:lang w:val="en-GB"/>
        </w:rPr>
        <w:t xml:space="preserve">. </w:t>
      </w:r>
      <w:r w:rsidR="00296920" w:rsidRPr="006F15BB">
        <w:rPr>
          <w:rFonts w:ascii="Book Antiqua" w:hAnsi="Book Antiqua" w:cs="Times New Roman"/>
          <w:lang w:val="en-GB"/>
        </w:rPr>
        <w:t>Importantly, whil</w:t>
      </w:r>
      <w:r w:rsidR="008937C1" w:rsidRPr="006F15BB">
        <w:rPr>
          <w:rFonts w:ascii="Book Antiqua" w:hAnsi="Book Antiqua" w:cs="Times New Roman"/>
          <w:lang w:val="en-GB"/>
        </w:rPr>
        <w:t>e</w:t>
      </w:r>
      <w:r w:rsidR="00296920" w:rsidRPr="006F15BB">
        <w:rPr>
          <w:rFonts w:ascii="Book Antiqua" w:hAnsi="Book Antiqua" w:cs="Times New Roman"/>
          <w:lang w:val="en-GB"/>
        </w:rPr>
        <w:t xml:space="preserve"> mortality was higher in DNR status patients, morbidity, defined by post</w:t>
      </w:r>
      <w:r w:rsidR="00772635">
        <w:rPr>
          <w:rFonts w:ascii="Book Antiqua" w:hAnsi="Book Antiqua" w:cs="Times New Roman"/>
          <w:lang w:val="en-GB"/>
        </w:rPr>
        <w:t>-</w:t>
      </w:r>
      <w:r w:rsidR="00296920" w:rsidRPr="006F15BB">
        <w:rPr>
          <w:rFonts w:ascii="Book Antiqua" w:hAnsi="Book Antiqua" w:cs="Times New Roman"/>
          <w:lang w:val="en-GB"/>
        </w:rPr>
        <w:t>operati</w:t>
      </w:r>
      <w:r w:rsidR="000F5E0C" w:rsidRPr="006F15BB">
        <w:rPr>
          <w:rFonts w:ascii="Book Antiqua" w:hAnsi="Book Antiqua" w:cs="Times New Roman"/>
          <w:lang w:val="en-GB"/>
        </w:rPr>
        <w:t>ve complications, either</w:t>
      </w:r>
      <w:r w:rsidR="00296920" w:rsidRPr="006F15BB">
        <w:rPr>
          <w:rFonts w:ascii="Book Antiqua" w:hAnsi="Book Antiqua" w:cs="Times New Roman"/>
          <w:lang w:val="en-GB"/>
        </w:rPr>
        <w:t xml:space="preserve"> individually</w:t>
      </w:r>
      <w:r w:rsidR="000F5E0C" w:rsidRPr="006F15BB">
        <w:rPr>
          <w:rFonts w:ascii="Book Antiqua" w:hAnsi="Book Antiqua" w:cs="Times New Roman"/>
          <w:lang w:val="en-GB"/>
        </w:rPr>
        <w:t xml:space="preserve"> or overall</w:t>
      </w:r>
      <w:r w:rsidR="00296920" w:rsidRPr="006F15BB">
        <w:rPr>
          <w:rFonts w:ascii="Book Antiqua" w:hAnsi="Book Antiqua" w:cs="Times New Roman"/>
          <w:lang w:val="en-GB"/>
        </w:rPr>
        <w:t xml:space="preserve">, was </w:t>
      </w:r>
      <w:r w:rsidR="00F51F87" w:rsidRPr="006F15BB">
        <w:rPr>
          <w:rFonts w:ascii="Book Antiqua" w:hAnsi="Book Antiqua" w:cs="Times New Roman"/>
          <w:lang w:val="en-GB"/>
        </w:rPr>
        <w:t xml:space="preserve">generally </w:t>
      </w:r>
      <w:r w:rsidR="00296920" w:rsidRPr="006F15BB">
        <w:rPr>
          <w:rFonts w:ascii="Book Antiqua" w:hAnsi="Book Antiqua" w:cs="Times New Roman"/>
          <w:lang w:val="en-GB"/>
        </w:rPr>
        <w:t xml:space="preserve">not higher in the DNR status patients. </w:t>
      </w:r>
      <w:r w:rsidR="00295727" w:rsidRPr="006F15BB">
        <w:rPr>
          <w:rFonts w:ascii="Book Antiqua" w:hAnsi="Book Antiqua" w:cs="Times New Roman"/>
          <w:lang w:val="en-GB"/>
        </w:rPr>
        <w:t>Indeed, the reduced rate of CPR and unplanned intubation is both expected and consistent with findings in general and other surgical specialities</w:t>
      </w:r>
      <w:r w:rsidR="00436A47" w:rsidRPr="006F15BB">
        <w:rPr>
          <w:rFonts w:ascii="Book Antiqua" w:hAnsi="Book Antiqua" w:cs="Times New Roman"/>
          <w:lang w:val="en-GB"/>
        </w:rPr>
        <w:fldChar w:fldCharType="begin" w:fldLock="1"/>
      </w:r>
      <w:r w:rsidR="00C2761D" w:rsidRPr="006F15BB">
        <w:rPr>
          <w:rFonts w:ascii="Book Antiqua" w:hAnsi="Book Antiqua" w:cs="Times New Roman"/>
          <w:lang w:val="en-GB"/>
        </w:rPr>
        <w:instrText>ADDIN CSL_CITATION { "citationItems" : [ { "id" : "ITEM-1", "itemData" : { "DOI" : "10.1213/ANE.0000000000001904", "ISSN" : "0003-2999", "PMID" : "28319514", "abstract" : "BACKGROUND Do-not-resuscitate (DNR) orders instruct medical personnel to forego cardiopulmonary resuscitation in the event of cardiopulmonary arrest, but they do not preclude surgical management. Several studies have reported that DNR status is an independent predictor of 30-day mortality; however, the etiology of increased mortality remains unclear. We hypothesized that DNR patients would demonstrate increased postoperative mortality, but not morbidity, relative to non-DNR patients undergoing the same procedures. METHODS Using the American College of Surgeons National Surgical Quality Improvement Program database for 2007 to 2013, we performed a retrospective analysis to compare DNR and non-DNR cohorts matched by the most common procedures performed in DNR patients. We employed univariable and multivariable logistic regression to characterize patterns of care in the perioperative period as well as identify independent risk factors for increased mortality and assess for the presence of \"failure to rescue.\" RESULTS The most common procedures performed on DNR patients were emergent and centered on immediate symptom relief. When adjusting for preoperative factors, DNR patients were still found to have increased incidence of postoperative mortality (odds ratio 2.54 [2.29-2.82], P &lt; .001) but not postoperative morbidity at 30 days. In addition, cardiopulmonary resuscitative measures and unplanned intubation were found to be less frequent in the DNR cohort. CONCLUSIONS These findings suggest that increased mortality is the result of adherence to goals of care rather than \"failure to rescue.\"", "author" : [ { "dropping-particle" : "", "family" : "Walsh", "given" : "Elisa C.", "non-dropping-particle" : "", "parse-names" : false, "suffix" : "" }, { "dropping-particle" : "", "family" : "Brovman", "given" : "Ethan Y.", "non-dropping-particle" : "", "parse-names" : false, "suffix" : "" }, { "dropping-particle" : "", "family" : "Bader", "given" : "Angela M.", "non-dropping-particle" : "", "parse-names" : false, "suffix" : "" }, { "dropping-particle" : "", "family" : "Urman", "given" : "Richard D.", "non-dropping-particle" : "", "parse-names" : false, "suffix" : "" } ], "container-title" : "Anesthesia &amp; Analgesia", "id" : "ITEM-1", "issued" : { "date-parts" : [ [ "2017", "3", "17" ] ] }, "title" : "Do-Not-Resuscitate Status Is Associated With Increased Mortality But Not Morbidity", "type" : "article-journal" }, "uris" : [ "http://www.mendeley.com/documents/?uuid=58d55cde-0425-3395-8e31-794365693418" ] } ], "mendeley" : { "formattedCitation" : "&lt;sup&gt;[&lt;sup&gt;41&lt;/sup&gt;]&lt;/sup&gt;", "plainTextFormattedCitation" : "[41]", "previouslyFormattedCitation" : "&lt;sup&gt;[&lt;sup&gt;41&lt;/sup&gt;]&lt;/sup&gt;" }, "properties" : { "noteIndex" : 0 }, "schema" : "https://github.com/citation-style-language/schema/raw/master/csl-citation.json" }</w:instrText>
      </w:r>
      <w:r w:rsidR="00436A47" w:rsidRPr="006F15BB">
        <w:rPr>
          <w:rFonts w:ascii="Book Antiqua" w:hAnsi="Book Antiqua" w:cs="Times New Roman"/>
          <w:lang w:val="en-GB"/>
        </w:rPr>
        <w:fldChar w:fldCharType="separate"/>
      </w:r>
      <w:r w:rsidR="0052176A" w:rsidRPr="006F15BB">
        <w:rPr>
          <w:rFonts w:ascii="Book Antiqua" w:hAnsi="Book Antiqua" w:cs="Times New Roman"/>
          <w:noProof/>
          <w:vertAlign w:val="superscript"/>
          <w:lang w:val="en-GB"/>
        </w:rPr>
        <w:t>[</w:t>
      </w:r>
      <w:r w:rsidR="00F53F78">
        <w:rPr>
          <w:rFonts w:ascii="Book Antiqua" w:hAnsi="Book Antiqua" w:cs="Times New Roman"/>
          <w:noProof/>
          <w:vertAlign w:val="superscript"/>
          <w:lang w:val="en-GB"/>
        </w:rPr>
        <w:t>8</w:t>
      </w:r>
      <w:r w:rsidR="0052176A" w:rsidRPr="006F15BB">
        <w:rPr>
          <w:rFonts w:ascii="Book Antiqua" w:hAnsi="Book Antiqua" w:cs="Times New Roman"/>
          <w:noProof/>
          <w:vertAlign w:val="superscript"/>
          <w:lang w:val="en-GB"/>
        </w:rPr>
        <w:t>]</w:t>
      </w:r>
      <w:r w:rsidR="00436A47" w:rsidRPr="006F15BB">
        <w:rPr>
          <w:rFonts w:ascii="Book Antiqua" w:hAnsi="Book Antiqua" w:cs="Times New Roman"/>
          <w:lang w:val="en-GB"/>
        </w:rPr>
        <w:fldChar w:fldCharType="end"/>
      </w:r>
      <w:r w:rsidR="00295727" w:rsidRPr="006F15BB">
        <w:rPr>
          <w:rFonts w:ascii="Book Antiqua" w:hAnsi="Book Antiqua" w:cs="Times New Roman"/>
          <w:lang w:val="en-GB"/>
        </w:rPr>
        <w:t>. It is unclear why a small number of patients with DNR status did undergo such resuscitative procedures, or what the events leading to this were.</w:t>
      </w:r>
      <w:r w:rsidR="0034509C">
        <w:rPr>
          <w:rFonts w:ascii="Book Antiqua" w:hAnsi="Book Antiqua" w:cs="Times New Roman"/>
          <w:lang w:val="en-GB"/>
        </w:rPr>
        <w:t xml:space="preserve"> </w:t>
      </w:r>
      <w:r w:rsidR="00295727" w:rsidRPr="006F15BB">
        <w:rPr>
          <w:rFonts w:ascii="Book Antiqua" w:hAnsi="Book Antiqua" w:cs="Times New Roman"/>
          <w:lang w:val="en-GB"/>
        </w:rPr>
        <w:t xml:space="preserve">Taken together, it does not seem that </w:t>
      </w:r>
      <w:r w:rsidR="00296920" w:rsidRPr="006F15BB">
        <w:rPr>
          <w:rFonts w:ascii="Book Antiqua" w:hAnsi="Book Antiqua" w:cs="Times New Roman"/>
          <w:lang w:val="en-GB"/>
        </w:rPr>
        <w:t>an excess burden of post</w:t>
      </w:r>
      <w:r w:rsidR="00772635">
        <w:rPr>
          <w:rFonts w:ascii="Book Antiqua" w:hAnsi="Book Antiqua" w:cs="Times New Roman"/>
          <w:lang w:val="en-GB"/>
        </w:rPr>
        <w:t>-</w:t>
      </w:r>
      <w:r w:rsidR="00296920" w:rsidRPr="006F15BB">
        <w:rPr>
          <w:rFonts w:ascii="Book Antiqua" w:hAnsi="Book Antiqua" w:cs="Times New Roman"/>
          <w:lang w:val="en-GB"/>
        </w:rPr>
        <w:t>operative adverse events cannot adequately explain the increased mortality</w:t>
      </w:r>
      <w:r w:rsidR="00F51F87" w:rsidRPr="006F15BB">
        <w:rPr>
          <w:rFonts w:ascii="Book Antiqua" w:hAnsi="Book Antiqua" w:cs="Times New Roman"/>
          <w:lang w:val="en-GB"/>
        </w:rPr>
        <w:t xml:space="preserve"> and </w:t>
      </w:r>
      <w:r w:rsidR="00295727" w:rsidRPr="006F15BB">
        <w:rPr>
          <w:rFonts w:ascii="Book Antiqua" w:hAnsi="Book Antiqua" w:cs="Times New Roman"/>
          <w:lang w:val="en-GB"/>
        </w:rPr>
        <w:t xml:space="preserve">suggests the need </w:t>
      </w:r>
      <w:r w:rsidR="00F51F87" w:rsidRPr="006F15BB">
        <w:rPr>
          <w:rFonts w:ascii="Book Antiqua" w:hAnsi="Book Antiqua" w:cs="Times New Roman"/>
          <w:lang w:val="en-GB"/>
        </w:rPr>
        <w:t>for further research to understand what unmeasured variables account for these consistent differences in outcome.</w:t>
      </w:r>
      <w:r w:rsidR="004F5898">
        <w:rPr>
          <w:rFonts w:ascii="Book Antiqua" w:hAnsi="Book Antiqua" w:cs="Times New Roman" w:hint="eastAsia"/>
          <w:lang w:val="en-GB" w:eastAsia="zh-CN"/>
        </w:rPr>
        <w:t xml:space="preserve"> </w:t>
      </w:r>
      <w:r w:rsidR="00C77C82" w:rsidRPr="006F15BB">
        <w:rPr>
          <w:rFonts w:ascii="Book Antiqua" w:hAnsi="Book Antiqua" w:cs="Times New Roman"/>
          <w:lang w:val="en-GB"/>
        </w:rPr>
        <w:t>Our findings</w:t>
      </w:r>
      <w:r w:rsidR="00740BF4" w:rsidRPr="006F15BB">
        <w:rPr>
          <w:rFonts w:ascii="Book Antiqua" w:hAnsi="Book Antiqua" w:cs="Times New Roman"/>
          <w:lang w:val="en-GB"/>
        </w:rPr>
        <w:t xml:space="preserve"> support</w:t>
      </w:r>
      <w:r w:rsidR="00773889" w:rsidRPr="006F15BB">
        <w:rPr>
          <w:rFonts w:ascii="Book Antiqua" w:hAnsi="Book Antiqua" w:cs="Times New Roman"/>
          <w:lang w:val="en-GB"/>
        </w:rPr>
        <w:t xml:space="preserve"> the need for routine</w:t>
      </w:r>
      <w:r w:rsidR="000F5E0C" w:rsidRPr="006F15BB">
        <w:rPr>
          <w:rFonts w:ascii="Book Antiqua" w:hAnsi="Book Antiqua" w:cs="Times New Roman"/>
          <w:lang w:val="en-GB"/>
        </w:rPr>
        <w:t xml:space="preserve">, systematic, </w:t>
      </w:r>
      <w:r w:rsidR="00740BF4" w:rsidRPr="006F15BB">
        <w:rPr>
          <w:rFonts w:ascii="Book Antiqua" w:hAnsi="Book Antiqua" w:cs="Times New Roman"/>
          <w:lang w:val="en-GB"/>
        </w:rPr>
        <w:t>perioperative discussion</w:t>
      </w:r>
      <w:r w:rsidR="00C77C82" w:rsidRPr="006F15BB">
        <w:rPr>
          <w:rFonts w:ascii="Book Antiqua" w:hAnsi="Book Antiqua" w:cs="Times New Roman"/>
          <w:lang w:val="en-GB"/>
        </w:rPr>
        <w:t xml:space="preserve"> </w:t>
      </w:r>
      <w:r w:rsidR="00740BF4" w:rsidRPr="006F15BB">
        <w:rPr>
          <w:rFonts w:ascii="Book Antiqua" w:hAnsi="Book Antiqua" w:cs="Times New Roman"/>
          <w:lang w:val="en-GB"/>
        </w:rPr>
        <w:t>with hip fracture patients regarding their goals of care in the event of post</w:t>
      </w:r>
      <w:r w:rsidR="00772635">
        <w:rPr>
          <w:rFonts w:ascii="Book Antiqua" w:hAnsi="Book Antiqua" w:cs="Times New Roman"/>
          <w:lang w:val="en-GB"/>
        </w:rPr>
        <w:t>-</w:t>
      </w:r>
      <w:r w:rsidR="00740BF4" w:rsidRPr="006F15BB">
        <w:rPr>
          <w:rFonts w:ascii="Book Antiqua" w:hAnsi="Book Antiqua" w:cs="Times New Roman"/>
          <w:lang w:val="en-GB"/>
        </w:rPr>
        <w:t xml:space="preserve">operative morbidity leading to cardiopulmonary arrest. Hip fracture surgery has high </w:t>
      </w:r>
      <w:r w:rsidR="001051E9" w:rsidRPr="006F15BB">
        <w:rPr>
          <w:rFonts w:ascii="Book Antiqua" w:hAnsi="Book Antiqua" w:cs="Times New Roman"/>
          <w:lang w:val="en-GB"/>
        </w:rPr>
        <w:t xml:space="preserve">perioperative </w:t>
      </w:r>
      <w:proofErr w:type="gramStart"/>
      <w:r w:rsidR="00C77C82" w:rsidRPr="006F15BB">
        <w:rPr>
          <w:rFonts w:ascii="Book Antiqua" w:hAnsi="Book Antiqua" w:cs="Times New Roman"/>
          <w:lang w:val="en-GB"/>
        </w:rPr>
        <w:t>mortality,</w:t>
      </w:r>
      <w:proofErr w:type="gramEnd"/>
      <w:r w:rsidR="00C77C82" w:rsidRPr="006F15BB">
        <w:rPr>
          <w:rFonts w:ascii="Book Antiqua" w:hAnsi="Book Antiqua" w:cs="Times New Roman"/>
          <w:lang w:val="en-GB"/>
        </w:rPr>
        <w:t xml:space="preserve"> </w:t>
      </w:r>
      <w:r w:rsidR="00740BF4" w:rsidRPr="006F15BB">
        <w:rPr>
          <w:rFonts w:ascii="Book Antiqua" w:hAnsi="Book Antiqua" w:cs="Times New Roman"/>
          <w:lang w:val="en-GB"/>
        </w:rPr>
        <w:t>however this data suggests</w:t>
      </w:r>
      <w:r w:rsidR="00C77C82" w:rsidRPr="006F15BB">
        <w:rPr>
          <w:rFonts w:ascii="Book Antiqua" w:hAnsi="Book Antiqua" w:cs="Times New Roman"/>
          <w:lang w:val="en-GB"/>
        </w:rPr>
        <w:t xml:space="preserve"> DNR status </w:t>
      </w:r>
      <w:r w:rsidR="00740BF4" w:rsidRPr="006F15BB">
        <w:rPr>
          <w:rFonts w:ascii="Book Antiqua" w:hAnsi="Book Antiqua" w:cs="Times New Roman"/>
          <w:lang w:val="en-GB"/>
        </w:rPr>
        <w:t xml:space="preserve">is effective </w:t>
      </w:r>
      <w:r w:rsidR="00C77C82" w:rsidRPr="006F15BB">
        <w:rPr>
          <w:rFonts w:ascii="Book Antiqua" w:hAnsi="Book Antiqua" w:cs="Times New Roman"/>
          <w:lang w:val="en-GB"/>
        </w:rPr>
        <w:t xml:space="preserve">in reducing specific interventions </w:t>
      </w:r>
      <w:r w:rsidR="00C77C82" w:rsidRPr="006F15BB">
        <w:rPr>
          <w:rFonts w:ascii="Book Antiqua" w:hAnsi="Book Antiqua" w:cs="Times New Roman"/>
          <w:lang w:val="en-GB"/>
        </w:rPr>
        <w:lastRenderedPageBreak/>
        <w:t xml:space="preserve">such as CPR and reintubation, without appearing to increase overall morbidity in the first 30 </w:t>
      </w:r>
      <w:r w:rsidR="0034509C">
        <w:rPr>
          <w:rFonts w:ascii="Book Antiqua" w:hAnsi="Book Antiqua" w:cs="Times New Roman"/>
          <w:lang w:val="en-GB"/>
        </w:rPr>
        <w:t>d</w:t>
      </w:r>
      <w:r w:rsidR="00C77C82" w:rsidRPr="006F15BB">
        <w:rPr>
          <w:rFonts w:ascii="Book Antiqua" w:hAnsi="Book Antiqua" w:cs="Times New Roman"/>
          <w:lang w:val="en-GB"/>
        </w:rPr>
        <w:t xml:space="preserve"> after surgery.</w:t>
      </w:r>
    </w:p>
    <w:p w14:paraId="614E7966" w14:textId="77777777" w:rsidR="00772635" w:rsidRDefault="00772635" w:rsidP="008E7BBF">
      <w:pPr>
        <w:adjustRightInd w:val="0"/>
        <w:snapToGrid w:val="0"/>
        <w:spacing w:line="360" w:lineRule="auto"/>
        <w:ind w:firstLine="720"/>
        <w:jc w:val="both"/>
        <w:rPr>
          <w:rFonts w:ascii="Book Antiqua" w:hAnsi="Book Antiqua" w:cs="Times New Roman"/>
          <w:lang w:val="en-GB" w:eastAsia="zh-CN"/>
        </w:rPr>
      </w:pPr>
    </w:p>
    <w:p w14:paraId="1A9424DC" w14:textId="77777777" w:rsidR="00071889" w:rsidRPr="005F3650" w:rsidRDefault="00A90E9B" w:rsidP="005F3650">
      <w:pPr>
        <w:adjustRightInd w:val="0"/>
        <w:snapToGrid w:val="0"/>
        <w:spacing w:line="360" w:lineRule="auto"/>
        <w:jc w:val="both"/>
        <w:rPr>
          <w:rFonts w:ascii="Book Antiqua" w:hAnsi="Book Antiqua" w:cs="Times New Roman"/>
          <w:b/>
          <w:lang w:val="en-GB" w:eastAsia="zh-CN"/>
        </w:rPr>
      </w:pPr>
      <w:r w:rsidRPr="005F3650">
        <w:rPr>
          <w:rFonts w:ascii="Book Antiqua" w:hAnsi="Book Antiqua" w:cs="Times New Roman"/>
          <w:b/>
          <w:lang w:val="en-GB" w:eastAsia="zh-CN"/>
        </w:rPr>
        <w:t>ARTICLE HIGHLIGHTS</w:t>
      </w:r>
    </w:p>
    <w:p w14:paraId="4056C77D" w14:textId="77777777" w:rsidR="00071889" w:rsidRPr="005F3650" w:rsidRDefault="001930BA" w:rsidP="005F3650">
      <w:pPr>
        <w:adjustRightInd w:val="0"/>
        <w:snapToGrid w:val="0"/>
        <w:spacing w:line="360" w:lineRule="auto"/>
        <w:jc w:val="both"/>
        <w:rPr>
          <w:rFonts w:ascii="Book Antiqua" w:hAnsi="Book Antiqua" w:cs="Times New Roman"/>
          <w:b/>
          <w:i/>
          <w:lang w:val="en-GB" w:eastAsia="zh-CN"/>
        </w:rPr>
      </w:pPr>
      <w:r w:rsidRPr="005F3650">
        <w:rPr>
          <w:rFonts w:ascii="Book Antiqua" w:hAnsi="Book Antiqua" w:cs="Times New Roman"/>
          <w:b/>
          <w:i/>
          <w:lang w:val="en-GB" w:eastAsia="zh-CN"/>
        </w:rPr>
        <w:t>Research background</w:t>
      </w:r>
    </w:p>
    <w:p w14:paraId="5C2FEFC2" w14:textId="77777777" w:rsidR="00DE2CD7" w:rsidRDefault="00DE2CD7" w:rsidP="008E7BBF">
      <w:pPr>
        <w:adjustRightInd w:val="0"/>
        <w:snapToGrid w:val="0"/>
        <w:spacing w:line="360" w:lineRule="auto"/>
        <w:jc w:val="both"/>
        <w:rPr>
          <w:rFonts w:ascii="Book Antiqua" w:hAnsi="Book Antiqua" w:cs="Times New Roman"/>
          <w:lang w:val="en-GB" w:eastAsia="zh-CN"/>
        </w:rPr>
      </w:pPr>
      <w:r w:rsidRPr="006F15BB">
        <w:rPr>
          <w:rFonts w:ascii="Book Antiqua" w:hAnsi="Book Antiqua" w:cs="Times New Roman"/>
          <w:lang w:val="en-GB"/>
        </w:rPr>
        <w:t>Relatively little is known about the exact mechanism through which DNR status affects patient outcomes during the perioperative period.</w:t>
      </w:r>
      <w:r>
        <w:rPr>
          <w:rFonts w:ascii="Book Antiqua" w:hAnsi="Book Antiqua" w:cs="Times New Roman"/>
          <w:lang w:val="en-GB"/>
        </w:rPr>
        <w:t xml:space="preserve"> </w:t>
      </w:r>
      <w:r w:rsidRPr="006F15BB">
        <w:rPr>
          <w:rFonts w:ascii="Book Antiqua" w:hAnsi="Book Antiqua" w:cs="Times New Roman"/>
          <w:lang w:val="en-GB"/>
        </w:rPr>
        <w:t xml:space="preserve">The approach of surgical and </w:t>
      </w:r>
      <w:proofErr w:type="spellStart"/>
      <w:r w:rsidRPr="006F15BB">
        <w:rPr>
          <w:rFonts w:ascii="Book Antiqua" w:hAnsi="Book Antiqua" w:cs="Times New Roman"/>
          <w:lang w:val="en-GB"/>
        </w:rPr>
        <w:t>anesthesia</w:t>
      </w:r>
      <w:proofErr w:type="spellEnd"/>
      <w:r w:rsidRPr="006F15BB">
        <w:rPr>
          <w:rFonts w:ascii="Book Antiqua" w:hAnsi="Book Antiqua" w:cs="Times New Roman"/>
          <w:lang w:val="en-GB"/>
        </w:rPr>
        <w:t xml:space="preserve"> societies has been to treat DNR status as a component of the decision to undergo surgery or as a means of framing surgical goals and expectations with patients and their families.</w:t>
      </w:r>
      <w:r>
        <w:rPr>
          <w:rFonts w:ascii="Book Antiqua" w:hAnsi="Book Antiqua" w:cs="Times New Roman"/>
          <w:lang w:val="en-GB"/>
        </w:rPr>
        <w:t xml:space="preserve"> </w:t>
      </w:r>
      <w:r w:rsidRPr="006F15BB">
        <w:rPr>
          <w:rFonts w:ascii="Book Antiqua" w:hAnsi="Book Antiqua" w:cs="Times New Roman"/>
          <w:lang w:val="en-GB"/>
        </w:rPr>
        <w:t>Depending on patients’ goals, DNR status may even be reversed during the perioperative period.</w:t>
      </w:r>
      <w:r>
        <w:rPr>
          <w:rFonts w:ascii="Book Antiqua" w:hAnsi="Book Antiqua" w:cs="Times New Roman"/>
          <w:lang w:val="en-GB"/>
        </w:rPr>
        <w:t xml:space="preserve"> </w:t>
      </w:r>
      <w:r w:rsidRPr="006F15BB">
        <w:rPr>
          <w:rFonts w:ascii="Book Antiqua" w:hAnsi="Book Antiqua" w:cs="Times New Roman"/>
          <w:lang w:val="en-GB"/>
        </w:rPr>
        <w:t xml:space="preserve">However, little is known about how preoperative DNR status affects morbidity and mortality during the perioperative period, if at all. </w:t>
      </w:r>
    </w:p>
    <w:p w14:paraId="360DCE27" w14:textId="77777777" w:rsidR="005F3650" w:rsidRDefault="005F3650" w:rsidP="008E7BBF">
      <w:pPr>
        <w:adjustRightInd w:val="0"/>
        <w:snapToGrid w:val="0"/>
        <w:spacing w:line="360" w:lineRule="auto"/>
        <w:jc w:val="both"/>
        <w:rPr>
          <w:rFonts w:ascii="Book Antiqua" w:hAnsi="Book Antiqua" w:cs="Times New Roman"/>
          <w:lang w:val="en-GB" w:eastAsia="zh-CN"/>
        </w:rPr>
      </w:pPr>
    </w:p>
    <w:p w14:paraId="4AAA7E7E" w14:textId="77777777" w:rsidR="00071889" w:rsidRPr="005F3650" w:rsidRDefault="001930BA" w:rsidP="005F3650">
      <w:pPr>
        <w:adjustRightInd w:val="0"/>
        <w:snapToGrid w:val="0"/>
        <w:spacing w:line="360" w:lineRule="auto"/>
        <w:jc w:val="both"/>
        <w:rPr>
          <w:rFonts w:ascii="Book Antiqua" w:hAnsi="Book Antiqua" w:cs="Times New Roman"/>
          <w:b/>
          <w:i/>
          <w:lang w:val="en-GB" w:eastAsia="zh-CN"/>
        </w:rPr>
      </w:pPr>
      <w:r w:rsidRPr="005F3650">
        <w:rPr>
          <w:rFonts w:ascii="Book Antiqua" w:hAnsi="Book Antiqua" w:cs="Times New Roman"/>
          <w:b/>
          <w:i/>
          <w:lang w:val="en-GB" w:eastAsia="zh-CN"/>
        </w:rPr>
        <w:t>Research motivation</w:t>
      </w:r>
    </w:p>
    <w:p w14:paraId="09C376D4" w14:textId="77777777" w:rsidR="00071889" w:rsidRDefault="001930BA" w:rsidP="005F3650">
      <w:pPr>
        <w:adjustRightInd w:val="0"/>
        <w:snapToGrid w:val="0"/>
        <w:spacing w:line="360" w:lineRule="auto"/>
        <w:jc w:val="both"/>
        <w:rPr>
          <w:rFonts w:ascii="Book Antiqua" w:hAnsi="Book Antiqua" w:cs="Times New Roman"/>
          <w:lang w:val="en-GB" w:eastAsia="zh-CN"/>
        </w:rPr>
      </w:pPr>
      <w:r>
        <w:rPr>
          <w:rFonts w:ascii="Book Antiqua" w:hAnsi="Book Antiqua" w:cs="Times New Roman"/>
          <w:lang w:val="en-GB" w:eastAsia="zh-CN"/>
        </w:rPr>
        <w:t xml:space="preserve">Patients in the </w:t>
      </w:r>
      <w:proofErr w:type="spellStart"/>
      <w:r>
        <w:rPr>
          <w:rFonts w:ascii="Book Antiqua" w:hAnsi="Book Antiqua" w:cs="Times New Roman"/>
          <w:lang w:val="en-GB" w:eastAsia="zh-CN"/>
        </w:rPr>
        <w:t>orthogeriatric</w:t>
      </w:r>
      <w:proofErr w:type="spellEnd"/>
      <w:r>
        <w:rPr>
          <w:rFonts w:ascii="Book Antiqua" w:hAnsi="Book Antiqua" w:cs="Times New Roman"/>
          <w:lang w:val="en-GB" w:eastAsia="zh-CN"/>
        </w:rPr>
        <w:t xml:space="preserve"> population who are undergoing hip fracture fixation surgery may be at increased risk for morbidity and/or mortality. Given that these patients have already </w:t>
      </w:r>
      <w:r w:rsidR="00DE2CD7">
        <w:rPr>
          <w:rFonts w:ascii="Book Antiqua" w:hAnsi="Book Antiqua" w:cs="Times New Roman"/>
          <w:lang w:val="en-GB" w:eastAsia="zh-CN"/>
        </w:rPr>
        <w:t>made a premeditated decision to limit cardiopulmonary resuscitative aspects of their medical care, they may also benefit from additional counselling with regard to any additional risks that may apply to their surgical population.</w:t>
      </w:r>
    </w:p>
    <w:p w14:paraId="2AB24855" w14:textId="77777777" w:rsidR="005F3650" w:rsidRDefault="005F3650" w:rsidP="005F3650">
      <w:pPr>
        <w:adjustRightInd w:val="0"/>
        <w:snapToGrid w:val="0"/>
        <w:spacing w:line="360" w:lineRule="auto"/>
        <w:jc w:val="both"/>
        <w:rPr>
          <w:rFonts w:ascii="Book Antiqua" w:hAnsi="Book Antiqua" w:cs="Times New Roman"/>
          <w:lang w:val="en-GB" w:eastAsia="zh-CN"/>
        </w:rPr>
      </w:pPr>
    </w:p>
    <w:p w14:paraId="148DA9E4" w14:textId="77777777" w:rsidR="00DE2CD7" w:rsidRPr="005F3650" w:rsidRDefault="00DE2CD7" w:rsidP="008E7BBF">
      <w:pPr>
        <w:adjustRightInd w:val="0"/>
        <w:snapToGrid w:val="0"/>
        <w:spacing w:line="360" w:lineRule="auto"/>
        <w:jc w:val="both"/>
        <w:rPr>
          <w:rFonts w:ascii="Book Antiqua" w:hAnsi="Book Antiqua" w:cs="Times New Roman"/>
          <w:b/>
          <w:i/>
          <w:lang w:val="en-GB" w:eastAsia="zh-CN"/>
        </w:rPr>
      </w:pPr>
      <w:r w:rsidRPr="005F3650">
        <w:rPr>
          <w:rFonts w:ascii="Book Antiqua" w:hAnsi="Book Antiqua" w:cs="Times New Roman"/>
          <w:b/>
          <w:i/>
          <w:lang w:val="en-GB" w:eastAsia="zh-CN"/>
        </w:rPr>
        <w:t xml:space="preserve">Research </w:t>
      </w:r>
      <w:r w:rsidR="005F3650" w:rsidRPr="005F3650">
        <w:rPr>
          <w:rFonts w:ascii="Book Antiqua" w:hAnsi="Book Antiqua" w:cs="Times New Roman"/>
          <w:b/>
          <w:i/>
          <w:lang w:val="en-GB" w:eastAsia="zh-CN"/>
        </w:rPr>
        <w:t>o</w:t>
      </w:r>
      <w:r w:rsidRPr="005F3650">
        <w:rPr>
          <w:rFonts w:ascii="Book Antiqua" w:hAnsi="Book Antiqua" w:cs="Times New Roman"/>
          <w:b/>
          <w:i/>
          <w:lang w:val="en-GB" w:eastAsia="zh-CN"/>
        </w:rPr>
        <w:t>bjectives</w:t>
      </w:r>
    </w:p>
    <w:p w14:paraId="19BB4E79" w14:textId="77777777" w:rsidR="00071889" w:rsidRDefault="001930BA" w:rsidP="005F3650">
      <w:pPr>
        <w:adjustRightInd w:val="0"/>
        <w:snapToGrid w:val="0"/>
        <w:spacing w:line="360" w:lineRule="auto"/>
        <w:jc w:val="both"/>
        <w:rPr>
          <w:rFonts w:ascii="Book Antiqua" w:hAnsi="Book Antiqua" w:cs="Times New Roman"/>
          <w:lang w:val="en-GB" w:eastAsia="zh-CN"/>
        </w:rPr>
      </w:pPr>
      <w:r>
        <w:rPr>
          <w:rFonts w:ascii="Book Antiqua" w:hAnsi="Book Antiqua" w:cs="Times New Roman"/>
          <w:lang w:val="en-GB" w:eastAsia="zh-CN"/>
        </w:rPr>
        <w:t xml:space="preserve">This study seeks to </w:t>
      </w:r>
      <w:r w:rsidRPr="006F15BB">
        <w:rPr>
          <w:rFonts w:ascii="Book Antiqua" w:hAnsi="Book Antiqua" w:cs="Times New Roman"/>
          <w:lang w:val="en-GB"/>
        </w:rPr>
        <w:t>describe the incidence and distribution of DNR status in patients undergoing hip fracture surgery and to determine whether DNR status is an independent risk factor for worse outcomes on 30</w:t>
      </w:r>
      <w:r w:rsidR="005F3650">
        <w:rPr>
          <w:rFonts w:ascii="Book Antiqua" w:hAnsi="Book Antiqua" w:cs="Times New Roman" w:hint="eastAsia"/>
          <w:lang w:val="en-GB" w:eastAsia="zh-CN"/>
        </w:rPr>
        <w:t>-</w:t>
      </w:r>
      <w:r w:rsidRPr="006F15BB">
        <w:rPr>
          <w:rFonts w:ascii="Book Antiqua" w:hAnsi="Book Antiqua" w:cs="Times New Roman"/>
          <w:lang w:val="en-GB"/>
        </w:rPr>
        <w:t>d follow up</w:t>
      </w:r>
      <w:r>
        <w:rPr>
          <w:rFonts w:ascii="Book Antiqua" w:hAnsi="Book Antiqua" w:cs="Times New Roman"/>
          <w:lang w:val="en-GB"/>
        </w:rPr>
        <w:t>.</w:t>
      </w:r>
      <w:r w:rsidR="00482EEC">
        <w:rPr>
          <w:rFonts w:ascii="Book Antiqua" w:hAnsi="Book Antiqua" w:cs="Times New Roman"/>
          <w:lang w:val="en-GB"/>
        </w:rPr>
        <w:t xml:space="preserve"> </w:t>
      </w:r>
      <w:r w:rsidR="00DE2CD7">
        <w:rPr>
          <w:rFonts w:ascii="Book Antiqua" w:hAnsi="Book Antiqua" w:cs="Times New Roman"/>
          <w:lang w:val="en-GB"/>
        </w:rPr>
        <w:t>The study’s objective was realized by analysis of propensity matched groups of patients in a large retrospective cohort</w:t>
      </w:r>
      <w:r w:rsidR="00F53F78">
        <w:rPr>
          <w:rFonts w:ascii="Book Antiqua" w:hAnsi="Book Antiqua" w:cs="Times New Roman"/>
          <w:lang w:val="en-GB"/>
        </w:rPr>
        <w:t>.</w:t>
      </w:r>
      <w:r w:rsidR="00482EEC">
        <w:rPr>
          <w:rFonts w:ascii="Book Antiqua" w:hAnsi="Book Antiqua" w:cs="Times New Roman"/>
          <w:lang w:val="en-GB"/>
        </w:rPr>
        <w:t xml:space="preserve"> </w:t>
      </w:r>
      <w:r w:rsidR="00F53F78">
        <w:rPr>
          <w:rFonts w:ascii="Book Antiqua" w:hAnsi="Book Antiqua" w:cs="Times New Roman"/>
          <w:lang w:val="en-GB"/>
        </w:rPr>
        <w:t xml:space="preserve">The study seeks to </w:t>
      </w:r>
      <w:r w:rsidR="00DE2CD7">
        <w:rPr>
          <w:rFonts w:ascii="Book Antiqua" w:hAnsi="Book Antiqua" w:cs="Times New Roman"/>
          <w:lang w:val="en-GB"/>
        </w:rPr>
        <w:t>support an emerging field of literature which describes the unique perioperative outcomes among patients with preoperative DNR/DNI status.</w:t>
      </w:r>
    </w:p>
    <w:p w14:paraId="41BE25BD" w14:textId="77777777" w:rsidR="005F3650" w:rsidRPr="005F3650" w:rsidRDefault="005F3650" w:rsidP="005F3650">
      <w:pPr>
        <w:adjustRightInd w:val="0"/>
        <w:snapToGrid w:val="0"/>
        <w:spacing w:line="360" w:lineRule="auto"/>
        <w:jc w:val="both"/>
        <w:rPr>
          <w:rFonts w:ascii="Book Antiqua" w:hAnsi="Book Antiqua" w:cs="Times New Roman"/>
          <w:lang w:val="en-GB" w:eastAsia="zh-CN"/>
        </w:rPr>
      </w:pPr>
    </w:p>
    <w:p w14:paraId="36BA9CD3" w14:textId="77777777" w:rsidR="00071889" w:rsidRPr="005F3650" w:rsidRDefault="001930BA" w:rsidP="005F3650">
      <w:pPr>
        <w:adjustRightInd w:val="0"/>
        <w:snapToGrid w:val="0"/>
        <w:spacing w:line="360" w:lineRule="auto"/>
        <w:jc w:val="both"/>
        <w:rPr>
          <w:rFonts w:ascii="Book Antiqua" w:hAnsi="Book Antiqua" w:cs="Times New Roman"/>
          <w:b/>
          <w:i/>
          <w:lang w:val="en-GB" w:eastAsia="zh-CN"/>
        </w:rPr>
      </w:pPr>
      <w:r w:rsidRPr="005F3650">
        <w:rPr>
          <w:rFonts w:ascii="Book Antiqua" w:hAnsi="Book Antiqua" w:cs="Times New Roman"/>
          <w:b/>
          <w:i/>
          <w:lang w:val="en-GB" w:eastAsia="zh-CN"/>
        </w:rPr>
        <w:t xml:space="preserve">Research </w:t>
      </w:r>
      <w:r w:rsidR="005F3650" w:rsidRPr="005F3650">
        <w:rPr>
          <w:rFonts w:ascii="Book Antiqua" w:hAnsi="Book Antiqua" w:cs="Times New Roman"/>
          <w:b/>
          <w:i/>
          <w:lang w:val="en-GB" w:eastAsia="zh-CN"/>
        </w:rPr>
        <w:t>m</w:t>
      </w:r>
      <w:r w:rsidRPr="005F3650">
        <w:rPr>
          <w:rFonts w:ascii="Book Antiqua" w:hAnsi="Book Antiqua" w:cs="Times New Roman"/>
          <w:b/>
          <w:i/>
          <w:lang w:val="en-GB" w:eastAsia="zh-CN"/>
        </w:rPr>
        <w:t>ethods</w:t>
      </w:r>
    </w:p>
    <w:p w14:paraId="301F2A56" w14:textId="77777777" w:rsidR="00071889" w:rsidRDefault="00DE2CD7" w:rsidP="005F3650">
      <w:pPr>
        <w:adjustRightInd w:val="0"/>
        <w:snapToGrid w:val="0"/>
        <w:spacing w:line="360" w:lineRule="auto"/>
        <w:jc w:val="both"/>
        <w:rPr>
          <w:rFonts w:ascii="Book Antiqua" w:hAnsi="Book Antiqua" w:cs="Times New Roman"/>
          <w:lang w:val="en-GB" w:eastAsia="zh-CN"/>
        </w:rPr>
      </w:pPr>
      <w:r>
        <w:rPr>
          <w:rFonts w:ascii="Book Antiqua" w:hAnsi="Book Antiqua" w:cs="Times New Roman"/>
          <w:lang w:val="en-GB" w:eastAsia="zh-CN"/>
        </w:rPr>
        <w:lastRenderedPageBreak/>
        <w:t>A large, national, US-based retrospective cohort database was used to identify patients undergoing surgical fixation for hip fracture</w:t>
      </w:r>
      <w:r w:rsidR="000B526C">
        <w:rPr>
          <w:rFonts w:ascii="Book Antiqua" w:hAnsi="Book Antiqua" w:cs="Times New Roman"/>
          <w:lang w:val="en-GB" w:eastAsia="zh-CN"/>
        </w:rPr>
        <w:t xml:space="preserve"> across a variety of geographic and hospital settings.</w:t>
      </w:r>
      <w:r w:rsidR="00482EEC">
        <w:rPr>
          <w:rFonts w:ascii="Book Antiqua" w:hAnsi="Book Antiqua" w:cs="Times New Roman"/>
          <w:lang w:val="en-GB" w:eastAsia="zh-CN"/>
        </w:rPr>
        <w:t xml:space="preserve"> </w:t>
      </w:r>
      <w:r w:rsidR="000B526C">
        <w:rPr>
          <w:rFonts w:ascii="Book Antiqua" w:hAnsi="Book Antiqua" w:cs="Times New Roman"/>
          <w:lang w:val="en-GB" w:eastAsia="zh-CN"/>
        </w:rPr>
        <w:t>Characteristics of this cohort were examined for unmatched groups of patients with and without DNR/DNI orders, as well as for groups of matched on their propensity for having a DNR/DNI order.</w:t>
      </w:r>
      <w:r w:rsidR="00482EEC">
        <w:rPr>
          <w:rFonts w:ascii="Book Antiqua" w:hAnsi="Book Antiqua" w:cs="Times New Roman"/>
          <w:lang w:val="en-GB" w:eastAsia="zh-CN"/>
        </w:rPr>
        <w:t xml:space="preserve"> </w:t>
      </w:r>
    </w:p>
    <w:p w14:paraId="36A7FD5C" w14:textId="77777777" w:rsidR="005F3650" w:rsidRPr="005F3650" w:rsidRDefault="005F3650" w:rsidP="005F3650">
      <w:pPr>
        <w:adjustRightInd w:val="0"/>
        <w:snapToGrid w:val="0"/>
        <w:spacing w:line="360" w:lineRule="auto"/>
        <w:jc w:val="both"/>
        <w:rPr>
          <w:rFonts w:ascii="Book Antiqua" w:hAnsi="Book Antiqua" w:cs="Times New Roman"/>
          <w:lang w:val="en-GB" w:eastAsia="zh-CN"/>
        </w:rPr>
      </w:pPr>
    </w:p>
    <w:p w14:paraId="65AF7D46" w14:textId="77777777" w:rsidR="00071889" w:rsidRPr="005F3650" w:rsidRDefault="001930BA" w:rsidP="005F3650">
      <w:pPr>
        <w:adjustRightInd w:val="0"/>
        <w:snapToGrid w:val="0"/>
        <w:spacing w:line="360" w:lineRule="auto"/>
        <w:jc w:val="both"/>
        <w:rPr>
          <w:rFonts w:ascii="Book Antiqua" w:hAnsi="Book Antiqua" w:cs="Times New Roman"/>
          <w:b/>
          <w:i/>
          <w:lang w:val="en-GB" w:eastAsia="zh-CN"/>
        </w:rPr>
      </w:pPr>
      <w:r w:rsidRPr="005F3650">
        <w:rPr>
          <w:rFonts w:ascii="Book Antiqua" w:hAnsi="Book Antiqua" w:cs="Times New Roman"/>
          <w:b/>
          <w:i/>
          <w:lang w:val="en-GB" w:eastAsia="zh-CN"/>
        </w:rPr>
        <w:t xml:space="preserve">Research </w:t>
      </w:r>
      <w:r w:rsidR="005F3650" w:rsidRPr="005F3650">
        <w:rPr>
          <w:rFonts w:ascii="Book Antiqua" w:hAnsi="Book Antiqua" w:cs="Times New Roman"/>
          <w:b/>
          <w:i/>
          <w:lang w:val="en-GB" w:eastAsia="zh-CN"/>
        </w:rPr>
        <w:t>r</w:t>
      </w:r>
      <w:r w:rsidRPr="005F3650">
        <w:rPr>
          <w:rFonts w:ascii="Book Antiqua" w:hAnsi="Book Antiqua" w:cs="Times New Roman"/>
          <w:b/>
          <w:i/>
          <w:lang w:val="en-GB" w:eastAsia="zh-CN"/>
        </w:rPr>
        <w:t>esults</w:t>
      </w:r>
    </w:p>
    <w:p w14:paraId="1865D1E1" w14:textId="77777777" w:rsidR="00071889" w:rsidRDefault="000B526C" w:rsidP="005F3650">
      <w:pPr>
        <w:adjustRightInd w:val="0"/>
        <w:snapToGrid w:val="0"/>
        <w:spacing w:line="360" w:lineRule="auto"/>
        <w:jc w:val="both"/>
        <w:rPr>
          <w:rFonts w:ascii="Book Antiqua" w:hAnsi="Book Antiqua" w:cs="Times New Roman"/>
          <w:bCs/>
          <w:color w:val="000000"/>
          <w:lang w:eastAsia="zh-CN"/>
        </w:rPr>
      </w:pPr>
      <w:r>
        <w:rPr>
          <w:rFonts w:ascii="Book Antiqua" w:hAnsi="Book Antiqua" w:cs="Times New Roman"/>
          <w:lang w:val="en-GB" w:eastAsia="zh-CN"/>
        </w:rPr>
        <w:t xml:space="preserve">This study demonstrates that when comparing groups of patients that have been matched on propensity for DNR/DNI status, having a DNR/DNI order was independently associated with mortality </w:t>
      </w:r>
      <w:r w:rsidRPr="006F15BB">
        <w:rPr>
          <w:rFonts w:ascii="Book Antiqua" w:hAnsi="Book Antiqua" w:cs="Times New Roman"/>
          <w:lang w:val="en-GB"/>
        </w:rPr>
        <w:t xml:space="preserve">(OR </w:t>
      </w:r>
      <w:r w:rsidRPr="006F15BB">
        <w:rPr>
          <w:rFonts w:ascii="Book Antiqua" w:eastAsia="Times New Roman" w:hAnsi="Book Antiqua" w:cs="Times New Roman"/>
          <w:bCs/>
          <w:color w:val="000000"/>
        </w:rPr>
        <w:t xml:space="preserve">2.04, </w:t>
      </w:r>
      <w:r>
        <w:rPr>
          <w:rFonts w:ascii="Book Antiqua" w:eastAsia="Times New Roman" w:hAnsi="Book Antiqua" w:cs="Times New Roman"/>
          <w:bCs/>
          <w:color w:val="000000"/>
        </w:rPr>
        <w:t>95%CI:</w:t>
      </w:r>
      <w:r w:rsidRPr="006F15BB">
        <w:rPr>
          <w:rFonts w:ascii="Book Antiqua" w:eastAsia="Times New Roman" w:hAnsi="Book Antiqua" w:cs="Times New Roman"/>
          <w:bCs/>
          <w:color w:val="000000"/>
        </w:rPr>
        <w:t xml:space="preserve"> 1.46</w:t>
      </w:r>
      <w:r w:rsidR="005F3650">
        <w:rPr>
          <w:rFonts w:ascii="Book Antiqua" w:hAnsi="Book Antiqua" w:cs="Times New Roman" w:hint="eastAsia"/>
          <w:bCs/>
          <w:color w:val="000000"/>
          <w:lang w:eastAsia="zh-CN"/>
        </w:rPr>
        <w:t>-</w:t>
      </w:r>
      <w:r w:rsidRPr="006F15BB">
        <w:rPr>
          <w:rFonts w:ascii="Book Antiqua" w:eastAsia="Times New Roman" w:hAnsi="Book Antiqua" w:cs="Times New Roman"/>
          <w:bCs/>
          <w:color w:val="000000"/>
        </w:rPr>
        <w:t xml:space="preserve">2.86, </w:t>
      </w:r>
      <w:r w:rsidR="005F3650" w:rsidRPr="005F3650">
        <w:rPr>
          <w:rFonts w:ascii="Book Antiqua" w:eastAsia="Times New Roman" w:hAnsi="Book Antiqua" w:cs="Times New Roman"/>
          <w:bCs/>
          <w:i/>
          <w:color w:val="000000"/>
        </w:rPr>
        <w:t>P</w:t>
      </w:r>
      <w:r w:rsidR="005F3650">
        <w:rPr>
          <w:rFonts w:ascii="Book Antiqua" w:hAnsi="Book Antiqua" w:cs="Times New Roman" w:hint="eastAsia"/>
          <w:bCs/>
          <w:color w:val="000000"/>
          <w:lang w:eastAsia="zh-CN"/>
        </w:rPr>
        <w:t xml:space="preserve"> </w:t>
      </w:r>
      <w:r>
        <w:rPr>
          <w:rFonts w:ascii="Book Antiqua" w:eastAsia="Times New Roman" w:hAnsi="Book Antiqua" w:cs="Times New Roman"/>
          <w:bCs/>
          <w:color w:val="000000"/>
        </w:rPr>
        <w:t xml:space="preserve">&lt; </w:t>
      </w:r>
      <w:r w:rsidRPr="006F15BB">
        <w:rPr>
          <w:rFonts w:ascii="Book Antiqua" w:eastAsia="Times New Roman" w:hAnsi="Book Antiqua" w:cs="Times New Roman"/>
          <w:bCs/>
          <w:color w:val="000000"/>
        </w:rPr>
        <w:t>0.001)</w:t>
      </w:r>
      <w:r>
        <w:rPr>
          <w:rFonts w:ascii="Book Antiqua" w:eastAsia="Times New Roman" w:hAnsi="Book Antiqua" w:cs="Times New Roman"/>
          <w:bCs/>
          <w:color w:val="000000"/>
        </w:rPr>
        <w:t>.</w:t>
      </w:r>
      <w:r w:rsidR="00482EEC">
        <w:rPr>
          <w:rFonts w:ascii="Book Antiqua" w:eastAsia="Times New Roman" w:hAnsi="Book Antiqua" w:cs="Times New Roman"/>
          <w:bCs/>
          <w:color w:val="000000"/>
        </w:rPr>
        <w:t xml:space="preserve"> </w:t>
      </w:r>
      <w:r>
        <w:rPr>
          <w:rFonts w:ascii="Book Antiqua" w:eastAsia="Times New Roman" w:hAnsi="Book Antiqua" w:cs="Times New Roman"/>
          <w:bCs/>
          <w:color w:val="000000"/>
        </w:rPr>
        <w:t xml:space="preserve">Additionally, DNR/DNI status was associated with a very slight increased risk of perioperative complications without otherwise showing significantly </w:t>
      </w:r>
      <w:r w:rsidR="00F53F78">
        <w:rPr>
          <w:rFonts w:ascii="Book Antiqua" w:eastAsia="Times New Roman" w:hAnsi="Book Antiqua" w:cs="Times New Roman"/>
          <w:bCs/>
          <w:color w:val="000000"/>
        </w:rPr>
        <w:t>different</w:t>
      </w:r>
      <w:r>
        <w:rPr>
          <w:rFonts w:ascii="Book Antiqua" w:eastAsia="Times New Roman" w:hAnsi="Book Antiqua" w:cs="Times New Roman"/>
          <w:bCs/>
          <w:color w:val="000000"/>
        </w:rPr>
        <w:t xml:space="preserve"> incidences of morbidity between the matched groups.</w:t>
      </w:r>
    </w:p>
    <w:p w14:paraId="15316A59" w14:textId="77777777" w:rsidR="005F3650" w:rsidRPr="005F3650" w:rsidRDefault="005F3650" w:rsidP="005F3650">
      <w:pPr>
        <w:adjustRightInd w:val="0"/>
        <w:snapToGrid w:val="0"/>
        <w:spacing w:line="360" w:lineRule="auto"/>
        <w:jc w:val="both"/>
        <w:rPr>
          <w:rFonts w:ascii="Book Antiqua" w:hAnsi="Book Antiqua" w:cs="Times New Roman"/>
          <w:lang w:val="en-GB" w:eastAsia="zh-CN"/>
        </w:rPr>
      </w:pPr>
    </w:p>
    <w:p w14:paraId="23C9A85C" w14:textId="77777777" w:rsidR="00071889" w:rsidRPr="005F3650" w:rsidRDefault="001930BA" w:rsidP="005F3650">
      <w:pPr>
        <w:adjustRightInd w:val="0"/>
        <w:snapToGrid w:val="0"/>
        <w:spacing w:line="360" w:lineRule="auto"/>
        <w:jc w:val="both"/>
        <w:rPr>
          <w:rFonts w:ascii="Book Antiqua" w:hAnsi="Book Antiqua" w:cs="Times New Roman"/>
          <w:b/>
          <w:i/>
          <w:lang w:val="en-GB" w:eastAsia="zh-CN"/>
        </w:rPr>
      </w:pPr>
      <w:r w:rsidRPr="005F3650">
        <w:rPr>
          <w:rFonts w:ascii="Book Antiqua" w:hAnsi="Book Antiqua" w:cs="Times New Roman"/>
          <w:b/>
          <w:i/>
          <w:lang w:val="en-GB" w:eastAsia="zh-CN"/>
        </w:rPr>
        <w:t xml:space="preserve">Research </w:t>
      </w:r>
      <w:r w:rsidR="005F3650" w:rsidRPr="005F3650">
        <w:rPr>
          <w:rFonts w:ascii="Book Antiqua" w:hAnsi="Book Antiqua" w:cs="Times New Roman"/>
          <w:b/>
          <w:i/>
          <w:lang w:val="en-GB" w:eastAsia="zh-CN"/>
        </w:rPr>
        <w:t>c</w:t>
      </w:r>
      <w:r w:rsidRPr="005F3650">
        <w:rPr>
          <w:rFonts w:ascii="Book Antiqua" w:hAnsi="Book Antiqua" w:cs="Times New Roman"/>
          <w:b/>
          <w:i/>
          <w:lang w:val="en-GB" w:eastAsia="zh-CN"/>
        </w:rPr>
        <w:t>onclusion</w:t>
      </w:r>
    </w:p>
    <w:p w14:paraId="0A4C849A" w14:textId="77777777" w:rsidR="00772635" w:rsidRDefault="001D6CBB" w:rsidP="005F3650">
      <w:pPr>
        <w:adjustRightInd w:val="0"/>
        <w:snapToGrid w:val="0"/>
        <w:spacing w:line="360" w:lineRule="auto"/>
        <w:jc w:val="both"/>
        <w:rPr>
          <w:rFonts w:ascii="Book Antiqua" w:hAnsi="Book Antiqua" w:cs="Times New Roman"/>
          <w:lang w:val="en-GB" w:eastAsia="zh-CN"/>
        </w:rPr>
      </w:pPr>
      <w:r>
        <w:rPr>
          <w:rFonts w:ascii="Book Antiqua" w:hAnsi="Book Antiqua" w:cs="Times New Roman"/>
          <w:lang w:val="en-GB"/>
        </w:rPr>
        <w:t>New findings contributed by this study include insight in the role of DNR/DNI status as an indep</w:t>
      </w:r>
      <w:r w:rsidR="00F572C8">
        <w:rPr>
          <w:rFonts w:ascii="Book Antiqua" w:hAnsi="Book Antiqua" w:cs="Times New Roman"/>
          <w:lang w:val="en-GB"/>
        </w:rPr>
        <w:t>en</w:t>
      </w:r>
      <w:r>
        <w:rPr>
          <w:rFonts w:ascii="Book Antiqua" w:hAnsi="Book Antiqua" w:cs="Times New Roman"/>
          <w:lang w:val="en-GB"/>
        </w:rPr>
        <w:t xml:space="preserve">dent predictor of perioperative mortality </w:t>
      </w:r>
      <w:r w:rsidR="00F53F78">
        <w:rPr>
          <w:rFonts w:ascii="Book Antiqua" w:hAnsi="Book Antiqua" w:cs="Times New Roman"/>
          <w:lang w:val="en-GB"/>
        </w:rPr>
        <w:t>among</w:t>
      </w:r>
      <w:r>
        <w:rPr>
          <w:rFonts w:ascii="Book Antiqua" w:hAnsi="Book Antiqua" w:cs="Times New Roman"/>
          <w:lang w:val="en-GB"/>
        </w:rPr>
        <w:t xml:space="preserve"> patients undergoing hip fracture fixation surgeries.</w:t>
      </w:r>
      <w:r w:rsidR="00482EEC">
        <w:rPr>
          <w:rFonts w:ascii="Book Antiqua" w:hAnsi="Book Antiqua" w:cs="Times New Roman"/>
          <w:lang w:val="en-GB"/>
        </w:rPr>
        <w:t xml:space="preserve"> </w:t>
      </w:r>
      <w:r>
        <w:rPr>
          <w:rFonts w:ascii="Book Antiqua" w:hAnsi="Book Antiqua" w:cs="Times New Roman"/>
          <w:lang w:val="en-GB"/>
        </w:rPr>
        <w:t xml:space="preserve">Notably, these matched groups did not demonstrate associations between DNR/DNI status and perioperative morbidity. Given that rates of CPR and reintubation were markedly lower in the DNR/DNI group, we demonstrate that there may be a </w:t>
      </w:r>
      <w:r w:rsidR="005F3650">
        <w:rPr>
          <w:rFonts w:ascii="Book Antiqua" w:hAnsi="Book Antiqua" w:cs="Times New Roman"/>
          <w:lang w:val="en-GB" w:eastAsia="zh-CN"/>
        </w:rPr>
        <w:t>“</w:t>
      </w:r>
      <w:r>
        <w:rPr>
          <w:rFonts w:ascii="Book Antiqua" w:hAnsi="Book Antiqua" w:cs="Times New Roman"/>
          <w:lang w:val="en-GB"/>
        </w:rPr>
        <w:t>ceilings of care</w:t>
      </w:r>
      <w:r w:rsidR="005F3650">
        <w:rPr>
          <w:rFonts w:ascii="Book Antiqua" w:hAnsi="Book Antiqua" w:cs="Times New Roman"/>
          <w:lang w:val="en-GB" w:eastAsia="zh-CN"/>
        </w:rPr>
        <w:t>”</w:t>
      </w:r>
      <w:r>
        <w:rPr>
          <w:rFonts w:ascii="Book Antiqua" w:hAnsi="Book Antiqua" w:cs="Times New Roman"/>
          <w:lang w:val="en-GB"/>
        </w:rPr>
        <w:t xml:space="preserve"> effect in this context</w:t>
      </w:r>
      <w:r w:rsidR="00F53F78">
        <w:rPr>
          <w:rFonts w:ascii="Book Antiqua" w:hAnsi="Book Antiqua" w:cs="Times New Roman"/>
          <w:lang w:val="en-GB"/>
        </w:rPr>
        <w:t>. T</w:t>
      </w:r>
      <w:r>
        <w:rPr>
          <w:rFonts w:ascii="Book Antiqua" w:hAnsi="Book Antiqua" w:cs="Times New Roman"/>
          <w:lang w:val="en-GB"/>
        </w:rPr>
        <w:t xml:space="preserve">he findings </w:t>
      </w:r>
      <w:r w:rsidR="00F53F78">
        <w:rPr>
          <w:rFonts w:ascii="Book Antiqua" w:hAnsi="Book Antiqua" w:cs="Times New Roman"/>
          <w:lang w:val="en-GB"/>
        </w:rPr>
        <w:t>also</w:t>
      </w:r>
      <w:r>
        <w:rPr>
          <w:rFonts w:ascii="Book Antiqua" w:hAnsi="Book Antiqua" w:cs="Times New Roman"/>
          <w:lang w:val="en-GB"/>
        </w:rPr>
        <w:t xml:space="preserve"> </w:t>
      </w:r>
      <w:proofErr w:type="gramStart"/>
      <w:r>
        <w:rPr>
          <w:rFonts w:ascii="Book Antiqua" w:hAnsi="Book Antiqua" w:cs="Times New Roman"/>
          <w:lang w:val="en-GB"/>
        </w:rPr>
        <w:t>raise</w:t>
      </w:r>
      <w:r w:rsidR="00F53F78">
        <w:rPr>
          <w:rFonts w:ascii="Book Antiqua" w:hAnsi="Book Antiqua" w:cs="Times New Roman"/>
          <w:lang w:val="en-GB"/>
        </w:rPr>
        <w:t>s</w:t>
      </w:r>
      <w:proofErr w:type="gramEnd"/>
      <w:r>
        <w:rPr>
          <w:rFonts w:ascii="Book Antiqua" w:hAnsi="Book Antiqua" w:cs="Times New Roman"/>
          <w:lang w:val="en-GB"/>
        </w:rPr>
        <w:t xml:space="preserve"> a question a</w:t>
      </w:r>
      <w:r w:rsidR="00F53F78">
        <w:rPr>
          <w:rFonts w:ascii="Book Antiqua" w:hAnsi="Book Antiqua" w:cs="Times New Roman"/>
          <w:lang w:val="en-GB"/>
        </w:rPr>
        <w:t xml:space="preserve">s to whether a </w:t>
      </w:r>
      <w:r w:rsidR="005F3650">
        <w:rPr>
          <w:rFonts w:ascii="Book Antiqua" w:hAnsi="Book Antiqua" w:cs="Times New Roman"/>
          <w:lang w:val="en-GB" w:eastAsia="zh-CN"/>
        </w:rPr>
        <w:t>“</w:t>
      </w:r>
      <w:r w:rsidR="00F53F78">
        <w:rPr>
          <w:rFonts w:ascii="Book Antiqua" w:hAnsi="Book Antiqua" w:cs="Times New Roman"/>
          <w:lang w:val="en-GB"/>
        </w:rPr>
        <w:t>failure to rescu</w:t>
      </w:r>
      <w:r>
        <w:rPr>
          <w:rFonts w:ascii="Book Antiqua" w:hAnsi="Book Antiqua" w:cs="Times New Roman"/>
          <w:lang w:val="en-GB"/>
        </w:rPr>
        <w:t>e</w:t>
      </w:r>
      <w:r w:rsidR="005F3650">
        <w:rPr>
          <w:rFonts w:ascii="Book Antiqua" w:hAnsi="Book Antiqua" w:cs="Times New Roman"/>
          <w:lang w:val="en-GB" w:eastAsia="zh-CN"/>
        </w:rPr>
        <w:t>”</w:t>
      </w:r>
      <w:r>
        <w:rPr>
          <w:rFonts w:ascii="Book Antiqua" w:hAnsi="Book Antiqua" w:cs="Times New Roman"/>
          <w:lang w:val="en-GB"/>
        </w:rPr>
        <w:t xml:space="preserve"> </w:t>
      </w:r>
      <w:r w:rsidR="00F53F78">
        <w:rPr>
          <w:rFonts w:ascii="Book Antiqua" w:hAnsi="Book Antiqua" w:cs="Times New Roman"/>
          <w:lang w:val="en-GB"/>
        </w:rPr>
        <w:t>mechanism</w:t>
      </w:r>
      <w:r>
        <w:rPr>
          <w:rFonts w:ascii="Book Antiqua" w:hAnsi="Book Antiqua" w:cs="Times New Roman"/>
          <w:lang w:val="en-GB"/>
        </w:rPr>
        <w:t xml:space="preserve"> may be </w:t>
      </w:r>
      <w:r w:rsidR="00F53F78">
        <w:rPr>
          <w:rFonts w:ascii="Book Antiqua" w:hAnsi="Book Antiqua" w:cs="Times New Roman"/>
          <w:lang w:val="en-GB"/>
        </w:rPr>
        <w:t>active</w:t>
      </w:r>
      <w:r>
        <w:rPr>
          <w:rFonts w:ascii="Book Antiqua" w:hAnsi="Book Antiqua" w:cs="Times New Roman"/>
          <w:lang w:val="en-GB"/>
        </w:rPr>
        <w:t xml:space="preserve"> among these patients in the perioperative period.</w:t>
      </w:r>
      <w:r w:rsidR="00482EEC">
        <w:rPr>
          <w:rFonts w:ascii="Book Antiqua" w:hAnsi="Book Antiqua" w:cs="Times New Roman"/>
          <w:lang w:val="en-GB"/>
        </w:rPr>
        <w:t xml:space="preserve"> </w:t>
      </w:r>
      <w:r>
        <w:rPr>
          <w:rFonts w:ascii="Book Antiqua" w:hAnsi="Book Antiqua" w:cs="Times New Roman"/>
          <w:lang w:val="en-GB"/>
        </w:rPr>
        <w:t xml:space="preserve">Regardless, the results of this study raise questions for future research which </w:t>
      </w:r>
      <w:r w:rsidR="00F53F78">
        <w:rPr>
          <w:rFonts w:ascii="Book Antiqua" w:hAnsi="Book Antiqua" w:cs="Times New Roman"/>
          <w:lang w:val="en-GB"/>
        </w:rPr>
        <w:t>will hopefully</w:t>
      </w:r>
      <w:r>
        <w:rPr>
          <w:rFonts w:ascii="Book Antiqua" w:hAnsi="Book Antiqua" w:cs="Times New Roman"/>
          <w:lang w:val="en-GB"/>
        </w:rPr>
        <w:t xml:space="preserve"> yield additional insight into the mechanisms driving increased mortality among patients with DNR/DNI status who are undergoing surgery for hip fracture.</w:t>
      </w:r>
      <w:r w:rsidR="00482EEC">
        <w:rPr>
          <w:rFonts w:ascii="Book Antiqua" w:hAnsi="Book Antiqua" w:cs="Times New Roman"/>
          <w:lang w:val="en-GB"/>
        </w:rPr>
        <w:t xml:space="preserve"> </w:t>
      </w:r>
      <w:r>
        <w:rPr>
          <w:rFonts w:ascii="Book Antiqua" w:hAnsi="Book Antiqua" w:cs="Times New Roman"/>
          <w:lang w:val="en-GB"/>
        </w:rPr>
        <w:t>In the immediate term, these findings will assist clinicians in appropriately counselling patients who may have a DNR/DNI order and are unde</w:t>
      </w:r>
      <w:r w:rsidR="005F3650">
        <w:rPr>
          <w:rFonts w:ascii="Book Antiqua" w:hAnsi="Book Antiqua" w:cs="Times New Roman"/>
          <w:lang w:val="en-GB"/>
        </w:rPr>
        <w:t>rgoing surgery for hip fracture</w:t>
      </w:r>
      <w:r w:rsidR="005F3650">
        <w:rPr>
          <w:rFonts w:ascii="Book Antiqua" w:hAnsi="Book Antiqua" w:cs="Times New Roman" w:hint="eastAsia"/>
          <w:lang w:val="en-GB" w:eastAsia="zh-CN"/>
        </w:rPr>
        <w:t>.</w:t>
      </w:r>
    </w:p>
    <w:p w14:paraId="3487BDBF" w14:textId="77777777" w:rsidR="005F3650" w:rsidRDefault="005F3650" w:rsidP="005F3650">
      <w:pPr>
        <w:adjustRightInd w:val="0"/>
        <w:snapToGrid w:val="0"/>
        <w:spacing w:line="360" w:lineRule="auto"/>
        <w:jc w:val="both"/>
        <w:rPr>
          <w:rFonts w:ascii="Book Antiqua" w:hAnsi="Book Antiqua" w:cs="Times New Roman"/>
          <w:b/>
          <w:i/>
          <w:lang w:val="en-GB" w:eastAsia="zh-CN"/>
        </w:rPr>
      </w:pPr>
    </w:p>
    <w:p w14:paraId="56870BE5" w14:textId="77777777" w:rsidR="004F5898" w:rsidRPr="004F5898" w:rsidRDefault="004F5898" w:rsidP="005F3650">
      <w:pPr>
        <w:adjustRightInd w:val="0"/>
        <w:snapToGrid w:val="0"/>
        <w:spacing w:line="360" w:lineRule="auto"/>
        <w:jc w:val="both"/>
        <w:rPr>
          <w:rFonts w:ascii="Book Antiqua" w:hAnsi="Book Antiqua" w:cs="Times New Roman"/>
          <w:b/>
          <w:i/>
          <w:lang w:val="en-GB" w:eastAsia="zh-CN"/>
        </w:rPr>
      </w:pPr>
      <w:r w:rsidRPr="004F5898">
        <w:rPr>
          <w:rFonts w:ascii="Book Antiqua" w:hAnsi="Book Antiqua" w:cs="Times New Roman"/>
          <w:b/>
          <w:i/>
          <w:lang w:val="en-GB" w:eastAsia="zh-CN"/>
        </w:rPr>
        <w:t>Research perspectives</w:t>
      </w:r>
    </w:p>
    <w:p w14:paraId="15E04349" w14:textId="77777777" w:rsidR="004F5898" w:rsidRPr="004F5898" w:rsidRDefault="006730FD" w:rsidP="005F3650">
      <w:pPr>
        <w:adjustRightInd w:val="0"/>
        <w:snapToGrid w:val="0"/>
        <w:spacing w:line="360" w:lineRule="auto"/>
        <w:jc w:val="both"/>
        <w:rPr>
          <w:rFonts w:ascii="Book Antiqua" w:hAnsi="Book Antiqua" w:cs="Times New Roman"/>
          <w:lang w:val="en-GB" w:eastAsia="zh-CN"/>
        </w:rPr>
      </w:pPr>
      <w:r>
        <w:rPr>
          <w:rFonts w:ascii="Book Antiqua" w:hAnsi="Book Antiqua" w:cs="Times New Roman" w:hint="eastAsia"/>
          <w:lang w:val="en-GB" w:eastAsia="zh-CN"/>
        </w:rPr>
        <w:lastRenderedPageBreak/>
        <w:t>F</w:t>
      </w:r>
      <w:r>
        <w:rPr>
          <w:rFonts w:ascii="Book Antiqua" w:hAnsi="Book Antiqua" w:cs="Times New Roman"/>
          <w:lang w:val="en-GB"/>
        </w:rPr>
        <w:t>uture research will hopefully yield additional insight into the mechanisms driving increased mortality among patients with DNR/DNI status who are undergoing surgery for hip fracture.</w:t>
      </w:r>
    </w:p>
    <w:p w14:paraId="5781FAFF" w14:textId="77777777" w:rsidR="005F3650" w:rsidRDefault="005F3650">
      <w:pPr>
        <w:rPr>
          <w:rFonts w:ascii="Book Antiqua" w:hAnsi="Book Antiqua" w:cs="Times New Roman"/>
          <w:b/>
          <w:lang w:val="en-GB"/>
        </w:rPr>
      </w:pPr>
      <w:r>
        <w:rPr>
          <w:rFonts w:ascii="Book Antiqua" w:hAnsi="Book Antiqua" w:cs="Times New Roman"/>
          <w:b/>
          <w:lang w:val="en-GB"/>
        </w:rPr>
        <w:br w:type="page"/>
      </w:r>
    </w:p>
    <w:p w14:paraId="3086DA4F" w14:textId="77777777" w:rsidR="00924582" w:rsidRPr="006F15BB" w:rsidRDefault="00772635" w:rsidP="008E7BBF">
      <w:pPr>
        <w:adjustRightInd w:val="0"/>
        <w:snapToGrid w:val="0"/>
        <w:spacing w:line="360" w:lineRule="auto"/>
        <w:jc w:val="both"/>
        <w:rPr>
          <w:rFonts w:ascii="Book Antiqua" w:hAnsi="Book Antiqua" w:cs="Times New Roman"/>
          <w:b/>
          <w:lang w:val="en-GB" w:eastAsia="zh-CN"/>
        </w:rPr>
      </w:pPr>
      <w:r>
        <w:rPr>
          <w:rFonts w:ascii="Book Antiqua" w:hAnsi="Book Antiqua" w:cs="Times New Roman"/>
          <w:b/>
          <w:lang w:val="en-GB"/>
        </w:rPr>
        <w:lastRenderedPageBreak/>
        <w:t>REFERENCES</w:t>
      </w:r>
    </w:p>
    <w:p w14:paraId="4071E217" w14:textId="77777777" w:rsidR="007472EE" w:rsidRPr="007472EE" w:rsidRDefault="007472EE" w:rsidP="008E7BBF">
      <w:pPr>
        <w:pStyle w:val="ListParagraph"/>
        <w:numPr>
          <w:ilvl w:val="0"/>
          <w:numId w:val="2"/>
        </w:numPr>
        <w:spacing w:line="360" w:lineRule="auto"/>
        <w:ind w:left="426"/>
        <w:jc w:val="both"/>
        <w:rPr>
          <w:rFonts w:ascii="Book Antiqua" w:hAnsi="Book Antiqua" w:cs="Times New Roman"/>
        </w:rPr>
      </w:pPr>
      <w:r w:rsidRPr="007472EE">
        <w:rPr>
          <w:rFonts w:ascii="Book Antiqua" w:hAnsi="Book Antiqua" w:cs="Times New Roman"/>
          <w:b/>
          <w:bCs/>
        </w:rPr>
        <w:t>Burns JP</w:t>
      </w:r>
      <w:r w:rsidRPr="007472EE">
        <w:rPr>
          <w:rFonts w:ascii="Book Antiqua" w:hAnsi="Book Antiqua" w:cs="Times New Roman"/>
        </w:rPr>
        <w:t xml:space="preserve">, Edwards J, Johnson J, </w:t>
      </w:r>
      <w:proofErr w:type="spellStart"/>
      <w:r w:rsidRPr="007472EE">
        <w:rPr>
          <w:rFonts w:ascii="Book Antiqua" w:hAnsi="Book Antiqua" w:cs="Times New Roman"/>
        </w:rPr>
        <w:t>Cassem</w:t>
      </w:r>
      <w:proofErr w:type="spellEnd"/>
      <w:r w:rsidRPr="007472EE">
        <w:rPr>
          <w:rFonts w:ascii="Book Antiqua" w:hAnsi="Book Antiqua" w:cs="Times New Roman"/>
        </w:rPr>
        <w:t xml:space="preserve"> NH, </w:t>
      </w:r>
      <w:proofErr w:type="spellStart"/>
      <w:r w:rsidRPr="007472EE">
        <w:rPr>
          <w:rFonts w:ascii="Book Antiqua" w:hAnsi="Book Antiqua" w:cs="Times New Roman"/>
        </w:rPr>
        <w:t>Truog</w:t>
      </w:r>
      <w:proofErr w:type="spellEnd"/>
      <w:r w:rsidRPr="007472EE">
        <w:rPr>
          <w:rFonts w:ascii="Book Antiqua" w:hAnsi="Book Antiqua" w:cs="Times New Roman"/>
        </w:rPr>
        <w:t xml:space="preserve"> RD. Do-not-resuscitate order after 25 years. </w:t>
      </w:r>
      <w:proofErr w:type="spellStart"/>
      <w:r w:rsidRPr="007472EE">
        <w:rPr>
          <w:rFonts w:ascii="Book Antiqua" w:hAnsi="Book Antiqua" w:cs="Times New Roman"/>
          <w:i/>
          <w:iCs/>
        </w:rPr>
        <w:t>Crit</w:t>
      </w:r>
      <w:proofErr w:type="spellEnd"/>
      <w:r w:rsidRPr="007472EE">
        <w:rPr>
          <w:rFonts w:ascii="Book Antiqua" w:hAnsi="Book Antiqua" w:cs="Times New Roman"/>
          <w:i/>
          <w:iCs/>
        </w:rPr>
        <w:t xml:space="preserve"> Care Med</w:t>
      </w:r>
      <w:r w:rsidRPr="007472EE">
        <w:rPr>
          <w:rFonts w:ascii="Book Antiqua" w:hAnsi="Book Antiqua" w:cs="Times New Roman"/>
        </w:rPr>
        <w:t> 2003; </w:t>
      </w:r>
      <w:r w:rsidRPr="007472EE">
        <w:rPr>
          <w:rFonts w:ascii="Book Antiqua" w:hAnsi="Book Antiqua" w:cs="Times New Roman"/>
          <w:b/>
          <w:bCs/>
        </w:rPr>
        <w:t>31</w:t>
      </w:r>
      <w:r w:rsidRPr="007472EE">
        <w:rPr>
          <w:rFonts w:ascii="Book Antiqua" w:hAnsi="Book Antiqua" w:cs="Times New Roman"/>
        </w:rPr>
        <w:t>: 1543-1550 [PMID: 12771631 DOI: 10.1097/01.CCM.0000064743.44696.49]</w:t>
      </w:r>
    </w:p>
    <w:p w14:paraId="6BFB5A94" w14:textId="77777777" w:rsidR="007472EE" w:rsidRPr="007472EE" w:rsidRDefault="007472EE" w:rsidP="008E7BBF">
      <w:pPr>
        <w:pStyle w:val="ListParagraph"/>
        <w:numPr>
          <w:ilvl w:val="0"/>
          <w:numId w:val="2"/>
        </w:numPr>
        <w:spacing w:line="360" w:lineRule="auto"/>
        <w:ind w:left="426"/>
        <w:jc w:val="both"/>
        <w:rPr>
          <w:rFonts w:ascii="Book Antiqua" w:hAnsi="Book Antiqua" w:cs="Times New Roman"/>
        </w:rPr>
      </w:pPr>
      <w:proofErr w:type="spellStart"/>
      <w:r w:rsidRPr="007472EE">
        <w:rPr>
          <w:rFonts w:ascii="Book Antiqua" w:hAnsi="Book Antiqua" w:cs="Times New Roman"/>
          <w:b/>
          <w:bCs/>
        </w:rPr>
        <w:t>Loertscher</w:t>
      </w:r>
      <w:proofErr w:type="spellEnd"/>
      <w:r w:rsidRPr="007472EE">
        <w:rPr>
          <w:rFonts w:ascii="Book Antiqua" w:hAnsi="Book Antiqua" w:cs="Times New Roman"/>
          <w:b/>
          <w:bCs/>
        </w:rPr>
        <w:t xml:space="preserve"> L</w:t>
      </w:r>
      <w:r w:rsidRPr="007472EE">
        <w:rPr>
          <w:rFonts w:ascii="Book Antiqua" w:hAnsi="Book Antiqua" w:cs="Times New Roman"/>
        </w:rPr>
        <w:t>, Reed DA, Bannon MP, Mueller PS. Cardiopulmonary resuscitation and do-not-resuscitate orders: a guide for clinicians. </w:t>
      </w:r>
      <w:r w:rsidRPr="007472EE">
        <w:rPr>
          <w:rFonts w:ascii="Book Antiqua" w:hAnsi="Book Antiqua" w:cs="Times New Roman"/>
          <w:i/>
          <w:iCs/>
        </w:rPr>
        <w:t>Am J Med</w:t>
      </w:r>
      <w:r w:rsidRPr="007472EE">
        <w:rPr>
          <w:rFonts w:ascii="Book Antiqua" w:hAnsi="Book Antiqua" w:cs="Times New Roman"/>
        </w:rPr>
        <w:t> 2010; </w:t>
      </w:r>
      <w:r w:rsidRPr="007472EE">
        <w:rPr>
          <w:rFonts w:ascii="Book Antiqua" w:hAnsi="Book Antiqua" w:cs="Times New Roman"/>
          <w:b/>
          <w:bCs/>
        </w:rPr>
        <w:t>123</w:t>
      </w:r>
      <w:r w:rsidRPr="007472EE">
        <w:rPr>
          <w:rFonts w:ascii="Book Antiqua" w:hAnsi="Book Antiqua" w:cs="Times New Roman"/>
        </w:rPr>
        <w:t>: 4-9 [PMID: 20102982 DOI: 10.1016/j.amjmed.2009.05.029]</w:t>
      </w:r>
    </w:p>
    <w:p w14:paraId="24CED1E2" w14:textId="77777777" w:rsidR="007472EE" w:rsidRPr="007472EE" w:rsidRDefault="007472EE" w:rsidP="008E7BBF">
      <w:pPr>
        <w:pStyle w:val="ListParagraph"/>
        <w:numPr>
          <w:ilvl w:val="0"/>
          <w:numId w:val="2"/>
        </w:numPr>
        <w:spacing w:line="360" w:lineRule="auto"/>
        <w:ind w:left="426"/>
        <w:jc w:val="both"/>
        <w:rPr>
          <w:rFonts w:ascii="Book Antiqua" w:hAnsi="Book Antiqua" w:cs="Times New Roman"/>
        </w:rPr>
      </w:pPr>
      <w:r w:rsidRPr="007472EE">
        <w:rPr>
          <w:rFonts w:ascii="Book Antiqua" w:hAnsi="Book Antiqua" w:cs="Times New Roman"/>
          <w:b/>
          <w:bCs/>
        </w:rPr>
        <w:t>Morrell ED</w:t>
      </w:r>
      <w:r w:rsidRPr="007472EE">
        <w:rPr>
          <w:rFonts w:ascii="Book Antiqua" w:hAnsi="Book Antiqua" w:cs="Times New Roman"/>
        </w:rPr>
        <w:t xml:space="preserve">, Brown BP, Qi R, </w:t>
      </w:r>
      <w:proofErr w:type="spellStart"/>
      <w:r w:rsidRPr="007472EE">
        <w:rPr>
          <w:rFonts w:ascii="Book Antiqua" w:hAnsi="Book Antiqua" w:cs="Times New Roman"/>
        </w:rPr>
        <w:t>Drabiak</w:t>
      </w:r>
      <w:proofErr w:type="spellEnd"/>
      <w:r w:rsidRPr="007472EE">
        <w:rPr>
          <w:rFonts w:ascii="Book Antiqua" w:hAnsi="Book Antiqua" w:cs="Times New Roman"/>
        </w:rPr>
        <w:t xml:space="preserve"> K, </w:t>
      </w:r>
      <w:proofErr w:type="spellStart"/>
      <w:r w:rsidRPr="007472EE">
        <w:rPr>
          <w:rFonts w:ascii="Book Antiqua" w:hAnsi="Book Antiqua" w:cs="Times New Roman"/>
        </w:rPr>
        <w:t>Helft</w:t>
      </w:r>
      <w:proofErr w:type="spellEnd"/>
      <w:r w:rsidRPr="007472EE">
        <w:rPr>
          <w:rFonts w:ascii="Book Antiqua" w:hAnsi="Book Antiqua" w:cs="Times New Roman"/>
        </w:rPr>
        <w:t xml:space="preserve"> PR. The do-not-resuscitate order: associations with advance directives, physician specialty and documentation of discussion 15 years after the Patient Self-Determination Act. </w:t>
      </w:r>
      <w:r w:rsidRPr="007472EE">
        <w:rPr>
          <w:rFonts w:ascii="Book Antiqua" w:hAnsi="Book Antiqua" w:cs="Times New Roman"/>
          <w:i/>
          <w:iCs/>
        </w:rPr>
        <w:t>J Med Ethics</w:t>
      </w:r>
      <w:r w:rsidRPr="007472EE">
        <w:rPr>
          <w:rFonts w:ascii="Book Antiqua" w:hAnsi="Book Antiqua" w:cs="Times New Roman"/>
        </w:rPr>
        <w:t> 2008; </w:t>
      </w:r>
      <w:r w:rsidRPr="007472EE">
        <w:rPr>
          <w:rFonts w:ascii="Book Antiqua" w:hAnsi="Book Antiqua" w:cs="Times New Roman"/>
          <w:b/>
          <w:bCs/>
        </w:rPr>
        <w:t>34</w:t>
      </w:r>
      <w:r w:rsidRPr="007472EE">
        <w:rPr>
          <w:rFonts w:ascii="Book Antiqua" w:hAnsi="Book Antiqua" w:cs="Times New Roman"/>
        </w:rPr>
        <w:t>: 642-647 [PMID: 18757631 DOI: 10.1136/jme.2007.022517]</w:t>
      </w:r>
    </w:p>
    <w:p w14:paraId="2D569728" w14:textId="77777777" w:rsidR="007472EE" w:rsidRPr="007472EE" w:rsidRDefault="007472EE" w:rsidP="008E7BBF">
      <w:pPr>
        <w:pStyle w:val="ListParagraph"/>
        <w:numPr>
          <w:ilvl w:val="0"/>
          <w:numId w:val="2"/>
        </w:numPr>
        <w:spacing w:line="360" w:lineRule="auto"/>
        <w:ind w:left="426"/>
        <w:jc w:val="both"/>
        <w:rPr>
          <w:rFonts w:ascii="Book Antiqua" w:hAnsi="Book Antiqua" w:cs="Times New Roman"/>
        </w:rPr>
      </w:pPr>
      <w:r w:rsidRPr="007472EE">
        <w:rPr>
          <w:rFonts w:ascii="Book Antiqua" w:hAnsi="Book Antiqua" w:cs="Times New Roman"/>
          <w:b/>
          <w:bCs/>
        </w:rPr>
        <w:t>Hakim RB</w:t>
      </w:r>
      <w:r w:rsidRPr="007472EE">
        <w:rPr>
          <w:rFonts w:ascii="Book Antiqua" w:hAnsi="Book Antiqua" w:cs="Times New Roman"/>
        </w:rPr>
        <w:t xml:space="preserve">, </w:t>
      </w:r>
      <w:proofErr w:type="spellStart"/>
      <w:r w:rsidRPr="007472EE">
        <w:rPr>
          <w:rFonts w:ascii="Book Antiqua" w:hAnsi="Book Antiqua" w:cs="Times New Roman"/>
        </w:rPr>
        <w:t>Teno</w:t>
      </w:r>
      <w:proofErr w:type="spellEnd"/>
      <w:r w:rsidRPr="007472EE">
        <w:rPr>
          <w:rFonts w:ascii="Book Antiqua" w:hAnsi="Book Antiqua" w:cs="Times New Roman"/>
        </w:rPr>
        <w:t xml:space="preserve"> JM, Harrell FE Jr, </w:t>
      </w:r>
      <w:proofErr w:type="spellStart"/>
      <w:r w:rsidRPr="007472EE">
        <w:rPr>
          <w:rFonts w:ascii="Book Antiqua" w:hAnsi="Book Antiqua" w:cs="Times New Roman"/>
        </w:rPr>
        <w:t>Knaus</w:t>
      </w:r>
      <w:proofErr w:type="spellEnd"/>
      <w:r w:rsidRPr="007472EE">
        <w:rPr>
          <w:rFonts w:ascii="Book Antiqua" w:hAnsi="Book Antiqua" w:cs="Times New Roman"/>
        </w:rPr>
        <w:t xml:space="preserve"> WA, Wenger N, Phillips RS, </w:t>
      </w:r>
      <w:proofErr w:type="spellStart"/>
      <w:r w:rsidRPr="007472EE">
        <w:rPr>
          <w:rFonts w:ascii="Book Antiqua" w:hAnsi="Book Antiqua" w:cs="Times New Roman"/>
        </w:rPr>
        <w:t>Layde</w:t>
      </w:r>
      <w:proofErr w:type="spellEnd"/>
      <w:r w:rsidRPr="007472EE">
        <w:rPr>
          <w:rFonts w:ascii="Book Antiqua" w:hAnsi="Book Antiqua" w:cs="Times New Roman"/>
        </w:rPr>
        <w:t xml:space="preserve"> P, </w:t>
      </w:r>
      <w:proofErr w:type="spellStart"/>
      <w:r w:rsidRPr="007472EE">
        <w:rPr>
          <w:rFonts w:ascii="Book Antiqua" w:hAnsi="Book Antiqua" w:cs="Times New Roman"/>
        </w:rPr>
        <w:t>Califf</w:t>
      </w:r>
      <w:proofErr w:type="spellEnd"/>
      <w:r w:rsidRPr="007472EE">
        <w:rPr>
          <w:rFonts w:ascii="Book Antiqua" w:hAnsi="Book Antiqua" w:cs="Times New Roman"/>
        </w:rPr>
        <w:t xml:space="preserve"> R, Connors AF Jr, Lynn J. Factors associated with do-not-resuscitate orders: patients' preferences, prognoses, and physicians' judgments. SUPPORT Investigators. Study to Understand Prognoses and Preferences for Outcomes and Risks of Treatment. </w:t>
      </w:r>
      <w:r w:rsidRPr="007472EE">
        <w:rPr>
          <w:rFonts w:ascii="Book Antiqua" w:hAnsi="Book Antiqua" w:cs="Times New Roman"/>
          <w:i/>
          <w:iCs/>
        </w:rPr>
        <w:t>Ann Intern Med</w:t>
      </w:r>
      <w:r w:rsidRPr="007472EE">
        <w:rPr>
          <w:rFonts w:ascii="Book Antiqua" w:hAnsi="Book Antiqua" w:cs="Times New Roman"/>
        </w:rPr>
        <w:t> 1996; </w:t>
      </w:r>
      <w:r w:rsidRPr="007472EE">
        <w:rPr>
          <w:rFonts w:ascii="Book Antiqua" w:hAnsi="Book Antiqua" w:cs="Times New Roman"/>
          <w:b/>
          <w:bCs/>
        </w:rPr>
        <w:t>125</w:t>
      </w:r>
      <w:r w:rsidRPr="007472EE">
        <w:rPr>
          <w:rFonts w:ascii="Book Antiqua" w:hAnsi="Book Antiqua" w:cs="Times New Roman"/>
        </w:rPr>
        <w:t>: 284-293 [PMID: 8678391]</w:t>
      </w:r>
    </w:p>
    <w:p w14:paraId="6DF19B04" w14:textId="77777777" w:rsidR="007472EE" w:rsidRPr="007472EE" w:rsidRDefault="007472EE" w:rsidP="008E7BBF">
      <w:pPr>
        <w:pStyle w:val="ListParagraph"/>
        <w:numPr>
          <w:ilvl w:val="0"/>
          <w:numId w:val="2"/>
        </w:numPr>
        <w:spacing w:line="360" w:lineRule="auto"/>
        <w:ind w:left="426"/>
        <w:jc w:val="both"/>
        <w:rPr>
          <w:rFonts w:ascii="Book Antiqua" w:hAnsi="Book Antiqua" w:cs="Times New Roman"/>
        </w:rPr>
      </w:pPr>
      <w:r w:rsidRPr="007472EE">
        <w:rPr>
          <w:rFonts w:ascii="Book Antiqua" w:hAnsi="Book Antiqua" w:cs="Times New Roman"/>
          <w:b/>
          <w:bCs/>
        </w:rPr>
        <w:t>Clemency MV</w:t>
      </w:r>
      <w:r w:rsidRPr="007472EE">
        <w:rPr>
          <w:rFonts w:ascii="Book Antiqua" w:hAnsi="Book Antiqua" w:cs="Times New Roman"/>
        </w:rPr>
        <w:t>, Thompson NJ. Do not resuscitate orders in the perioperative period: patient perspectives. </w:t>
      </w:r>
      <w:proofErr w:type="spellStart"/>
      <w:r w:rsidRPr="007472EE">
        <w:rPr>
          <w:rFonts w:ascii="Book Antiqua" w:hAnsi="Book Antiqua" w:cs="Times New Roman"/>
          <w:i/>
          <w:iCs/>
        </w:rPr>
        <w:t>Anesth</w:t>
      </w:r>
      <w:proofErr w:type="spellEnd"/>
      <w:r w:rsidRPr="007472EE">
        <w:rPr>
          <w:rFonts w:ascii="Book Antiqua" w:hAnsi="Book Antiqua" w:cs="Times New Roman"/>
          <w:i/>
          <w:iCs/>
        </w:rPr>
        <w:t xml:space="preserve"> </w:t>
      </w:r>
      <w:proofErr w:type="spellStart"/>
      <w:r w:rsidRPr="007472EE">
        <w:rPr>
          <w:rFonts w:ascii="Book Antiqua" w:hAnsi="Book Antiqua" w:cs="Times New Roman"/>
          <w:i/>
          <w:iCs/>
        </w:rPr>
        <w:t>Analg</w:t>
      </w:r>
      <w:proofErr w:type="spellEnd"/>
      <w:r w:rsidRPr="007472EE">
        <w:rPr>
          <w:rFonts w:ascii="Book Antiqua" w:hAnsi="Book Antiqua" w:cs="Times New Roman"/>
        </w:rPr>
        <w:t> 1997; </w:t>
      </w:r>
      <w:r w:rsidRPr="007472EE">
        <w:rPr>
          <w:rFonts w:ascii="Book Antiqua" w:hAnsi="Book Antiqua" w:cs="Times New Roman"/>
          <w:b/>
          <w:bCs/>
        </w:rPr>
        <w:t>84</w:t>
      </w:r>
      <w:r w:rsidRPr="007472EE">
        <w:rPr>
          <w:rFonts w:ascii="Book Antiqua" w:hAnsi="Book Antiqua" w:cs="Times New Roman"/>
        </w:rPr>
        <w:t>: 859-864 [PMID: 9085971 DOI: 10.1213/00000539-199704000-00029]</w:t>
      </w:r>
    </w:p>
    <w:p w14:paraId="68D4DF36" w14:textId="77777777" w:rsidR="007472EE" w:rsidRPr="007472EE" w:rsidRDefault="007472EE" w:rsidP="008E7BBF">
      <w:pPr>
        <w:pStyle w:val="ListParagraph"/>
        <w:numPr>
          <w:ilvl w:val="0"/>
          <w:numId w:val="2"/>
        </w:numPr>
        <w:spacing w:line="360" w:lineRule="auto"/>
        <w:ind w:left="426"/>
        <w:jc w:val="both"/>
        <w:rPr>
          <w:rFonts w:ascii="Book Antiqua" w:hAnsi="Book Antiqua" w:cs="Times New Roman"/>
        </w:rPr>
      </w:pPr>
      <w:proofErr w:type="spellStart"/>
      <w:r w:rsidRPr="007472EE">
        <w:rPr>
          <w:rFonts w:ascii="Book Antiqua" w:hAnsi="Book Antiqua" w:cs="Times New Roman"/>
          <w:b/>
          <w:bCs/>
        </w:rPr>
        <w:t>Cherniack</w:t>
      </w:r>
      <w:proofErr w:type="spellEnd"/>
      <w:r w:rsidRPr="007472EE">
        <w:rPr>
          <w:rFonts w:ascii="Book Antiqua" w:hAnsi="Book Antiqua" w:cs="Times New Roman"/>
          <w:b/>
          <w:bCs/>
        </w:rPr>
        <w:t xml:space="preserve"> EP</w:t>
      </w:r>
      <w:r w:rsidRPr="007472EE">
        <w:rPr>
          <w:rFonts w:ascii="Book Antiqua" w:hAnsi="Book Antiqua" w:cs="Times New Roman"/>
        </w:rPr>
        <w:t xml:space="preserve">. Increasing use of DNR orders in the elderly worldwide: whose </w:t>
      </w:r>
      <w:proofErr w:type="gramStart"/>
      <w:r w:rsidRPr="007472EE">
        <w:rPr>
          <w:rFonts w:ascii="Book Antiqua" w:hAnsi="Book Antiqua" w:cs="Times New Roman"/>
        </w:rPr>
        <w:t>choice</w:t>
      </w:r>
      <w:proofErr w:type="gramEnd"/>
      <w:r w:rsidRPr="007472EE">
        <w:rPr>
          <w:rFonts w:ascii="Book Antiqua" w:hAnsi="Book Antiqua" w:cs="Times New Roman"/>
        </w:rPr>
        <w:t xml:space="preserve"> is it? </w:t>
      </w:r>
      <w:r w:rsidRPr="007472EE">
        <w:rPr>
          <w:rFonts w:ascii="Book Antiqua" w:hAnsi="Book Antiqua" w:cs="Times New Roman"/>
          <w:i/>
          <w:iCs/>
        </w:rPr>
        <w:t>J Med Ethics</w:t>
      </w:r>
      <w:r w:rsidRPr="007472EE">
        <w:rPr>
          <w:rFonts w:ascii="Book Antiqua" w:hAnsi="Book Antiqua" w:cs="Times New Roman"/>
        </w:rPr>
        <w:t> 2002; </w:t>
      </w:r>
      <w:r w:rsidRPr="007472EE">
        <w:rPr>
          <w:rFonts w:ascii="Book Antiqua" w:hAnsi="Book Antiqua" w:cs="Times New Roman"/>
          <w:b/>
          <w:bCs/>
        </w:rPr>
        <w:t>28</w:t>
      </w:r>
      <w:r w:rsidRPr="007472EE">
        <w:rPr>
          <w:rFonts w:ascii="Book Antiqua" w:hAnsi="Book Antiqua" w:cs="Times New Roman"/>
        </w:rPr>
        <w:t>: 303-307 [PMID: 12356958 DOI: 10.1136/jme.29.6.372]</w:t>
      </w:r>
    </w:p>
    <w:p w14:paraId="49841713" w14:textId="77777777" w:rsidR="007472EE" w:rsidRDefault="007472EE" w:rsidP="008E7BBF">
      <w:pPr>
        <w:pStyle w:val="ListParagraph"/>
        <w:numPr>
          <w:ilvl w:val="0"/>
          <w:numId w:val="2"/>
        </w:numPr>
        <w:spacing w:line="360" w:lineRule="auto"/>
        <w:ind w:left="426"/>
        <w:jc w:val="both"/>
        <w:rPr>
          <w:rFonts w:ascii="Book Antiqua" w:hAnsi="Book Antiqua" w:cs="Times New Roman"/>
        </w:rPr>
      </w:pPr>
      <w:r w:rsidRPr="00F572C8">
        <w:rPr>
          <w:rFonts w:ascii="Book Antiqua" w:hAnsi="Book Antiqua" w:cs="Times New Roman"/>
          <w:b/>
        </w:rPr>
        <w:t>American Society of Anesthesiologists</w:t>
      </w:r>
      <w:r w:rsidRPr="007472EE">
        <w:rPr>
          <w:rFonts w:ascii="Book Antiqua" w:hAnsi="Book Antiqua" w:cs="Times New Roman"/>
        </w:rPr>
        <w:t>. Ethical guidelines for the anesthesia care of patients with do-not-resuscitate orders or other directives that limit treatment.</w:t>
      </w:r>
      <w:r w:rsidR="00570AE6">
        <w:rPr>
          <w:rFonts w:ascii="Book Antiqua" w:hAnsi="Book Antiqua" w:cs="Times New Roman" w:hint="eastAsia"/>
          <w:lang w:eastAsia="zh-CN"/>
        </w:rPr>
        <w:t xml:space="preserve"> </w:t>
      </w:r>
      <w:r w:rsidR="00F572C8">
        <w:rPr>
          <w:rFonts w:ascii="Book Antiqua" w:hAnsi="Book Antiqua" w:cs="Times New Roman"/>
          <w:lang w:eastAsia="zh-CN"/>
        </w:rPr>
        <w:t>[</w:t>
      </w:r>
      <w:r w:rsidR="00F572C8" w:rsidRPr="00F572C8">
        <w:rPr>
          <w:rFonts w:ascii="Book Antiqua" w:hAnsi="Book Antiqua" w:cs="Times New Roman"/>
          <w:lang w:eastAsia="zh-CN"/>
        </w:rPr>
        <w:t xml:space="preserve">last amended </w:t>
      </w:r>
      <w:r w:rsidR="00F572C8">
        <w:rPr>
          <w:rFonts w:ascii="Book Antiqua" w:hAnsi="Book Antiqua" w:cs="Times New Roman"/>
          <w:lang w:eastAsia="zh-CN"/>
        </w:rPr>
        <w:t xml:space="preserve">2013 </w:t>
      </w:r>
      <w:r w:rsidR="00F572C8" w:rsidRPr="00F572C8">
        <w:rPr>
          <w:rFonts w:ascii="Book Antiqua" w:hAnsi="Book Antiqua" w:cs="Times New Roman"/>
          <w:lang w:eastAsia="zh-CN"/>
        </w:rPr>
        <w:t>Oct 16</w:t>
      </w:r>
      <w:r w:rsidR="00F572C8">
        <w:rPr>
          <w:rFonts w:ascii="Book Antiqua" w:hAnsi="Book Antiqua" w:cs="Times New Roman"/>
          <w:lang w:eastAsia="zh-CN"/>
        </w:rPr>
        <w:t xml:space="preserve">]. </w:t>
      </w:r>
      <w:r w:rsidR="00F572C8" w:rsidRPr="00F572C8">
        <w:rPr>
          <w:rFonts w:ascii="Book Antiqua" w:hAnsi="Book Antiqua" w:cs="Times New Roman"/>
          <w:lang w:eastAsia="zh-CN"/>
        </w:rPr>
        <w:t>Available from:</w:t>
      </w:r>
      <w:r w:rsidR="00F572C8">
        <w:rPr>
          <w:rFonts w:ascii="Book Antiqua" w:hAnsi="Book Antiqua" w:cs="Times New Roman"/>
          <w:lang w:eastAsia="zh-CN"/>
        </w:rPr>
        <w:t xml:space="preserve"> </w:t>
      </w:r>
      <w:r w:rsidR="00F572C8" w:rsidRPr="00F572C8">
        <w:rPr>
          <w:rFonts w:ascii="Book Antiqua" w:hAnsi="Book Antiqua" w:cs="Times New Roman"/>
          <w:lang w:eastAsia="zh-CN"/>
        </w:rPr>
        <w:t>http://www.asahq.org/~/media/Sites/ASAHQ/Files/Public/Resources/standards-guidelines/ethical-guidelines-for-the-anesthesia-care-of-patients.pdf</w:t>
      </w:r>
    </w:p>
    <w:p w14:paraId="6B76026D" w14:textId="509B325F" w:rsidR="009C2777" w:rsidRPr="007472EE" w:rsidRDefault="009C2777" w:rsidP="008E7BBF">
      <w:pPr>
        <w:pStyle w:val="ListParagraph"/>
        <w:numPr>
          <w:ilvl w:val="0"/>
          <w:numId w:val="2"/>
        </w:numPr>
        <w:spacing w:line="360" w:lineRule="auto"/>
        <w:ind w:left="426"/>
        <w:jc w:val="both"/>
        <w:rPr>
          <w:rFonts w:ascii="Book Antiqua" w:hAnsi="Book Antiqua" w:cs="Times New Roman"/>
        </w:rPr>
      </w:pPr>
      <w:r w:rsidRPr="009C2777">
        <w:rPr>
          <w:rFonts w:ascii="Book Antiqua" w:hAnsi="Book Antiqua" w:cs="Times New Roman"/>
          <w:b/>
          <w:bCs/>
        </w:rPr>
        <w:t>Walsh EC</w:t>
      </w:r>
      <w:r w:rsidRPr="009C2777">
        <w:rPr>
          <w:rFonts w:ascii="Book Antiqua" w:hAnsi="Book Antiqua" w:cs="Times New Roman"/>
        </w:rPr>
        <w:t xml:space="preserve">, </w:t>
      </w:r>
      <w:proofErr w:type="spellStart"/>
      <w:r w:rsidRPr="009C2777">
        <w:rPr>
          <w:rFonts w:ascii="Book Antiqua" w:hAnsi="Book Antiqua" w:cs="Times New Roman"/>
        </w:rPr>
        <w:t>Brovman</w:t>
      </w:r>
      <w:proofErr w:type="spellEnd"/>
      <w:r w:rsidRPr="009C2777">
        <w:rPr>
          <w:rFonts w:ascii="Book Antiqua" w:hAnsi="Book Antiqua" w:cs="Times New Roman"/>
        </w:rPr>
        <w:t xml:space="preserve"> EY, Bader AM, </w:t>
      </w:r>
      <w:proofErr w:type="spellStart"/>
      <w:r w:rsidRPr="009C2777">
        <w:rPr>
          <w:rFonts w:ascii="Book Antiqua" w:hAnsi="Book Antiqua" w:cs="Times New Roman"/>
        </w:rPr>
        <w:t>Urman</w:t>
      </w:r>
      <w:proofErr w:type="spellEnd"/>
      <w:r w:rsidRPr="009C2777">
        <w:rPr>
          <w:rFonts w:ascii="Book Antiqua" w:hAnsi="Book Antiqua" w:cs="Times New Roman"/>
        </w:rPr>
        <w:t xml:space="preserve"> RD. Do-Not-Resuscitate Status Is Associated </w:t>
      </w:r>
      <w:proofErr w:type="gramStart"/>
      <w:r w:rsidRPr="009C2777">
        <w:rPr>
          <w:rFonts w:ascii="Book Antiqua" w:hAnsi="Book Antiqua" w:cs="Times New Roman"/>
        </w:rPr>
        <w:t>With</w:t>
      </w:r>
      <w:proofErr w:type="gramEnd"/>
      <w:r w:rsidRPr="009C2777">
        <w:rPr>
          <w:rFonts w:ascii="Book Antiqua" w:hAnsi="Book Antiqua" w:cs="Times New Roman"/>
        </w:rPr>
        <w:t xml:space="preserve"> Increased Mortality But Not Morbidity. </w:t>
      </w:r>
      <w:proofErr w:type="spellStart"/>
      <w:r w:rsidRPr="009C2777">
        <w:rPr>
          <w:rFonts w:ascii="Book Antiqua" w:hAnsi="Book Antiqua" w:cs="Times New Roman"/>
          <w:i/>
          <w:iCs/>
        </w:rPr>
        <w:t>Anesth</w:t>
      </w:r>
      <w:proofErr w:type="spellEnd"/>
      <w:r w:rsidRPr="009C2777">
        <w:rPr>
          <w:rFonts w:ascii="Book Antiqua" w:hAnsi="Book Antiqua" w:cs="Times New Roman"/>
          <w:i/>
          <w:iCs/>
        </w:rPr>
        <w:t xml:space="preserve"> </w:t>
      </w:r>
      <w:proofErr w:type="spellStart"/>
      <w:r w:rsidRPr="009C2777">
        <w:rPr>
          <w:rFonts w:ascii="Book Antiqua" w:hAnsi="Book Antiqua" w:cs="Times New Roman"/>
          <w:i/>
          <w:iCs/>
        </w:rPr>
        <w:t>Analg</w:t>
      </w:r>
      <w:proofErr w:type="spellEnd"/>
      <w:r w:rsidRPr="009C2777">
        <w:rPr>
          <w:rFonts w:ascii="Book Antiqua" w:hAnsi="Book Antiqua" w:cs="Times New Roman"/>
        </w:rPr>
        <w:t> 2017; </w:t>
      </w:r>
      <w:r w:rsidR="00282B5A">
        <w:rPr>
          <w:rFonts w:ascii="Book Antiqua" w:hAnsi="Book Antiqua" w:cs="Times New Roman"/>
        </w:rPr>
        <w:t>125(</w:t>
      </w:r>
      <w:r w:rsidR="00282B5A" w:rsidRPr="00282B5A">
        <w:rPr>
          <w:rFonts w:ascii="Book Antiqua" w:hAnsi="Book Antiqua" w:cs="Times New Roman" w:hint="eastAsia"/>
          <w:b/>
          <w:lang w:eastAsia="zh-CN"/>
        </w:rPr>
        <w:t>5</w:t>
      </w:r>
      <w:r w:rsidR="00282B5A">
        <w:rPr>
          <w:rFonts w:ascii="Book Antiqua" w:hAnsi="Book Antiqua" w:cs="Times New Roman"/>
        </w:rPr>
        <w:t>)</w:t>
      </w:r>
      <w:r w:rsidRPr="009C2777">
        <w:rPr>
          <w:rFonts w:ascii="Book Antiqua" w:hAnsi="Book Antiqua" w:cs="Times New Roman"/>
        </w:rPr>
        <w:t>:</w:t>
      </w:r>
      <w:r w:rsidR="00282B5A">
        <w:rPr>
          <w:rFonts w:ascii="Book Antiqua" w:hAnsi="Book Antiqua" w:cs="Times New Roman" w:hint="eastAsia"/>
          <w:lang w:eastAsia="zh-CN"/>
        </w:rPr>
        <w:t xml:space="preserve"> </w:t>
      </w:r>
      <w:r w:rsidR="00282B5A" w:rsidRPr="00282B5A">
        <w:rPr>
          <w:rFonts w:ascii="Book Antiqua" w:hAnsi="Book Antiqua" w:cs="Times New Roman"/>
        </w:rPr>
        <w:t>1484-1493</w:t>
      </w:r>
      <w:r w:rsidR="00282B5A">
        <w:rPr>
          <w:rFonts w:ascii="Book Antiqua" w:hAnsi="Book Antiqua" w:cs="Times New Roman"/>
        </w:rPr>
        <w:t xml:space="preserve"> </w:t>
      </w:r>
      <w:r w:rsidRPr="009C2777">
        <w:rPr>
          <w:rFonts w:ascii="Book Antiqua" w:hAnsi="Book Antiqua" w:cs="Times New Roman"/>
        </w:rPr>
        <w:t>[PMID: 28319514 DOI: 10.1213/ANE.0000000000001904]</w:t>
      </w:r>
    </w:p>
    <w:p w14:paraId="2947F73A" w14:textId="77777777" w:rsidR="007472EE" w:rsidRPr="007472EE" w:rsidRDefault="007472EE" w:rsidP="008E7BBF">
      <w:pPr>
        <w:pStyle w:val="ListParagraph"/>
        <w:numPr>
          <w:ilvl w:val="0"/>
          <w:numId w:val="2"/>
        </w:numPr>
        <w:spacing w:line="360" w:lineRule="auto"/>
        <w:ind w:left="426"/>
        <w:jc w:val="both"/>
        <w:rPr>
          <w:rFonts w:ascii="Book Antiqua" w:hAnsi="Book Antiqua" w:cs="Times New Roman"/>
        </w:rPr>
      </w:pPr>
      <w:proofErr w:type="spellStart"/>
      <w:r w:rsidRPr="007472EE">
        <w:rPr>
          <w:rFonts w:ascii="Book Antiqua" w:hAnsi="Book Antiqua" w:cs="Times New Roman"/>
          <w:b/>
          <w:bCs/>
        </w:rPr>
        <w:lastRenderedPageBreak/>
        <w:t>Berstock</w:t>
      </w:r>
      <w:proofErr w:type="spellEnd"/>
      <w:r w:rsidRPr="007472EE">
        <w:rPr>
          <w:rFonts w:ascii="Book Antiqua" w:hAnsi="Book Antiqua" w:cs="Times New Roman"/>
          <w:b/>
          <w:bCs/>
        </w:rPr>
        <w:t xml:space="preserve"> JR</w:t>
      </w:r>
      <w:r w:rsidRPr="007472EE">
        <w:rPr>
          <w:rFonts w:ascii="Book Antiqua" w:hAnsi="Book Antiqua" w:cs="Times New Roman"/>
        </w:rPr>
        <w:t xml:space="preserve">, </w:t>
      </w:r>
      <w:proofErr w:type="spellStart"/>
      <w:r w:rsidRPr="007472EE">
        <w:rPr>
          <w:rFonts w:ascii="Book Antiqua" w:hAnsi="Book Antiqua" w:cs="Times New Roman"/>
        </w:rPr>
        <w:t>Beswick</w:t>
      </w:r>
      <w:proofErr w:type="spellEnd"/>
      <w:r w:rsidRPr="007472EE">
        <w:rPr>
          <w:rFonts w:ascii="Book Antiqua" w:hAnsi="Book Antiqua" w:cs="Times New Roman"/>
        </w:rPr>
        <w:t xml:space="preserve"> AD, </w:t>
      </w:r>
      <w:proofErr w:type="spellStart"/>
      <w:r w:rsidRPr="007472EE">
        <w:rPr>
          <w:rFonts w:ascii="Book Antiqua" w:hAnsi="Book Antiqua" w:cs="Times New Roman"/>
        </w:rPr>
        <w:t>Lenguerrand</w:t>
      </w:r>
      <w:proofErr w:type="spellEnd"/>
      <w:r w:rsidRPr="007472EE">
        <w:rPr>
          <w:rFonts w:ascii="Book Antiqua" w:hAnsi="Book Antiqua" w:cs="Times New Roman"/>
        </w:rPr>
        <w:t xml:space="preserve"> E, Whitehouse MR, </w:t>
      </w:r>
      <w:proofErr w:type="spellStart"/>
      <w:r w:rsidRPr="007472EE">
        <w:rPr>
          <w:rFonts w:ascii="Book Antiqua" w:hAnsi="Book Antiqua" w:cs="Times New Roman"/>
        </w:rPr>
        <w:t>Blom</w:t>
      </w:r>
      <w:proofErr w:type="spellEnd"/>
      <w:r w:rsidRPr="007472EE">
        <w:rPr>
          <w:rFonts w:ascii="Book Antiqua" w:hAnsi="Book Antiqua" w:cs="Times New Roman"/>
        </w:rPr>
        <w:t xml:space="preserve"> AW. Mortality after total hip replacement surgery: A systematic review. </w:t>
      </w:r>
      <w:r w:rsidRPr="007472EE">
        <w:rPr>
          <w:rFonts w:ascii="Book Antiqua" w:hAnsi="Book Antiqua" w:cs="Times New Roman"/>
          <w:i/>
          <w:iCs/>
        </w:rPr>
        <w:t>Bone Joint Res</w:t>
      </w:r>
      <w:r w:rsidRPr="007472EE">
        <w:rPr>
          <w:rFonts w:ascii="Book Antiqua" w:hAnsi="Book Antiqua" w:cs="Times New Roman"/>
        </w:rPr>
        <w:t> 2014; </w:t>
      </w:r>
      <w:r w:rsidRPr="007472EE">
        <w:rPr>
          <w:rFonts w:ascii="Book Antiqua" w:hAnsi="Book Antiqua" w:cs="Times New Roman"/>
          <w:b/>
          <w:bCs/>
        </w:rPr>
        <w:t>3</w:t>
      </w:r>
      <w:r w:rsidRPr="007472EE">
        <w:rPr>
          <w:rFonts w:ascii="Book Antiqua" w:hAnsi="Book Antiqua" w:cs="Times New Roman"/>
        </w:rPr>
        <w:t>: 175-182 [PMID: 24894596 DOI: 10.1302/2046-3758.36.2000239]</w:t>
      </w:r>
    </w:p>
    <w:p w14:paraId="48E427A3" w14:textId="77777777" w:rsidR="007472EE" w:rsidRPr="007472EE" w:rsidRDefault="007472EE" w:rsidP="008E7BBF">
      <w:pPr>
        <w:pStyle w:val="ListParagraph"/>
        <w:numPr>
          <w:ilvl w:val="0"/>
          <w:numId w:val="2"/>
        </w:numPr>
        <w:spacing w:line="360" w:lineRule="auto"/>
        <w:ind w:left="426"/>
        <w:jc w:val="both"/>
        <w:rPr>
          <w:rFonts w:ascii="Book Antiqua" w:hAnsi="Book Antiqua" w:cs="Times New Roman"/>
        </w:rPr>
      </w:pPr>
      <w:r w:rsidRPr="007472EE">
        <w:rPr>
          <w:rFonts w:ascii="Book Antiqua" w:hAnsi="Book Antiqua" w:cs="Times New Roman"/>
          <w:b/>
          <w:bCs/>
        </w:rPr>
        <w:t xml:space="preserve">Le </w:t>
      </w:r>
      <w:proofErr w:type="spellStart"/>
      <w:r w:rsidRPr="007472EE">
        <w:rPr>
          <w:rFonts w:ascii="Book Antiqua" w:hAnsi="Book Antiqua" w:cs="Times New Roman"/>
          <w:b/>
          <w:bCs/>
        </w:rPr>
        <w:t>Manach</w:t>
      </w:r>
      <w:proofErr w:type="spellEnd"/>
      <w:r w:rsidRPr="007472EE">
        <w:rPr>
          <w:rFonts w:ascii="Book Antiqua" w:hAnsi="Book Antiqua" w:cs="Times New Roman"/>
          <w:b/>
          <w:bCs/>
        </w:rPr>
        <w:t xml:space="preserve"> Y</w:t>
      </w:r>
      <w:r w:rsidRPr="007472EE">
        <w:rPr>
          <w:rFonts w:ascii="Book Antiqua" w:hAnsi="Book Antiqua" w:cs="Times New Roman"/>
        </w:rPr>
        <w:t xml:space="preserve">, Collins G, Bhandari M, </w:t>
      </w:r>
      <w:proofErr w:type="spellStart"/>
      <w:r w:rsidRPr="007472EE">
        <w:rPr>
          <w:rFonts w:ascii="Book Antiqua" w:hAnsi="Book Antiqua" w:cs="Times New Roman"/>
        </w:rPr>
        <w:t>Bessissow</w:t>
      </w:r>
      <w:proofErr w:type="spellEnd"/>
      <w:r w:rsidRPr="007472EE">
        <w:rPr>
          <w:rFonts w:ascii="Book Antiqua" w:hAnsi="Book Antiqua" w:cs="Times New Roman"/>
        </w:rPr>
        <w:t xml:space="preserve"> A, </w:t>
      </w:r>
      <w:proofErr w:type="spellStart"/>
      <w:r w:rsidRPr="007472EE">
        <w:rPr>
          <w:rFonts w:ascii="Book Antiqua" w:hAnsi="Book Antiqua" w:cs="Times New Roman"/>
        </w:rPr>
        <w:t>Boddaert</w:t>
      </w:r>
      <w:proofErr w:type="spellEnd"/>
      <w:r w:rsidRPr="007472EE">
        <w:rPr>
          <w:rFonts w:ascii="Book Antiqua" w:hAnsi="Book Antiqua" w:cs="Times New Roman"/>
        </w:rPr>
        <w:t xml:space="preserve"> J, </w:t>
      </w:r>
      <w:proofErr w:type="spellStart"/>
      <w:r w:rsidRPr="007472EE">
        <w:rPr>
          <w:rFonts w:ascii="Book Antiqua" w:hAnsi="Book Antiqua" w:cs="Times New Roman"/>
        </w:rPr>
        <w:t>Khiami</w:t>
      </w:r>
      <w:proofErr w:type="spellEnd"/>
      <w:r w:rsidRPr="007472EE">
        <w:rPr>
          <w:rFonts w:ascii="Book Antiqua" w:hAnsi="Book Antiqua" w:cs="Times New Roman"/>
        </w:rPr>
        <w:t xml:space="preserve"> F, Chaudhry H, De Beer J, </w:t>
      </w:r>
      <w:proofErr w:type="spellStart"/>
      <w:r w:rsidRPr="007472EE">
        <w:rPr>
          <w:rFonts w:ascii="Book Antiqua" w:hAnsi="Book Antiqua" w:cs="Times New Roman"/>
        </w:rPr>
        <w:t>Riou</w:t>
      </w:r>
      <w:proofErr w:type="spellEnd"/>
      <w:r w:rsidRPr="007472EE">
        <w:rPr>
          <w:rFonts w:ascii="Book Antiqua" w:hAnsi="Book Antiqua" w:cs="Times New Roman"/>
        </w:rPr>
        <w:t xml:space="preserve"> B, </w:t>
      </w:r>
      <w:proofErr w:type="spellStart"/>
      <w:r w:rsidRPr="007472EE">
        <w:rPr>
          <w:rFonts w:ascii="Book Antiqua" w:hAnsi="Book Antiqua" w:cs="Times New Roman"/>
        </w:rPr>
        <w:t>Landais</w:t>
      </w:r>
      <w:proofErr w:type="spellEnd"/>
      <w:r w:rsidRPr="007472EE">
        <w:rPr>
          <w:rFonts w:ascii="Book Antiqua" w:hAnsi="Book Antiqua" w:cs="Times New Roman"/>
        </w:rPr>
        <w:t xml:space="preserve"> P, Winemaker M, </w:t>
      </w:r>
      <w:proofErr w:type="spellStart"/>
      <w:r w:rsidRPr="007472EE">
        <w:rPr>
          <w:rFonts w:ascii="Book Antiqua" w:hAnsi="Book Antiqua" w:cs="Times New Roman"/>
        </w:rPr>
        <w:t>Boudemaghe</w:t>
      </w:r>
      <w:proofErr w:type="spellEnd"/>
      <w:r w:rsidRPr="007472EE">
        <w:rPr>
          <w:rFonts w:ascii="Book Antiqua" w:hAnsi="Book Antiqua" w:cs="Times New Roman"/>
        </w:rPr>
        <w:t xml:space="preserve"> T, </w:t>
      </w:r>
      <w:proofErr w:type="spellStart"/>
      <w:r w:rsidRPr="007472EE">
        <w:rPr>
          <w:rFonts w:ascii="Book Antiqua" w:hAnsi="Book Antiqua" w:cs="Times New Roman"/>
        </w:rPr>
        <w:t>Devereaux</w:t>
      </w:r>
      <w:proofErr w:type="spellEnd"/>
      <w:r w:rsidRPr="007472EE">
        <w:rPr>
          <w:rFonts w:ascii="Book Antiqua" w:hAnsi="Book Antiqua" w:cs="Times New Roman"/>
        </w:rPr>
        <w:t xml:space="preserve"> PJ. Outcomes After Hip Fracture Surgery Compared </w:t>
      </w:r>
      <w:proofErr w:type="gramStart"/>
      <w:r w:rsidRPr="007472EE">
        <w:rPr>
          <w:rFonts w:ascii="Book Antiqua" w:hAnsi="Book Antiqua" w:cs="Times New Roman"/>
        </w:rPr>
        <w:t>With</w:t>
      </w:r>
      <w:proofErr w:type="gramEnd"/>
      <w:r w:rsidRPr="007472EE">
        <w:rPr>
          <w:rFonts w:ascii="Book Antiqua" w:hAnsi="Book Antiqua" w:cs="Times New Roman"/>
        </w:rPr>
        <w:t xml:space="preserve"> Elective Total Hip Replacement. </w:t>
      </w:r>
      <w:r w:rsidRPr="007472EE">
        <w:rPr>
          <w:rFonts w:ascii="Book Antiqua" w:hAnsi="Book Antiqua" w:cs="Times New Roman"/>
          <w:i/>
          <w:iCs/>
        </w:rPr>
        <w:t>JAMA</w:t>
      </w:r>
      <w:r w:rsidRPr="007472EE">
        <w:rPr>
          <w:rFonts w:ascii="Book Antiqua" w:hAnsi="Book Antiqua" w:cs="Times New Roman"/>
        </w:rPr>
        <w:t> 2015; </w:t>
      </w:r>
      <w:r w:rsidRPr="007472EE">
        <w:rPr>
          <w:rFonts w:ascii="Book Antiqua" w:hAnsi="Book Antiqua" w:cs="Times New Roman"/>
          <w:b/>
          <w:bCs/>
        </w:rPr>
        <w:t>314</w:t>
      </w:r>
      <w:r w:rsidRPr="007472EE">
        <w:rPr>
          <w:rFonts w:ascii="Book Antiqua" w:hAnsi="Book Antiqua" w:cs="Times New Roman"/>
        </w:rPr>
        <w:t>: 1159-1166 [PMID: 26372585 DOI: 10.1001/jama.2015.10842]</w:t>
      </w:r>
    </w:p>
    <w:p w14:paraId="73D18190" w14:textId="77777777" w:rsidR="009C2777" w:rsidRPr="009C2777" w:rsidRDefault="009C2777" w:rsidP="008E7BBF">
      <w:pPr>
        <w:pStyle w:val="ListParagraph"/>
        <w:numPr>
          <w:ilvl w:val="0"/>
          <w:numId w:val="2"/>
        </w:numPr>
        <w:spacing w:line="360" w:lineRule="auto"/>
        <w:ind w:left="426"/>
        <w:jc w:val="both"/>
        <w:rPr>
          <w:rFonts w:ascii="Book Antiqua" w:hAnsi="Book Antiqua" w:cs="Times New Roman"/>
        </w:rPr>
      </w:pPr>
      <w:proofErr w:type="spellStart"/>
      <w:r w:rsidRPr="009C2777">
        <w:rPr>
          <w:rFonts w:ascii="Book Antiqua" w:hAnsi="Book Antiqua" w:cs="Times New Roman"/>
          <w:b/>
          <w:bCs/>
        </w:rPr>
        <w:t>Ooi</w:t>
      </w:r>
      <w:proofErr w:type="spellEnd"/>
      <w:r w:rsidRPr="009C2777">
        <w:rPr>
          <w:rFonts w:ascii="Book Antiqua" w:hAnsi="Book Antiqua" w:cs="Times New Roman"/>
          <w:b/>
          <w:bCs/>
        </w:rPr>
        <w:t xml:space="preserve"> LH</w:t>
      </w:r>
      <w:r w:rsidRPr="009C2777">
        <w:rPr>
          <w:rFonts w:ascii="Book Antiqua" w:hAnsi="Book Antiqua" w:cs="Times New Roman"/>
        </w:rPr>
        <w:t xml:space="preserve">, Wong TH, </w:t>
      </w:r>
      <w:proofErr w:type="spellStart"/>
      <w:r w:rsidRPr="009C2777">
        <w:rPr>
          <w:rFonts w:ascii="Book Antiqua" w:hAnsi="Book Antiqua" w:cs="Times New Roman"/>
        </w:rPr>
        <w:t>Toh</w:t>
      </w:r>
      <w:proofErr w:type="spellEnd"/>
      <w:r w:rsidRPr="009C2777">
        <w:rPr>
          <w:rFonts w:ascii="Book Antiqua" w:hAnsi="Book Antiqua" w:cs="Times New Roman"/>
        </w:rPr>
        <w:t xml:space="preserve"> CL, Wong HP. Hip fractures in nonagenarians--a study on operative and non-operative management. </w:t>
      </w:r>
      <w:r w:rsidRPr="009C2777">
        <w:rPr>
          <w:rFonts w:ascii="Book Antiqua" w:hAnsi="Book Antiqua" w:cs="Times New Roman"/>
          <w:i/>
          <w:iCs/>
        </w:rPr>
        <w:t>Injury</w:t>
      </w:r>
      <w:r w:rsidRPr="009C2777">
        <w:rPr>
          <w:rFonts w:ascii="Book Antiqua" w:hAnsi="Book Antiqua" w:cs="Times New Roman"/>
        </w:rPr>
        <w:t> 2005; </w:t>
      </w:r>
      <w:r w:rsidRPr="009C2777">
        <w:rPr>
          <w:rFonts w:ascii="Book Antiqua" w:hAnsi="Book Antiqua" w:cs="Times New Roman"/>
          <w:b/>
          <w:bCs/>
        </w:rPr>
        <w:t>36</w:t>
      </w:r>
      <w:r w:rsidRPr="009C2777">
        <w:rPr>
          <w:rFonts w:ascii="Book Antiqua" w:hAnsi="Book Antiqua" w:cs="Times New Roman"/>
        </w:rPr>
        <w:t>: 142-147 [PMID: 15589932 DOI: 10.1016/j.injury.2004.05.030]</w:t>
      </w:r>
    </w:p>
    <w:p w14:paraId="476459FD" w14:textId="77777777" w:rsidR="007472EE" w:rsidRPr="007472EE" w:rsidRDefault="007472EE" w:rsidP="008E7BBF">
      <w:pPr>
        <w:pStyle w:val="ListParagraph"/>
        <w:numPr>
          <w:ilvl w:val="0"/>
          <w:numId w:val="2"/>
        </w:numPr>
        <w:spacing w:line="360" w:lineRule="auto"/>
        <w:ind w:left="426"/>
        <w:jc w:val="both"/>
        <w:rPr>
          <w:rFonts w:ascii="Book Antiqua" w:hAnsi="Book Antiqua" w:cs="Times New Roman"/>
        </w:rPr>
      </w:pPr>
      <w:proofErr w:type="spellStart"/>
      <w:r w:rsidRPr="007472EE">
        <w:rPr>
          <w:rFonts w:ascii="Book Antiqua" w:hAnsi="Book Antiqua" w:cs="Times New Roman"/>
          <w:b/>
          <w:bCs/>
        </w:rPr>
        <w:t>Sathiyakumar</w:t>
      </w:r>
      <w:proofErr w:type="spellEnd"/>
      <w:r w:rsidRPr="007472EE">
        <w:rPr>
          <w:rFonts w:ascii="Book Antiqua" w:hAnsi="Book Antiqua" w:cs="Times New Roman"/>
          <w:b/>
          <w:bCs/>
        </w:rPr>
        <w:t xml:space="preserve"> V</w:t>
      </w:r>
      <w:r w:rsidRPr="007472EE">
        <w:rPr>
          <w:rFonts w:ascii="Book Antiqua" w:hAnsi="Book Antiqua" w:cs="Times New Roman"/>
        </w:rPr>
        <w:t xml:space="preserve">, Greenberg SE, Molina CS, </w:t>
      </w:r>
      <w:proofErr w:type="spellStart"/>
      <w:r w:rsidRPr="007472EE">
        <w:rPr>
          <w:rFonts w:ascii="Book Antiqua" w:hAnsi="Book Antiqua" w:cs="Times New Roman"/>
        </w:rPr>
        <w:t>Thakore</w:t>
      </w:r>
      <w:proofErr w:type="spellEnd"/>
      <w:r w:rsidRPr="007472EE">
        <w:rPr>
          <w:rFonts w:ascii="Book Antiqua" w:hAnsi="Book Antiqua" w:cs="Times New Roman"/>
        </w:rPr>
        <w:t xml:space="preserve"> RV, </w:t>
      </w:r>
      <w:proofErr w:type="spellStart"/>
      <w:r w:rsidRPr="007472EE">
        <w:rPr>
          <w:rFonts w:ascii="Book Antiqua" w:hAnsi="Book Antiqua" w:cs="Times New Roman"/>
        </w:rPr>
        <w:t>Obremskey</w:t>
      </w:r>
      <w:proofErr w:type="spellEnd"/>
      <w:r w:rsidRPr="007472EE">
        <w:rPr>
          <w:rFonts w:ascii="Book Antiqua" w:hAnsi="Book Antiqua" w:cs="Times New Roman"/>
        </w:rPr>
        <w:t xml:space="preserve"> WT, </w:t>
      </w:r>
      <w:proofErr w:type="spellStart"/>
      <w:r w:rsidRPr="007472EE">
        <w:rPr>
          <w:rFonts w:ascii="Book Antiqua" w:hAnsi="Book Antiqua" w:cs="Times New Roman"/>
        </w:rPr>
        <w:t>Sethi</w:t>
      </w:r>
      <w:proofErr w:type="spellEnd"/>
      <w:r w:rsidRPr="007472EE">
        <w:rPr>
          <w:rFonts w:ascii="Book Antiqua" w:hAnsi="Book Antiqua" w:cs="Times New Roman"/>
        </w:rPr>
        <w:t xml:space="preserve"> MK. Hip fractures are risky business: an analysis of the NSQIP data. </w:t>
      </w:r>
      <w:r w:rsidRPr="007472EE">
        <w:rPr>
          <w:rFonts w:ascii="Book Antiqua" w:hAnsi="Book Antiqua" w:cs="Times New Roman"/>
          <w:i/>
          <w:iCs/>
        </w:rPr>
        <w:t>Injury</w:t>
      </w:r>
      <w:r w:rsidRPr="007472EE">
        <w:rPr>
          <w:rFonts w:ascii="Book Antiqua" w:hAnsi="Book Antiqua" w:cs="Times New Roman"/>
        </w:rPr>
        <w:t> 2015; </w:t>
      </w:r>
      <w:r w:rsidRPr="007472EE">
        <w:rPr>
          <w:rFonts w:ascii="Book Antiqua" w:hAnsi="Book Antiqua" w:cs="Times New Roman"/>
          <w:b/>
          <w:bCs/>
        </w:rPr>
        <w:t>46</w:t>
      </w:r>
      <w:r w:rsidRPr="007472EE">
        <w:rPr>
          <w:rFonts w:ascii="Book Antiqua" w:hAnsi="Book Antiqua" w:cs="Times New Roman"/>
        </w:rPr>
        <w:t>: 703-708 [PMID: 25457339 DOI: 10.1016/j.injury.2014.10.051]</w:t>
      </w:r>
    </w:p>
    <w:p w14:paraId="6FDD0F4E" w14:textId="77777777" w:rsidR="007472EE" w:rsidRPr="007472EE" w:rsidRDefault="007472EE" w:rsidP="008E7BBF">
      <w:pPr>
        <w:pStyle w:val="ListParagraph"/>
        <w:numPr>
          <w:ilvl w:val="0"/>
          <w:numId w:val="2"/>
        </w:numPr>
        <w:spacing w:line="360" w:lineRule="auto"/>
        <w:ind w:left="426"/>
        <w:jc w:val="both"/>
        <w:rPr>
          <w:rFonts w:ascii="Book Antiqua" w:hAnsi="Book Antiqua" w:cs="Times New Roman"/>
        </w:rPr>
      </w:pPr>
      <w:proofErr w:type="spellStart"/>
      <w:r w:rsidRPr="007472EE">
        <w:rPr>
          <w:rFonts w:ascii="Book Antiqua" w:hAnsi="Book Antiqua" w:cs="Times New Roman"/>
          <w:b/>
          <w:bCs/>
        </w:rPr>
        <w:t>Saager</w:t>
      </w:r>
      <w:proofErr w:type="spellEnd"/>
      <w:r w:rsidRPr="007472EE">
        <w:rPr>
          <w:rFonts w:ascii="Book Antiqua" w:hAnsi="Book Antiqua" w:cs="Times New Roman"/>
          <w:b/>
          <w:bCs/>
        </w:rPr>
        <w:t xml:space="preserve"> L</w:t>
      </w:r>
      <w:r w:rsidRPr="007472EE">
        <w:rPr>
          <w:rFonts w:ascii="Book Antiqua" w:hAnsi="Book Antiqua" w:cs="Times New Roman"/>
        </w:rPr>
        <w:t xml:space="preserve">, </w:t>
      </w:r>
      <w:proofErr w:type="spellStart"/>
      <w:r w:rsidRPr="007472EE">
        <w:rPr>
          <w:rFonts w:ascii="Book Antiqua" w:hAnsi="Book Antiqua" w:cs="Times New Roman"/>
        </w:rPr>
        <w:t>Kurz</w:t>
      </w:r>
      <w:proofErr w:type="spellEnd"/>
      <w:r w:rsidRPr="007472EE">
        <w:rPr>
          <w:rFonts w:ascii="Book Antiqua" w:hAnsi="Book Antiqua" w:cs="Times New Roman"/>
        </w:rPr>
        <w:t xml:space="preserve"> A, </w:t>
      </w:r>
      <w:proofErr w:type="spellStart"/>
      <w:r w:rsidRPr="007472EE">
        <w:rPr>
          <w:rFonts w:ascii="Book Antiqua" w:hAnsi="Book Antiqua" w:cs="Times New Roman"/>
        </w:rPr>
        <w:t>Deogaonkar</w:t>
      </w:r>
      <w:proofErr w:type="spellEnd"/>
      <w:r w:rsidRPr="007472EE">
        <w:rPr>
          <w:rFonts w:ascii="Book Antiqua" w:hAnsi="Book Antiqua" w:cs="Times New Roman"/>
        </w:rPr>
        <w:t xml:space="preserve"> A, You J, </w:t>
      </w:r>
      <w:proofErr w:type="spellStart"/>
      <w:r w:rsidRPr="007472EE">
        <w:rPr>
          <w:rFonts w:ascii="Book Antiqua" w:hAnsi="Book Antiqua" w:cs="Times New Roman"/>
        </w:rPr>
        <w:t>Mascha</w:t>
      </w:r>
      <w:proofErr w:type="spellEnd"/>
      <w:r w:rsidRPr="007472EE">
        <w:rPr>
          <w:rFonts w:ascii="Book Antiqua" w:hAnsi="Book Antiqua" w:cs="Times New Roman"/>
        </w:rPr>
        <w:t xml:space="preserve"> EJ, Jahan A, Turner PL, </w:t>
      </w:r>
      <w:proofErr w:type="spellStart"/>
      <w:r w:rsidRPr="007472EE">
        <w:rPr>
          <w:rFonts w:ascii="Book Antiqua" w:hAnsi="Book Antiqua" w:cs="Times New Roman"/>
        </w:rPr>
        <w:t>Sessler</w:t>
      </w:r>
      <w:proofErr w:type="spellEnd"/>
      <w:r w:rsidRPr="007472EE">
        <w:rPr>
          <w:rFonts w:ascii="Book Antiqua" w:hAnsi="Book Antiqua" w:cs="Times New Roman"/>
        </w:rPr>
        <w:t xml:space="preserve"> DI, </w:t>
      </w:r>
      <w:proofErr w:type="spellStart"/>
      <w:r w:rsidRPr="007472EE">
        <w:rPr>
          <w:rFonts w:ascii="Book Antiqua" w:hAnsi="Book Antiqua" w:cs="Times New Roman"/>
        </w:rPr>
        <w:t>Turan</w:t>
      </w:r>
      <w:proofErr w:type="spellEnd"/>
      <w:r w:rsidRPr="007472EE">
        <w:rPr>
          <w:rFonts w:ascii="Book Antiqua" w:hAnsi="Book Antiqua" w:cs="Times New Roman"/>
        </w:rPr>
        <w:t xml:space="preserve"> A. Pre-existing do-not-resuscitate orders are not associated with increased postoperative morbidity at 30 days in surgical patients. </w:t>
      </w:r>
      <w:proofErr w:type="spellStart"/>
      <w:r w:rsidRPr="007472EE">
        <w:rPr>
          <w:rFonts w:ascii="Book Antiqua" w:hAnsi="Book Antiqua" w:cs="Times New Roman"/>
          <w:i/>
          <w:iCs/>
        </w:rPr>
        <w:t>Crit</w:t>
      </w:r>
      <w:proofErr w:type="spellEnd"/>
      <w:r w:rsidRPr="007472EE">
        <w:rPr>
          <w:rFonts w:ascii="Book Antiqua" w:hAnsi="Book Antiqua" w:cs="Times New Roman"/>
          <w:i/>
          <w:iCs/>
        </w:rPr>
        <w:t xml:space="preserve"> Care Med</w:t>
      </w:r>
      <w:r w:rsidRPr="007472EE">
        <w:rPr>
          <w:rFonts w:ascii="Book Antiqua" w:hAnsi="Book Antiqua" w:cs="Times New Roman"/>
        </w:rPr>
        <w:t> 2011; </w:t>
      </w:r>
      <w:r w:rsidRPr="007472EE">
        <w:rPr>
          <w:rFonts w:ascii="Book Antiqua" w:hAnsi="Book Antiqua" w:cs="Times New Roman"/>
          <w:b/>
          <w:bCs/>
        </w:rPr>
        <w:t>39</w:t>
      </w:r>
      <w:r w:rsidRPr="007472EE">
        <w:rPr>
          <w:rFonts w:ascii="Book Antiqua" w:hAnsi="Book Antiqua" w:cs="Times New Roman"/>
        </w:rPr>
        <w:t>: 1036-1041 [PMID: 21336133 DOI: 10.1097/CCM.0b013e31820eb4fc]</w:t>
      </w:r>
    </w:p>
    <w:p w14:paraId="0EA11FB8" w14:textId="77777777" w:rsidR="009C2777" w:rsidRPr="009C2777" w:rsidRDefault="009C2777" w:rsidP="008E7BBF">
      <w:pPr>
        <w:pStyle w:val="ListParagraph"/>
        <w:numPr>
          <w:ilvl w:val="0"/>
          <w:numId w:val="2"/>
        </w:numPr>
        <w:spacing w:line="360" w:lineRule="auto"/>
        <w:ind w:left="426"/>
        <w:jc w:val="both"/>
        <w:rPr>
          <w:rFonts w:ascii="Book Antiqua" w:hAnsi="Book Antiqua" w:cs="Times New Roman"/>
        </w:rPr>
      </w:pPr>
      <w:bookmarkStart w:id="141" w:name="OLE_LINK1179"/>
      <w:bookmarkStart w:id="142" w:name="OLE_LINK1180"/>
      <w:r w:rsidRPr="009C2777">
        <w:rPr>
          <w:rFonts w:ascii="Book Antiqua" w:hAnsi="Book Antiqua" w:cs="Times New Roman"/>
          <w:b/>
          <w:bCs/>
        </w:rPr>
        <w:t>Scarborough JE</w:t>
      </w:r>
      <w:r w:rsidRPr="009C2777">
        <w:rPr>
          <w:rFonts w:ascii="Book Antiqua" w:hAnsi="Book Antiqua" w:cs="Times New Roman"/>
        </w:rPr>
        <w:t xml:space="preserve">, Pappas TN, Bennett KM, </w:t>
      </w:r>
      <w:proofErr w:type="spellStart"/>
      <w:r w:rsidRPr="009C2777">
        <w:rPr>
          <w:rFonts w:ascii="Book Antiqua" w:hAnsi="Book Antiqua" w:cs="Times New Roman"/>
        </w:rPr>
        <w:t>Lagoo-Deenadayalan</w:t>
      </w:r>
      <w:proofErr w:type="spellEnd"/>
      <w:r w:rsidRPr="009C2777">
        <w:rPr>
          <w:rFonts w:ascii="Book Antiqua" w:hAnsi="Book Antiqua" w:cs="Times New Roman"/>
        </w:rPr>
        <w:t xml:space="preserve"> S. Failure-to-pursue rescue: explaining excess mortality in elderly emergency general surgical patients with preexisting "do-not-resuscitate" orders. </w:t>
      </w:r>
      <w:r w:rsidRPr="009C2777">
        <w:rPr>
          <w:rFonts w:ascii="Book Antiqua" w:hAnsi="Book Antiqua" w:cs="Times New Roman"/>
          <w:i/>
          <w:iCs/>
        </w:rPr>
        <w:t xml:space="preserve">Ann </w:t>
      </w:r>
      <w:proofErr w:type="spellStart"/>
      <w:r w:rsidRPr="009C2777">
        <w:rPr>
          <w:rFonts w:ascii="Book Antiqua" w:hAnsi="Book Antiqua" w:cs="Times New Roman"/>
          <w:i/>
          <w:iCs/>
        </w:rPr>
        <w:t>Surg</w:t>
      </w:r>
      <w:proofErr w:type="spellEnd"/>
      <w:r w:rsidRPr="009C2777">
        <w:rPr>
          <w:rFonts w:ascii="Book Antiqua" w:hAnsi="Book Antiqua" w:cs="Times New Roman"/>
        </w:rPr>
        <w:t> 2012; </w:t>
      </w:r>
      <w:r w:rsidRPr="009C2777">
        <w:rPr>
          <w:rFonts w:ascii="Book Antiqua" w:hAnsi="Book Antiqua" w:cs="Times New Roman"/>
          <w:b/>
          <w:bCs/>
        </w:rPr>
        <w:t>256</w:t>
      </w:r>
      <w:r w:rsidRPr="009C2777">
        <w:rPr>
          <w:rFonts w:ascii="Book Antiqua" w:hAnsi="Book Antiqua" w:cs="Times New Roman"/>
        </w:rPr>
        <w:t>: 453-461 [PMID: 22868360 DOI: 10.1097/SLA.0b013e31826578fb]</w:t>
      </w:r>
    </w:p>
    <w:p w14:paraId="564A9D66" w14:textId="77777777" w:rsidR="009C2777" w:rsidRPr="009C2777" w:rsidRDefault="009C2777" w:rsidP="008E7BBF">
      <w:pPr>
        <w:pStyle w:val="ListParagraph"/>
        <w:numPr>
          <w:ilvl w:val="0"/>
          <w:numId w:val="2"/>
        </w:numPr>
        <w:spacing w:line="360" w:lineRule="auto"/>
        <w:ind w:left="426"/>
        <w:jc w:val="both"/>
        <w:rPr>
          <w:rFonts w:ascii="Book Antiqua" w:hAnsi="Book Antiqua" w:cs="Times New Roman"/>
        </w:rPr>
      </w:pPr>
      <w:proofErr w:type="spellStart"/>
      <w:r w:rsidRPr="009C2777">
        <w:rPr>
          <w:rFonts w:ascii="Book Antiqua" w:hAnsi="Book Antiqua" w:cs="Times New Roman"/>
          <w:b/>
          <w:bCs/>
        </w:rPr>
        <w:t>Shepardson</w:t>
      </w:r>
      <w:proofErr w:type="spellEnd"/>
      <w:r w:rsidRPr="009C2777">
        <w:rPr>
          <w:rFonts w:ascii="Book Antiqua" w:hAnsi="Book Antiqua" w:cs="Times New Roman"/>
          <w:b/>
          <w:bCs/>
        </w:rPr>
        <w:t xml:space="preserve"> LB</w:t>
      </w:r>
      <w:r w:rsidRPr="009C2777">
        <w:rPr>
          <w:rFonts w:ascii="Book Antiqua" w:hAnsi="Book Antiqua" w:cs="Times New Roman"/>
        </w:rPr>
        <w:t xml:space="preserve">, </w:t>
      </w:r>
      <w:proofErr w:type="spellStart"/>
      <w:r w:rsidRPr="009C2777">
        <w:rPr>
          <w:rFonts w:ascii="Book Antiqua" w:hAnsi="Book Antiqua" w:cs="Times New Roman"/>
        </w:rPr>
        <w:t>Youngner</w:t>
      </w:r>
      <w:proofErr w:type="spellEnd"/>
      <w:r w:rsidRPr="009C2777">
        <w:rPr>
          <w:rFonts w:ascii="Book Antiqua" w:hAnsi="Book Antiqua" w:cs="Times New Roman"/>
        </w:rPr>
        <w:t xml:space="preserve"> SJ, </w:t>
      </w:r>
      <w:proofErr w:type="spellStart"/>
      <w:r w:rsidRPr="009C2777">
        <w:rPr>
          <w:rFonts w:ascii="Book Antiqua" w:hAnsi="Book Antiqua" w:cs="Times New Roman"/>
        </w:rPr>
        <w:t>Speroff</w:t>
      </w:r>
      <w:proofErr w:type="spellEnd"/>
      <w:r w:rsidRPr="009C2777">
        <w:rPr>
          <w:rFonts w:ascii="Book Antiqua" w:hAnsi="Book Antiqua" w:cs="Times New Roman"/>
        </w:rPr>
        <w:t xml:space="preserve"> T, Rosenthal GE. Increased risk of death in patients with do-not-resuscitate orders. </w:t>
      </w:r>
      <w:r w:rsidRPr="009C2777">
        <w:rPr>
          <w:rFonts w:ascii="Book Antiqua" w:hAnsi="Book Antiqua" w:cs="Times New Roman"/>
          <w:i/>
          <w:iCs/>
        </w:rPr>
        <w:t>Med Care</w:t>
      </w:r>
      <w:r w:rsidRPr="009C2777">
        <w:rPr>
          <w:rFonts w:ascii="Book Antiqua" w:hAnsi="Book Antiqua" w:cs="Times New Roman"/>
        </w:rPr>
        <w:t> 1999; </w:t>
      </w:r>
      <w:r w:rsidRPr="009C2777">
        <w:rPr>
          <w:rFonts w:ascii="Book Antiqua" w:hAnsi="Book Antiqua" w:cs="Times New Roman"/>
          <w:b/>
          <w:bCs/>
        </w:rPr>
        <w:t>37</w:t>
      </w:r>
      <w:r w:rsidRPr="009C2777">
        <w:rPr>
          <w:rFonts w:ascii="Book Antiqua" w:hAnsi="Book Antiqua" w:cs="Times New Roman"/>
        </w:rPr>
        <w:t>: 727-737 [PMID: 10448716]</w:t>
      </w:r>
    </w:p>
    <w:bookmarkEnd w:id="141"/>
    <w:bookmarkEnd w:id="142"/>
    <w:p w14:paraId="07853DCE" w14:textId="77777777" w:rsidR="007472EE" w:rsidRPr="007472EE" w:rsidRDefault="007472EE" w:rsidP="008E7BBF">
      <w:pPr>
        <w:pStyle w:val="ListParagraph"/>
        <w:numPr>
          <w:ilvl w:val="0"/>
          <w:numId w:val="2"/>
        </w:numPr>
        <w:spacing w:line="360" w:lineRule="auto"/>
        <w:ind w:left="426"/>
        <w:jc w:val="both"/>
        <w:rPr>
          <w:rFonts w:ascii="Book Antiqua" w:hAnsi="Book Antiqua" w:cs="Times New Roman"/>
        </w:rPr>
      </w:pPr>
      <w:r w:rsidRPr="007472EE">
        <w:rPr>
          <w:rFonts w:ascii="Book Antiqua" w:hAnsi="Book Antiqua" w:cs="Times New Roman"/>
          <w:b/>
          <w:bCs/>
        </w:rPr>
        <w:t>Steinberg SM</w:t>
      </w:r>
      <w:r w:rsidRPr="007472EE">
        <w:rPr>
          <w:rFonts w:ascii="Book Antiqua" w:hAnsi="Book Antiqua" w:cs="Times New Roman"/>
        </w:rPr>
        <w:t xml:space="preserve">, </w:t>
      </w:r>
      <w:proofErr w:type="spellStart"/>
      <w:r w:rsidRPr="007472EE">
        <w:rPr>
          <w:rFonts w:ascii="Book Antiqua" w:hAnsi="Book Antiqua" w:cs="Times New Roman"/>
        </w:rPr>
        <w:t>Popa</w:t>
      </w:r>
      <w:proofErr w:type="spellEnd"/>
      <w:r w:rsidRPr="007472EE">
        <w:rPr>
          <w:rFonts w:ascii="Book Antiqua" w:hAnsi="Book Antiqua" w:cs="Times New Roman"/>
        </w:rPr>
        <w:t xml:space="preserve"> MR, </w:t>
      </w:r>
      <w:proofErr w:type="spellStart"/>
      <w:r w:rsidRPr="007472EE">
        <w:rPr>
          <w:rFonts w:ascii="Book Antiqua" w:hAnsi="Book Antiqua" w:cs="Times New Roman"/>
        </w:rPr>
        <w:t>Michalek</w:t>
      </w:r>
      <w:proofErr w:type="spellEnd"/>
      <w:r w:rsidRPr="007472EE">
        <w:rPr>
          <w:rFonts w:ascii="Book Antiqua" w:hAnsi="Book Antiqua" w:cs="Times New Roman"/>
        </w:rPr>
        <w:t xml:space="preserve"> JA, Bethel MJ, Ellison EC. Comparison of risk adjustment methodologies in surgical quality improvement. </w:t>
      </w:r>
      <w:r w:rsidRPr="007472EE">
        <w:rPr>
          <w:rFonts w:ascii="Book Antiqua" w:hAnsi="Book Antiqua" w:cs="Times New Roman"/>
          <w:i/>
          <w:iCs/>
        </w:rPr>
        <w:t>Surgery</w:t>
      </w:r>
      <w:r w:rsidRPr="007472EE">
        <w:rPr>
          <w:rFonts w:ascii="Book Antiqua" w:hAnsi="Book Antiqua" w:cs="Times New Roman"/>
        </w:rPr>
        <w:t> 2008; </w:t>
      </w:r>
      <w:r w:rsidRPr="007472EE">
        <w:rPr>
          <w:rFonts w:ascii="Book Antiqua" w:hAnsi="Book Antiqua" w:cs="Times New Roman"/>
          <w:b/>
          <w:bCs/>
        </w:rPr>
        <w:t>144</w:t>
      </w:r>
      <w:r w:rsidRPr="007472EE">
        <w:rPr>
          <w:rFonts w:ascii="Book Antiqua" w:hAnsi="Book Antiqua" w:cs="Times New Roman"/>
        </w:rPr>
        <w:t>: 662-7; discussion 662-7 [PMID: 18847652 DOI: 10.1016/j.surg.2008.06.010]</w:t>
      </w:r>
    </w:p>
    <w:p w14:paraId="1DA0C2F5" w14:textId="77777777" w:rsidR="007472EE" w:rsidRPr="007472EE" w:rsidRDefault="007472EE" w:rsidP="008E7BBF">
      <w:pPr>
        <w:pStyle w:val="ListParagraph"/>
        <w:numPr>
          <w:ilvl w:val="0"/>
          <w:numId w:val="2"/>
        </w:numPr>
        <w:spacing w:line="360" w:lineRule="auto"/>
        <w:ind w:left="426"/>
        <w:jc w:val="both"/>
        <w:rPr>
          <w:rFonts w:ascii="Book Antiqua" w:hAnsi="Book Antiqua" w:cs="Times New Roman"/>
        </w:rPr>
      </w:pPr>
      <w:r w:rsidRPr="007472EE">
        <w:rPr>
          <w:rFonts w:ascii="Book Antiqua" w:hAnsi="Book Antiqua" w:cs="Times New Roman"/>
          <w:b/>
          <w:bCs/>
        </w:rPr>
        <w:t>Yuen JK</w:t>
      </w:r>
      <w:r w:rsidRPr="007472EE">
        <w:rPr>
          <w:rFonts w:ascii="Book Antiqua" w:hAnsi="Book Antiqua" w:cs="Times New Roman"/>
        </w:rPr>
        <w:t>, Reid MC, Fetters MD. Hospital do-not-resuscitate orders: why they have failed and how to fix them. </w:t>
      </w:r>
      <w:r w:rsidRPr="007472EE">
        <w:rPr>
          <w:rFonts w:ascii="Book Antiqua" w:hAnsi="Book Antiqua" w:cs="Times New Roman"/>
          <w:i/>
          <w:iCs/>
        </w:rPr>
        <w:t>J Gen Intern Med</w:t>
      </w:r>
      <w:r w:rsidRPr="007472EE">
        <w:rPr>
          <w:rFonts w:ascii="Book Antiqua" w:hAnsi="Book Antiqua" w:cs="Times New Roman"/>
        </w:rPr>
        <w:t> 2011; </w:t>
      </w:r>
      <w:r w:rsidRPr="007472EE">
        <w:rPr>
          <w:rFonts w:ascii="Book Antiqua" w:hAnsi="Book Antiqua" w:cs="Times New Roman"/>
          <w:b/>
          <w:bCs/>
        </w:rPr>
        <w:t>26</w:t>
      </w:r>
      <w:r w:rsidRPr="007472EE">
        <w:rPr>
          <w:rFonts w:ascii="Book Antiqua" w:hAnsi="Book Antiqua" w:cs="Times New Roman"/>
        </w:rPr>
        <w:t>: 791-797 [PMID: 21286839 DOI: 10.1007/s11606-011-1632-x]</w:t>
      </w:r>
    </w:p>
    <w:p w14:paraId="3B63F08B" w14:textId="77777777" w:rsidR="007472EE" w:rsidRPr="007472EE" w:rsidRDefault="007472EE" w:rsidP="008E7BBF">
      <w:pPr>
        <w:pStyle w:val="ListParagraph"/>
        <w:numPr>
          <w:ilvl w:val="0"/>
          <w:numId w:val="2"/>
        </w:numPr>
        <w:spacing w:line="360" w:lineRule="auto"/>
        <w:ind w:left="426"/>
        <w:jc w:val="both"/>
        <w:rPr>
          <w:rFonts w:ascii="Book Antiqua" w:hAnsi="Book Antiqua" w:cs="Times New Roman"/>
        </w:rPr>
      </w:pPr>
      <w:proofErr w:type="spellStart"/>
      <w:r w:rsidRPr="007472EE">
        <w:rPr>
          <w:rFonts w:ascii="Book Antiqua" w:hAnsi="Book Antiqua" w:cs="Times New Roman"/>
          <w:b/>
          <w:bCs/>
        </w:rPr>
        <w:lastRenderedPageBreak/>
        <w:t>Schmolders</w:t>
      </w:r>
      <w:proofErr w:type="spellEnd"/>
      <w:r w:rsidRPr="007472EE">
        <w:rPr>
          <w:rFonts w:ascii="Book Antiqua" w:hAnsi="Book Antiqua" w:cs="Times New Roman"/>
          <w:b/>
          <w:bCs/>
        </w:rPr>
        <w:t xml:space="preserve"> J</w:t>
      </w:r>
      <w:r w:rsidRPr="007472EE">
        <w:rPr>
          <w:rFonts w:ascii="Book Antiqua" w:hAnsi="Book Antiqua" w:cs="Times New Roman"/>
        </w:rPr>
        <w:t xml:space="preserve">, Friedrich MJ, Michel R, Strauss AC, </w:t>
      </w:r>
      <w:proofErr w:type="spellStart"/>
      <w:r w:rsidRPr="007472EE">
        <w:rPr>
          <w:rFonts w:ascii="Book Antiqua" w:hAnsi="Book Antiqua" w:cs="Times New Roman"/>
        </w:rPr>
        <w:t>Wimmer</w:t>
      </w:r>
      <w:proofErr w:type="spellEnd"/>
      <w:r w:rsidRPr="007472EE">
        <w:rPr>
          <w:rFonts w:ascii="Book Antiqua" w:hAnsi="Book Antiqua" w:cs="Times New Roman"/>
        </w:rPr>
        <w:t xml:space="preserve"> MD, </w:t>
      </w:r>
      <w:proofErr w:type="spellStart"/>
      <w:r w:rsidRPr="007472EE">
        <w:rPr>
          <w:rFonts w:ascii="Book Antiqua" w:hAnsi="Book Antiqua" w:cs="Times New Roman"/>
        </w:rPr>
        <w:t>Randau</w:t>
      </w:r>
      <w:proofErr w:type="spellEnd"/>
      <w:r w:rsidRPr="007472EE">
        <w:rPr>
          <w:rFonts w:ascii="Book Antiqua" w:hAnsi="Book Antiqua" w:cs="Times New Roman"/>
        </w:rPr>
        <w:t xml:space="preserve"> TM, </w:t>
      </w:r>
      <w:proofErr w:type="spellStart"/>
      <w:r w:rsidRPr="007472EE">
        <w:rPr>
          <w:rFonts w:ascii="Book Antiqua" w:hAnsi="Book Antiqua" w:cs="Times New Roman"/>
        </w:rPr>
        <w:t>Pennekamp</w:t>
      </w:r>
      <w:proofErr w:type="spellEnd"/>
      <w:r w:rsidRPr="007472EE">
        <w:rPr>
          <w:rFonts w:ascii="Book Antiqua" w:hAnsi="Book Antiqua" w:cs="Times New Roman"/>
        </w:rPr>
        <w:t xml:space="preserve"> PH, </w:t>
      </w:r>
      <w:proofErr w:type="spellStart"/>
      <w:r w:rsidRPr="007472EE">
        <w:rPr>
          <w:rFonts w:ascii="Book Antiqua" w:hAnsi="Book Antiqua" w:cs="Times New Roman"/>
        </w:rPr>
        <w:t>Wirtz</w:t>
      </w:r>
      <w:proofErr w:type="spellEnd"/>
      <w:r w:rsidRPr="007472EE">
        <w:rPr>
          <w:rFonts w:ascii="Book Antiqua" w:hAnsi="Book Antiqua" w:cs="Times New Roman"/>
        </w:rPr>
        <w:t xml:space="preserve"> DC, </w:t>
      </w:r>
      <w:proofErr w:type="spellStart"/>
      <w:r w:rsidRPr="007472EE">
        <w:rPr>
          <w:rFonts w:ascii="Book Antiqua" w:hAnsi="Book Antiqua" w:cs="Times New Roman"/>
        </w:rPr>
        <w:t>Gravius</w:t>
      </w:r>
      <w:proofErr w:type="spellEnd"/>
      <w:r w:rsidRPr="007472EE">
        <w:rPr>
          <w:rFonts w:ascii="Book Antiqua" w:hAnsi="Book Antiqua" w:cs="Times New Roman"/>
        </w:rPr>
        <w:t xml:space="preserve"> S. Validation of the </w:t>
      </w:r>
      <w:proofErr w:type="spellStart"/>
      <w:r w:rsidRPr="007472EE">
        <w:rPr>
          <w:rFonts w:ascii="Book Antiqua" w:hAnsi="Book Antiqua" w:cs="Times New Roman"/>
        </w:rPr>
        <w:t>Charlson</w:t>
      </w:r>
      <w:proofErr w:type="spellEnd"/>
      <w:r w:rsidRPr="007472EE">
        <w:rPr>
          <w:rFonts w:ascii="Book Antiqua" w:hAnsi="Book Antiqua" w:cs="Times New Roman"/>
        </w:rPr>
        <w:t xml:space="preserve"> comorbidity index in patients undergoing revision total hip arthroplasty. </w:t>
      </w:r>
      <w:proofErr w:type="spellStart"/>
      <w:r w:rsidRPr="007472EE">
        <w:rPr>
          <w:rFonts w:ascii="Book Antiqua" w:hAnsi="Book Antiqua" w:cs="Times New Roman"/>
          <w:i/>
          <w:iCs/>
        </w:rPr>
        <w:t>Int</w:t>
      </w:r>
      <w:proofErr w:type="spellEnd"/>
      <w:r w:rsidRPr="007472EE">
        <w:rPr>
          <w:rFonts w:ascii="Book Antiqua" w:hAnsi="Book Antiqua" w:cs="Times New Roman"/>
          <w:i/>
          <w:iCs/>
        </w:rPr>
        <w:t xml:space="preserve"> </w:t>
      </w:r>
      <w:proofErr w:type="spellStart"/>
      <w:r w:rsidRPr="007472EE">
        <w:rPr>
          <w:rFonts w:ascii="Book Antiqua" w:hAnsi="Book Antiqua" w:cs="Times New Roman"/>
          <w:i/>
          <w:iCs/>
        </w:rPr>
        <w:t>Orthop</w:t>
      </w:r>
      <w:proofErr w:type="spellEnd"/>
      <w:r w:rsidRPr="007472EE">
        <w:rPr>
          <w:rFonts w:ascii="Book Antiqua" w:hAnsi="Book Antiqua" w:cs="Times New Roman"/>
        </w:rPr>
        <w:t> 2015; </w:t>
      </w:r>
      <w:r w:rsidRPr="007472EE">
        <w:rPr>
          <w:rFonts w:ascii="Book Antiqua" w:hAnsi="Book Antiqua" w:cs="Times New Roman"/>
          <w:b/>
          <w:bCs/>
        </w:rPr>
        <w:t>39</w:t>
      </w:r>
      <w:r w:rsidRPr="007472EE">
        <w:rPr>
          <w:rFonts w:ascii="Book Antiqua" w:hAnsi="Book Antiqua" w:cs="Times New Roman"/>
        </w:rPr>
        <w:t>: 1771-1777 [PMID: 26105762 DOI: 10.1007/s00264-015-2810-y]</w:t>
      </w:r>
    </w:p>
    <w:p w14:paraId="040FDF8A" w14:textId="77777777" w:rsidR="007472EE" w:rsidRPr="007472EE" w:rsidRDefault="007472EE" w:rsidP="008E7BBF">
      <w:pPr>
        <w:pStyle w:val="ListParagraph"/>
        <w:numPr>
          <w:ilvl w:val="0"/>
          <w:numId w:val="2"/>
        </w:numPr>
        <w:spacing w:line="360" w:lineRule="auto"/>
        <w:ind w:left="426"/>
        <w:jc w:val="both"/>
        <w:rPr>
          <w:rFonts w:ascii="Book Antiqua" w:hAnsi="Book Antiqua" w:cs="Times New Roman"/>
        </w:rPr>
      </w:pPr>
      <w:proofErr w:type="spellStart"/>
      <w:r w:rsidRPr="007472EE">
        <w:rPr>
          <w:rFonts w:ascii="Book Antiqua" w:hAnsi="Book Antiqua" w:cs="Times New Roman"/>
          <w:b/>
          <w:bCs/>
        </w:rPr>
        <w:t>Bannay</w:t>
      </w:r>
      <w:proofErr w:type="spellEnd"/>
      <w:r w:rsidRPr="007472EE">
        <w:rPr>
          <w:rFonts w:ascii="Book Antiqua" w:hAnsi="Book Antiqua" w:cs="Times New Roman"/>
          <w:b/>
          <w:bCs/>
        </w:rPr>
        <w:t xml:space="preserve"> A</w:t>
      </w:r>
      <w:r w:rsidRPr="007472EE">
        <w:rPr>
          <w:rFonts w:ascii="Book Antiqua" w:hAnsi="Book Antiqua" w:cs="Times New Roman"/>
        </w:rPr>
        <w:t xml:space="preserve">, </w:t>
      </w:r>
      <w:proofErr w:type="spellStart"/>
      <w:r w:rsidRPr="007472EE">
        <w:rPr>
          <w:rFonts w:ascii="Book Antiqua" w:hAnsi="Book Antiqua" w:cs="Times New Roman"/>
        </w:rPr>
        <w:t>Chaignot</w:t>
      </w:r>
      <w:proofErr w:type="spellEnd"/>
      <w:r w:rsidRPr="007472EE">
        <w:rPr>
          <w:rFonts w:ascii="Book Antiqua" w:hAnsi="Book Antiqua" w:cs="Times New Roman"/>
        </w:rPr>
        <w:t xml:space="preserve"> C, </w:t>
      </w:r>
      <w:proofErr w:type="spellStart"/>
      <w:r w:rsidRPr="007472EE">
        <w:rPr>
          <w:rFonts w:ascii="Book Antiqua" w:hAnsi="Book Antiqua" w:cs="Times New Roman"/>
        </w:rPr>
        <w:t>Blotière</w:t>
      </w:r>
      <w:proofErr w:type="spellEnd"/>
      <w:r w:rsidRPr="007472EE">
        <w:rPr>
          <w:rFonts w:ascii="Book Antiqua" w:hAnsi="Book Antiqua" w:cs="Times New Roman"/>
        </w:rPr>
        <w:t xml:space="preserve"> PO, </w:t>
      </w:r>
      <w:proofErr w:type="spellStart"/>
      <w:r w:rsidRPr="007472EE">
        <w:rPr>
          <w:rFonts w:ascii="Book Antiqua" w:hAnsi="Book Antiqua" w:cs="Times New Roman"/>
        </w:rPr>
        <w:t>Basson</w:t>
      </w:r>
      <w:proofErr w:type="spellEnd"/>
      <w:r w:rsidRPr="007472EE">
        <w:rPr>
          <w:rFonts w:ascii="Book Antiqua" w:hAnsi="Book Antiqua" w:cs="Times New Roman"/>
        </w:rPr>
        <w:t xml:space="preserve"> M, Weill A, </w:t>
      </w:r>
      <w:proofErr w:type="spellStart"/>
      <w:r w:rsidRPr="007472EE">
        <w:rPr>
          <w:rFonts w:ascii="Book Antiqua" w:hAnsi="Book Antiqua" w:cs="Times New Roman"/>
        </w:rPr>
        <w:t>Ricordeau</w:t>
      </w:r>
      <w:proofErr w:type="spellEnd"/>
      <w:r w:rsidRPr="007472EE">
        <w:rPr>
          <w:rFonts w:ascii="Book Antiqua" w:hAnsi="Book Antiqua" w:cs="Times New Roman"/>
        </w:rPr>
        <w:t xml:space="preserve"> P, </w:t>
      </w:r>
      <w:proofErr w:type="spellStart"/>
      <w:r w:rsidRPr="007472EE">
        <w:rPr>
          <w:rFonts w:ascii="Book Antiqua" w:hAnsi="Book Antiqua" w:cs="Times New Roman"/>
        </w:rPr>
        <w:t>Alla</w:t>
      </w:r>
      <w:proofErr w:type="spellEnd"/>
      <w:r w:rsidRPr="007472EE">
        <w:rPr>
          <w:rFonts w:ascii="Book Antiqua" w:hAnsi="Book Antiqua" w:cs="Times New Roman"/>
        </w:rPr>
        <w:t xml:space="preserve"> F. The Best Use of the </w:t>
      </w:r>
      <w:proofErr w:type="spellStart"/>
      <w:r w:rsidRPr="007472EE">
        <w:rPr>
          <w:rFonts w:ascii="Book Antiqua" w:hAnsi="Book Antiqua" w:cs="Times New Roman"/>
        </w:rPr>
        <w:t>Charlson</w:t>
      </w:r>
      <w:proofErr w:type="spellEnd"/>
      <w:r w:rsidRPr="007472EE">
        <w:rPr>
          <w:rFonts w:ascii="Book Antiqua" w:hAnsi="Book Antiqua" w:cs="Times New Roman"/>
        </w:rPr>
        <w:t xml:space="preserve"> Comorbidity Index </w:t>
      </w:r>
      <w:proofErr w:type="gramStart"/>
      <w:r w:rsidRPr="007472EE">
        <w:rPr>
          <w:rFonts w:ascii="Book Antiqua" w:hAnsi="Book Antiqua" w:cs="Times New Roman"/>
        </w:rPr>
        <w:t>With</w:t>
      </w:r>
      <w:proofErr w:type="gramEnd"/>
      <w:r w:rsidRPr="007472EE">
        <w:rPr>
          <w:rFonts w:ascii="Book Antiqua" w:hAnsi="Book Antiqua" w:cs="Times New Roman"/>
        </w:rPr>
        <w:t xml:space="preserve"> Electronic Health Care Database to Predict Mortality. </w:t>
      </w:r>
      <w:r w:rsidRPr="007472EE">
        <w:rPr>
          <w:rFonts w:ascii="Book Antiqua" w:hAnsi="Book Antiqua" w:cs="Times New Roman"/>
          <w:i/>
          <w:iCs/>
        </w:rPr>
        <w:t>Med Care</w:t>
      </w:r>
      <w:r w:rsidRPr="007472EE">
        <w:rPr>
          <w:rFonts w:ascii="Book Antiqua" w:hAnsi="Book Antiqua" w:cs="Times New Roman"/>
        </w:rPr>
        <w:t> 2016; </w:t>
      </w:r>
      <w:r w:rsidRPr="007472EE">
        <w:rPr>
          <w:rFonts w:ascii="Book Antiqua" w:hAnsi="Book Antiqua" w:cs="Times New Roman"/>
          <w:b/>
          <w:bCs/>
        </w:rPr>
        <w:t>54</w:t>
      </w:r>
      <w:r w:rsidRPr="007472EE">
        <w:rPr>
          <w:rFonts w:ascii="Book Antiqua" w:hAnsi="Book Antiqua" w:cs="Times New Roman"/>
        </w:rPr>
        <w:t>: 188-194 [PMID: 26683778 DOI: 10.1097/MLR.0000000000000471]</w:t>
      </w:r>
    </w:p>
    <w:p w14:paraId="6FFF58D8" w14:textId="77777777" w:rsidR="007472EE" w:rsidRPr="007472EE" w:rsidRDefault="007472EE" w:rsidP="008E7BBF">
      <w:pPr>
        <w:pStyle w:val="ListParagraph"/>
        <w:numPr>
          <w:ilvl w:val="0"/>
          <w:numId w:val="2"/>
        </w:numPr>
        <w:spacing w:line="360" w:lineRule="auto"/>
        <w:ind w:left="426"/>
        <w:jc w:val="both"/>
        <w:rPr>
          <w:rFonts w:ascii="Book Antiqua" w:hAnsi="Book Antiqua" w:cs="Times New Roman"/>
        </w:rPr>
      </w:pPr>
      <w:proofErr w:type="spellStart"/>
      <w:r w:rsidRPr="007472EE">
        <w:rPr>
          <w:rFonts w:ascii="Book Antiqua" w:hAnsi="Book Antiqua" w:cs="Times New Roman"/>
          <w:b/>
          <w:bCs/>
        </w:rPr>
        <w:t>Lakomkin</w:t>
      </w:r>
      <w:proofErr w:type="spellEnd"/>
      <w:r w:rsidRPr="007472EE">
        <w:rPr>
          <w:rFonts w:ascii="Book Antiqua" w:hAnsi="Book Antiqua" w:cs="Times New Roman"/>
          <w:b/>
          <w:bCs/>
        </w:rPr>
        <w:t xml:space="preserve"> N</w:t>
      </w:r>
      <w:r w:rsidRPr="007472EE">
        <w:rPr>
          <w:rFonts w:ascii="Book Antiqua" w:hAnsi="Book Antiqua" w:cs="Times New Roman"/>
        </w:rPr>
        <w:t xml:space="preserve">, </w:t>
      </w:r>
      <w:proofErr w:type="spellStart"/>
      <w:r w:rsidRPr="007472EE">
        <w:rPr>
          <w:rFonts w:ascii="Book Antiqua" w:hAnsi="Book Antiqua" w:cs="Times New Roman"/>
        </w:rPr>
        <w:t>Goz</w:t>
      </w:r>
      <w:proofErr w:type="spellEnd"/>
      <w:r w:rsidRPr="007472EE">
        <w:rPr>
          <w:rFonts w:ascii="Book Antiqua" w:hAnsi="Book Antiqua" w:cs="Times New Roman"/>
        </w:rPr>
        <w:t xml:space="preserve"> V, </w:t>
      </w:r>
      <w:proofErr w:type="spellStart"/>
      <w:r w:rsidRPr="007472EE">
        <w:rPr>
          <w:rFonts w:ascii="Book Antiqua" w:hAnsi="Book Antiqua" w:cs="Times New Roman"/>
        </w:rPr>
        <w:t>Lajam</w:t>
      </w:r>
      <w:proofErr w:type="spellEnd"/>
      <w:r w:rsidRPr="007472EE">
        <w:rPr>
          <w:rFonts w:ascii="Book Antiqua" w:hAnsi="Book Antiqua" w:cs="Times New Roman"/>
        </w:rPr>
        <w:t xml:space="preserve"> CM, </w:t>
      </w:r>
      <w:proofErr w:type="spellStart"/>
      <w:r w:rsidRPr="007472EE">
        <w:rPr>
          <w:rFonts w:ascii="Book Antiqua" w:hAnsi="Book Antiqua" w:cs="Times New Roman"/>
        </w:rPr>
        <w:t>Iorio</w:t>
      </w:r>
      <w:proofErr w:type="spellEnd"/>
      <w:r w:rsidRPr="007472EE">
        <w:rPr>
          <w:rFonts w:ascii="Book Antiqua" w:hAnsi="Book Antiqua" w:cs="Times New Roman"/>
        </w:rPr>
        <w:t xml:space="preserve"> R, Bosco JA 3rd. Higher Modified </w:t>
      </w:r>
      <w:proofErr w:type="spellStart"/>
      <w:r w:rsidRPr="007472EE">
        <w:rPr>
          <w:rFonts w:ascii="Book Antiqua" w:hAnsi="Book Antiqua" w:cs="Times New Roman"/>
        </w:rPr>
        <w:t>Charlson</w:t>
      </w:r>
      <w:proofErr w:type="spellEnd"/>
      <w:r w:rsidRPr="007472EE">
        <w:rPr>
          <w:rFonts w:ascii="Book Antiqua" w:hAnsi="Book Antiqua" w:cs="Times New Roman"/>
        </w:rPr>
        <w:t xml:space="preserve"> Index Scores Are Associated </w:t>
      </w:r>
      <w:proofErr w:type="gramStart"/>
      <w:r w:rsidRPr="007472EE">
        <w:rPr>
          <w:rFonts w:ascii="Book Antiqua" w:hAnsi="Book Antiqua" w:cs="Times New Roman"/>
        </w:rPr>
        <w:t>With</w:t>
      </w:r>
      <w:proofErr w:type="gramEnd"/>
      <w:r w:rsidRPr="007472EE">
        <w:rPr>
          <w:rFonts w:ascii="Book Antiqua" w:hAnsi="Book Antiqua" w:cs="Times New Roman"/>
        </w:rPr>
        <w:t xml:space="preserve"> Increased Incidence of Complications, Transfusion Events, and Length of Stay Following Revision Hip Arthroplasty. </w:t>
      </w:r>
      <w:r w:rsidRPr="007472EE">
        <w:rPr>
          <w:rFonts w:ascii="Book Antiqua" w:hAnsi="Book Antiqua" w:cs="Times New Roman"/>
          <w:i/>
          <w:iCs/>
        </w:rPr>
        <w:t>J Arthroplasty</w:t>
      </w:r>
      <w:r w:rsidRPr="007472EE">
        <w:rPr>
          <w:rFonts w:ascii="Book Antiqua" w:hAnsi="Book Antiqua" w:cs="Times New Roman"/>
        </w:rPr>
        <w:t> 2017; </w:t>
      </w:r>
      <w:r w:rsidRPr="007472EE">
        <w:rPr>
          <w:rFonts w:ascii="Book Antiqua" w:hAnsi="Book Antiqua" w:cs="Times New Roman"/>
          <w:b/>
          <w:bCs/>
        </w:rPr>
        <w:t>32</w:t>
      </w:r>
      <w:r w:rsidRPr="007472EE">
        <w:rPr>
          <w:rFonts w:ascii="Book Antiqua" w:hAnsi="Book Antiqua" w:cs="Times New Roman"/>
        </w:rPr>
        <w:t>: 1121-1124 [PMID: 28109762 DOI: 10.1016/j.arth.2016.11.014]</w:t>
      </w:r>
    </w:p>
    <w:p w14:paraId="32003AA6" w14:textId="77777777" w:rsidR="007472EE" w:rsidRPr="007472EE" w:rsidRDefault="007472EE" w:rsidP="008E7BBF">
      <w:pPr>
        <w:pStyle w:val="ListParagraph"/>
        <w:numPr>
          <w:ilvl w:val="0"/>
          <w:numId w:val="2"/>
        </w:numPr>
        <w:spacing w:line="360" w:lineRule="auto"/>
        <w:ind w:left="426"/>
        <w:jc w:val="both"/>
        <w:rPr>
          <w:rFonts w:ascii="Book Antiqua" w:hAnsi="Book Antiqua" w:cs="Times New Roman"/>
        </w:rPr>
      </w:pPr>
      <w:proofErr w:type="spellStart"/>
      <w:r w:rsidRPr="007472EE">
        <w:rPr>
          <w:rFonts w:ascii="Book Antiqua" w:hAnsi="Book Antiqua" w:cs="Times New Roman"/>
          <w:b/>
          <w:bCs/>
        </w:rPr>
        <w:t>Charlson</w:t>
      </w:r>
      <w:proofErr w:type="spellEnd"/>
      <w:r w:rsidRPr="007472EE">
        <w:rPr>
          <w:rFonts w:ascii="Book Antiqua" w:hAnsi="Book Antiqua" w:cs="Times New Roman"/>
          <w:b/>
          <w:bCs/>
        </w:rPr>
        <w:t xml:space="preserve"> ME</w:t>
      </w:r>
      <w:r w:rsidRPr="007472EE">
        <w:rPr>
          <w:rFonts w:ascii="Book Antiqua" w:hAnsi="Book Antiqua" w:cs="Times New Roman"/>
        </w:rPr>
        <w:t xml:space="preserve">, </w:t>
      </w:r>
      <w:proofErr w:type="spellStart"/>
      <w:r w:rsidRPr="007472EE">
        <w:rPr>
          <w:rFonts w:ascii="Book Antiqua" w:hAnsi="Book Antiqua" w:cs="Times New Roman"/>
        </w:rPr>
        <w:t>Pompei</w:t>
      </w:r>
      <w:proofErr w:type="spellEnd"/>
      <w:r w:rsidRPr="007472EE">
        <w:rPr>
          <w:rFonts w:ascii="Book Antiqua" w:hAnsi="Book Antiqua" w:cs="Times New Roman"/>
        </w:rPr>
        <w:t xml:space="preserve"> P, Ales KL, </w:t>
      </w:r>
      <w:proofErr w:type="spellStart"/>
      <w:r w:rsidRPr="007472EE">
        <w:rPr>
          <w:rFonts w:ascii="Book Antiqua" w:hAnsi="Book Antiqua" w:cs="Times New Roman"/>
        </w:rPr>
        <w:t>MacKenzie</w:t>
      </w:r>
      <w:proofErr w:type="spellEnd"/>
      <w:r w:rsidRPr="007472EE">
        <w:rPr>
          <w:rFonts w:ascii="Book Antiqua" w:hAnsi="Book Antiqua" w:cs="Times New Roman"/>
        </w:rPr>
        <w:t xml:space="preserve"> CR. A new method of classifying prognostic comorbidity in longitudinal studies: development and validation. </w:t>
      </w:r>
      <w:r w:rsidRPr="007472EE">
        <w:rPr>
          <w:rFonts w:ascii="Book Antiqua" w:hAnsi="Book Antiqua" w:cs="Times New Roman"/>
          <w:i/>
          <w:iCs/>
        </w:rPr>
        <w:t>J Chronic Dis</w:t>
      </w:r>
      <w:r w:rsidRPr="007472EE">
        <w:rPr>
          <w:rFonts w:ascii="Book Antiqua" w:hAnsi="Book Antiqua" w:cs="Times New Roman"/>
        </w:rPr>
        <w:t> 1987; </w:t>
      </w:r>
      <w:r w:rsidRPr="007472EE">
        <w:rPr>
          <w:rFonts w:ascii="Book Antiqua" w:hAnsi="Book Antiqua" w:cs="Times New Roman"/>
          <w:b/>
          <w:bCs/>
        </w:rPr>
        <w:t>40</w:t>
      </w:r>
      <w:r w:rsidRPr="007472EE">
        <w:rPr>
          <w:rFonts w:ascii="Book Antiqua" w:hAnsi="Book Antiqua" w:cs="Times New Roman"/>
        </w:rPr>
        <w:t>: 373-383 [PMID: 3558716 DOI: 10.1016/0021-9681(87)90171-8]</w:t>
      </w:r>
    </w:p>
    <w:p w14:paraId="4DD6C699" w14:textId="77777777" w:rsidR="007472EE" w:rsidRPr="007472EE" w:rsidRDefault="007472EE" w:rsidP="008E7BBF">
      <w:pPr>
        <w:pStyle w:val="ListParagraph"/>
        <w:numPr>
          <w:ilvl w:val="0"/>
          <w:numId w:val="2"/>
        </w:numPr>
        <w:spacing w:line="360" w:lineRule="auto"/>
        <w:ind w:left="426"/>
        <w:jc w:val="both"/>
        <w:rPr>
          <w:rFonts w:ascii="Book Antiqua" w:hAnsi="Book Antiqua" w:cs="Times New Roman"/>
        </w:rPr>
      </w:pPr>
      <w:r w:rsidRPr="007472EE">
        <w:rPr>
          <w:rFonts w:ascii="Book Antiqua" w:hAnsi="Book Antiqua" w:cs="Times New Roman"/>
          <w:b/>
          <w:bCs/>
        </w:rPr>
        <w:t>Rockwood K</w:t>
      </w:r>
      <w:r w:rsidRPr="007472EE">
        <w:rPr>
          <w:rFonts w:ascii="Book Antiqua" w:hAnsi="Book Antiqua" w:cs="Times New Roman"/>
        </w:rPr>
        <w:t xml:space="preserve">, Song X, </w:t>
      </w:r>
      <w:proofErr w:type="spellStart"/>
      <w:r w:rsidRPr="007472EE">
        <w:rPr>
          <w:rFonts w:ascii="Book Antiqua" w:hAnsi="Book Antiqua" w:cs="Times New Roman"/>
        </w:rPr>
        <w:t>MacKnight</w:t>
      </w:r>
      <w:proofErr w:type="spellEnd"/>
      <w:r w:rsidRPr="007472EE">
        <w:rPr>
          <w:rFonts w:ascii="Book Antiqua" w:hAnsi="Book Antiqua" w:cs="Times New Roman"/>
        </w:rPr>
        <w:t xml:space="preserve"> C, Bergman H, Hogan DB, McDowell I, </w:t>
      </w:r>
      <w:proofErr w:type="spellStart"/>
      <w:r w:rsidRPr="007472EE">
        <w:rPr>
          <w:rFonts w:ascii="Book Antiqua" w:hAnsi="Book Antiqua" w:cs="Times New Roman"/>
        </w:rPr>
        <w:t>Mitnitski</w:t>
      </w:r>
      <w:proofErr w:type="spellEnd"/>
      <w:r w:rsidRPr="007472EE">
        <w:rPr>
          <w:rFonts w:ascii="Book Antiqua" w:hAnsi="Book Antiqua" w:cs="Times New Roman"/>
        </w:rPr>
        <w:t xml:space="preserve"> A. A global clinical measure of fitness and frailty in elderly people. </w:t>
      </w:r>
      <w:r w:rsidRPr="007472EE">
        <w:rPr>
          <w:rFonts w:ascii="Book Antiqua" w:hAnsi="Book Antiqua" w:cs="Times New Roman"/>
          <w:i/>
          <w:iCs/>
        </w:rPr>
        <w:t>CMAJ</w:t>
      </w:r>
      <w:r w:rsidRPr="007472EE">
        <w:rPr>
          <w:rFonts w:ascii="Book Antiqua" w:hAnsi="Book Antiqua" w:cs="Times New Roman"/>
        </w:rPr>
        <w:t> 2005; </w:t>
      </w:r>
      <w:r w:rsidRPr="007472EE">
        <w:rPr>
          <w:rFonts w:ascii="Book Antiqua" w:hAnsi="Book Antiqua" w:cs="Times New Roman"/>
          <w:b/>
          <w:bCs/>
        </w:rPr>
        <w:t>173</w:t>
      </w:r>
      <w:r w:rsidRPr="007472EE">
        <w:rPr>
          <w:rFonts w:ascii="Book Antiqua" w:hAnsi="Book Antiqua" w:cs="Times New Roman"/>
        </w:rPr>
        <w:t>: 489-495 [PMID: 16129869 DOI: 10.1503/cmaj.050051]</w:t>
      </w:r>
    </w:p>
    <w:p w14:paraId="438DC2AF" w14:textId="77777777" w:rsidR="007472EE" w:rsidRPr="007472EE" w:rsidRDefault="007472EE" w:rsidP="008E7BBF">
      <w:pPr>
        <w:pStyle w:val="ListParagraph"/>
        <w:numPr>
          <w:ilvl w:val="0"/>
          <w:numId w:val="2"/>
        </w:numPr>
        <w:spacing w:line="360" w:lineRule="auto"/>
        <w:ind w:left="426"/>
        <w:jc w:val="both"/>
        <w:rPr>
          <w:rFonts w:ascii="Book Antiqua" w:hAnsi="Book Antiqua" w:cs="Times New Roman"/>
        </w:rPr>
      </w:pPr>
      <w:proofErr w:type="spellStart"/>
      <w:r w:rsidRPr="007472EE">
        <w:rPr>
          <w:rFonts w:ascii="Book Antiqua" w:hAnsi="Book Antiqua" w:cs="Times New Roman"/>
          <w:b/>
          <w:bCs/>
        </w:rPr>
        <w:t>Velanovich</w:t>
      </w:r>
      <w:proofErr w:type="spellEnd"/>
      <w:r w:rsidRPr="007472EE">
        <w:rPr>
          <w:rFonts w:ascii="Book Antiqua" w:hAnsi="Book Antiqua" w:cs="Times New Roman"/>
          <w:b/>
          <w:bCs/>
        </w:rPr>
        <w:t xml:space="preserve"> V</w:t>
      </w:r>
      <w:r w:rsidRPr="007472EE">
        <w:rPr>
          <w:rFonts w:ascii="Book Antiqua" w:hAnsi="Book Antiqua" w:cs="Times New Roman"/>
        </w:rPr>
        <w:t xml:space="preserve">, Antoine H, Swartz A, Peters D, </w:t>
      </w:r>
      <w:proofErr w:type="spellStart"/>
      <w:r w:rsidRPr="007472EE">
        <w:rPr>
          <w:rFonts w:ascii="Book Antiqua" w:hAnsi="Book Antiqua" w:cs="Times New Roman"/>
        </w:rPr>
        <w:t>Rubinfeld</w:t>
      </w:r>
      <w:proofErr w:type="spellEnd"/>
      <w:r w:rsidRPr="007472EE">
        <w:rPr>
          <w:rFonts w:ascii="Book Antiqua" w:hAnsi="Book Antiqua" w:cs="Times New Roman"/>
        </w:rPr>
        <w:t xml:space="preserve"> I. Accumulating deficits model of frailty and postoperative mortality and morbidity: its application to a national database. </w:t>
      </w:r>
      <w:r w:rsidRPr="007472EE">
        <w:rPr>
          <w:rFonts w:ascii="Book Antiqua" w:hAnsi="Book Antiqua" w:cs="Times New Roman"/>
          <w:i/>
          <w:iCs/>
        </w:rPr>
        <w:t xml:space="preserve">J </w:t>
      </w:r>
      <w:proofErr w:type="spellStart"/>
      <w:r w:rsidRPr="007472EE">
        <w:rPr>
          <w:rFonts w:ascii="Book Antiqua" w:hAnsi="Book Antiqua" w:cs="Times New Roman"/>
          <w:i/>
          <w:iCs/>
        </w:rPr>
        <w:t>Surg</w:t>
      </w:r>
      <w:proofErr w:type="spellEnd"/>
      <w:r w:rsidRPr="007472EE">
        <w:rPr>
          <w:rFonts w:ascii="Book Antiqua" w:hAnsi="Book Antiqua" w:cs="Times New Roman"/>
          <w:i/>
          <w:iCs/>
        </w:rPr>
        <w:t xml:space="preserve"> Res</w:t>
      </w:r>
      <w:r w:rsidRPr="007472EE">
        <w:rPr>
          <w:rFonts w:ascii="Book Antiqua" w:hAnsi="Book Antiqua" w:cs="Times New Roman"/>
        </w:rPr>
        <w:t> 2013; </w:t>
      </w:r>
      <w:r w:rsidRPr="007472EE">
        <w:rPr>
          <w:rFonts w:ascii="Book Antiqua" w:hAnsi="Book Antiqua" w:cs="Times New Roman"/>
          <w:b/>
          <w:bCs/>
        </w:rPr>
        <w:t>183</w:t>
      </w:r>
      <w:r w:rsidRPr="007472EE">
        <w:rPr>
          <w:rFonts w:ascii="Book Antiqua" w:hAnsi="Book Antiqua" w:cs="Times New Roman"/>
        </w:rPr>
        <w:t>: 104-110 [PMID: 23415494 DOI: 10.1016/j.jss.2013.01.021]</w:t>
      </w:r>
    </w:p>
    <w:p w14:paraId="30728B04" w14:textId="77777777" w:rsidR="00AD6039" w:rsidRDefault="00F572C8" w:rsidP="008E7BBF">
      <w:pPr>
        <w:pStyle w:val="ListParagraph"/>
        <w:numPr>
          <w:ilvl w:val="0"/>
          <w:numId w:val="2"/>
        </w:numPr>
        <w:spacing w:line="360" w:lineRule="auto"/>
        <w:ind w:left="426"/>
        <w:jc w:val="both"/>
        <w:rPr>
          <w:rFonts w:ascii="Book Antiqua" w:hAnsi="Book Antiqua" w:cs="Times New Roman"/>
        </w:rPr>
      </w:pPr>
      <w:r>
        <w:rPr>
          <w:rFonts w:ascii="Book Antiqua" w:hAnsi="Book Antiqua" w:cs="Times New Roman"/>
          <w:b/>
          <w:bCs/>
        </w:rPr>
        <w:t>American College of Surge</w:t>
      </w:r>
      <w:r w:rsidR="00AD6039">
        <w:rPr>
          <w:rFonts w:ascii="Book Antiqua" w:hAnsi="Book Antiqua" w:cs="Times New Roman"/>
          <w:b/>
          <w:bCs/>
        </w:rPr>
        <w:t>ons</w:t>
      </w:r>
      <w:r w:rsidR="00AD6039" w:rsidRPr="00AD6039">
        <w:rPr>
          <w:rFonts w:ascii="Book Antiqua" w:hAnsi="Book Antiqua" w:cs="Times New Roman"/>
        </w:rPr>
        <w:t>. Statement on advance directives by patients: "do not resuscitate" in the operating room. </w:t>
      </w:r>
      <w:r w:rsidR="00AD6039" w:rsidRPr="00AD6039">
        <w:rPr>
          <w:rFonts w:ascii="Book Antiqua" w:hAnsi="Book Antiqua" w:cs="Times New Roman"/>
          <w:i/>
          <w:iCs/>
        </w:rPr>
        <w:t xml:space="preserve">Bull Am </w:t>
      </w:r>
      <w:proofErr w:type="spellStart"/>
      <w:r w:rsidR="00AD6039" w:rsidRPr="00AD6039">
        <w:rPr>
          <w:rFonts w:ascii="Book Antiqua" w:hAnsi="Book Antiqua" w:cs="Times New Roman"/>
          <w:i/>
          <w:iCs/>
        </w:rPr>
        <w:t>Coll</w:t>
      </w:r>
      <w:proofErr w:type="spellEnd"/>
      <w:r w:rsidR="00AD6039" w:rsidRPr="00AD6039">
        <w:rPr>
          <w:rFonts w:ascii="Book Antiqua" w:hAnsi="Book Antiqua" w:cs="Times New Roman"/>
          <w:i/>
          <w:iCs/>
        </w:rPr>
        <w:t xml:space="preserve"> </w:t>
      </w:r>
      <w:proofErr w:type="spellStart"/>
      <w:r w:rsidR="00AD6039" w:rsidRPr="00AD6039">
        <w:rPr>
          <w:rFonts w:ascii="Book Antiqua" w:hAnsi="Book Antiqua" w:cs="Times New Roman"/>
          <w:i/>
          <w:iCs/>
        </w:rPr>
        <w:t>Surg</w:t>
      </w:r>
      <w:proofErr w:type="spellEnd"/>
      <w:r w:rsidR="00AD6039" w:rsidRPr="00AD6039">
        <w:rPr>
          <w:rFonts w:ascii="Book Antiqua" w:hAnsi="Book Antiqua" w:cs="Times New Roman"/>
        </w:rPr>
        <w:t> 2014; </w:t>
      </w:r>
      <w:r w:rsidR="00AD6039" w:rsidRPr="00AD6039">
        <w:rPr>
          <w:rFonts w:ascii="Book Antiqua" w:hAnsi="Book Antiqua" w:cs="Times New Roman"/>
          <w:b/>
          <w:bCs/>
        </w:rPr>
        <w:t>99</w:t>
      </w:r>
      <w:r w:rsidR="00AD6039" w:rsidRPr="00AD6039">
        <w:rPr>
          <w:rFonts w:ascii="Book Antiqua" w:hAnsi="Book Antiqua" w:cs="Times New Roman"/>
        </w:rPr>
        <w:t>: 42-43 [PMID: 24552029]</w:t>
      </w:r>
    </w:p>
    <w:p w14:paraId="354BF152" w14:textId="77777777" w:rsidR="00AD6039" w:rsidRPr="00AD6039" w:rsidRDefault="00AD6039" w:rsidP="008E7BBF">
      <w:pPr>
        <w:pStyle w:val="ListParagraph"/>
        <w:numPr>
          <w:ilvl w:val="0"/>
          <w:numId w:val="2"/>
        </w:numPr>
        <w:spacing w:line="360" w:lineRule="auto"/>
        <w:ind w:left="426"/>
        <w:jc w:val="both"/>
        <w:rPr>
          <w:rFonts w:ascii="Book Antiqua" w:hAnsi="Book Antiqua" w:cs="Times New Roman"/>
        </w:rPr>
      </w:pPr>
      <w:bookmarkStart w:id="143" w:name="OLE_LINK1185"/>
      <w:proofErr w:type="spellStart"/>
      <w:r w:rsidRPr="00AD6039">
        <w:rPr>
          <w:rFonts w:ascii="Book Antiqua" w:hAnsi="Book Antiqua" w:cs="Times New Roman"/>
          <w:b/>
          <w:bCs/>
        </w:rPr>
        <w:t>Kazaure</w:t>
      </w:r>
      <w:proofErr w:type="spellEnd"/>
      <w:r w:rsidRPr="00AD6039">
        <w:rPr>
          <w:rFonts w:ascii="Book Antiqua" w:hAnsi="Book Antiqua" w:cs="Times New Roman"/>
          <w:b/>
          <w:bCs/>
        </w:rPr>
        <w:t xml:space="preserve"> H</w:t>
      </w:r>
      <w:r w:rsidRPr="00AD6039">
        <w:rPr>
          <w:rFonts w:ascii="Book Antiqua" w:hAnsi="Book Antiqua" w:cs="Times New Roman"/>
        </w:rPr>
        <w:t>, Roman S, Sosa JA. High mortality in surgical patients with do-not-resuscitate orders: analysis of 8256 patients. </w:t>
      </w:r>
      <w:r w:rsidRPr="00AD6039">
        <w:rPr>
          <w:rFonts w:ascii="Book Antiqua" w:hAnsi="Book Antiqua" w:cs="Times New Roman"/>
          <w:i/>
          <w:iCs/>
        </w:rPr>
        <w:t xml:space="preserve">Arch </w:t>
      </w:r>
      <w:proofErr w:type="spellStart"/>
      <w:r w:rsidRPr="00AD6039">
        <w:rPr>
          <w:rFonts w:ascii="Book Antiqua" w:hAnsi="Book Antiqua" w:cs="Times New Roman"/>
          <w:i/>
          <w:iCs/>
        </w:rPr>
        <w:t>Surg</w:t>
      </w:r>
      <w:proofErr w:type="spellEnd"/>
      <w:r w:rsidRPr="00AD6039">
        <w:rPr>
          <w:rFonts w:ascii="Book Antiqua" w:hAnsi="Book Antiqua" w:cs="Times New Roman"/>
        </w:rPr>
        <w:t> 2011; </w:t>
      </w:r>
      <w:r w:rsidRPr="00AD6039">
        <w:rPr>
          <w:rFonts w:ascii="Book Antiqua" w:hAnsi="Book Antiqua" w:cs="Times New Roman"/>
          <w:b/>
          <w:bCs/>
        </w:rPr>
        <w:t>146</w:t>
      </w:r>
      <w:r w:rsidRPr="00AD6039">
        <w:rPr>
          <w:rFonts w:ascii="Book Antiqua" w:hAnsi="Book Antiqua" w:cs="Times New Roman"/>
        </w:rPr>
        <w:t>: 922-928 [PMID: 21502441 DOI: 10.1001/archsurg.2011.69]</w:t>
      </w:r>
    </w:p>
    <w:bookmarkEnd w:id="143"/>
    <w:p w14:paraId="3D759A9A" w14:textId="77777777" w:rsidR="007472EE" w:rsidRPr="007472EE" w:rsidRDefault="007472EE" w:rsidP="008E7BBF">
      <w:pPr>
        <w:pStyle w:val="ListParagraph"/>
        <w:numPr>
          <w:ilvl w:val="0"/>
          <w:numId w:val="2"/>
        </w:numPr>
        <w:spacing w:line="360" w:lineRule="auto"/>
        <w:ind w:left="426"/>
        <w:jc w:val="both"/>
        <w:rPr>
          <w:rFonts w:ascii="Book Antiqua" w:hAnsi="Book Antiqua" w:cs="Times New Roman"/>
        </w:rPr>
      </w:pPr>
      <w:r w:rsidRPr="007472EE">
        <w:rPr>
          <w:rFonts w:ascii="Book Antiqua" w:hAnsi="Book Antiqua" w:cs="Times New Roman"/>
          <w:b/>
          <w:bCs/>
        </w:rPr>
        <w:t>Aziz H</w:t>
      </w:r>
      <w:r w:rsidRPr="007472EE">
        <w:rPr>
          <w:rFonts w:ascii="Book Antiqua" w:hAnsi="Book Antiqua" w:cs="Times New Roman"/>
        </w:rPr>
        <w:t xml:space="preserve">, </w:t>
      </w:r>
      <w:proofErr w:type="spellStart"/>
      <w:r w:rsidRPr="007472EE">
        <w:rPr>
          <w:rFonts w:ascii="Book Antiqua" w:hAnsi="Book Antiqua" w:cs="Times New Roman"/>
        </w:rPr>
        <w:t>Branco</w:t>
      </w:r>
      <w:proofErr w:type="spellEnd"/>
      <w:r w:rsidRPr="007472EE">
        <w:rPr>
          <w:rFonts w:ascii="Book Antiqua" w:hAnsi="Book Antiqua" w:cs="Times New Roman"/>
        </w:rPr>
        <w:t xml:space="preserve"> BC, Braun J, Hughes JD, </w:t>
      </w:r>
      <w:proofErr w:type="spellStart"/>
      <w:r w:rsidRPr="007472EE">
        <w:rPr>
          <w:rFonts w:ascii="Book Antiqua" w:hAnsi="Book Antiqua" w:cs="Times New Roman"/>
        </w:rPr>
        <w:t>Goshima</w:t>
      </w:r>
      <w:proofErr w:type="spellEnd"/>
      <w:r w:rsidRPr="007472EE">
        <w:rPr>
          <w:rFonts w:ascii="Book Antiqua" w:hAnsi="Book Antiqua" w:cs="Times New Roman"/>
        </w:rPr>
        <w:t xml:space="preserve"> KR, Trinidad-Hernandez M, Hunter G, Mills JL Sr. The influence of do-not-resuscitate status on the outcomes </w:t>
      </w:r>
      <w:r w:rsidRPr="007472EE">
        <w:rPr>
          <w:rFonts w:ascii="Book Antiqua" w:hAnsi="Book Antiqua" w:cs="Times New Roman"/>
        </w:rPr>
        <w:lastRenderedPageBreak/>
        <w:t>of patients undergoing emergency vascular operations. </w:t>
      </w:r>
      <w:r w:rsidRPr="007472EE">
        <w:rPr>
          <w:rFonts w:ascii="Book Antiqua" w:hAnsi="Book Antiqua" w:cs="Times New Roman"/>
          <w:i/>
          <w:iCs/>
        </w:rPr>
        <w:t xml:space="preserve">J </w:t>
      </w:r>
      <w:proofErr w:type="spellStart"/>
      <w:r w:rsidRPr="007472EE">
        <w:rPr>
          <w:rFonts w:ascii="Book Antiqua" w:hAnsi="Book Antiqua" w:cs="Times New Roman"/>
          <w:i/>
          <w:iCs/>
        </w:rPr>
        <w:t>Vasc</w:t>
      </w:r>
      <w:proofErr w:type="spellEnd"/>
      <w:r w:rsidRPr="007472EE">
        <w:rPr>
          <w:rFonts w:ascii="Book Antiqua" w:hAnsi="Book Antiqua" w:cs="Times New Roman"/>
          <w:i/>
          <w:iCs/>
        </w:rPr>
        <w:t xml:space="preserve"> </w:t>
      </w:r>
      <w:proofErr w:type="spellStart"/>
      <w:r w:rsidRPr="007472EE">
        <w:rPr>
          <w:rFonts w:ascii="Book Antiqua" w:hAnsi="Book Antiqua" w:cs="Times New Roman"/>
          <w:i/>
          <w:iCs/>
        </w:rPr>
        <w:t>Surg</w:t>
      </w:r>
      <w:proofErr w:type="spellEnd"/>
      <w:r w:rsidRPr="007472EE">
        <w:rPr>
          <w:rFonts w:ascii="Book Antiqua" w:hAnsi="Book Antiqua" w:cs="Times New Roman"/>
        </w:rPr>
        <w:t> 2015; </w:t>
      </w:r>
      <w:r w:rsidRPr="007472EE">
        <w:rPr>
          <w:rFonts w:ascii="Book Antiqua" w:hAnsi="Book Antiqua" w:cs="Times New Roman"/>
          <w:b/>
          <w:bCs/>
        </w:rPr>
        <w:t>61</w:t>
      </w:r>
      <w:r w:rsidRPr="007472EE">
        <w:rPr>
          <w:rFonts w:ascii="Book Antiqua" w:hAnsi="Book Antiqua" w:cs="Times New Roman"/>
        </w:rPr>
        <w:t>: 1538-1542 [PMID: 25704406 DOI: 10.1016/j.jvs.2014.11.087]</w:t>
      </w:r>
    </w:p>
    <w:p w14:paraId="63B8C82E" w14:textId="77777777" w:rsidR="00AD6039" w:rsidRPr="00AD6039" w:rsidRDefault="00AD6039" w:rsidP="008E7BBF">
      <w:pPr>
        <w:pStyle w:val="ListParagraph"/>
        <w:numPr>
          <w:ilvl w:val="0"/>
          <w:numId w:val="2"/>
        </w:numPr>
        <w:spacing w:line="360" w:lineRule="auto"/>
        <w:ind w:left="426"/>
        <w:jc w:val="both"/>
        <w:rPr>
          <w:rFonts w:ascii="Book Antiqua" w:hAnsi="Book Antiqua" w:cs="Times New Roman"/>
        </w:rPr>
      </w:pPr>
      <w:r w:rsidRPr="00AD6039">
        <w:rPr>
          <w:rFonts w:ascii="Book Antiqua" w:hAnsi="Book Antiqua" w:cs="Times New Roman"/>
          <w:b/>
          <w:bCs/>
        </w:rPr>
        <w:t>Beverly A</w:t>
      </w:r>
      <w:r w:rsidRPr="00AD6039">
        <w:rPr>
          <w:rFonts w:ascii="Book Antiqua" w:hAnsi="Book Antiqua" w:cs="Times New Roman"/>
        </w:rPr>
        <w:t xml:space="preserve">, </w:t>
      </w:r>
      <w:proofErr w:type="spellStart"/>
      <w:r w:rsidRPr="00AD6039">
        <w:rPr>
          <w:rFonts w:ascii="Book Antiqua" w:hAnsi="Book Antiqua" w:cs="Times New Roman"/>
        </w:rPr>
        <w:t>Brovman</w:t>
      </w:r>
      <w:proofErr w:type="spellEnd"/>
      <w:r w:rsidRPr="00AD6039">
        <w:rPr>
          <w:rFonts w:ascii="Book Antiqua" w:hAnsi="Book Antiqua" w:cs="Times New Roman"/>
        </w:rPr>
        <w:t xml:space="preserve"> EY, </w:t>
      </w:r>
      <w:proofErr w:type="spellStart"/>
      <w:r w:rsidRPr="00AD6039">
        <w:rPr>
          <w:rFonts w:ascii="Book Antiqua" w:hAnsi="Book Antiqua" w:cs="Times New Roman"/>
        </w:rPr>
        <w:t>Urman</w:t>
      </w:r>
      <w:proofErr w:type="spellEnd"/>
      <w:r w:rsidRPr="00AD6039">
        <w:rPr>
          <w:rFonts w:ascii="Book Antiqua" w:hAnsi="Book Antiqua" w:cs="Times New Roman"/>
        </w:rPr>
        <w:t xml:space="preserve"> RD. Comparison of Postoperative Outcomes in Elderly Patients </w:t>
      </w:r>
      <w:proofErr w:type="gramStart"/>
      <w:r w:rsidRPr="00AD6039">
        <w:rPr>
          <w:rFonts w:ascii="Book Antiqua" w:hAnsi="Book Antiqua" w:cs="Times New Roman"/>
        </w:rPr>
        <w:t>With</w:t>
      </w:r>
      <w:proofErr w:type="gramEnd"/>
      <w:r w:rsidRPr="00AD6039">
        <w:rPr>
          <w:rFonts w:ascii="Book Antiqua" w:hAnsi="Book Antiqua" w:cs="Times New Roman"/>
        </w:rPr>
        <w:t xml:space="preserve"> a Do-Not-Resuscitate Order Undergoing Elective and </w:t>
      </w:r>
      <w:proofErr w:type="spellStart"/>
      <w:r w:rsidRPr="00AD6039">
        <w:rPr>
          <w:rFonts w:ascii="Book Antiqua" w:hAnsi="Book Antiqua" w:cs="Times New Roman"/>
        </w:rPr>
        <w:t>Nonelective</w:t>
      </w:r>
      <w:proofErr w:type="spellEnd"/>
      <w:r w:rsidRPr="00AD6039">
        <w:rPr>
          <w:rFonts w:ascii="Book Antiqua" w:hAnsi="Book Antiqua" w:cs="Times New Roman"/>
        </w:rPr>
        <w:t xml:space="preserve"> Hip Surgery. </w:t>
      </w:r>
      <w:proofErr w:type="spellStart"/>
      <w:r w:rsidRPr="00AD6039">
        <w:rPr>
          <w:rFonts w:ascii="Book Antiqua" w:hAnsi="Book Antiqua" w:cs="Times New Roman"/>
          <w:i/>
          <w:iCs/>
        </w:rPr>
        <w:t>Geriatr</w:t>
      </w:r>
      <w:proofErr w:type="spellEnd"/>
      <w:r w:rsidRPr="00AD6039">
        <w:rPr>
          <w:rFonts w:ascii="Book Antiqua" w:hAnsi="Book Antiqua" w:cs="Times New Roman"/>
          <w:i/>
          <w:iCs/>
        </w:rPr>
        <w:t xml:space="preserve"> </w:t>
      </w:r>
      <w:proofErr w:type="spellStart"/>
      <w:r w:rsidRPr="00AD6039">
        <w:rPr>
          <w:rFonts w:ascii="Book Antiqua" w:hAnsi="Book Antiqua" w:cs="Times New Roman"/>
          <w:i/>
          <w:iCs/>
        </w:rPr>
        <w:t>Orthop</w:t>
      </w:r>
      <w:proofErr w:type="spellEnd"/>
      <w:r w:rsidRPr="00AD6039">
        <w:rPr>
          <w:rFonts w:ascii="Book Antiqua" w:hAnsi="Book Antiqua" w:cs="Times New Roman"/>
          <w:i/>
          <w:iCs/>
        </w:rPr>
        <w:t xml:space="preserve"> </w:t>
      </w:r>
      <w:proofErr w:type="spellStart"/>
      <w:r w:rsidRPr="00AD6039">
        <w:rPr>
          <w:rFonts w:ascii="Book Antiqua" w:hAnsi="Book Antiqua" w:cs="Times New Roman"/>
          <w:i/>
          <w:iCs/>
        </w:rPr>
        <w:t>Surg</w:t>
      </w:r>
      <w:proofErr w:type="spellEnd"/>
      <w:r w:rsidRPr="00AD6039">
        <w:rPr>
          <w:rFonts w:ascii="Book Antiqua" w:hAnsi="Book Antiqua" w:cs="Times New Roman"/>
          <w:i/>
          <w:iCs/>
        </w:rPr>
        <w:t xml:space="preserve"> </w:t>
      </w:r>
      <w:proofErr w:type="spellStart"/>
      <w:r w:rsidRPr="00AD6039">
        <w:rPr>
          <w:rFonts w:ascii="Book Antiqua" w:hAnsi="Book Antiqua" w:cs="Times New Roman"/>
          <w:i/>
          <w:iCs/>
        </w:rPr>
        <w:t>Rehabil</w:t>
      </w:r>
      <w:proofErr w:type="spellEnd"/>
      <w:r w:rsidRPr="00AD6039">
        <w:rPr>
          <w:rFonts w:ascii="Book Antiqua" w:hAnsi="Book Antiqua" w:cs="Times New Roman"/>
        </w:rPr>
        <w:t> 2017; </w:t>
      </w:r>
      <w:r w:rsidRPr="00AD6039">
        <w:rPr>
          <w:rFonts w:ascii="Book Antiqua" w:hAnsi="Book Antiqua" w:cs="Times New Roman"/>
          <w:b/>
          <w:bCs/>
        </w:rPr>
        <w:t>8</w:t>
      </w:r>
      <w:r w:rsidRPr="00AD6039">
        <w:rPr>
          <w:rFonts w:ascii="Book Antiqua" w:hAnsi="Book Antiqua" w:cs="Times New Roman"/>
        </w:rPr>
        <w:t>: 78-86 [PMID: 28540112 DOI: 10.1177/2151458516685826]</w:t>
      </w:r>
    </w:p>
    <w:p w14:paraId="42E47C6E" w14:textId="77777777" w:rsidR="007472EE" w:rsidRPr="007472EE" w:rsidRDefault="007472EE" w:rsidP="008E7BBF">
      <w:pPr>
        <w:pStyle w:val="ListParagraph"/>
        <w:numPr>
          <w:ilvl w:val="0"/>
          <w:numId w:val="2"/>
        </w:numPr>
        <w:spacing w:line="360" w:lineRule="auto"/>
        <w:ind w:left="426"/>
        <w:jc w:val="both"/>
        <w:rPr>
          <w:rFonts w:ascii="Book Antiqua" w:hAnsi="Book Antiqua" w:cs="Times New Roman"/>
        </w:rPr>
      </w:pPr>
      <w:r w:rsidRPr="007472EE">
        <w:rPr>
          <w:rFonts w:ascii="Book Antiqua" w:hAnsi="Book Antiqua" w:cs="Times New Roman"/>
          <w:b/>
          <w:bCs/>
        </w:rPr>
        <w:t>Abad-</w:t>
      </w:r>
      <w:proofErr w:type="spellStart"/>
      <w:r w:rsidRPr="007472EE">
        <w:rPr>
          <w:rFonts w:ascii="Book Antiqua" w:hAnsi="Book Antiqua" w:cs="Times New Roman"/>
          <w:b/>
          <w:bCs/>
        </w:rPr>
        <w:t>Díez</w:t>
      </w:r>
      <w:proofErr w:type="spellEnd"/>
      <w:r w:rsidRPr="007472EE">
        <w:rPr>
          <w:rFonts w:ascii="Book Antiqua" w:hAnsi="Book Antiqua" w:cs="Times New Roman"/>
          <w:b/>
          <w:bCs/>
        </w:rPr>
        <w:t xml:space="preserve"> JM</w:t>
      </w:r>
      <w:r w:rsidRPr="007472EE">
        <w:rPr>
          <w:rFonts w:ascii="Book Antiqua" w:hAnsi="Book Antiqua" w:cs="Times New Roman"/>
        </w:rPr>
        <w:t xml:space="preserve">, </w:t>
      </w:r>
      <w:proofErr w:type="spellStart"/>
      <w:r w:rsidRPr="007472EE">
        <w:rPr>
          <w:rFonts w:ascii="Book Antiqua" w:hAnsi="Book Antiqua" w:cs="Times New Roman"/>
        </w:rPr>
        <w:t>Calderón-Larrañaga</w:t>
      </w:r>
      <w:proofErr w:type="spellEnd"/>
      <w:r w:rsidRPr="007472EE">
        <w:rPr>
          <w:rFonts w:ascii="Book Antiqua" w:hAnsi="Book Antiqua" w:cs="Times New Roman"/>
        </w:rPr>
        <w:t xml:space="preserve"> A, </w:t>
      </w:r>
      <w:proofErr w:type="spellStart"/>
      <w:r w:rsidRPr="007472EE">
        <w:rPr>
          <w:rFonts w:ascii="Book Antiqua" w:hAnsi="Book Antiqua" w:cs="Times New Roman"/>
        </w:rPr>
        <w:t>Poncel-Falcó</w:t>
      </w:r>
      <w:proofErr w:type="spellEnd"/>
      <w:r w:rsidRPr="007472EE">
        <w:rPr>
          <w:rFonts w:ascii="Book Antiqua" w:hAnsi="Book Antiqua" w:cs="Times New Roman"/>
        </w:rPr>
        <w:t xml:space="preserve"> A, </w:t>
      </w:r>
      <w:proofErr w:type="spellStart"/>
      <w:r w:rsidRPr="007472EE">
        <w:rPr>
          <w:rFonts w:ascii="Book Antiqua" w:hAnsi="Book Antiqua" w:cs="Times New Roman"/>
        </w:rPr>
        <w:t>Poblador-Plou</w:t>
      </w:r>
      <w:proofErr w:type="spellEnd"/>
      <w:r w:rsidRPr="007472EE">
        <w:rPr>
          <w:rFonts w:ascii="Book Antiqua" w:hAnsi="Book Antiqua" w:cs="Times New Roman"/>
        </w:rPr>
        <w:t xml:space="preserve"> B, </w:t>
      </w:r>
      <w:proofErr w:type="spellStart"/>
      <w:r w:rsidRPr="007472EE">
        <w:rPr>
          <w:rFonts w:ascii="Book Antiqua" w:hAnsi="Book Antiqua" w:cs="Times New Roman"/>
        </w:rPr>
        <w:t>Calderón</w:t>
      </w:r>
      <w:proofErr w:type="spellEnd"/>
      <w:r w:rsidRPr="007472EE">
        <w:rPr>
          <w:rFonts w:ascii="Book Antiqua" w:hAnsi="Book Antiqua" w:cs="Times New Roman"/>
        </w:rPr>
        <w:t xml:space="preserve">-Meza JM, </w:t>
      </w:r>
      <w:proofErr w:type="spellStart"/>
      <w:r w:rsidRPr="007472EE">
        <w:rPr>
          <w:rFonts w:ascii="Book Antiqua" w:hAnsi="Book Antiqua" w:cs="Times New Roman"/>
        </w:rPr>
        <w:t>Sicras-Mainar</w:t>
      </w:r>
      <w:proofErr w:type="spellEnd"/>
      <w:r w:rsidRPr="007472EE">
        <w:rPr>
          <w:rFonts w:ascii="Book Antiqua" w:hAnsi="Book Antiqua" w:cs="Times New Roman"/>
        </w:rPr>
        <w:t xml:space="preserve"> A, </w:t>
      </w:r>
      <w:proofErr w:type="spellStart"/>
      <w:r w:rsidRPr="007472EE">
        <w:rPr>
          <w:rFonts w:ascii="Book Antiqua" w:hAnsi="Book Antiqua" w:cs="Times New Roman"/>
        </w:rPr>
        <w:t>Clerencia</w:t>
      </w:r>
      <w:proofErr w:type="spellEnd"/>
      <w:r w:rsidRPr="007472EE">
        <w:rPr>
          <w:rFonts w:ascii="Book Antiqua" w:hAnsi="Book Antiqua" w:cs="Times New Roman"/>
        </w:rPr>
        <w:t xml:space="preserve">-Sierra M, </w:t>
      </w:r>
      <w:proofErr w:type="spellStart"/>
      <w:r w:rsidRPr="007472EE">
        <w:rPr>
          <w:rFonts w:ascii="Book Antiqua" w:hAnsi="Book Antiqua" w:cs="Times New Roman"/>
        </w:rPr>
        <w:t>Prados</w:t>
      </w:r>
      <w:proofErr w:type="spellEnd"/>
      <w:r w:rsidRPr="007472EE">
        <w:rPr>
          <w:rFonts w:ascii="Book Antiqua" w:hAnsi="Book Antiqua" w:cs="Times New Roman"/>
        </w:rPr>
        <w:t xml:space="preserve">-Torres A. Age and gender differences in the prevalence and patterns of </w:t>
      </w:r>
      <w:proofErr w:type="spellStart"/>
      <w:r w:rsidRPr="007472EE">
        <w:rPr>
          <w:rFonts w:ascii="Book Antiqua" w:hAnsi="Book Antiqua" w:cs="Times New Roman"/>
        </w:rPr>
        <w:t>multimorbidity</w:t>
      </w:r>
      <w:proofErr w:type="spellEnd"/>
      <w:r w:rsidRPr="007472EE">
        <w:rPr>
          <w:rFonts w:ascii="Book Antiqua" w:hAnsi="Book Antiqua" w:cs="Times New Roman"/>
        </w:rPr>
        <w:t xml:space="preserve"> in the older population. </w:t>
      </w:r>
      <w:r w:rsidRPr="007472EE">
        <w:rPr>
          <w:rFonts w:ascii="Book Antiqua" w:hAnsi="Book Antiqua" w:cs="Times New Roman"/>
          <w:i/>
          <w:iCs/>
        </w:rPr>
        <w:t xml:space="preserve">BMC </w:t>
      </w:r>
      <w:proofErr w:type="spellStart"/>
      <w:r w:rsidRPr="007472EE">
        <w:rPr>
          <w:rFonts w:ascii="Book Antiqua" w:hAnsi="Book Antiqua" w:cs="Times New Roman"/>
          <w:i/>
          <w:iCs/>
        </w:rPr>
        <w:t>Geriatr</w:t>
      </w:r>
      <w:proofErr w:type="spellEnd"/>
      <w:r w:rsidRPr="007472EE">
        <w:rPr>
          <w:rFonts w:ascii="Book Antiqua" w:hAnsi="Book Antiqua" w:cs="Times New Roman"/>
        </w:rPr>
        <w:t> 2014; </w:t>
      </w:r>
      <w:r w:rsidRPr="007472EE">
        <w:rPr>
          <w:rFonts w:ascii="Book Antiqua" w:hAnsi="Book Antiqua" w:cs="Times New Roman"/>
          <w:b/>
          <w:bCs/>
        </w:rPr>
        <w:t>14</w:t>
      </w:r>
      <w:r w:rsidRPr="007472EE">
        <w:rPr>
          <w:rFonts w:ascii="Book Antiqua" w:hAnsi="Book Antiqua" w:cs="Times New Roman"/>
        </w:rPr>
        <w:t>: 75 [PMID: 24934411 DOI: 10.1186/1471-2318-14-75]</w:t>
      </w:r>
    </w:p>
    <w:p w14:paraId="52865B21" w14:textId="54BDC021" w:rsidR="007472EE" w:rsidRPr="007472EE" w:rsidRDefault="007472EE" w:rsidP="008E7BBF">
      <w:pPr>
        <w:pStyle w:val="ListParagraph"/>
        <w:numPr>
          <w:ilvl w:val="0"/>
          <w:numId w:val="2"/>
        </w:numPr>
        <w:spacing w:line="360" w:lineRule="auto"/>
        <w:ind w:left="426"/>
        <w:jc w:val="both"/>
        <w:rPr>
          <w:rFonts w:ascii="Book Antiqua" w:hAnsi="Book Antiqua" w:cs="Times New Roman"/>
        </w:rPr>
      </w:pPr>
      <w:proofErr w:type="spellStart"/>
      <w:r w:rsidRPr="007472EE">
        <w:rPr>
          <w:rFonts w:ascii="Book Antiqua" w:hAnsi="Book Antiqua" w:cs="Times New Roman"/>
          <w:b/>
          <w:bCs/>
        </w:rPr>
        <w:t>Mandels</w:t>
      </w:r>
      <w:proofErr w:type="spellEnd"/>
      <w:r w:rsidRPr="007472EE">
        <w:rPr>
          <w:rFonts w:ascii="Book Antiqua" w:hAnsi="Book Antiqua" w:cs="Times New Roman"/>
          <w:b/>
          <w:bCs/>
        </w:rPr>
        <w:t xml:space="preserve"> M</w:t>
      </w:r>
      <w:r w:rsidRPr="007472EE">
        <w:rPr>
          <w:rFonts w:ascii="Book Antiqua" w:hAnsi="Book Antiqua" w:cs="Times New Roman"/>
        </w:rPr>
        <w:t xml:space="preserve">. Microbial sources of </w:t>
      </w:r>
      <w:proofErr w:type="spellStart"/>
      <w:r w:rsidRPr="007472EE">
        <w:rPr>
          <w:rFonts w:ascii="Book Antiqua" w:hAnsi="Book Antiqua" w:cs="Times New Roman"/>
        </w:rPr>
        <w:t>cellulase</w:t>
      </w:r>
      <w:proofErr w:type="spellEnd"/>
      <w:r w:rsidRPr="007472EE">
        <w:rPr>
          <w:rFonts w:ascii="Book Antiqua" w:hAnsi="Book Antiqua" w:cs="Times New Roman"/>
        </w:rPr>
        <w:t>. </w:t>
      </w:r>
      <w:proofErr w:type="spellStart"/>
      <w:r w:rsidRPr="007472EE">
        <w:rPr>
          <w:rFonts w:ascii="Book Antiqua" w:hAnsi="Book Antiqua" w:cs="Times New Roman"/>
          <w:i/>
          <w:iCs/>
        </w:rPr>
        <w:t>Biotechnol</w:t>
      </w:r>
      <w:proofErr w:type="spellEnd"/>
      <w:r w:rsidRPr="007472EE">
        <w:rPr>
          <w:rFonts w:ascii="Book Antiqua" w:hAnsi="Book Antiqua" w:cs="Times New Roman"/>
          <w:i/>
          <w:iCs/>
        </w:rPr>
        <w:t xml:space="preserve"> </w:t>
      </w:r>
      <w:proofErr w:type="spellStart"/>
      <w:r w:rsidRPr="007472EE">
        <w:rPr>
          <w:rFonts w:ascii="Book Antiqua" w:hAnsi="Book Antiqua" w:cs="Times New Roman"/>
          <w:i/>
          <w:iCs/>
        </w:rPr>
        <w:t>Bioeng</w:t>
      </w:r>
      <w:proofErr w:type="spellEnd"/>
      <w:r w:rsidRPr="007472EE">
        <w:rPr>
          <w:rFonts w:ascii="Book Antiqua" w:hAnsi="Book Antiqua" w:cs="Times New Roman"/>
          <w:i/>
          <w:iCs/>
        </w:rPr>
        <w:t xml:space="preserve"> </w:t>
      </w:r>
      <w:proofErr w:type="spellStart"/>
      <w:r w:rsidRPr="007472EE">
        <w:rPr>
          <w:rFonts w:ascii="Book Antiqua" w:hAnsi="Book Antiqua" w:cs="Times New Roman"/>
          <w:i/>
          <w:iCs/>
        </w:rPr>
        <w:t>Symp</w:t>
      </w:r>
      <w:proofErr w:type="spellEnd"/>
      <w:r w:rsidRPr="007472EE">
        <w:rPr>
          <w:rFonts w:ascii="Book Antiqua" w:hAnsi="Book Antiqua" w:cs="Times New Roman"/>
        </w:rPr>
        <w:t> 1975; </w:t>
      </w:r>
      <w:r w:rsidR="0062483E" w:rsidRPr="0062483E">
        <w:rPr>
          <w:rFonts w:ascii="Book Antiqua" w:hAnsi="Book Antiqua" w:cs="Times New Roman" w:hint="eastAsia"/>
          <w:b/>
          <w:lang w:eastAsia="zh-CN"/>
        </w:rPr>
        <w:t>5</w:t>
      </w:r>
      <w:r w:rsidRPr="007472EE">
        <w:rPr>
          <w:rFonts w:ascii="Book Antiqua" w:hAnsi="Book Antiqua" w:cs="Times New Roman"/>
        </w:rPr>
        <w:t>: 81-105 [PMID: 98 DOI: 10.1007/s11136-005-8661-z]</w:t>
      </w:r>
    </w:p>
    <w:p w14:paraId="0762F2A9" w14:textId="77777777" w:rsidR="007472EE" w:rsidRPr="007472EE" w:rsidRDefault="007472EE" w:rsidP="008E7BBF">
      <w:pPr>
        <w:pStyle w:val="ListParagraph"/>
        <w:numPr>
          <w:ilvl w:val="0"/>
          <w:numId w:val="2"/>
        </w:numPr>
        <w:spacing w:line="360" w:lineRule="auto"/>
        <w:ind w:left="426"/>
        <w:jc w:val="both"/>
        <w:rPr>
          <w:rFonts w:ascii="Book Antiqua" w:hAnsi="Book Antiqua" w:cs="Times New Roman"/>
        </w:rPr>
      </w:pPr>
      <w:r w:rsidRPr="007472EE">
        <w:rPr>
          <w:rFonts w:ascii="Book Antiqua" w:hAnsi="Book Antiqua" w:cs="Times New Roman"/>
          <w:b/>
          <w:bCs/>
        </w:rPr>
        <w:t>Dall TM</w:t>
      </w:r>
      <w:r w:rsidRPr="007472EE">
        <w:rPr>
          <w:rFonts w:ascii="Book Antiqua" w:hAnsi="Book Antiqua" w:cs="Times New Roman"/>
        </w:rPr>
        <w:t xml:space="preserve">, Gallo PD, </w:t>
      </w:r>
      <w:proofErr w:type="spellStart"/>
      <w:r w:rsidRPr="007472EE">
        <w:rPr>
          <w:rFonts w:ascii="Book Antiqua" w:hAnsi="Book Antiqua" w:cs="Times New Roman"/>
        </w:rPr>
        <w:t>Chakrabarti</w:t>
      </w:r>
      <w:proofErr w:type="spellEnd"/>
      <w:r w:rsidRPr="007472EE">
        <w:rPr>
          <w:rFonts w:ascii="Book Antiqua" w:hAnsi="Book Antiqua" w:cs="Times New Roman"/>
        </w:rPr>
        <w:t xml:space="preserve"> R, West T, </w:t>
      </w:r>
      <w:proofErr w:type="spellStart"/>
      <w:r w:rsidRPr="007472EE">
        <w:rPr>
          <w:rFonts w:ascii="Book Antiqua" w:hAnsi="Book Antiqua" w:cs="Times New Roman"/>
        </w:rPr>
        <w:t>Semilla</w:t>
      </w:r>
      <w:proofErr w:type="spellEnd"/>
      <w:r w:rsidRPr="007472EE">
        <w:rPr>
          <w:rFonts w:ascii="Book Antiqua" w:hAnsi="Book Antiqua" w:cs="Times New Roman"/>
        </w:rPr>
        <w:t xml:space="preserve"> AP, Storm MV. An aging population and growing disease burden will require a large and specialized health care workforce by 2025. </w:t>
      </w:r>
      <w:r w:rsidRPr="007472EE">
        <w:rPr>
          <w:rFonts w:ascii="Book Antiqua" w:hAnsi="Book Antiqua" w:cs="Times New Roman"/>
          <w:i/>
          <w:iCs/>
        </w:rPr>
        <w:t xml:space="preserve">Health </w:t>
      </w:r>
      <w:proofErr w:type="spellStart"/>
      <w:r w:rsidRPr="007472EE">
        <w:rPr>
          <w:rFonts w:ascii="Book Antiqua" w:hAnsi="Book Antiqua" w:cs="Times New Roman"/>
          <w:i/>
          <w:iCs/>
        </w:rPr>
        <w:t>Aff</w:t>
      </w:r>
      <w:proofErr w:type="spellEnd"/>
      <w:r w:rsidRPr="007472EE">
        <w:rPr>
          <w:rFonts w:ascii="Book Antiqua" w:hAnsi="Book Antiqua" w:cs="Times New Roman"/>
          <w:i/>
          <w:iCs/>
        </w:rPr>
        <w:t xml:space="preserve"> </w:t>
      </w:r>
      <w:r w:rsidRPr="00AD6039">
        <w:rPr>
          <w:rFonts w:ascii="Book Antiqua" w:hAnsi="Book Antiqua" w:cs="Times New Roman"/>
          <w:iCs/>
        </w:rPr>
        <w:t>(Millwood)</w:t>
      </w:r>
      <w:r w:rsidRPr="007472EE">
        <w:rPr>
          <w:rFonts w:ascii="Book Antiqua" w:hAnsi="Book Antiqua" w:cs="Times New Roman"/>
        </w:rPr>
        <w:t> 2013; </w:t>
      </w:r>
      <w:r w:rsidRPr="007472EE">
        <w:rPr>
          <w:rFonts w:ascii="Book Antiqua" w:hAnsi="Book Antiqua" w:cs="Times New Roman"/>
          <w:b/>
          <w:bCs/>
        </w:rPr>
        <w:t>32</w:t>
      </w:r>
      <w:r w:rsidRPr="007472EE">
        <w:rPr>
          <w:rFonts w:ascii="Book Antiqua" w:hAnsi="Book Antiqua" w:cs="Times New Roman"/>
        </w:rPr>
        <w:t>: 2013-2020 [PMID: 24191094 DOI: 10.1377/hlthaff.2013.0714]</w:t>
      </w:r>
    </w:p>
    <w:p w14:paraId="7A03DF8F" w14:textId="77777777" w:rsidR="00AD6039" w:rsidRPr="00AD6039" w:rsidRDefault="00AD6039" w:rsidP="008E7BBF">
      <w:pPr>
        <w:pStyle w:val="ListParagraph"/>
        <w:numPr>
          <w:ilvl w:val="0"/>
          <w:numId w:val="2"/>
        </w:numPr>
        <w:spacing w:line="360" w:lineRule="auto"/>
        <w:ind w:left="426"/>
        <w:jc w:val="both"/>
        <w:rPr>
          <w:rFonts w:ascii="Book Antiqua" w:hAnsi="Book Antiqua" w:cs="Times New Roman"/>
        </w:rPr>
      </w:pPr>
      <w:bookmarkStart w:id="144" w:name="OLE_LINK1189"/>
      <w:bookmarkStart w:id="145" w:name="OLE_LINK1190"/>
      <w:r w:rsidRPr="00AD6039">
        <w:rPr>
          <w:rFonts w:ascii="Book Antiqua" w:hAnsi="Book Antiqua" w:cs="Times New Roman"/>
          <w:b/>
          <w:bCs/>
        </w:rPr>
        <w:t>Hickey TR</w:t>
      </w:r>
      <w:r w:rsidRPr="00AD6039">
        <w:rPr>
          <w:rFonts w:ascii="Book Antiqua" w:hAnsi="Book Antiqua" w:cs="Times New Roman"/>
        </w:rPr>
        <w:t xml:space="preserve">, Cooper Z, </w:t>
      </w:r>
      <w:proofErr w:type="spellStart"/>
      <w:r w:rsidRPr="00AD6039">
        <w:rPr>
          <w:rFonts w:ascii="Book Antiqua" w:hAnsi="Book Antiqua" w:cs="Times New Roman"/>
        </w:rPr>
        <w:t>Urman</w:t>
      </w:r>
      <w:proofErr w:type="spellEnd"/>
      <w:r w:rsidRPr="00AD6039">
        <w:rPr>
          <w:rFonts w:ascii="Book Antiqua" w:hAnsi="Book Antiqua" w:cs="Times New Roman"/>
        </w:rPr>
        <w:t xml:space="preserve"> RD, </w:t>
      </w:r>
      <w:proofErr w:type="spellStart"/>
      <w:r w:rsidRPr="00AD6039">
        <w:rPr>
          <w:rFonts w:ascii="Book Antiqua" w:hAnsi="Book Antiqua" w:cs="Times New Roman"/>
        </w:rPr>
        <w:t>Hepner</w:t>
      </w:r>
      <w:proofErr w:type="spellEnd"/>
      <w:r w:rsidRPr="00AD6039">
        <w:rPr>
          <w:rFonts w:ascii="Book Antiqua" w:hAnsi="Book Antiqua" w:cs="Times New Roman"/>
        </w:rPr>
        <w:t xml:space="preserve"> DL, Bader AM. An Agenda for Improving Perioperative Code Status Discussion. </w:t>
      </w:r>
      <w:r w:rsidRPr="00AD6039">
        <w:rPr>
          <w:rFonts w:ascii="Book Antiqua" w:hAnsi="Book Antiqua" w:cs="Times New Roman"/>
          <w:i/>
          <w:iCs/>
        </w:rPr>
        <w:t xml:space="preserve">A </w:t>
      </w:r>
      <w:proofErr w:type="spellStart"/>
      <w:r w:rsidRPr="00AD6039">
        <w:rPr>
          <w:rFonts w:ascii="Book Antiqua" w:hAnsi="Book Antiqua" w:cs="Times New Roman"/>
          <w:i/>
          <w:iCs/>
        </w:rPr>
        <w:t>A</w:t>
      </w:r>
      <w:proofErr w:type="spellEnd"/>
      <w:r w:rsidRPr="00AD6039">
        <w:rPr>
          <w:rFonts w:ascii="Book Antiqua" w:hAnsi="Book Antiqua" w:cs="Times New Roman"/>
          <w:i/>
          <w:iCs/>
        </w:rPr>
        <w:t xml:space="preserve"> Case Rep</w:t>
      </w:r>
      <w:r w:rsidRPr="00AD6039">
        <w:rPr>
          <w:rFonts w:ascii="Book Antiqua" w:hAnsi="Book Antiqua" w:cs="Times New Roman"/>
        </w:rPr>
        <w:t> 2016; </w:t>
      </w:r>
      <w:r w:rsidRPr="00AD6039">
        <w:rPr>
          <w:rFonts w:ascii="Book Antiqua" w:hAnsi="Book Antiqua" w:cs="Times New Roman"/>
          <w:b/>
          <w:bCs/>
        </w:rPr>
        <w:t>6</w:t>
      </w:r>
      <w:r w:rsidRPr="00AD6039">
        <w:rPr>
          <w:rFonts w:ascii="Book Antiqua" w:hAnsi="Book Antiqua" w:cs="Times New Roman"/>
        </w:rPr>
        <w:t>: 411-415 [PMID: 27301059 DOI: 10.1213/XAA.0000000000000327]</w:t>
      </w:r>
    </w:p>
    <w:p w14:paraId="01A46A90" w14:textId="77777777" w:rsidR="00AD6039" w:rsidRDefault="00AD6039" w:rsidP="008E7BBF">
      <w:pPr>
        <w:pStyle w:val="ListParagraph"/>
        <w:numPr>
          <w:ilvl w:val="0"/>
          <w:numId w:val="2"/>
        </w:numPr>
        <w:spacing w:line="360" w:lineRule="auto"/>
        <w:ind w:left="426"/>
        <w:jc w:val="both"/>
        <w:rPr>
          <w:rFonts w:ascii="Book Antiqua" w:hAnsi="Book Antiqua" w:cs="Times New Roman"/>
        </w:rPr>
      </w:pPr>
      <w:proofErr w:type="spellStart"/>
      <w:r w:rsidRPr="00AD6039">
        <w:rPr>
          <w:rFonts w:ascii="Book Antiqua" w:hAnsi="Book Antiqua" w:cs="Times New Roman"/>
          <w:b/>
          <w:bCs/>
        </w:rPr>
        <w:t>Silvennoinen</w:t>
      </w:r>
      <w:proofErr w:type="spellEnd"/>
      <w:r w:rsidRPr="00AD6039">
        <w:rPr>
          <w:rFonts w:ascii="Book Antiqua" w:hAnsi="Book Antiqua" w:cs="Times New Roman"/>
          <w:b/>
          <w:bCs/>
        </w:rPr>
        <w:t xml:space="preserve"> K</w:t>
      </w:r>
      <w:r w:rsidRPr="00AD6039">
        <w:rPr>
          <w:rFonts w:ascii="Book Antiqua" w:hAnsi="Book Antiqua" w:cs="Times New Roman"/>
        </w:rPr>
        <w:t xml:space="preserve">, </w:t>
      </w:r>
      <w:proofErr w:type="spellStart"/>
      <w:r w:rsidRPr="00AD6039">
        <w:rPr>
          <w:rFonts w:ascii="Book Antiqua" w:hAnsi="Book Antiqua" w:cs="Times New Roman"/>
        </w:rPr>
        <w:t>Meretoja</w:t>
      </w:r>
      <w:proofErr w:type="spellEnd"/>
      <w:r w:rsidRPr="00AD6039">
        <w:rPr>
          <w:rFonts w:ascii="Book Antiqua" w:hAnsi="Book Antiqua" w:cs="Times New Roman"/>
        </w:rPr>
        <w:t xml:space="preserve"> A, </w:t>
      </w:r>
      <w:proofErr w:type="spellStart"/>
      <w:r w:rsidRPr="00AD6039">
        <w:rPr>
          <w:rFonts w:ascii="Book Antiqua" w:hAnsi="Book Antiqua" w:cs="Times New Roman"/>
        </w:rPr>
        <w:t>Strbian</w:t>
      </w:r>
      <w:proofErr w:type="spellEnd"/>
      <w:r w:rsidRPr="00AD6039">
        <w:rPr>
          <w:rFonts w:ascii="Book Antiqua" w:hAnsi="Book Antiqua" w:cs="Times New Roman"/>
        </w:rPr>
        <w:t xml:space="preserve"> D, </w:t>
      </w:r>
      <w:proofErr w:type="spellStart"/>
      <w:r w:rsidRPr="00AD6039">
        <w:rPr>
          <w:rFonts w:ascii="Book Antiqua" w:hAnsi="Book Antiqua" w:cs="Times New Roman"/>
        </w:rPr>
        <w:t>Putaala</w:t>
      </w:r>
      <w:proofErr w:type="spellEnd"/>
      <w:r w:rsidRPr="00AD6039">
        <w:rPr>
          <w:rFonts w:ascii="Book Antiqua" w:hAnsi="Book Antiqua" w:cs="Times New Roman"/>
        </w:rPr>
        <w:t xml:space="preserve"> J, </w:t>
      </w:r>
      <w:proofErr w:type="spellStart"/>
      <w:r w:rsidRPr="00AD6039">
        <w:rPr>
          <w:rFonts w:ascii="Book Antiqua" w:hAnsi="Book Antiqua" w:cs="Times New Roman"/>
        </w:rPr>
        <w:t>Kaste</w:t>
      </w:r>
      <w:proofErr w:type="spellEnd"/>
      <w:r w:rsidRPr="00AD6039">
        <w:rPr>
          <w:rFonts w:ascii="Book Antiqua" w:hAnsi="Book Antiqua" w:cs="Times New Roman"/>
        </w:rPr>
        <w:t xml:space="preserve"> M, </w:t>
      </w:r>
      <w:proofErr w:type="spellStart"/>
      <w:r w:rsidRPr="00AD6039">
        <w:rPr>
          <w:rFonts w:ascii="Book Antiqua" w:hAnsi="Book Antiqua" w:cs="Times New Roman"/>
        </w:rPr>
        <w:t>Tatlisumak</w:t>
      </w:r>
      <w:proofErr w:type="spellEnd"/>
      <w:r w:rsidRPr="00AD6039">
        <w:rPr>
          <w:rFonts w:ascii="Book Antiqua" w:hAnsi="Book Antiqua" w:cs="Times New Roman"/>
        </w:rPr>
        <w:t xml:space="preserve"> T. Do-not-resuscitate (DNR) orders in patients with intracerebral hemorrhage. </w:t>
      </w:r>
      <w:proofErr w:type="spellStart"/>
      <w:r w:rsidRPr="00AD6039">
        <w:rPr>
          <w:rFonts w:ascii="Book Antiqua" w:hAnsi="Book Antiqua" w:cs="Times New Roman"/>
          <w:i/>
          <w:iCs/>
        </w:rPr>
        <w:t>Int</w:t>
      </w:r>
      <w:proofErr w:type="spellEnd"/>
      <w:r w:rsidRPr="00AD6039">
        <w:rPr>
          <w:rFonts w:ascii="Book Antiqua" w:hAnsi="Book Antiqua" w:cs="Times New Roman"/>
          <w:i/>
          <w:iCs/>
        </w:rPr>
        <w:t xml:space="preserve"> J Stroke</w:t>
      </w:r>
      <w:r w:rsidRPr="00AD6039">
        <w:rPr>
          <w:rFonts w:ascii="Book Antiqua" w:hAnsi="Book Antiqua" w:cs="Times New Roman"/>
        </w:rPr>
        <w:t> 2014; </w:t>
      </w:r>
      <w:r w:rsidRPr="00AD6039">
        <w:rPr>
          <w:rFonts w:ascii="Book Antiqua" w:hAnsi="Book Antiqua" w:cs="Times New Roman"/>
          <w:b/>
          <w:bCs/>
        </w:rPr>
        <w:t>9</w:t>
      </w:r>
      <w:r w:rsidRPr="00AD6039">
        <w:rPr>
          <w:rFonts w:ascii="Book Antiqua" w:hAnsi="Book Antiqua" w:cs="Times New Roman"/>
        </w:rPr>
        <w:t>: 53-58 [PMID: 24148872 DOI: 10.1111/ijs.12161]</w:t>
      </w:r>
    </w:p>
    <w:p w14:paraId="1B98C24C" w14:textId="77777777" w:rsidR="00AD6039" w:rsidRDefault="00AD6039" w:rsidP="008E7BBF">
      <w:pPr>
        <w:pStyle w:val="ListParagraph"/>
        <w:numPr>
          <w:ilvl w:val="0"/>
          <w:numId w:val="2"/>
        </w:numPr>
        <w:spacing w:line="360" w:lineRule="auto"/>
        <w:ind w:left="426"/>
        <w:jc w:val="both"/>
        <w:rPr>
          <w:rFonts w:ascii="Book Antiqua" w:hAnsi="Book Antiqua" w:cs="Times New Roman"/>
        </w:rPr>
      </w:pPr>
      <w:r w:rsidRPr="00AD6039">
        <w:rPr>
          <w:rFonts w:ascii="Book Antiqua" w:hAnsi="Book Antiqua" w:cs="Times New Roman"/>
          <w:b/>
          <w:bCs/>
        </w:rPr>
        <w:t>Wenger NS</w:t>
      </w:r>
      <w:r w:rsidRPr="00AD6039">
        <w:rPr>
          <w:rFonts w:ascii="Book Antiqua" w:hAnsi="Book Antiqua" w:cs="Times New Roman"/>
        </w:rPr>
        <w:t>, Pearson ML, Desmond KA, Harrison ER, Rubenstein LV, Rogers WH, Kahn KL. Epidemiology of do-not-resuscitate orders. Disparity by age, diagnosis, gender, race, and functional impairment. </w:t>
      </w:r>
      <w:r w:rsidRPr="00AD6039">
        <w:rPr>
          <w:rFonts w:ascii="Book Antiqua" w:hAnsi="Book Antiqua" w:cs="Times New Roman"/>
          <w:i/>
          <w:iCs/>
        </w:rPr>
        <w:t>Arch Intern Med</w:t>
      </w:r>
      <w:r w:rsidRPr="00AD6039">
        <w:rPr>
          <w:rFonts w:ascii="Book Antiqua" w:hAnsi="Book Antiqua" w:cs="Times New Roman"/>
        </w:rPr>
        <w:t> 1995; </w:t>
      </w:r>
      <w:r w:rsidRPr="00AD6039">
        <w:rPr>
          <w:rFonts w:ascii="Book Antiqua" w:hAnsi="Book Antiqua" w:cs="Times New Roman"/>
          <w:b/>
          <w:bCs/>
        </w:rPr>
        <w:t>155</w:t>
      </w:r>
      <w:r w:rsidRPr="00AD6039">
        <w:rPr>
          <w:rFonts w:ascii="Book Antiqua" w:hAnsi="Book Antiqua" w:cs="Times New Roman"/>
        </w:rPr>
        <w:t>: 2056-2062 [PMID: 7575064 DOI: 10.1001/archinte.1995.00430190042006]</w:t>
      </w:r>
    </w:p>
    <w:p w14:paraId="4E62A8FD" w14:textId="77777777" w:rsidR="00AD6039" w:rsidRPr="00AD6039" w:rsidRDefault="00AD6039" w:rsidP="008E7BBF">
      <w:pPr>
        <w:pStyle w:val="ListParagraph"/>
        <w:numPr>
          <w:ilvl w:val="0"/>
          <w:numId w:val="2"/>
        </w:numPr>
        <w:spacing w:line="360" w:lineRule="auto"/>
        <w:ind w:left="426"/>
        <w:jc w:val="both"/>
        <w:rPr>
          <w:rFonts w:ascii="Book Antiqua" w:hAnsi="Book Antiqua" w:cs="Times New Roman"/>
        </w:rPr>
      </w:pPr>
      <w:r w:rsidRPr="00AD6039">
        <w:rPr>
          <w:rFonts w:ascii="Book Antiqua" w:hAnsi="Book Antiqua" w:cs="Times New Roman"/>
          <w:b/>
          <w:bCs/>
        </w:rPr>
        <w:t>Nakagawa K</w:t>
      </w:r>
      <w:r w:rsidRPr="00AD6039">
        <w:rPr>
          <w:rFonts w:ascii="Book Antiqua" w:hAnsi="Book Antiqua" w:cs="Times New Roman"/>
        </w:rPr>
        <w:t xml:space="preserve">, Vento MA, </w:t>
      </w:r>
      <w:proofErr w:type="spellStart"/>
      <w:r w:rsidRPr="00AD6039">
        <w:rPr>
          <w:rFonts w:ascii="Book Antiqua" w:hAnsi="Book Antiqua" w:cs="Times New Roman"/>
        </w:rPr>
        <w:t>Seto</w:t>
      </w:r>
      <w:proofErr w:type="spellEnd"/>
      <w:r w:rsidRPr="00AD6039">
        <w:rPr>
          <w:rFonts w:ascii="Book Antiqua" w:hAnsi="Book Antiqua" w:cs="Times New Roman"/>
        </w:rPr>
        <w:t xml:space="preserve"> TB, Koenig MA, </w:t>
      </w:r>
      <w:proofErr w:type="spellStart"/>
      <w:r w:rsidRPr="00AD6039">
        <w:rPr>
          <w:rFonts w:ascii="Book Antiqua" w:hAnsi="Book Antiqua" w:cs="Times New Roman"/>
        </w:rPr>
        <w:t>Asai</w:t>
      </w:r>
      <w:proofErr w:type="spellEnd"/>
      <w:r w:rsidRPr="00AD6039">
        <w:rPr>
          <w:rFonts w:ascii="Book Antiqua" w:hAnsi="Book Antiqua" w:cs="Times New Roman"/>
        </w:rPr>
        <w:t xml:space="preserve"> SM, Chang CW, Hemphill JC 3rd. Sex differences in the use of early do-not-resuscitate orders after intracerebral hemorrhage. </w:t>
      </w:r>
      <w:r w:rsidRPr="00AD6039">
        <w:rPr>
          <w:rFonts w:ascii="Book Antiqua" w:hAnsi="Book Antiqua" w:cs="Times New Roman"/>
          <w:i/>
          <w:iCs/>
        </w:rPr>
        <w:t>Stroke</w:t>
      </w:r>
      <w:r w:rsidRPr="00AD6039">
        <w:rPr>
          <w:rFonts w:ascii="Book Antiqua" w:hAnsi="Book Antiqua" w:cs="Times New Roman"/>
        </w:rPr>
        <w:t> 2013; </w:t>
      </w:r>
      <w:r w:rsidRPr="00AD6039">
        <w:rPr>
          <w:rFonts w:ascii="Book Antiqua" w:hAnsi="Book Antiqua" w:cs="Times New Roman"/>
          <w:b/>
          <w:bCs/>
        </w:rPr>
        <w:t>44</w:t>
      </w:r>
      <w:r w:rsidRPr="00AD6039">
        <w:rPr>
          <w:rFonts w:ascii="Book Antiqua" w:hAnsi="Book Antiqua" w:cs="Times New Roman"/>
        </w:rPr>
        <w:t>: 3229-3231 [PMID: 23982712 DOI: 10.1161/STROKEAHA.113.002814]</w:t>
      </w:r>
    </w:p>
    <w:bookmarkEnd w:id="144"/>
    <w:bookmarkEnd w:id="145"/>
    <w:p w14:paraId="39F9CCE9" w14:textId="77777777" w:rsidR="007472EE" w:rsidRPr="007472EE" w:rsidRDefault="007472EE" w:rsidP="008E7BBF">
      <w:pPr>
        <w:pStyle w:val="ListParagraph"/>
        <w:numPr>
          <w:ilvl w:val="0"/>
          <w:numId w:val="2"/>
        </w:numPr>
        <w:spacing w:line="360" w:lineRule="auto"/>
        <w:ind w:left="426"/>
        <w:jc w:val="both"/>
        <w:rPr>
          <w:rFonts w:ascii="Book Antiqua" w:hAnsi="Book Antiqua" w:cs="Times New Roman"/>
        </w:rPr>
      </w:pPr>
      <w:proofErr w:type="spellStart"/>
      <w:r w:rsidRPr="007472EE">
        <w:rPr>
          <w:rFonts w:ascii="Book Antiqua" w:hAnsi="Book Antiqua" w:cs="Times New Roman"/>
          <w:b/>
          <w:bCs/>
        </w:rPr>
        <w:lastRenderedPageBreak/>
        <w:t>Salottolo</w:t>
      </w:r>
      <w:proofErr w:type="spellEnd"/>
      <w:r w:rsidRPr="007472EE">
        <w:rPr>
          <w:rFonts w:ascii="Book Antiqua" w:hAnsi="Book Antiqua" w:cs="Times New Roman"/>
          <w:b/>
          <w:bCs/>
        </w:rPr>
        <w:t xml:space="preserve"> K</w:t>
      </w:r>
      <w:r w:rsidRPr="007472EE">
        <w:rPr>
          <w:rFonts w:ascii="Book Antiqua" w:hAnsi="Book Antiqua" w:cs="Times New Roman"/>
        </w:rPr>
        <w:t xml:space="preserve">, </w:t>
      </w:r>
      <w:proofErr w:type="spellStart"/>
      <w:r w:rsidRPr="007472EE">
        <w:rPr>
          <w:rFonts w:ascii="Book Antiqua" w:hAnsi="Book Antiqua" w:cs="Times New Roman"/>
        </w:rPr>
        <w:t>Offner</w:t>
      </w:r>
      <w:proofErr w:type="spellEnd"/>
      <w:r w:rsidRPr="007472EE">
        <w:rPr>
          <w:rFonts w:ascii="Book Antiqua" w:hAnsi="Book Antiqua" w:cs="Times New Roman"/>
        </w:rPr>
        <w:t xml:space="preserve"> PJ, Orlando A, Slone DS, Mains CW, Carrick M, Bar-Or D. The epidemiology of do-not-resuscitate orders in patients with trauma: a community level one trauma center observational experience. </w:t>
      </w:r>
      <w:proofErr w:type="spellStart"/>
      <w:r w:rsidRPr="007472EE">
        <w:rPr>
          <w:rFonts w:ascii="Book Antiqua" w:hAnsi="Book Antiqua" w:cs="Times New Roman"/>
          <w:i/>
          <w:iCs/>
        </w:rPr>
        <w:t>Scand</w:t>
      </w:r>
      <w:proofErr w:type="spellEnd"/>
      <w:r w:rsidRPr="007472EE">
        <w:rPr>
          <w:rFonts w:ascii="Book Antiqua" w:hAnsi="Book Antiqua" w:cs="Times New Roman"/>
          <w:i/>
          <w:iCs/>
        </w:rPr>
        <w:t xml:space="preserve"> J Trauma </w:t>
      </w:r>
      <w:proofErr w:type="spellStart"/>
      <w:r w:rsidRPr="007472EE">
        <w:rPr>
          <w:rFonts w:ascii="Book Antiqua" w:hAnsi="Book Antiqua" w:cs="Times New Roman"/>
          <w:i/>
          <w:iCs/>
        </w:rPr>
        <w:t>Resusc</w:t>
      </w:r>
      <w:proofErr w:type="spellEnd"/>
      <w:r w:rsidRPr="007472EE">
        <w:rPr>
          <w:rFonts w:ascii="Book Antiqua" w:hAnsi="Book Antiqua" w:cs="Times New Roman"/>
          <w:i/>
          <w:iCs/>
        </w:rPr>
        <w:t xml:space="preserve"> </w:t>
      </w:r>
      <w:proofErr w:type="spellStart"/>
      <w:r w:rsidRPr="007472EE">
        <w:rPr>
          <w:rFonts w:ascii="Book Antiqua" w:hAnsi="Book Antiqua" w:cs="Times New Roman"/>
          <w:i/>
          <w:iCs/>
        </w:rPr>
        <w:t>Emerg</w:t>
      </w:r>
      <w:proofErr w:type="spellEnd"/>
      <w:r w:rsidRPr="007472EE">
        <w:rPr>
          <w:rFonts w:ascii="Book Antiqua" w:hAnsi="Book Antiqua" w:cs="Times New Roman"/>
          <w:i/>
          <w:iCs/>
        </w:rPr>
        <w:t xml:space="preserve"> Med</w:t>
      </w:r>
      <w:r w:rsidRPr="007472EE">
        <w:rPr>
          <w:rFonts w:ascii="Book Antiqua" w:hAnsi="Book Antiqua" w:cs="Times New Roman"/>
        </w:rPr>
        <w:t> 2015; </w:t>
      </w:r>
      <w:r w:rsidRPr="007472EE">
        <w:rPr>
          <w:rFonts w:ascii="Book Antiqua" w:hAnsi="Book Antiqua" w:cs="Times New Roman"/>
          <w:b/>
          <w:bCs/>
        </w:rPr>
        <w:t>23</w:t>
      </w:r>
      <w:r w:rsidRPr="007472EE">
        <w:rPr>
          <w:rFonts w:ascii="Book Antiqua" w:hAnsi="Book Antiqua" w:cs="Times New Roman"/>
        </w:rPr>
        <w:t>: 9 [PMID: 25645242 DOI: 10.1186/s13049-015-0094-2]</w:t>
      </w:r>
    </w:p>
    <w:p w14:paraId="3F36E475" w14:textId="77777777" w:rsidR="007472EE" w:rsidRPr="007472EE" w:rsidRDefault="007472EE" w:rsidP="008E7BBF">
      <w:pPr>
        <w:pStyle w:val="ListParagraph"/>
        <w:numPr>
          <w:ilvl w:val="0"/>
          <w:numId w:val="2"/>
        </w:numPr>
        <w:spacing w:line="360" w:lineRule="auto"/>
        <w:ind w:left="426"/>
        <w:jc w:val="both"/>
        <w:rPr>
          <w:rFonts w:ascii="Book Antiqua" w:hAnsi="Book Antiqua" w:cs="Times New Roman"/>
        </w:rPr>
      </w:pPr>
      <w:r w:rsidRPr="007472EE">
        <w:rPr>
          <w:rFonts w:ascii="Book Antiqua" w:hAnsi="Book Antiqua" w:cs="Times New Roman"/>
          <w:b/>
          <w:bCs/>
        </w:rPr>
        <w:t>Curtis EM</w:t>
      </w:r>
      <w:r w:rsidRPr="007472EE">
        <w:rPr>
          <w:rFonts w:ascii="Book Antiqua" w:hAnsi="Book Antiqua" w:cs="Times New Roman"/>
        </w:rPr>
        <w:t xml:space="preserve">, van der </w:t>
      </w:r>
      <w:proofErr w:type="spellStart"/>
      <w:r w:rsidRPr="007472EE">
        <w:rPr>
          <w:rFonts w:ascii="Book Antiqua" w:hAnsi="Book Antiqua" w:cs="Times New Roman"/>
        </w:rPr>
        <w:t>Velde</w:t>
      </w:r>
      <w:proofErr w:type="spellEnd"/>
      <w:r w:rsidRPr="007472EE">
        <w:rPr>
          <w:rFonts w:ascii="Book Antiqua" w:hAnsi="Book Antiqua" w:cs="Times New Roman"/>
        </w:rPr>
        <w:t xml:space="preserve"> R, Moon RJ, van den Bergh JP, </w:t>
      </w:r>
      <w:proofErr w:type="spellStart"/>
      <w:r w:rsidRPr="007472EE">
        <w:rPr>
          <w:rFonts w:ascii="Book Antiqua" w:hAnsi="Book Antiqua" w:cs="Times New Roman"/>
        </w:rPr>
        <w:t>Geusens</w:t>
      </w:r>
      <w:proofErr w:type="spellEnd"/>
      <w:r w:rsidRPr="007472EE">
        <w:rPr>
          <w:rFonts w:ascii="Book Antiqua" w:hAnsi="Book Antiqua" w:cs="Times New Roman"/>
        </w:rPr>
        <w:t xml:space="preserve"> P, de </w:t>
      </w:r>
      <w:proofErr w:type="spellStart"/>
      <w:r w:rsidRPr="007472EE">
        <w:rPr>
          <w:rFonts w:ascii="Book Antiqua" w:hAnsi="Book Antiqua" w:cs="Times New Roman"/>
        </w:rPr>
        <w:t>Vries</w:t>
      </w:r>
      <w:proofErr w:type="spellEnd"/>
      <w:r w:rsidRPr="007472EE">
        <w:rPr>
          <w:rFonts w:ascii="Book Antiqua" w:hAnsi="Book Antiqua" w:cs="Times New Roman"/>
        </w:rPr>
        <w:t xml:space="preserve"> F, van </w:t>
      </w:r>
      <w:proofErr w:type="spellStart"/>
      <w:r w:rsidRPr="007472EE">
        <w:rPr>
          <w:rFonts w:ascii="Book Antiqua" w:hAnsi="Book Antiqua" w:cs="Times New Roman"/>
        </w:rPr>
        <w:t>Staa</w:t>
      </w:r>
      <w:proofErr w:type="spellEnd"/>
      <w:r w:rsidRPr="007472EE">
        <w:rPr>
          <w:rFonts w:ascii="Book Antiqua" w:hAnsi="Book Antiqua" w:cs="Times New Roman"/>
        </w:rPr>
        <w:t xml:space="preserve"> TP, Cooper C, Harvey NC. Epidemiology of fractures in the United Kingdom 1988-2012: Variation with age, sex, geography, ethnicity and socioeconomic status. </w:t>
      </w:r>
      <w:r w:rsidRPr="007472EE">
        <w:rPr>
          <w:rFonts w:ascii="Book Antiqua" w:hAnsi="Book Antiqua" w:cs="Times New Roman"/>
          <w:i/>
          <w:iCs/>
        </w:rPr>
        <w:t>Bone</w:t>
      </w:r>
      <w:r w:rsidRPr="007472EE">
        <w:rPr>
          <w:rFonts w:ascii="Book Antiqua" w:hAnsi="Book Antiqua" w:cs="Times New Roman"/>
        </w:rPr>
        <w:t> 2016; </w:t>
      </w:r>
      <w:r w:rsidRPr="007472EE">
        <w:rPr>
          <w:rFonts w:ascii="Book Antiqua" w:hAnsi="Book Antiqua" w:cs="Times New Roman"/>
          <w:b/>
          <w:bCs/>
        </w:rPr>
        <w:t>87</w:t>
      </w:r>
      <w:r w:rsidRPr="007472EE">
        <w:rPr>
          <w:rFonts w:ascii="Book Antiqua" w:hAnsi="Book Antiqua" w:cs="Times New Roman"/>
        </w:rPr>
        <w:t>: 19-26 [PMID: 26968752 DOI: 10.1016/j.bone.2016.03.006]</w:t>
      </w:r>
    </w:p>
    <w:p w14:paraId="37E71FDE" w14:textId="77777777" w:rsidR="007472EE" w:rsidRPr="007472EE" w:rsidRDefault="007472EE" w:rsidP="008E7BBF">
      <w:pPr>
        <w:pStyle w:val="ListParagraph"/>
        <w:numPr>
          <w:ilvl w:val="0"/>
          <w:numId w:val="2"/>
        </w:numPr>
        <w:spacing w:line="360" w:lineRule="auto"/>
        <w:ind w:left="426"/>
        <w:jc w:val="both"/>
        <w:rPr>
          <w:rFonts w:ascii="Book Antiqua" w:hAnsi="Book Antiqua" w:cs="Times New Roman"/>
        </w:rPr>
      </w:pPr>
      <w:bookmarkStart w:id="146" w:name="OLE_LINK1191"/>
      <w:bookmarkStart w:id="147" w:name="OLE_LINK1192"/>
      <w:proofErr w:type="spellStart"/>
      <w:r w:rsidRPr="007472EE">
        <w:rPr>
          <w:rFonts w:ascii="Book Antiqua" w:hAnsi="Book Antiqua" w:cs="Times New Roman"/>
          <w:b/>
          <w:bCs/>
        </w:rPr>
        <w:t>Cauley</w:t>
      </w:r>
      <w:proofErr w:type="spellEnd"/>
      <w:r w:rsidRPr="007472EE">
        <w:rPr>
          <w:rFonts w:ascii="Book Antiqua" w:hAnsi="Book Antiqua" w:cs="Times New Roman"/>
          <w:b/>
          <w:bCs/>
        </w:rPr>
        <w:t xml:space="preserve"> JA</w:t>
      </w:r>
      <w:bookmarkStart w:id="148" w:name="OLE_LINK1173"/>
      <w:bookmarkStart w:id="149" w:name="OLE_LINK1174"/>
      <w:r w:rsidR="009C2777" w:rsidRPr="00AD6039">
        <w:rPr>
          <w:rFonts w:ascii="Book Antiqua" w:hAnsi="Book Antiqua" w:cs="Times New Roman" w:hint="eastAsia"/>
          <w:bCs/>
          <w:lang w:eastAsia="zh-CN"/>
        </w:rPr>
        <w:t>.</w:t>
      </w:r>
      <w:r w:rsidR="009C2777">
        <w:rPr>
          <w:rFonts w:ascii="Book Antiqua" w:hAnsi="Book Antiqua" w:cs="Times New Roman" w:hint="eastAsia"/>
          <w:b/>
          <w:bCs/>
          <w:lang w:eastAsia="zh-CN"/>
        </w:rPr>
        <w:t xml:space="preserve"> </w:t>
      </w:r>
      <w:r w:rsidRPr="009C2777">
        <w:rPr>
          <w:rFonts w:ascii="Book Antiqua" w:hAnsi="Book Antiqua" w:cs="Times New Roman"/>
          <w:bCs/>
        </w:rPr>
        <w:t>Defining ethnic and racial differences in osteoporosis and fragility f</w:t>
      </w:r>
      <w:r w:rsidR="009C2777" w:rsidRPr="009C2777">
        <w:rPr>
          <w:rFonts w:ascii="Book Antiqua" w:hAnsi="Book Antiqua" w:cs="Times New Roman"/>
          <w:bCs/>
        </w:rPr>
        <w:t xml:space="preserve">ractures. </w:t>
      </w:r>
      <w:proofErr w:type="spellStart"/>
      <w:r w:rsidRPr="009C2777">
        <w:rPr>
          <w:rFonts w:ascii="Book Antiqua" w:hAnsi="Book Antiqua" w:cs="Times New Roman"/>
          <w:bCs/>
          <w:i/>
        </w:rPr>
        <w:t>Clin</w:t>
      </w:r>
      <w:proofErr w:type="spellEnd"/>
      <w:r w:rsidRPr="009C2777">
        <w:rPr>
          <w:rFonts w:ascii="Book Antiqua" w:hAnsi="Book Antiqua" w:cs="Times New Roman"/>
          <w:bCs/>
          <w:i/>
        </w:rPr>
        <w:t xml:space="preserve"> </w:t>
      </w:r>
      <w:proofErr w:type="spellStart"/>
      <w:r w:rsidRPr="009C2777">
        <w:rPr>
          <w:rFonts w:ascii="Book Antiqua" w:hAnsi="Book Antiqua" w:cs="Times New Roman"/>
          <w:bCs/>
          <w:i/>
        </w:rPr>
        <w:t>Orthop</w:t>
      </w:r>
      <w:proofErr w:type="spellEnd"/>
      <w:r w:rsidRPr="009C2777">
        <w:rPr>
          <w:rFonts w:ascii="Book Antiqua" w:hAnsi="Book Antiqua" w:cs="Times New Roman"/>
          <w:bCs/>
          <w:i/>
        </w:rPr>
        <w:t xml:space="preserve"> </w:t>
      </w:r>
      <w:proofErr w:type="spellStart"/>
      <w:r w:rsidRPr="009C2777">
        <w:rPr>
          <w:rFonts w:ascii="Book Antiqua" w:hAnsi="Book Antiqua" w:cs="Times New Roman"/>
          <w:bCs/>
          <w:i/>
        </w:rPr>
        <w:t>Relat</w:t>
      </w:r>
      <w:proofErr w:type="spellEnd"/>
      <w:r w:rsidRPr="009C2777">
        <w:rPr>
          <w:rFonts w:ascii="Book Antiqua" w:hAnsi="Book Antiqua" w:cs="Times New Roman"/>
          <w:bCs/>
          <w:i/>
        </w:rPr>
        <w:t xml:space="preserve"> Res</w:t>
      </w:r>
      <w:r w:rsidR="009C2777">
        <w:rPr>
          <w:rFonts w:ascii="Book Antiqua" w:hAnsi="Book Antiqua" w:cs="Times New Roman" w:hint="eastAsia"/>
          <w:bCs/>
          <w:lang w:eastAsia="zh-CN"/>
        </w:rPr>
        <w:t xml:space="preserve"> </w:t>
      </w:r>
      <w:r w:rsidR="009C2777" w:rsidRPr="009C2777">
        <w:rPr>
          <w:rFonts w:ascii="Book Antiqua" w:hAnsi="Book Antiqua" w:cs="Times New Roman" w:hint="eastAsia"/>
          <w:lang w:eastAsia="zh-CN"/>
        </w:rPr>
        <w:t>2011</w:t>
      </w:r>
      <w:r w:rsidR="009C2777">
        <w:rPr>
          <w:rFonts w:ascii="Book Antiqua" w:hAnsi="Book Antiqua" w:cs="Times New Roman" w:hint="eastAsia"/>
          <w:lang w:eastAsia="zh-CN"/>
        </w:rPr>
        <w:t>:</w:t>
      </w:r>
      <w:r w:rsidRPr="007472EE">
        <w:rPr>
          <w:rFonts w:ascii="Book Antiqua" w:hAnsi="Book Antiqua" w:cs="Times New Roman"/>
        </w:rPr>
        <w:t xml:space="preserve"> </w:t>
      </w:r>
      <w:r w:rsidR="009C2777" w:rsidRPr="00AD6039">
        <w:rPr>
          <w:rFonts w:ascii="Book Antiqua" w:hAnsi="Book Antiqua" w:cs="Times New Roman" w:hint="eastAsia"/>
          <w:b/>
          <w:lang w:eastAsia="zh-CN"/>
        </w:rPr>
        <w:t>469</w:t>
      </w:r>
      <w:r w:rsidR="009C2777">
        <w:rPr>
          <w:rFonts w:ascii="Book Antiqua" w:hAnsi="Book Antiqua" w:cs="Times New Roman" w:hint="eastAsia"/>
          <w:lang w:eastAsia="zh-CN"/>
        </w:rPr>
        <w:t xml:space="preserve">: </w:t>
      </w:r>
      <w:r w:rsidRPr="007472EE">
        <w:rPr>
          <w:rFonts w:ascii="Book Antiqua" w:hAnsi="Book Antiqua" w:cs="Times New Roman"/>
        </w:rPr>
        <w:t>1891</w:t>
      </w:r>
      <w:r w:rsidR="00AD6039">
        <w:rPr>
          <w:rFonts w:ascii="Book Antiqua" w:hAnsi="Book Antiqua" w:cs="Times New Roman" w:hint="eastAsia"/>
          <w:lang w:eastAsia="zh-CN"/>
        </w:rPr>
        <w:t>-</w:t>
      </w:r>
      <w:r w:rsidRPr="007472EE">
        <w:rPr>
          <w:rFonts w:ascii="Book Antiqua" w:hAnsi="Book Antiqua" w:cs="Times New Roman"/>
        </w:rPr>
        <w:t>1899</w:t>
      </w:r>
      <w:bookmarkEnd w:id="148"/>
      <w:bookmarkEnd w:id="149"/>
      <w:r w:rsidR="009C2777">
        <w:rPr>
          <w:rFonts w:ascii="Book Antiqua" w:hAnsi="Book Antiqua" w:cs="Times New Roman" w:hint="eastAsia"/>
          <w:lang w:eastAsia="zh-CN"/>
        </w:rPr>
        <w:t xml:space="preserve"> [</w:t>
      </w:r>
      <w:r w:rsidR="009C2777" w:rsidRPr="00AD6039">
        <w:rPr>
          <w:rFonts w:ascii="Book Antiqua" w:hAnsi="Book Antiqua" w:cs="Times New Roman" w:hint="eastAsia"/>
          <w:bCs/>
        </w:rPr>
        <w:t xml:space="preserve">DOI: </w:t>
      </w:r>
      <w:hyperlink r:id="rId9" w:tgtFrame="pmc_ext" w:history="1">
        <w:r w:rsidR="009C2777" w:rsidRPr="00AD6039">
          <w:rPr>
            <w:rFonts w:ascii="Book Antiqua" w:hAnsi="Book Antiqua" w:cs="Times New Roman"/>
            <w:bCs/>
          </w:rPr>
          <w:t>10.1007/s11999-011-1863-5</w:t>
        </w:r>
      </w:hyperlink>
      <w:r w:rsidR="009C2777" w:rsidRPr="00AD6039">
        <w:rPr>
          <w:rFonts w:ascii="Book Antiqua" w:hAnsi="Book Antiqua" w:cs="Times New Roman" w:hint="eastAsia"/>
          <w:bCs/>
        </w:rPr>
        <w:t>]</w:t>
      </w:r>
    </w:p>
    <w:bookmarkEnd w:id="146"/>
    <w:bookmarkEnd w:id="147"/>
    <w:p w14:paraId="38BE4670" w14:textId="77777777" w:rsidR="007472EE" w:rsidRPr="007472EE" w:rsidRDefault="007472EE" w:rsidP="008E7BBF">
      <w:pPr>
        <w:pStyle w:val="ListParagraph"/>
        <w:numPr>
          <w:ilvl w:val="0"/>
          <w:numId w:val="2"/>
        </w:numPr>
        <w:spacing w:line="360" w:lineRule="auto"/>
        <w:ind w:left="426"/>
        <w:jc w:val="both"/>
        <w:rPr>
          <w:rFonts w:ascii="Book Antiqua" w:hAnsi="Book Antiqua" w:cs="Times New Roman"/>
        </w:rPr>
      </w:pPr>
      <w:proofErr w:type="spellStart"/>
      <w:r w:rsidRPr="007472EE">
        <w:rPr>
          <w:rFonts w:ascii="Book Antiqua" w:hAnsi="Book Antiqua" w:cs="Times New Roman"/>
          <w:b/>
          <w:bCs/>
        </w:rPr>
        <w:t>Raval</w:t>
      </w:r>
      <w:proofErr w:type="spellEnd"/>
      <w:r w:rsidRPr="007472EE">
        <w:rPr>
          <w:rFonts w:ascii="Book Antiqua" w:hAnsi="Book Antiqua" w:cs="Times New Roman"/>
          <w:b/>
          <w:bCs/>
        </w:rPr>
        <w:t xml:space="preserve"> MV</w:t>
      </w:r>
      <w:r w:rsidRPr="007472EE">
        <w:rPr>
          <w:rFonts w:ascii="Book Antiqua" w:hAnsi="Book Antiqua" w:cs="Times New Roman"/>
        </w:rPr>
        <w:t xml:space="preserve">, Wang X, Cohen ME, Ingraham AM, </w:t>
      </w:r>
      <w:proofErr w:type="spellStart"/>
      <w:r w:rsidRPr="007472EE">
        <w:rPr>
          <w:rFonts w:ascii="Book Antiqua" w:hAnsi="Book Antiqua" w:cs="Times New Roman"/>
        </w:rPr>
        <w:t>Bentrem</w:t>
      </w:r>
      <w:proofErr w:type="spellEnd"/>
      <w:r w:rsidRPr="007472EE">
        <w:rPr>
          <w:rFonts w:ascii="Book Antiqua" w:hAnsi="Book Antiqua" w:cs="Times New Roman"/>
        </w:rPr>
        <w:t xml:space="preserve"> DJ, </w:t>
      </w:r>
      <w:proofErr w:type="spellStart"/>
      <w:r w:rsidRPr="007472EE">
        <w:rPr>
          <w:rFonts w:ascii="Book Antiqua" w:hAnsi="Book Antiqua" w:cs="Times New Roman"/>
        </w:rPr>
        <w:t>Dimick</w:t>
      </w:r>
      <w:proofErr w:type="spellEnd"/>
      <w:r w:rsidRPr="007472EE">
        <w:rPr>
          <w:rFonts w:ascii="Book Antiqua" w:hAnsi="Book Antiqua" w:cs="Times New Roman"/>
        </w:rPr>
        <w:t xml:space="preserve"> JB, Flynn T, Hall BL, </w:t>
      </w:r>
      <w:proofErr w:type="spellStart"/>
      <w:r w:rsidRPr="007472EE">
        <w:rPr>
          <w:rFonts w:ascii="Book Antiqua" w:hAnsi="Book Antiqua" w:cs="Times New Roman"/>
        </w:rPr>
        <w:t>Ko</w:t>
      </w:r>
      <w:proofErr w:type="spellEnd"/>
      <w:r w:rsidRPr="007472EE">
        <w:rPr>
          <w:rFonts w:ascii="Book Antiqua" w:hAnsi="Book Antiqua" w:cs="Times New Roman"/>
        </w:rPr>
        <w:t xml:space="preserve"> CY. The influence of resident involvement on surgical outcomes. </w:t>
      </w:r>
      <w:r w:rsidRPr="007472EE">
        <w:rPr>
          <w:rFonts w:ascii="Book Antiqua" w:hAnsi="Book Antiqua" w:cs="Times New Roman"/>
          <w:i/>
          <w:iCs/>
        </w:rPr>
        <w:t xml:space="preserve">J Am </w:t>
      </w:r>
      <w:proofErr w:type="spellStart"/>
      <w:r w:rsidRPr="007472EE">
        <w:rPr>
          <w:rFonts w:ascii="Book Antiqua" w:hAnsi="Book Antiqua" w:cs="Times New Roman"/>
          <w:i/>
          <w:iCs/>
        </w:rPr>
        <w:t>Coll</w:t>
      </w:r>
      <w:proofErr w:type="spellEnd"/>
      <w:r w:rsidRPr="007472EE">
        <w:rPr>
          <w:rFonts w:ascii="Book Antiqua" w:hAnsi="Book Antiqua" w:cs="Times New Roman"/>
          <w:i/>
          <w:iCs/>
        </w:rPr>
        <w:t xml:space="preserve"> </w:t>
      </w:r>
      <w:proofErr w:type="spellStart"/>
      <w:r w:rsidRPr="007472EE">
        <w:rPr>
          <w:rFonts w:ascii="Book Antiqua" w:hAnsi="Book Antiqua" w:cs="Times New Roman"/>
          <w:i/>
          <w:iCs/>
        </w:rPr>
        <w:t>Surg</w:t>
      </w:r>
      <w:proofErr w:type="spellEnd"/>
      <w:r w:rsidRPr="007472EE">
        <w:rPr>
          <w:rFonts w:ascii="Book Antiqua" w:hAnsi="Book Antiqua" w:cs="Times New Roman"/>
        </w:rPr>
        <w:t> 2011; </w:t>
      </w:r>
      <w:r w:rsidRPr="007472EE">
        <w:rPr>
          <w:rFonts w:ascii="Book Antiqua" w:hAnsi="Book Antiqua" w:cs="Times New Roman"/>
          <w:b/>
          <w:bCs/>
        </w:rPr>
        <w:t>212</w:t>
      </w:r>
      <w:r w:rsidRPr="007472EE">
        <w:rPr>
          <w:rFonts w:ascii="Book Antiqua" w:hAnsi="Book Antiqua" w:cs="Times New Roman"/>
        </w:rPr>
        <w:t>: 889-898 [PMID: 21398151 DOI: 10.1016/j.jamcollsurg.2010.12.029]</w:t>
      </w:r>
    </w:p>
    <w:p w14:paraId="76A118C4" w14:textId="77777777" w:rsidR="007472EE" w:rsidRPr="007472EE" w:rsidRDefault="007472EE" w:rsidP="008E7BBF">
      <w:pPr>
        <w:pStyle w:val="ListParagraph"/>
        <w:numPr>
          <w:ilvl w:val="0"/>
          <w:numId w:val="2"/>
        </w:numPr>
        <w:spacing w:line="360" w:lineRule="auto"/>
        <w:ind w:left="426"/>
        <w:jc w:val="both"/>
        <w:rPr>
          <w:rFonts w:ascii="Book Antiqua" w:hAnsi="Book Antiqua" w:cs="Times New Roman"/>
        </w:rPr>
      </w:pPr>
      <w:proofErr w:type="spellStart"/>
      <w:r w:rsidRPr="007472EE">
        <w:rPr>
          <w:rFonts w:ascii="Book Antiqua" w:hAnsi="Book Antiqua" w:cs="Times New Roman"/>
          <w:b/>
          <w:bCs/>
        </w:rPr>
        <w:t>Opperer</w:t>
      </w:r>
      <w:proofErr w:type="spellEnd"/>
      <w:r w:rsidRPr="007472EE">
        <w:rPr>
          <w:rFonts w:ascii="Book Antiqua" w:hAnsi="Book Antiqua" w:cs="Times New Roman"/>
          <w:b/>
          <w:bCs/>
        </w:rPr>
        <w:t xml:space="preserve"> M</w:t>
      </w:r>
      <w:r w:rsidRPr="007472EE">
        <w:rPr>
          <w:rFonts w:ascii="Book Antiqua" w:hAnsi="Book Antiqua" w:cs="Times New Roman"/>
        </w:rPr>
        <w:t xml:space="preserve">, </w:t>
      </w:r>
      <w:proofErr w:type="spellStart"/>
      <w:r w:rsidRPr="007472EE">
        <w:rPr>
          <w:rFonts w:ascii="Book Antiqua" w:hAnsi="Book Antiqua" w:cs="Times New Roman"/>
        </w:rPr>
        <w:t>Danninger</w:t>
      </w:r>
      <w:proofErr w:type="spellEnd"/>
      <w:r w:rsidRPr="007472EE">
        <w:rPr>
          <w:rFonts w:ascii="Book Antiqua" w:hAnsi="Book Antiqua" w:cs="Times New Roman"/>
        </w:rPr>
        <w:t xml:space="preserve"> T, </w:t>
      </w:r>
      <w:proofErr w:type="spellStart"/>
      <w:r w:rsidRPr="007472EE">
        <w:rPr>
          <w:rFonts w:ascii="Book Antiqua" w:hAnsi="Book Antiqua" w:cs="Times New Roman"/>
        </w:rPr>
        <w:t>Stundner</w:t>
      </w:r>
      <w:proofErr w:type="spellEnd"/>
      <w:r w:rsidRPr="007472EE">
        <w:rPr>
          <w:rFonts w:ascii="Book Antiqua" w:hAnsi="Book Antiqua" w:cs="Times New Roman"/>
        </w:rPr>
        <w:t xml:space="preserve"> O, </w:t>
      </w:r>
      <w:proofErr w:type="spellStart"/>
      <w:r w:rsidRPr="007472EE">
        <w:rPr>
          <w:rFonts w:ascii="Book Antiqua" w:hAnsi="Book Antiqua" w:cs="Times New Roman"/>
        </w:rPr>
        <w:t>Memtsoudis</w:t>
      </w:r>
      <w:proofErr w:type="spellEnd"/>
      <w:r w:rsidRPr="007472EE">
        <w:rPr>
          <w:rFonts w:ascii="Book Antiqua" w:hAnsi="Book Antiqua" w:cs="Times New Roman"/>
        </w:rPr>
        <w:t xml:space="preserve"> SG. Perioperative outcomes and type of anesthesia in hip surgical patients: An evidence based review. </w:t>
      </w:r>
      <w:r w:rsidRPr="007472EE">
        <w:rPr>
          <w:rFonts w:ascii="Book Antiqua" w:hAnsi="Book Antiqua" w:cs="Times New Roman"/>
          <w:i/>
          <w:iCs/>
        </w:rPr>
        <w:t xml:space="preserve">World J </w:t>
      </w:r>
      <w:proofErr w:type="spellStart"/>
      <w:r w:rsidRPr="007472EE">
        <w:rPr>
          <w:rFonts w:ascii="Book Antiqua" w:hAnsi="Book Antiqua" w:cs="Times New Roman"/>
          <w:i/>
          <w:iCs/>
        </w:rPr>
        <w:t>Orthop</w:t>
      </w:r>
      <w:proofErr w:type="spellEnd"/>
      <w:r w:rsidRPr="007472EE">
        <w:rPr>
          <w:rFonts w:ascii="Book Antiqua" w:hAnsi="Book Antiqua" w:cs="Times New Roman"/>
        </w:rPr>
        <w:t> 2014; </w:t>
      </w:r>
      <w:r w:rsidRPr="007472EE">
        <w:rPr>
          <w:rFonts w:ascii="Book Antiqua" w:hAnsi="Book Antiqua" w:cs="Times New Roman"/>
          <w:b/>
          <w:bCs/>
        </w:rPr>
        <w:t>5</w:t>
      </w:r>
      <w:r w:rsidRPr="007472EE">
        <w:rPr>
          <w:rFonts w:ascii="Book Antiqua" w:hAnsi="Book Antiqua" w:cs="Times New Roman"/>
        </w:rPr>
        <w:t>: 336-343 [PMID: 25035837 DOI: 10.5312/</w:t>
      </w:r>
      <w:proofErr w:type="gramStart"/>
      <w:r w:rsidRPr="007472EE">
        <w:rPr>
          <w:rFonts w:ascii="Book Antiqua" w:hAnsi="Book Antiqua" w:cs="Times New Roman"/>
        </w:rPr>
        <w:t>wjo.v</w:t>
      </w:r>
      <w:proofErr w:type="gramEnd"/>
      <w:r w:rsidRPr="007472EE">
        <w:rPr>
          <w:rFonts w:ascii="Book Antiqua" w:hAnsi="Book Antiqua" w:cs="Times New Roman"/>
        </w:rPr>
        <w:t>5.i3.336]</w:t>
      </w:r>
    </w:p>
    <w:p w14:paraId="1D400E7E" w14:textId="77777777" w:rsidR="007472EE" w:rsidRPr="007472EE" w:rsidRDefault="007472EE" w:rsidP="008E7BBF">
      <w:pPr>
        <w:pStyle w:val="ListParagraph"/>
        <w:numPr>
          <w:ilvl w:val="0"/>
          <w:numId w:val="2"/>
        </w:numPr>
        <w:spacing w:line="360" w:lineRule="auto"/>
        <w:ind w:left="426"/>
        <w:jc w:val="both"/>
        <w:rPr>
          <w:rFonts w:ascii="Book Antiqua" w:hAnsi="Book Antiqua" w:cs="Times New Roman"/>
        </w:rPr>
      </w:pPr>
      <w:r w:rsidRPr="007472EE">
        <w:rPr>
          <w:rFonts w:ascii="Book Antiqua" w:hAnsi="Book Antiqua" w:cs="Times New Roman"/>
          <w:b/>
          <w:bCs/>
        </w:rPr>
        <w:t>Basques BA</w:t>
      </w:r>
      <w:r w:rsidRPr="007472EE">
        <w:rPr>
          <w:rFonts w:ascii="Book Antiqua" w:hAnsi="Book Antiqua" w:cs="Times New Roman"/>
        </w:rPr>
        <w:t xml:space="preserve">, Toy JO, </w:t>
      </w:r>
      <w:proofErr w:type="spellStart"/>
      <w:r w:rsidRPr="007472EE">
        <w:rPr>
          <w:rFonts w:ascii="Book Antiqua" w:hAnsi="Book Antiqua" w:cs="Times New Roman"/>
        </w:rPr>
        <w:t>Bohl</w:t>
      </w:r>
      <w:proofErr w:type="spellEnd"/>
      <w:r w:rsidRPr="007472EE">
        <w:rPr>
          <w:rFonts w:ascii="Book Antiqua" w:hAnsi="Book Antiqua" w:cs="Times New Roman"/>
        </w:rPr>
        <w:t xml:space="preserve"> DD, </w:t>
      </w:r>
      <w:proofErr w:type="spellStart"/>
      <w:r w:rsidRPr="007472EE">
        <w:rPr>
          <w:rFonts w:ascii="Book Antiqua" w:hAnsi="Book Antiqua" w:cs="Times New Roman"/>
        </w:rPr>
        <w:t>Golinvaux</w:t>
      </w:r>
      <w:proofErr w:type="spellEnd"/>
      <w:r w:rsidRPr="007472EE">
        <w:rPr>
          <w:rFonts w:ascii="Book Antiqua" w:hAnsi="Book Antiqua" w:cs="Times New Roman"/>
        </w:rPr>
        <w:t xml:space="preserve"> NS, </w:t>
      </w:r>
      <w:proofErr w:type="spellStart"/>
      <w:r w:rsidRPr="007472EE">
        <w:rPr>
          <w:rFonts w:ascii="Book Antiqua" w:hAnsi="Book Antiqua" w:cs="Times New Roman"/>
        </w:rPr>
        <w:t>Grauer</w:t>
      </w:r>
      <w:proofErr w:type="spellEnd"/>
      <w:r w:rsidRPr="007472EE">
        <w:rPr>
          <w:rFonts w:ascii="Book Antiqua" w:hAnsi="Book Antiqua" w:cs="Times New Roman"/>
        </w:rPr>
        <w:t xml:space="preserve"> JN. General compared with spinal anesthesia for total hip arthroplasty. </w:t>
      </w:r>
      <w:r w:rsidRPr="007472EE">
        <w:rPr>
          <w:rFonts w:ascii="Book Antiqua" w:hAnsi="Book Antiqua" w:cs="Times New Roman"/>
          <w:i/>
          <w:iCs/>
        </w:rPr>
        <w:t xml:space="preserve">J Bone Joint </w:t>
      </w:r>
      <w:proofErr w:type="spellStart"/>
      <w:r w:rsidRPr="007472EE">
        <w:rPr>
          <w:rFonts w:ascii="Book Antiqua" w:hAnsi="Book Antiqua" w:cs="Times New Roman"/>
          <w:i/>
          <w:iCs/>
        </w:rPr>
        <w:t>Surg</w:t>
      </w:r>
      <w:proofErr w:type="spellEnd"/>
      <w:r w:rsidRPr="007472EE">
        <w:rPr>
          <w:rFonts w:ascii="Book Antiqua" w:hAnsi="Book Antiqua" w:cs="Times New Roman"/>
          <w:i/>
          <w:iCs/>
        </w:rPr>
        <w:t xml:space="preserve"> Am</w:t>
      </w:r>
      <w:r w:rsidRPr="007472EE">
        <w:rPr>
          <w:rFonts w:ascii="Book Antiqua" w:hAnsi="Book Antiqua" w:cs="Times New Roman"/>
        </w:rPr>
        <w:t> 2015; </w:t>
      </w:r>
      <w:r w:rsidRPr="007472EE">
        <w:rPr>
          <w:rFonts w:ascii="Book Antiqua" w:hAnsi="Book Antiqua" w:cs="Times New Roman"/>
          <w:b/>
          <w:bCs/>
        </w:rPr>
        <w:t>97</w:t>
      </w:r>
      <w:r w:rsidRPr="007472EE">
        <w:rPr>
          <w:rFonts w:ascii="Book Antiqua" w:hAnsi="Book Antiqua" w:cs="Times New Roman"/>
        </w:rPr>
        <w:t>: 455-461 [PMID: 25788301 DOI: 10.2106/JBJS.N.00662]</w:t>
      </w:r>
    </w:p>
    <w:p w14:paraId="3D78B1D8" w14:textId="77777777" w:rsidR="00F92244" w:rsidRDefault="00F92244" w:rsidP="008E7BBF">
      <w:pPr>
        <w:adjustRightInd w:val="0"/>
        <w:snapToGrid w:val="0"/>
        <w:spacing w:line="360" w:lineRule="auto"/>
        <w:jc w:val="both"/>
        <w:rPr>
          <w:rFonts w:ascii="Book Antiqua" w:hAnsi="Book Antiqua" w:cs="Arial"/>
          <w:lang w:val="en-GB" w:eastAsia="zh-CN"/>
        </w:rPr>
      </w:pPr>
    </w:p>
    <w:p w14:paraId="5A4B7C8A" w14:textId="77777777" w:rsidR="00A1103D" w:rsidRPr="00B05518" w:rsidRDefault="00A1103D" w:rsidP="00A1103D">
      <w:pPr>
        <w:adjustRightInd w:val="0"/>
        <w:snapToGrid w:val="0"/>
        <w:spacing w:line="360" w:lineRule="auto"/>
        <w:jc w:val="right"/>
        <w:rPr>
          <w:rFonts w:ascii="Book Antiqua" w:hAnsi="Book Antiqua" w:cs="Times New Roman"/>
          <w:b/>
          <w:color w:val="000000"/>
        </w:rPr>
      </w:pPr>
      <w:bookmarkStart w:id="150" w:name="OLE_LINK399"/>
      <w:bookmarkStart w:id="151" w:name="OLE_LINK400"/>
      <w:bookmarkStart w:id="152" w:name="OLE_LINK307"/>
      <w:bookmarkStart w:id="153" w:name="OLE_LINK308"/>
      <w:bookmarkStart w:id="154" w:name="OLE_LINK319"/>
      <w:bookmarkStart w:id="155" w:name="OLE_LINK338"/>
      <w:bookmarkStart w:id="156" w:name="OLE_LINK384"/>
      <w:bookmarkStart w:id="157" w:name="OLE_LINK370"/>
      <w:bookmarkStart w:id="158" w:name="OLE_LINK393"/>
      <w:bookmarkStart w:id="159" w:name="OLE_LINK429"/>
      <w:bookmarkStart w:id="160" w:name="OLE_LINK430"/>
      <w:bookmarkStart w:id="161" w:name="OLE_LINK444"/>
      <w:bookmarkStart w:id="162" w:name="OLE_LINK447"/>
      <w:bookmarkStart w:id="163" w:name="OLE_LINK479"/>
      <w:bookmarkStart w:id="164" w:name="OLE_LINK480"/>
      <w:bookmarkStart w:id="165" w:name="OLE_LINK502"/>
      <w:bookmarkStart w:id="166" w:name="OLE_LINK538"/>
      <w:bookmarkStart w:id="167" w:name="OLE_LINK554"/>
      <w:bookmarkStart w:id="168" w:name="OLE_LINK567"/>
      <w:bookmarkStart w:id="169" w:name="OLE_LINK595"/>
      <w:bookmarkStart w:id="170" w:name="OLE_LINK605"/>
      <w:bookmarkStart w:id="171" w:name="OLE_LINK623"/>
      <w:bookmarkStart w:id="172" w:name="OLE_LINK675"/>
      <w:bookmarkStart w:id="173" w:name="OLE_LINK690"/>
      <w:bookmarkStart w:id="174" w:name="OLE_LINK696"/>
      <w:bookmarkStart w:id="175" w:name="OLE_LINK746"/>
      <w:bookmarkStart w:id="176" w:name="OLE_LINK754"/>
      <w:bookmarkStart w:id="177" w:name="OLE_LINK759"/>
      <w:bookmarkStart w:id="178" w:name="OLE_LINK764"/>
      <w:bookmarkStart w:id="179" w:name="OLE_LINK804"/>
      <w:bookmarkStart w:id="180" w:name="OLE_LINK797"/>
      <w:bookmarkStart w:id="181" w:name="OLE_LINK816"/>
      <w:bookmarkStart w:id="182" w:name="OLE_LINK811"/>
      <w:bookmarkStart w:id="183" w:name="OLE_LINK812"/>
      <w:bookmarkStart w:id="184" w:name="OLE_LINK794"/>
      <w:bookmarkStart w:id="185" w:name="OLE_LINK848"/>
      <w:bookmarkStart w:id="186" w:name="OLE_LINK861"/>
      <w:bookmarkStart w:id="187" w:name="OLE_LINK872"/>
      <w:bookmarkStart w:id="188" w:name="OLE_LINK882"/>
      <w:bookmarkStart w:id="189" w:name="OLE_LINK921"/>
      <w:bookmarkStart w:id="190" w:name="OLE_LINK975"/>
      <w:bookmarkStart w:id="191" w:name="OLE_LINK930"/>
      <w:bookmarkStart w:id="192" w:name="OLE_LINK967"/>
      <w:bookmarkStart w:id="193" w:name="OLE_LINK992"/>
      <w:bookmarkStart w:id="194" w:name="OLE_LINK1033"/>
      <w:bookmarkStart w:id="195" w:name="OLE_LINK1052"/>
      <w:bookmarkStart w:id="196" w:name="OLE_LINK1045"/>
      <w:bookmarkStart w:id="197" w:name="OLE_LINK1075"/>
      <w:bookmarkStart w:id="198" w:name="OLE_LINK1071"/>
      <w:bookmarkStart w:id="199" w:name="OLE_LINK1118"/>
      <w:bookmarkStart w:id="200" w:name="OLE_LINK1114"/>
      <w:bookmarkStart w:id="201" w:name="OLE_LINK1096"/>
      <w:bookmarkStart w:id="202" w:name="OLE_LINK1106"/>
      <w:bookmarkStart w:id="203" w:name="OLE_LINK1099"/>
      <w:bookmarkStart w:id="204" w:name="OLE_LINK1113"/>
      <w:bookmarkStart w:id="205" w:name="OLE_LINK1143"/>
      <w:bookmarkStart w:id="206" w:name="OLE_LINK1164"/>
      <w:bookmarkStart w:id="207" w:name="OLE_LINK1157"/>
      <w:bookmarkStart w:id="208" w:name="OLE_LINK1162"/>
      <w:r w:rsidRPr="00B05518">
        <w:rPr>
          <w:rFonts w:ascii="Book Antiqua" w:hAnsi="Book Antiqua" w:cs="Times New Roman"/>
          <w:b/>
          <w:color w:val="000000"/>
        </w:rPr>
        <w:t>P-Reviewer:</w:t>
      </w:r>
      <w:r w:rsidRPr="00B05518">
        <w:rPr>
          <w:rFonts w:ascii="Book Antiqua" w:hAnsi="Book Antiqua" w:cs="Times New Roman"/>
          <w:color w:val="000000"/>
        </w:rPr>
        <w:t xml:space="preserve"> </w:t>
      </w:r>
      <w:proofErr w:type="spellStart"/>
      <w:r w:rsidR="00AB5F4D" w:rsidRPr="00AB5F4D">
        <w:rPr>
          <w:rFonts w:ascii="Book Antiqua" w:hAnsi="Book Antiqua" w:cs="Times New Roman"/>
          <w:color w:val="000000"/>
        </w:rPr>
        <w:t>Lepetsos</w:t>
      </w:r>
      <w:proofErr w:type="spellEnd"/>
      <w:r w:rsidR="00AB5F4D" w:rsidRPr="00AB5F4D">
        <w:rPr>
          <w:rFonts w:ascii="Book Antiqua" w:hAnsi="Book Antiqua" w:cs="Times New Roman" w:hint="eastAsia"/>
          <w:color w:val="000000"/>
        </w:rPr>
        <w:t xml:space="preserve"> P, </w:t>
      </w:r>
      <w:r w:rsidR="00AB5F4D" w:rsidRPr="00AB5F4D">
        <w:rPr>
          <w:rFonts w:ascii="Book Antiqua" w:hAnsi="Book Antiqua" w:cs="Times New Roman"/>
          <w:color w:val="000000"/>
        </w:rPr>
        <w:t>Malik</w:t>
      </w:r>
      <w:r w:rsidR="00AB5F4D" w:rsidRPr="00AB5F4D">
        <w:rPr>
          <w:rFonts w:ascii="Book Antiqua" w:hAnsi="Book Antiqua" w:cs="Times New Roman" w:hint="eastAsia"/>
          <w:color w:val="000000"/>
        </w:rPr>
        <w:t xml:space="preserve"> H, </w:t>
      </w:r>
      <w:r w:rsidR="00AB5F4D" w:rsidRPr="00AB5F4D">
        <w:rPr>
          <w:rFonts w:ascii="Book Antiqua" w:hAnsi="Book Antiqua" w:cs="Times New Roman"/>
          <w:color w:val="000000"/>
        </w:rPr>
        <w:t>Sun</w:t>
      </w:r>
      <w:r w:rsidR="00AB5F4D" w:rsidRPr="00AB5F4D">
        <w:rPr>
          <w:rFonts w:ascii="Book Antiqua" w:hAnsi="Book Antiqua" w:cs="Times New Roman" w:hint="eastAsia"/>
          <w:color w:val="000000"/>
        </w:rPr>
        <w:t xml:space="preserve"> </w:t>
      </w:r>
      <w:r w:rsidR="00AB5F4D" w:rsidRPr="00AB5F4D">
        <w:rPr>
          <w:rFonts w:ascii="Book Antiqua" w:hAnsi="Book Antiqua" w:cs="Times New Roman"/>
          <w:color w:val="000000"/>
        </w:rPr>
        <w:t>TS</w:t>
      </w:r>
      <w:r w:rsidR="00AB5F4D">
        <w:rPr>
          <w:rFonts w:ascii="Tahoma" w:hAnsi="Tahoma" w:cs="Tahoma" w:hint="eastAsia"/>
          <w:color w:val="000000"/>
          <w:sz w:val="19"/>
          <w:szCs w:val="19"/>
          <w:shd w:val="clear" w:color="auto" w:fill="FFFFFF"/>
          <w:lang w:eastAsia="zh-CN"/>
        </w:rPr>
        <w:t xml:space="preserve"> </w:t>
      </w:r>
      <w:r w:rsidRPr="00B05518">
        <w:rPr>
          <w:rFonts w:ascii="Book Antiqua" w:hAnsi="Book Antiqua" w:cs="Times New Roman"/>
          <w:b/>
          <w:color w:val="000000"/>
        </w:rPr>
        <w:t xml:space="preserve">S-Editor: </w:t>
      </w:r>
      <w:r w:rsidRPr="00B05518">
        <w:rPr>
          <w:rFonts w:ascii="Book Antiqua" w:hAnsi="Book Antiqua" w:cs="Times New Roman"/>
          <w:color w:val="000000"/>
        </w:rPr>
        <w:t xml:space="preserve">Kong JX </w:t>
      </w:r>
      <w:r w:rsidRPr="00B05518">
        <w:rPr>
          <w:rFonts w:ascii="Book Antiqua" w:hAnsi="Book Antiqua" w:cs="Times New Roman"/>
          <w:b/>
          <w:color w:val="000000"/>
        </w:rPr>
        <w:t>L-Editor: E-Editor:</w:t>
      </w:r>
    </w:p>
    <w:p w14:paraId="1CF5A881" w14:textId="77777777" w:rsidR="00A1103D" w:rsidRPr="00B05518" w:rsidRDefault="00A1103D" w:rsidP="00A1103D">
      <w:pPr>
        <w:shd w:val="clear" w:color="auto" w:fill="FFFFFF"/>
        <w:snapToGrid w:val="0"/>
        <w:spacing w:line="360" w:lineRule="auto"/>
        <w:jc w:val="both"/>
        <w:rPr>
          <w:rFonts w:ascii="Book Antiqua" w:hAnsi="Book Antiqua" w:cs="Helvetica"/>
          <w:b/>
        </w:rPr>
      </w:pPr>
      <w:bookmarkStart w:id="209" w:name="OLE_LINK880"/>
      <w:bookmarkStart w:id="210" w:name="OLE_LINK881"/>
      <w:bookmarkStart w:id="211" w:name="OLE_LINK813"/>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14:paraId="174E25B2" w14:textId="77777777" w:rsidR="00A1103D" w:rsidRPr="00B05518" w:rsidRDefault="00A1103D" w:rsidP="00A1103D">
      <w:pPr>
        <w:shd w:val="clear" w:color="auto" w:fill="FFFFFF"/>
        <w:snapToGrid w:val="0"/>
        <w:spacing w:line="360" w:lineRule="auto"/>
        <w:jc w:val="both"/>
        <w:rPr>
          <w:rFonts w:ascii="Book Antiqua" w:hAnsi="Book Antiqua" w:cs="Helvetica"/>
          <w:b/>
        </w:rPr>
      </w:pPr>
      <w:r w:rsidRPr="00B05518">
        <w:rPr>
          <w:rFonts w:ascii="Book Antiqua" w:hAnsi="Book Antiqua" w:cs="Helvetica"/>
          <w:b/>
        </w:rPr>
        <w:t xml:space="preserve">Specialty type: </w:t>
      </w:r>
      <w:r w:rsidR="00480BFD" w:rsidRPr="00480BFD">
        <w:rPr>
          <w:rFonts w:ascii="Book Antiqua" w:hAnsi="Book Antiqua" w:cs="Helvetica"/>
        </w:rPr>
        <w:t>Orthopedics</w:t>
      </w:r>
    </w:p>
    <w:p w14:paraId="2C08E66C" w14:textId="77777777" w:rsidR="00A1103D" w:rsidRPr="00B05518" w:rsidRDefault="00A1103D" w:rsidP="00A1103D">
      <w:pPr>
        <w:shd w:val="clear" w:color="auto" w:fill="FFFFFF"/>
        <w:snapToGrid w:val="0"/>
        <w:spacing w:line="360" w:lineRule="auto"/>
        <w:jc w:val="both"/>
        <w:rPr>
          <w:rFonts w:ascii="Book Antiqua" w:hAnsi="Book Antiqua" w:cs="Helvetica"/>
          <w:b/>
        </w:rPr>
      </w:pPr>
      <w:r w:rsidRPr="00B05518">
        <w:rPr>
          <w:rFonts w:ascii="Book Antiqua" w:hAnsi="Book Antiqua" w:cs="Helvetica"/>
          <w:b/>
        </w:rPr>
        <w:t xml:space="preserve">Country of origin: </w:t>
      </w:r>
      <w:r w:rsidR="00480BFD" w:rsidRPr="00480BFD">
        <w:rPr>
          <w:rFonts w:ascii="Book Antiqua" w:hAnsi="Book Antiqua"/>
        </w:rPr>
        <w:t>United States</w:t>
      </w:r>
    </w:p>
    <w:p w14:paraId="6C7C7F05" w14:textId="77777777" w:rsidR="00A1103D" w:rsidRPr="00B05518" w:rsidRDefault="00A1103D" w:rsidP="00A1103D">
      <w:pPr>
        <w:shd w:val="clear" w:color="auto" w:fill="FFFFFF"/>
        <w:snapToGrid w:val="0"/>
        <w:spacing w:line="360" w:lineRule="auto"/>
        <w:jc w:val="both"/>
        <w:rPr>
          <w:rFonts w:ascii="Book Antiqua" w:hAnsi="Book Antiqua" w:cs="Helvetica"/>
          <w:b/>
        </w:rPr>
      </w:pPr>
      <w:r w:rsidRPr="00B05518">
        <w:rPr>
          <w:rFonts w:ascii="Book Antiqua" w:hAnsi="Book Antiqua" w:cs="Helvetica"/>
          <w:b/>
        </w:rPr>
        <w:t>Peer-review report classification</w:t>
      </w:r>
    </w:p>
    <w:p w14:paraId="7F21CF16" w14:textId="77777777" w:rsidR="00A1103D" w:rsidRPr="00B05518" w:rsidRDefault="00A1103D" w:rsidP="00A1103D">
      <w:pPr>
        <w:shd w:val="clear" w:color="auto" w:fill="FFFFFF"/>
        <w:snapToGrid w:val="0"/>
        <w:spacing w:line="360" w:lineRule="auto"/>
        <w:jc w:val="both"/>
        <w:rPr>
          <w:rFonts w:ascii="Book Antiqua" w:hAnsi="Book Antiqua" w:cs="Helvetica"/>
        </w:rPr>
      </w:pPr>
      <w:r w:rsidRPr="00B05518">
        <w:rPr>
          <w:rFonts w:ascii="Book Antiqua" w:hAnsi="Book Antiqua" w:cs="Helvetica"/>
        </w:rPr>
        <w:t xml:space="preserve">Grade A (Excellent): </w:t>
      </w:r>
      <w:r w:rsidRPr="00B05518">
        <w:rPr>
          <w:rFonts w:ascii="Book Antiqua" w:hAnsi="Book Antiqua" w:cs="Helvetica" w:hint="eastAsia"/>
        </w:rPr>
        <w:t>0</w:t>
      </w:r>
    </w:p>
    <w:p w14:paraId="4F126AF7" w14:textId="77777777" w:rsidR="00A1103D" w:rsidRPr="00B05518" w:rsidRDefault="00A1103D" w:rsidP="00A1103D">
      <w:pPr>
        <w:shd w:val="clear" w:color="auto" w:fill="FFFFFF"/>
        <w:snapToGrid w:val="0"/>
        <w:spacing w:line="360" w:lineRule="auto"/>
        <w:jc w:val="both"/>
        <w:rPr>
          <w:rFonts w:ascii="Book Antiqua" w:hAnsi="Book Antiqua" w:cs="Helvetica"/>
          <w:lang w:eastAsia="zh-CN"/>
        </w:rPr>
      </w:pPr>
      <w:r w:rsidRPr="00B05518">
        <w:rPr>
          <w:rFonts w:ascii="Book Antiqua" w:hAnsi="Book Antiqua" w:cs="Helvetica"/>
        </w:rPr>
        <w:t xml:space="preserve">Grade B (Very good): </w:t>
      </w:r>
      <w:r w:rsidR="00C15CC5">
        <w:rPr>
          <w:rFonts w:ascii="Book Antiqua" w:hAnsi="Book Antiqua" w:cs="Helvetica" w:hint="eastAsia"/>
          <w:lang w:eastAsia="zh-CN"/>
        </w:rPr>
        <w:t>B, B</w:t>
      </w:r>
    </w:p>
    <w:p w14:paraId="109E55D5" w14:textId="77777777" w:rsidR="00A1103D" w:rsidRPr="00B05518" w:rsidRDefault="00A1103D" w:rsidP="00A1103D">
      <w:pPr>
        <w:shd w:val="clear" w:color="auto" w:fill="FFFFFF"/>
        <w:snapToGrid w:val="0"/>
        <w:spacing w:line="360" w:lineRule="auto"/>
        <w:jc w:val="both"/>
        <w:rPr>
          <w:rFonts w:ascii="Book Antiqua" w:hAnsi="Book Antiqua" w:cs="Helvetica"/>
        </w:rPr>
      </w:pPr>
      <w:r w:rsidRPr="00B05518">
        <w:rPr>
          <w:rFonts w:ascii="Book Antiqua" w:hAnsi="Book Antiqua" w:cs="Helvetica"/>
        </w:rPr>
        <w:t xml:space="preserve">Grade C (Good): </w:t>
      </w:r>
      <w:r w:rsidRPr="00B05518">
        <w:rPr>
          <w:rFonts w:ascii="Book Antiqua" w:hAnsi="Book Antiqua" w:cs="Helvetica" w:hint="eastAsia"/>
        </w:rPr>
        <w:t>C</w:t>
      </w:r>
    </w:p>
    <w:p w14:paraId="254F8686" w14:textId="77777777" w:rsidR="00A1103D" w:rsidRPr="00B05518" w:rsidRDefault="00A1103D" w:rsidP="00A1103D">
      <w:pPr>
        <w:shd w:val="clear" w:color="auto" w:fill="FFFFFF"/>
        <w:snapToGrid w:val="0"/>
        <w:spacing w:line="360" w:lineRule="auto"/>
        <w:jc w:val="both"/>
        <w:rPr>
          <w:rFonts w:ascii="Book Antiqua" w:hAnsi="Book Antiqua" w:cs="Helvetica"/>
        </w:rPr>
      </w:pPr>
      <w:r w:rsidRPr="00B05518">
        <w:rPr>
          <w:rFonts w:ascii="Book Antiqua" w:hAnsi="Book Antiqua" w:cs="Helvetica"/>
        </w:rPr>
        <w:t xml:space="preserve">Grade D (Fair): </w:t>
      </w:r>
      <w:r w:rsidRPr="00B05518">
        <w:rPr>
          <w:rFonts w:ascii="Book Antiqua" w:hAnsi="Book Antiqua" w:cs="Helvetica" w:hint="eastAsia"/>
        </w:rPr>
        <w:t>0</w:t>
      </w:r>
    </w:p>
    <w:p w14:paraId="76E89AB8" w14:textId="77777777" w:rsidR="00A1103D" w:rsidRPr="00B05518" w:rsidRDefault="00A1103D" w:rsidP="00A1103D">
      <w:pPr>
        <w:shd w:val="clear" w:color="auto" w:fill="FFFFFF"/>
        <w:snapToGrid w:val="0"/>
        <w:spacing w:line="360" w:lineRule="auto"/>
        <w:jc w:val="both"/>
        <w:rPr>
          <w:rFonts w:ascii="Book Antiqua" w:hAnsi="Book Antiqua" w:cs="Helvetica"/>
        </w:rPr>
      </w:pPr>
      <w:r w:rsidRPr="00B05518">
        <w:rPr>
          <w:rFonts w:ascii="Book Antiqua" w:hAnsi="Book Antiqua" w:cs="Helvetica"/>
        </w:rPr>
        <w:lastRenderedPageBreak/>
        <w:t xml:space="preserve">Grade E (Poor): </w:t>
      </w:r>
      <w:r w:rsidRPr="00B05518">
        <w:rPr>
          <w:rFonts w:ascii="Book Antiqua" w:hAnsi="Book Antiqua" w:cs="Helvetica" w:hint="eastAsia"/>
        </w:rPr>
        <w:t>0</w:t>
      </w:r>
      <w:bookmarkEnd w:id="209"/>
      <w:bookmarkEnd w:id="210"/>
      <w:bookmarkEnd w:id="211"/>
    </w:p>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14:paraId="54846F17" w14:textId="77777777" w:rsidR="006C527D" w:rsidRDefault="006C527D" w:rsidP="006C527D">
      <w:pPr>
        <w:rPr>
          <w:rFonts w:ascii="Arial" w:hAnsi="Arial" w:cs="Arial"/>
          <w:lang w:val="en-GB"/>
        </w:rPr>
      </w:pPr>
    </w:p>
    <w:p w14:paraId="77A6B512" w14:textId="77777777" w:rsidR="006C527D" w:rsidRDefault="006C527D" w:rsidP="006C527D">
      <w:pPr>
        <w:rPr>
          <w:sz w:val="16"/>
          <w:szCs w:val="16"/>
          <w:lang w:val="en-GB" w:eastAsia="zh-CN"/>
        </w:rPr>
      </w:pPr>
      <w:r>
        <w:rPr>
          <w:noProof/>
          <w:lang w:eastAsia="zh-CN"/>
        </w:rPr>
        <w:drawing>
          <wp:inline distT="0" distB="0" distL="0" distR="0" wp14:anchorId="40DDBD2E" wp14:editId="15AF5CEE">
            <wp:extent cx="4509135" cy="4180840"/>
            <wp:effectExtent l="0" t="2540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517D6D12" w14:textId="77777777" w:rsidR="001326DA" w:rsidRPr="00287848" w:rsidRDefault="006C527D" w:rsidP="00287848">
      <w:pPr>
        <w:shd w:val="clear" w:color="auto" w:fill="FFFFFF"/>
        <w:snapToGrid w:val="0"/>
        <w:spacing w:line="360" w:lineRule="auto"/>
        <w:jc w:val="both"/>
        <w:rPr>
          <w:rFonts w:ascii="Book Antiqua" w:hAnsi="Book Antiqua" w:cs="Helvetica"/>
          <w:b/>
          <w:lang w:eastAsia="zh-CN"/>
        </w:rPr>
      </w:pPr>
      <w:r w:rsidRPr="006C527D">
        <w:rPr>
          <w:rFonts w:ascii="Book Antiqua" w:hAnsi="Book Antiqua" w:cs="Helvetica"/>
          <w:b/>
        </w:rPr>
        <w:t>Figure 1 Study population</w:t>
      </w:r>
      <w:r w:rsidRPr="006C527D">
        <w:rPr>
          <w:rFonts w:ascii="Book Antiqua" w:hAnsi="Book Antiqua" w:cs="Helvetica" w:hint="eastAsia"/>
          <w:b/>
        </w:rPr>
        <w:t>.</w:t>
      </w:r>
      <w:r w:rsidR="00287848" w:rsidRPr="00287848">
        <w:rPr>
          <w:rFonts w:hAnsi="Calibri"/>
          <w:color w:val="44546A" w:themeColor="dark2"/>
          <w:sz w:val="16"/>
          <w:szCs w:val="16"/>
          <w:lang w:eastAsia="zh-CN"/>
        </w:rPr>
        <w:t xml:space="preserve"> </w:t>
      </w:r>
      <w:r w:rsidR="00287848" w:rsidRPr="00287848">
        <w:rPr>
          <w:rFonts w:ascii="Book Antiqua" w:hAnsi="Book Antiqua" w:cs="Helvetica"/>
        </w:rPr>
        <w:t xml:space="preserve">*See </w:t>
      </w:r>
      <w:r w:rsidR="001326DA">
        <w:rPr>
          <w:rFonts w:ascii="Book Antiqua" w:hAnsi="Book Antiqua" w:cs="Helvetica" w:hint="eastAsia"/>
          <w:lang w:eastAsia="zh-CN"/>
        </w:rPr>
        <w:t>A</w:t>
      </w:r>
      <w:r w:rsidR="00287848" w:rsidRPr="00287848">
        <w:rPr>
          <w:rFonts w:ascii="Book Antiqua" w:hAnsi="Book Antiqua" w:cs="Helvetica"/>
        </w:rPr>
        <w:t>ppendix 1</w:t>
      </w:r>
      <w:r w:rsidR="00287848" w:rsidRPr="00287848">
        <w:rPr>
          <w:rFonts w:ascii="Book Antiqua" w:hAnsi="Book Antiqua" w:cs="Helvetica" w:hint="eastAsia"/>
          <w:lang w:eastAsia="zh-CN"/>
        </w:rPr>
        <w:t>.</w:t>
      </w:r>
      <w:r w:rsidR="00936AC6" w:rsidRPr="00936AC6">
        <w:rPr>
          <w:rFonts w:ascii="Book Antiqua" w:hAnsi="Book Antiqua" w:cs="Times New Roman"/>
          <w:b/>
          <w:color w:val="1A1A1A"/>
        </w:rPr>
        <w:t xml:space="preserve"> </w:t>
      </w:r>
      <w:r w:rsidR="00936AC6" w:rsidRPr="00F572C8">
        <w:rPr>
          <w:rFonts w:ascii="Book Antiqua" w:hAnsi="Book Antiqua" w:cs="Times New Roman" w:hint="eastAsia"/>
          <w:color w:val="1A1A1A"/>
          <w:lang w:eastAsia="zh-CN"/>
        </w:rPr>
        <w:t>DNR:</w:t>
      </w:r>
      <w:r w:rsidR="00936AC6">
        <w:rPr>
          <w:rFonts w:ascii="Book Antiqua" w:hAnsi="Book Antiqua" w:cs="Times New Roman" w:hint="eastAsia"/>
          <w:b/>
          <w:color w:val="1A1A1A"/>
          <w:lang w:eastAsia="zh-CN"/>
        </w:rPr>
        <w:t xml:space="preserve"> </w:t>
      </w:r>
      <w:r w:rsidR="00936AC6" w:rsidRPr="00936AC6">
        <w:rPr>
          <w:rFonts w:ascii="Book Antiqua" w:hAnsi="Book Antiqua" w:cs="Times New Roman"/>
          <w:color w:val="1A1A1A"/>
        </w:rPr>
        <w:t>Do Not Resuscitate</w:t>
      </w:r>
      <w:r w:rsidR="00936AC6" w:rsidRPr="00936AC6">
        <w:rPr>
          <w:rFonts w:ascii="Book Antiqua" w:hAnsi="Book Antiqua" w:cs="Times New Roman" w:hint="eastAsia"/>
          <w:color w:val="1A1A1A"/>
          <w:lang w:eastAsia="zh-CN"/>
        </w:rPr>
        <w:t>.</w:t>
      </w:r>
    </w:p>
    <w:p w14:paraId="53CE3D5B" w14:textId="77777777" w:rsidR="006C527D" w:rsidRPr="006C527D" w:rsidRDefault="006C527D" w:rsidP="006C527D">
      <w:pPr>
        <w:shd w:val="clear" w:color="auto" w:fill="FFFFFF"/>
        <w:snapToGrid w:val="0"/>
        <w:spacing w:line="360" w:lineRule="auto"/>
        <w:jc w:val="both"/>
        <w:rPr>
          <w:rFonts w:ascii="Book Antiqua" w:hAnsi="Book Antiqua" w:cs="Helvetica"/>
          <w:b/>
        </w:rPr>
      </w:pPr>
    </w:p>
    <w:p w14:paraId="2A14A287" w14:textId="77777777" w:rsidR="006C527D" w:rsidRPr="004D1CC7" w:rsidRDefault="006C527D" w:rsidP="006C527D">
      <w:pPr>
        <w:rPr>
          <w:sz w:val="16"/>
          <w:szCs w:val="16"/>
          <w:lang w:val="en-GB" w:eastAsia="zh-CN"/>
        </w:rPr>
      </w:pPr>
    </w:p>
    <w:p w14:paraId="74ABE00B" w14:textId="77777777" w:rsidR="006C527D" w:rsidRDefault="006C527D" w:rsidP="006C527D">
      <w:pPr>
        <w:rPr>
          <w:rFonts w:ascii="Arial" w:hAnsi="Arial" w:cs="Arial"/>
          <w:b/>
          <w:lang w:val="en-GB"/>
        </w:rPr>
      </w:pPr>
      <w:r>
        <w:rPr>
          <w:rFonts w:ascii="Arial" w:hAnsi="Arial" w:cs="Arial"/>
          <w:b/>
          <w:lang w:val="en-GB"/>
        </w:rPr>
        <w:br w:type="page"/>
      </w:r>
    </w:p>
    <w:p w14:paraId="00BEFF62" w14:textId="77777777" w:rsidR="006C527D" w:rsidRDefault="001326DA" w:rsidP="001326DA">
      <w:pPr>
        <w:shd w:val="clear" w:color="auto" w:fill="FFFFFF"/>
        <w:snapToGrid w:val="0"/>
        <w:spacing w:line="360" w:lineRule="auto"/>
        <w:jc w:val="both"/>
        <w:rPr>
          <w:rFonts w:ascii="Book Antiqua" w:hAnsi="Book Antiqua" w:cs="Helvetica"/>
          <w:b/>
          <w:lang w:eastAsia="zh-CN"/>
        </w:rPr>
      </w:pPr>
      <w:r w:rsidRPr="001326DA">
        <w:rPr>
          <w:rFonts w:ascii="Book Antiqua" w:hAnsi="Book Antiqua" w:cs="Helvetica"/>
          <w:b/>
        </w:rPr>
        <w:lastRenderedPageBreak/>
        <w:t>Table 1</w:t>
      </w:r>
      <w:r w:rsidRPr="001326DA">
        <w:rPr>
          <w:rFonts w:ascii="Book Antiqua" w:hAnsi="Book Antiqua" w:cs="Helvetica" w:hint="eastAsia"/>
          <w:b/>
        </w:rPr>
        <w:t xml:space="preserve"> </w:t>
      </w:r>
      <w:r w:rsidR="006C527D" w:rsidRPr="001326DA">
        <w:rPr>
          <w:rFonts w:ascii="Book Antiqua" w:hAnsi="Book Antiqua" w:cs="Helvetica"/>
          <w:b/>
        </w:rPr>
        <w:t xml:space="preserve">Demographics, co-morbidities and functional baseline of </w:t>
      </w:r>
      <w:r w:rsidR="00936AC6" w:rsidRPr="00936AC6">
        <w:rPr>
          <w:rFonts w:ascii="Book Antiqua" w:hAnsi="Book Antiqua" w:cs="Times New Roman"/>
          <w:b/>
          <w:color w:val="1A1A1A"/>
        </w:rPr>
        <w:t>Do Not Resuscitate</w:t>
      </w:r>
      <w:r w:rsidR="006C527D" w:rsidRPr="00936AC6">
        <w:rPr>
          <w:rFonts w:ascii="Book Antiqua" w:hAnsi="Book Antiqua" w:cs="Helvetica"/>
          <w:b/>
        </w:rPr>
        <w:t xml:space="preserve"> and </w:t>
      </w:r>
      <w:proofErr w:type="spellStart"/>
      <w:proofErr w:type="gramStart"/>
      <w:r w:rsidR="006C527D" w:rsidRPr="00936AC6">
        <w:rPr>
          <w:rFonts w:ascii="Book Antiqua" w:hAnsi="Book Antiqua" w:cs="Helvetica"/>
          <w:b/>
        </w:rPr>
        <w:t xml:space="preserve">non </w:t>
      </w:r>
      <w:r w:rsidR="00936AC6" w:rsidRPr="00936AC6">
        <w:rPr>
          <w:rFonts w:ascii="Book Antiqua" w:hAnsi="Book Antiqua" w:cs="Times New Roman"/>
          <w:b/>
          <w:color w:val="1A1A1A"/>
        </w:rPr>
        <w:t>Do</w:t>
      </w:r>
      <w:proofErr w:type="spellEnd"/>
      <w:proofErr w:type="gramEnd"/>
      <w:r w:rsidR="00936AC6" w:rsidRPr="00936AC6">
        <w:rPr>
          <w:rFonts w:ascii="Book Antiqua" w:hAnsi="Book Antiqua" w:cs="Times New Roman"/>
          <w:b/>
          <w:color w:val="1A1A1A"/>
        </w:rPr>
        <w:t xml:space="preserve"> Not Resuscitate</w:t>
      </w:r>
      <w:r w:rsidR="00936AC6">
        <w:rPr>
          <w:rFonts w:ascii="Book Antiqua" w:hAnsi="Book Antiqua" w:cs="Times New Roman" w:hint="eastAsia"/>
          <w:color w:val="1A1A1A"/>
          <w:lang w:eastAsia="zh-CN"/>
        </w:rPr>
        <w:t xml:space="preserve"> </w:t>
      </w:r>
      <w:r w:rsidR="006C527D" w:rsidRPr="001326DA">
        <w:rPr>
          <w:rFonts w:ascii="Book Antiqua" w:hAnsi="Book Antiqua" w:cs="Helvetica"/>
          <w:b/>
        </w:rPr>
        <w:t>status patients undergoing hip fracture surgery</w:t>
      </w:r>
      <w:r w:rsidR="006C527D" w:rsidRPr="001326DA">
        <w:rPr>
          <w:rFonts w:ascii="Book Antiqua" w:hAnsi="Book Antiqua" w:cs="Helvetica"/>
          <w:b/>
        </w:rPr>
        <w:tab/>
      </w:r>
    </w:p>
    <w:tbl>
      <w:tblPr>
        <w:tblW w:w="11340" w:type="dxa"/>
        <w:tblInd w:w="-1026" w:type="dxa"/>
        <w:tblLook w:val="04A0" w:firstRow="1" w:lastRow="0" w:firstColumn="1" w:lastColumn="0" w:noHBand="0" w:noVBand="1"/>
      </w:tblPr>
      <w:tblGrid>
        <w:gridCol w:w="2359"/>
        <w:gridCol w:w="1185"/>
        <w:gridCol w:w="992"/>
        <w:gridCol w:w="750"/>
        <w:gridCol w:w="948"/>
        <w:gridCol w:w="1182"/>
        <w:gridCol w:w="750"/>
        <w:gridCol w:w="2040"/>
        <w:gridCol w:w="1134"/>
      </w:tblGrid>
      <w:tr w:rsidR="00430572" w:rsidRPr="00430572" w14:paraId="083EB433" w14:textId="77777777" w:rsidTr="00430572">
        <w:trPr>
          <w:trHeight w:val="288"/>
        </w:trPr>
        <w:tc>
          <w:tcPr>
            <w:tcW w:w="2359" w:type="dxa"/>
            <w:vMerge w:val="restart"/>
            <w:tcBorders>
              <w:top w:val="single" w:sz="4" w:space="0" w:color="auto"/>
              <w:left w:val="nil"/>
              <w:right w:val="nil"/>
            </w:tcBorders>
            <w:shd w:val="clear" w:color="auto" w:fill="auto"/>
            <w:noWrap/>
            <w:hideMark/>
          </w:tcPr>
          <w:p w14:paraId="3A580FF8" w14:textId="77777777" w:rsidR="00430572" w:rsidRPr="00430572" w:rsidRDefault="00430572" w:rsidP="00430572">
            <w:pPr>
              <w:spacing w:line="360" w:lineRule="auto"/>
              <w:rPr>
                <w:rFonts w:ascii="Book Antiqua" w:hAnsi="Book Antiqua" w:cs="Times New Roman"/>
                <w:b/>
                <w:color w:val="000000"/>
                <w:lang w:eastAsia="zh-CN"/>
              </w:rPr>
            </w:pPr>
            <w:proofErr w:type="spellStart"/>
            <w:r w:rsidRPr="00430572">
              <w:rPr>
                <w:rFonts w:ascii="Book Antiqua" w:eastAsia="Times New Roman" w:hAnsi="Book Antiqua" w:cs="Times New Roman"/>
                <w:b/>
                <w:color w:val="000000"/>
                <w:lang w:eastAsia="zh-CN"/>
              </w:rPr>
              <w:t>Categ</w:t>
            </w:r>
            <w:proofErr w:type="spellEnd"/>
            <w:r>
              <w:rPr>
                <w:rFonts w:ascii="Book Antiqua" w:hAnsi="Book Antiqua" w:cs="Times New Roman" w:hint="eastAsia"/>
                <w:b/>
                <w:color w:val="000000"/>
                <w:lang w:eastAsia="zh-CN"/>
              </w:rPr>
              <w:t>.</w:t>
            </w:r>
          </w:p>
        </w:tc>
        <w:tc>
          <w:tcPr>
            <w:tcW w:w="2927" w:type="dxa"/>
            <w:gridSpan w:val="3"/>
            <w:tcBorders>
              <w:top w:val="single" w:sz="4" w:space="0" w:color="auto"/>
              <w:left w:val="nil"/>
              <w:right w:val="nil"/>
            </w:tcBorders>
            <w:shd w:val="clear" w:color="auto" w:fill="auto"/>
            <w:noWrap/>
            <w:hideMark/>
          </w:tcPr>
          <w:p w14:paraId="5F696DDE" w14:textId="77777777" w:rsidR="00430572" w:rsidRPr="00430572" w:rsidRDefault="007457AD" w:rsidP="00430572">
            <w:pPr>
              <w:spacing w:line="360" w:lineRule="auto"/>
              <w:jc w:val="center"/>
              <w:rPr>
                <w:rFonts w:ascii="Book Antiqua" w:eastAsia="Times New Roman" w:hAnsi="Book Antiqua" w:cs="Times New Roman"/>
                <w:b/>
                <w:color w:val="000000"/>
                <w:lang w:eastAsia="zh-CN"/>
              </w:rPr>
            </w:pPr>
            <w:r>
              <w:rPr>
                <w:rFonts w:ascii="Book Antiqua" w:eastAsia="Times New Roman" w:hAnsi="Book Antiqua" w:cs="Times New Roman"/>
                <w:b/>
                <w:noProof/>
                <w:color w:val="000000"/>
                <w:lang w:eastAsia="zh-CN"/>
              </w:rPr>
              <mc:AlternateContent>
                <mc:Choice Requires="wps">
                  <w:drawing>
                    <wp:anchor distT="0" distB="0" distL="114300" distR="114300" simplePos="0" relativeHeight="251665408" behindDoc="0" locked="0" layoutInCell="1" allowOverlap="1" wp14:anchorId="038CDCBF" wp14:editId="4DFD4D66">
                      <wp:simplePos x="0" y="0"/>
                      <wp:positionH relativeFrom="column">
                        <wp:posOffset>48895</wp:posOffset>
                      </wp:positionH>
                      <wp:positionV relativeFrom="paragraph">
                        <wp:posOffset>270510</wp:posOffset>
                      </wp:positionV>
                      <wp:extent cx="1657350" cy="0"/>
                      <wp:effectExtent l="19050" t="11430" r="25400" b="2667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555199" id="_x0000_t32" coordsize="21600,21600" o:spt="32" o:oned="t" path="m0,0l21600,21600e" filled="f">
                      <v:path arrowok="t" fillok="f" o:connecttype="none"/>
                      <o:lock v:ext="edit" shapetype="t"/>
                    </v:shapetype>
                    <v:shape id="AutoShape 7" o:spid="_x0000_s1026" type="#_x0000_t32" style="position:absolute;margin-left:3.85pt;margin-top:21.3pt;width:130.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"/>
                  </w:pict>
                </mc:Fallback>
              </mc:AlternateContent>
            </w:r>
            <w:r w:rsidR="00430572" w:rsidRPr="00430572">
              <w:rPr>
                <w:rFonts w:ascii="Book Antiqua" w:eastAsia="Times New Roman" w:hAnsi="Book Antiqua" w:cs="Times New Roman"/>
                <w:b/>
                <w:color w:val="000000"/>
                <w:lang w:eastAsia="zh-CN"/>
              </w:rPr>
              <w:t>DNR</w:t>
            </w:r>
          </w:p>
        </w:tc>
        <w:tc>
          <w:tcPr>
            <w:tcW w:w="2880" w:type="dxa"/>
            <w:gridSpan w:val="3"/>
            <w:tcBorders>
              <w:top w:val="single" w:sz="4" w:space="0" w:color="auto"/>
              <w:left w:val="nil"/>
              <w:bottom w:val="nil"/>
              <w:right w:val="nil"/>
            </w:tcBorders>
            <w:shd w:val="clear" w:color="auto" w:fill="auto"/>
            <w:noWrap/>
            <w:hideMark/>
          </w:tcPr>
          <w:p w14:paraId="6AA8BB9B" w14:textId="77777777" w:rsidR="00430572" w:rsidRPr="00430572" w:rsidRDefault="007457AD" w:rsidP="00430572">
            <w:pPr>
              <w:spacing w:line="360" w:lineRule="auto"/>
              <w:jc w:val="center"/>
              <w:rPr>
                <w:rFonts w:ascii="Book Antiqua" w:eastAsia="Times New Roman" w:hAnsi="Book Antiqua" w:cs="Times New Roman"/>
                <w:b/>
                <w:color w:val="000000"/>
                <w:lang w:eastAsia="zh-CN"/>
              </w:rPr>
            </w:pPr>
            <w:r>
              <w:rPr>
                <w:rFonts w:ascii="Book Antiqua" w:eastAsia="Times New Roman" w:hAnsi="Book Antiqua" w:cs="Times New Roman"/>
                <w:b/>
                <w:noProof/>
                <w:color w:val="000000"/>
                <w:lang w:eastAsia="zh-CN"/>
              </w:rPr>
              <mc:AlternateContent>
                <mc:Choice Requires="wps">
                  <w:drawing>
                    <wp:anchor distT="0" distB="0" distL="114300" distR="114300" simplePos="0" relativeHeight="251664384" behindDoc="0" locked="0" layoutInCell="1" allowOverlap="1" wp14:anchorId="098F1CDF" wp14:editId="5253502E">
                      <wp:simplePos x="0" y="0"/>
                      <wp:positionH relativeFrom="column">
                        <wp:posOffset>45720</wp:posOffset>
                      </wp:positionH>
                      <wp:positionV relativeFrom="paragraph">
                        <wp:posOffset>271780</wp:posOffset>
                      </wp:positionV>
                      <wp:extent cx="1657350" cy="0"/>
                      <wp:effectExtent l="7620" t="12700" r="24130" b="2540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DC5639" id="AutoShape 6" o:spid="_x0000_s1026" type="#_x0000_t32" style="position:absolute;margin-left:3.6pt;margin-top:21.4pt;width:130.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"/>
                  </w:pict>
                </mc:Fallback>
              </mc:AlternateContent>
            </w:r>
            <w:r w:rsidR="00430572" w:rsidRPr="00430572">
              <w:rPr>
                <w:rFonts w:ascii="Book Antiqua" w:eastAsia="Times New Roman" w:hAnsi="Book Antiqua" w:cs="Times New Roman"/>
                <w:b/>
                <w:color w:val="000000"/>
                <w:lang w:eastAsia="zh-CN"/>
              </w:rPr>
              <w:t>Not DNR</w:t>
            </w:r>
          </w:p>
        </w:tc>
        <w:tc>
          <w:tcPr>
            <w:tcW w:w="2040" w:type="dxa"/>
            <w:vMerge w:val="restart"/>
            <w:tcBorders>
              <w:top w:val="single" w:sz="4" w:space="0" w:color="auto"/>
              <w:left w:val="nil"/>
              <w:right w:val="nil"/>
            </w:tcBorders>
            <w:shd w:val="clear" w:color="auto" w:fill="auto"/>
            <w:noWrap/>
            <w:hideMark/>
          </w:tcPr>
          <w:p w14:paraId="663220F8" w14:textId="77777777" w:rsidR="00430572" w:rsidRPr="00430572" w:rsidRDefault="00430572" w:rsidP="00430572">
            <w:pPr>
              <w:spacing w:line="360" w:lineRule="auto"/>
              <w:jc w:val="center"/>
              <w:rPr>
                <w:rFonts w:ascii="Book Antiqua" w:eastAsia="Times New Roman" w:hAnsi="Book Antiqua" w:cs="Times New Roman"/>
                <w:b/>
                <w:color w:val="000000"/>
                <w:lang w:eastAsia="zh-CN"/>
              </w:rPr>
            </w:pPr>
            <w:r w:rsidRPr="00430572">
              <w:rPr>
                <w:rFonts w:ascii="Book Antiqua" w:eastAsia="Times New Roman" w:hAnsi="Book Antiqua" w:cs="Times New Roman"/>
                <w:b/>
                <w:color w:val="000000"/>
                <w:lang w:eastAsia="zh-CN"/>
              </w:rPr>
              <w:t>OR (95%CI)</w:t>
            </w:r>
          </w:p>
        </w:tc>
        <w:tc>
          <w:tcPr>
            <w:tcW w:w="1134" w:type="dxa"/>
            <w:vMerge w:val="restart"/>
            <w:tcBorders>
              <w:top w:val="single" w:sz="4" w:space="0" w:color="auto"/>
              <w:left w:val="nil"/>
              <w:right w:val="nil"/>
            </w:tcBorders>
            <w:shd w:val="clear" w:color="auto" w:fill="auto"/>
            <w:noWrap/>
            <w:hideMark/>
          </w:tcPr>
          <w:p w14:paraId="2C27A702" w14:textId="77777777" w:rsidR="00430572" w:rsidRPr="00430572" w:rsidRDefault="00430572" w:rsidP="00430572">
            <w:pPr>
              <w:spacing w:line="360" w:lineRule="auto"/>
              <w:jc w:val="center"/>
              <w:rPr>
                <w:rFonts w:ascii="Book Antiqua" w:eastAsia="Times New Roman" w:hAnsi="Book Antiqua" w:cs="Times New Roman"/>
                <w:b/>
                <w:color w:val="000000"/>
                <w:lang w:eastAsia="zh-CN"/>
              </w:rPr>
            </w:pPr>
            <w:r w:rsidRPr="00430572">
              <w:rPr>
                <w:rFonts w:ascii="Book Antiqua" w:eastAsia="Times New Roman" w:hAnsi="Book Antiqua" w:cs="Times New Roman"/>
                <w:b/>
                <w:i/>
                <w:color w:val="000000"/>
                <w:lang w:eastAsia="zh-CN"/>
              </w:rPr>
              <w:t xml:space="preserve">P </w:t>
            </w:r>
            <w:r w:rsidRPr="00430572">
              <w:rPr>
                <w:rFonts w:ascii="Book Antiqua" w:eastAsia="Times New Roman" w:hAnsi="Book Antiqua" w:cs="Times New Roman"/>
                <w:b/>
                <w:color w:val="000000"/>
                <w:lang w:eastAsia="zh-CN"/>
              </w:rPr>
              <w:t>values</w:t>
            </w:r>
          </w:p>
        </w:tc>
      </w:tr>
      <w:tr w:rsidR="00430572" w:rsidRPr="00430572" w14:paraId="6DCE77C5" w14:textId="77777777" w:rsidTr="00430572">
        <w:trPr>
          <w:trHeight w:val="288"/>
        </w:trPr>
        <w:tc>
          <w:tcPr>
            <w:tcW w:w="2359" w:type="dxa"/>
            <w:vMerge/>
            <w:tcBorders>
              <w:left w:val="nil"/>
              <w:bottom w:val="single" w:sz="4" w:space="0" w:color="auto"/>
              <w:right w:val="nil"/>
            </w:tcBorders>
            <w:shd w:val="clear" w:color="auto" w:fill="auto"/>
            <w:noWrap/>
            <w:hideMark/>
          </w:tcPr>
          <w:p w14:paraId="6893AC0B" w14:textId="77777777" w:rsidR="00430572" w:rsidRPr="00430572" w:rsidRDefault="00430572" w:rsidP="00430572">
            <w:pPr>
              <w:spacing w:line="360" w:lineRule="auto"/>
              <w:rPr>
                <w:rFonts w:ascii="Book Antiqua" w:eastAsia="Times New Roman" w:hAnsi="Book Antiqua" w:cs="Times New Roman"/>
                <w:b/>
                <w:color w:val="000000"/>
                <w:lang w:eastAsia="zh-CN"/>
              </w:rPr>
            </w:pPr>
          </w:p>
        </w:tc>
        <w:tc>
          <w:tcPr>
            <w:tcW w:w="1185" w:type="dxa"/>
            <w:tcBorders>
              <w:left w:val="nil"/>
              <w:bottom w:val="single" w:sz="4" w:space="0" w:color="auto"/>
              <w:right w:val="nil"/>
            </w:tcBorders>
            <w:shd w:val="clear" w:color="auto" w:fill="auto"/>
            <w:noWrap/>
            <w:hideMark/>
          </w:tcPr>
          <w:p w14:paraId="043BFF96" w14:textId="77777777" w:rsidR="00430572" w:rsidRPr="00430572" w:rsidRDefault="00430572" w:rsidP="00430572">
            <w:pPr>
              <w:spacing w:line="360" w:lineRule="auto"/>
              <w:jc w:val="center"/>
              <w:rPr>
                <w:rFonts w:ascii="Book Antiqua" w:eastAsia="Times New Roman" w:hAnsi="Book Antiqua" w:cs="Times New Roman"/>
                <w:b/>
                <w:color w:val="000000"/>
                <w:lang w:eastAsia="zh-CN"/>
              </w:rPr>
            </w:pPr>
            <w:proofErr w:type="spellStart"/>
            <w:r w:rsidRPr="00430572">
              <w:rPr>
                <w:rFonts w:ascii="Book Antiqua" w:eastAsia="Times New Roman" w:hAnsi="Book Antiqua" w:cs="Times New Roman"/>
                <w:b/>
                <w:color w:val="000000"/>
                <w:lang w:eastAsia="zh-CN"/>
              </w:rPr>
              <w:t>num</w:t>
            </w:r>
            <w:proofErr w:type="spellEnd"/>
          </w:p>
        </w:tc>
        <w:tc>
          <w:tcPr>
            <w:tcW w:w="992" w:type="dxa"/>
            <w:tcBorders>
              <w:left w:val="nil"/>
              <w:bottom w:val="single" w:sz="4" w:space="0" w:color="auto"/>
              <w:right w:val="nil"/>
            </w:tcBorders>
            <w:shd w:val="clear" w:color="auto" w:fill="auto"/>
            <w:noWrap/>
            <w:hideMark/>
          </w:tcPr>
          <w:p w14:paraId="0CC8CBF4" w14:textId="77777777" w:rsidR="00430572" w:rsidRPr="00430572" w:rsidRDefault="00430572" w:rsidP="00430572">
            <w:pPr>
              <w:spacing w:line="360" w:lineRule="auto"/>
              <w:jc w:val="center"/>
              <w:rPr>
                <w:rFonts w:ascii="Book Antiqua" w:eastAsia="Times New Roman" w:hAnsi="Book Antiqua" w:cs="Times New Roman"/>
                <w:b/>
                <w:color w:val="000000"/>
                <w:lang w:eastAsia="zh-CN"/>
              </w:rPr>
            </w:pPr>
            <w:proofErr w:type="spellStart"/>
            <w:r w:rsidRPr="00430572">
              <w:rPr>
                <w:rFonts w:ascii="Book Antiqua" w:eastAsia="Times New Roman" w:hAnsi="Book Antiqua" w:cs="Times New Roman"/>
                <w:b/>
                <w:color w:val="000000"/>
                <w:lang w:eastAsia="zh-CN"/>
              </w:rPr>
              <w:t>denom</w:t>
            </w:r>
            <w:proofErr w:type="spellEnd"/>
          </w:p>
        </w:tc>
        <w:tc>
          <w:tcPr>
            <w:tcW w:w="750" w:type="dxa"/>
            <w:tcBorders>
              <w:left w:val="nil"/>
              <w:bottom w:val="single" w:sz="4" w:space="0" w:color="auto"/>
              <w:right w:val="nil"/>
            </w:tcBorders>
            <w:shd w:val="clear" w:color="auto" w:fill="auto"/>
            <w:noWrap/>
            <w:hideMark/>
          </w:tcPr>
          <w:p w14:paraId="0E44F46F" w14:textId="77777777" w:rsidR="00430572" w:rsidRPr="00430572" w:rsidRDefault="00430572" w:rsidP="00430572">
            <w:pPr>
              <w:spacing w:line="360" w:lineRule="auto"/>
              <w:jc w:val="center"/>
              <w:rPr>
                <w:rFonts w:ascii="Book Antiqua" w:eastAsia="Times New Roman" w:hAnsi="Book Antiqua" w:cs="Times New Roman"/>
                <w:b/>
                <w:color w:val="000000"/>
                <w:lang w:eastAsia="zh-CN"/>
              </w:rPr>
            </w:pPr>
            <w:r w:rsidRPr="00430572">
              <w:rPr>
                <w:rFonts w:ascii="Book Antiqua" w:eastAsia="Times New Roman" w:hAnsi="Book Antiqua" w:cs="Times New Roman"/>
                <w:b/>
                <w:color w:val="000000"/>
                <w:lang w:eastAsia="zh-CN"/>
              </w:rPr>
              <w:t>%</w:t>
            </w:r>
          </w:p>
        </w:tc>
        <w:tc>
          <w:tcPr>
            <w:tcW w:w="948" w:type="dxa"/>
            <w:tcBorders>
              <w:top w:val="nil"/>
              <w:left w:val="nil"/>
              <w:bottom w:val="single" w:sz="4" w:space="0" w:color="auto"/>
              <w:right w:val="nil"/>
            </w:tcBorders>
            <w:shd w:val="clear" w:color="auto" w:fill="auto"/>
            <w:noWrap/>
            <w:hideMark/>
          </w:tcPr>
          <w:p w14:paraId="066200EC" w14:textId="77777777" w:rsidR="00430572" w:rsidRPr="00430572" w:rsidRDefault="00430572" w:rsidP="00430572">
            <w:pPr>
              <w:spacing w:line="360" w:lineRule="auto"/>
              <w:jc w:val="center"/>
              <w:rPr>
                <w:rFonts w:ascii="Book Antiqua" w:eastAsia="Times New Roman" w:hAnsi="Book Antiqua" w:cs="Times New Roman"/>
                <w:b/>
                <w:color w:val="000000"/>
                <w:lang w:eastAsia="zh-CN"/>
              </w:rPr>
            </w:pPr>
            <w:proofErr w:type="spellStart"/>
            <w:r w:rsidRPr="00430572">
              <w:rPr>
                <w:rFonts w:ascii="Book Antiqua" w:eastAsia="Times New Roman" w:hAnsi="Book Antiqua" w:cs="Times New Roman"/>
                <w:b/>
                <w:color w:val="000000"/>
                <w:lang w:eastAsia="zh-CN"/>
              </w:rPr>
              <w:t>num</w:t>
            </w:r>
            <w:proofErr w:type="spellEnd"/>
          </w:p>
        </w:tc>
        <w:tc>
          <w:tcPr>
            <w:tcW w:w="1182" w:type="dxa"/>
            <w:tcBorders>
              <w:top w:val="nil"/>
              <w:left w:val="nil"/>
              <w:bottom w:val="single" w:sz="4" w:space="0" w:color="auto"/>
              <w:right w:val="nil"/>
            </w:tcBorders>
            <w:shd w:val="clear" w:color="auto" w:fill="auto"/>
            <w:noWrap/>
            <w:hideMark/>
          </w:tcPr>
          <w:p w14:paraId="78CA12DB" w14:textId="77777777" w:rsidR="00430572" w:rsidRPr="00430572" w:rsidRDefault="00430572" w:rsidP="00430572">
            <w:pPr>
              <w:spacing w:line="360" w:lineRule="auto"/>
              <w:jc w:val="center"/>
              <w:rPr>
                <w:rFonts w:ascii="Book Antiqua" w:eastAsia="Times New Roman" w:hAnsi="Book Antiqua" w:cs="Times New Roman"/>
                <w:b/>
                <w:color w:val="000000"/>
                <w:lang w:eastAsia="zh-CN"/>
              </w:rPr>
            </w:pPr>
            <w:proofErr w:type="spellStart"/>
            <w:r w:rsidRPr="00430572">
              <w:rPr>
                <w:rFonts w:ascii="Book Antiqua" w:eastAsia="Times New Roman" w:hAnsi="Book Antiqua" w:cs="Times New Roman"/>
                <w:b/>
                <w:color w:val="000000"/>
                <w:lang w:eastAsia="zh-CN"/>
              </w:rPr>
              <w:t>denom</w:t>
            </w:r>
            <w:proofErr w:type="spellEnd"/>
          </w:p>
        </w:tc>
        <w:tc>
          <w:tcPr>
            <w:tcW w:w="750" w:type="dxa"/>
            <w:tcBorders>
              <w:top w:val="nil"/>
              <w:left w:val="nil"/>
              <w:bottom w:val="single" w:sz="4" w:space="0" w:color="auto"/>
              <w:right w:val="nil"/>
            </w:tcBorders>
            <w:shd w:val="clear" w:color="auto" w:fill="auto"/>
            <w:noWrap/>
            <w:hideMark/>
          </w:tcPr>
          <w:p w14:paraId="7B425371" w14:textId="77777777" w:rsidR="00430572" w:rsidRPr="00430572" w:rsidRDefault="00430572" w:rsidP="00430572">
            <w:pPr>
              <w:spacing w:line="360" w:lineRule="auto"/>
              <w:jc w:val="center"/>
              <w:rPr>
                <w:rFonts w:ascii="Book Antiqua" w:eastAsia="Times New Roman" w:hAnsi="Book Antiqua" w:cs="Times New Roman"/>
                <w:b/>
                <w:color w:val="000000"/>
                <w:lang w:eastAsia="zh-CN"/>
              </w:rPr>
            </w:pPr>
            <w:r w:rsidRPr="00430572">
              <w:rPr>
                <w:rFonts w:ascii="Book Antiqua" w:eastAsia="Times New Roman" w:hAnsi="Book Antiqua" w:cs="Times New Roman"/>
                <w:b/>
                <w:color w:val="000000"/>
                <w:lang w:eastAsia="zh-CN"/>
              </w:rPr>
              <w:t>%</w:t>
            </w:r>
          </w:p>
        </w:tc>
        <w:tc>
          <w:tcPr>
            <w:tcW w:w="2040" w:type="dxa"/>
            <w:vMerge/>
            <w:tcBorders>
              <w:left w:val="nil"/>
              <w:bottom w:val="single" w:sz="4" w:space="0" w:color="auto"/>
              <w:right w:val="nil"/>
            </w:tcBorders>
            <w:shd w:val="clear" w:color="auto" w:fill="auto"/>
            <w:noWrap/>
            <w:hideMark/>
          </w:tcPr>
          <w:p w14:paraId="3A8807DE" w14:textId="77777777" w:rsidR="00430572" w:rsidRPr="00430572" w:rsidRDefault="00430572" w:rsidP="00430572">
            <w:pPr>
              <w:spacing w:line="360" w:lineRule="auto"/>
              <w:jc w:val="center"/>
              <w:rPr>
                <w:rFonts w:ascii="Book Antiqua" w:eastAsia="Times New Roman" w:hAnsi="Book Antiqua" w:cs="Times New Roman"/>
                <w:b/>
                <w:color w:val="000000"/>
                <w:lang w:eastAsia="zh-CN"/>
              </w:rPr>
            </w:pPr>
          </w:p>
        </w:tc>
        <w:tc>
          <w:tcPr>
            <w:tcW w:w="1134" w:type="dxa"/>
            <w:vMerge/>
            <w:tcBorders>
              <w:left w:val="nil"/>
              <w:bottom w:val="single" w:sz="4" w:space="0" w:color="auto"/>
              <w:right w:val="nil"/>
            </w:tcBorders>
            <w:shd w:val="clear" w:color="auto" w:fill="auto"/>
            <w:noWrap/>
            <w:hideMark/>
          </w:tcPr>
          <w:p w14:paraId="0FA2A632" w14:textId="77777777" w:rsidR="00430572" w:rsidRPr="00430572" w:rsidRDefault="00430572" w:rsidP="00430572">
            <w:pPr>
              <w:spacing w:line="360" w:lineRule="auto"/>
              <w:jc w:val="center"/>
              <w:rPr>
                <w:rFonts w:ascii="Book Antiqua" w:eastAsia="Times New Roman" w:hAnsi="Book Antiqua" w:cs="Times New Roman"/>
                <w:b/>
                <w:color w:val="000000"/>
                <w:lang w:eastAsia="zh-CN"/>
              </w:rPr>
            </w:pPr>
          </w:p>
        </w:tc>
      </w:tr>
      <w:tr w:rsidR="00430572" w:rsidRPr="001326DA" w14:paraId="732BB567" w14:textId="77777777" w:rsidTr="00430572">
        <w:trPr>
          <w:trHeight w:val="1193"/>
        </w:trPr>
        <w:tc>
          <w:tcPr>
            <w:tcW w:w="2359" w:type="dxa"/>
            <w:tcBorders>
              <w:top w:val="single" w:sz="4" w:space="0" w:color="auto"/>
              <w:left w:val="nil"/>
              <w:right w:val="nil"/>
            </w:tcBorders>
            <w:shd w:val="clear" w:color="auto" w:fill="auto"/>
            <w:noWrap/>
            <w:hideMark/>
          </w:tcPr>
          <w:p w14:paraId="24D5B5D5" w14:textId="77777777" w:rsidR="00430572" w:rsidRPr="00430572" w:rsidRDefault="00430572" w:rsidP="00430572">
            <w:pPr>
              <w:spacing w:line="360" w:lineRule="auto"/>
              <w:rPr>
                <w:rFonts w:ascii="Book Antiqua" w:hAnsi="Book Antiqua" w:cs="Times New Roman"/>
                <w:color w:val="000000"/>
                <w:lang w:eastAsia="zh-CN"/>
              </w:rPr>
            </w:pPr>
            <w:r w:rsidRPr="001326DA">
              <w:rPr>
                <w:rFonts w:ascii="Book Antiqua" w:eastAsia="Times New Roman" w:hAnsi="Book Antiqua" w:cs="Times New Roman"/>
                <w:color w:val="000000"/>
                <w:lang w:eastAsia="zh-CN"/>
              </w:rPr>
              <w:t>Age</w:t>
            </w:r>
            <w:r>
              <w:rPr>
                <w:rFonts w:ascii="Book Antiqua" w:hAnsi="Book Antiqua" w:cs="Times New Roman" w:hint="eastAsia"/>
                <w:color w:val="000000"/>
                <w:lang w:eastAsia="zh-CN"/>
              </w:rPr>
              <w:t xml:space="preserve">, </w:t>
            </w:r>
            <w:r w:rsidRPr="001326DA">
              <w:rPr>
                <w:rFonts w:ascii="Book Antiqua" w:eastAsia="Times New Roman" w:hAnsi="Book Antiqua" w:cs="Times New Roman"/>
                <w:color w:val="000000"/>
                <w:lang w:eastAsia="zh-CN"/>
              </w:rPr>
              <w:t>mean (SD)</w:t>
            </w:r>
          </w:p>
        </w:tc>
        <w:tc>
          <w:tcPr>
            <w:tcW w:w="1185" w:type="dxa"/>
            <w:tcBorders>
              <w:top w:val="single" w:sz="4" w:space="0" w:color="auto"/>
              <w:left w:val="nil"/>
              <w:right w:val="nil"/>
            </w:tcBorders>
            <w:shd w:val="clear" w:color="auto" w:fill="auto"/>
            <w:noWrap/>
            <w:hideMark/>
          </w:tcPr>
          <w:p w14:paraId="35AD6A32" w14:textId="77777777" w:rsidR="00430572" w:rsidRPr="001326DA" w:rsidRDefault="00430572"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85.1</w:t>
            </w:r>
          </w:p>
        </w:tc>
        <w:tc>
          <w:tcPr>
            <w:tcW w:w="992" w:type="dxa"/>
            <w:tcBorders>
              <w:top w:val="single" w:sz="4" w:space="0" w:color="auto"/>
              <w:left w:val="nil"/>
              <w:right w:val="nil"/>
            </w:tcBorders>
            <w:shd w:val="clear" w:color="auto" w:fill="auto"/>
            <w:noWrap/>
            <w:hideMark/>
          </w:tcPr>
          <w:p w14:paraId="58CFD462" w14:textId="77777777" w:rsidR="00430572" w:rsidRPr="001326DA" w:rsidRDefault="00430572" w:rsidP="00430572">
            <w:pPr>
              <w:spacing w:line="360" w:lineRule="auto"/>
              <w:jc w:val="center"/>
              <w:rPr>
                <w:rFonts w:ascii="Book Antiqua" w:eastAsia="Times New Roman" w:hAnsi="Book Antiqua" w:cs="Times New Roman"/>
                <w:color w:val="000000"/>
                <w:lang w:eastAsia="zh-CN"/>
              </w:rPr>
            </w:pPr>
          </w:p>
        </w:tc>
        <w:tc>
          <w:tcPr>
            <w:tcW w:w="750" w:type="dxa"/>
            <w:tcBorders>
              <w:top w:val="single" w:sz="4" w:space="0" w:color="auto"/>
              <w:left w:val="nil"/>
              <w:right w:val="nil"/>
            </w:tcBorders>
            <w:shd w:val="clear" w:color="auto" w:fill="auto"/>
            <w:noWrap/>
            <w:hideMark/>
          </w:tcPr>
          <w:p w14:paraId="381393BC" w14:textId="77777777" w:rsidR="00430572" w:rsidRPr="001326DA" w:rsidRDefault="00430572"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6.7</w:t>
            </w:r>
          </w:p>
        </w:tc>
        <w:tc>
          <w:tcPr>
            <w:tcW w:w="948" w:type="dxa"/>
            <w:tcBorders>
              <w:top w:val="single" w:sz="4" w:space="0" w:color="auto"/>
              <w:left w:val="nil"/>
              <w:right w:val="nil"/>
            </w:tcBorders>
            <w:shd w:val="clear" w:color="auto" w:fill="auto"/>
            <w:noWrap/>
            <w:hideMark/>
          </w:tcPr>
          <w:p w14:paraId="62176EDC" w14:textId="77777777" w:rsidR="00430572" w:rsidRPr="00430572" w:rsidRDefault="00430572" w:rsidP="00430572">
            <w:pPr>
              <w:spacing w:line="360" w:lineRule="auto"/>
              <w:jc w:val="center"/>
              <w:rPr>
                <w:rFonts w:ascii="Book Antiqua" w:hAnsi="Book Antiqua" w:cs="Times New Roman"/>
                <w:color w:val="000000"/>
                <w:lang w:eastAsia="zh-CN"/>
              </w:rPr>
            </w:pPr>
            <w:r w:rsidRPr="001326DA">
              <w:rPr>
                <w:rFonts w:ascii="Book Antiqua" w:eastAsia="Times New Roman" w:hAnsi="Book Antiqua" w:cs="Times New Roman"/>
                <w:color w:val="000000"/>
                <w:lang w:eastAsia="zh-CN"/>
              </w:rPr>
              <w:t>77.55</w:t>
            </w:r>
          </w:p>
        </w:tc>
        <w:tc>
          <w:tcPr>
            <w:tcW w:w="1182" w:type="dxa"/>
            <w:tcBorders>
              <w:top w:val="single" w:sz="4" w:space="0" w:color="auto"/>
              <w:left w:val="nil"/>
              <w:right w:val="nil"/>
            </w:tcBorders>
            <w:shd w:val="clear" w:color="auto" w:fill="auto"/>
            <w:noWrap/>
            <w:hideMark/>
          </w:tcPr>
          <w:p w14:paraId="3804C66A" w14:textId="77777777" w:rsidR="00430572" w:rsidRPr="001326DA" w:rsidRDefault="00430572" w:rsidP="00430572">
            <w:pPr>
              <w:spacing w:line="360" w:lineRule="auto"/>
              <w:jc w:val="center"/>
              <w:rPr>
                <w:rFonts w:ascii="Book Antiqua" w:eastAsia="Times New Roman" w:hAnsi="Book Antiqua" w:cs="Times New Roman"/>
                <w:color w:val="000000"/>
                <w:lang w:eastAsia="zh-CN"/>
              </w:rPr>
            </w:pPr>
          </w:p>
        </w:tc>
        <w:tc>
          <w:tcPr>
            <w:tcW w:w="750" w:type="dxa"/>
            <w:tcBorders>
              <w:top w:val="single" w:sz="4" w:space="0" w:color="auto"/>
              <w:left w:val="nil"/>
              <w:right w:val="nil"/>
            </w:tcBorders>
            <w:shd w:val="clear" w:color="auto" w:fill="auto"/>
            <w:noWrap/>
            <w:hideMark/>
          </w:tcPr>
          <w:p w14:paraId="2A3C97D7" w14:textId="77777777" w:rsidR="00430572" w:rsidRPr="001326DA" w:rsidRDefault="00430572"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12.3</w:t>
            </w:r>
          </w:p>
        </w:tc>
        <w:tc>
          <w:tcPr>
            <w:tcW w:w="2040" w:type="dxa"/>
            <w:tcBorders>
              <w:top w:val="single" w:sz="4" w:space="0" w:color="auto"/>
              <w:left w:val="nil"/>
              <w:right w:val="nil"/>
            </w:tcBorders>
            <w:shd w:val="clear" w:color="auto" w:fill="auto"/>
            <w:noWrap/>
            <w:hideMark/>
          </w:tcPr>
          <w:p w14:paraId="7199E9F2" w14:textId="77777777" w:rsidR="00430572" w:rsidRPr="001326DA" w:rsidRDefault="00430572"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1.098 (1.088-1.109)</w:t>
            </w:r>
          </w:p>
        </w:tc>
        <w:tc>
          <w:tcPr>
            <w:tcW w:w="1134" w:type="dxa"/>
            <w:tcBorders>
              <w:top w:val="single" w:sz="4" w:space="0" w:color="auto"/>
              <w:left w:val="nil"/>
              <w:right w:val="nil"/>
            </w:tcBorders>
            <w:shd w:val="clear" w:color="auto" w:fill="auto"/>
            <w:noWrap/>
            <w:hideMark/>
          </w:tcPr>
          <w:p w14:paraId="38B0D6C2" w14:textId="77777777" w:rsidR="00430572" w:rsidRPr="001326DA" w:rsidRDefault="00430572"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&lt; 0.001</w:t>
            </w:r>
          </w:p>
        </w:tc>
      </w:tr>
      <w:tr w:rsidR="001326DA" w:rsidRPr="001326DA" w14:paraId="3F68CE02" w14:textId="77777777" w:rsidTr="00430572">
        <w:trPr>
          <w:trHeight w:val="288"/>
        </w:trPr>
        <w:tc>
          <w:tcPr>
            <w:tcW w:w="2359" w:type="dxa"/>
            <w:tcBorders>
              <w:top w:val="nil"/>
              <w:left w:val="nil"/>
              <w:bottom w:val="nil"/>
              <w:right w:val="nil"/>
            </w:tcBorders>
            <w:shd w:val="clear" w:color="auto" w:fill="auto"/>
            <w:noWrap/>
            <w:hideMark/>
          </w:tcPr>
          <w:p w14:paraId="6EDB23F4" w14:textId="77777777" w:rsidR="001326DA" w:rsidRPr="001326DA" w:rsidRDefault="001326DA" w:rsidP="00430572">
            <w:pPr>
              <w:spacing w:line="360" w:lineRule="auto"/>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[0,65)</w:t>
            </w:r>
          </w:p>
        </w:tc>
        <w:tc>
          <w:tcPr>
            <w:tcW w:w="1185" w:type="dxa"/>
            <w:tcBorders>
              <w:top w:val="nil"/>
              <w:left w:val="nil"/>
              <w:bottom w:val="nil"/>
              <w:right w:val="nil"/>
            </w:tcBorders>
            <w:shd w:val="clear" w:color="auto" w:fill="auto"/>
            <w:noWrap/>
            <w:hideMark/>
          </w:tcPr>
          <w:p w14:paraId="67FF4B70"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26</w:t>
            </w:r>
          </w:p>
        </w:tc>
        <w:tc>
          <w:tcPr>
            <w:tcW w:w="992" w:type="dxa"/>
            <w:tcBorders>
              <w:top w:val="nil"/>
              <w:left w:val="nil"/>
              <w:bottom w:val="nil"/>
              <w:right w:val="nil"/>
            </w:tcBorders>
            <w:shd w:val="clear" w:color="auto" w:fill="auto"/>
            <w:noWrap/>
            <w:hideMark/>
          </w:tcPr>
          <w:p w14:paraId="47FDF502"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1256</w:t>
            </w:r>
          </w:p>
        </w:tc>
        <w:tc>
          <w:tcPr>
            <w:tcW w:w="750" w:type="dxa"/>
            <w:tcBorders>
              <w:top w:val="nil"/>
              <w:left w:val="nil"/>
              <w:bottom w:val="nil"/>
              <w:right w:val="nil"/>
            </w:tcBorders>
            <w:shd w:val="clear" w:color="auto" w:fill="auto"/>
            <w:noWrap/>
            <w:hideMark/>
          </w:tcPr>
          <w:p w14:paraId="74AD2816"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2.1</w:t>
            </w:r>
          </w:p>
        </w:tc>
        <w:tc>
          <w:tcPr>
            <w:tcW w:w="948" w:type="dxa"/>
            <w:tcBorders>
              <w:top w:val="nil"/>
              <w:left w:val="nil"/>
              <w:bottom w:val="nil"/>
              <w:right w:val="nil"/>
            </w:tcBorders>
            <w:shd w:val="clear" w:color="auto" w:fill="auto"/>
            <w:noWrap/>
            <w:hideMark/>
          </w:tcPr>
          <w:p w14:paraId="31E7D672"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1188</w:t>
            </w:r>
          </w:p>
        </w:tc>
        <w:tc>
          <w:tcPr>
            <w:tcW w:w="1182" w:type="dxa"/>
            <w:tcBorders>
              <w:top w:val="nil"/>
              <w:left w:val="nil"/>
              <w:bottom w:val="nil"/>
              <w:right w:val="nil"/>
            </w:tcBorders>
            <w:shd w:val="clear" w:color="auto" w:fill="auto"/>
            <w:noWrap/>
            <w:hideMark/>
          </w:tcPr>
          <w:p w14:paraId="261A9008"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7962</w:t>
            </w:r>
          </w:p>
        </w:tc>
        <w:tc>
          <w:tcPr>
            <w:tcW w:w="750" w:type="dxa"/>
            <w:tcBorders>
              <w:top w:val="nil"/>
              <w:left w:val="nil"/>
              <w:bottom w:val="nil"/>
              <w:right w:val="nil"/>
            </w:tcBorders>
            <w:shd w:val="clear" w:color="auto" w:fill="auto"/>
            <w:noWrap/>
            <w:hideMark/>
          </w:tcPr>
          <w:p w14:paraId="64145AB8"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14.9</w:t>
            </w:r>
          </w:p>
        </w:tc>
        <w:tc>
          <w:tcPr>
            <w:tcW w:w="2040" w:type="dxa"/>
            <w:tcBorders>
              <w:top w:val="nil"/>
              <w:left w:val="nil"/>
              <w:bottom w:val="nil"/>
              <w:right w:val="nil"/>
            </w:tcBorders>
            <w:shd w:val="clear" w:color="auto" w:fill="auto"/>
            <w:noWrap/>
            <w:hideMark/>
          </w:tcPr>
          <w:p w14:paraId="7BE9408C"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Reference</w:t>
            </w:r>
          </w:p>
        </w:tc>
        <w:tc>
          <w:tcPr>
            <w:tcW w:w="1134" w:type="dxa"/>
            <w:tcBorders>
              <w:top w:val="nil"/>
              <w:left w:val="nil"/>
              <w:bottom w:val="nil"/>
              <w:right w:val="nil"/>
            </w:tcBorders>
            <w:shd w:val="clear" w:color="auto" w:fill="auto"/>
            <w:noWrap/>
            <w:hideMark/>
          </w:tcPr>
          <w:p w14:paraId="3E5E36CB"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&lt; 0.001</w:t>
            </w:r>
          </w:p>
        </w:tc>
      </w:tr>
      <w:tr w:rsidR="001326DA" w:rsidRPr="001326DA" w14:paraId="024F4E13" w14:textId="77777777" w:rsidTr="00430572">
        <w:trPr>
          <w:trHeight w:val="288"/>
        </w:trPr>
        <w:tc>
          <w:tcPr>
            <w:tcW w:w="2359" w:type="dxa"/>
            <w:tcBorders>
              <w:top w:val="nil"/>
              <w:left w:val="nil"/>
              <w:bottom w:val="nil"/>
              <w:right w:val="nil"/>
            </w:tcBorders>
            <w:shd w:val="clear" w:color="auto" w:fill="auto"/>
            <w:noWrap/>
            <w:hideMark/>
          </w:tcPr>
          <w:p w14:paraId="32B3E869" w14:textId="77777777" w:rsidR="001326DA" w:rsidRPr="001326DA" w:rsidRDefault="001326DA" w:rsidP="00430572">
            <w:pPr>
              <w:spacing w:line="360" w:lineRule="auto"/>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[65,80)</w:t>
            </w:r>
          </w:p>
        </w:tc>
        <w:tc>
          <w:tcPr>
            <w:tcW w:w="1185" w:type="dxa"/>
            <w:tcBorders>
              <w:top w:val="nil"/>
              <w:left w:val="nil"/>
              <w:bottom w:val="nil"/>
              <w:right w:val="nil"/>
            </w:tcBorders>
            <w:shd w:val="clear" w:color="auto" w:fill="auto"/>
            <w:noWrap/>
            <w:hideMark/>
          </w:tcPr>
          <w:p w14:paraId="3AE7DB23"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169</w:t>
            </w:r>
          </w:p>
        </w:tc>
        <w:tc>
          <w:tcPr>
            <w:tcW w:w="992" w:type="dxa"/>
            <w:tcBorders>
              <w:top w:val="nil"/>
              <w:left w:val="nil"/>
              <w:bottom w:val="nil"/>
              <w:right w:val="nil"/>
            </w:tcBorders>
            <w:shd w:val="clear" w:color="auto" w:fill="auto"/>
            <w:noWrap/>
            <w:hideMark/>
          </w:tcPr>
          <w:p w14:paraId="6BCEA321"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1256</w:t>
            </w:r>
          </w:p>
        </w:tc>
        <w:tc>
          <w:tcPr>
            <w:tcW w:w="750" w:type="dxa"/>
            <w:tcBorders>
              <w:top w:val="nil"/>
              <w:left w:val="nil"/>
              <w:bottom w:val="nil"/>
              <w:right w:val="nil"/>
            </w:tcBorders>
            <w:shd w:val="clear" w:color="auto" w:fill="auto"/>
            <w:noWrap/>
            <w:hideMark/>
          </w:tcPr>
          <w:p w14:paraId="71552BE3"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13.5</w:t>
            </w:r>
          </w:p>
        </w:tc>
        <w:tc>
          <w:tcPr>
            <w:tcW w:w="948" w:type="dxa"/>
            <w:tcBorders>
              <w:top w:val="nil"/>
              <w:left w:val="nil"/>
              <w:bottom w:val="nil"/>
              <w:right w:val="nil"/>
            </w:tcBorders>
            <w:shd w:val="clear" w:color="auto" w:fill="auto"/>
            <w:noWrap/>
            <w:hideMark/>
          </w:tcPr>
          <w:p w14:paraId="6B8189E4"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2384</w:t>
            </w:r>
          </w:p>
        </w:tc>
        <w:tc>
          <w:tcPr>
            <w:tcW w:w="1182" w:type="dxa"/>
            <w:tcBorders>
              <w:top w:val="nil"/>
              <w:left w:val="nil"/>
              <w:bottom w:val="nil"/>
              <w:right w:val="nil"/>
            </w:tcBorders>
            <w:shd w:val="clear" w:color="auto" w:fill="auto"/>
            <w:noWrap/>
            <w:hideMark/>
          </w:tcPr>
          <w:p w14:paraId="6393D55B"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7962</w:t>
            </w:r>
          </w:p>
        </w:tc>
        <w:tc>
          <w:tcPr>
            <w:tcW w:w="750" w:type="dxa"/>
            <w:tcBorders>
              <w:top w:val="nil"/>
              <w:left w:val="nil"/>
              <w:bottom w:val="nil"/>
              <w:right w:val="nil"/>
            </w:tcBorders>
            <w:shd w:val="clear" w:color="auto" w:fill="auto"/>
            <w:noWrap/>
            <w:hideMark/>
          </w:tcPr>
          <w:p w14:paraId="396CE2B2"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29.9</w:t>
            </w:r>
          </w:p>
        </w:tc>
        <w:tc>
          <w:tcPr>
            <w:tcW w:w="2040" w:type="dxa"/>
            <w:tcBorders>
              <w:top w:val="nil"/>
              <w:left w:val="nil"/>
              <w:bottom w:val="nil"/>
              <w:right w:val="nil"/>
            </w:tcBorders>
            <w:shd w:val="clear" w:color="auto" w:fill="auto"/>
            <w:noWrap/>
            <w:hideMark/>
          </w:tcPr>
          <w:p w14:paraId="214189F4"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3.239 (2.131-4.923)</w:t>
            </w:r>
          </w:p>
        </w:tc>
        <w:tc>
          <w:tcPr>
            <w:tcW w:w="1134" w:type="dxa"/>
            <w:tcBorders>
              <w:top w:val="nil"/>
              <w:left w:val="nil"/>
              <w:bottom w:val="nil"/>
              <w:right w:val="nil"/>
            </w:tcBorders>
            <w:shd w:val="clear" w:color="auto" w:fill="auto"/>
            <w:noWrap/>
            <w:hideMark/>
          </w:tcPr>
          <w:p w14:paraId="6A560D76"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p>
        </w:tc>
      </w:tr>
      <w:tr w:rsidR="001326DA" w:rsidRPr="001326DA" w14:paraId="38E0CA7B" w14:textId="77777777" w:rsidTr="00430572">
        <w:trPr>
          <w:trHeight w:val="288"/>
        </w:trPr>
        <w:tc>
          <w:tcPr>
            <w:tcW w:w="2359" w:type="dxa"/>
            <w:tcBorders>
              <w:top w:val="nil"/>
              <w:left w:val="nil"/>
              <w:bottom w:val="nil"/>
              <w:right w:val="nil"/>
            </w:tcBorders>
            <w:shd w:val="clear" w:color="auto" w:fill="auto"/>
            <w:noWrap/>
            <w:hideMark/>
          </w:tcPr>
          <w:p w14:paraId="3772D916" w14:textId="77777777" w:rsidR="001326DA" w:rsidRPr="001326DA" w:rsidRDefault="001326DA" w:rsidP="00430572">
            <w:pPr>
              <w:spacing w:line="360" w:lineRule="auto"/>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[80,100)</w:t>
            </w:r>
          </w:p>
        </w:tc>
        <w:tc>
          <w:tcPr>
            <w:tcW w:w="1185" w:type="dxa"/>
            <w:tcBorders>
              <w:top w:val="nil"/>
              <w:left w:val="nil"/>
              <w:bottom w:val="nil"/>
              <w:right w:val="nil"/>
            </w:tcBorders>
            <w:shd w:val="clear" w:color="auto" w:fill="auto"/>
            <w:noWrap/>
            <w:hideMark/>
          </w:tcPr>
          <w:p w14:paraId="4BFF04F3"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1061</w:t>
            </w:r>
          </w:p>
        </w:tc>
        <w:tc>
          <w:tcPr>
            <w:tcW w:w="992" w:type="dxa"/>
            <w:tcBorders>
              <w:top w:val="nil"/>
              <w:left w:val="nil"/>
              <w:bottom w:val="nil"/>
              <w:right w:val="nil"/>
            </w:tcBorders>
            <w:shd w:val="clear" w:color="auto" w:fill="auto"/>
            <w:noWrap/>
            <w:hideMark/>
          </w:tcPr>
          <w:p w14:paraId="116DB499"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1256</w:t>
            </w:r>
          </w:p>
        </w:tc>
        <w:tc>
          <w:tcPr>
            <w:tcW w:w="750" w:type="dxa"/>
            <w:tcBorders>
              <w:top w:val="nil"/>
              <w:left w:val="nil"/>
              <w:bottom w:val="nil"/>
              <w:right w:val="nil"/>
            </w:tcBorders>
            <w:shd w:val="clear" w:color="auto" w:fill="auto"/>
            <w:noWrap/>
            <w:hideMark/>
          </w:tcPr>
          <w:p w14:paraId="38B60EA6"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84.5</w:t>
            </w:r>
          </w:p>
        </w:tc>
        <w:tc>
          <w:tcPr>
            <w:tcW w:w="948" w:type="dxa"/>
            <w:tcBorders>
              <w:top w:val="nil"/>
              <w:left w:val="nil"/>
              <w:bottom w:val="nil"/>
              <w:right w:val="nil"/>
            </w:tcBorders>
            <w:shd w:val="clear" w:color="auto" w:fill="auto"/>
            <w:noWrap/>
            <w:hideMark/>
          </w:tcPr>
          <w:p w14:paraId="3B5CD191"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4390</w:t>
            </w:r>
          </w:p>
        </w:tc>
        <w:tc>
          <w:tcPr>
            <w:tcW w:w="1182" w:type="dxa"/>
            <w:tcBorders>
              <w:top w:val="nil"/>
              <w:left w:val="nil"/>
              <w:bottom w:val="nil"/>
              <w:right w:val="nil"/>
            </w:tcBorders>
            <w:shd w:val="clear" w:color="auto" w:fill="auto"/>
            <w:noWrap/>
            <w:hideMark/>
          </w:tcPr>
          <w:p w14:paraId="72E08AA7"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7962</w:t>
            </w:r>
          </w:p>
        </w:tc>
        <w:tc>
          <w:tcPr>
            <w:tcW w:w="750" w:type="dxa"/>
            <w:tcBorders>
              <w:top w:val="nil"/>
              <w:left w:val="nil"/>
              <w:bottom w:val="nil"/>
              <w:right w:val="nil"/>
            </w:tcBorders>
            <w:shd w:val="clear" w:color="auto" w:fill="auto"/>
            <w:noWrap/>
            <w:hideMark/>
          </w:tcPr>
          <w:p w14:paraId="2B3426D9"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55.1</w:t>
            </w:r>
          </w:p>
        </w:tc>
        <w:tc>
          <w:tcPr>
            <w:tcW w:w="2040" w:type="dxa"/>
            <w:tcBorders>
              <w:top w:val="nil"/>
              <w:left w:val="nil"/>
              <w:bottom w:val="nil"/>
              <w:right w:val="nil"/>
            </w:tcBorders>
            <w:shd w:val="clear" w:color="auto" w:fill="auto"/>
            <w:noWrap/>
            <w:hideMark/>
          </w:tcPr>
          <w:p w14:paraId="0AC3282E"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11.043 (7.445-16.381)</w:t>
            </w:r>
          </w:p>
        </w:tc>
        <w:tc>
          <w:tcPr>
            <w:tcW w:w="1134" w:type="dxa"/>
            <w:tcBorders>
              <w:top w:val="nil"/>
              <w:left w:val="nil"/>
              <w:bottom w:val="nil"/>
              <w:right w:val="nil"/>
            </w:tcBorders>
            <w:shd w:val="clear" w:color="auto" w:fill="auto"/>
            <w:noWrap/>
            <w:hideMark/>
          </w:tcPr>
          <w:p w14:paraId="7BE91BEA"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p>
        </w:tc>
      </w:tr>
      <w:tr w:rsidR="001326DA" w:rsidRPr="001326DA" w14:paraId="16883BD6" w14:textId="77777777" w:rsidTr="00430572">
        <w:trPr>
          <w:trHeight w:val="288"/>
        </w:trPr>
        <w:tc>
          <w:tcPr>
            <w:tcW w:w="2359" w:type="dxa"/>
            <w:tcBorders>
              <w:top w:val="nil"/>
              <w:left w:val="nil"/>
              <w:bottom w:val="nil"/>
              <w:right w:val="nil"/>
            </w:tcBorders>
            <w:shd w:val="clear" w:color="auto" w:fill="auto"/>
            <w:noWrap/>
            <w:hideMark/>
          </w:tcPr>
          <w:p w14:paraId="22C4AEDF" w14:textId="77777777" w:rsidR="001326DA" w:rsidRPr="001326DA" w:rsidRDefault="001326DA" w:rsidP="00430572">
            <w:pPr>
              <w:spacing w:line="360" w:lineRule="auto"/>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Sex</w:t>
            </w:r>
          </w:p>
        </w:tc>
        <w:tc>
          <w:tcPr>
            <w:tcW w:w="1185" w:type="dxa"/>
            <w:tcBorders>
              <w:top w:val="nil"/>
              <w:left w:val="nil"/>
              <w:bottom w:val="nil"/>
              <w:right w:val="nil"/>
            </w:tcBorders>
            <w:shd w:val="clear" w:color="auto" w:fill="auto"/>
            <w:noWrap/>
            <w:hideMark/>
          </w:tcPr>
          <w:p w14:paraId="6E7560D9"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p>
        </w:tc>
        <w:tc>
          <w:tcPr>
            <w:tcW w:w="992" w:type="dxa"/>
            <w:tcBorders>
              <w:top w:val="nil"/>
              <w:left w:val="nil"/>
              <w:bottom w:val="nil"/>
              <w:right w:val="nil"/>
            </w:tcBorders>
            <w:shd w:val="clear" w:color="auto" w:fill="auto"/>
            <w:noWrap/>
            <w:hideMark/>
          </w:tcPr>
          <w:p w14:paraId="28115BBF"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p>
        </w:tc>
        <w:tc>
          <w:tcPr>
            <w:tcW w:w="750" w:type="dxa"/>
            <w:tcBorders>
              <w:top w:val="nil"/>
              <w:left w:val="nil"/>
              <w:bottom w:val="nil"/>
              <w:right w:val="nil"/>
            </w:tcBorders>
            <w:shd w:val="clear" w:color="auto" w:fill="auto"/>
            <w:noWrap/>
            <w:hideMark/>
          </w:tcPr>
          <w:p w14:paraId="3CF96C0E"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p>
        </w:tc>
        <w:tc>
          <w:tcPr>
            <w:tcW w:w="948" w:type="dxa"/>
            <w:tcBorders>
              <w:top w:val="nil"/>
              <w:left w:val="nil"/>
              <w:bottom w:val="nil"/>
              <w:right w:val="nil"/>
            </w:tcBorders>
            <w:shd w:val="clear" w:color="auto" w:fill="auto"/>
            <w:noWrap/>
            <w:hideMark/>
          </w:tcPr>
          <w:p w14:paraId="47B31B5E"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p>
        </w:tc>
        <w:tc>
          <w:tcPr>
            <w:tcW w:w="1182" w:type="dxa"/>
            <w:tcBorders>
              <w:top w:val="nil"/>
              <w:left w:val="nil"/>
              <w:bottom w:val="nil"/>
              <w:right w:val="nil"/>
            </w:tcBorders>
            <w:shd w:val="clear" w:color="auto" w:fill="auto"/>
            <w:noWrap/>
            <w:hideMark/>
          </w:tcPr>
          <w:p w14:paraId="3D2DCD86"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p>
        </w:tc>
        <w:tc>
          <w:tcPr>
            <w:tcW w:w="750" w:type="dxa"/>
            <w:tcBorders>
              <w:top w:val="nil"/>
              <w:left w:val="nil"/>
              <w:bottom w:val="nil"/>
              <w:right w:val="nil"/>
            </w:tcBorders>
            <w:shd w:val="clear" w:color="auto" w:fill="auto"/>
            <w:noWrap/>
            <w:hideMark/>
          </w:tcPr>
          <w:p w14:paraId="2132687F"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p>
        </w:tc>
        <w:tc>
          <w:tcPr>
            <w:tcW w:w="2040" w:type="dxa"/>
            <w:tcBorders>
              <w:top w:val="nil"/>
              <w:left w:val="nil"/>
              <w:bottom w:val="nil"/>
              <w:right w:val="nil"/>
            </w:tcBorders>
            <w:shd w:val="clear" w:color="auto" w:fill="auto"/>
            <w:noWrap/>
            <w:hideMark/>
          </w:tcPr>
          <w:p w14:paraId="25DF894F"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p>
        </w:tc>
        <w:tc>
          <w:tcPr>
            <w:tcW w:w="1134" w:type="dxa"/>
            <w:tcBorders>
              <w:top w:val="nil"/>
              <w:left w:val="nil"/>
              <w:bottom w:val="nil"/>
              <w:right w:val="nil"/>
            </w:tcBorders>
            <w:shd w:val="clear" w:color="auto" w:fill="auto"/>
            <w:noWrap/>
            <w:hideMark/>
          </w:tcPr>
          <w:p w14:paraId="0BA365E2"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p>
        </w:tc>
      </w:tr>
      <w:tr w:rsidR="001326DA" w:rsidRPr="001326DA" w14:paraId="6CF17239" w14:textId="77777777" w:rsidTr="00430572">
        <w:trPr>
          <w:trHeight w:val="288"/>
        </w:trPr>
        <w:tc>
          <w:tcPr>
            <w:tcW w:w="2359" w:type="dxa"/>
            <w:tcBorders>
              <w:top w:val="nil"/>
              <w:left w:val="nil"/>
              <w:bottom w:val="nil"/>
              <w:right w:val="nil"/>
            </w:tcBorders>
            <w:shd w:val="clear" w:color="auto" w:fill="auto"/>
            <w:noWrap/>
            <w:hideMark/>
          </w:tcPr>
          <w:p w14:paraId="036C4515" w14:textId="77777777" w:rsidR="001326DA" w:rsidRPr="001326DA" w:rsidRDefault="001326DA" w:rsidP="00430572">
            <w:pPr>
              <w:spacing w:line="360" w:lineRule="auto"/>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Male</w:t>
            </w:r>
          </w:p>
        </w:tc>
        <w:tc>
          <w:tcPr>
            <w:tcW w:w="1185" w:type="dxa"/>
            <w:tcBorders>
              <w:top w:val="nil"/>
              <w:left w:val="nil"/>
              <w:bottom w:val="nil"/>
              <w:right w:val="nil"/>
            </w:tcBorders>
            <w:shd w:val="clear" w:color="auto" w:fill="auto"/>
            <w:noWrap/>
            <w:hideMark/>
          </w:tcPr>
          <w:p w14:paraId="6BA2DCEA"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313</w:t>
            </w:r>
          </w:p>
        </w:tc>
        <w:tc>
          <w:tcPr>
            <w:tcW w:w="992" w:type="dxa"/>
            <w:tcBorders>
              <w:top w:val="nil"/>
              <w:left w:val="nil"/>
              <w:bottom w:val="nil"/>
              <w:right w:val="nil"/>
            </w:tcBorders>
            <w:shd w:val="clear" w:color="auto" w:fill="auto"/>
            <w:noWrap/>
            <w:hideMark/>
          </w:tcPr>
          <w:p w14:paraId="6201F63D"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1254</w:t>
            </w:r>
          </w:p>
        </w:tc>
        <w:tc>
          <w:tcPr>
            <w:tcW w:w="750" w:type="dxa"/>
            <w:tcBorders>
              <w:top w:val="nil"/>
              <w:left w:val="nil"/>
              <w:bottom w:val="nil"/>
              <w:right w:val="nil"/>
            </w:tcBorders>
            <w:shd w:val="clear" w:color="auto" w:fill="auto"/>
            <w:noWrap/>
            <w:hideMark/>
          </w:tcPr>
          <w:p w14:paraId="00507E78"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25.0</w:t>
            </w:r>
          </w:p>
        </w:tc>
        <w:tc>
          <w:tcPr>
            <w:tcW w:w="948" w:type="dxa"/>
            <w:tcBorders>
              <w:top w:val="nil"/>
              <w:left w:val="nil"/>
              <w:bottom w:val="nil"/>
              <w:right w:val="nil"/>
            </w:tcBorders>
            <w:shd w:val="clear" w:color="auto" w:fill="auto"/>
            <w:noWrap/>
            <w:hideMark/>
          </w:tcPr>
          <w:p w14:paraId="2B10822F"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2395</w:t>
            </w:r>
          </w:p>
        </w:tc>
        <w:tc>
          <w:tcPr>
            <w:tcW w:w="1182" w:type="dxa"/>
            <w:tcBorders>
              <w:top w:val="nil"/>
              <w:left w:val="nil"/>
              <w:bottom w:val="nil"/>
              <w:right w:val="nil"/>
            </w:tcBorders>
            <w:shd w:val="clear" w:color="auto" w:fill="auto"/>
            <w:noWrap/>
            <w:hideMark/>
          </w:tcPr>
          <w:p w14:paraId="335F0E95"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7950</w:t>
            </w:r>
          </w:p>
        </w:tc>
        <w:tc>
          <w:tcPr>
            <w:tcW w:w="750" w:type="dxa"/>
            <w:tcBorders>
              <w:top w:val="nil"/>
              <w:left w:val="nil"/>
              <w:bottom w:val="nil"/>
              <w:right w:val="nil"/>
            </w:tcBorders>
            <w:shd w:val="clear" w:color="auto" w:fill="auto"/>
            <w:noWrap/>
            <w:hideMark/>
          </w:tcPr>
          <w:p w14:paraId="60BF3342"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30.1</w:t>
            </w:r>
          </w:p>
        </w:tc>
        <w:tc>
          <w:tcPr>
            <w:tcW w:w="2040" w:type="dxa"/>
            <w:tcBorders>
              <w:top w:val="nil"/>
              <w:left w:val="nil"/>
              <w:bottom w:val="nil"/>
              <w:right w:val="nil"/>
            </w:tcBorders>
            <w:shd w:val="clear" w:color="auto" w:fill="auto"/>
            <w:noWrap/>
            <w:hideMark/>
          </w:tcPr>
          <w:p w14:paraId="221E4F9B"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Reference</w:t>
            </w:r>
          </w:p>
        </w:tc>
        <w:tc>
          <w:tcPr>
            <w:tcW w:w="1134" w:type="dxa"/>
            <w:tcBorders>
              <w:top w:val="nil"/>
              <w:left w:val="nil"/>
              <w:bottom w:val="nil"/>
              <w:right w:val="nil"/>
            </w:tcBorders>
            <w:shd w:val="clear" w:color="auto" w:fill="auto"/>
            <w:noWrap/>
            <w:hideMark/>
          </w:tcPr>
          <w:p w14:paraId="7FE0C4F9"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&lt; 0.001</w:t>
            </w:r>
          </w:p>
        </w:tc>
      </w:tr>
      <w:tr w:rsidR="001326DA" w:rsidRPr="001326DA" w14:paraId="70D849EA" w14:textId="77777777" w:rsidTr="00430572">
        <w:trPr>
          <w:trHeight w:val="288"/>
        </w:trPr>
        <w:tc>
          <w:tcPr>
            <w:tcW w:w="2359" w:type="dxa"/>
            <w:tcBorders>
              <w:top w:val="nil"/>
              <w:left w:val="nil"/>
              <w:bottom w:val="nil"/>
              <w:right w:val="nil"/>
            </w:tcBorders>
            <w:shd w:val="clear" w:color="auto" w:fill="auto"/>
            <w:noWrap/>
            <w:hideMark/>
          </w:tcPr>
          <w:p w14:paraId="05B7F8F6" w14:textId="77777777" w:rsidR="001326DA" w:rsidRPr="001326DA" w:rsidRDefault="001326DA" w:rsidP="00430572">
            <w:pPr>
              <w:spacing w:line="360" w:lineRule="auto"/>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Female</w:t>
            </w:r>
          </w:p>
        </w:tc>
        <w:tc>
          <w:tcPr>
            <w:tcW w:w="1185" w:type="dxa"/>
            <w:tcBorders>
              <w:top w:val="nil"/>
              <w:left w:val="nil"/>
              <w:bottom w:val="nil"/>
              <w:right w:val="nil"/>
            </w:tcBorders>
            <w:shd w:val="clear" w:color="auto" w:fill="auto"/>
            <w:noWrap/>
            <w:hideMark/>
          </w:tcPr>
          <w:p w14:paraId="7DD69967"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941</w:t>
            </w:r>
          </w:p>
        </w:tc>
        <w:tc>
          <w:tcPr>
            <w:tcW w:w="992" w:type="dxa"/>
            <w:tcBorders>
              <w:top w:val="nil"/>
              <w:left w:val="nil"/>
              <w:bottom w:val="nil"/>
              <w:right w:val="nil"/>
            </w:tcBorders>
            <w:shd w:val="clear" w:color="auto" w:fill="auto"/>
            <w:noWrap/>
            <w:hideMark/>
          </w:tcPr>
          <w:p w14:paraId="2CC812C9"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1254</w:t>
            </w:r>
          </w:p>
        </w:tc>
        <w:tc>
          <w:tcPr>
            <w:tcW w:w="750" w:type="dxa"/>
            <w:tcBorders>
              <w:top w:val="nil"/>
              <w:left w:val="nil"/>
              <w:bottom w:val="nil"/>
              <w:right w:val="nil"/>
            </w:tcBorders>
            <w:shd w:val="clear" w:color="auto" w:fill="auto"/>
            <w:noWrap/>
            <w:hideMark/>
          </w:tcPr>
          <w:p w14:paraId="128560FE"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75.0</w:t>
            </w:r>
          </w:p>
        </w:tc>
        <w:tc>
          <w:tcPr>
            <w:tcW w:w="948" w:type="dxa"/>
            <w:tcBorders>
              <w:top w:val="nil"/>
              <w:left w:val="nil"/>
              <w:bottom w:val="nil"/>
              <w:right w:val="nil"/>
            </w:tcBorders>
            <w:shd w:val="clear" w:color="auto" w:fill="auto"/>
            <w:noWrap/>
            <w:hideMark/>
          </w:tcPr>
          <w:p w14:paraId="21E6BE0D"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5555</w:t>
            </w:r>
          </w:p>
        </w:tc>
        <w:tc>
          <w:tcPr>
            <w:tcW w:w="1182" w:type="dxa"/>
            <w:tcBorders>
              <w:top w:val="nil"/>
              <w:left w:val="nil"/>
              <w:bottom w:val="nil"/>
              <w:right w:val="nil"/>
            </w:tcBorders>
            <w:shd w:val="clear" w:color="auto" w:fill="auto"/>
            <w:noWrap/>
            <w:hideMark/>
          </w:tcPr>
          <w:p w14:paraId="2C15C108"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7950</w:t>
            </w:r>
          </w:p>
        </w:tc>
        <w:tc>
          <w:tcPr>
            <w:tcW w:w="750" w:type="dxa"/>
            <w:tcBorders>
              <w:top w:val="nil"/>
              <w:left w:val="nil"/>
              <w:bottom w:val="nil"/>
              <w:right w:val="nil"/>
            </w:tcBorders>
            <w:shd w:val="clear" w:color="auto" w:fill="auto"/>
            <w:noWrap/>
            <w:hideMark/>
          </w:tcPr>
          <w:p w14:paraId="599B0E3F"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69.9</w:t>
            </w:r>
          </w:p>
        </w:tc>
        <w:tc>
          <w:tcPr>
            <w:tcW w:w="2040" w:type="dxa"/>
            <w:tcBorders>
              <w:top w:val="nil"/>
              <w:left w:val="nil"/>
              <w:bottom w:val="nil"/>
              <w:right w:val="nil"/>
            </w:tcBorders>
            <w:shd w:val="clear" w:color="auto" w:fill="auto"/>
            <w:noWrap/>
            <w:hideMark/>
          </w:tcPr>
          <w:p w14:paraId="2C7E6586"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1.296 (1.131-1.486)</w:t>
            </w:r>
          </w:p>
        </w:tc>
        <w:tc>
          <w:tcPr>
            <w:tcW w:w="1134" w:type="dxa"/>
            <w:tcBorders>
              <w:top w:val="nil"/>
              <w:left w:val="nil"/>
              <w:bottom w:val="nil"/>
              <w:right w:val="nil"/>
            </w:tcBorders>
            <w:shd w:val="clear" w:color="auto" w:fill="auto"/>
            <w:noWrap/>
            <w:hideMark/>
          </w:tcPr>
          <w:p w14:paraId="080988F8"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p>
        </w:tc>
      </w:tr>
      <w:tr w:rsidR="001326DA" w:rsidRPr="001326DA" w14:paraId="5006FE8E" w14:textId="77777777" w:rsidTr="00430572">
        <w:trPr>
          <w:trHeight w:val="288"/>
        </w:trPr>
        <w:tc>
          <w:tcPr>
            <w:tcW w:w="2359" w:type="dxa"/>
            <w:tcBorders>
              <w:top w:val="nil"/>
              <w:left w:val="nil"/>
              <w:bottom w:val="nil"/>
              <w:right w:val="nil"/>
            </w:tcBorders>
            <w:shd w:val="clear" w:color="auto" w:fill="auto"/>
            <w:noWrap/>
            <w:hideMark/>
          </w:tcPr>
          <w:p w14:paraId="34987C36" w14:textId="77777777" w:rsidR="001326DA" w:rsidRPr="001326DA" w:rsidRDefault="001326DA" w:rsidP="00430572">
            <w:pPr>
              <w:spacing w:line="360" w:lineRule="auto"/>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Demographics</w:t>
            </w:r>
          </w:p>
        </w:tc>
        <w:tc>
          <w:tcPr>
            <w:tcW w:w="1185" w:type="dxa"/>
            <w:tcBorders>
              <w:top w:val="nil"/>
              <w:left w:val="nil"/>
              <w:bottom w:val="nil"/>
              <w:right w:val="nil"/>
            </w:tcBorders>
            <w:shd w:val="clear" w:color="auto" w:fill="auto"/>
            <w:noWrap/>
            <w:hideMark/>
          </w:tcPr>
          <w:p w14:paraId="58E1F42A"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p>
        </w:tc>
        <w:tc>
          <w:tcPr>
            <w:tcW w:w="992" w:type="dxa"/>
            <w:tcBorders>
              <w:top w:val="nil"/>
              <w:left w:val="nil"/>
              <w:bottom w:val="nil"/>
              <w:right w:val="nil"/>
            </w:tcBorders>
            <w:shd w:val="clear" w:color="auto" w:fill="auto"/>
            <w:noWrap/>
            <w:hideMark/>
          </w:tcPr>
          <w:p w14:paraId="6F60D336"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p>
        </w:tc>
        <w:tc>
          <w:tcPr>
            <w:tcW w:w="750" w:type="dxa"/>
            <w:tcBorders>
              <w:top w:val="nil"/>
              <w:left w:val="nil"/>
              <w:bottom w:val="nil"/>
              <w:right w:val="nil"/>
            </w:tcBorders>
            <w:shd w:val="clear" w:color="auto" w:fill="auto"/>
            <w:noWrap/>
            <w:hideMark/>
          </w:tcPr>
          <w:p w14:paraId="7093A44B"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p>
        </w:tc>
        <w:tc>
          <w:tcPr>
            <w:tcW w:w="948" w:type="dxa"/>
            <w:tcBorders>
              <w:top w:val="nil"/>
              <w:left w:val="nil"/>
              <w:bottom w:val="nil"/>
              <w:right w:val="nil"/>
            </w:tcBorders>
            <w:shd w:val="clear" w:color="auto" w:fill="auto"/>
            <w:noWrap/>
            <w:hideMark/>
          </w:tcPr>
          <w:p w14:paraId="6B12BDD1"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p>
        </w:tc>
        <w:tc>
          <w:tcPr>
            <w:tcW w:w="1182" w:type="dxa"/>
            <w:tcBorders>
              <w:top w:val="nil"/>
              <w:left w:val="nil"/>
              <w:bottom w:val="nil"/>
              <w:right w:val="nil"/>
            </w:tcBorders>
            <w:shd w:val="clear" w:color="auto" w:fill="auto"/>
            <w:noWrap/>
            <w:hideMark/>
          </w:tcPr>
          <w:p w14:paraId="4908DC68"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p>
        </w:tc>
        <w:tc>
          <w:tcPr>
            <w:tcW w:w="750" w:type="dxa"/>
            <w:tcBorders>
              <w:top w:val="nil"/>
              <w:left w:val="nil"/>
              <w:bottom w:val="nil"/>
              <w:right w:val="nil"/>
            </w:tcBorders>
            <w:shd w:val="clear" w:color="auto" w:fill="auto"/>
            <w:noWrap/>
            <w:hideMark/>
          </w:tcPr>
          <w:p w14:paraId="73FC67C1"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p>
        </w:tc>
        <w:tc>
          <w:tcPr>
            <w:tcW w:w="2040" w:type="dxa"/>
            <w:tcBorders>
              <w:top w:val="nil"/>
              <w:left w:val="nil"/>
              <w:bottom w:val="nil"/>
              <w:right w:val="nil"/>
            </w:tcBorders>
            <w:shd w:val="clear" w:color="auto" w:fill="auto"/>
            <w:noWrap/>
            <w:hideMark/>
          </w:tcPr>
          <w:p w14:paraId="35255F7C"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p>
        </w:tc>
        <w:tc>
          <w:tcPr>
            <w:tcW w:w="1134" w:type="dxa"/>
            <w:tcBorders>
              <w:top w:val="nil"/>
              <w:left w:val="nil"/>
              <w:bottom w:val="nil"/>
              <w:right w:val="nil"/>
            </w:tcBorders>
            <w:shd w:val="clear" w:color="auto" w:fill="auto"/>
            <w:noWrap/>
            <w:hideMark/>
          </w:tcPr>
          <w:p w14:paraId="75CCE200"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p>
        </w:tc>
      </w:tr>
      <w:tr w:rsidR="001326DA" w:rsidRPr="001326DA" w14:paraId="5D471DBD" w14:textId="77777777" w:rsidTr="00430572">
        <w:trPr>
          <w:trHeight w:val="288"/>
        </w:trPr>
        <w:tc>
          <w:tcPr>
            <w:tcW w:w="2359" w:type="dxa"/>
            <w:tcBorders>
              <w:top w:val="nil"/>
              <w:left w:val="nil"/>
              <w:bottom w:val="nil"/>
              <w:right w:val="nil"/>
            </w:tcBorders>
            <w:shd w:val="clear" w:color="auto" w:fill="auto"/>
            <w:noWrap/>
            <w:hideMark/>
          </w:tcPr>
          <w:p w14:paraId="37605E6F" w14:textId="77777777" w:rsidR="001326DA" w:rsidRPr="001326DA" w:rsidRDefault="001326DA" w:rsidP="00430572">
            <w:pPr>
              <w:spacing w:line="360" w:lineRule="auto"/>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White</w:t>
            </w:r>
          </w:p>
        </w:tc>
        <w:tc>
          <w:tcPr>
            <w:tcW w:w="1185" w:type="dxa"/>
            <w:tcBorders>
              <w:top w:val="nil"/>
              <w:left w:val="nil"/>
              <w:bottom w:val="nil"/>
              <w:right w:val="nil"/>
            </w:tcBorders>
            <w:shd w:val="clear" w:color="auto" w:fill="auto"/>
            <w:noWrap/>
            <w:hideMark/>
          </w:tcPr>
          <w:p w14:paraId="0713A1CB"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781</w:t>
            </w:r>
          </w:p>
        </w:tc>
        <w:tc>
          <w:tcPr>
            <w:tcW w:w="992" w:type="dxa"/>
            <w:tcBorders>
              <w:top w:val="nil"/>
              <w:left w:val="nil"/>
              <w:bottom w:val="nil"/>
              <w:right w:val="nil"/>
            </w:tcBorders>
            <w:shd w:val="clear" w:color="auto" w:fill="auto"/>
            <w:noWrap/>
            <w:hideMark/>
          </w:tcPr>
          <w:p w14:paraId="17329794"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1215</w:t>
            </w:r>
          </w:p>
        </w:tc>
        <w:tc>
          <w:tcPr>
            <w:tcW w:w="750" w:type="dxa"/>
            <w:tcBorders>
              <w:top w:val="nil"/>
              <w:left w:val="nil"/>
              <w:bottom w:val="nil"/>
              <w:right w:val="nil"/>
            </w:tcBorders>
            <w:shd w:val="clear" w:color="auto" w:fill="auto"/>
            <w:noWrap/>
            <w:hideMark/>
          </w:tcPr>
          <w:p w14:paraId="0AEDD067"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64.3</w:t>
            </w:r>
          </w:p>
        </w:tc>
        <w:tc>
          <w:tcPr>
            <w:tcW w:w="948" w:type="dxa"/>
            <w:tcBorders>
              <w:top w:val="nil"/>
              <w:left w:val="nil"/>
              <w:bottom w:val="nil"/>
              <w:right w:val="nil"/>
            </w:tcBorders>
            <w:shd w:val="clear" w:color="auto" w:fill="auto"/>
            <w:noWrap/>
            <w:hideMark/>
          </w:tcPr>
          <w:p w14:paraId="6060A568"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6008</w:t>
            </w:r>
          </w:p>
        </w:tc>
        <w:tc>
          <w:tcPr>
            <w:tcW w:w="1182" w:type="dxa"/>
            <w:tcBorders>
              <w:top w:val="nil"/>
              <w:left w:val="nil"/>
              <w:bottom w:val="nil"/>
              <w:right w:val="nil"/>
            </w:tcBorders>
            <w:shd w:val="clear" w:color="auto" w:fill="auto"/>
            <w:noWrap/>
            <w:hideMark/>
          </w:tcPr>
          <w:p w14:paraId="76B66424"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7544</w:t>
            </w:r>
          </w:p>
        </w:tc>
        <w:tc>
          <w:tcPr>
            <w:tcW w:w="750" w:type="dxa"/>
            <w:tcBorders>
              <w:top w:val="nil"/>
              <w:left w:val="nil"/>
              <w:bottom w:val="nil"/>
              <w:right w:val="nil"/>
            </w:tcBorders>
            <w:shd w:val="clear" w:color="auto" w:fill="auto"/>
            <w:noWrap/>
            <w:hideMark/>
          </w:tcPr>
          <w:p w14:paraId="4E2C9F5B"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79.6</w:t>
            </w:r>
          </w:p>
        </w:tc>
        <w:tc>
          <w:tcPr>
            <w:tcW w:w="2040" w:type="dxa"/>
            <w:tcBorders>
              <w:top w:val="nil"/>
              <w:left w:val="nil"/>
              <w:bottom w:val="nil"/>
              <w:right w:val="nil"/>
            </w:tcBorders>
            <w:shd w:val="clear" w:color="auto" w:fill="auto"/>
            <w:noWrap/>
            <w:hideMark/>
          </w:tcPr>
          <w:p w14:paraId="20EA3DA7"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Reference</w:t>
            </w:r>
          </w:p>
        </w:tc>
        <w:tc>
          <w:tcPr>
            <w:tcW w:w="1134" w:type="dxa"/>
            <w:tcBorders>
              <w:top w:val="nil"/>
              <w:left w:val="nil"/>
              <w:bottom w:val="nil"/>
              <w:right w:val="nil"/>
            </w:tcBorders>
            <w:shd w:val="clear" w:color="auto" w:fill="auto"/>
            <w:noWrap/>
            <w:hideMark/>
          </w:tcPr>
          <w:p w14:paraId="554BF01B"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&lt; 0.001</w:t>
            </w:r>
          </w:p>
        </w:tc>
      </w:tr>
      <w:tr w:rsidR="001326DA" w:rsidRPr="001326DA" w14:paraId="26914ABD" w14:textId="77777777" w:rsidTr="00430572">
        <w:trPr>
          <w:trHeight w:val="288"/>
        </w:trPr>
        <w:tc>
          <w:tcPr>
            <w:tcW w:w="2359" w:type="dxa"/>
            <w:tcBorders>
              <w:top w:val="nil"/>
              <w:left w:val="nil"/>
              <w:bottom w:val="nil"/>
              <w:right w:val="nil"/>
            </w:tcBorders>
            <w:shd w:val="clear" w:color="auto" w:fill="auto"/>
            <w:noWrap/>
            <w:hideMark/>
          </w:tcPr>
          <w:p w14:paraId="0C4CC503" w14:textId="77777777" w:rsidR="001326DA" w:rsidRPr="001326DA" w:rsidRDefault="001326DA" w:rsidP="00430572">
            <w:pPr>
              <w:spacing w:line="360" w:lineRule="auto"/>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Black</w:t>
            </w:r>
          </w:p>
        </w:tc>
        <w:tc>
          <w:tcPr>
            <w:tcW w:w="1185" w:type="dxa"/>
            <w:tcBorders>
              <w:top w:val="nil"/>
              <w:left w:val="nil"/>
              <w:bottom w:val="nil"/>
              <w:right w:val="nil"/>
            </w:tcBorders>
            <w:shd w:val="clear" w:color="auto" w:fill="auto"/>
            <w:noWrap/>
            <w:hideMark/>
          </w:tcPr>
          <w:p w14:paraId="782EC666"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11</w:t>
            </w:r>
          </w:p>
        </w:tc>
        <w:tc>
          <w:tcPr>
            <w:tcW w:w="992" w:type="dxa"/>
            <w:tcBorders>
              <w:top w:val="nil"/>
              <w:left w:val="nil"/>
              <w:bottom w:val="nil"/>
              <w:right w:val="nil"/>
            </w:tcBorders>
            <w:shd w:val="clear" w:color="auto" w:fill="auto"/>
            <w:noWrap/>
            <w:hideMark/>
          </w:tcPr>
          <w:p w14:paraId="357E2DBE"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1215</w:t>
            </w:r>
          </w:p>
        </w:tc>
        <w:tc>
          <w:tcPr>
            <w:tcW w:w="750" w:type="dxa"/>
            <w:tcBorders>
              <w:top w:val="nil"/>
              <w:left w:val="nil"/>
              <w:bottom w:val="nil"/>
              <w:right w:val="nil"/>
            </w:tcBorders>
            <w:shd w:val="clear" w:color="auto" w:fill="auto"/>
            <w:noWrap/>
            <w:hideMark/>
          </w:tcPr>
          <w:p w14:paraId="44ADA113"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0.9</w:t>
            </w:r>
          </w:p>
        </w:tc>
        <w:tc>
          <w:tcPr>
            <w:tcW w:w="948" w:type="dxa"/>
            <w:tcBorders>
              <w:top w:val="nil"/>
              <w:left w:val="nil"/>
              <w:bottom w:val="nil"/>
              <w:right w:val="nil"/>
            </w:tcBorders>
            <w:shd w:val="clear" w:color="auto" w:fill="auto"/>
            <w:noWrap/>
            <w:hideMark/>
          </w:tcPr>
          <w:p w14:paraId="54092194"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371</w:t>
            </w:r>
          </w:p>
        </w:tc>
        <w:tc>
          <w:tcPr>
            <w:tcW w:w="1182" w:type="dxa"/>
            <w:tcBorders>
              <w:top w:val="nil"/>
              <w:left w:val="nil"/>
              <w:bottom w:val="nil"/>
              <w:right w:val="nil"/>
            </w:tcBorders>
            <w:shd w:val="clear" w:color="auto" w:fill="auto"/>
            <w:noWrap/>
            <w:hideMark/>
          </w:tcPr>
          <w:p w14:paraId="7D5A1622"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7544</w:t>
            </w:r>
          </w:p>
        </w:tc>
        <w:tc>
          <w:tcPr>
            <w:tcW w:w="750" w:type="dxa"/>
            <w:tcBorders>
              <w:top w:val="nil"/>
              <w:left w:val="nil"/>
              <w:bottom w:val="nil"/>
              <w:right w:val="nil"/>
            </w:tcBorders>
            <w:shd w:val="clear" w:color="auto" w:fill="auto"/>
            <w:noWrap/>
            <w:hideMark/>
          </w:tcPr>
          <w:p w14:paraId="041021B9"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4.9</w:t>
            </w:r>
          </w:p>
        </w:tc>
        <w:tc>
          <w:tcPr>
            <w:tcW w:w="2040" w:type="dxa"/>
            <w:tcBorders>
              <w:top w:val="nil"/>
              <w:left w:val="nil"/>
              <w:bottom w:val="nil"/>
              <w:right w:val="nil"/>
            </w:tcBorders>
            <w:shd w:val="clear" w:color="auto" w:fill="auto"/>
            <w:noWrap/>
            <w:hideMark/>
          </w:tcPr>
          <w:p w14:paraId="79EA63FC"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0.228 (0.125-0.417)</w:t>
            </w:r>
          </w:p>
        </w:tc>
        <w:tc>
          <w:tcPr>
            <w:tcW w:w="1134" w:type="dxa"/>
            <w:tcBorders>
              <w:top w:val="nil"/>
              <w:left w:val="nil"/>
              <w:bottom w:val="nil"/>
              <w:right w:val="nil"/>
            </w:tcBorders>
            <w:shd w:val="clear" w:color="auto" w:fill="auto"/>
            <w:noWrap/>
            <w:hideMark/>
          </w:tcPr>
          <w:p w14:paraId="300ABA13"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p>
        </w:tc>
      </w:tr>
      <w:tr w:rsidR="001326DA" w:rsidRPr="001326DA" w14:paraId="7554A741" w14:textId="77777777" w:rsidTr="00430572">
        <w:trPr>
          <w:trHeight w:val="288"/>
        </w:trPr>
        <w:tc>
          <w:tcPr>
            <w:tcW w:w="2359" w:type="dxa"/>
            <w:tcBorders>
              <w:top w:val="nil"/>
              <w:left w:val="nil"/>
              <w:bottom w:val="nil"/>
              <w:right w:val="nil"/>
            </w:tcBorders>
            <w:shd w:val="clear" w:color="auto" w:fill="auto"/>
            <w:noWrap/>
            <w:hideMark/>
          </w:tcPr>
          <w:p w14:paraId="2EECF45A" w14:textId="77777777" w:rsidR="001326DA" w:rsidRPr="001326DA" w:rsidRDefault="001326DA" w:rsidP="00430572">
            <w:pPr>
              <w:spacing w:line="360" w:lineRule="auto"/>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Asian</w:t>
            </w:r>
          </w:p>
        </w:tc>
        <w:tc>
          <w:tcPr>
            <w:tcW w:w="1185" w:type="dxa"/>
            <w:tcBorders>
              <w:top w:val="nil"/>
              <w:left w:val="nil"/>
              <w:bottom w:val="nil"/>
              <w:right w:val="nil"/>
            </w:tcBorders>
            <w:shd w:val="clear" w:color="auto" w:fill="auto"/>
            <w:noWrap/>
            <w:hideMark/>
          </w:tcPr>
          <w:p w14:paraId="5366E34E"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3</w:t>
            </w:r>
          </w:p>
        </w:tc>
        <w:tc>
          <w:tcPr>
            <w:tcW w:w="992" w:type="dxa"/>
            <w:tcBorders>
              <w:top w:val="nil"/>
              <w:left w:val="nil"/>
              <w:bottom w:val="nil"/>
              <w:right w:val="nil"/>
            </w:tcBorders>
            <w:shd w:val="clear" w:color="auto" w:fill="auto"/>
            <w:noWrap/>
            <w:hideMark/>
          </w:tcPr>
          <w:p w14:paraId="2D2B1389"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1215</w:t>
            </w:r>
          </w:p>
        </w:tc>
        <w:tc>
          <w:tcPr>
            <w:tcW w:w="750" w:type="dxa"/>
            <w:tcBorders>
              <w:top w:val="nil"/>
              <w:left w:val="nil"/>
              <w:bottom w:val="nil"/>
              <w:right w:val="nil"/>
            </w:tcBorders>
            <w:shd w:val="clear" w:color="auto" w:fill="auto"/>
            <w:noWrap/>
            <w:hideMark/>
          </w:tcPr>
          <w:p w14:paraId="68992D55"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0.2</w:t>
            </w:r>
          </w:p>
        </w:tc>
        <w:tc>
          <w:tcPr>
            <w:tcW w:w="948" w:type="dxa"/>
            <w:tcBorders>
              <w:top w:val="nil"/>
              <w:left w:val="nil"/>
              <w:bottom w:val="nil"/>
              <w:right w:val="nil"/>
            </w:tcBorders>
            <w:shd w:val="clear" w:color="auto" w:fill="auto"/>
            <w:noWrap/>
            <w:hideMark/>
          </w:tcPr>
          <w:p w14:paraId="576D096B"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94</w:t>
            </w:r>
          </w:p>
        </w:tc>
        <w:tc>
          <w:tcPr>
            <w:tcW w:w="1182" w:type="dxa"/>
            <w:tcBorders>
              <w:top w:val="nil"/>
              <w:left w:val="nil"/>
              <w:bottom w:val="nil"/>
              <w:right w:val="nil"/>
            </w:tcBorders>
            <w:shd w:val="clear" w:color="auto" w:fill="auto"/>
            <w:noWrap/>
            <w:hideMark/>
          </w:tcPr>
          <w:p w14:paraId="0D0F2B29"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7544</w:t>
            </w:r>
          </w:p>
        </w:tc>
        <w:tc>
          <w:tcPr>
            <w:tcW w:w="750" w:type="dxa"/>
            <w:tcBorders>
              <w:top w:val="nil"/>
              <w:left w:val="nil"/>
              <w:bottom w:val="nil"/>
              <w:right w:val="nil"/>
            </w:tcBorders>
            <w:shd w:val="clear" w:color="auto" w:fill="auto"/>
            <w:noWrap/>
            <w:hideMark/>
          </w:tcPr>
          <w:p w14:paraId="19F77CD8"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1.2</w:t>
            </w:r>
          </w:p>
        </w:tc>
        <w:tc>
          <w:tcPr>
            <w:tcW w:w="2040" w:type="dxa"/>
            <w:tcBorders>
              <w:top w:val="nil"/>
              <w:left w:val="nil"/>
              <w:bottom w:val="nil"/>
              <w:right w:val="nil"/>
            </w:tcBorders>
            <w:shd w:val="clear" w:color="auto" w:fill="auto"/>
            <w:noWrap/>
            <w:hideMark/>
          </w:tcPr>
          <w:p w14:paraId="467D1FBE"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0.246 (0.078-0.777)</w:t>
            </w:r>
          </w:p>
        </w:tc>
        <w:tc>
          <w:tcPr>
            <w:tcW w:w="1134" w:type="dxa"/>
            <w:tcBorders>
              <w:top w:val="nil"/>
              <w:left w:val="nil"/>
              <w:bottom w:val="nil"/>
              <w:right w:val="nil"/>
            </w:tcBorders>
            <w:shd w:val="clear" w:color="auto" w:fill="auto"/>
            <w:noWrap/>
            <w:hideMark/>
          </w:tcPr>
          <w:p w14:paraId="49379B7B"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p>
        </w:tc>
      </w:tr>
      <w:tr w:rsidR="001326DA" w:rsidRPr="001326DA" w14:paraId="7049A298" w14:textId="77777777" w:rsidTr="00430572">
        <w:trPr>
          <w:trHeight w:val="288"/>
        </w:trPr>
        <w:tc>
          <w:tcPr>
            <w:tcW w:w="2359" w:type="dxa"/>
            <w:tcBorders>
              <w:top w:val="nil"/>
              <w:left w:val="nil"/>
              <w:bottom w:val="nil"/>
              <w:right w:val="nil"/>
            </w:tcBorders>
            <w:shd w:val="clear" w:color="auto" w:fill="auto"/>
            <w:noWrap/>
            <w:hideMark/>
          </w:tcPr>
          <w:p w14:paraId="4BA16631" w14:textId="77777777" w:rsidR="001326DA" w:rsidRPr="001326DA" w:rsidRDefault="001326DA" w:rsidP="00430572">
            <w:pPr>
              <w:spacing w:line="360" w:lineRule="auto"/>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Other</w:t>
            </w:r>
          </w:p>
        </w:tc>
        <w:tc>
          <w:tcPr>
            <w:tcW w:w="1185" w:type="dxa"/>
            <w:tcBorders>
              <w:top w:val="nil"/>
              <w:left w:val="nil"/>
              <w:bottom w:val="nil"/>
              <w:right w:val="nil"/>
            </w:tcBorders>
            <w:shd w:val="clear" w:color="auto" w:fill="auto"/>
            <w:noWrap/>
            <w:hideMark/>
          </w:tcPr>
          <w:p w14:paraId="09DA5021"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4</w:t>
            </w:r>
          </w:p>
        </w:tc>
        <w:tc>
          <w:tcPr>
            <w:tcW w:w="992" w:type="dxa"/>
            <w:tcBorders>
              <w:top w:val="nil"/>
              <w:left w:val="nil"/>
              <w:bottom w:val="nil"/>
              <w:right w:val="nil"/>
            </w:tcBorders>
            <w:shd w:val="clear" w:color="auto" w:fill="auto"/>
            <w:noWrap/>
            <w:hideMark/>
          </w:tcPr>
          <w:p w14:paraId="1740ABCD"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1215</w:t>
            </w:r>
          </w:p>
        </w:tc>
        <w:tc>
          <w:tcPr>
            <w:tcW w:w="750" w:type="dxa"/>
            <w:tcBorders>
              <w:top w:val="nil"/>
              <w:left w:val="nil"/>
              <w:bottom w:val="nil"/>
              <w:right w:val="nil"/>
            </w:tcBorders>
            <w:shd w:val="clear" w:color="auto" w:fill="auto"/>
            <w:noWrap/>
            <w:hideMark/>
          </w:tcPr>
          <w:p w14:paraId="270B9896"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0.3</w:t>
            </w:r>
          </w:p>
        </w:tc>
        <w:tc>
          <w:tcPr>
            <w:tcW w:w="948" w:type="dxa"/>
            <w:tcBorders>
              <w:top w:val="nil"/>
              <w:left w:val="nil"/>
              <w:bottom w:val="nil"/>
              <w:right w:val="nil"/>
            </w:tcBorders>
            <w:shd w:val="clear" w:color="auto" w:fill="auto"/>
            <w:noWrap/>
            <w:hideMark/>
          </w:tcPr>
          <w:p w14:paraId="02E9866A"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31</w:t>
            </w:r>
          </w:p>
        </w:tc>
        <w:tc>
          <w:tcPr>
            <w:tcW w:w="1182" w:type="dxa"/>
            <w:tcBorders>
              <w:top w:val="nil"/>
              <w:left w:val="nil"/>
              <w:bottom w:val="nil"/>
              <w:right w:val="nil"/>
            </w:tcBorders>
            <w:shd w:val="clear" w:color="auto" w:fill="auto"/>
            <w:noWrap/>
            <w:hideMark/>
          </w:tcPr>
          <w:p w14:paraId="53D654C4"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7544</w:t>
            </w:r>
          </w:p>
        </w:tc>
        <w:tc>
          <w:tcPr>
            <w:tcW w:w="750" w:type="dxa"/>
            <w:tcBorders>
              <w:top w:val="nil"/>
              <w:left w:val="nil"/>
              <w:bottom w:val="nil"/>
              <w:right w:val="nil"/>
            </w:tcBorders>
            <w:shd w:val="clear" w:color="auto" w:fill="auto"/>
            <w:noWrap/>
            <w:hideMark/>
          </w:tcPr>
          <w:p w14:paraId="607ECF40"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0.4</w:t>
            </w:r>
          </w:p>
        </w:tc>
        <w:tc>
          <w:tcPr>
            <w:tcW w:w="2040" w:type="dxa"/>
            <w:tcBorders>
              <w:top w:val="nil"/>
              <w:left w:val="nil"/>
              <w:bottom w:val="nil"/>
              <w:right w:val="nil"/>
            </w:tcBorders>
            <w:shd w:val="clear" w:color="auto" w:fill="auto"/>
            <w:noWrap/>
            <w:hideMark/>
          </w:tcPr>
          <w:p w14:paraId="7BE1B83E"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0.993 (0.349-2.819)</w:t>
            </w:r>
          </w:p>
        </w:tc>
        <w:tc>
          <w:tcPr>
            <w:tcW w:w="1134" w:type="dxa"/>
            <w:tcBorders>
              <w:top w:val="nil"/>
              <w:left w:val="nil"/>
              <w:bottom w:val="nil"/>
              <w:right w:val="nil"/>
            </w:tcBorders>
            <w:shd w:val="clear" w:color="auto" w:fill="auto"/>
            <w:noWrap/>
            <w:hideMark/>
          </w:tcPr>
          <w:p w14:paraId="1D66153E"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p>
        </w:tc>
      </w:tr>
      <w:tr w:rsidR="001326DA" w:rsidRPr="001326DA" w14:paraId="3F1FDDAC" w14:textId="77777777" w:rsidTr="00430572">
        <w:trPr>
          <w:trHeight w:val="288"/>
        </w:trPr>
        <w:tc>
          <w:tcPr>
            <w:tcW w:w="2359" w:type="dxa"/>
            <w:tcBorders>
              <w:top w:val="nil"/>
              <w:left w:val="nil"/>
              <w:bottom w:val="nil"/>
              <w:right w:val="nil"/>
            </w:tcBorders>
            <w:shd w:val="clear" w:color="auto" w:fill="auto"/>
            <w:noWrap/>
            <w:hideMark/>
          </w:tcPr>
          <w:p w14:paraId="53EF8E77" w14:textId="77777777" w:rsidR="001326DA" w:rsidRPr="001326DA" w:rsidRDefault="001326DA" w:rsidP="00430572">
            <w:pPr>
              <w:spacing w:line="360" w:lineRule="auto"/>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Not Reported</w:t>
            </w:r>
          </w:p>
        </w:tc>
        <w:tc>
          <w:tcPr>
            <w:tcW w:w="1185" w:type="dxa"/>
            <w:tcBorders>
              <w:top w:val="nil"/>
              <w:left w:val="nil"/>
              <w:bottom w:val="nil"/>
              <w:right w:val="nil"/>
            </w:tcBorders>
            <w:shd w:val="clear" w:color="auto" w:fill="auto"/>
            <w:noWrap/>
            <w:hideMark/>
          </w:tcPr>
          <w:p w14:paraId="28393EC7"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416</w:t>
            </w:r>
          </w:p>
        </w:tc>
        <w:tc>
          <w:tcPr>
            <w:tcW w:w="992" w:type="dxa"/>
            <w:tcBorders>
              <w:top w:val="nil"/>
              <w:left w:val="nil"/>
              <w:bottom w:val="nil"/>
              <w:right w:val="nil"/>
            </w:tcBorders>
            <w:shd w:val="clear" w:color="auto" w:fill="auto"/>
            <w:noWrap/>
            <w:hideMark/>
          </w:tcPr>
          <w:p w14:paraId="372A2013"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1215</w:t>
            </w:r>
          </w:p>
        </w:tc>
        <w:tc>
          <w:tcPr>
            <w:tcW w:w="750" w:type="dxa"/>
            <w:tcBorders>
              <w:top w:val="nil"/>
              <w:left w:val="nil"/>
              <w:bottom w:val="nil"/>
              <w:right w:val="nil"/>
            </w:tcBorders>
            <w:shd w:val="clear" w:color="auto" w:fill="auto"/>
            <w:noWrap/>
            <w:hideMark/>
          </w:tcPr>
          <w:p w14:paraId="661D5330"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34.2</w:t>
            </w:r>
          </w:p>
        </w:tc>
        <w:tc>
          <w:tcPr>
            <w:tcW w:w="948" w:type="dxa"/>
            <w:tcBorders>
              <w:top w:val="nil"/>
              <w:left w:val="nil"/>
              <w:bottom w:val="nil"/>
              <w:right w:val="nil"/>
            </w:tcBorders>
            <w:shd w:val="clear" w:color="auto" w:fill="auto"/>
            <w:noWrap/>
            <w:hideMark/>
          </w:tcPr>
          <w:p w14:paraId="0E0D53EC"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1040</w:t>
            </w:r>
          </w:p>
        </w:tc>
        <w:tc>
          <w:tcPr>
            <w:tcW w:w="1182" w:type="dxa"/>
            <w:tcBorders>
              <w:top w:val="nil"/>
              <w:left w:val="nil"/>
              <w:bottom w:val="nil"/>
              <w:right w:val="nil"/>
            </w:tcBorders>
            <w:shd w:val="clear" w:color="auto" w:fill="auto"/>
            <w:noWrap/>
            <w:hideMark/>
          </w:tcPr>
          <w:p w14:paraId="30594566"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7544</w:t>
            </w:r>
          </w:p>
        </w:tc>
        <w:tc>
          <w:tcPr>
            <w:tcW w:w="750" w:type="dxa"/>
            <w:tcBorders>
              <w:top w:val="nil"/>
              <w:left w:val="nil"/>
              <w:bottom w:val="nil"/>
              <w:right w:val="nil"/>
            </w:tcBorders>
            <w:shd w:val="clear" w:color="auto" w:fill="auto"/>
            <w:noWrap/>
            <w:hideMark/>
          </w:tcPr>
          <w:p w14:paraId="6BC82A86"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13.8</w:t>
            </w:r>
          </w:p>
        </w:tc>
        <w:tc>
          <w:tcPr>
            <w:tcW w:w="2040" w:type="dxa"/>
            <w:tcBorders>
              <w:top w:val="nil"/>
              <w:left w:val="nil"/>
              <w:bottom w:val="nil"/>
              <w:right w:val="nil"/>
            </w:tcBorders>
            <w:shd w:val="clear" w:color="auto" w:fill="auto"/>
            <w:noWrap/>
            <w:hideMark/>
          </w:tcPr>
          <w:p w14:paraId="79145A07"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3.077 (2.686-3.525)</w:t>
            </w:r>
          </w:p>
        </w:tc>
        <w:tc>
          <w:tcPr>
            <w:tcW w:w="1134" w:type="dxa"/>
            <w:tcBorders>
              <w:top w:val="nil"/>
              <w:left w:val="nil"/>
              <w:bottom w:val="nil"/>
              <w:right w:val="nil"/>
            </w:tcBorders>
            <w:shd w:val="clear" w:color="auto" w:fill="auto"/>
            <w:noWrap/>
            <w:hideMark/>
          </w:tcPr>
          <w:p w14:paraId="1CCEA86B"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p>
        </w:tc>
      </w:tr>
      <w:tr w:rsidR="001326DA" w:rsidRPr="001326DA" w14:paraId="5DAED26A" w14:textId="77777777" w:rsidTr="00430572">
        <w:trPr>
          <w:trHeight w:val="288"/>
        </w:trPr>
        <w:tc>
          <w:tcPr>
            <w:tcW w:w="2359" w:type="dxa"/>
            <w:tcBorders>
              <w:top w:val="nil"/>
              <w:left w:val="nil"/>
              <w:bottom w:val="nil"/>
              <w:right w:val="nil"/>
            </w:tcBorders>
            <w:shd w:val="clear" w:color="auto" w:fill="auto"/>
            <w:noWrap/>
            <w:hideMark/>
          </w:tcPr>
          <w:p w14:paraId="4487F04B" w14:textId="77777777" w:rsidR="001326DA" w:rsidRPr="001326DA" w:rsidRDefault="001326DA" w:rsidP="00430572">
            <w:pPr>
              <w:spacing w:line="360" w:lineRule="auto"/>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Hispanic</w:t>
            </w:r>
          </w:p>
        </w:tc>
        <w:tc>
          <w:tcPr>
            <w:tcW w:w="1185" w:type="dxa"/>
            <w:tcBorders>
              <w:top w:val="nil"/>
              <w:left w:val="nil"/>
              <w:bottom w:val="nil"/>
              <w:right w:val="nil"/>
            </w:tcBorders>
            <w:shd w:val="clear" w:color="auto" w:fill="auto"/>
            <w:noWrap/>
            <w:hideMark/>
          </w:tcPr>
          <w:p w14:paraId="2E1A3ACC"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18</w:t>
            </w:r>
          </w:p>
        </w:tc>
        <w:tc>
          <w:tcPr>
            <w:tcW w:w="992" w:type="dxa"/>
            <w:tcBorders>
              <w:top w:val="nil"/>
              <w:left w:val="nil"/>
              <w:bottom w:val="nil"/>
              <w:right w:val="nil"/>
            </w:tcBorders>
            <w:shd w:val="clear" w:color="auto" w:fill="auto"/>
            <w:noWrap/>
            <w:hideMark/>
          </w:tcPr>
          <w:p w14:paraId="3F4E7DE0"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824</w:t>
            </w:r>
          </w:p>
        </w:tc>
        <w:tc>
          <w:tcPr>
            <w:tcW w:w="750" w:type="dxa"/>
            <w:tcBorders>
              <w:top w:val="nil"/>
              <w:left w:val="nil"/>
              <w:bottom w:val="nil"/>
              <w:right w:val="nil"/>
            </w:tcBorders>
            <w:shd w:val="clear" w:color="auto" w:fill="auto"/>
            <w:noWrap/>
            <w:hideMark/>
          </w:tcPr>
          <w:p w14:paraId="413FC514"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2.2</w:t>
            </w:r>
          </w:p>
        </w:tc>
        <w:tc>
          <w:tcPr>
            <w:tcW w:w="948" w:type="dxa"/>
            <w:tcBorders>
              <w:top w:val="nil"/>
              <w:left w:val="nil"/>
              <w:bottom w:val="nil"/>
              <w:right w:val="nil"/>
            </w:tcBorders>
            <w:shd w:val="clear" w:color="auto" w:fill="auto"/>
            <w:noWrap/>
            <w:hideMark/>
          </w:tcPr>
          <w:p w14:paraId="46786DC7"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314</w:t>
            </w:r>
          </w:p>
        </w:tc>
        <w:tc>
          <w:tcPr>
            <w:tcW w:w="1182" w:type="dxa"/>
            <w:tcBorders>
              <w:top w:val="nil"/>
              <w:left w:val="nil"/>
              <w:bottom w:val="nil"/>
              <w:right w:val="nil"/>
            </w:tcBorders>
            <w:shd w:val="clear" w:color="auto" w:fill="auto"/>
            <w:noWrap/>
            <w:hideMark/>
          </w:tcPr>
          <w:p w14:paraId="15183925"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6677</w:t>
            </w:r>
          </w:p>
        </w:tc>
        <w:tc>
          <w:tcPr>
            <w:tcW w:w="750" w:type="dxa"/>
            <w:tcBorders>
              <w:top w:val="nil"/>
              <w:left w:val="nil"/>
              <w:bottom w:val="nil"/>
              <w:right w:val="nil"/>
            </w:tcBorders>
            <w:shd w:val="clear" w:color="auto" w:fill="auto"/>
            <w:noWrap/>
            <w:hideMark/>
          </w:tcPr>
          <w:p w14:paraId="5D550FB7"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4.7</w:t>
            </w:r>
          </w:p>
        </w:tc>
        <w:tc>
          <w:tcPr>
            <w:tcW w:w="2040" w:type="dxa"/>
            <w:tcBorders>
              <w:top w:val="nil"/>
              <w:left w:val="nil"/>
              <w:bottom w:val="nil"/>
              <w:right w:val="nil"/>
            </w:tcBorders>
            <w:shd w:val="clear" w:color="auto" w:fill="auto"/>
            <w:noWrap/>
            <w:hideMark/>
          </w:tcPr>
          <w:p w14:paraId="2348C011"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0.453 (0.28-0.732)</w:t>
            </w:r>
          </w:p>
        </w:tc>
        <w:tc>
          <w:tcPr>
            <w:tcW w:w="1134" w:type="dxa"/>
            <w:tcBorders>
              <w:top w:val="nil"/>
              <w:left w:val="nil"/>
              <w:bottom w:val="nil"/>
              <w:right w:val="nil"/>
            </w:tcBorders>
            <w:shd w:val="clear" w:color="auto" w:fill="auto"/>
            <w:noWrap/>
            <w:hideMark/>
          </w:tcPr>
          <w:p w14:paraId="38FD04D3"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0.001</w:t>
            </w:r>
          </w:p>
        </w:tc>
      </w:tr>
      <w:tr w:rsidR="001326DA" w:rsidRPr="001326DA" w14:paraId="06E0E662" w14:textId="77777777" w:rsidTr="00430572">
        <w:trPr>
          <w:trHeight w:val="288"/>
        </w:trPr>
        <w:tc>
          <w:tcPr>
            <w:tcW w:w="2359" w:type="dxa"/>
            <w:tcBorders>
              <w:top w:val="nil"/>
              <w:left w:val="nil"/>
              <w:bottom w:val="nil"/>
              <w:right w:val="nil"/>
            </w:tcBorders>
            <w:shd w:val="clear" w:color="auto" w:fill="auto"/>
            <w:noWrap/>
            <w:hideMark/>
          </w:tcPr>
          <w:p w14:paraId="16CB1C74" w14:textId="77777777" w:rsidR="001326DA" w:rsidRPr="001326DA" w:rsidRDefault="001326DA" w:rsidP="00430572">
            <w:pPr>
              <w:spacing w:line="360" w:lineRule="auto"/>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BMI</w:t>
            </w:r>
          </w:p>
        </w:tc>
        <w:tc>
          <w:tcPr>
            <w:tcW w:w="1185" w:type="dxa"/>
            <w:tcBorders>
              <w:top w:val="nil"/>
              <w:left w:val="nil"/>
              <w:bottom w:val="nil"/>
              <w:right w:val="nil"/>
            </w:tcBorders>
            <w:shd w:val="clear" w:color="auto" w:fill="auto"/>
            <w:noWrap/>
            <w:hideMark/>
          </w:tcPr>
          <w:p w14:paraId="090F4FDB"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p>
        </w:tc>
        <w:tc>
          <w:tcPr>
            <w:tcW w:w="992" w:type="dxa"/>
            <w:tcBorders>
              <w:top w:val="nil"/>
              <w:left w:val="nil"/>
              <w:bottom w:val="nil"/>
              <w:right w:val="nil"/>
            </w:tcBorders>
            <w:shd w:val="clear" w:color="auto" w:fill="auto"/>
            <w:noWrap/>
            <w:hideMark/>
          </w:tcPr>
          <w:p w14:paraId="2B774380"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p>
        </w:tc>
        <w:tc>
          <w:tcPr>
            <w:tcW w:w="750" w:type="dxa"/>
            <w:tcBorders>
              <w:top w:val="nil"/>
              <w:left w:val="nil"/>
              <w:bottom w:val="nil"/>
              <w:right w:val="nil"/>
            </w:tcBorders>
            <w:shd w:val="clear" w:color="auto" w:fill="auto"/>
            <w:noWrap/>
            <w:hideMark/>
          </w:tcPr>
          <w:p w14:paraId="19654F28"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p>
        </w:tc>
        <w:tc>
          <w:tcPr>
            <w:tcW w:w="948" w:type="dxa"/>
            <w:tcBorders>
              <w:top w:val="nil"/>
              <w:left w:val="nil"/>
              <w:bottom w:val="nil"/>
              <w:right w:val="nil"/>
            </w:tcBorders>
            <w:shd w:val="clear" w:color="auto" w:fill="auto"/>
            <w:noWrap/>
            <w:hideMark/>
          </w:tcPr>
          <w:p w14:paraId="5E9A7A36"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p>
        </w:tc>
        <w:tc>
          <w:tcPr>
            <w:tcW w:w="1182" w:type="dxa"/>
            <w:tcBorders>
              <w:top w:val="nil"/>
              <w:left w:val="nil"/>
              <w:bottom w:val="nil"/>
              <w:right w:val="nil"/>
            </w:tcBorders>
            <w:shd w:val="clear" w:color="auto" w:fill="auto"/>
            <w:noWrap/>
            <w:hideMark/>
          </w:tcPr>
          <w:p w14:paraId="674F4ACC"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p>
        </w:tc>
        <w:tc>
          <w:tcPr>
            <w:tcW w:w="750" w:type="dxa"/>
            <w:tcBorders>
              <w:top w:val="nil"/>
              <w:left w:val="nil"/>
              <w:bottom w:val="nil"/>
              <w:right w:val="nil"/>
            </w:tcBorders>
            <w:shd w:val="clear" w:color="auto" w:fill="auto"/>
            <w:noWrap/>
            <w:hideMark/>
          </w:tcPr>
          <w:p w14:paraId="67F56480"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p>
        </w:tc>
        <w:tc>
          <w:tcPr>
            <w:tcW w:w="2040" w:type="dxa"/>
            <w:tcBorders>
              <w:top w:val="nil"/>
              <w:left w:val="nil"/>
              <w:bottom w:val="nil"/>
              <w:right w:val="nil"/>
            </w:tcBorders>
            <w:shd w:val="clear" w:color="auto" w:fill="auto"/>
            <w:noWrap/>
            <w:hideMark/>
          </w:tcPr>
          <w:p w14:paraId="4C1D6E06"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p>
        </w:tc>
        <w:tc>
          <w:tcPr>
            <w:tcW w:w="1134" w:type="dxa"/>
            <w:tcBorders>
              <w:top w:val="nil"/>
              <w:left w:val="nil"/>
              <w:bottom w:val="nil"/>
              <w:right w:val="nil"/>
            </w:tcBorders>
            <w:shd w:val="clear" w:color="auto" w:fill="auto"/>
            <w:noWrap/>
            <w:hideMark/>
          </w:tcPr>
          <w:p w14:paraId="2012A8C2"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p>
        </w:tc>
      </w:tr>
      <w:tr w:rsidR="001326DA" w:rsidRPr="001326DA" w14:paraId="0E75EAA8" w14:textId="77777777" w:rsidTr="00430572">
        <w:trPr>
          <w:trHeight w:val="288"/>
        </w:trPr>
        <w:tc>
          <w:tcPr>
            <w:tcW w:w="2359" w:type="dxa"/>
            <w:tcBorders>
              <w:top w:val="nil"/>
              <w:left w:val="nil"/>
              <w:bottom w:val="nil"/>
              <w:right w:val="nil"/>
            </w:tcBorders>
            <w:shd w:val="clear" w:color="auto" w:fill="auto"/>
            <w:noWrap/>
            <w:hideMark/>
          </w:tcPr>
          <w:p w14:paraId="7CF2F126" w14:textId="77777777" w:rsidR="001326DA" w:rsidRPr="001326DA" w:rsidRDefault="001326DA" w:rsidP="00430572">
            <w:pPr>
              <w:spacing w:line="360" w:lineRule="auto"/>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Mean</w:t>
            </w:r>
            <w:r w:rsidR="00482EEC">
              <w:rPr>
                <w:rFonts w:ascii="Book Antiqua" w:eastAsia="Times New Roman" w:hAnsi="Book Antiqua" w:cs="Times New Roman"/>
                <w:color w:val="000000"/>
                <w:lang w:eastAsia="zh-CN"/>
              </w:rPr>
              <w:t xml:space="preserve"> </w:t>
            </w:r>
            <w:r w:rsidRPr="001326DA">
              <w:rPr>
                <w:rFonts w:ascii="Book Antiqua" w:eastAsia="Times New Roman" w:hAnsi="Book Antiqua" w:cs="Times New Roman"/>
                <w:color w:val="000000"/>
                <w:lang w:eastAsia="zh-CN"/>
              </w:rPr>
              <w:t>(SD)</w:t>
            </w:r>
          </w:p>
        </w:tc>
        <w:tc>
          <w:tcPr>
            <w:tcW w:w="1185" w:type="dxa"/>
            <w:tcBorders>
              <w:top w:val="nil"/>
              <w:left w:val="nil"/>
              <w:bottom w:val="nil"/>
              <w:right w:val="nil"/>
            </w:tcBorders>
            <w:shd w:val="clear" w:color="auto" w:fill="auto"/>
            <w:noWrap/>
            <w:hideMark/>
          </w:tcPr>
          <w:p w14:paraId="0F1A3DD0"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24.1</w:t>
            </w:r>
          </w:p>
        </w:tc>
        <w:tc>
          <w:tcPr>
            <w:tcW w:w="992" w:type="dxa"/>
            <w:tcBorders>
              <w:top w:val="nil"/>
              <w:left w:val="nil"/>
              <w:bottom w:val="nil"/>
              <w:right w:val="nil"/>
            </w:tcBorders>
            <w:shd w:val="clear" w:color="auto" w:fill="auto"/>
            <w:noWrap/>
            <w:hideMark/>
          </w:tcPr>
          <w:p w14:paraId="7CC2038A"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p>
        </w:tc>
        <w:tc>
          <w:tcPr>
            <w:tcW w:w="750" w:type="dxa"/>
            <w:tcBorders>
              <w:top w:val="nil"/>
              <w:left w:val="nil"/>
              <w:bottom w:val="nil"/>
              <w:right w:val="nil"/>
            </w:tcBorders>
            <w:shd w:val="clear" w:color="auto" w:fill="auto"/>
            <w:noWrap/>
            <w:hideMark/>
          </w:tcPr>
          <w:p w14:paraId="3A0EC111"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5.5</w:t>
            </w:r>
          </w:p>
        </w:tc>
        <w:tc>
          <w:tcPr>
            <w:tcW w:w="948" w:type="dxa"/>
            <w:tcBorders>
              <w:top w:val="nil"/>
              <w:left w:val="nil"/>
              <w:bottom w:val="nil"/>
              <w:right w:val="nil"/>
            </w:tcBorders>
            <w:shd w:val="clear" w:color="auto" w:fill="auto"/>
            <w:noWrap/>
            <w:hideMark/>
          </w:tcPr>
          <w:p w14:paraId="63116D6F"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25.3</w:t>
            </w:r>
          </w:p>
        </w:tc>
        <w:tc>
          <w:tcPr>
            <w:tcW w:w="1182" w:type="dxa"/>
            <w:tcBorders>
              <w:top w:val="nil"/>
              <w:left w:val="nil"/>
              <w:bottom w:val="nil"/>
              <w:right w:val="nil"/>
            </w:tcBorders>
            <w:shd w:val="clear" w:color="auto" w:fill="auto"/>
            <w:noWrap/>
            <w:hideMark/>
          </w:tcPr>
          <w:p w14:paraId="2EA0275F"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p>
        </w:tc>
        <w:tc>
          <w:tcPr>
            <w:tcW w:w="750" w:type="dxa"/>
            <w:tcBorders>
              <w:top w:val="nil"/>
              <w:left w:val="nil"/>
              <w:bottom w:val="nil"/>
              <w:right w:val="nil"/>
            </w:tcBorders>
            <w:shd w:val="clear" w:color="auto" w:fill="auto"/>
            <w:noWrap/>
            <w:hideMark/>
          </w:tcPr>
          <w:p w14:paraId="51133E81"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6.5</w:t>
            </w:r>
          </w:p>
        </w:tc>
        <w:tc>
          <w:tcPr>
            <w:tcW w:w="2040" w:type="dxa"/>
            <w:tcBorders>
              <w:top w:val="nil"/>
              <w:left w:val="nil"/>
              <w:bottom w:val="nil"/>
              <w:right w:val="nil"/>
            </w:tcBorders>
            <w:shd w:val="clear" w:color="auto" w:fill="auto"/>
            <w:noWrap/>
            <w:hideMark/>
          </w:tcPr>
          <w:p w14:paraId="6A51B047"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0.966 (0.953-0.978)</w:t>
            </w:r>
          </w:p>
        </w:tc>
        <w:tc>
          <w:tcPr>
            <w:tcW w:w="1134" w:type="dxa"/>
            <w:tcBorders>
              <w:top w:val="nil"/>
              <w:left w:val="nil"/>
              <w:bottom w:val="nil"/>
              <w:right w:val="nil"/>
            </w:tcBorders>
            <w:shd w:val="clear" w:color="auto" w:fill="auto"/>
            <w:noWrap/>
            <w:hideMark/>
          </w:tcPr>
          <w:p w14:paraId="5AE496B1"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&lt; 0.001</w:t>
            </w:r>
          </w:p>
        </w:tc>
      </w:tr>
      <w:tr w:rsidR="001326DA" w:rsidRPr="001326DA" w14:paraId="60B6A3B3" w14:textId="77777777" w:rsidTr="00430572">
        <w:trPr>
          <w:trHeight w:val="288"/>
        </w:trPr>
        <w:tc>
          <w:tcPr>
            <w:tcW w:w="2359" w:type="dxa"/>
            <w:tcBorders>
              <w:top w:val="nil"/>
              <w:left w:val="nil"/>
              <w:bottom w:val="nil"/>
              <w:right w:val="nil"/>
            </w:tcBorders>
            <w:shd w:val="clear" w:color="auto" w:fill="auto"/>
            <w:noWrap/>
            <w:hideMark/>
          </w:tcPr>
          <w:p w14:paraId="5CB7E727" w14:textId="77777777" w:rsidR="001326DA" w:rsidRPr="001326DA" w:rsidRDefault="001326DA" w:rsidP="00430572">
            <w:pPr>
              <w:spacing w:line="360" w:lineRule="auto"/>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[0,18.5)</w:t>
            </w:r>
          </w:p>
        </w:tc>
        <w:tc>
          <w:tcPr>
            <w:tcW w:w="1185" w:type="dxa"/>
            <w:tcBorders>
              <w:top w:val="nil"/>
              <w:left w:val="nil"/>
              <w:bottom w:val="nil"/>
              <w:right w:val="nil"/>
            </w:tcBorders>
            <w:shd w:val="clear" w:color="auto" w:fill="auto"/>
            <w:noWrap/>
            <w:hideMark/>
          </w:tcPr>
          <w:p w14:paraId="162B9EE2"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110</w:t>
            </w:r>
          </w:p>
        </w:tc>
        <w:tc>
          <w:tcPr>
            <w:tcW w:w="992" w:type="dxa"/>
            <w:tcBorders>
              <w:top w:val="nil"/>
              <w:left w:val="nil"/>
              <w:bottom w:val="nil"/>
              <w:right w:val="nil"/>
            </w:tcBorders>
            <w:shd w:val="clear" w:color="auto" w:fill="auto"/>
            <w:noWrap/>
            <w:hideMark/>
          </w:tcPr>
          <w:p w14:paraId="227B042B"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913</w:t>
            </w:r>
          </w:p>
        </w:tc>
        <w:tc>
          <w:tcPr>
            <w:tcW w:w="750" w:type="dxa"/>
            <w:tcBorders>
              <w:top w:val="nil"/>
              <w:left w:val="nil"/>
              <w:bottom w:val="nil"/>
              <w:right w:val="nil"/>
            </w:tcBorders>
            <w:shd w:val="clear" w:color="auto" w:fill="auto"/>
            <w:noWrap/>
            <w:hideMark/>
          </w:tcPr>
          <w:p w14:paraId="645BA4B5"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12.0</w:t>
            </w:r>
          </w:p>
        </w:tc>
        <w:tc>
          <w:tcPr>
            <w:tcW w:w="948" w:type="dxa"/>
            <w:tcBorders>
              <w:top w:val="nil"/>
              <w:left w:val="nil"/>
              <w:bottom w:val="nil"/>
              <w:right w:val="nil"/>
            </w:tcBorders>
            <w:shd w:val="clear" w:color="auto" w:fill="auto"/>
            <w:noWrap/>
            <w:hideMark/>
          </w:tcPr>
          <w:p w14:paraId="2ACAB1B6"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630</w:t>
            </w:r>
          </w:p>
        </w:tc>
        <w:tc>
          <w:tcPr>
            <w:tcW w:w="1182" w:type="dxa"/>
            <w:tcBorders>
              <w:top w:val="nil"/>
              <w:left w:val="nil"/>
              <w:bottom w:val="nil"/>
              <w:right w:val="nil"/>
            </w:tcBorders>
            <w:shd w:val="clear" w:color="auto" w:fill="auto"/>
            <w:noWrap/>
            <w:hideMark/>
          </w:tcPr>
          <w:p w14:paraId="3D10538E"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7076</w:t>
            </w:r>
          </w:p>
        </w:tc>
        <w:tc>
          <w:tcPr>
            <w:tcW w:w="750" w:type="dxa"/>
            <w:tcBorders>
              <w:top w:val="nil"/>
              <w:left w:val="nil"/>
              <w:bottom w:val="nil"/>
              <w:right w:val="nil"/>
            </w:tcBorders>
            <w:shd w:val="clear" w:color="auto" w:fill="auto"/>
            <w:noWrap/>
            <w:hideMark/>
          </w:tcPr>
          <w:p w14:paraId="36625085"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8.9</w:t>
            </w:r>
          </w:p>
        </w:tc>
        <w:tc>
          <w:tcPr>
            <w:tcW w:w="2040" w:type="dxa"/>
            <w:tcBorders>
              <w:top w:val="nil"/>
              <w:left w:val="nil"/>
              <w:bottom w:val="nil"/>
              <w:right w:val="nil"/>
            </w:tcBorders>
            <w:shd w:val="clear" w:color="auto" w:fill="auto"/>
            <w:noWrap/>
            <w:hideMark/>
          </w:tcPr>
          <w:p w14:paraId="74B7C14D"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1.261 (1.007-</w:t>
            </w:r>
            <w:r w:rsidRPr="001326DA">
              <w:rPr>
                <w:rFonts w:ascii="Book Antiqua" w:eastAsia="Times New Roman" w:hAnsi="Book Antiqua" w:cs="Times New Roman"/>
                <w:color w:val="000000"/>
                <w:lang w:eastAsia="zh-CN"/>
              </w:rPr>
              <w:lastRenderedPageBreak/>
              <w:t>1.579)</w:t>
            </w:r>
          </w:p>
        </w:tc>
        <w:tc>
          <w:tcPr>
            <w:tcW w:w="1134" w:type="dxa"/>
            <w:tcBorders>
              <w:top w:val="nil"/>
              <w:left w:val="nil"/>
              <w:bottom w:val="nil"/>
              <w:right w:val="nil"/>
            </w:tcBorders>
            <w:shd w:val="clear" w:color="auto" w:fill="auto"/>
            <w:noWrap/>
            <w:hideMark/>
          </w:tcPr>
          <w:p w14:paraId="487F8FA6"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lastRenderedPageBreak/>
              <w:t>&lt; 0.001</w:t>
            </w:r>
          </w:p>
        </w:tc>
      </w:tr>
      <w:tr w:rsidR="001326DA" w:rsidRPr="001326DA" w14:paraId="62D12EAA" w14:textId="77777777" w:rsidTr="00430572">
        <w:trPr>
          <w:trHeight w:val="288"/>
        </w:trPr>
        <w:tc>
          <w:tcPr>
            <w:tcW w:w="2359" w:type="dxa"/>
            <w:tcBorders>
              <w:top w:val="nil"/>
              <w:left w:val="nil"/>
              <w:bottom w:val="nil"/>
              <w:right w:val="nil"/>
            </w:tcBorders>
            <w:shd w:val="clear" w:color="auto" w:fill="auto"/>
            <w:noWrap/>
            <w:hideMark/>
          </w:tcPr>
          <w:p w14:paraId="59B30668" w14:textId="77777777" w:rsidR="001326DA" w:rsidRPr="001326DA" w:rsidRDefault="001326DA" w:rsidP="00430572">
            <w:pPr>
              <w:spacing w:line="360" w:lineRule="auto"/>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lastRenderedPageBreak/>
              <w:t>[18.5,25)</w:t>
            </w:r>
          </w:p>
        </w:tc>
        <w:tc>
          <w:tcPr>
            <w:tcW w:w="1185" w:type="dxa"/>
            <w:tcBorders>
              <w:top w:val="nil"/>
              <w:left w:val="nil"/>
              <w:bottom w:val="nil"/>
              <w:right w:val="nil"/>
            </w:tcBorders>
            <w:shd w:val="clear" w:color="auto" w:fill="auto"/>
            <w:noWrap/>
            <w:hideMark/>
          </w:tcPr>
          <w:p w14:paraId="4409B1B3"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454</w:t>
            </w:r>
          </w:p>
        </w:tc>
        <w:tc>
          <w:tcPr>
            <w:tcW w:w="992" w:type="dxa"/>
            <w:tcBorders>
              <w:top w:val="nil"/>
              <w:left w:val="nil"/>
              <w:bottom w:val="nil"/>
              <w:right w:val="nil"/>
            </w:tcBorders>
            <w:shd w:val="clear" w:color="auto" w:fill="auto"/>
            <w:noWrap/>
            <w:hideMark/>
          </w:tcPr>
          <w:p w14:paraId="42F30BC6"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913</w:t>
            </w:r>
          </w:p>
        </w:tc>
        <w:tc>
          <w:tcPr>
            <w:tcW w:w="750" w:type="dxa"/>
            <w:tcBorders>
              <w:top w:val="nil"/>
              <w:left w:val="nil"/>
              <w:bottom w:val="nil"/>
              <w:right w:val="nil"/>
            </w:tcBorders>
            <w:shd w:val="clear" w:color="auto" w:fill="auto"/>
            <w:noWrap/>
            <w:hideMark/>
          </w:tcPr>
          <w:p w14:paraId="01178C6A"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49.7</w:t>
            </w:r>
          </w:p>
        </w:tc>
        <w:tc>
          <w:tcPr>
            <w:tcW w:w="948" w:type="dxa"/>
            <w:tcBorders>
              <w:top w:val="nil"/>
              <w:left w:val="nil"/>
              <w:bottom w:val="nil"/>
              <w:right w:val="nil"/>
            </w:tcBorders>
            <w:shd w:val="clear" w:color="auto" w:fill="auto"/>
            <w:noWrap/>
            <w:hideMark/>
          </w:tcPr>
          <w:p w14:paraId="7F727E0B"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3279</w:t>
            </w:r>
          </w:p>
        </w:tc>
        <w:tc>
          <w:tcPr>
            <w:tcW w:w="1182" w:type="dxa"/>
            <w:tcBorders>
              <w:top w:val="nil"/>
              <w:left w:val="nil"/>
              <w:bottom w:val="nil"/>
              <w:right w:val="nil"/>
            </w:tcBorders>
            <w:shd w:val="clear" w:color="auto" w:fill="auto"/>
            <w:noWrap/>
            <w:hideMark/>
          </w:tcPr>
          <w:p w14:paraId="665A6D65"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7076</w:t>
            </w:r>
          </w:p>
        </w:tc>
        <w:tc>
          <w:tcPr>
            <w:tcW w:w="750" w:type="dxa"/>
            <w:tcBorders>
              <w:top w:val="nil"/>
              <w:left w:val="nil"/>
              <w:bottom w:val="nil"/>
              <w:right w:val="nil"/>
            </w:tcBorders>
            <w:shd w:val="clear" w:color="auto" w:fill="auto"/>
            <w:noWrap/>
            <w:hideMark/>
          </w:tcPr>
          <w:p w14:paraId="3623BBBF"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46.3</w:t>
            </w:r>
          </w:p>
        </w:tc>
        <w:tc>
          <w:tcPr>
            <w:tcW w:w="2040" w:type="dxa"/>
            <w:tcBorders>
              <w:top w:val="nil"/>
              <w:left w:val="nil"/>
              <w:bottom w:val="nil"/>
              <w:right w:val="nil"/>
            </w:tcBorders>
            <w:shd w:val="clear" w:color="auto" w:fill="auto"/>
            <w:noWrap/>
            <w:hideMark/>
          </w:tcPr>
          <w:p w14:paraId="13E65220"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Reference</w:t>
            </w:r>
          </w:p>
        </w:tc>
        <w:tc>
          <w:tcPr>
            <w:tcW w:w="1134" w:type="dxa"/>
            <w:tcBorders>
              <w:top w:val="nil"/>
              <w:left w:val="nil"/>
              <w:bottom w:val="nil"/>
              <w:right w:val="nil"/>
            </w:tcBorders>
            <w:shd w:val="clear" w:color="auto" w:fill="auto"/>
            <w:noWrap/>
            <w:hideMark/>
          </w:tcPr>
          <w:p w14:paraId="05E950E6"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p>
        </w:tc>
      </w:tr>
      <w:tr w:rsidR="001326DA" w:rsidRPr="001326DA" w14:paraId="002A7ADA" w14:textId="77777777" w:rsidTr="00430572">
        <w:trPr>
          <w:trHeight w:val="288"/>
        </w:trPr>
        <w:tc>
          <w:tcPr>
            <w:tcW w:w="2359" w:type="dxa"/>
            <w:tcBorders>
              <w:top w:val="nil"/>
              <w:left w:val="nil"/>
              <w:bottom w:val="nil"/>
              <w:right w:val="nil"/>
            </w:tcBorders>
            <w:shd w:val="clear" w:color="auto" w:fill="auto"/>
            <w:noWrap/>
            <w:hideMark/>
          </w:tcPr>
          <w:p w14:paraId="0DF828EC" w14:textId="77777777" w:rsidR="001326DA" w:rsidRPr="001326DA" w:rsidRDefault="001326DA" w:rsidP="00430572">
            <w:pPr>
              <w:spacing w:line="360" w:lineRule="auto"/>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[25,30)</w:t>
            </w:r>
          </w:p>
        </w:tc>
        <w:tc>
          <w:tcPr>
            <w:tcW w:w="1185" w:type="dxa"/>
            <w:tcBorders>
              <w:top w:val="nil"/>
              <w:left w:val="nil"/>
              <w:bottom w:val="nil"/>
              <w:right w:val="nil"/>
            </w:tcBorders>
            <w:shd w:val="clear" w:color="auto" w:fill="auto"/>
            <w:noWrap/>
            <w:hideMark/>
          </w:tcPr>
          <w:p w14:paraId="04468E33"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244</w:t>
            </w:r>
          </w:p>
        </w:tc>
        <w:tc>
          <w:tcPr>
            <w:tcW w:w="992" w:type="dxa"/>
            <w:tcBorders>
              <w:top w:val="nil"/>
              <w:left w:val="nil"/>
              <w:bottom w:val="nil"/>
              <w:right w:val="nil"/>
            </w:tcBorders>
            <w:shd w:val="clear" w:color="auto" w:fill="auto"/>
            <w:noWrap/>
            <w:hideMark/>
          </w:tcPr>
          <w:p w14:paraId="21C9F14D"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913</w:t>
            </w:r>
          </w:p>
        </w:tc>
        <w:tc>
          <w:tcPr>
            <w:tcW w:w="750" w:type="dxa"/>
            <w:tcBorders>
              <w:top w:val="nil"/>
              <w:left w:val="nil"/>
              <w:bottom w:val="nil"/>
              <w:right w:val="nil"/>
            </w:tcBorders>
            <w:shd w:val="clear" w:color="auto" w:fill="auto"/>
            <w:noWrap/>
            <w:hideMark/>
          </w:tcPr>
          <w:p w14:paraId="5B3AE858"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26.7</w:t>
            </w:r>
          </w:p>
        </w:tc>
        <w:tc>
          <w:tcPr>
            <w:tcW w:w="948" w:type="dxa"/>
            <w:tcBorders>
              <w:top w:val="nil"/>
              <w:left w:val="nil"/>
              <w:bottom w:val="nil"/>
              <w:right w:val="nil"/>
            </w:tcBorders>
            <w:shd w:val="clear" w:color="auto" w:fill="auto"/>
            <w:noWrap/>
            <w:hideMark/>
          </w:tcPr>
          <w:p w14:paraId="7DF05BD8"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1976</w:t>
            </w:r>
          </w:p>
        </w:tc>
        <w:tc>
          <w:tcPr>
            <w:tcW w:w="1182" w:type="dxa"/>
            <w:tcBorders>
              <w:top w:val="nil"/>
              <w:left w:val="nil"/>
              <w:bottom w:val="nil"/>
              <w:right w:val="nil"/>
            </w:tcBorders>
            <w:shd w:val="clear" w:color="auto" w:fill="auto"/>
            <w:noWrap/>
            <w:hideMark/>
          </w:tcPr>
          <w:p w14:paraId="0900728C"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7076</w:t>
            </w:r>
          </w:p>
        </w:tc>
        <w:tc>
          <w:tcPr>
            <w:tcW w:w="750" w:type="dxa"/>
            <w:tcBorders>
              <w:top w:val="nil"/>
              <w:left w:val="nil"/>
              <w:bottom w:val="nil"/>
              <w:right w:val="nil"/>
            </w:tcBorders>
            <w:shd w:val="clear" w:color="auto" w:fill="auto"/>
            <w:noWrap/>
            <w:hideMark/>
          </w:tcPr>
          <w:p w14:paraId="713708BF"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27.9</w:t>
            </w:r>
          </w:p>
        </w:tc>
        <w:tc>
          <w:tcPr>
            <w:tcW w:w="2040" w:type="dxa"/>
            <w:tcBorders>
              <w:top w:val="nil"/>
              <w:left w:val="nil"/>
              <w:bottom w:val="nil"/>
              <w:right w:val="nil"/>
            </w:tcBorders>
            <w:shd w:val="clear" w:color="auto" w:fill="auto"/>
            <w:noWrap/>
            <w:hideMark/>
          </w:tcPr>
          <w:p w14:paraId="675787D0"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0.892 (0.756-1.052)</w:t>
            </w:r>
          </w:p>
        </w:tc>
        <w:tc>
          <w:tcPr>
            <w:tcW w:w="1134" w:type="dxa"/>
            <w:tcBorders>
              <w:top w:val="nil"/>
              <w:left w:val="nil"/>
              <w:bottom w:val="nil"/>
              <w:right w:val="nil"/>
            </w:tcBorders>
            <w:shd w:val="clear" w:color="auto" w:fill="auto"/>
            <w:noWrap/>
            <w:hideMark/>
          </w:tcPr>
          <w:p w14:paraId="24021D4B"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p>
        </w:tc>
      </w:tr>
      <w:tr w:rsidR="001326DA" w:rsidRPr="001326DA" w14:paraId="5C35BB0B" w14:textId="77777777" w:rsidTr="00430572">
        <w:trPr>
          <w:trHeight w:val="288"/>
        </w:trPr>
        <w:tc>
          <w:tcPr>
            <w:tcW w:w="2359" w:type="dxa"/>
            <w:tcBorders>
              <w:top w:val="nil"/>
              <w:left w:val="nil"/>
              <w:bottom w:val="nil"/>
              <w:right w:val="nil"/>
            </w:tcBorders>
            <w:shd w:val="clear" w:color="auto" w:fill="auto"/>
            <w:noWrap/>
            <w:hideMark/>
          </w:tcPr>
          <w:p w14:paraId="78B79DF0" w14:textId="77777777" w:rsidR="001326DA" w:rsidRPr="001326DA" w:rsidRDefault="001326DA" w:rsidP="00430572">
            <w:pPr>
              <w:spacing w:line="360" w:lineRule="auto"/>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[30,100)</w:t>
            </w:r>
          </w:p>
        </w:tc>
        <w:tc>
          <w:tcPr>
            <w:tcW w:w="1185" w:type="dxa"/>
            <w:tcBorders>
              <w:top w:val="nil"/>
              <w:left w:val="nil"/>
              <w:bottom w:val="nil"/>
              <w:right w:val="nil"/>
            </w:tcBorders>
            <w:shd w:val="clear" w:color="auto" w:fill="auto"/>
            <w:noWrap/>
            <w:hideMark/>
          </w:tcPr>
          <w:p w14:paraId="3732E87D"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105</w:t>
            </w:r>
          </w:p>
        </w:tc>
        <w:tc>
          <w:tcPr>
            <w:tcW w:w="992" w:type="dxa"/>
            <w:tcBorders>
              <w:top w:val="nil"/>
              <w:left w:val="nil"/>
              <w:bottom w:val="nil"/>
              <w:right w:val="nil"/>
            </w:tcBorders>
            <w:shd w:val="clear" w:color="auto" w:fill="auto"/>
            <w:noWrap/>
            <w:hideMark/>
          </w:tcPr>
          <w:p w14:paraId="370DE5A4"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913</w:t>
            </w:r>
          </w:p>
        </w:tc>
        <w:tc>
          <w:tcPr>
            <w:tcW w:w="750" w:type="dxa"/>
            <w:tcBorders>
              <w:top w:val="nil"/>
              <w:left w:val="nil"/>
              <w:bottom w:val="nil"/>
              <w:right w:val="nil"/>
            </w:tcBorders>
            <w:shd w:val="clear" w:color="auto" w:fill="auto"/>
            <w:noWrap/>
            <w:hideMark/>
          </w:tcPr>
          <w:p w14:paraId="2B2FA370"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11.5</w:t>
            </w:r>
          </w:p>
        </w:tc>
        <w:tc>
          <w:tcPr>
            <w:tcW w:w="948" w:type="dxa"/>
            <w:tcBorders>
              <w:top w:val="nil"/>
              <w:left w:val="nil"/>
              <w:bottom w:val="nil"/>
              <w:right w:val="nil"/>
            </w:tcBorders>
            <w:shd w:val="clear" w:color="auto" w:fill="auto"/>
            <w:noWrap/>
            <w:hideMark/>
          </w:tcPr>
          <w:p w14:paraId="5D9DD7E0"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1191</w:t>
            </w:r>
          </w:p>
        </w:tc>
        <w:tc>
          <w:tcPr>
            <w:tcW w:w="1182" w:type="dxa"/>
            <w:tcBorders>
              <w:top w:val="nil"/>
              <w:left w:val="nil"/>
              <w:bottom w:val="nil"/>
              <w:right w:val="nil"/>
            </w:tcBorders>
            <w:shd w:val="clear" w:color="auto" w:fill="auto"/>
            <w:noWrap/>
            <w:hideMark/>
          </w:tcPr>
          <w:p w14:paraId="0B6FA490"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7076</w:t>
            </w:r>
          </w:p>
        </w:tc>
        <w:tc>
          <w:tcPr>
            <w:tcW w:w="750" w:type="dxa"/>
            <w:tcBorders>
              <w:top w:val="nil"/>
              <w:left w:val="nil"/>
              <w:bottom w:val="nil"/>
              <w:right w:val="nil"/>
            </w:tcBorders>
            <w:shd w:val="clear" w:color="auto" w:fill="auto"/>
            <w:noWrap/>
            <w:hideMark/>
          </w:tcPr>
          <w:p w14:paraId="5508E946"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16.8</w:t>
            </w:r>
          </w:p>
        </w:tc>
        <w:tc>
          <w:tcPr>
            <w:tcW w:w="2040" w:type="dxa"/>
            <w:tcBorders>
              <w:top w:val="nil"/>
              <w:left w:val="nil"/>
              <w:bottom w:val="nil"/>
              <w:right w:val="nil"/>
            </w:tcBorders>
            <w:shd w:val="clear" w:color="auto" w:fill="auto"/>
            <w:noWrap/>
            <w:hideMark/>
          </w:tcPr>
          <w:p w14:paraId="51EA0EC6"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0.637 (0.51-0.795)</w:t>
            </w:r>
          </w:p>
        </w:tc>
        <w:tc>
          <w:tcPr>
            <w:tcW w:w="1134" w:type="dxa"/>
            <w:tcBorders>
              <w:top w:val="nil"/>
              <w:left w:val="nil"/>
              <w:bottom w:val="nil"/>
              <w:right w:val="nil"/>
            </w:tcBorders>
            <w:shd w:val="clear" w:color="auto" w:fill="auto"/>
            <w:noWrap/>
            <w:hideMark/>
          </w:tcPr>
          <w:p w14:paraId="1B45B4CC"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p>
        </w:tc>
      </w:tr>
      <w:tr w:rsidR="001326DA" w:rsidRPr="001326DA" w14:paraId="25B1A7AF" w14:textId="77777777" w:rsidTr="00430572">
        <w:trPr>
          <w:trHeight w:val="288"/>
        </w:trPr>
        <w:tc>
          <w:tcPr>
            <w:tcW w:w="2359" w:type="dxa"/>
            <w:tcBorders>
              <w:top w:val="nil"/>
              <w:left w:val="nil"/>
              <w:bottom w:val="nil"/>
              <w:right w:val="nil"/>
            </w:tcBorders>
            <w:shd w:val="clear" w:color="auto" w:fill="auto"/>
            <w:noWrap/>
            <w:hideMark/>
          </w:tcPr>
          <w:p w14:paraId="14557309" w14:textId="77777777" w:rsidR="001326DA" w:rsidRPr="001326DA" w:rsidRDefault="001326DA" w:rsidP="00430572">
            <w:pPr>
              <w:spacing w:line="360" w:lineRule="auto"/>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Functional status</w:t>
            </w:r>
          </w:p>
        </w:tc>
        <w:tc>
          <w:tcPr>
            <w:tcW w:w="1185" w:type="dxa"/>
            <w:tcBorders>
              <w:top w:val="nil"/>
              <w:left w:val="nil"/>
              <w:bottom w:val="nil"/>
              <w:right w:val="nil"/>
            </w:tcBorders>
            <w:shd w:val="clear" w:color="auto" w:fill="auto"/>
            <w:noWrap/>
            <w:hideMark/>
          </w:tcPr>
          <w:p w14:paraId="2D2AD22C"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p>
        </w:tc>
        <w:tc>
          <w:tcPr>
            <w:tcW w:w="992" w:type="dxa"/>
            <w:tcBorders>
              <w:top w:val="nil"/>
              <w:left w:val="nil"/>
              <w:bottom w:val="nil"/>
              <w:right w:val="nil"/>
            </w:tcBorders>
            <w:shd w:val="clear" w:color="auto" w:fill="auto"/>
            <w:noWrap/>
            <w:hideMark/>
          </w:tcPr>
          <w:p w14:paraId="5ECDBAC6"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p>
        </w:tc>
        <w:tc>
          <w:tcPr>
            <w:tcW w:w="750" w:type="dxa"/>
            <w:tcBorders>
              <w:top w:val="nil"/>
              <w:left w:val="nil"/>
              <w:bottom w:val="nil"/>
              <w:right w:val="nil"/>
            </w:tcBorders>
            <w:shd w:val="clear" w:color="auto" w:fill="auto"/>
            <w:noWrap/>
            <w:hideMark/>
          </w:tcPr>
          <w:p w14:paraId="15832123"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p>
        </w:tc>
        <w:tc>
          <w:tcPr>
            <w:tcW w:w="948" w:type="dxa"/>
            <w:tcBorders>
              <w:top w:val="nil"/>
              <w:left w:val="nil"/>
              <w:bottom w:val="nil"/>
              <w:right w:val="nil"/>
            </w:tcBorders>
            <w:shd w:val="clear" w:color="auto" w:fill="auto"/>
            <w:noWrap/>
            <w:hideMark/>
          </w:tcPr>
          <w:p w14:paraId="629B0212"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p>
        </w:tc>
        <w:tc>
          <w:tcPr>
            <w:tcW w:w="1182" w:type="dxa"/>
            <w:tcBorders>
              <w:top w:val="nil"/>
              <w:left w:val="nil"/>
              <w:bottom w:val="nil"/>
              <w:right w:val="nil"/>
            </w:tcBorders>
            <w:shd w:val="clear" w:color="auto" w:fill="auto"/>
            <w:noWrap/>
            <w:hideMark/>
          </w:tcPr>
          <w:p w14:paraId="6FAB5BE1"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p>
        </w:tc>
        <w:tc>
          <w:tcPr>
            <w:tcW w:w="750" w:type="dxa"/>
            <w:tcBorders>
              <w:top w:val="nil"/>
              <w:left w:val="nil"/>
              <w:bottom w:val="nil"/>
              <w:right w:val="nil"/>
            </w:tcBorders>
            <w:shd w:val="clear" w:color="auto" w:fill="auto"/>
            <w:noWrap/>
            <w:hideMark/>
          </w:tcPr>
          <w:p w14:paraId="1BF0C3CC"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p>
        </w:tc>
        <w:tc>
          <w:tcPr>
            <w:tcW w:w="2040" w:type="dxa"/>
            <w:tcBorders>
              <w:top w:val="nil"/>
              <w:left w:val="nil"/>
              <w:bottom w:val="nil"/>
              <w:right w:val="nil"/>
            </w:tcBorders>
            <w:shd w:val="clear" w:color="auto" w:fill="auto"/>
            <w:noWrap/>
            <w:hideMark/>
          </w:tcPr>
          <w:p w14:paraId="7E9422BA"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p>
        </w:tc>
        <w:tc>
          <w:tcPr>
            <w:tcW w:w="1134" w:type="dxa"/>
            <w:tcBorders>
              <w:top w:val="nil"/>
              <w:left w:val="nil"/>
              <w:bottom w:val="nil"/>
              <w:right w:val="nil"/>
            </w:tcBorders>
            <w:shd w:val="clear" w:color="auto" w:fill="auto"/>
            <w:noWrap/>
            <w:hideMark/>
          </w:tcPr>
          <w:p w14:paraId="14052D90"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p>
        </w:tc>
      </w:tr>
      <w:tr w:rsidR="001326DA" w:rsidRPr="001326DA" w14:paraId="6284D81F" w14:textId="77777777" w:rsidTr="00430572">
        <w:trPr>
          <w:trHeight w:val="288"/>
        </w:trPr>
        <w:tc>
          <w:tcPr>
            <w:tcW w:w="2359" w:type="dxa"/>
            <w:tcBorders>
              <w:top w:val="nil"/>
              <w:left w:val="nil"/>
              <w:bottom w:val="nil"/>
              <w:right w:val="nil"/>
            </w:tcBorders>
            <w:shd w:val="clear" w:color="auto" w:fill="auto"/>
            <w:noWrap/>
            <w:hideMark/>
          </w:tcPr>
          <w:p w14:paraId="2B7AAB29" w14:textId="77777777" w:rsidR="001326DA" w:rsidRPr="001326DA" w:rsidRDefault="001326DA" w:rsidP="00430572">
            <w:pPr>
              <w:spacing w:line="360" w:lineRule="auto"/>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No Dyspnea</w:t>
            </w:r>
          </w:p>
        </w:tc>
        <w:tc>
          <w:tcPr>
            <w:tcW w:w="1185" w:type="dxa"/>
            <w:tcBorders>
              <w:top w:val="nil"/>
              <w:left w:val="nil"/>
              <w:bottom w:val="nil"/>
              <w:right w:val="nil"/>
            </w:tcBorders>
            <w:shd w:val="clear" w:color="auto" w:fill="auto"/>
            <w:noWrap/>
            <w:hideMark/>
          </w:tcPr>
          <w:p w14:paraId="1C04FB6B"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1098</w:t>
            </w:r>
          </w:p>
        </w:tc>
        <w:tc>
          <w:tcPr>
            <w:tcW w:w="992" w:type="dxa"/>
            <w:tcBorders>
              <w:top w:val="nil"/>
              <w:left w:val="nil"/>
              <w:bottom w:val="nil"/>
              <w:right w:val="nil"/>
            </w:tcBorders>
            <w:shd w:val="clear" w:color="auto" w:fill="auto"/>
            <w:noWrap/>
            <w:hideMark/>
          </w:tcPr>
          <w:p w14:paraId="062E0234"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1256</w:t>
            </w:r>
          </w:p>
        </w:tc>
        <w:tc>
          <w:tcPr>
            <w:tcW w:w="750" w:type="dxa"/>
            <w:tcBorders>
              <w:top w:val="nil"/>
              <w:left w:val="nil"/>
              <w:bottom w:val="nil"/>
              <w:right w:val="nil"/>
            </w:tcBorders>
            <w:shd w:val="clear" w:color="auto" w:fill="auto"/>
            <w:noWrap/>
            <w:hideMark/>
          </w:tcPr>
          <w:p w14:paraId="2E173F90"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87.4</w:t>
            </w:r>
          </w:p>
        </w:tc>
        <w:tc>
          <w:tcPr>
            <w:tcW w:w="948" w:type="dxa"/>
            <w:tcBorders>
              <w:top w:val="nil"/>
              <w:left w:val="nil"/>
              <w:bottom w:val="nil"/>
              <w:right w:val="nil"/>
            </w:tcBorders>
            <w:shd w:val="clear" w:color="auto" w:fill="auto"/>
            <w:noWrap/>
            <w:hideMark/>
          </w:tcPr>
          <w:p w14:paraId="4CEE3368"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7136</w:t>
            </w:r>
          </w:p>
        </w:tc>
        <w:tc>
          <w:tcPr>
            <w:tcW w:w="1182" w:type="dxa"/>
            <w:tcBorders>
              <w:top w:val="nil"/>
              <w:left w:val="nil"/>
              <w:bottom w:val="nil"/>
              <w:right w:val="nil"/>
            </w:tcBorders>
            <w:shd w:val="clear" w:color="auto" w:fill="auto"/>
            <w:noWrap/>
            <w:hideMark/>
          </w:tcPr>
          <w:p w14:paraId="6936EA2E"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7961</w:t>
            </w:r>
          </w:p>
        </w:tc>
        <w:tc>
          <w:tcPr>
            <w:tcW w:w="750" w:type="dxa"/>
            <w:tcBorders>
              <w:top w:val="nil"/>
              <w:left w:val="nil"/>
              <w:bottom w:val="nil"/>
              <w:right w:val="nil"/>
            </w:tcBorders>
            <w:shd w:val="clear" w:color="auto" w:fill="auto"/>
            <w:noWrap/>
            <w:hideMark/>
          </w:tcPr>
          <w:p w14:paraId="7AC2D8E6"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89.6</w:t>
            </w:r>
          </w:p>
        </w:tc>
        <w:tc>
          <w:tcPr>
            <w:tcW w:w="2040" w:type="dxa"/>
            <w:tcBorders>
              <w:top w:val="nil"/>
              <w:left w:val="nil"/>
              <w:bottom w:val="nil"/>
              <w:right w:val="nil"/>
            </w:tcBorders>
            <w:shd w:val="clear" w:color="auto" w:fill="auto"/>
            <w:noWrap/>
            <w:hideMark/>
          </w:tcPr>
          <w:p w14:paraId="2007E8DE"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Reference</w:t>
            </w:r>
          </w:p>
        </w:tc>
        <w:tc>
          <w:tcPr>
            <w:tcW w:w="1134" w:type="dxa"/>
            <w:tcBorders>
              <w:top w:val="nil"/>
              <w:left w:val="nil"/>
              <w:bottom w:val="nil"/>
              <w:right w:val="nil"/>
            </w:tcBorders>
            <w:shd w:val="clear" w:color="auto" w:fill="auto"/>
            <w:noWrap/>
            <w:hideMark/>
          </w:tcPr>
          <w:p w14:paraId="6A7D431E"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0.015</w:t>
            </w:r>
          </w:p>
        </w:tc>
      </w:tr>
      <w:tr w:rsidR="001326DA" w:rsidRPr="001326DA" w14:paraId="3AD50409" w14:textId="77777777" w:rsidTr="00430572">
        <w:trPr>
          <w:trHeight w:val="288"/>
        </w:trPr>
        <w:tc>
          <w:tcPr>
            <w:tcW w:w="2359" w:type="dxa"/>
            <w:tcBorders>
              <w:top w:val="nil"/>
              <w:left w:val="nil"/>
              <w:bottom w:val="nil"/>
              <w:right w:val="nil"/>
            </w:tcBorders>
            <w:shd w:val="clear" w:color="auto" w:fill="auto"/>
            <w:noWrap/>
            <w:hideMark/>
          </w:tcPr>
          <w:p w14:paraId="1D6411A1" w14:textId="77777777" w:rsidR="001326DA" w:rsidRPr="001326DA" w:rsidRDefault="001326DA" w:rsidP="00430572">
            <w:pPr>
              <w:spacing w:line="360" w:lineRule="auto"/>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Dyspnea with moderate exertion</w:t>
            </w:r>
          </w:p>
        </w:tc>
        <w:tc>
          <w:tcPr>
            <w:tcW w:w="1185" w:type="dxa"/>
            <w:tcBorders>
              <w:top w:val="nil"/>
              <w:left w:val="nil"/>
              <w:bottom w:val="nil"/>
              <w:right w:val="nil"/>
            </w:tcBorders>
            <w:shd w:val="clear" w:color="auto" w:fill="auto"/>
            <w:noWrap/>
            <w:hideMark/>
          </w:tcPr>
          <w:p w14:paraId="23050456"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116</w:t>
            </w:r>
          </w:p>
        </w:tc>
        <w:tc>
          <w:tcPr>
            <w:tcW w:w="992" w:type="dxa"/>
            <w:tcBorders>
              <w:top w:val="nil"/>
              <w:left w:val="nil"/>
              <w:bottom w:val="nil"/>
              <w:right w:val="nil"/>
            </w:tcBorders>
            <w:shd w:val="clear" w:color="auto" w:fill="auto"/>
            <w:noWrap/>
            <w:hideMark/>
          </w:tcPr>
          <w:p w14:paraId="12842F96"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1256</w:t>
            </w:r>
          </w:p>
        </w:tc>
        <w:tc>
          <w:tcPr>
            <w:tcW w:w="750" w:type="dxa"/>
            <w:tcBorders>
              <w:top w:val="nil"/>
              <w:left w:val="nil"/>
              <w:bottom w:val="nil"/>
              <w:right w:val="nil"/>
            </w:tcBorders>
            <w:shd w:val="clear" w:color="auto" w:fill="auto"/>
            <w:noWrap/>
            <w:hideMark/>
          </w:tcPr>
          <w:p w14:paraId="742246E2"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9.2</w:t>
            </w:r>
          </w:p>
        </w:tc>
        <w:tc>
          <w:tcPr>
            <w:tcW w:w="948" w:type="dxa"/>
            <w:tcBorders>
              <w:top w:val="nil"/>
              <w:left w:val="nil"/>
              <w:bottom w:val="nil"/>
              <w:right w:val="nil"/>
            </w:tcBorders>
            <w:shd w:val="clear" w:color="auto" w:fill="auto"/>
            <w:noWrap/>
            <w:hideMark/>
          </w:tcPr>
          <w:p w14:paraId="6206518C"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652</w:t>
            </w:r>
          </w:p>
        </w:tc>
        <w:tc>
          <w:tcPr>
            <w:tcW w:w="1182" w:type="dxa"/>
            <w:tcBorders>
              <w:top w:val="nil"/>
              <w:left w:val="nil"/>
              <w:bottom w:val="nil"/>
              <w:right w:val="nil"/>
            </w:tcBorders>
            <w:shd w:val="clear" w:color="auto" w:fill="auto"/>
            <w:noWrap/>
            <w:hideMark/>
          </w:tcPr>
          <w:p w14:paraId="27735508"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7961</w:t>
            </w:r>
          </w:p>
        </w:tc>
        <w:tc>
          <w:tcPr>
            <w:tcW w:w="750" w:type="dxa"/>
            <w:tcBorders>
              <w:top w:val="nil"/>
              <w:left w:val="nil"/>
              <w:bottom w:val="nil"/>
              <w:right w:val="nil"/>
            </w:tcBorders>
            <w:shd w:val="clear" w:color="auto" w:fill="auto"/>
            <w:noWrap/>
            <w:hideMark/>
          </w:tcPr>
          <w:p w14:paraId="0E91E056"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8.2</w:t>
            </w:r>
          </w:p>
        </w:tc>
        <w:tc>
          <w:tcPr>
            <w:tcW w:w="2040" w:type="dxa"/>
            <w:tcBorders>
              <w:top w:val="nil"/>
              <w:left w:val="nil"/>
              <w:bottom w:val="nil"/>
              <w:right w:val="nil"/>
            </w:tcBorders>
            <w:shd w:val="clear" w:color="auto" w:fill="auto"/>
            <w:noWrap/>
            <w:hideMark/>
          </w:tcPr>
          <w:p w14:paraId="0D580136"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1.156 (0.94-1.423)</w:t>
            </w:r>
          </w:p>
        </w:tc>
        <w:tc>
          <w:tcPr>
            <w:tcW w:w="1134" w:type="dxa"/>
            <w:tcBorders>
              <w:top w:val="nil"/>
              <w:left w:val="nil"/>
              <w:bottom w:val="nil"/>
              <w:right w:val="nil"/>
            </w:tcBorders>
            <w:shd w:val="clear" w:color="auto" w:fill="auto"/>
            <w:noWrap/>
            <w:hideMark/>
          </w:tcPr>
          <w:p w14:paraId="0433306A"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p>
        </w:tc>
      </w:tr>
      <w:tr w:rsidR="001326DA" w:rsidRPr="001326DA" w14:paraId="628FB98C" w14:textId="77777777" w:rsidTr="00430572">
        <w:trPr>
          <w:trHeight w:val="288"/>
        </w:trPr>
        <w:tc>
          <w:tcPr>
            <w:tcW w:w="2359" w:type="dxa"/>
            <w:tcBorders>
              <w:top w:val="nil"/>
              <w:left w:val="nil"/>
              <w:bottom w:val="nil"/>
              <w:right w:val="nil"/>
            </w:tcBorders>
            <w:shd w:val="clear" w:color="auto" w:fill="auto"/>
            <w:noWrap/>
            <w:hideMark/>
          </w:tcPr>
          <w:p w14:paraId="1908A995" w14:textId="77777777" w:rsidR="001326DA" w:rsidRPr="001326DA" w:rsidRDefault="001326DA" w:rsidP="00430572">
            <w:pPr>
              <w:spacing w:line="360" w:lineRule="auto"/>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Dyspnea at rest</w:t>
            </w:r>
          </w:p>
        </w:tc>
        <w:tc>
          <w:tcPr>
            <w:tcW w:w="1185" w:type="dxa"/>
            <w:tcBorders>
              <w:top w:val="nil"/>
              <w:left w:val="nil"/>
              <w:bottom w:val="nil"/>
              <w:right w:val="nil"/>
            </w:tcBorders>
            <w:shd w:val="clear" w:color="auto" w:fill="auto"/>
            <w:noWrap/>
            <w:hideMark/>
          </w:tcPr>
          <w:p w14:paraId="7C5E8A93"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42</w:t>
            </w:r>
          </w:p>
        </w:tc>
        <w:tc>
          <w:tcPr>
            <w:tcW w:w="992" w:type="dxa"/>
            <w:tcBorders>
              <w:top w:val="nil"/>
              <w:left w:val="nil"/>
              <w:bottom w:val="nil"/>
              <w:right w:val="nil"/>
            </w:tcBorders>
            <w:shd w:val="clear" w:color="auto" w:fill="auto"/>
            <w:noWrap/>
            <w:hideMark/>
          </w:tcPr>
          <w:p w14:paraId="51F71440"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1256</w:t>
            </w:r>
          </w:p>
        </w:tc>
        <w:tc>
          <w:tcPr>
            <w:tcW w:w="750" w:type="dxa"/>
            <w:tcBorders>
              <w:top w:val="nil"/>
              <w:left w:val="nil"/>
              <w:bottom w:val="nil"/>
              <w:right w:val="nil"/>
            </w:tcBorders>
            <w:shd w:val="clear" w:color="auto" w:fill="auto"/>
            <w:noWrap/>
            <w:hideMark/>
          </w:tcPr>
          <w:p w14:paraId="0ED0B5FE"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3.3</w:t>
            </w:r>
          </w:p>
        </w:tc>
        <w:tc>
          <w:tcPr>
            <w:tcW w:w="948" w:type="dxa"/>
            <w:tcBorders>
              <w:top w:val="nil"/>
              <w:left w:val="nil"/>
              <w:bottom w:val="nil"/>
              <w:right w:val="nil"/>
            </w:tcBorders>
            <w:shd w:val="clear" w:color="auto" w:fill="auto"/>
            <w:noWrap/>
            <w:hideMark/>
          </w:tcPr>
          <w:p w14:paraId="77E28379"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173</w:t>
            </w:r>
          </w:p>
        </w:tc>
        <w:tc>
          <w:tcPr>
            <w:tcW w:w="1182" w:type="dxa"/>
            <w:tcBorders>
              <w:top w:val="nil"/>
              <w:left w:val="nil"/>
              <w:bottom w:val="nil"/>
              <w:right w:val="nil"/>
            </w:tcBorders>
            <w:shd w:val="clear" w:color="auto" w:fill="auto"/>
            <w:noWrap/>
            <w:hideMark/>
          </w:tcPr>
          <w:p w14:paraId="47DAAD9F"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7961</w:t>
            </w:r>
          </w:p>
        </w:tc>
        <w:tc>
          <w:tcPr>
            <w:tcW w:w="750" w:type="dxa"/>
            <w:tcBorders>
              <w:top w:val="nil"/>
              <w:left w:val="nil"/>
              <w:bottom w:val="nil"/>
              <w:right w:val="nil"/>
            </w:tcBorders>
            <w:shd w:val="clear" w:color="auto" w:fill="auto"/>
            <w:noWrap/>
            <w:hideMark/>
          </w:tcPr>
          <w:p w14:paraId="2B437F8F"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2.2</w:t>
            </w:r>
          </w:p>
        </w:tc>
        <w:tc>
          <w:tcPr>
            <w:tcW w:w="2040" w:type="dxa"/>
            <w:tcBorders>
              <w:top w:val="nil"/>
              <w:left w:val="nil"/>
              <w:bottom w:val="nil"/>
              <w:right w:val="nil"/>
            </w:tcBorders>
            <w:shd w:val="clear" w:color="auto" w:fill="auto"/>
            <w:noWrap/>
            <w:hideMark/>
          </w:tcPr>
          <w:p w14:paraId="57815FC6"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1.578 (1.12-2.224)</w:t>
            </w:r>
          </w:p>
        </w:tc>
        <w:tc>
          <w:tcPr>
            <w:tcW w:w="1134" w:type="dxa"/>
            <w:tcBorders>
              <w:top w:val="nil"/>
              <w:left w:val="nil"/>
              <w:bottom w:val="nil"/>
              <w:right w:val="nil"/>
            </w:tcBorders>
            <w:shd w:val="clear" w:color="auto" w:fill="auto"/>
            <w:noWrap/>
            <w:hideMark/>
          </w:tcPr>
          <w:p w14:paraId="19440C11"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p>
        </w:tc>
      </w:tr>
      <w:tr w:rsidR="001326DA" w:rsidRPr="001326DA" w14:paraId="521B9D0F" w14:textId="77777777" w:rsidTr="00430572">
        <w:trPr>
          <w:trHeight w:val="288"/>
        </w:trPr>
        <w:tc>
          <w:tcPr>
            <w:tcW w:w="2359" w:type="dxa"/>
            <w:tcBorders>
              <w:top w:val="nil"/>
              <w:left w:val="nil"/>
              <w:bottom w:val="nil"/>
              <w:right w:val="nil"/>
            </w:tcBorders>
            <w:shd w:val="clear" w:color="auto" w:fill="auto"/>
            <w:noWrap/>
            <w:hideMark/>
          </w:tcPr>
          <w:p w14:paraId="3ECE13BD" w14:textId="77777777" w:rsidR="001326DA" w:rsidRPr="001326DA" w:rsidRDefault="001326DA" w:rsidP="00430572">
            <w:pPr>
              <w:spacing w:line="360" w:lineRule="auto"/>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Independent</w:t>
            </w:r>
          </w:p>
        </w:tc>
        <w:tc>
          <w:tcPr>
            <w:tcW w:w="1185" w:type="dxa"/>
            <w:tcBorders>
              <w:top w:val="nil"/>
              <w:left w:val="nil"/>
              <w:bottom w:val="nil"/>
              <w:right w:val="nil"/>
            </w:tcBorders>
            <w:shd w:val="clear" w:color="auto" w:fill="auto"/>
            <w:noWrap/>
            <w:hideMark/>
          </w:tcPr>
          <w:p w14:paraId="02D81860"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491</w:t>
            </w:r>
          </w:p>
        </w:tc>
        <w:tc>
          <w:tcPr>
            <w:tcW w:w="992" w:type="dxa"/>
            <w:tcBorders>
              <w:top w:val="nil"/>
              <w:left w:val="nil"/>
              <w:bottom w:val="nil"/>
              <w:right w:val="nil"/>
            </w:tcBorders>
            <w:shd w:val="clear" w:color="auto" w:fill="auto"/>
            <w:noWrap/>
            <w:hideMark/>
          </w:tcPr>
          <w:p w14:paraId="372BBEC4"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1251</w:t>
            </w:r>
          </w:p>
        </w:tc>
        <w:tc>
          <w:tcPr>
            <w:tcW w:w="750" w:type="dxa"/>
            <w:tcBorders>
              <w:top w:val="nil"/>
              <w:left w:val="nil"/>
              <w:bottom w:val="nil"/>
              <w:right w:val="nil"/>
            </w:tcBorders>
            <w:shd w:val="clear" w:color="auto" w:fill="auto"/>
            <w:noWrap/>
            <w:hideMark/>
          </w:tcPr>
          <w:p w14:paraId="24423F45"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39.2</w:t>
            </w:r>
          </w:p>
        </w:tc>
        <w:tc>
          <w:tcPr>
            <w:tcW w:w="948" w:type="dxa"/>
            <w:tcBorders>
              <w:top w:val="nil"/>
              <w:left w:val="nil"/>
              <w:bottom w:val="nil"/>
              <w:right w:val="nil"/>
            </w:tcBorders>
            <w:shd w:val="clear" w:color="auto" w:fill="auto"/>
            <w:noWrap/>
            <w:hideMark/>
          </w:tcPr>
          <w:p w14:paraId="1C821149"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4726</w:t>
            </w:r>
          </w:p>
        </w:tc>
        <w:tc>
          <w:tcPr>
            <w:tcW w:w="1182" w:type="dxa"/>
            <w:tcBorders>
              <w:top w:val="nil"/>
              <w:left w:val="nil"/>
              <w:bottom w:val="nil"/>
              <w:right w:val="nil"/>
            </w:tcBorders>
            <w:shd w:val="clear" w:color="auto" w:fill="auto"/>
            <w:noWrap/>
            <w:hideMark/>
          </w:tcPr>
          <w:p w14:paraId="44DDE17B"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7917</w:t>
            </w:r>
          </w:p>
        </w:tc>
        <w:tc>
          <w:tcPr>
            <w:tcW w:w="750" w:type="dxa"/>
            <w:tcBorders>
              <w:top w:val="nil"/>
              <w:left w:val="nil"/>
              <w:bottom w:val="nil"/>
              <w:right w:val="nil"/>
            </w:tcBorders>
            <w:shd w:val="clear" w:color="auto" w:fill="auto"/>
            <w:noWrap/>
            <w:hideMark/>
          </w:tcPr>
          <w:p w14:paraId="0F1FFBDC"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59.7</w:t>
            </w:r>
          </w:p>
        </w:tc>
        <w:tc>
          <w:tcPr>
            <w:tcW w:w="2040" w:type="dxa"/>
            <w:tcBorders>
              <w:top w:val="nil"/>
              <w:left w:val="nil"/>
              <w:bottom w:val="nil"/>
              <w:right w:val="nil"/>
            </w:tcBorders>
            <w:shd w:val="clear" w:color="auto" w:fill="auto"/>
            <w:noWrap/>
            <w:hideMark/>
          </w:tcPr>
          <w:p w14:paraId="590DE809"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Reference</w:t>
            </w:r>
          </w:p>
        </w:tc>
        <w:tc>
          <w:tcPr>
            <w:tcW w:w="1134" w:type="dxa"/>
            <w:tcBorders>
              <w:top w:val="nil"/>
              <w:left w:val="nil"/>
              <w:bottom w:val="nil"/>
              <w:right w:val="nil"/>
            </w:tcBorders>
            <w:shd w:val="clear" w:color="auto" w:fill="auto"/>
            <w:noWrap/>
            <w:hideMark/>
          </w:tcPr>
          <w:p w14:paraId="058B7531"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&lt; 0.001</w:t>
            </w:r>
          </w:p>
        </w:tc>
      </w:tr>
      <w:tr w:rsidR="001326DA" w:rsidRPr="001326DA" w14:paraId="082D1A7D" w14:textId="77777777" w:rsidTr="00430572">
        <w:trPr>
          <w:trHeight w:val="288"/>
        </w:trPr>
        <w:tc>
          <w:tcPr>
            <w:tcW w:w="2359" w:type="dxa"/>
            <w:tcBorders>
              <w:top w:val="nil"/>
              <w:left w:val="nil"/>
              <w:bottom w:val="nil"/>
              <w:right w:val="nil"/>
            </w:tcBorders>
            <w:shd w:val="clear" w:color="auto" w:fill="auto"/>
            <w:noWrap/>
            <w:hideMark/>
          </w:tcPr>
          <w:p w14:paraId="08653480" w14:textId="77777777" w:rsidR="001326DA" w:rsidRPr="001326DA" w:rsidRDefault="001326DA" w:rsidP="00430572">
            <w:pPr>
              <w:spacing w:line="360" w:lineRule="auto"/>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Partially Dependent</w:t>
            </w:r>
          </w:p>
        </w:tc>
        <w:tc>
          <w:tcPr>
            <w:tcW w:w="1185" w:type="dxa"/>
            <w:tcBorders>
              <w:top w:val="nil"/>
              <w:left w:val="nil"/>
              <w:bottom w:val="nil"/>
              <w:right w:val="nil"/>
            </w:tcBorders>
            <w:shd w:val="clear" w:color="auto" w:fill="auto"/>
            <w:noWrap/>
            <w:hideMark/>
          </w:tcPr>
          <w:p w14:paraId="2D9BC321"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579</w:t>
            </w:r>
          </w:p>
        </w:tc>
        <w:tc>
          <w:tcPr>
            <w:tcW w:w="992" w:type="dxa"/>
            <w:tcBorders>
              <w:top w:val="nil"/>
              <w:left w:val="nil"/>
              <w:bottom w:val="nil"/>
              <w:right w:val="nil"/>
            </w:tcBorders>
            <w:shd w:val="clear" w:color="auto" w:fill="auto"/>
            <w:noWrap/>
            <w:hideMark/>
          </w:tcPr>
          <w:p w14:paraId="4B999E68"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1251</w:t>
            </w:r>
          </w:p>
        </w:tc>
        <w:tc>
          <w:tcPr>
            <w:tcW w:w="750" w:type="dxa"/>
            <w:tcBorders>
              <w:top w:val="nil"/>
              <w:left w:val="nil"/>
              <w:bottom w:val="nil"/>
              <w:right w:val="nil"/>
            </w:tcBorders>
            <w:shd w:val="clear" w:color="auto" w:fill="auto"/>
            <w:noWrap/>
            <w:hideMark/>
          </w:tcPr>
          <w:p w14:paraId="5F5ED851"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46.3</w:t>
            </w:r>
          </w:p>
        </w:tc>
        <w:tc>
          <w:tcPr>
            <w:tcW w:w="948" w:type="dxa"/>
            <w:tcBorders>
              <w:top w:val="nil"/>
              <w:left w:val="nil"/>
              <w:bottom w:val="nil"/>
              <w:right w:val="nil"/>
            </w:tcBorders>
            <w:shd w:val="clear" w:color="auto" w:fill="auto"/>
            <w:noWrap/>
            <w:hideMark/>
          </w:tcPr>
          <w:p w14:paraId="549D81C7"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2583</w:t>
            </w:r>
          </w:p>
        </w:tc>
        <w:tc>
          <w:tcPr>
            <w:tcW w:w="1182" w:type="dxa"/>
            <w:tcBorders>
              <w:top w:val="nil"/>
              <w:left w:val="nil"/>
              <w:bottom w:val="nil"/>
              <w:right w:val="nil"/>
            </w:tcBorders>
            <w:shd w:val="clear" w:color="auto" w:fill="auto"/>
            <w:noWrap/>
            <w:hideMark/>
          </w:tcPr>
          <w:p w14:paraId="39888DC7"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7917</w:t>
            </w:r>
          </w:p>
        </w:tc>
        <w:tc>
          <w:tcPr>
            <w:tcW w:w="750" w:type="dxa"/>
            <w:tcBorders>
              <w:top w:val="nil"/>
              <w:left w:val="nil"/>
              <w:bottom w:val="nil"/>
              <w:right w:val="nil"/>
            </w:tcBorders>
            <w:shd w:val="clear" w:color="auto" w:fill="auto"/>
            <w:noWrap/>
            <w:hideMark/>
          </w:tcPr>
          <w:p w14:paraId="46B3E701"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32.6</w:t>
            </w:r>
          </w:p>
        </w:tc>
        <w:tc>
          <w:tcPr>
            <w:tcW w:w="2040" w:type="dxa"/>
            <w:tcBorders>
              <w:top w:val="nil"/>
              <w:left w:val="nil"/>
              <w:bottom w:val="nil"/>
              <w:right w:val="nil"/>
            </w:tcBorders>
            <w:shd w:val="clear" w:color="auto" w:fill="auto"/>
            <w:noWrap/>
            <w:hideMark/>
          </w:tcPr>
          <w:p w14:paraId="7EB1F7C9"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2.158 (1.896-2.456)</w:t>
            </w:r>
          </w:p>
        </w:tc>
        <w:tc>
          <w:tcPr>
            <w:tcW w:w="1134" w:type="dxa"/>
            <w:tcBorders>
              <w:top w:val="nil"/>
              <w:left w:val="nil"/>
              <w:bottom w:val="nil"/>
              <w:right w:val="nil"/>
            </w:tcBorders>
            <w:shd w:val="clear" w:color="auto" w:fill="auto"/>
            <w:noWrap/>
            <w:hideMark/>
          </w:tcPr>
          <w:p w14:paraId="0C7BE5D7"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p>
        </w:tc>
      </w:tr>
      <w:tr w:rsidR="001326DA" w:rsidRPr="001326DA" w14:paraId="0385F9C3" w14:textId="77777777" w:rsidTr="00430572">
        <w:trPr>
          <w:trHeight w:val="288"/>
        </w:trPr>
        <w:tc>
          <w:tcPr>
            <w:tcW w:w="2359" w:type="dxa"/>
            <w:tcBorders>
              <w:top w:val="nil"/>
              <w:left w:val="nil"/>
              <w:bottom w:val="nil"/>
              <w:right w:val="nil"/>
            </w:tcBorders>
            <w:shd w:val="clear" w:color="auto" w:fill="auto"/>
            <w:noWrap/>
            <w:hideMark/>
          </w:tcPr>
          <w:p w14:paraId="455DD56C" w14:textId="77777777" w:rsidR="001326DA" w:rsidRPr="001326DA" w:rsidRDefault="001326DA" w:rsidP="00430572">
            <w:pPr>
              <w:spacing w:line="360" w:lineRule="auto"/>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Totally Dependent</w:t>
            </w:r>
          </w:p>
        </w:tc>
        <w:tc>
          <w:tcPr>
            <w:tcW w:w="1185" w:type="dxa"/>
            <w:tcBorders>
              <w:top w:val="nil"/>
              <w:left w:val="nil"/>
              <w:bottom w:val="nil"/>
              <w:right w:val="nil"/>
            </w:tcBorders>
            <w:shd w:val="clear" w:color="auto" w:fill="auto"/>
            <w:noWrap/>
            <w:hideMark/>
          </w:tcPr>
          <w:p w14:paraId="3BD169ED"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181</w:t>
            </w:r>
          </w:p>
        </w:tc>
        <w:tc>
          <w:tcPr>
            <w:tcW w:w="992" w:type="dxa"/>
            <w:tcBorders>
              <w:top w:val="nil"/>
              <w:left w:val="nil"/>
              <w:bottom w:val="nil"/>
              <w:right w:val="nil"/>
            </w:tcBorders>
            <w:shd w:val="clear" w:color="auto" w:fill="auto"/>
            <w:noWrap/>
            <w:hideMark/>
          </w:tcPr>
          <w:p w14:paraId="6BD96CD5"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1251</w:t>
            </w:r>
          </w:p>
        </w:tc>
        <w:tc>
          <w:tcPr>
            <w:tcW w:w="750" w:type="dxa"/>
            <w:tcBorders>
              <w:top w:val="nil"/>
              <w:left w:val="nil"/>
              <w:bottom w:val="nil"/>
              <w:right w:val="nil"/>
            </w:tcBorders>
            <w:shd w:val="clear" w:color="auto" w:fill="auto"/>
            <w:noWrap/>
            <w:hideMark/>
          </w:tcPr>
          <w:p w14:paraId="0F310904"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14.5</w:t>
            </w:r>
          </w:p>
        </w:tc>
        <w:tc>
          <w:tcPr>
            <w:tcW w:w="948" w:type="dxa"/>
            <w:tcBorders>
              <w:top w:val="nil"/>
              <w:left w:val="nil"/>
              <w:bottom w:val="nil"/>
              <w:right w:val="nil"/>
            </w:tcBorders>
            <w:shd w:val="clear" w:color="auto" w:fill="auto"/>
            <w:noWrap/>
            <w:hideMark/>
          </w:tcPr>
          <w:p w14:paraId="673385A3"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608</w:t>
            </w:r>
          </w:p>
        </w:tc>
        <w:tc>
          <w:tcPr>
            <w:tcW w:w="1182" w:type="dxa"/>
            <w:tcBorders>
              <w:top w:val="nil"/>
              <w:left w:val="nil"/>
              <w:bottom w:val="nil"/>
              <w:right w:val="nil"/>
            </w:tcBorders>
            <w:shd w:val="clear" w:color="auto" w:fill="auto"/>
            <w:noWrap/>
            <w:hideMark/>
          </w:tcPr>
          <w:p w14:paraId="3E9ABE58"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7917</w:t>
            </w:r>
          </w:p>
        </w:tc>
        <w:tc>
          <w:tcPr>
            <w:tcW w:w="750" w:type="dxa"/>
            <w:tcBorders>
              <w:top w:val="nil"/>
              <w:left w:val="nil"/>
              <w:bottom w:val="nil"/>
              <w:right w:val="nil"/>
            </w:tcBorders>
            <w:shd w:val="clear" w:color="auto" w:fill="auto"/>
            <w:noWrap/>
            <w:hideMark/>
          </w:tcPr>
          <w:p w14:paraId="518500AC"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7.7</w:t>
            </w:r>
          </w:p>
        </w:tc>
        <w:tc>
          <w:tcPr>
            <w:tcW w:w="2040" w:type="dxa"/>
            <w:tcBorders>
              <w:top w:val="nil"/>
              <w:left w:val="nil"/>
              <w:bottom w:val="nil"/>
              <w:right w:val="nil"/>
            </w:tcBorders>
            <w:shd w:val="clear" w:color="auto" w:fill="auto"/>
            <w:noWrap/>
            <w:hideMark/>
          </w:tcPr>
          <w:p w14:paraId="7677A3FE"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2.865 (2.369-3.466)</w:t>
            </w:r>
          </w:p>
        </w:tc>
        <w:tc>
          <w:tcPr>
            <w:tcW w:w="1134" w:type="dxa"/>
            <w:tcBorders>
              <w:top w:val="nil"/>
              <w:left w:val="nil"/>
              <w:bottom w:val="nil"/>
              <w:right w:val="nil"/>
            </w:tcBorders>
            <w:shd w:val="clear" w:color="auto" w:fill="auto"/>
            <w:noWrap/>
            <w:hideMark/>
          </w:tcPr>
          <w:p w14:paraId="66DB3B7C"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p>
        </w:tc>
      </w:tr>
      <w:tr w:rsidR="001326DA" w:rsidRPr="001326DA" w14:paraId="67D0CAF6" w14:textId="77777777" w:rsidTr="00430572">
        <w:trPr>
          <w:trHeight w:val="288"/>
        </w:trPr>
        <w:tc>
          <w:tcPr>
            <w:tcW w:w="2359" w:type="dxa"/>
            <w:tcBorders>
              <w:top w:val="nil"/>
              <w:left w:val="nil"/>
              <w:bottom w:val="nil"/>
              <w:right w:val="nil"/>
            </w:tcBorders>
            <w:shd w:val="clear" w:color="auto" w:fill="auto"/>
            <w:noWrap/>
            <w:hideMark/>
          </w:tcPr>
          <w:p w14:paraId="45CB6F07" w14:textId="77777777" w:rsidR="001326DA" w:rsidRPr="001326DA" w:rsidRDefault="001326DA" w:rsidP="00430572">
            <w:pPr>
              <w:spacing w:line="360" w:lineRule="auto"/>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ASA class</w:t>
            </w:r>
          </w:p>
        </w:tc>
        <w:tc>
          <w:tcPr>
            <w:tcW w:w="1185" w:type="dxa"/>
            <w:tcBorders>
              <w:top w:val="nil"/>
              <w:left w:val="nil"/>
              <w:bottom w:val="nil"/>
              <w:right w:val="nil"/>
            </w:tcBorders>
            <w:shd w:val="clear" w:color="auto" w:fill="auto"/>
            <w:noWrap/>
            <w:hideMark/>
          </w:tcPr>
          <w:p w14:paraId="286F3A6F"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p>
        </w:tc>
        <w:tc>
          <w:tcPr>
            <w:tcW w:w="992" w:type="dxa"/>
            <w:tcBorders>
              <w:top w:val="nil"/>
              <w:left w:val="nil"/>
              <w:bottom w:val="nil"/>
              <w:right w:val="nil"/>
            </w:tcBorders>
            <w:shd w:val="clear" w:color="auto" w:fill="auto"/>
            <w:noWrap/>
            <w:hideMark/>
          </w:tcPr>
          <w:p w14:paraId="4E217476"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p>
        </w:tc>
        <w:tc>
          <w:tcPr>
            <w:tcW w:w="750" w:type="dxa"/>
            <w:tcBorders>
              <w:top w:val="nil"/>
              <w:left w:val="nil"/>
              <w:bottom w:val="nil"/>
              <w:right w:val="nil"/>
            </w:tcBorders>
            <w:shd w:val="clear" w:color="auto" w:fill="auto"/>
            <w:noWrap/>
            <w:hideMark/>
          </w:tcPr>
          <w:p w14:paraId="747DBF49"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p>
        </w:tc>
        <w:tc>
          <w:tcPr>
            <w:tcW w:w="948" w:type="dxa"/>
            <w:tcBorders>
              <w:top w:val="nil"/>
              <w:left w:val="nil"/>
              <w:bottom w:val="nil"/>
              <w:right w:val="nil"/>
            </w:tcBorders>
            <w:shd w:val="clear" w:color="auto" w:fill="auto"/>
            <w:noWrap/>
            <w:hideMark/>
          </w:tcPr>
          <w:p w14:paraId="17204D5B"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p>
        </w:tc>
        <w:tc>
          <w:tcPr>
            <w:tcW w:w="1182" w:type="dxa"/>
            <w:tcBorders>
              <w:top w:val="nil"/>
              <w:left w:val="nil"/>
              <w:bottom w:val="nil"/>
              <w:right w:val="nil"/>
            </w:tcBorders>
            <w:shd w:val="clear" w:color="auto" w:fill="auto"/>
            <w:noWrap/>
            <w:hideMark/>
          </w:tcPr>
          <w:p w14:paraId="4D445D05"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p>
        </w:tc>
        <w:tc>
          <w:tcPr>
            <w:tcW w:w="750" w:type="dxa"/>
            <w:tcBorders>
              <w:top w:val="nil"/>
              <w:left w:val="nil"/>
              <w:bottom w:val="nil"/>
              <w:right w:val="nil"/>
            </w:tcBorders>
            <w:shd w:val="clear" w:color="auto" w:fill="auto"/>
            <w:noWrap/>
            <w:hideMark/>
          </w:tcPr>
          <w:p w14:paraId="52B17529"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p>
        </w:tc>
        <w:tc>
          <w:tcPr>
            <w:tcW w:w="2040" w:type="dxa"/>
            <w:tcBorders>
              <w:top w:val="nil"/>
              <w:left w:val="nil"/>
              <w:bottom w:val="nil"/>
              <w:right w:val="nil"/>
            </w:tcBorders>
            <w:shd w:val="clear" w:color="auto" w:fill="auto"/>
            <w:noWrap/>
            <w:hideMark/>
          </w:tcPr>
          <w:p w14:paraId="7CE898C2"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p>
        </w:tc>
        <w:tc>
          <w:tcPr>
            <w:tcW w:w="1134" w:type="dxa"/>
            <w:tcBorders>
              <w:top w:val="nil"/>
              <w:left w:val="nil"/>
              <w:bottom w:val="nil"/>
              <w:right w:val="nil"/>
            </w:tcBorders>
            <w:shd w:val="clear" w:color="auto" w:fill="auto"/>
            <w:noWrap/>
            <w:hideMark/>
          </w:tcPr>
          <w:p w14:paraId="023935C7"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p>
        </w:tc>
      </w:tr>
      <w:tr w:rsidR="001326DA" w:rsidRPr="001326DA" w14:paraId="40929CA8" w14:textId="77777777" w:rsidTr="00430572">
        <w:trPr>
          <w:trHeight w:val="288"/>
        </w:trPr>
        <w:tc>
          <w:tcPr>
            <w:tcW w:w="2359" w:type="dxa"/>
            <w:tcBorders>
              <w:top w:val="nil"/>
              <w:left w:val="nil"/>
              <w:bottom w:val="nil"/>
              <w:right w:val="nil"/>
            </w:tcBorders>
            <w:shd w:val="clear" w:color="auto" w:fill="auto"/>
            <w:noWrap/>
            <w:hideMark/>
          </w:tcPr>
          <w:p w14:paraId="50073DFF" w14:textId="77777777" w:rsidR="001326DA" w:rsidRPr="001326DA" w:rsidRDefault="001326DA" w:rsidP="00430572">
            <w:pPr>
              <w:spacing w:line="360" w:lineRule="auto"/>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1-</w:t>
            </w:r>
            <w:r w:rsidR="00430572" w:rsidRPr="001326DA">
              <w:rPr>
                <w:rFonts w:ascii="Book Antiqua" w:eastAsia="Times New Roman" w:hAnsi="Book Antiqua" w:cs="Times New Roman"/>
                <w:color w:val="000000"/>
                <w:lang w:eastAsia="zh-CN"/>
              </w:rPr>
              <w:t>n</w:t>
            </w:r>
            <w:r w:rsidRPr="001326DA">
              <w:rPr>
                <w:rFonts w:ascii="Book Antiqua" w:eastAsia="Times New Roman" w:hAnsi="Book Antiqua" w:cs="Times New Roman"/>
                <w:color w:val="000000"/>
                <w:lang w:eastAsia="zh-CN"/>
              </w:rPr>
              <w:t xml:space="preserve">o </w:t>
            </w:r>
            <w:r w:rsidR="00430572" w:rsidRPr="001326DA">
              <w:rPr>
                <w:rFonts w:ascii="Book Antiqua" w:eastAsia="Times New Roman" w:hAnsi="Book Antiqua" w:cs="Times New Roman"/>
                <w:color w:val="000000"/>
                <w:lang w:eastAsia="zh-CN"/>
              </w:rPr>
              <w:t>d</w:t>
            </w:r>
            <w:r w:rsidRPr="001326DA">
              <w:rPr>
                <w:rFonts w:ascii="Book Antiqua" w:eastAsia="Times New Roman" w:hAnsi="Book Antiqua" w:cs="Times New Roman"/>
                <w:color w:val="000000"/>
                <w:lang w:eastAsia="zh-CN"/>
              </w:rPr>
              <w:t>isturb/2-</w:t>
            </w:r>
            <w:r w:rsidR="00430572" w:rsidRPr="001326DA">
              <w:rPr>
                <w:rFonts w:ascii="Book Antiqua" w:eastAsia="Times New Roman" w:hAnsi="Book Antiqua" w:cs="Times New Roman"/>
                <w:color w:val="000000"/>
                <w:lang w:eastAsia="zh-CN"/>
              </w:rPr>
              <w:t>mild disturb</w:t>
            </w:r>
          </w:p>
        </w:tc>
        <w:tc>
          <w:tcPr>
            <w:tcW w:w="1185" w:type="dxa"/>
            <w:tcBorders>
              <w:top w:val="nil"/>
              <w:left w:val="nil"/>
              <w:bottom w:val="nil"/>
              <w:right w:val="nil"/>
            </w:tcBorders>
            <w:shd w:val="clear" w:color="auto" w:fill="auto"/>
            <w:noWrap/>
            <w:hideMark/>
          </w:tcPr>
          <w:p w14:paraId="40E24F6E"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108</w:t>
            </w:r>
          </w:p>
        </w:tc>
        <w:tc>
          <w:tcPr>
            <w:tcW w:w="992" w:type="dxa"/>
            <w:tcBorders>
              <w:top w:val="nil"/>
              <w:left w:val="nil"/>
              <w:bottom w:val="nil"/>
              <w:right w:val="nil"/>
            </w:tcBorders>
            <w:shd w:val="clear" w:color="auto" w:fill="auto"/>
            <w:noWrap/>
            <w:hideMark/>
          </w:tcPr>
          <w:p w14:paraId="450E091A"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1256</w:t>
            </w:r>
          </w:p>
        </w:tc>
        <w:tc>
          <w:tcPr>
            <w:tcW w:w="750" w:type="dxa"/>
            <w:tcBorders>
              <w:top w:val="nil"/>
              <w:left w:val="nil"/>
              <w:bottom w:val="nil"/>
              <w:right w:val="nil"/>
            </w:tcBorders>
            <w:shd w:val="clear" w:color="auto" w:fill="auto"/>
            <w:noWrap/>
            <w:hideMark/>
          </w:tcPr>
          <w:p w14:paraId="467FF1A1"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8.6</w:t>
            </w:r>
          </w:p>
        </w:tc>
        <w:tc>
          <w:tcPr>
            <w:tcW w:w="948" w:type="dxa"/>
            <w:tcBorders>
              <w:top w:val="nil"/>
              <w:left w:val="nil"/>
              <w:bottom w:val="nil"/>
              <w:right w:val="nil"/>
            </w:tcBorders>
            <w:shd w:val="clear" w:color="auto" w:fill="auto"/>
            <w:noWrap/>
            <w:hideMark/>
          </w:tcPr>
          <w:p w14:paraId="35657665"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1739</w:t>
            </w:r>
          </w:p>
        </w:tc>
        <w:tc>
          <w:tcPr>
            <w:tcW w:w="1182" w:type="dxa"/>
            <w:tcBorders>
              <w:top w:val="nil"/>
              <w:left w:val="nil"/>
              <w:bottom w:val="nil"/>
              <w:right w:val="nil"/>
            </w:tcBorders>
            <w:shd w:val="clear" w:color="auto" w:fill="auto"/>
            <w:noWrap/>
            <w:hideMark/>
          </w:tcPr>
          <w:p w14:paraId="107BD06B"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7951</w:t>
            </w:r>
          </w:p>
        </w:tc>
        <w:tc>
          <w:tcPr>
            <w:tcW w:w="750" w:type="dxa"/>
            <w:tcBorders>
              <w:top w:val="nil"/>
              <w:left w:val="nil"/>
              <w:bottom w:val="nil"/>
              <w:right w:val="nil"/>
            </w:tcBorders>
            <w:shd w:val="clear" w:color="auto" w:fill="auto"/>
            <w:noWrap/>
            <w:hideMark/>
          </w:tcPr>
          <w:p w14:paraId="78F75689"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21.9</w:t>
            </w:r>
          </w:p>
        </w:tc>
        <w:tc>
          <w:tcPr>
            <w:tcW w:w="2040" w:type="dxa"/>
            <w:tcBorders>
              <w:top w:val="nil"/>
              <w:left w:val="nil"/>
              <w:bottom w:val="nil"/>
              <w:right w:val="nil"/>
            </w:tcBorders>
            <w:shd w:val="clear" w:color="auto" w:fill="auto"/>
            <w:noWrap/>
            <w:hideMark/>
          </w:tcPr>
          <w:p w14:paraId="43BFB26A"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0.388 (0.315-0.478)</w:t>
            </w:r>
          </w:p>
        </w:tc>
        <w:tc>
          <w:tcPr>
            <w:tcW w:w="1134" w:type="dxa"/>
            <w:tcBorders>
              <w:top w:val="nil"/>
              <w:left w:val="nil"/>
              <w:bottom w:val="nil"/>
              <w:right w:val="nil"/>
            </w:tcBorders>
            <w:shd w:val="clear" w:color="auto" w:fill="auto"/>
            <w:noWrap/>
            <w:hideMark/>
          </w:tcPr>
          <w:p w14:paraId="2C2C7509"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&lt; 0.001</w:t>
            </w:r>
          </w:p>
        </w:tc>
      </w:tr>
      <w:tr w:rsidR="001326DA" w:rsidRPr="001326DA" w14:paraId="6C7301FA" w14:textId="77777777" w:rsidTr="00430572">
        <w:trPr>
          <w:trHeight w:val="288"/>
        </w:trPr>
        <w:tc>
          <w:tcPr>
            <w:tcW w:w="2359" w:type="dxa"/>
            <w:tcBorders>
              <w:top w:val="nil"/>
              <w:left w:val="nil"/>
              <w:bottom w:val="nil"/>
              <w:right w:val="nil"/>
            </w:tcBorders>
            <w:shd w:val="clear" w:color="auto" w:fill="auto"/>
            <w:noWrap/>
            <w:hideMark/>
          </w:tcPr>
          <w:p w14:paraId="5390B052" w14:textId="77777777" w:rsidR="001326DA" w:rsidRPr="001326DA" w:rsidRDefault="001326DA" w:rsidP="00430572">
            <w:pPr>
              <w:spacing w:line="360" w:lineRule="auto"/>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3-</w:t>
            </w:r>
            <w:r w:rsidR="00430572" w:rsidRPr="001326DA">
              <w:rPr>
                <w:rFonts w:ascii="Book Antiqua" w:eastAsia="Times New Roman" w:hAnsi="Book Antiqua" w:cs="Times New Roman"/>
                <w:color w:val="000000"/>
                <w:lang w:eastAsia="zh-CN"/>
              </w:rPr>
              <w:t>severe d</w:t>
            </w:r>
            <w:r w:rsidRPr="001326DA">
              <w:rPr>
                <w:rFonts w:ascii="Book Antiqua" w:eastAsia="Times New Roman" w:hAnsi="Book Antiqua" w:cs="Times New Roman"/>
                <w:color w:val="000000"/>
                <w:lang w:eastAsia="zh-CN"/>
              </w:rPr>
              <w:t>isturb</w:t>
            </w:r>
          </w:p>
        </w:tc>
        <w:tc>
          <w:tcPr>
            <w:tcW w:w="1185" w:type="dxa"/>
            <w:tcBorders>
              <w:top w:val="nil"/>
              <w:left w:val="nil"/>
              <w:bottom w:val="nil"/>
              <w:right w:val="nil"/>
            </w:tcBorders>
            <w:shd w:val="clear" w:color="auto" w:fill="auto"/>
            <w:noWrap/>
            <w:hideMark/>
          </w:tcPr>
          <w:p w14:paraId="70C92B14"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779</w:t>
            </w:r>
          </w:p>
        </w:tc>
        <w:tc>
          <w:tcPr>
            <w:tcW w:w="992" w:type="dxa"/>
            <w:tcBorders>
              <w:top w:val="nil"/>
              <w:left w:val="nil"/>
              <w:bottom w:val="nil"/>
              <w:right w:val="nil"/>
            </w:tcBorders>
            <w:shd w:val="clear" w:color="auto" w:fill="auto"/>
            <w:noWrap/>
            <w:hideMark/>
          </w:tcPr>
          <w:p w14:paraId="708690AE"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1256</w:t>
            </w:r>
          </w:p>
        </w:tc>
        <w:tc>
          <w:tcPr>
            <w:tcW w:w="750" w:type="dxa"/>
            <w:tcBorders>
              <w:top w:val="nil"/>
              <w:left w:val="nil"/>
              <w:bottom w:val="nil"/>
              <w:right w:val="nil"/>
            </w:tcBorders>
            <w:shd w:val="clear" w:color="auto" w:fill="auto"/>
            <w:noWrap/>
            <w:hideMark/>
          </w:tcPr>
          <w:p w14:paraId="75694B22"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62.0</w:t>
            </w:r>
          </w:p>
        </w:tc>
        <w:tc>
          <w:tcPr>
            <w:tcW w:w="948" w:type="dxa"/>
            <w:tcBorders>
              <w:top w:val="nil"/>
              <w:left w:val="nil"/>
              <w:bottom w:val="nil"/>
              <w:right w:val="nil"/>
            </w:tcBorders>
            <w:shd w:val="clear" w:color="auto" w:fill="auto"/>
            <w:noWrap/>
            <w:hideMark/>
          </w:tcPr>
          <w:p w14:paraId="63745528"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4866</w:t>
            </w:r>
          </w:p>
        </w:tc>
        <w:tc>
          <w:tcPr>
            <w:tcW w:w="1182" w:type="dxa"/>
            <w:tcBorders>
              <w:top w:val="nil"/>
              <w:left w:val="nil"/>
              <w:bottom w:val="nil"/>
              <w:right w:val="nil"/>
            </w:tcBorders>
            <w:shd w:val="clear" w:color="auto" w:fill="auto"/>
            <w:noWrap/>
            <w:hideMark/>
          </w:tcPr>
          <w:p w14:paraId="00F3B87A"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7951</w:t>
            </w:r>
          </w:p>
        </w:tc>
        <w:tc>
          <w:tcPr>
            <w:tcW w:w="750" w:type="dxa"/>
            <w:tcBorders>
              <w:top w:val="nil"/>
              <w:left w:val="nil"/>
              <w:bottom w:val="nil"/>
              <w:right w:val="nil"/>
            </w:tcBorders>
            <w:shd w:val="clear" w:color="auto" w:fill="auto"/>
            <w:noWrap/>
            <w:hideMark/>
          </w:tcPr>
          <w:p w14:paraId="20F8C4BD"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61.2</w:t>
            </w:r>
          </w:p>
        </w:tc>
        <w:tc>
          <w:tcPr>
            <w:tcW w:w="2040" w:type="dxa"/>
            <w:tcBorders>
              <w:top w:val="nil"/>
              <w:left w:val="nil"/>
              <w:bottom w:val="nil"/>
              <w:right w:val="nil"/>
            </w:tcBorders>
            <w:shd w:val="clear" w:color="auto" w:fill="auto"/>
            <w:noWrap/>
            <w:hideMark/>
          </w:tcPr>
          <w:p w14:paraId="02A044C8"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Reference</w:t>
            </w:r>
          </w:p>
        </w:tc>
        <w:tc>
          <w:tcPr>
            <w:tcW w:w="1134" w:type="dxa"/>
            <w:tcBorders>
              <w:top w:val="nil"/>
              <w:left w:val="nil"/>
              <w:bottom w:val="nil"/>
              <w:right w:val="nil"/>
            </w:tcBorders>
            <w:shd w:val="clear" w:color="auto" w:fill="auto"/>
            <w:noWrap/>
            <w:hideMark/>
          </w:tcPr>
          <w:p w14:paraId="597B5B86"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p>
        </w:tc>
      </w:tr>
      <w:tr w:rsidR="001326DA" w:rsidRPr="001326DA" w14:paraId="143BD091" w14:textId="77777777" w:rsidTr="00430572">
        <w:trPr>
          <w:trHeight w:val="288"/>
        </w:trPr>
        <w:tc>
          <w:tcPr>
            <w:tcW w:w="2359" w:type="dxa"/>
            <w:tcBorders>
              <w:top w:val="nil"/>
              <w:left w:val="nil"/>
              <w:bottom w:val="nil"/>
              <w:right w:val="nil"/>
            </w:tcBorders>
            <w:shd w:val="clear" w:color="auto" w:fill="auto"/>
            <w:noWrap/>
            <w:hideMark/>
          </w:tcPr>
          <w:p w14:paraId="131FC843" w14:textId="77777777" w:rsidR="001326DA" w:rsidRPr="001326DA" w:rsidRDefault="001326DA" w:rsidP="00430572">
            <w:pPr>
              <w:spacing w:line="360" w:lineRule="auto"/>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4-</w:t>
            </w:r>
            <w:r w:rsidR="00430572" w:rsidRPr="001326DA">
              <w:rPr>
                <w:rFonts w:ascii="Book Antiqua" w:eastAsia="Times New Roman" w:hAnsi="Book Antiqua" w:cs="Times New Roman"/>
                <w:color w:val="000000"/>
                <w:lang w:eastAsia="zh-CN"/>
              </w:rPr>
              <w:t>life t</w:t>
            </w:r>
            <w:r w:rsidRPr="001326DA">
              <w:rPr>
                <w:rFonts w:ascii="Book Antiqua" w:eastAsia="Times New Roman" w:hAnsi="Book Antiqua" w:cs="Times New Roman"/>
                <w:color w:val="000000"/>
                <w:lang w:eastAsia="zh-CN"/>
              </w:rPr>
              <w:t>hreat/5-</w:t>
            </w:r>
            <w:r w:rsidR="00430572" w:rsidRPr="001326DA">
              <w:rPr>
                <w:rFonts w:ascii="Book Antiqua" w:eastAsia="Times New Roman" w:hAnsi="Book Antiqua" w:cs="Times New Roman"/>
                <w:color w:val="000000"/>
                <w:lang w:eastAsia="zh-CN"/>
              </w:rPr>
              <w:t>morib</w:t>
            </w:r>
            <w:r w:rsidRPr="001326DA">
              <w:rPr>
                <w:rFonts w:ascii="Book Antiqua" w:eastAsia="Times New Roman" w:hAnsi="Book Antiqua" w:cs="Times New Roman"/>
                <w:color w:val="000000"/>
                <w:lang w:eastAsia="zh-CN"/>
              </w:rPr>
              <w:t>und</w:t>
            </w:r>
          </w:p>
        </w:tc>
        <w:tc>
          <w:tcPr>
            <w:tcW w:w="1185" w:type="dxa"/>
            <w:tcBorders>
              <w:top w:val="nil"/>
              <w:left w:val="nil"/>
              <w:bottom w:val="nil"/>
              <w:right w:val="nil"/>
            </w:tcBorders>
            <w:shd w:val="clear" w:color="auto" w:fill="auto"/>
            <w:noWrap/>
            <w:hideMark/>
          </w:tcPr>
          <w:p w14:paraId="4552704E"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369</w:t>
            </w:r>
          </w:p>
        </w:tc>
        <w:tc>
          <w:tcPr>
            <w:tcW w:w="992" w:type="dxa"/>
            <w:tcBorders>
              <w:top w:val="nil"/>
              <w:left w:val="nil"/>
              <w:bottom w:val="nil"/>
              <w:right w:val="nil"/>
            </w:tcBorders>
            <w:shd w:val="clear" w:color="auto" w:fill="auto"/>
            <w:noWrap/>
            <w:hideMark/>
          </w:tcPr>
          <w:p w14:paraId="06AB427F"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1256</w:t>
            </w:r>
          </w:p>
        </w:tc>
        <w:tc>
          <w:tcPr>
            <w:tcW w:w="750" w:type="dxa"/>
            <w:tcBorders>
              <w:top w:val="nil"/>
              <w:left w:val="nil"/>
              <w:bottom w:val="nil"/>
              <w:right w:val="nil"/>
            </w:tcBorders>
            <w:shd w:val="clear" w:color="auto" w:fill="auto"/>
            <w:noWrap/>
            <w:hideMark/>
          </w:tcPr>
          <w:p w14:paraId="7322B3A9"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29.4</w:t>
            </w:r>
          </w:p>
        </w:tc>
        <w:tc>
          <w:tcPr>
            <w:tcW w:w="948" w:type="dxa"/>
            <w:tcBorders>
              <w:top w:val="nil"/>
              <w:left w:val="nil"/>
              <w:bottom w:val="nil"/>
              <w:right w:val="nil"/>
            </w:tcBorders>
            <w:shd w:val="clear" w:color="auto" w:fill="auto"/>
            <w:noWrap/>
            <w:hideMark/>
          </w:tcPr>
          <w:p w14:paraId="15535D13"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1346</w:t>
            </w:r>
          </w:p>
        </w:tc>
        <w:tc>
          <w:tcPr>
            <w:tcW w:w="1182" w:type="dxa"/>
            <w:tcBorders>
              <w:top w:val="nil"/>
              <w:left w:val="nil"/>
              <w:bottom w:val="nil"/>
              <w:right w:val="nil"/>
            </w:tcBorders>
            <w:shd w:val="clear" w:color="auto" w:fill="auto"/>
            <w:noWrap/>
            <w:hideMark/>
          </w:tcPr>
          <w:p w14:paraId="3A264CFD"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7951</w:t>
            </w:r>
          </w:p>
        </w:tc>
        <w:tc>
          <w:tcPr>
            <w:tcW w:w="750" w:type="dxa"/>
            <w:tcBorders>
              <w:top w:val="nil"/>
              <w:left w:val="nil"/>
              <w:bottom w:val="nil"/>
              <w:right w:val="nil"/>
            </w:tcBorders>
            <w:shd w:val="clear" w:color="auto" w:fill="auto"/>
            <w:noWrap/>
            <w:hideMark/>
          </w:tcPr>
          <w:p w14:paraId="6A644A64"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16.9</w:t>
            </w:r>
          </w:p>
        </w:tc>
        <w:tc>
          <w:tcPr>
            <w:tcW w:w="2040" w:type="dxa"/>
            <w:tcBorders>
              <w:top w:val="nil"/>
              <w:left w:val="nil"/>
              <w:bottom w:val="nil"/>
              <w:right w:val="nil"/>
            </w:tcBorders>
            <w:shd w:val="clear" w:color="auto" w:fill="auto"/>
            <w:noWrap/>
            <w:hideMark/>
          </w:tcPr>
          <w:p w14:paraId="2486DF48"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1.712 (1.492-1.965)</w:t>
            </w:r>
          </w:p>
        </w:tc>
        <w:tc>
          <w:tcPr>
            <w:tcW w:w="1134" w:type="dxa"/>
            <w:tcBorders>
              <w:top w:val="nil"/>
              <w:left w:val="nil"/>
              <w:bottom w:val="nil"/>
              <w:right w:val="nil"/>
            </w:tcBorders>
            <w:shd w:val="clear" w:color="auto" w:fill="auto"/>
            <w:noWrap/>
            <w:hideMark/>
          </w:tcPr>
          <w:p w14:paraId="653097C8"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p>
        </w:tc>
      </w:tr>
      <w:tr w:rsidR="001326DA" w:rsidRPr="001326DA" w14:paraId="36A671E5" w14:textId="77777777" w:rsidTr="00430572">
        <w:trPr>
          <w:trHeight w:val="288"/>
        </w:trPr>
        <w:tc>
          <w:tcPr>
            <w:tcW w:w="2359" w:type="dxa"/>
            <w:tcBorders>
              <w:top w:val="nil"/>
              <w:left w:val="nil"/>
              <w:bottom w:val="nil"/>
              <w:right w:val="nil"/>
            </w:tcBorders>
            <w:shd w:val="clear" w:color="auto" w:fill="auto"/>
            <w:noWrap/>
            <w:hideMark/>
          </w:tcPr>
          <w:p w14:paraId="55BCF648" w14:textId="77777777" w:rsidR="001326DA" w:rsidRPr="001326DA" w:rsidRDefault="001326DA" w:rsidP="00430572">
            <w:pPr>
              <w:spacing w:line="360" w:lineRule="auto"/>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Comorbidities</w:t>
            </w:r>
          </w:p>
        </w:tc>
        <w:tc>
          <w:tcPr>
            <w:tcW w:w="1185" w:type="dxa"/>
            <w:tcBorders>
              <w:top w:val="nil"/>
              <w:left w:val="nil"/>
              <w:bottom w:val="nil"/>
              <w:right w:val="nil"/>
            </w:tcBorders>
            <w:shd w:val="clear" w:color="auto" w:fill="auto"/>
            <w:noWrap/>
            <w:hideMark/>
          </w:tcPr>
          <w:p w14:paraId="4D411D6B"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p>
        </w:tc>
        <w:tc>
          <w:tcPr>
            <w:tcW w:w="992" w:type="dxa"/>
            <w:tcBorders>
              <w:top w:val="nil"/>
              <w:left w:val="nil"/>
              <w:bottom w:val="nil"/>
              <w:right w:val="nil"/>
            </w:tcBorders>
            <w:shd w:val="clear" w:color="auto" w:fill="auto"/>
            <w:noWrap/>
            <w:hideMark/>
          </w:tcPr>
          <w:p w14:paraId="561275F9"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p>
        </w:tc>
        <w:tc>
          <w:tcPr>
            <w:tcW w:w="750" w:type="dxa"/>
            <w:tcBorders>
              <w:top w:val="nil"/>
              <w:left w:val="nil"/>
              <w:bottom w:val="nil"/>
              <w:right w:val="nil"/>
            </w:tcBorders>
            <w:shd w:val="clear" w:color="auto" w:fill="auto"/>
            <w:noWrap/>
            <w:hideMark/>
          </w:tcPr>
          <w:p w14:paraId="1D44C513"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p>
        </w:tc>
        <w:tc>
          <w:tcPr>
            <w:tcW w:w="948" w:type="dxa"/>
            <w:tcBorders>
              <w:top w:val="nil"/>
              <w:left w:val="nil"/>
              <w:bottom w:val="nil"/>
              <w:right w:val="nil"/>
            </w:tcBorders>
            <w:shd w:val="clear" w:color="auto" w:fill="auto"/>
            <w:noWrap/>
            <w:hideMark/>
          </w:tcPr>
          <w:p w14:paraId="724927CA"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p>
        </w:tc>
        <w:tc>
          <w:tcPr>
            <w:tcW w:w="1182" w:type="dxa"/>
            <w:tcBorders>
              <w:top w:val="nil"/>
              <w:left w:val="nil"/>
              <w:bottom w:val="nil"/>
              <w:right w:val="nil"/>
            </w:tcBorders>
            <w:shd w:val="clear" w:color="auto" w:fill="auto"/>
            <w:noWrap/>
            <w:hideMark/>
          </w:tcPr>
          <w:p w14:paraId="7B8871EE"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p>
        </w:tc>
        <w:tc>
          <w:tcPr>
            <w:tcW w:w="750" w:type="dxa"/>
            <w:tcBorders>
              <w:top w:val="nil"/>
              <w:left w:val="nil"/>
              <w:bottom w:val="nil"/>
              <w:right w:val="nil"/>
            </w:tcBorders>
            <w:shd w:val="clear" w:color="auto" w:fill="auto"/>
            <w:noWrap/>
            <w:hideMark/>
          </w:tcPr>
          <w:p w14:paraId="3C87B9E9"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p>
        </w:tc>
        <w:tc>
          <w:tcPr>
            <w:tcW w:w="2040" w:type="dxa"/>
            <w:tcBorders>
              <w:top w:val="nil"/>
              <w:left w:val="nil"/>
              <w:bottom w:val="nil"/>
              <w:right w:val="nil"/>
            </w:tcBorders>
            <w:shd w:val="clear" w:color="auto" w:fill="auto"/>
            <w:noWrap/>
            <w:hideMark/>
          </w:tcPr>
          <w:p w14:paraId="3DF402A0"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p>
        </w:tc>
        <w:tc>
          <w:tcPr>
            <w:tcW w:w="1134" w:type="dxa"/>
            <w:tcBorders>
              <w:top w:val="nil"/>
              <w:left w:val="nil"/>
              <w:bottom w:val="nil"/>
              <w:right w:val="nil"/>
            </w:tcBorders>
            <w:shd w:val="clear" w:color="auto" w:fill="auto"/>
            <w:noWrap/>
            <w:hideMark/>
          </w:tcPr>
          <w:p w14:paraId="55158BF1"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p>
        </w:tc>
      </w:tr>
      <w:tr w:rsidR="001326DA" w:rsidRPr="001326DA" w14:paraId="29082C64" w14:textId="77777777" w:rsidTr="00430572">
        <w:trPr>
          <w:trHeight w:val="288"/>
        </w:trPr>
        <w:tc>
          <w:tcPr>
            <w:tcW w:w="2359" w:type="dxa"/>
            <w:tcBorders>
              <w:top w:val="nil"/>
              <w:left w:val="nil"/>
              <w:bottom w:val="nil"/>
              <w:right w:val="nil"/>
            </w:tcBorders>
            <w:shd w:val="clear" w:color="auto" w:fill="auto"/>
            <w:noWrap/>
            <w:hideMark/>
          </w:tcPr>
          <w:p w14:paraId="2A6C33C3" w14:textId="77777777" w:rsidR="001326DA" w:rsidRPr="001326DA" w:rsidRDefault="001326DA" w:rsidP="00430572">
            <w:pPr>
              <w:spacing w:line="360" w:lineRule="auto"/>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Hypertension</w:t>
            </w:r>
          </w:p>
        </w:tc>
        <w:tc>
          <w:tcPr>
            <w:tcW w:w="1185" w:type="dxa"/>
            <w:tcBorders>
              <w:top w:val="nil"/>
              <w:left w:val="nil"/>
              <w:bottom w:val="nil"/>
              <w:right w:val="nil"/>
            </w:tcBorders>
            <w:shd w:val="clear" w:color="auto" w:fill="auto"/>
            <w:noWrap/>
            <w:hideMark/>
          </w:tcPr>
          <w:p w14:paraId="140A83F4"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908</w:t>
            </w:r>
          </w:p>
        </w:tc>
        <w:tc>
          <w:tcPr>
            <w:tcW w:w="992" w:type="dxa"/>
            <w:tcBorders>
              <w:top w:val="nil"/>
              <w:left w:val="nil"/>
              <w:bottom w:val="nil"/>
              <w:right w:val="nil"/>
            </w:tcBorders>
            <w:shd w:val="clear" w:color="auto" w:fill="auto"/>
            <w:noWrap/>
            <w:hideMark/>
          </w:tcPr>
          <w:p w14:paraId="7274DF62"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1256</w:t>
            </w:r>
          </w:p>
        </w:tc>
        <w:tc>
          <w:tcPr>
            <w:tcW w:w="750" w:type="dxa"/>
            <w:tcBorders>
              <w:top w:val="nil"/>
              <w:left w:val="nil"/>
              <w:bottom w:val="nil"/>
              <w:right w:val="nil"/>
            </w:tcBorders>
            <w:shd w:val="clear" w:color="auto" w:fill="auto"/>
            <w:noWrap/>
            <w:hideMark/>
          </w:tcPr>
          <w:p w14:paraId="08AAB834"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72.3</w:t>
            </w:r>
          </w:p>
        </w:tc>
        <w:tc>
          <w:tcPr>
            <w:tcW w:w="948" w:type="dxa"/>
            <w:tcBorders>
              <w:top w:val="nil"/>
              <w:left w:val="nil"/>
              <w:bottom w:val="nil"/>
              <w:right w:val="nil"/>
            </w:tcBorders>
            <w:shd w:val="clear" w:color="auto" w:fill="auto"/>
            <w:noWrap/>
            <w:hideMark/>
          </w:tcPr>
          <w:p w14:paraId="18695146"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5413</w:t>
            </w:r>
          </w:p>
        </w:tc>
        <w:tc>
          <w:tcPr>
            <w:tcW w:w="1182" w:type="dxa"/>
            <w:tcBorders>
              <w:top w:val="nil"/>
              <w:left w:val="nil"/>
              <w:bottom w:val="nil"/>
              <w:right w:val="nil"/>
            </w:tcBorders>
            <w:shd w:val="clear" w:color="auto" w:fill="auto"/>
            <w:noWrap/>
            <w:hideMark/>
          </w:tcPr>
          <w:p w14:paraId="1B5FAE9E"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7962</w:t>
            </w:r>
          </w:p>
        </w:tc>
        <w:tc>
          <w:tcPr>
            <w:tcW w:w="750" w:type="dxa"/>
            <w:tcBorders>
              <w:top w:val="nil"/>
              <w:left w:val="nil"/>
              <w:bottom w:val="nil"/>
              <w:right w:val="nil"/>
            </w:tcBorders>
            <w:shd w:val="clear" w:color="auto" w:fill="auto"/>
            <w:noWrap/>
            <w:hideMark/>
          </w:tcPr>
          <w:p w14:paraId="40BAA21D"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68.0</w:t>
            </w:r>
          </w:p>
        </w:tc>
        <w:tc>
          <w:tcPr>
            <w:tcW w:w="2040" w:type="dxa"/>
            <w:tcBorders>
              <w:top w:val="nil"/>
              <w:left w:val="nil"/>
              <w:bottom w:val="nil"/>
              <w:right w:val="nil"/>
            </w:tcBorders>
            <w:shd w:val="clear" w:color="auto" w:fill="auto"/>
            <w:noWrap/>
            <w:hideMark/>
          </w:tcPr>
          <w:p w14:paraId="52EA0DA6"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1.229 (1.076-1.402)</w:t>
            </w:r>
          </w:p>
        </w:tc>
        <w:tc>
          <w:tcPr>
            <w:tcW w:w="1134" w:type="dxa"/>
            <w:tcBorders>
              <w:top w:val="nil"/>
              <w:left w:val="nil"/>
              <w:bottom w:val="nil"/>
              <w:right w:val="nil"/>
            </w:tcBorders>
            <w:shd w:val="clear" w:color="auto" w:fill="auto"/>
            <w:noWrap/>
            <w:hideMark/>
          </w:tcPr>
          <w:p w14:paraId="781A6E58"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0.002</w:t>
            </w:r>
          </w:p>
        </w:tc>
      </w:tr>
      <w:tr w:rsidR="001326DA" w:rsidRPr="001326DA" w14:paraId="0F4CCBC1" w14:textId="77777777" w:rsidTr="00430572">
        <w:trPr>
          <w:trHeight w:val="288"/>
        </w:trPr>
        <w:tc>
          <w:tcPr>
            <w:tcW w:w="2359" w:type="dxa"/>
            <w:tcBorders>
              <w:top w:val="nil"/>
              <w:left w:val="nil"/>
              <w:bottom w:val="nil"/>
              <w:right w:val="nil"/>
            </w:tcBorders>
            <w:shd w:val="clear" w:color="auto" w:fill="auto"/>
            <w:noWrap/>
            <w:hideMark/>
          </w:tcPr>
          <w:p w14:paraId="399BCD13" w14:textId="77777777" w:rsidR="001326DA" w:rsidRPr="001326DA" w:rsidRDefault="001326DA" w:rsidP="00430572">
            <w:pPr>
              <w:spacing w:line="360" w:lineRule="auto"/>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Diabetes</w:t>
            </w:r>
          </w:p>
        </w:tc>
        <w:tc>
          <w:tcPr>
            <w:tcW w:w="1185" w:type="dxa"/>
            <w:tcBorders>
              <w:top w:val="nil"/>
              <w:left w:val="nil"/>
              <w:bottom w:val="nil"/>
              <w:right w:val="nil"/>
            </w:tcBorders>
            <w:shd w:val="clear" w:color="auto" w:fill="auto"/>
            <w:noWrap/>
            <w:hideMark/>
          </w:tcPr>
          <w:p w14:paraId="29171617"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184</w:t>
            </w:r>
          </w:p>
        </w:tc>
        <w:tc>
          <w:tcPr>
            <w:tcW w:w="992" w:type="dxa"/>
            <w:tcBorders>
              <w:top w:val="nil"/>
              <w:left w:val="nil"/>
              <w:bottom w:val="nil"/>
              <w:right w:val="nil"/>
            </w:tcBorders>
            <w:shd w:val="clear" w:color="auto" w:fill="auto"/>
            <w:noWrap/>
            <w:hideMark/>
          </w:tcPr>
          <w:p w14:paraId="75B72F11"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1256</w:t>
            </w:r>
          </w:p>
        </w:tc>
        <w:tc>
          <w:tcPr>
            <w:tcW w:w="750" w:type="dxa"/>
            <w:tcBorders>
              <w:top w:val="nil"/>
              <w:left w:val="nil"/>
              <w:bottom w:val="nil"/>
              <w:right w:val="nil"/>
            </w:tcBorders>
            <w:shd w:val="clear" w:color="auto" w:fill="auto"/>
            <w:noWrap/>
            <w:hideMark/>
          </w:tcPr>
          <w:p w14:paraId="0F95A0A8"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14.7</w:t>
            </w:r>
          </w:p>
        </w:tc>
        <w:tc>
          <w:tcPr>
            <w:tcW w:w="948" w:type="dxa"/>
            <w:tcBorders>
              <w:top w:val="nil"/>
              <w:left w:val="nil"/>
              <w:bottom w:val="nil"/>
              <w:right w:val="nil"/>
            </w:tcBorders>
            <w:shd w:val="clear" w:color="auto" w:fill="auto"/>
            <w:noWrap/>
            <w:hideMark/>
          </w:tcPr>
          <w:p w14:paraId="7A40FBB5"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1468</w:t>
            </w:r>
          </w:p>
        </w:tc>
        <w:tc>
          <w:tcPr>
            <w:tcW w:w="1182" w:type="dxa"/>
            <w:tcBorders>
              <w:top w:val="nil"/>
              <w:left w:val="nil"/>
              <w:bottom w:val="nil"/>
              <w:right w:val="nil"/>
            </w:tcBorders>
            <w:shd w:val="clear" w:color="auto" w:fill="auto"/>
            <w:noWrap/>
            <w:hideMark/>
          </w:tcPr>
          <w:p w14:paraId="2A05552D"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7962</w:t>
            </w:r>
          </w:p>
        </w:tc>
        <w:tc>
          <w:tcPr>
            <w:tcW w:w="750" w:type="dxa"/>
            <w:tcBorders>
              <w:top w:val="nil"/>
              <w:left w:val="nil"/>
              <w:bottom w:val="nil"/>
              <w:right w:val="nil"/>
            </w:tcBorders>
            <w:shd w:val="clear" w:color="auto" w:fill="auto"/>
            <w:noWrap/>
            <w:hideMark/>
          </w:tcPr>
          <w:p w14:paraId="29A17418"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18.4</w:t>
            </w:r>
          </w:p>
        </w:tc>
        <w:tc>
          <w:tcPr>
            <w:tcW w:w="2040" w:type="dxa"/>
            <w:tcBorders>
              <w:top w:val="nil"/>
              <w:left w:val="nil"/>
              <w:bottom w:val="nil"/>
              <w:right w:val="nil"/>
            </w:tcBorders>
            <w:shd w:val="clear" w:color="auto" w:fill="auto"/>
            <w:noWrap/>
            <w:hideMark/>
          </w:tcPr>
          <w:p w14:paraId="31EF80E8"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0.759 (0.643-0.897)</w:t>
            </w:r>
          </w:p>
        </w:tc>
        <w:tc>
          <w:tcPr>
            <w:tcW w:w="1134" w:type="dxa"/>
            <w:tcBorders>
              <w:top w:val="nil"/>
              <w:left w:val="nil"/>
              <w:bottom w:val="nil"/>
              <w:right w:val="nil"/>
            </w:tcBorders>
            <w:shd w:val="clear" w:color="auto" w:fill="auto"/>
            <w:noWrap/>
            <w:hideMark/>
          </w:tcPr>
          <w:p w14:paraId="4C3102FF"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0.001</w:t>
            </w:r>
          </w:p>
        </w:tc>
      </w:tr>
      <w:tr w:rsidR="001326DA" w:rsidRPr="001326DA" w14:paraId="16CDE55A" w14:textId="77777777" w:rsidTr="00430572">
        <w:trPr>
          <w:trHeight w:val="288"/>
        </w:trPr>
        <w:tc>
          <w:tcPr>
            <w:tcW w:w="2359" w:type="dxa"/>
            <w:tcBorders>
              <w:top w:val="nil"/>
              <w:left w:val="nil"/>
              <w:bottom w:val="nil"/>
              <w:right w:val="nil"/>
            </w:tcBorders>
            <w:shd w:val="clear" w:color="auto" w:fill="auto"/>
            <w:noWrap/>
            <w:hideMark/>
          </w:tcPr>
          <w:p w14:paraId="103159CC" w14:textId="77777777" w:rsidR="001326DA" w:rsidRPr="001326DA" w:rsidRDefault="001326DA" w:rsidP="00430572">
            <w:pPr>
              <w:spacing w:line="360" w:lineRule="auto"/>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COPD</w:t>
            </w:r>
          </w:p>
        </w:tc>
        <w:tc>
          <w:tcPr>
            <w:tcW w:w="1185" w:type="dxa"/>
            <w:tcBorders>
              <w:top w:val="nil"/>
              <w:left w:val="nil"/>
              <w:bottom w:val="nil"/>
              <w:right w:val="nil"/>
            </w:tcBorders>
            <w:shd w:val="clear" w:color="auto" w:fill="auto"/>
            <w:noWrap/>
            <w:hideMark/>
          </w:tcPr>
          <w:p w14:paraId="504EA0CE"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181</w:t>
            </w:r>
          </w:p>
        </w:tc>
        <w:tc>
          <w:tcPr>
            <w:tcW w:w="992" w:type="dxa"/>
            <w:tcBorders>
              <w:top w:val="nil"/>
              <w:left w:val="nil"/>
              <w:bottom w:val="nil"/>
              <w:right w:val="nil"/>
            </w:tcBorders>
            <w:shd w:val="clear" w:color="auto" w:fill="auto"/>
            <w:noWrap/>
            <w:hideMark/>
          </w:tcPr>
          <w:p w14:paraId="737BD36D"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1256</w:t>
            </w:r>
          </w:p>
        </w:tc>
        <w:tc>
          <w:tcPr>
            <w:tcW w:w="750" w:type="dxa"/>
            <w:tcBorders>
              <w:top w:val="nil"/>
              <w:left w:val="nil"/>
              <w:bottom w:val="nil"/>
              <w:right w:val="nil"/>
            </w:tcBorders>
            <w:shd w:val="clear" w:color="auto" w:fill="auto"/>
            <w:noWrap/>
            <w:hideMark/>
          </w:tcPr>
          <w:p w14:paraId="706AFF92"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14.4</w:t>
            </w:r>
          </w:p>
        </w:tc>
        <w:tc>
          <w:tcPr>
            <w:tcW w:w="948" w:type="dxa"/>
            <w:tcBorders>
              <w:top w:val="nil"/>
              <w:left w:val="nil"/>
              <w:bottom w:val="nil"/>
              <w:right w:val="nil"/>
            </w:tcBorders>
            <w:shd w:val="clear" w:color="auto" w:fill="auto"/>
            <w:noWrap/>
            <w:hideMark/>
          </w:tcPr>
          <w:p w14:paraId="53DB715C"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899</w:t>
            </w:r>
          </w:p>
        </w:tc>
        <w:tc>
          <w:tcPr>
            <w:tcW w:w="1182" w:type="dxa"/>
            <w:tcBorders>
              <w:top w:val="nil"/>
              <w:left w:val="nil"/>
              <w:bottom w:val="nil"/>
              <w:right w:val="nil"/>
            </w:tcBorders>
            <w:shd w:val="clear" w:color="auto" w:fill="auto"/>
            <w:noWrap/>
            <w:hideMark/>
          </w:tcPr>
          <w:p w14:paraId="2498B0DD"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7962</w:t>
            </w:r>
          </w:p>
        </w:tc>
        <w:tc>
          <w:tcPr>
            <w:tcW w:w="750" w:type="dxa"/>
            <w:tcBorders>
              <w:top w:val="nil"/>
              <w:left w:val="nil"/>
              <w:bottom w:val="nil"/>
              <w:right w:val="nil"/>
            </w:tcBorders>
            <w:shd w:val="clear" w:color="auto" w:fill="auto"/>
            <w:noWrap/>
            <w:hideMark/>
          </w:tcPr>
          <w:p w14:paraId="10C5CAFB"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11.3</w:t>
            </w:r>
          </w:p>
        </w:tc>
        <w:tc>
          <w:tcPr>
            <w:tcW w:w="2040" w:type="dxa"/>
            <w:tcBorders>
              <w:top w:val="nil"/>
              <w:left w:val="nil"/>
              <w:bottom w:val="nil"/>
              <w:right w:val="nil"/>
            </w:tcBorders>
            <w:shd w:val="clear" w:color="auto" w:fill="auto"/>
            <w:noWrap/>
            <w:hideMark/>
          </w:tcPr>
          <w:p w14:paraId="0F08B79C"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1.323 (1.114-1.571)</w:t>
            </w:r>
          </w:p>
        </w:tc>
        <w:tc>
          <w:tcPr>
            <w:tcW w:w="1134" w:type="dxa"/>
            <w:tcBorders>
              <w:top w:val="nil"/>
              <w:left w:val="nil"/>
              <w:bottom w:val="nil"/>
              <w:right w:val="nil"/>
            </w:tcBorders>
            <w:shd w:val="clear" w:color="auto" w:fill="auto"/>
            <w:noWrap/>
            <w:hideMark/>
          </w:tcPr>
          <w:p w14:paraId="5C788688"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0.001</w:t>
            </w:r>
          </w:p>
        </w:tc>
      </w:tr>
      <w:tr w:rsidR="001326DA" w:rsidRPr="001326DA" w14:paraId="107582EE" w14:textId="77777777" w:rsidTr="00430572">
        <w:trPr>
          <w:trHeight w:val="288"/>
        </w:trPr>
        <w:tc>
          <w:tcPr>
            <w:tcW w:w="2359" w:type="dxa"/>
            <w:tcBorders>
              <w:top w:val="nil"/>
              <w:left w:val="nil"/>
              <w:bottom w:val="nil"/>
              <w:right w:val="nil"/>
            </w:tcBorders>
            <w:shd w:val="clear" w:color="auto" w:fill="auto"/>
            <w:noWrap/>
            <w:hideMark/>
          </w:tcPr>
          <w:p w14:paraId="73E46E48" w14:textId="77777777" w:rsidR="001326DA" w:rsidRPr="001326DA" w:rsidRDefault="001326DA" w:rsidP="00430572">
            <w:pPr>
              <w:spacing w:line="360" w:lineRule="auto"/>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CHF</w:t>
            </w:r>
          </w:p>
        </w:tc>
        <w:tc>
          <w:tcPr>
            <w:tcW w:w="1185" w:type="dxa"/>
            <w:tcBorders>
              <w:top w:val="nil"/>
              <w:left w:val="nil"/>
              <w:bottom w:val="nil"/>
              <w:right w:val="nil"/>
            </w:tcBorders>
            <w:shd w:val="clear" w:color="auto" w:fill="auto"/>
            <w:noWrap/>
            <w:hideMark/>
          </w:tcPr>
          <w:p w14:paraId="1D67B007"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55</w:t>
            </w:r>
          </w:p>
        </w:tc>
        <w:tc>
          <w:tcPr>
            <w:tcW w:w="992" w:type="dxa"/>
            <w:tcBorders>
              <w:top w:val="nil"/>
              <w:left w:val="nil"/>
              <w:bottom w:val="nil"/>
              <w:right w:val="nil"/>
            </w:tcBorders>
            <w:shd w:val="clear" w:color="auto" w:fill="auto"/>
            <w:noWrap/>
            <w:hideMark/>
          </w:tcPr>
          <w:p w14:paraId="2DD8B75D"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1256</w:t>
            </w:r>
          </w:p>
        </w:tc>
        <w:tc>
          <w:tcPr>
            <w:tcW w:w="750" w:type="dxa"/>
            <w:tcBorders>
              <w:top w:val="nil"/>
              <w:left w:val="nil"/>
              <w:bottom w:val="nil"/>
              <w:right w:val="nil"/>
            </w:tcBorders>
            <w:shd w:val="clear" w:color="auto" w:fill="auto"/>
            <w:noWrap/>
            <w:hideMark/>
          </w:tcPr>
          <w:p w14:paraId="6DFF34D0"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4.4</w:t>
            </w:r>
          </w:p>
        </w:tc>
        <w:tc>
          <w:tcPr>
            <w:tcW w:w="948" w:type="dxa"/>
            <w:tcBorders>
              <w:top w:val="nil"/>
              <w:left w:val="nil"/>
              <w:bottom w:val="nil"/>
              <w:right w:val="nil"/>
            </w:tcBorders>
            <w:shd w:val="clear" w:color="auto" w:fill="auto"/>
            <w:noWrap/>
            <w:hideMark/>
          </w:tcPr>
          <w:p w14:paraId="7299FB15"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234</w:t>
            </w:r>
          </w:p>
        </w:tc>
        <w:tc>
          <w:tcPr>
            <w:tcW w:w="1182" w:type="dxa"/>
            <w:tcBorders>
              <w:top w:val="nil"/>
              <w:left w:val="nil"/>
              <w:bottom w:val="nil"/>
              <w:right w:val="nil"/>
            </w:tcBorders>
            <w:shd w:val="clear" w:color="auto" w:fill="auto"/>
            <w:noWrap/>
            <w:hideMark/>
          </w:tcPr>
          <w:p w14:paraId="184247A6"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7962</w:t>
            </w:r>
          </w:p>
        </w:tc>
        <w:tc>
          <w:tcPr>
            <w:tcW w:w="750" w:type="dxa"/>
            <w:tcBorders>
              <w:top w:val="nil"/>
              <w:left w:val="nil"/>
              <w:bottom w:val="nil"/>
              <w:right w:val="nil"/>
            </w:tcBorders>
            <w:shd w:val="clear" w:color="auto" w:fill="auto"/>
            <w:noWrap/>
            <w:hideMark/>
          </w:tcPr>
          <w:p w14:paraId="41C357E3"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2.9</w:t>
            </w:r>
          </w:p>
        </w:tc>
        <w:tc>
          <w:tcPr>
            <w:tcW w:w="2040" w:type="dxa"/>
            <w:tcBorders>
              <w:top w:val="nil"/>
              <w:left w:val="nil"/>
              <w:bottom w:val="nil"/>
              <w:right w:val="nil"/>
            </w:tcBorders>
            <w:shd w:val="clear" w:color="auto" w:fill="auto"/>
            <w:noWrap/>
            <w:hideMark/>
          </w:tcPr>
          <w:p w14:paraId="7E0F7C39"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1.512 (1.12-2.041)</w:t>
            </w:r>
          </w:p>
        </w:tc>
        <w:tc>
          <w:tcPr>
            <w:tcW w:w="1134" w:type="dxa"/>
            <w:tcBorders>
              <w:top w:val="nil"/>
              <w:left w:val="nil"/>
              <w:bottom w:val="nil"/>
              <w:right w:val="nil"/>
            </w:tcBorders>
            <w:shd w:val="clear" w:color="auto" w:fill="auto"/>
            <w:noWrap/>
            <w:hideMark/>
          </w:tcPr>
          <w:p w14:paraId="331D91F7"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0.006</w:t>
            </w:r>
          </w:p>
        </w:tc>
      </w:tr>
      <w:tr w:rsidR="001326DA" w:rsidRPr="001326DA" w14:paraId="2A206E58" w14:textId="77777777" w:rsidTr="00430572">
        <w:trPr>
          <w:trHeight w:val="288"/>
        </w:trPr>
        <w:tc>
          <w:tcPr>
            <w:tcW w:w="2359" w:type="dxa"/>
            <w:tcBorders>
              <w:top w:val="nil"/>
              <w:left w:val="nil"/>
              <w:bottom w:val="nil"/>
              <w:right w:val="nil"/>
            </w:tcBorders>
            <w:shd w:val="clear" w:color="auto" w:fill="auto"/>
            <w:noWrap/>
            <w:hideMark/>
          </w:tcPr>
          <w:p w14:paraId="072CA1E8" w14:textId="77777777" w:rsidR="001326DA" w:rsidRPr="001326DA" w:rsidRDefault="001326DA" w:rsidP="00430572">
            <w:pPr>
              <w:spacing w:line="360" w:lineRule="auto"/>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CAD</w:t>
            </w:r>
          </w:p>
        </w:tc>
        <w:tc>
          <w:tcPr>
            <w:tcW w:w="1185" w:type="dxa"/>
            <w:tcBorders>
              <w:top w:val="nil"/>
              <w:left w:val="nil"/>
              <w:bottom w:val="nil"/>
              <w:right w:val="nil"/>
            </w:tcBorders>
            <w:shd w:val="clear" w:color="auto" w:fill="auto"/>
            <w:noWrap/>
            <w:hideMark/>
          </w:tcPr>
          <w:p w14:paraId="564BF2A8"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212</w:t>
            </w:r>
          </w:p>
        </w:tc>
        <w:tc>
          <w:tcPr>
            <w:tcW w:w="992" w:type="dxa"/>
            <w:tcBorders>
              <w:top w:val="nil"/>
              <w:left w:val="nil"/>
              <w:bottom w:val="nil"/>
              <w:right w:val="nil"/>
            </w:tcBorders>
            <w:shd w:val="clear" w:color="auto" w:fill="auto"/>
            <w:noWrap/>
            <w:hideMark/>
          </w:tcPr>
          <w:p w14:paraId="3AA90BC5"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1256</w:t>
            </w:r>
          </w:p>
        </w:tc>
        <w:tc>
          <w:tcPr>
            <w:tcW w:w="750" w:type="dxa"/>
            <w:tcBorders>
              <w:top w:val="nil"/>
              <w:left w:val="nil"/>
              <w:bottom w:val="nil"/>
              <w:right w:val="nil"/>
            </w:tcBorders>
            <w:shd w:val="clear" w:color="auto" w:fill="auto"/>
            <w:noWrap/>
            <w:hideMark/>
          </w:tcPr>
          <w:p w14:paraId="02355E42"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16.9</w:t>
            </w:r>
          </w:p>
        </w:tc>
        <w:tc>
          <w:tcPr>
            <w:tcW w:w="948" w:type="dxa"/>
            <w:tcBorders>
              <w:top w:val="nil"/>
              <w:left w:val="nil"/>
              <w:bottom w:val="nil"/>
              <w:right w:val="nil"/>
            </w:tcBorders>
            <w:shd w:val="clear" w:color="auto" w:fill="auto"/>
            <w:noWrap/>
            <w:hideMark/>
          </w:tcPr>
          <w:p w14:paraId="546DCDB6"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1340</w:t>
            </w:r>
          </w:p>
        </w:tc>
        <w:tc>
          <w:tcPr>
            <w:tcW w:w="1182" w:type="dxa"/>
            <w:tcBorders>
              <w:top w:val="nil"/>
              <w:left w:val="nil"/>
              <w:bottom w:val="nil"/>
              <w:right w:val="nil"/>
            </w:tcBorders>
            <w:shd w:val="clear" w:color="auto" w:fill="auto"/>
            <w:noWrap/>
            <w:hideMark/>
          </w:tcPr>
          <w:p w14:paraId="1379A0C1"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7962</w:t>
            </w:r>
          </w:p>
        </w:tc>
        <w:tc>
          <w:tcPr>
            <w:tcW w:w="750" w:type="dxa"/>
            <w:tcBorders>
              <w:top w:val="nil"/>
              <w:left w:val="nil"/>
              <w:bottom w:val="nil"/>
              <w:right w:val="nil"/>
            </w:tcBorders>
            <w:shd w:val="clear" w:color="auto" w:fill="auto"/>
            <w:noWrap/>
            <w:hideMark/>
          </w:tcPr>
          <w:p w14:paraId="3C18CA3B"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16.8</w:t>
            </w:r>
          </w:p>
        </w:tc>
        <w:tc>
          <w:tcPr>
            <w:tcW w:w="2040" w:type="dxa"/>
            <w:tcBorders>
              <w:top w:val="nil"/>
              <w:left w:val="nil"/>
              <w:bottom w:val="nil"/>
              <w:right w:val="nil"/>
            </w:tcBorders>
            <w:shd w:val="clear" w:color="auto" w:fill="auto"/>
            <w:noWrap/>
            <w:hideMark/>
          </w:tcPr>
          <w:p w14:paraId="1E13032A"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1.004 (0.856-1.176)</w:t>
            </w:r>
          </w:p>
        </w:tc>
        <w:tc>
          <w:tcPr>
            <w:tcW w:w="1134" w:type="dxa"/>
            <w:tcBorders>
              <w:top w:val="nil"/>
              <w:left w:val="nil"/>
              <w:bottom w:val="nil"/>
              <w:right w:val="nil"/>
            </w:tcBorders>
            <w:shd w:val="clear" w:color="auto" w:fill="auto"/>
            <w:noWrap/>
            <w:hideMark/>
          </w:tcPr>
          <w:p w14:paraId="5A6D31E8"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0.966</w:t>
            </w:r>
          </w:p>
        </w:tc>
      </w:tr>
      <w:tr w:rsidR="001326DA" w:rsidRPr="001326DA" w14:paraId="01197720" w14:textId="77777777" w:rsidTr="00430572">
        <w:trPr>
          <w:trHeight w:val="288"/>
        </w:trPr>
        <w:tc>
          <w:tcPr>
            <w:tcW w:w="2359" w:type="dxa"/>
            <w:tcBorders>
              <w:top w:val="nil"/>
              <w:left w:val="nil"/>
              <w:bottom w:val="nil"/>
              <w:right w:val="nil"/>
            </w:tcBorders>
            <w:shd w:val="clear" w:color="auto" w:fill="auto"/>
            <w:noWrap/>
            <w:hideMark/>
          </w:tcPr>
          <w:p w14:paraId="3935F060" w14:textId="77777777" w:rsidR="001326DA" w:rsidRPr="001326DA" w:rsidRDefault="001326DA" w:rsidP="00430572">
            <w:pPr>
              <w:spacing w:line="360" w:lineRule="auto"/>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PVD</w:t>
            </w:r>
          </w:p>
        </w:tc>
        <w:tc>
          <w:tcPr>
            <w:tcW w:w="1185" w:type="dxa"/>
            <w:tcBorders>
              <w:top w:val="nil"/>
              <w:left w:val="nil"/>
              <w:bottom w:val="nil"/>
              <w:right w:val="nil"/>
            </w:tcBorders>
            <w:shd w:val="clear" w:color="auto" w:fill="auto"/>
            <w:noWrap/>
            <w:hideMark/>
          </w:tcPr>
          <w:p w14:paraId="65535483"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25</w:t>
            </w:r>
          </w:p>
        </w:tc>
        <w:tc>
          <w:tcPr>
            <w:tcW w:w="992" w:type="dxa"/>
            <w:tcBorders>
              <w:top w:val="nil"/>
              <w:left w:val="nil"/>
              <w:bottom w:val="nil"/>
              <w:right w:val="nil"/>
            </w:tcBorders>
            <w:shd w:val="clear" w:color="auto" w:fill="auto"/>
            <w:noWrap/>
            <w:hideMark/>
          </w:tcPr>
          <w:p w14:paraId="48DE03ED"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1256</w:t>
            </w:r>
          </w:p>
        </w:tc>
        <w:tc>
          <w:tcPr>
            <w:tcW w:w="750" w:type="dxa"/>
            <w:tcBorders>
              <w:top w:val="nil"/>
              <w:left w:val="nil"/>
              <w:bottom w:val="nil"/>
              <w:right w:val="nil"/>
            </w:tcBorders>
            <w:shd w:val="clear" w:color="auto" w:fill="auto"/>
            <w:noWrap/>
            <w:hideMark/>
          </w:tcPr>
          <w:p w14:paraId="084968E0"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2.0</w:t>
            </w:r>
          </w:p>
        </w:tc>
        <w:tc>
          <w:tcPr>
            <w:tcW w:w="948" w:type="dxa"/>
            <w:tcBorders>
              <w:top w:val="nil"/>
              <w:left w:val="nil"/>
              <w:bottom w:val="nil"/>
              <w:right w:val="nil"/>
            </w:tcBorders>
            <w:shd w:val="clear" w:color="auto" w:fill="auto"/>
            <w:noWrap/>
            <w:hideMark/>
          </w:tcPr>
          <w:p w14:paraId="034921AF"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235</w:t>
            </w:r>
          </w:p>
        </w:tc>
        <w:tc>
          <w:tcPr>
            <w:tcW w:w="1182" w:type="dxa"/>
            <w:tcBorders>
              <w:top w:val="nil"/>
              <w:left w:val="nil"/>
              <w:bottom w:val="nil"/>
              <w:right w:val="nil"/>
            </w:tcBorders>
            <w:shd w:val="clear" w:color="auto" w:fill="auto"/>
            <w:noWrap/>
            <w:hideMark/>
          </w:tcPr>
          <w:p w14:paraId="279DF4EB"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7962</w:t>
            </w:r>
          </w:p>
        </w:tc>
        <w:tc>
          <w:tcPr>
            <w:tcW w:w="750" w:type="dxa"/>
            <w:tcBorders>
              <w:top w:val="nil"/>
              <w:left w:val="nil"/>
              <w:bottom w:val="nil"/>
              <w:right w:val="nil"/>
            </w:tcBorders>
            <w:shd w:val="clear" w:color="auto" w:fill="auto"/>
            <w:noWrap/>
            <w:hideMark/>
          </w:tcPr>
          <w:p w14:paraId="71C993A4"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3.0</w:t>
            </w:r>
          </w:p>
        </w:tc>
        <w:tc>
          <w:tcPr>
            <w:tcW w:w="2040" w:type="dxa"/>
            <w:tcBorders>
              <w:top w:val="nil"/>
              <w:left w:val="nil"/>
              <w:bottom w:val="nil"/>
              <w:right w:val="nil"/>
            </w:tcBorders>
            <w:shd w:val="clear" w:color="auto" w:fill="auto"/>
            <w:noWrap/>
            <w:hideMark/>
          </w:tcPr>
          <w:p w14:paraId="5D31FB3B"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0.668 (0.44-1.013)</w:t>
            </w:r>
          </w:p>
        </w:tc>
        <w:tc>
          <w:tcPr>
            <w:tcW w:w="1134" w:type="dxa"/>
            <w:tcBorders>
              <w:top w:val="nil"/>
              <w:left w:val="nil"/>
              <w:bottom w:val="nil"/>
              <w:right w:val="nil"/>
            </w:tcBorders>
            <w:shd w:val="clear" w:color="auto" w:fill="auto"/>
            <w:noWrap/>
            <w:hideMark/>
          </w:tcPr>
          <w:p w14:paraId="617FDBA0"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0.056</w:t>
            </w:r>
          </w:p>
        </w:tc>
      </w:tr>
      <w:tr w:rsidR="001326DA" w:rsidRPr="001326DA" w14:paraId="436E078B" w14:textId="77777777" w:rsidTr="00430572">
        <w:trPr>
          <w:trHeight w:val="288"/>
        </w:trPr>
        <w:tc>
          <w:tcPr>
            <w:tcW w:w="2359" w:type="dxa"/>
            <w:tcBorders>
              <w:top w:val="nil"/>
              <w:left w:val="nil"/>
              <w:bottom w:val="nil"/>
              <w:right w:val="nil"/>
            </w:tcBorders>
            <w:shd w:val="clear" w:color="auto" w:fill="auto"/>
            <w:noWrap/>
            <w:hideMark/>
          </w:tcPr>
          <w:p w14:paraId="48FBAC9D" w14:textId="77777777" w:rsidR="001326DA" w:rsidRPr="001326DA" w:rsidRDefault="001326DA" w:rsidP="00430572">
            <w:pPr>
              <w:spacing w:line="360" w:lineRule="auto"/>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lastRenderedPageBreak/>
              <w:t>CKD</w:t>
            </w:r>
          </w:p>
        </w:tc>
        <w:tc>
          <w:tcPr>
            <w:tcW w:w="1185" w:type="dxa"/>
            <w:tcBorders>
              <w:top w:val="nil"/>
              <w:left w:val="nil"/>
              <w:bottom w:val="nil"/>
              <w:right w:val="nil"/>
            </w:tcBorders>
            <w:shd w:val="clear" w:color="auto" w:fill="auto"/>
            <w:noWrap/>
            <w:hideMark/>
          </w:tcPr>
          <w:p w14:paraId="7A19E065"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29</w:t>
            </w:r>
          </w:p>
        </w:tc>
        <w:tc>
          <w:tcPr>
            <w:tcW w:w="992" w:type="dxa"/>
            <w:tcBorders>
              <w:top w:val="nil"/>
              <w:left w:val="nil"/>
              <w:bottom w:val="nil"/>
              <w:right w:val="nil"/>
            </w:tcBorders>
            <w:shd w:val="clear" w:color="auto" w:fill="auto"/>
            <w:noWrap/>
            <w:hideMark/>
          </w:tcPr>
          <w:p w14:paraId="4DC2746F"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1256</w:t>
            </w:r>
          </w:p>
        </w:tc>
        <w:tc>
          <w:tcPr>
            <w:tcW w:w="750" w:type="dxa"/>
            <w:tcBorders>
              <w:top w:val="nil"/>
              <w:left w:val="nil"/>
              <w:bottom w:val="nil"/>
              <w:right w:val="nil"/>
            </w:tcBorders>
            <w:shd w:val="clear" w:color="auto" w:fill="auto"/>
            <w:noWrap/>
            <w:hideMark/>
          </w:tcPr>
          <w:p w14:paraId="37F995F9"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2.3</w:t>
            </w:r>
          </w:p>
        </w:tc>
        <w:tc>
          <w:tcPr>
            <w:tcW w:w="948" w:type="dxa"/>
            <w:tcBorders>
              <w:top w:val="nil"/>
              <w:left w:val="nil"/>
              <w:bottom w:val="nil"/>
              <w:right w:val="nil"/>
            </w:tcBorders>
            <w:shd w:val="clear" w:color="auto" w:fill="auto"/>
            <w:noWrap/>
            <w:hideMark/>
          </w:tcPr>
          <w:p w14:paraId="7CFB4E84"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214</w:t>
            </w:r>
          </w:p>
        </w:tc>
        <w:tc>
          <w:tcPr>
            <w:tcW w:w="1182" w:type="dxa"/>
            <w:tcBorders>
              <w:top w:val="nil"/>
              <w:left w:val="nil"/>
              <w:bottom w:val="nil"/>
              <w:right w:val="nil"/>
            </w:tcBorders>
            <w:shd w:val="clear" w:color="auto" w:fill="auto"/>
            <w:noWrap/>
            <w:hideMark/>
          </w:tcPr>
          <w:p w14:paraId="50000EB8"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7962</w:t>
            </w:r>
          </w:p>
        </w:tc>
        <w:tc>
          <w:tcPr>
            <w:tcW w:w="750" w:type="dxa"/>
            <w:tcBorders>
              <w:top w:val="nil"/>
              <w:left w:val="nil"/>
              <w:bottom w:val="nil"/>
              <w:right w:val="nil"/>
            </w:tcBorders>
            <w:shd w:val="clear" w:color="auto" w:fill="auto"/>
            <w:noWrap/>
            <w:hideMark/>
          </w:tcPr>
          <w:p w14:paraId="2D4190EC"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2.7</w:t>
            </w:r>
          </w:p>
        </w:tc>
        <w:tc>
          <w:tcPr>
            <w:tcW w:w="2040" w:type="dxa"/>
            <w:tcBorders>
              <w:top w:val="nil"/>
              <w:left w:val="nil"/>
              <w:bottom w:val="nil"/>
              <w:right w:val="nil"/>
            </w:tcBorders>
            <w:shd w:val="clear" w:color="auto" w:fill="auto"/>
            <w:noWrap/>
            <w:hideMark/>
          </w:tcPr>
          <w:p w14:paraId="47616CAD"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0.856 (0.578-1.267)</w:t>
            </w:r>
          </w:p>
        </w:tc>
        <w:tc>
          <w:tcPr>
            <w:tcW w:w="1134" w:type="dxa"/>
            <w:tcBorders>
              <w:top w:val="nil"/>
              <w:left w:val="nil"/>
              <w:bottom w:val="nil"/>
              <w:right w:val="nil"/>
            </w:tcBorders>
            <w:shd w:val="clear" w:color="auto" w:fill="auto"/>
            <w:noWrap/>
            <w:hideMark/>
          </w:tcPr>
          <w:p w14:paraId="7F92F280"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0.436</w:t>
            </w:r>
          </w:p>
        </w:tc>
      </w:tr>
      <w:tr w:rsidR="001326DA" w:rsidRPr="001326DA" w14:paraId="184D0719" w14:textId="77777777" w:rsidTr="00430572">
        <w:trPr>
          <w:trHeight w:val="288"/>
        </w:trPr>
        <w:tc>
          <w:tcPr>
            <w:tcW w:w="2359" w:type="dxa"/>
            <w:tcBorders>
              <w:top w:val="nil"/>
              <w:left w:val="nil"/>
              <w:bottom w:val="nil"/>
              <w:right w:val="nil"/>
            </w:tcBorders>
            <w:shd w:val="clear" w:color="auto" w:fill="auto"/>
            <w:noWrap/>
            <w:hideMark/>
          </w:tcPr>
          <w:p w14:paraId="6F2440D3" w14:textId="77777777" w:rsidR="001326DA" w:rsidRPr="001326DA" w:rsidRDefault="001326DA" w:rsidP="00430572">
            <w:pPr>
              <w:spacing w:line="360" w:lineRule="auto"/>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Stroke</w:t>
            </w:r>
          </w:p>
        </w:tc>
        <w:tc>
          <w:tcPr>
            <w:tcW w:w="1185" w:type="dxa"/>
            <w:tcBorders>
              <w:top w:val="nil"/>
              <w:left w:val="nil"/>
              <w:bottom w:val="nil"/>
              <w:right w:val="nil"/>
            </w:tcBorders>
            <w:shd w:val="clear" w:color="auto" w:fill="auto"/>
            <w:noWrap/>
            <w:hideMark/>
          </w:tcPr>
          <w:p w14:paraId="5CD7DCFB"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229</w:t>
            </w:r>
          </w:p>
        </w:tc>
        <w:tc>
          <w:tcPr>
            <w:tcW w:w="992" w:type="dxa"/>
            <w:tcBorders>
              <w:top w:val="nil"/>
              <w:left w:val="nil"/>
              <w:bottom w:val="nil"/>
              <w:right w:val="nil"/>
            </w:tcBorders>
            <w:shd w:val="clear" w:color="auto" w:fill="auto"/>
            <w:noWrap/>
            <w:hideMark/>
          </w:tcPr>
          <w:p w14:paraId="60456C9D"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1256</w:t>
            </w:r>
          </w:p>
        </w:tc>
        <w:tc>
          <w:tcPr>
            <w:tcW w:w="750" w:type="dxa"/>
            <w:tcBorders>
              <w:top w:val="nil"/>
              <w:left w:val="nil"/>
              <w:bottom w:val="nil"/>
              <w:right w:val="nil"/>
            </w:tcBorders>
            <w:shd w:val="clear" w:color="auto" w:fill="auto"/>
            <w:noWrap/>
            <w:hideMark/>
          </w:tcPr>
          <w:p w14:paraId="62649E4C"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18.2</w:t>
            </w:r>
          </w:p>
        </w:tc>
        <w:tc>
          <w:tcPr>
            <w:tcW w:w="948" w:type="dxa"/>
            <w:tcBorders>
              <w:top w:val="nil"/>
              <w:left w:val="nil"/>
              <w:bottom w:val="nil"/>
              <w:right w:val="nil"/>
            </w:tcBorders>
            <w:shd w:val="clear" w:color="auto" w:fill="auto"/>
            <w:noWrap/>
            <w:hideMark/>
          </w:tcPr>
          <w:p w14:paraId="4919AC97"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1023</w:t>
            </w:r>
          </w:p>
        </w:tc>
        <w:tc>
          <w:tcPr>
            <w:tcW w:w="1182" w:type="dxa"/>
            <w:tcBorders>
              <w:top w:val="nil"/>
              <w:left w:val="nil"/>
              <w:bottom w:val="nil"/>
              <w:right w:val="nil"/>
            </w:tcBorders>
            <w:shd w:val="clear" w:color="auto" w:fill="auto"/>
            <w:noWrap/>
            <w:hideMark/>
          </w:tcPr>
          <w:p w14:paraId="78FEF4AB"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7962</w:t>
            </w:r>
          </w:p>
        </w:tc>
        <w:tc>
          <w:tcPr>
            <w:tcW w:w="750" w:type="dxa"/>
            <w:tcBorders>
              <w:top w:val="nil"/>
              <w:left w:val="nil"/>
              <w:bottom w:val="nil"/>
              <w:right w:val="nil"/>
            </w:tcBorders>
            <w:shd w:val="clear" w:color="auto" w:fill="auto"/>
            <w:noWrap/>
            <w:hideMark/>
          </w:tcPr>
          <w:p w14:paraId="67FD3FD3"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12.8</w:t>
            </w:r>
          </w:p>
        </w:tc>
        <w:tc>
          <w:tcPr>
            <w:tcW w:w="2040" w:type="dxa"/>
            <w:tcBorders>
              <w:top w:val="nil"/>
              <w:left w:val="nil"/>
              <w:bottom w:val="nil"/>
              <w:right w:val="nil"/>
            </w:tcBorders>
            <w:shd w:val="clear" w:color="auto" w:fill="auto"/>
            <w:noWrap/>
            <w:hideMark/>
          </w:tcPr>
          <w:p w14:paraId="79867DA8"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1.512 (1.292-1.771)</w:t>
            </w:r>
          </w:p>
        </w:tc>
        <w:tc>
          <w:tcPr>
            <w:tcW w:w="1134" w:type="dxa"/>
            <w:tcBorders>
              <w:top w:val="nil"/>
              <w:left w:val="nil"/>
              <w:bottom w:val="nil"/>
              <w:right w:val="nil"/>
            </w:tcBorders>
            <w:shd w:val="clear" w:color="auto" w:fill="auto"/>
            <w:noWrap/>
            <w:hideMark/>
          </w:tcPr>
          <w:p w14:paraId="378F8779"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&lt; 0.001</w:t>
            </w:r>
          </w:p>
        </w:tc>
      </w:tr>
      <w:tr w:rsidR="001326DA" w:rsidRPr="001326DA" w14:paraId="7C2A1B79" w14:textId="77777777" w:rsidTr="00430572">
        <w:trPr>
          <w:trHeight w:val="288"/>
        </w:trPr>
        <w:tc>
          <w:tcPr>
            <w:tcW w:w="2359" w:type="dxa"/>
            <w:tcBorders>
              <w:top w:val="nil"/>
              <w:left w:val="nil"/>
              <w:bottom w:val="nil"/>
              <w:right w:val="nil"/>
            </w:tcBorders>
            <w:shd w:val="clear" w:color="auto" w:fill="auto"/>
            <w:noWrap/>
            <w:hideMark/>
          </w:tcPr>
          <w:p w14:paraId="5E161143" w14:textId="77777777" w:rsidR="001326DA" w:rsidRPr="001326DA" w:rsidRDefault="001326DA" w:rsidP="00430572">
            <w:pPr>
              <w:spacing w:line="360" w:lineRule="auto"/>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Weight loss</w:t>
            </w:r>
          </w:p>
        </w:tc>
        <w:tc>
          <w:tcPr>
            <w:tcW w:w="1185" w:type="dxa"/>
            <w:tcBorders>
              <w:top w:val="nil"/>
              <w:left w:val="nil"/>
              <w:bottom w:val="nil"/>
              <w:right w:val="nil"/>
            </w:tcBorders>
            <w:shd w:val="clear" w:color="auto" w:fill="auto"/>
            <w:noWrap/>
            <w:hideMark/>
          </w:tcPr>
          <w:p w14:paraId="0FA1269D"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31</w:t>
            </w:r>
          </w:p>
        </w:tc>
        <w:tc>
          <w:tcPr>
            <w:tcW w:w="992" w:type="dxa"/>
            <w:tcBorders>
              <w:top w:val="nil"/>
              <w:left w:val="nil"/>
              <w:bottom w:val="nil"/>
              <w:right w:val="nil"/>
            </w:tcBorders>
            <w:shd w:val="clear" w:color="auto" w:fill="auto"/>
            <w:noWrap/>
            <w:hideMark/>
          </w:tcPr>
          <w:p w14:paraId="3452FE66"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1256</w:t>
            </w:r>
          </w:p>
        </w:tc>
        <w:tc>
          <w:tcPr>
            <w:tcW w:w="750" w:type="dxa"/>
            <w:tcBorders>
              <w:top w:val="nil"/>
              <w:left w:val="nil"/>
              <w:bottom w:val="nil"/>
              <w:right w:val="nil"/>
            </w:tcBorders>
            <w:shd w:val="clear" w:color="auto" w:fill="auto"/>
            <w:noWrap/>
            <w:hideMark/>
          </w:tcPr>
          <w:p w14:paraId="6EF64CB8"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2.5</w:t>
            </w:r>
          </w:p>
        </w:tc>
        <w:tc>
          <w:tcPr>
            <w:tcW w:w="948" w:type="dxa"/>
            <w:tcBorders>
              <w:top w:val="nil"/>
              <w:left w:val="nil"/>
              <w:bottom w:val="nil"/>
              <w:right w:val="nil"/>
            </w:tcBorders>
            <w:shd w:val="clear" w:color="auto" w:fill="auto"/>
            <w:noWrap/>
            <w:hideMark/>
          </w:tcPr>
          <w:p w14:paraId="79EA1B7D"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119</w:t>
            </w:r>
          </w:p>
        </w:tc>
        <w:tc>
          <w:tcPr>
            <w:tcW w:w="1182" w:type="dxa"/>
            <w:tcBorders>
              <w:top w:val="nil"/>
              <w:left w:val="nil"/>
              <w:bottom w:val="nil"/>
              <w:right w:val="nil"/>
            </w:tcBorders>
            <w:shd w:val="clear" w:color="auto" w:fill="auto"/>
            <w:noWrap/>
            <w:hideMark/>
          </w:tcPr>
          <w:p w14:paraId="252D72F0"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7962</w:t>
            </w:r>
          </w:p>
        </w:tc>
        <w:tc>
          <w:tcPr>
            <w:tcW w:w="750" w:type="dxa"/>
            <w:tcBorders>
              <w:top w:val="nil"/>
              <w:left w:val="nil"/>
              <w:bottom w:val="nil"/>
              <w:right w:val="nil"/>
            </w:tcBorders>
            <w:shd w:val="clear" w:color="auto" w:fill="auto"/>
            <w:noWrap/>
            <w:hideMark/>
          </w:tcPr>
          <w:p w14:paraId="5B9F23A6"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1.5</w:t>
            </w:r>
          </w:p>
        </w:tc>
        <w:tc>
          <w:tcPr>
            <w:tcW w:w="2040" w:type="dxa"/>
            <w:tcBorders>
              <w:top w:val="nil"/>
              <w:left w:val="nil"/>
              <w:bottom w:val="nil"/>
              <w:right w:val="nil"/>
            </w:tcBorders>
            <w:shd w:val="clear" w:color="auto" w:fill="auto"/>
            <w:noWrap/>
            <w:hideMark/>
          </w:tcPr>
          <w:p w14:paraId="03277592"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1.668 (1.118-2.488)</w:t>
            </w:r>
          </w:p>
        </w:tc>
        <w:tc>
          <w:tcPr>
            <w:tcW w:w="1134" w:type="dxa"/>
            <w:tcBorders>
              <w:top w:val="nil"/>
              <w:left w:val="nil"/>
              <w:bottom w:val="nil"/>
              <w:right w:val="nil"/>
            </w:tcBorders>
            <w:shd w:val="clear" w:color="auto" w:fill="auto"/>
            <w:noWrap/>
            <w:hideMark/>
          </w:tcPr>
          <w:p w14:paraId="1BD6027C"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0.011</w:t>
            </w:r>
          </w:p>
        </w:tc>
      </w:tr>
      <w:tr w:rsidR="001326DA" w:rsidRPr="001326DA" w14:paraId="0C2A20FF" w14:textId="77777777" w:rsidTr="00430572">
        <w:trPr>
          <w:trHeight w:val="288"/>
        </w:trPr>
        <w:tc>
          <w:tcPr>
            <w:tcW w:w="2359" w:type="dxa"/>
            <w:tcBorders>
              <w:top w:val="nil"/>
              <w:left w:val="nil"/>
              <w:bottom w:val="nil"/>
              <w:right w:val="nil"/>
            </w:tcBorders>
            <w:shd w:val="clear" w:color="auto" w:fill="auto"/>
            <w:noWrap/>
            <w:hideMark/>
          </w:tcPr>
          <w:p w14:paraId="766CEC49" w14:textId="77777777" w:rsidR="001326DA" w:rsidRPr="001326DA" w:rsidRDefault="001326DA" w:rsidP="00430572">
            <w:pPr>
              <w:spacing w:line="360" w:lineRule="auto"/>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Sepsis</w:t>
            </w:r>
          </w:p>
        </w:tc>
        <w:tc>
          <w:tcPr>
            <w:tcW w:w="1185" w:type="dxa"/>
            <w:tcBorders>
              <w:top w:val="nil"/>
              <w:left w:val="nil"/>
              <w:bottom w:val="nil"/>
              <w:right w:val="nil"/>
            </w:tcBorders>
            <w:shd w:val="clear" w:color="auto" w:fill="auto"/>
            <w:noWrap/>
            <w:hideMark/>
          </w:tcPr>
          <w:p w14:paraId="4BB1AC1F"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204</w:t>
            </w:r>
          </w:p>
        </w:tc>
        <w:tc>
          <w:tcPr>
            <w:tcW w:w="992" w:type="dxa"/>
            <w:tcBorders>
              <w:top w:val="nil"/>
              <w:left w:val="nil"/>
              <w:bottom w:val="nil"/>
              <w:right w:val="nil"/>
            </w:tcBorders>
            <w:shd w:val="clear" w:color="auto" w:fill="auto"/>
            <w:noWrap/>
            <w:hideMark/>
          </w:tcPr>
          <w:p w14:paraId="7A2507FC"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1249</w:t>
            </w:r>
          </w:p>
        </w:tc>
        <w:tc>
          <w:tcPr>
            <w:tcW w:w="750" w:type="dxa"/>
            <w:tcBorders>
              <w:top w:val="nil"/>
              <w:left w:val="nil"/>
              <w:bottom w:val="nil"/>
              <w:right w:val="nil"/>
            </w:tcBorders>
            <w:shd w:val="clear" w:color="auto" w:fill="auto"/>
            <w:noWrap/>
            <w:hideMark/>
          </w:tcPr>
          <w:p w14:paraId="79B04FDF"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16.3</w:t>
            </w:r>
          </w:p>
        </w:tc>
        <w:tc>
          <w:tcPr>
            <w:tcW w:w="948" w:type="dxa"/>
            <w:tcBorders>
              <w:top w:val="nil"/>
              <w:left w:val="nil"/>
              <w:bottom w:val="nil"/>
              <w:right w:val="nil"/>
            </w:tcBorders>
            <w:shd w:val="clear" w:color="auto" w:fill="auto"/>
            <w:noWrap/>
            <w:hideMark/>
          </w:tcPr>
          <w:p w14:paraId="7BF50BA1"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931</w:t>
            </w:r>
          </w:p>
        </w:tc>
        <w:tc>
          <w:tcPr>
            <w:tcW w:w="1182" w:type="dxa"/>
            <w:tcBorders>
              <w:top w:val="nil"/>
              <w:left w:val="nil"/>
              <w:bottom w:val="nil"/>
              <w:right w:val="nil"/>
            </w:tcBorders>
            <w:shd w:val="clear" w:color="auto" w:fill="auto"/>
            <w:noWrap/>
            <w:hideMark/>
          </w:tcPr>
          <w:p w14:paraId="02CC15CE"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7892</w:t>
            </w:r>
          </w:p>
        </w:tc>
        <w:tc>
          <w:tcPr>
            <w:tcW w:w="750" w:type="dxa"/>
            <w:tcBorders>
              <w:top w:val="nil"/>
              <w:left w:val="nil"/>
              <w:bottom w:val="nil"/>
              <w:right w:val="nil"/>
            </w:tcBorders>
            <w:shd w:val="clear" w:color="auto" w:fill="auto"/>
            <w:noWrap/>
            <w:hideMark/>
          </w:tcPr>
          <w:p w14:paraId="6A6D2C1E"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11.8</w:t>
            </w:r>
          </w:p>
        </w:tc>
        <w:tc>
          <w:tcPr>
            <w:tcW w:w="2040" w:type="dxa"/>
            <w:tcBorders>
              <w:top w:val="nil"/>
              <w:left w:val="nil"/>
              <w:bottom w:val="nil"/>
              <w:right w:val="nil"/>
            </w:tcBorders>
            <w:shd w:val="clear" w:color="auto" w:fill="auto"/>
            <w:noWrap/>
            <w:hideMark/>
          </w:tcPr>
          <w:p w14:paraId="79426226"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1.46 (1.238-1.721)</w:t>
            </w:r>
          </w:p>
        </w:tc>
        <w:tc>
          <w:tcPr>
            <w:tcW w:w="1134" w:type="dxa"/>
            <w:tcBorders>
              <w:top w:val="nil"/>
              <w:left w:val="nil"/>
              <w:bottom w:val="nil"/>
              <w:right w:val="nil"/>
            </w:tcBorders>
            <w:shd w:val="clear" w:color="auto" w:fill="auto"/>
            <w:noWrap/>
            <w:hideMark/>
          </w:tcPr>
          <w:p w14:paraId="02BC4831"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&lt; 0.001</w:t>
            </w:r>
          </w:p>
        </w:tc>
      </w:tr>
      <w:tr w:rsidR="001326DA" w:rsidRPr="001326DA" w14:paraId="22234411" w14:textId="77777777" w:rsidTr="00430572">
        <w:trPr>
          <w:trHeight w:val="288"/>
        </w:trPr>
        <w:tc>
          <w:tcPr>
            <w:tcW w:w="2359" w:type="dxa"/>
            <w:tcBorders>
              <w:top w:val="nil"/>
              <w:left w:val="nil"/>
              <w:bottom w:val="nil"/>
              <w:right w:val="nil"/>
            </w:tcBorders>
            <w:shd w:val="clear" w:color="auto" w:fill="auto"/>
            <w:noWrap/>
            <w:hideMark/>
          </w:tcPr>
          <w:p w14:paraId="47409C06" w14:textId="77777777" w:rsidR="001326DA" w:rsidRPr="001326DA" w:rsidRDefault="001326DA" w:rsidP="00430572">
            <w:pPr>
              <w:spacing w:line="360" w:lineRule="auto"/>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Recent surgery</w:t>
            </w:r>
          </w:p>
        </w:tc>
        <w:tc>
          <w:tcPr>
            <w:tcW w:w="1185" w:type="dxa"/>
            <w:tcBorders>
              <w:top w:val="nil"/>
              <w:left w:val="nil"/>
              <w:bottom w:val="nil"/>
              <w:right w:val="nil"/>
            </w:tcBorders>
            <w:shd w:val="clear" w:color="auto" w:fill="auto"/>
            <w:noWrap/>
            <w:hideMark/>
          </w:tcPr>
          <w:p w14:paraId="14AE644B"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12</w:t>
            </w:r>
          </w:p>
        </w:tc>
        <w:tc>
          <w:tcPr>
            <w:tcW w:w="992" w:type="dxa"/>
            <w:tcBorders>
              <w:top w:val="nil"/>
              <w:left w:val="nil"/>
              <w:bottom w:val="nil"/>
              <w:right w:val="nil"/>
            </w:tcBorders>
            <w:shd w:val="clear" w:color="auto" w:fill="auto"/>
            <w:noWrap/>
            <w:hideMark/>
          </w:tcPr>
          <w:p w14:paraId="014A5ECD"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1256</w:t>
            </w:r>
          </w:p>
        </w:tc>
        <w:tc>
          <w:tcPr>
            <w:tcW w:w="750" w:type="dxa"/>
            <w:tcBorders>
              <w:top w:val="nil"/>
              <w:left w:val="nil"/>
              <w:bottom w:val="nil"/>
              <w:right w:val="nil"/>
            </w:tcBorders>
            <w:shd w:val="clear" w:color="auto" w:fill="auto"/>
            <w:noWrap/>
            <w:hideMark/>
          </w:tcPr>
          <w:p w14:paraId="1D2391E0"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1.0</w:t>
            </w:r>
          </w:p>
        </w:tc>
        <w:tc>
          <w:tcPr>
            <w:tcW w:w="948" w:type="dxa"/>
            <w:tcBorders>
              <w:top w:val="nil"/>
              <w:left w:val="nil"/>
              <w:bottom w:val="nil"/>
              <w:right w:val="nil"/>
            </w:tcBorders>
            <w:shd w:val="clear" w:color="auto" w:fill="auto"/>
            <w:noWrap/>
            <w:hideMark/>
          </w:tcPr>
          <w:p w14:paraId="78A00914"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114</w:t>
            </w:r>
          </w:p>
        </w:tc>
        <w:tc>
          <w:tcPr>
            <w:tcW w:w="1182" w:type="dxa"/>
            <w:tcBorders>
              <w:top w:val="nil"/>
              <w:left w:val="nil"/>
              <w:bottom w:val="nil"/>
              <w:right w:val="nil"/>
            </w:tcBorders>
            <w:shd w:val="clear" w:color="auto" w:fill="auto"/>
            <w:noWrap/>
            <w:hideMark/>
          </w:tcPr>
          <w:p w14:paraId="2E892D47"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7962</w:t>
            </w:r>
          </w:p>
        </w:tc>
        <w:tc>
          <w:tcPr>
            <w:tcW w:w="750" w:type="dxa"/>
            <w:tcBorders>
              <w:top w:val="nil"/>
              <w:left w:val="nil"/>
              <w:bottom w:val="nil"/>
              <w:right w:val="nil"/>
            </w:tcBorders>
            <w:shd w:val="clear" w:color="auto" w:fill="auto"/>
            <w:noWrap/>
            <w:hideMark/>
          </w:tcPr>
          <w:p w14:paraId="5F9AD954"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1.4</w:t>
            </w:r>
          </w:p>
        </w:tc>
        <w:tc>
          <w:tcPr>
            <w:tcW w:w="2040" w:type="dxa"/>
            <w:tcBorders>
              <w:top w:val="nil"/>
              <w:left w:val="nil"/>
              <w:bottom w:val="nil"/>
              <w:right w:val="nil"/>
            </w:tcBorders>
            <w:shd w:val="clear" w:color="auto" w:fill="auto"/>
            <w:noWrap/>
            <w:hideMark/>
          </w:tcPr>
          <w:p w14:paraId="529051DE"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0.664 (0.365-1.207)</w:t>
            </w:r>
          </w:p>
        </w:tc>
        <w:tc>
          <w:tcPr>
            <w:tcW w:w="1134" w:type="dxa"/>
            <w:tcBorders>
              <w:top w:val="nil"/>
              <w:left w:val="nil"/>
              <w:bottom w:val="nil"/>
              <w:right w:val="nil"/>
            </w:tcBorders>
            <w:shd w:val="clear" w:color="auto" w:fill="auto"/>
            <w:noWrap/>
            <w:hideMark/>
          </w:tcPr>
          <w:p w14:paraId="05A19023"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0.177</w:t>
            </w:r>
          </w:p>
        </w:tc>
      </w:tr>
      <w:tr w:rsidR="001326DA" w:rsidRPr="001326DA" w14:paraId="7D09A529" w14:textId="77777777" w:rsidTr="00430572">
        <w:trPr>
          <w:trHeight w:val="288"/>
        </w:trPr>
        <w:tc>
          <w:tcPr>
            <w:tcW w:w="2359" w:type="dxa"/>
            <w:tcBorders>
              <w:top w:val="nil"/>
              <w:left w:val="nil"/>
              <w:bottom w:val="nil"/>
              <w:right w:val="nil"/>
            </w:tcBorders>
            <w:shd w:val="clear" w:color="auto" w:fill="auto"/>
            <w:noWrap/>
            <w:hideMark/>
          </w:tcPr>
          <w:p w14:paraId="3DF7003D" w14:textId="77777777" w:rsidR="001326DA" w:rsidRPr="001326DA" w:rsidRDefault="001326DA" w:rsidP="00430572">
            <w:pPr>
              <w:spacing w:line="360" w:lineRule="auto"/>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Labs</w:t>
            </w:r>
          </w:p>
        </w:tc>
        <w:tc>
          <w:tcPr>
            <w:tcW w:w="1185" w:type="dxa"/>
            <w:tcBorders>
              <w:top w:val="nil"/>
              <w:left w:val="nil"/>
              <w:bottom w:val="nil"/>
              <w:right w:val="nil"/>
            </w:tcBorders>
            <w:shd w:val="clear" w:color="auto" w:fill="auto"/>
            <w:noWrap/>
            <w:hideMark/>
          </w:tcPr>
          <w:p w14:paraId="47D1099D"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p>
        </w:tc>
        <w:tc>
          <w:tcPr>
            <w:tcW w:w="992" w:type="dxa"/>
            <w:tcBorders>
              <w:top w:val="nil"/>
              <w:left w:val="nil"/>
              <w:bottom w:val="nil"/>
              <w:right w:val="nil"/>
            </w:tcBorders>
            <w:shd w:val="clear" w:color="auto" w:fill="auto"/>
            <w:noWrap/>
            <w:hideMark/>
          </w:tcPr>
          <w:p w14:paraId="396AA3A1"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p>
        </w:tc>
        <w:tc>
          <w:tcPr>
            <w:tcW w:w="750" w:type="dxa"/>
            <w:tcBorders>
              <w:top w:val="nil"/>
              <w:left w:val="nil"/>
              <w:bottom w:val="nil"/>
              <w:right w:val="nil"/>
            </w:tcBorders>
            <w:shd w:val="clear" w:color="auto" w:fill="auto"/>
            <w:noWrap/>
            <w:hideMark/>
          </w:tcPr>
          <w:p w14:paraId="4B1417ED"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p>
        </w:tc>
        <w:tc>
          <w:tcPr>
            <w:tcW w:w="948" w:type="dxa"/>
            <w:tcBorders>
              <w:top w:val="nil"/>
              <w:left w:val="nil"/>
              <w:bottom w:val="nil"/>
              <w:right w:val="nil"/>
            </w:tcBorders>
            <w:shd w:val="clear" w:color="auto" w:fill="auto"/>
            <w:noWrap/>
            <w:hideMark/>
          </w:tcPr>
          <w:p w14:paraId="5CE6C107"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p>
        </w:tc>
        <w:tc>
          <w:tcPr>
            <w:tcW w:w="1182" w:type="dxa"/>
            <w:tcBorders>
              <w:top w:val="nil"/>
              <w:left w:val="nil"/>
              <w:bottom w:val="nil"/>
              <w:right w:val="nil"/>
            </w:tcBorders>
            <w:shd w:val="clear" w:color="auto" w:fill="auto"/>
            <w:noWrap/>
            <w:hideMark/>
          </w:tcPr>
          <w:p w14:paraId="1B8812E5"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p>
        </w:tc>
        <w:tc>
          <w:tcPr>
            <w:tcW w:w="750" w:type="dxa"/>
            <w:tcBorders>
              <w:top w:val="nil"/>
              <w:left w:val="nil"/>
              <w:bottom w:val="nil"/>
              <w:right w:val="nil"/>
            </w:tcBorders>
            <w:shd w:val="clear" w:color="auto" w:fill="auto"/>
            <w:noWrap/>
            <w:hideMark/>
          </w:tcPr>
          <w:p w14:paraId="4E499D81"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p>
        </w:tc>
        <w:tc>
          <w:tcPr>
            <w:tcW w:w="2040" w:type="dxa"/>
            <w:tcBorders>
              <w:top w:val="nil"/>
              <w:left w:val="nil"/>
              <w:bottom w:val="nil"/>
              <w:right w:val="nil"/>
            </w:tcBorders>
            <w:shd w:val="clear" w:color="auto" w:fill="auto"/>
            <w:noWrap/>
            <w:hideMark/>
          </w:tcPr>
          <w:p w14:paraId="792C2E2F"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p>
        </w:tc>
        <w:tc>
          <w:tcPr>
            <w:tcW w:w="1134" w:type="dxa"/>
            <w:tcBorders>
              <w:top w:val="nil"/>
              <w:left w:val="nil"/>
              <w:bottom w:val="nil"/>
              <w:right w:val="nil"/>
            </w:tcBorders>
            <w:shd w:val="clear" w:color="auto" w:fill="auto"/>
            <w:noWrap/>
            <w:hideMark/>
          </w:tcPr>
          <w:p w14:paraId="2EF4B67D"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p>
        </w:tc>
      </w:tr>
      <w:tr w:rsidR="001326DA" w:rsidRPr="001326DA" w14:paraId="3ADD6B31" w14:textId="77777777" w:rsidTr="00430572">
        <w:trPr>
          <w:trHeight w:val="288"/>
        </w:trPr>
        <w:tc>
          <w:tcPr>
            <w:tcW w:w="2359" w:type="dxa"/>
            <w:tcBorders>
              <w:top w:val="nil"/>
              <w:left w:val="nil"/>
              <w:bottom w:val="nil"/>
              <w:right w:val="nil"/>
            </w:tcBorders>
            <w:shd w:val="clear" w:color="auto" w:fill="auto"/>
            <w:noWrap/>
            <w:hideMark/>
          </w:tcPr>
          <w:p w14:paraId="7612083B" w14:textId="77777777" w:rsidR="001326DA" w:rsidRPr="001326DA" w:rsidRDefault="001326DA" w:rsidP="00430572">
            <w:pPr>
              <w:spacing w:line="360" w:lineRule="auto"/>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Creatinine</w:t>
            </w:r>
          </w:p>
        </w:tc>
        <w:tc>
          <w:tcPr>
            <w:tcW w:w="1185" w:type="dxa"/>
            <w:tcBorders>
              <w:top w:val="nil"/>
              <w:left w:val="nil"/>
              <w:bottom w:val="nil"/>
              <w:right w:val="nil"/>
            </w:tcBorders>
            <w:shd w:val="clear" w:color="auto" w:fill="auto"/>
            <w:noWrap/>
            <w:hideMark/>
          </w:tcPr>
          <w:p w14:paraId="2CD2C6D5"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1.09</w:t>
            </w:r>
          </w:p>
        </w:tc>
        <w:tc>
          <w:tcPr>
            <w:tcW w:w="992" w:type="dxa"/>
            <w:tcBorders>
              <w:top w:val="nil"/>
              <w:left w:val="nil"/>
              <w:bottom w:val="nil"/>
              <w:right w:val="nil"/>
            </w:tcBorders>
            <w:shd w:val="clear" w:color="auto" w:fill="auto"/>
            <w:noWrap/>
            <w:hideMark/>
          </w:tcPr>
          <w:p w14:paraId="2D22958C"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p>
        </w:tc>
        <w:tc>
          <w:tcPr>
            <w:tcW w:w="750" w:type="dxa"/>
            <w:tcBorders>
              <w:top w:val="nil"/>
              <w:left w:val="nil"/>
              <w:bottom w:val="nil"/>
              <w:right w:val="nil"/>
            </w:tcBorders>
            <w:shd w:val="clear" w:color="auto" w:fill="auto"/>
            <w:noWrap/>
            <w:hideMark/>
          </w:tcPr>
          <w:p w14:paraId="22CFF03B"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0.8</w:t>
            </w:r>
          </w:p>
        </w:tc>
        <w:tc>
          <w:tcPr>
            <w:tcW w:w="948" w:type="dxa"/>
            <w:tcBorders>
              <w:top w:val="nil"/>
              <w:left w:val="nil"/>
              <w:bottom w:val="nil"/>
              <w:right w:val="nil"/>
            </w:tcBorders>
            <w:shd w:val="clear" w:color="auto" w:fill="auto"/>
            <w:noWrap/>
            <w:hideMark/>
          </w:tcPr>
          <w:p w14:paraId="1E3FCF24"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1.08</w:t>
            </w:r>
          </w:p>
        </w:tc>
        <w:tc>
          <w:tcPr>
            <w:tcW w:w="1182" w:type="dxa"/>
            <w:tcBorders>
              <w:top w:val="nil"/>
              <w:left w:val="nil"/>
              <w:bottom w:val="nil"/>
              <w:right w:val="nil"/>
            </w:tcBorders>
            <w:shd w:val="clear" w:color="auto" w:fill="auto"/>
            <w:noWrap/>
            <w:hideMark/>
          </w:tcPr>
          <w:p w14:paraId="10FA6B67"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p>
        </w:tc>
        <w:tc>
          <w:tcPr>
            <w:tcW w:w="750" w:type="dxa"/>
            <w:tcBorders>
              <w:top w:val="nil"/>
              <w:left w:val="nil"/>
              <w:bottom w:val="nil"/>
              <w:right w:val="nil"/>
            </w:tcBorders>
            <w:shd w:val="clear" w:color="auto" w:fill="auto"/>
            <w:noWrap/>
            <w:hideMark/>
          </w:tcPr>
          <w:p w14:paraId="71F7014B"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0.9</w:t>
            </w:r>
          </w:p>
        </w:tc>
        <w:tc>
          <w:tcPr>
            <w:tcW w:w="2040" w:type="dxa"/>
            <w:tcBorders>
              <w:top w:val="nil"/>
              <w:left w:val="nil"/>
              <w:bottom w:val="nil"/>
              <w:right w:val="nil"/>
            </w:tcBorders>
            <w:shd w:val="clear" w:color="auto" w:fill="auto"/>
            <w:noWrap/>
            <w:hideMark/>
          </w:tcPr>
          <w:p w14:paraId="2BF980E6"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1.015 (0.946-1.088)</w:t>
            </w:r>
          </w:p>
        </w:tc>
        <w:tc>
          <w:tcPr>
            <w:tcW w:w="1134" w:type="dxa"/>
            <w:tcBorders>
              <w:top w:val="nil"/>
              <w:left w:val="nil"/>
              <w:bottom w:val="nil"/>
              <w:right w:val="nil"/>
            </w:tcBorders>
            <w:shd w:val="clear" w:color="auto" w:fill="auto"/>
            <w:noWrap/>
            <w:hideMark/>
          </w:tcPr>
          <w:p w14:paraId="1DD2CBB4"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0.664</w:t>
            </w:r>
          </w:p>
        </w:tc>
      </w:tr>
      <w:tr w:rsidR="001326DA" w:rsidRPr="001326DA" w14:paraId="06EEE1FF" w14:textId="77777777" w:rsidTr="00430572">
        <w:trPr>
          <w:trHeight w:val="288"/>
        </w:trPr>
        <w:tc>
          <w:tcPr>
            <w:tcW w:w="2359" w:type="dxa"/>
            <w:tcBorders>
              <w:top w:val="nil"/>
              <w:left w:val="nil"/>
              <w:bottom w:val="nil"/>
              <w:right w:val="nil"/>
            </w:tcBorders>
            <w:shd w:val="clear" w:color="auto" w:fill="auto"/>
            <w:noWrap/>
            <w:hideMark/>
          </w:tcPr>
          <w:p w14:paraId="5B66167C" w14:textId="77777777" w:rsidR="001326DA" w:rsidRPr="001326DA" w:rsidRDefault="001326DA" w:rsidP="00430572">
            <w:pPr>
              <w:spacing w:line="360" w:lineRule="auto"/>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Hematocrit</w:t>
            </w:r>
          </w:p>
        </w:tc>
        <w:tc>
          <w:tcPr>
            <w:tcW w:w="1185" w:type="dxa"/>
            <w:tcBorders>
              <w:top w:val="nil"/>
              <w:left w:val="nil"/>
              <w:bottom w:val="nil"/>
              <w:right w:val="nil"/>
            </w:tcBorders>
            <w:shd w:val="clear" w:color="auto" w:fill="auto"/>
            <w:noWrap/>
            <w:hideMark/>
          </w:tcPr>
          <w:p w14:paraId="76796B29"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30.7</w:t>
            </w:r>
          </w:p>
        </w:tc>
        <w:tc>
          <w:tcPr>
            <w:tcW w:w="992" w:type="dxa"/>
            <w:tcBorders>
              <w:top w:val="nil"/>
              <w:left w:val="nil"/>
              <w:bottom w:val="nil"/>
              <w:right w:val="nil"/>
            </w:tcBorders>
            <w:shd w:val="clear" w:color="auto" w:fill="auto"/>
            <w:noWrap/>
            <w:hideMark/>
          </w:tcPr>
          <w:p w14:paraId="2B10F51D"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p>
        </w:tc>
        <w:tc>
          <w:tcPr>
            <w:tcW w:w="750" w:type="dxa"/>
            <w:tcBorders>
              <w:top w:val="nil"/>
              <w:left w:val="nil"/>
              <w:bottom w:val="nil"/>
              <w:right w:val="nil"/>
            </w:tcBorders>
            <w:shd w:val="clear" w:color="auto" w:fill="auto"/>
            <w:noWrap/>
            <w:hideMark/>
          </w:tcPr>
          <w:p w14:paraId="44981EB2"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p>
        </w:tc>
        <w:tc>
          <w:tcPr>
            <w:tcW w:w="948" w:type="dxa"/>
            <w:tcBorders>
              <w:top w:val="nil"/>
              <w:left w:val="nil"/>
              <w:bottom w:val="nil"/>
              <w:right w:val="nil"/>
            </w:tcBorders>
            <w:shd w:val="clear" w:color="auto" w:fill="auto"/>
            <w:noWrap/>
            <w:hideMark/>
          </w:tcPr>
          <w:p w14:paraId="1ADE5F3E"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30.1</w:t>
            </w:r>
          </w:p>
        </w:tc>
        <w:tc>
          <w:tcPr>
            <w:tcW w:w="1182" w:type="dxa"/>
            <w:tcBorders>
              <w:top w:val="nil"/>
              <w:left w:val="nil"/>
              <w:bottom w:val="nil"/>
              <w:right w:val="nil"/>
            </w:tcBorders>
            <w:shd w:val="clear" w:color="auto" w:fill="auto"/>
            <w:noWrap/>
            <w:hideMark/>
          </w:tcPr>
          <w:p w14:paraId="5FF8996D"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p>
        </w:tc>
        <w:tc>
          <w:tcPr>
            <w:tcW w:w="750" w:type="dxa"/>
            <w:tcBorders>
              <w:top w:val="nil"/>
              <w:left w:val="nil"/>
              <w:bottom w:val="nil"/>
              <w:right w:val="nil"/>
            </w:tcBorders>
            <w:shd w:val="clear" w:color="auto" w:fill="auto"/>
            <w:noWrap/>
            <w:hideMark/>
          </w:tcPr>
          <w:p w14:paraId="5F22C483"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p>
        </w:tc>
        <w:tc>
          <w:tcPr>
            <w:tcW w:w="2040" w:type="dxa"/>
            <w:tcBorders>
              <w:top w:val="nil"/>
              <w:left w:val="nil"/>
              <w:bottom w:val="nil"/>
              <w:right w:val="nil"/>
            </w:tcBorders>
            <w:shd w:val="clear" w:color="auto" w:fill="auto"/>
            <w:noWrap/>
            <w:hideMark/>
          </w:tcPr>
          <w:p w14:paraId="53D9AE3B"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1.01 (0.986-1.034)</w:t>
            </w:r>
          </w:p>
        </w:tc>
        <w:tc>
          <w:tcPr>
            <w:tcW w:w="1134" w:type="dxa"/>
            <w:tcBorders>
              <w:top w:val="nil"/>
              <w:left w:val="nil"/>
              <w:bottom w:val="nil"/>
              <w:right w:val="nil"/>
            </w:tcBorders>
            <w:shd w:val="clear" w:color="auto" w:fill="auto"/>
            <w:noWrap/>
            <w:hideMark/>
          </w:tcPr>
          <w:p w14:paraId="60FDE2B3"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0.394</w:t>
            </w:r>
          </w:p>
        </w:tc>
      </w:tr>
      <w:tr w:rsidR="001326DA" w:rsidRPr="001326DA" w14:paraId="5829B505" w14:textId="77777777" w:rsidTr="00430572">
        <w:trPr>
          <w:trHeight w:val="288"/>
        </w:trPr>
        <w:tc>
          <w:tcPr>
            <w:tcW w:w="2359" w:type="dxa"/>
            <w:tcBorders>
              <w:top w:val="nil"/>
              <w:left w:val="nil"/>
              <w:bottom w:val="nil"/>
              <w:right w:val="nil"/>
            </w:tcBorders>
            <w:shd w:val="clear" w:color="auto" w:fill="auto"/>
            <w:noWrap/>
            <w:hideMark/>
          </w:tcPr>
          <w:p w14:paraId="15609582" w14:textId="77777777" w:rsidR="001326DA" w:rsidRPr="001326DA" w:rsidRDefault="001326DA" w:rsidP="00430572">
            <w:pPr>
              <w:spacing w:line="360" w:lineRule="auto"/>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Platelets</w:t>
            </w:r>
          </w:p>
        </w:tc>
        <w:tc>
          <w:tcPr>
            <w:tcW w:w="1185" w:type="dxa"/>
            <w:tcBorders>
              <w:top w:val="nil"/>
              <w:left w:val="nil"/>
              <w:bottom w:val="nil"/>
              <w:right w:val="nil"/>
            </w:tcBorders>
            <w:shd w:val="clear" w:color="auto" w:fill="auto"/>
            <w:noWrap/>
            <w:hideMark/>
          </w:tcPr>
          <w:p w14:paraId="35545399"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212</w:t>
            </w:r>
          </w:p>
        </w:tc>
        <w:tc>
          <w:tcPr>
            <w:tcW w:w="992" w:type="dxa"/>
            <w:tcBorders>
              <w:top w:val="nil"/>
              <w:left w:val="nil"/>
              <w:bottom w:val="nil"/>
              <w:right w:val="nil"/>
            </w:tcBorders>
            <w:shd w:val="clear" w:color="auto" w:fill="auto"/>
            <w:noWrap/>
            <w:hideMark/>
          </w:tcPr>
          <w:p w14:paraId="7F17F756"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p>
        </w:tc>
        <w:tc>
          <w:tcPr>
            <w:tcW w:w="750" w:type="dxa"/>
            <w:tcBorders>
              <w:top w:val="nil"/>
              <w:left w:val="nil"/>
              <w:bottom w:val="nil"/>
              <w:right w:val="nil"/>
            </w:tcBorders>
            <w:shd w:val="clear" w:color="auto" w:fill="auto"/>
            <w:noWrap/>
            <w:hideMark/>
          </w:tcPr>
          <w:p w14:paraId="55788784"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p>
        </w:tc>
        <w:tc>
          <w:tcPr>
            <w:tcW w:w="948" w:type="dxa"/>
            <w:tcBorders>
              <w:top w:val="nil"/>
              <w:left w:val="nil"/>
              <w:bottom w:val="nil"/>
              <w:right w:val="nil"/>
            </w:tcBorders>
            <w:shd w:val="clear" w:color="auto" w:fill="auto"/>
            <w:noWrap/>
            <w:hideMark/>
          </w:tcPr>
          <w:p w14:paraId="0BF3B4BD"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208</w:t>
            </w:r>
          </w:p>
        </w:tc>
        <w:tc>
          <w:tcPr>
            <w:tcW w:w="1182" w:type="dxa"/>
            <w:tcBorders>
              <w:top w:val="nil"/>
              <w:left w:val="nil"/>
              <w:bottom w:val="nil"/>
              <w:right w:val="nil"/>
            </w:tcBorders>
            <w:shd w:val="clear" w:color="auto" w:fill="auto"/>
            <w:noWrap/>
            <w:hideMark/>
          </w:tcPr>
          <w:p w14:paraId="1F696BB6"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p>
        </w:tc>
        <w:tc>
          <w:tcPr>
            <w:tcW w:w="750" w:type="dxa"/>
            <w:tcBorders>
              <w:top w:val="nil"/>
              <w:left w:val="nil"/>
              <w:bottom w:val="nil"/>
              <w:right w:val="nil"/>
            </w:tcBorders>
            <w:shd w:val="clear" w:color="auto" w:fill="auto"/>
            <w:noWrap/>
            <w:hideMark/>
          </w:tcPr>
          <w:p w14:paraId="2A55EFAC"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p>
        </w:tc>
        <w:tc>
          <w:tcPr>
            <w:tcW w:w="2040" w:type="dxa"/>
            <w:tcBorders>
              <w:top w:val="nil"/>
              <w:left w:val="nil"/>
              <w:bottom w:val="nil"/>
              <w:right w:val="nil"/>
            </w:tcBorders>
            <w:shd w:val="clear" w:color="auto" w:fill="auto"/>
            <w:noWrap/>
            <w:hideMark/>
          </w:tcPr>
          <w:p w14:paraId="3DD8690F"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1.04 (0.977-1.107)</w:t>
            </w:r>
          </w:p>
        </w:tc>
        <w:tc>
          <w:tcPr>
            <w:tcW w:w="1134" w:type="dxa"/>
            <w:tcBorders>
              <w:top w:val="nil"/>
              <w:left w:val="nil"/>
              <w:bottom w:val="nil"/>
              <w:right w:val="nil"/>
            </w:tcBorders>
            <w:shd w:val="clear" w:color="auto" w:fill="auto"/>
            <w:noWrap/>
            <w:hideMark/>
          </w:tcPr>
          <w:p w14:paraId="32433A8B"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0.196</w:t>
            </w:r>
          </w:p>
        </w:tc>
      </w:tr>
      <w:tr w:rsidR="001326DA" w:rsidRPr="001326DA" w14:paraId="5453CE66" w14:textId="77777777" w:rsidTr="00430572">
        <w:trPr>
          <w:trHeight w:val="288"/>
        </w:trPr>
        <w:tc>
          <w:tcPr>
            <w:tcW w:w="2359" w:type="dxa"/>
            <w:tcBorders>
              <w:top w:val="nil"/>
              <w:left w:val="nil"/>
              <w:bottom w:val="nil"/>
              <w:right w:val="nil"/>
            </w:tcBorders>
            <w:shd w:val="clear" w:color="auto" w:fill="auto"/>
            <w:noWrap/>
            <w:hideMark/>
          </w:tcPr>
          <w:p w14:paraId="53126871" w14:textId="77777777" w:rsidR="001326DA" w:rsidRPr="001326DA" w:rsidRDefault="001326DA" w:rsidP="00430572">
            <w:pPr>
              <w:spacing w:line="360" w:lineRule="auto"/>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Surgical urgency</w:t>
            </w:r>
          </w:p>
        </w:tc>
        <w:tc>
          <w:tcPr>
            <w:tcW w:w="1185" w:type="dxa"/>
            <w:tcBorders>
              <w:top w:val="nil"/>
              <w:left w:val="nil"/>
              <w:bottom w:val="nil"/>
              <w:right w:val="nil"/>
            </w:tcBorders>
            <w:shd w:val="clear" w:color="auto" w:fill="auto"/>
            <w:noWrap/>
            <w:hideMark/>
          </w:tcPr>
          <w:p w14:paraId="043D98E9"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p>
        </w:tc>
        <w:tc>
          <w:tcPr>
            <w:tcW w:w="992" w:type="dxa"/>
            <w:tcBorders>
              <w:top w:val="nil"/>
              <w:left w:val="nil"/>
              <w:bottom w:val="nil"/>
              <w:right w:val="nil"/>
            </w:tcBorders>
            <w:shd w:val="clear" w:color="auto" w:fill="auto"/>
            <w:noWrap/>
            <w:hideMark/>
          </w:tcPr>
          <w:p w14:paraId="4A1FDEA9"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p>
        </w:tc>
        <w:tc>
          <w:tcPr>
            <w:tcW w:w="750" w:type="dxa"/>
            <w:tcBorders>
              <w:top w:val="nil"/>
              <w:left w:val="nil"/>
              <w:bottom w:val="nil"/>
              <w:right w:val="nil"/>
            </w:tcBorders>
            <w:shd w:val="clear" w:color="auto" w:fill="auto"/>
            <w:noWrap/>
            <w:hideMark/>
          </w:tcPr>
          <w:p w14:paraId="43ADE631"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p>
        </w:tc>
        <w:tc>
          <w:tcPr>
            <w:tcW w:w="948" w:type="dxa"/>
            <w:tcBorders>
              <w:top w:val="nil"/>
              <w:left w:val="nil"/>
              <w:bottom w:val="nil"/>
              <w:right w:val="nil"/>
            </w:tcBorders>
            <w:shd w:val="clear" w:color="auto" w:fill="auto"/>
            <w:noWrap/>
            <w:hideMark/>
          </w:tcPr>
          <w:p w14:paraId="0164B5C1"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p>
        </w:tc>
        <w:tc>
          <w:tcPr>
            <w:tcW w:w="1182" w:type="dxa"/>
            <w:tcBorders>
              <w:top w:val="nil"/>
              <w:left w:val="nil"/>
              <w:bottom w:val="nil"/>
              <w:right w:val="nil"/>
            </w:tcBorders>
            <w:shd w:val="clear" w:color="auto" w:fill="auto"/>
            <w:noWrap/>
            <w:hideMark/>
          </w:tcPr>
          <w:p w14:paraId="0F9D5953"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p>
        </w:tc>
        <w:tc>
          <w:tcPr>
            <w:tcW w:w="750" w:type="dxa"/>
            <w:tcBorders>
              <w:top w:val="nil"/>
              <w:left w:val="nil"/>
              <w:bottom w:val="nil"/>
              <w:right w:val="nil"/>
            </w:tcBorders>
            <w:shd w:val="clear" w:color="auto" w:fill="auto"/>
            <w:noWrap/>
            <w:hideMark/>
          </w:tcPr>
          <w:p w14:paraId="22787F13"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p>
        </w:tc>
        <w:tc>
          <w:tcPr>
            <w:tcW w:w="2040" w:type="dxa"/>
            <w:tcBorders>
              <w:top w:val="nil"/>
              <w:left w:val="nil"/>
              <w:bottom w:val="nil"/>
              <w:right w:val="nil"/>
            </w:tcBorders>
            <w:shd w:val="clear" w:color="auto" w:fill="auto"/>
            <w:noWrap/>
            <w:hideMark/>
          </w:tcPr>
          <w:p w14:paraId="03AFCA8B"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p>
        </w:tc>
        <w:tc>
          <w:tcPr>
            <w:tcW w:w="1134" w:type="dxa"/>
            <w:tcBorders>
              <w:top w:val="nil"/>
              <w:left w:val="nil"/>
              <w:bottom w:val="nil"/>
              <w:right w:val="nil"/>
            </w:tcBorders>
            <w:shd w:val="clear" w:color="auto" w:fill="auto"/>
            <w:noWrap/>
            <w:hideMark/>
          </w:tcPr>
          <w:p w14:paraId="09F9EF08"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p>
        </w:tc>
      </w:tr>
      <w:tr w:rsidR="001326DA" w:rsidRPr="001326DA" w14:paraId="0C13D328" w14:textId="77777777" w:rsidTr="00430572">
        <w:trPr>
          <w:trHeight w:val="288"/>
        </w:trPr>
        <w:tc>
          <w:tcPr>
            <w:tcW w:w="2359" w:type="dxa"/>
            <w:tcBorders>
              <w:top w:val="nil"/>
              <w:left w:val="nil"/>
              <w:bottom w:val="nil"/>
              <w:right w:val="nil"/>
            </w:tcBorders>
            <w:shd w:val="clear" w:color="auto" w:fill="auto"/>
            <w:noWrap/>
            <w:hideMark/>
          </w:tcPr>
          <w:p w14:paraId="2E220200" w14:textId="77777777" w:rsidR="001326DA" w:rsidRPr="001326DA" w:rsidRDefault="001326DA" w:rsidP="00430572">
            <w:pPr>
              <w:spacing w:line="360" w:lineRule="auto"/>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Emergent</w:t>
            </w:r>
          </w:p>
        </w:tc>
        <w:tc>
          <w:tcPr>
            <w:tcW w:w="1185" w:type="dxa"/>
            <w:tcBorders>
              <w:top w:val="nil"/>
              <w:left w:val="nil"/>
              <w:bottom w:val="nil"/>
              <w:right w:val="nil"/>
            </w:tcBorders>
            <w:shd w:val="clear" w:color="auto" w:fill="auto"/>
            <w:noWrap/>
            <w:hideMark/>
          </w:tcPr>
          <w:p w14:paraId="69B37B2F"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428</w:t>
            </w:r>
          </w:p>
        </w:tc>
        <w:tc>
          <w:tcPr>
            <w:tcW w:w="992" w:type="dxa"/>
            <w:tcBorders>
              <w:top w:val="nil"/>
              <w:left w:val="nil"/>
              <w:bottom w:val="nil"/>
              <w:right w:val="nil"/>
            </w:tcBorders>
            <w:shd w:val="clear" w:color="auto" w:fill="auto"/>
            <w:noWrap/>
            <w:hideMark/>
          </w:tcPr>
          <w:p w14:paraId="2589BB54"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1256</w:t>
            </w:r>
          </w:p>
        </w:tc>
        <w:tc>
          <w:tcPr>
            <w:tcW w:w="750" w:type="dxa"/>
            <w:tcBorders>
              <w:top w:val="nil"/>
              <w:left w:val="nil"/>
              <w:bottom w:val="nil"/>
              <w:right w:val="nil"/>
            </w:tcBorders>
            <w:shd w:val="clear" w:color="auto" w:fill="auto"/>
            <w:noWrap/>
            <w:hideMark/>
          </w:tcPr>
          <w:p w14:paraId="2FE445A8"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34.1</w:t>
            </w:r>
          </w:p>
        </w:tc>
        <w:tc>
          <w:tcPr>
            <w:tcW w:w="948" w:type="dxa"/>
            <w:tcBorders>
              <w:top w:val="nil"/>
              <w:left w:val="nil"/>
              <w:bottom w:val="nil"/>
              <w:right w:val="nil"/>
            </w:tcBorders>
            <w:shd w:val="clear" w:color="auto" w:fill="auto"/>
            <w:noWrap/>
            <w:hideMark/>
          </w:tcPr>
          <w:p w14:paraId="63510416"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2194</w:t>
            </w:r>
          </w:p>
        </w:tc>
        <w:tc>
          <w:tcPr>
            <w:tcW w:w="1182" w:type="dxa"/>
            <w:tcBorders>
              <w:top w:val="nil"/>
              <w:left w:val="nil"/>
              <w:bottom w:val="nil"/>
              <w:right w:val="nil"/>
            </w:tcBorders>
            <w:shd w:val="clear" w:color="auto" w:fill="auto"/>
            <w:noWrap/>
            <w:hideMark/>
          </w:tcPr>
          <w:p w14:paraId="3616B9D4"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7962</w:t>
            </w:r>
          </w:p>
        </w:tc>
        <w:tc>
          <w:tcPr>
            <w:tcW w:w="750" w:type="dxa"/>
            <w:tcBorders>
              <w:top w:val="nil"/>
              <w:left w:val="nil"/>
              <w:bottom w:val="nil"/>
              <w:right w:val="nil"/>
            </w:tcBorders>
            <w:shd w:val="clear" w:color="auto" w:fill="auto"/>
            <w:noWrap/>
            <w:hideMark/>
          </w:tcPr>
          <w:p w14:paraId="20E3BAD5"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27.6</w:t>
            </w:r>
          </w:p>
        </w:tc>
        <w:tc>
          <w:tcPr>
            <w:tcW w:w="2040" w:type="dxa"/>
            <w:tcBorders>
              <w:top w:val="nil"/>
              <w:left w:val="nil"/>
              <w:bottom w:val="nil"/>
              <w:right w:val="nil"/>
            </w:tcBorders>
            <w:shd w:val="clear" w:color="auto" w:fill="auto"/>
            <w:noWrap/>
            <w:hideMark/>
          </w:tcPr>
          <w:p w14:paraId="5B83356D"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1.359 (1.197-1.542)</w:t>
            </w:r>
          </w:p>
        </w:tc>
        <w:tc>
          <w:tcPr>
            <w:tcW w:w="1134" w:type="dxa"/>
            <w:tcBorders>
              <w:top w:val="nil"/>
              <w:left w:val="nil"/>
              <w:bottom w:val="nil"/>
              <w:right w:val="nil"/>
            </w:tcBorders>
            <w:shd w:val="clear" w:color="auto" w:fill="auto"/>
            <w:noWrap/>
            <w:hideMark/>
          </w:tcPr>
          <w:p w14:paraId="53A56B57"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&lt; 0.001</w:t>
            </w:r>
          </w:p>
        </w:tc>
      </w:tr>
      <w:tr w:rsidR="001326DA" w:rsidRPr="001326DA" w14:paraId="1DB4FAEE" w14:textId="77777777" w:rsidTr="00430572">
        <w:trPr>
          <w:trHeight w:val="288"/>
        </w:trPr>
        <w:tc>
          <w:tcPr>
            <w:tcW w:w="2359" w:type="dxa"/>
            <w:tcBorders>
              <w:top w:val="nil"/>
              <w:left w:val="nil"/>
              <w:bottom w:val="nil"/>
              <w:right w:val="nil"/>
            </w:tcBorders>
            <w:shd w:val="clear" w:color="auto" w:fill="auto"/>
            <w:noWrap/>
            <w:hideMark/>
          </w:tcPr>
          <w:p w14:paraId="6F98643E" w14:textId="77777777" w:rsidR="001326DA" w:rsidRPr="001326DA" w:rsidRDefault="001326DA" w:rsidP="00430572">
            <w:pPr>
              <w:spacing w:line="360" w:lineRule="auto"/>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Surgical complexity</w:t>
            </w:r>
          </w:p>
        </w:tc>
        <w:tc>
          <w:tcPr>
            <w:tcW w:w="1185" w:type="dxa"/>
            <w:tcBorders>
              <w:top w:val="nil"/>
              <w:left w:val="nil"/>
              <w:bottom w:val="nil"/>
              <w:right w:val="nil"/>
            </w:tcBorders>
            <w:shd w:val="clear" w:color="auto" w:fill="auto"/>
            <w:noWrap/>
            <w:hideMark/>
          </w:tcPr>
          <w:p w14:paraId="444AA000"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p>
        </w:tc>
        <w:tc>
          <w:tcPr>
            <w:tcW w:w="992" w:type="dxa"/>
            <w:tcBorders>
              <w:top w:val="nil"/>
              <w:left w:val="nil"/>
              <w:bottom w:val="nil"/>
              <w:right w:val="nil"/>
            </w:tcBorders>
            <w:shd w:val="clear" w:color="auto" w:fill="auto"/>
            <w:noWrap/>
            <w:hideMark/>
          </w:tcPr>
          <w:p w14:paraId="7DE8F50A"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p>
        </w:tc>
        <w:tc>
          <w:tcPr>
            <w:tcW w:w="750" w:type="dxa"/>
            <w:tcBorders>
              <w:top w:val="nil"/>
              <w:left w:val="nil"/>
              <w:bottom w:val="nil"/>
              <w:right w:val="nil"/>
            </w:tcBorders>
            <w:shd w:val="clear" w:color="auto" w:fill="auto"/>
            <w:noWrap/>
            <w:hideMark/>
          </w:tcPr>
          <w:p w14:paraId="6D0D870D"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p>
        </w:tc>
        <w:tc>
          <w:tcPr>
            <w:tcW w:w="948" w:type="dxa"/>
            <w:tcBorders>
              <w:top w:val="nil"/>
              <w:left w:val="nil"/>
              <w:bottom w:val="nil"/>
              <w:right w:val="nil"/>
            </w:tcBorders>
            <w:shd w:val="clear" w:color="auto" w:fill="auto"/>
            <w:noWrap/>
            <w:hideMark/>
          </w:tcPr>
          <w:p w14:paraId="3B02F8D5"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p>
        </w:tc>
        <w:tc>
          <w:tcPr>
            <w:tcW w:w="1182" w:type="dxa"/>
            <w:tcBorders>
              <w:top w:val="nil"/>
              <w:left w:val="nil"/>
              <w:bottom w:val="nil"/>
              <w:right w:val="nil"/>
            </w:tcBorders>
            <w:shd w:val="clear" w:color="auto" w:fill="auto"/>
            <w:noWrap/>
            <w:hideMark/>
          </w:tcPr>
          <w:p w14:paraId="7C10C7A3"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p>
        </w:tc>
        <w:tc>
          <w:tcPr>
            <w:tcW w:w="750" w:type="dxa"/>
            <w:tcBorders>
              <w:top w:val="nil"/>
              <w:left w:val="nil"/>
              <w:bottom w:val="nil"/>
              <w:right w:val="nil"/>
            </w:tcBorders>
            <w:shd w:val="clear" w:color="auto" w:fill="auto"/>
            <w:noWrap/>
            <w:hideMark/>
          </w:tcPr>
          <w:p w14:paraId="2AC7A443"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p>
        </w:tc>
        <w:tc>
          <w:tcPr>
            <w:tcW w:w="2040" w:type="dxa"/>
            <w:tcBorders>
              <w:top w:val="nil"/>
              <w:left w:val="nil"/>
              <w:bottom w:val="nil"/>
              <w:right w:val="nil"/>
            </w:tcBorders>
            <w:shd w:val="clear" w:color="auto" w:fill="auto"/>
            <w:noWrap/>
            <w:hideMark/>
          </w:tcPr>
          <w:p w14:paraId="47F5757B"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p>
        </w:tc>
        <w:tc>
          <w:tcPr>
            <w:tcW w:w="1134" w:type="dxa"/>
            <w:tcBorders>
              <w:top w:val="nil"/>
              <w:left w:val="nil"/>
              <w:bottom w:val="nil"/>
              <w:right w:val="nil"/>
            </w:tcBorders>
            <w:shd w:val="clear" w:color="auto" w:fill="auto"/>
            <w:noWrap/>
            <w:hideMark/>
          </w:tcPr>
          <w:p w14:paraId="2EA8D30A"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p>
        </w:tc>
      </w:tr>
      <w:tr w:rsidR="001326DA" w:rsidRPr="001326DA" w14:paraId="1C5D9729" w14:textId="77777777" w:rsidTr="00430572">
        <w:trPr>
          <w:trHeight w:val="288"/>
        </w:trPr>
        <w:tc>
          <w:tcPr>
            <w:tcW w:w="2359" w:type="dxa"/>
            <w:tcBorders>
              <w:top w:val="nil"/>
              <w:left w:val="nil"/>
              <w:bottom w:val="nil"/>
              <w:right w:val="nil"/>
            </w:tcBorders>
            <w:shd w:val="clear" w:color="auto" w:fill="auto"/>
            <w:noWrap/>
            <w:hideMark/>
          </w:tcPr>
          <w:p w14:paraId="430B3D33" w14:textId="77777777" w:rsidR="001326DA" w:rsidRPr="001326DA" w:rsidRDefault="001326DA" w:rsidP="00430572">
            <w:pPr>
              <w:spacing w:line="360" w:lineRule="auto"/>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Work RVU</w:t>
            </w:r>
          </w:p>
        </w:tc>
        <w:tc>
          <w:tcPr>
            <w:tcW w:w="1185" w:type="dxa"/>
            <w:tcBorders>
              <w:top w:val="nil"/>
              <w:left w:val="nil"/>
              <w:bottom w:val="nil"/>
              <w:right w:val="nil"/>
            </w:tcBorders>
            <w:shd w:val="clear" w:color="auto" w:fill="auto"/>
            <w:noWrap/>
            <w:hideMark/>
          </w:tcPr>
          <w:p w14:paraId="2137A4F9"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17.45</w:t>
            </w:r>
          </w:p>
        </w:tc>
        <w:tc>
          <w:tcPr>
            <w:tcW w:w="992" w:type="dxa"/>
            <w:tcBorders>
              <w:top w:val="nil"/>
              <w:left w:val="nil"/>
              <w:bottom w:val="nil"/>
              <w:right w:val="nil"/>
            </w:tcBorders>
            <w:shd w:val="clear" w:color="auto" w:fill="auto"/>
            <w:noWrap/>
            <w:hideMark/>
          </w:tcPr>
          <w:p w14:paraId="6EC096F5"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p>
        </w:tc>
        <w:tc>
          <w:tcPr>
            <w:tcW w:w="750" w:type="dxa"/>
            <w:tcBorders>
              <w:top w:val="nil"/>
              <w:left w:val="nil"/>
              <w:bottom w:val="nil"/>
              <w:right w:val="nil"/>
            </w:tcBorders>
            <w:shd w:val="clear" w:color="auto" w:fill="auto"/>
            <w:noWrap/>
            <w:hideMark/>
          </w:tcPr>
          <w:p w14:paraId="6D6C1F2D"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2.0</w:t>
            </w:r>
          </w:p>
        </w:tc>
        <w:tc>
          <w:tcPr>
            <w:tcW w:w="948" w:type="dxa"/>
            <w:tcBorders>
              <w:top w:val="nil"/>
              <w:left w:val="nil"/>
              <w:bottom w:val="nil"/>
              <w:right w:val="nil"/>
            </w:tcBorders>
            <w:shd w:val="clear" w:color="auto" w:fill="auto"/>
            <w:noWrap/>
            <w:hideMark/>
          </w:tcPr>
          <w:p w14:paraId="67F4EA05"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17.46</w:t>
            </w:r>
          </w:p>
        </w:tc>
        <w:tc>
          <w:tcPr>
            <w:tcW w:w="1182" w:type="dxa"/>
            <w:tcBorders>
              <w:top w:val="nil"/>
              <w:left w:val="nil"/>
              <w:bottom w:val="nil"/>
              <w:right w:val="nil"/>
            </w:tcBorders>
            <w:shd w:val="clear" w:color="auto" w:fill="auto"/>
            <w:noWrap/>
            <w:hideMark/>
          </w:tcPr>
          <w:p w14:paraId="39C2B894"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p>
        </w:tc>
        <w:tc>
          <w:tcPr>
            <w:tcW w:w="750" w:type="dxa"/>
            <w:tcBorders>
              <w:top w:val="nil"/>
              <w:left w:val="nil"/>
              <w:bottom w:val="nil"/>
              <w:right w:val="nil"/>
            </w:tcBorders>
            <w:shd w:val="clear" w:color="auto" w:fill="auto"/>
            <w:noWrap/>
            <w:hideMark/>
          </w:tcPr>
          <w:p w14:paraId="7E2FDBC8"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2.7</w:t>
            </w:r>
          </w:p>
        </w:tc>
        <w:tc>
          <w:tcPr>
            <w:tcW w:w="2040" w:type="dxa"/>
            <w:tcBorders>
              <w:top w:val="nil"/>
              <w:left w:val="nil"/>
              <w:bottom w:val="nil"/>
              <w:right w:val="nil"/>
            </w:tcBorders>
            <w:shd w:val="clear" w:color="auto" w:fill="auto"/>
            <w:noWrap/>
            <w:hideMark/>
          </w:tcPr>
          <w:p w14:paraId="0D0F7594"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0.998 (0.975-1.021)</w:t>
            </w:r>
          </w:p>
        </w:tc>
        <w:tc>
          <w:tcPr>
            <w:tcW w:w="1134" w:type="dxa"/>
            <w:tcBorders>
              <w:top w:val="nil"/>
              <w:left w:val="nil"/>
              <w:bottom w:val="nil"/>
              <w:right w:val="nil"/>
            </w:tcBorders>
            <w:shd w:val="clear" w:color="auto" w:fill="auto"/>
            <w:noWrap/>
            <w:hideMark/>
          </w:tcPr>
          <w:p w14:paraId="251E743A"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0.841</w:t>
            </w:r>
          </w:p>
        </w:tc>
      </w:tr>
      <w:tr w:rsidR="001326DA" w:rsidRPr="001326DA" w14:paraId="517AD3D3" w14:textId="77777777" w:rsidTr="00430572">
        <w:trPr>
          <w:trHeight w:val="288"/>
        </w:trPr>
        <w:tc>
          <w:tcPr>
            <w:tcW w:w="2359" w:type="dxa"/>
            <w:tcBorders>
              <w:top w:val="nil"/>
              <w:left w:val="nil"/>
              <w:bottom w:val="nil"/>
              <w:right w:val="nil"/>
            </w:tcBorders>
            <w:shd w:val="clear" w:color="auto" w:fill="auto"/>
            <w:noWrap/>
            <w:hideMark/>
          </w:tcPr>
          <w:p w14:paraId="4D7CBB50" w14:textId="77777777" w:rsidR="001326DA" w:rsidRPr="001326DA" w:rsidRDefault="001326DA" w:rsidP="00430572">
            <w:pPr>
              <w:spacing w:line="360" w:lineRule="auto"/>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Anesthesia</w:t>
            </w:r>
          </w:p>
        </w:tc>
        <w:tc>
          <w:tcPr>
            <w:tcW w:w="1185" w:type="dxa"/>
            <w:tcBorders>
              <w:top w:val="nil"/>
              <w:left w:val="nil"/>
              <w:bottom w:val="nil"/>
              <w:right w:val="nil"/>
            </w:tcBorders>
            <w:shd w:val="clear" w:color="auto" w:fill="auto"/>
            <w:noWrap/>
            <w:hideMark/>
          </w:tcPr>
          <w:p w14:paraId="452AC77A"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p>
        </w:tc>
        <w:tc>
          <w:tcPr>
            <w:tcW w:w="992" w:type="dxa"/>
            <w:tcBorders>
              <w:top w:val="nil"/>
              <w:left w:val="nil"/>
              <w:bottom w:val="nil"/>
              <w:right w:val="nil"/>
            </w:tcBorders>
            <w:shd w:val="clear" w:color="auto" w:fill="auto"/>
            <w:noWrap/>
            <w:hideMark/>
          </w:tcPr>
          <w:p w14:paraId="15335DE0"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p>
        </w:tc>
        <w:tc>
          <w:tcPr>
            <w:tcW w:w="750" w:type="dxa"/>
            <w:tcBorders>
              <w:top w:val="nil"/>
              <w:left w:val="nil"/>
              <w:bottom w:val="nil"/>
              <w:right w:val="nil"/>
            </w:tcBorders>
            <w:shd w:val="clear" w:color="auto" w:fill="auto"/>
            <w:noWrap/>
            <w:hideMark/>
          </w:tcPr>
          <w:p w14:paraId="6EA529F2"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p>
        </w:tc>
        <w:tc>
          <w:tcPr>
            <w:tcW w:w="948" w:type="dxa"/>
            <w:tcBorders>
              <w:top w:val="nil"/>
              <w:left w:val="nil"/>
              <w:bottom w:val="nil"/>
              <w:right w:val="nil"/>
            </w:tcBorders>
            <w:shd w:val="clear" w:color="auto" w:fill="auto"/>
            <w:noWrap/>
            <w:hideMark/>
          </w:tcPr>
          <w:p w14:paraId="5147255F"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p>
        </w:tc>
        <w:tc>
          <w:tcPr>
            <w:tcW w:w="1182" w:type="dxa"/>
            <w:tcBorders>
              <w:top w:val="nil"/>
              <w:left w:val="nil"/>
              <w:bottom w:val="nil"/>
              <w:right w:val="nil"/>
            </w:tcBorders>
            <w:shd w:val="clear" w:color="auto" w:fill="auto"/>
            <w:noWrap/>
            <w:hideMark/>
          </w:tcPr>
          <w:p w14:paraId="31717C1D"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p>
        </w:tc>
        <w:tc>
          <w:tcPr>
            <w:tcW w:w="750" w:type="dxa"/>
            <w:tcBorders>
              <w:top w:val="nil"/>
              <w:left w:val="nil"/>
              <w:bottom w:val="nil"/>
              <w:right w:val="nil"/>
            </w:tcBorders>
            <w:shd w:val="clear" w:color="auto" w:fill="auto"/>
            <w:noWrap/>
            <w:hideMark/>
          </w:tcPr>
          <w:p w14:paraId="69B32CC4"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p>
        </w:tc>
        <w:tc>
          <w:tcPr>
            <w:tcW w:w="2040" w:type="dxa"/>
            <w:tcBorders>
              <w:top w:val="nil"/>
              <w:left w:val="nil"/>
              <w:bottom w:val="nil"/>
              <w:right w:val="nil"/>
            </w:tcBorders>
            <w:shd w:val="clear" w:color="auto" w:fill="auto"/>
            <w:noWrap/>
            <w:hideMark/>
          </w:tcPr>
          <w:p w14:paraId="19C938F1"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p>
        </w:tc>
        <w:tc>
          <w:tcPr>
            <w:tcW w:w="1134" w:type="dxa"/>
            <w:tcBorders>
              <w:top w:val="nil"/>
              <w:left w:val="nil"/>
              <w:bottom w:val="nil"/>
              <w:right w:val="nil"/>
            </w:tcBorders>
            <w:shd w:val="clear" w:color="auto" w:fill="auto"/>
            <w:noWrap/>
            <w:hideMark/>
          </w:tcPr>
          <w:p w14:paraId="579A31F1"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p>
        </w:tc>
      </w:tr>
      <w:tr w:rsidR="001326DA" w:rsidRPr="001326DA" w14:paraId="44CAE78F" w14:textId="77777777" w:rsidTr="00430572">
        <w:trPr>
          <w:trHeight w:val="288"/>
        </w:trPr>
        <w:tc>
          <w:tcPr>
            <w:tcW w:w="2359" w:type="dxa"/>
            <w:tcBorders>
              <w:top w:val="nil"/>
              <w:left w:val="nil"/>
              <w:bottom w:val="nil"/>
              <w:right w:val="nil"/>
            </w:tcBorders>
            <w:shd w:val="clear" w:color="auto" w:fill="auto"/>
            <w:noWrap/>
            <w:hideMark/>
          </w:tcPr>
          <w:p w14:paraId="701D275B" w14:textId="77777777" w:rsidR="001326DA" w:rsidRPr="001326DA" w:rsidRDefault="001326DA" w:rsidP="00430572">
            <w:pPr>
              <w:spacing w:line="360" w:lineRule="auto"/>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General</w:t>
            </w:r>
          </w:p>
        </w:tc>
        <w:tc>
          <w:tcPr>
            <w:tcW w:w="1185" w:type="dxa"/>
            <w:tcBorders>
              <w:top w:val="nil"/>
              <w:left w:val="nil"/>
              <w:bottom w:val="nil"/>
              <w:right w:val="nil"/>
            </w:tcBorders>
            <w:shd w:val="clear" w:color="auto" w:fill="auto"/>
            <w:noWrap/>
            <w:hideMark/>
          </w:tcPr>
          <w:p w14:paraId="297BC8DE"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796</w:t>
            </w:r>
          </w:p>
        </w:tc>
        <w:tc>
          <w:tcPr>
            <w:tcW w:w="992" w:type="dxa"/>
            <w:tcBorders>
              <w:top w:val="nil"/>
              <w:left w:val="nil"/>
              <w:bottom w:val="nil"/>
              <w:right w:val="nil"/>
            </w:tcBorders>
            <w:shd w:val="clear" w:color="auto" w:fill="auto"/>
            <w:noWrap/>
            <w:hideMark/>
          </w:tcPr>
          <w:p w14:paraId="0CD5BB67"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1255</w:t>
            </w:r>
          </w:p>
        </w:tc>
        <w:tc>
          <w:tcPr>
            <w:tcW w:w="750" w:type="dxa"/>
            <w:tcBorders>
              <w:top w:val="nil"/>
              <w:left w:val="nil"/>
              <w:bottom w:val="nil"/>
              <w:right w:val="nil"/>
            </w:tcBorders>
            <w:shd w:val="clear" w:color="auto" w:fill="auto"/>
            <w:noWrap/>
            <w:hideMark/>
          </w:tcPr>
          <w:p w14:paraId="7E830E38"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63.4</w:t>
            </w:r>
          </w:p>
        </w:tc>
        <w:tc>
          <w:tcPr>
            <w:tcW w:w="948" w:type="dxa"/>
            <w:tcBorders>
              <w:top w:val="nil"/>
              <w:left w:val="nil"/>
              <w:bottom w:val="nil"/>
              <w:right w:val="nil"/>
            </w:tcBorders>
            <w:shd w:val="clear" w:color="auto" w:fill="auto"/>
            <w:noWrap/>
            <w:hideMark/>
          </w:tcPr>
          <w:p w14:paraId="04C57634"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6028</w:t>
            </w:r>
          </w:p>
        </w:tc>
        <w:tc>
          <w:tcPr>
            <w:tcW w:w="1182" w:type="dxa"/>
            <w:tcBorders>
              <w:top w:val="nil"/>
              <w:left w:val="nil"/>
              <w:bottom w:val="nil"/>
              <w:right w:val="nil"/>
            </w:tcBorders>
            <w:shd w:val="clear" w:color="auto" w:fill="auto"/>
            <w:noWrap/>
            <w:hideMark/>
          </w:tcPr>
          <w:p w14:paraId="2654661C"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7959</w:t>
            </w:r>
          </w:p>
        </w:tc>
        <w:tc>
          <w:tcPr>
            <w:tcW w:w="750" w:type="dxa"/>
            <w:tcBorders>
              <w:top w:val="nil"/>
              <w:left w:val="nil"/>
              <w:bottom w:val="nil"/>
              <w:right w:val="nil"/>
            </w:tcBorders>
            <w:shd w:val="clear" w:color="auto" w:fill="auto"/>
            <w:noWrap/>
            <w:hideMark/>
          </w:tcPr>
          <w:p w14:paraId="0EDE0303"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75.7</w:t>
            </w:r>
          </w:p>
        </w:tc>
        <w:tc>
          <w:tcPr>
            <w:tcW w:w="2040" w:type="dxa"/>
            <w:tcBorders>
              <w:top w:val="nil"/>
              <w:left w:val="nil"/>
              <w:bottom w:val="nil"/>
              <w:right w:val="nil"/>
            </w:tcBorders>
            <w:shd w:val="clear" w:color="auto" w:fill="auto"/>
            <w:noWrap/>
            <w:hideMark/>
          </w:tcPr>
          <w:p w14:paraId="76263E76"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NA</w:t>
            </w:r>
          </w:p>
        </w:tc>
        <w:tc>
          <w:tcPr>
            <w:tcW w:w="1134" w:type="dxa"/>
            <w:tcBorders>
              <w:top w:val="nil"/>
              <w:left w:val="nil"/>
              <w:bottom w:val="nil"/>
              <w:right w:val="nil"/>
            </w:tcBorders>
            <w:shd w:val="clear" w:color="auto" w:fill="auto"/>
            <w:noWrap/>
            <w:hideMark/>
          </w:tcPr>
          <w:p w14:paraId="343733CC"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&lt; 0.001</w:t>
            </w:r>
          </w:p>
        </w:tc>
      </w:tr>
      <w:tr w:rsidR="001326DA" w:rsidRPr="001326DA" w14:paraId="6A9510C5" w14:textId="77777777" w:rsidTr="00430572">
        <w:trPr>
          <w:trHeight w:val="288"/>
        </w:trPr>
        <w:tc>
          <w:tcPr>
            <w:tcW w:w="2359" w:type="dxa"/>
            <w:tcBorders>
              <w:top w:val="nil"/>
              <w:left w:val="nil"/>
              <w:bottom w:val="nil"/>
              <w:right w:val="nil"/>
            </w:tcBorders>
            <w:shd w:val="clear" w:color="auto" w:fill="auto"/>
            <w:noWrap/>
            <w:hideMark/>
          </w:tcPr>
          <w:p w14:paraId="3722399C" w14:textId="77777777" w:rsidR="001326DA" w:rsidRPr="001326DA" w:rsidRDefault="001326DA" w:rsidP="00430572">
            <w:pPr>
              <w:spacing w:line="360" w:lineRule="auto"/>
              <w:rPr>
                <w:rFonts w:ascii="Book Antiqua" w:eastAsia="Times New Roman" w:hAnsi="Book Antiqua" w:cs="Times New Roman"/>
                <w:color w:val="000000"/>
                <w:lang w:eastAsia="zh-CN"/>
              </w:rPr>
            </w:pPr>
            <w:proofErr w:type="spellStart"/>
            <w:r w:rsidRPr="001326DA">
              <w:rPr>
                <w:rFonts w:ascii="Book Antiqua" w:eastAsia="Times New Roman" w:hAnsi="Book Antiqua" w:cs="Times New Roman"/>
                <w:color w:val="000000"/>
                <w:lang w:eastAsia="zh-CN"/>
              </w:rPr>
              <w:t>Neuraxial</w:t>
            </w:r>
            <w:proofErr w:type="spellEnd"/>
            <w:r w:rsidRPr="001326DA">
              <w:rPr>
                <w:rFonts w:ascii="Book Antiqua" w:eastAsia="Times New Roman" w:hAnsi="Book Antiqua" w:cs="Times New Roman"/>
                <w:color w:val="000000"/>
                <w:lang w:eastAsia="zh-CN"/>
              </w:rPr>
              <w:t>/</w:t>
            </w:r>
            <w:r w:rsidR="00430572" w:rsidRPr="001326DA">
              <w:rPr>
                <w:rFonts w:ascii="Book Antiqua" w:eastAsia="Times New Roman" w:hAnsi="Book Antiqua" w:cs="Times New Roman"/>
                <w:color w:val="000000"/>
                <w:lang w:eastAsia="zh-CN"/>
              </w:rPr>
              <w:t>r</w:t>
            </w:r>
            <w:r w:rsidRPr="001326DA">
              <w:rPr>
                <w:rFonts w:ascii="Book Antiqua" w:eastAsia="Times New Roman" w:hAnsi="Book Antiqua" w:cs="Times New Roman"/>
                <w:color w:val="000000"/>
                <w:lang w:eastAsia="zh-CN"/>
              </w:rPr>
              <w:t>egional</w:t>
            </w:r>
          </w:p>
        </w:tc>
        <w:tc>
          <w:tcPr>
            <w:tcW w:w="1185" w:type="dxa"/>
            <w:tcBorders>
              <w:top w:val="nil"/>
              <w:left w:val="nil"/>
              <w:bottom w:val="nil"/>
              <w:right w:val="nil"/>
            </w:tcBorders>
            <w:shd w:val="clear" w:color="auto" w:fill="auto"/>
            <w:noWrap/>
            <w:hideMark/>
          </w:tcPr>
          <w:p w14:paraId="3708D549"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446</w:t>
            </w:r>
          </w:p>
        </w:tc>
        <w:tc>
          <w:tcPr>
            <w:tcW w:w="992" w:type="dxa"/>
            <w:tcBorders>
              <w:top w:val="nil"/>
              <w:left w:val="nil"/>
              <w:bottom w:val="nil"/>
              <w:right w:val="nil"/>
            </w:tcBorders>
            <w:shd w:val="clear" w:color="auto" w:fill="auto"/>
            <w:noWrap/>
            <w:hideMark/>
          </w:tcPr>
          <w:p w14:paraId="68EB3386"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1255</w:t>
            </w:r>
          </w:p>
        </w:tc>
        <w:tc>
          <w:tcPr>
            <w:tcW w:w="750" w:type="dxa"/>
            <w:tcBorders>
              <w:top w:val="nil"/>
              <w:left w:val="nil"/>
              <w:bottom w:val="nil"/>
              <w:right w:val="nil"/>
            </w:tcBorders>
            <w:shd w:val="clear" w:color="auto" w:fill="auto"/>
            <w:noWrap/>
            <w:hideMark/>
          </w:tcPr>
          <w:p w14:paraId="22248C00"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35.5</w:t>
            </w:r>
          </w:p>
        </w:tc>
        <w:tc>
          <w:tcPr>
            <w:tcW w:w="948" w:type="dxa"/>
            <w:tcBorders>
              <w:top w:val="nil"/>
              <w:left w:val="nil"/>
              <w:bottom w:val="nil"/>
              <w:right w:val="nil"/>
            </w:tcBorders>
            <w:shd w:val="clear" w:color="auto" w:fill="auto"/>
            <w:noWrap/>
            <w:hideMark/>
          </w:tcPr>
          <w:p w14:paraId="6F1B9A30"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1876</w:t>
            </w:r>
          </w:p>
        </w:tc>
        <w:tc>
          <w:tcPr>
            <w:tcW w:w="1182" w:type="dxa"/>
            <w:tcBorders>
              <w:top w:val="nil"/>
              <w:left w:val="nil"/>
              <w:bottom w:val="nil"/>
              <w:right w:val="nil"/>
            </w:tcBorders>
            <w:shd w:val="clear" w:color="auto" w:fill="auto"/>
            <w:noWrap/>
            <w:hideMark/>
          </w:tcPr>
          <w:p w14:paraId="10F71A80"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7959</w:t>
            </w:r>
          </w:p>
        </w:tc>
        <w:tc>
          <w:tcPr>
            <w:tcW w:w="750" w:type="dxa"/>
            <w:tcBorders>
              <w:top w:val="nil"/>
              <w:left w:val="nil"/>
              <w:bottom w:val="nil"/>
              <w:right w:val="nil"/>
            </w:tcBorders>
            <w:shd w:val="clear" w:color="auto" w:fill="auto"/>
            <w:noWrap/>
            <w:hideMark/>
          </w:tcPr>
          <w:p w14:paraId="72C06C1A"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23.6</w:t>
            </w:r>
          </w:p>
        </w:tc>
        <w:tc>
          <w:tcPr>
            <w:tcW w:w="2040" w:type="dxa"/>
            <w:tcBorders>
              <w:top w:val="nil"/>
              <w:left w:val="nil"/>
              <w:bottom w:val="nil"/>
              <w:right w:val="nil"/>
            </w:tcBorders>
            <w:shd w:val="clear" w:color="auto" w:fill="auto"/>
            <w:noWrap/>
            <w:hideMark/>
          </w:tcPr>
          <w:p w14:paraId="5B0005D9"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1.8 (1.586-2.044)</w:t>
            </w:r>
          </w:p>
        </w:tc>
        <w:tc>
          <w:tcPr>
            <w:tcW w:w="1134" w:type="dxa"/>
            <w:tcBorders>
              <w:top w:val="nil"/>
              <w:left w:val="nil"/>
              <w:bottom w:val="nil"/>
              <w:right w:val="nil"/>
            </w:tcBorders>
            <w:shd w:val="clear" w:color="auto" w:fill="auto"/>
            <w:noWrap/>
            <w:hideMark/>
          </w:tcPr>
          <w:p w14:paraId="2AED3EF5"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p>
        </w:tc>
      </w:tr>
      <w:tr w:rsidR="001326DA" w:rsidRPr="001326DA" w14:paraId="27DA984B" w14:textId="77777777" w:rsidTr="00430572">
        <w:trPr>
          <w:trHeight w:val="288"/>
        </w:trPr>
        <w:tc>
          <w:tcPr>
            <w:tcW w:w="2359" w:type="dxa"/>
            <w:tcBorders>
              <w:top w:val="nil"/>
              <w:left w:val="nil"/>
              <w:bottom w:val="nil"/>
              <w:right w:val="nil"/>
            </w:tcBorders>
            <w:shd w:val="clear" w:color="auto" w:fill="auto"/>
            <w:noWrap/>
            <w:hideMark/>
          </w:tcPr>
          <w:p w14:paraId="73B1589D" w14:textId="77777777" w:rsidR="001326DA" w:rsidRPr="001326DA" w:rsidRDefault="001326DA" w:rsidP="00430572">
            <w:pPr>
              <w:spacing w:line="360" w:lineRule="auto"/>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Other</w:t>
            </w:r>
          </w:p>
        </w:tc>
        <w:tc>
          <w:tcPr>
            <w:tcW w:w="1185" w:type="dxa"/>
            <w:tcBorders>
              <w:top w:val="nil"/>
              <w:left w:val="nil"/>
              <w:bottom w:val="nil"/>
              <w:right w:val="nil"/>
            </w:tcBorders>
            <w:shd w:val="clear" w:color="auto" w:fill="auto"/>
            <w:noWrap/>
            <w:hideMark/>
          </w:tcPr>
          <w:p w14:paraId="75A17352"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13</w:t>
            </w:r>
          </w:p>
        </w:tc>
        <w:tc>
          <w:tcPr>
            <w:tcW w:w="992" w:type="dxa"/>
            <w:tcBorders>
              <w:top w:val="nil"/>
              <w:left w:val="nil"/>
              <w:bottom w:val="nil"/>
              <w:right w:val="nil"/>
            </w:tcBorders>
            <w:shd w:val="clear" w:color="auto" w:fill="auto"/>
            <w:noWrap/>
            <w:hideMark/>
          </w:tcPr>
          <w:p w14:paraId="4DD20D65"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1255</w:t>
            </w:r>
          </w:p>
        </w:tc>
        <w:tc>
          <w:tcPr>
            <w:tcW w:w="750" w:type="dxa"/>
            <w:tcBorders>
              <w:top w:val="nil"/>
              <w:left w:val="nil"/>
              <w:bottom w:val="nil"/>
              <w:right w:val="nil"/>
            </w:tcBorders>
            <w:shd w:val="clear" w:color="auto" w:fill="auto"/>
            <w:noWrap/>
            <w:hideMark/>
          </w:tcPr>
          <w:p w14:paraId="0E58B83B"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1.0</w:t>
            </w:r>
          </w:p>
        </w:tc>
        <w:tc>
          <w:tcPr>
            <w:tcW w:w="948" w:type="dxa"/>
            <w:tcBorders>
              <w:top w:val="nil"/>
              <w:left w:val="nil"/>
              <w:bottom w:val="nil"/>
              <w:right w:val="nil"/>
            </w:tcBorders>
            <w:shd w:val="clear" w:color="auto" w:fill="auto"/>
            <w:noWrap/>
            <w:hideMark/>
          </w:tcPr>
          <w:p w14:paraId="7CA06F6B"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55</w:t>
            </w:r>
          </w:p>
        </w:tc>
        <w:tc>
          <w:tcPr>
            <w:tcW w:w="1182" w:type="dxa"/>
            <w:tcBorders>
              <w:top w:val="nil"/>
              <w:left w:val="nil"/>
              <w:bottom w:val="nil"/>
              <w:right w:val="nil"/>
            </w:tcBorders>
            <w:shd w:val="clear" w:color="auto" w:fill="auto"/>
            <w:noWrap/>
            <w:hideMark/>
          </w:tcPr>
          <w:p w14:paraId="31DF60B8"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7959</w:t>
            </w:r>
          </w:p>
        </w:tc>
        <w:tc>
          <w:tcPr>
            <w:tcW w:w="750" w:type="dxa"/>
            <w:tcBorders>
              <w:top w:val="nil"/>
              <w:left w:val="nil"/>
              <w:bottom w:val="nil"/>
              <w:right w:val="nil"/>
            </w:tcBorders>
            <w:shd w:val="clear" w:color="auto" w:fill="auto"/>
            <w:noWrap/>
            <w:hideMark/>
          </w:tcPr>
          <w:p w14:paraId="618E4EA1"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0.7</w:t>
            </w:r>
          </w:p>
        </w:tc>
        <w:tc>
          <w:tcPr>
            <w:tcW w:w="2040" w:type="dxa"/>
            <w:tcBorders>
              <w:top w:val="nil"/>
              <w:left w:val="nil"/>
              <w:bottom w:val="nil"/>
              <w:right w:val="nil"/>
            </w:tcBorders>
            <w:shd w:val="clear" w:color="auto" w:fill="auto"/>
            <w:noWrap/>
            <w:hideMark/>
          </w:tcPr>
          <w:p w14:paraId="2B6B63E3"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1.79 (0.974-3.291)</w:t>
            </w:r>
          </w:p>
        </w:tc>
        <w:tc>
          <w:tcPr>
            <w:tcW w:w="1134" w:type="dxa"/>
            <w:tcBorders>
              <w:top w:val="nil"/>
              <w:left w:val="nil"/>
              <w:bottom w:val="nil"/>
              <w:right w:val="nil"/>
            </w:tcBorders>
            <w:shd w:val="clear" w:color="auto" w:fill="auto"/>
            <w:noWrap/>
            <w:hideMark/>
          </w:tcPr>
          <w:p w14:paraId="51E3B66F"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p>
        </w:tc>
      </w:tr>
      <w:tr w:rsidR="001326DA" w:rsidRPr="001326DA" w14:paraId="708EB2E8" w14:textId="77777777" w:rsidTr="00430572">
        <w:trPr>
          <w:trHeight w:val="288"/>
        </w:trPr>
        <w:tc>
          <w:tcPr>
            <w:tcW w:w="2359" w:type="dxa"/>
            <w:tcBorders>
              <w:top w:val="nil"/>
              <w:left w:val="nil"/>
              <w:bottom w:val="nil"/>
              <w:right w:val="nil"/>
            </w:tcBorders>
            <w:shd w:val="clear" w:color="auto" w:fill="auto"/>
            <w:noWrap/>
            <w:hideMark/>
          </w:tcPr>
          <w:p w14:paraId="0811322B" w14:textId="77777777" w:rsidR="001326DA" w:rsidRPr="001326DA" w:rsidRDefault="001326DA" w:rsidP="00430572">
            <w:pPr>
              <w:spacing w:line="360" w:lineRule="auto"/>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Anesthesia</w:t>
            </w:r>
            <w:r w:rsidR="00430572" w:rsidRPr="001326DA">
              <w:rPr>
                <w:rFonts w:ascii="Book Antiqua" w:eastAsia="Times New Roman" w:hAnsi="Book Antiqua" w:cs="Times New Roman"/>
                <w:color w:val="000000"/>
                <w:lang w:eastAsia="zh-CN"/>
              </w:rPr>
              <w:t xml:space="preserve"> time</w:t>
            </w:r>
          </w:p>
        </w:tc>
        <w:tc>
          <w:tcPr>
            <w:tcW w:w="1185" w:type="dxa"/>
            <w:tcBorders>
              <w:top w:val="nil"/>
              <w:left w:val="nil"/>
              <w:bottom w:val="nil"/>
              <w:right w:val="nil"/>
            </w:tcBorders>
            <w:shd w:val="clear" w:color="auto" w:fill="auto"/>
            <w:noWrap/>
            <w:hideMark/>
          </w:tcPr>
          <w:p w14:paraId="16BE4296"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117.9</w:t>
            </w:r>
          </w:p>
        </w:tc>
        <w:tc>
          <w:tcPr>
            <w:tcW w:w="992" w:type="dxa"/>
            <w:tcBorders>
              <w:top w:val="nil"/>
              <w:left w:val="nil"/>
              <w:bottom w:val="nil"/>
              <w:right w:val="nil"/>
            </w:tcBorders>
            <w:shd w:val="clear" w:color="auto" w:fill="auto"/>
            <w:noWrap/>
            <w:hideMark/>
          </w:tcPr>
          <w:p w14:paraId="1C0D395B"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p>
        </w:tc>
        <w:tc>
          <w:tcPr>
            <w:tcW w:w="750" w:type="dxa"/>
            <w:tcBorders>
              <w:top w:val="nil"/>
              <w:left w:val="nil"/>
              <w:bottom w:val="nil"/>
              <w:right w:val="nil"/>
            </w:tcBorders>
            <w:shd w:val="clear" w:color="auto" w:fill="auto"/>
            <w:noWrap/>
            <w:hideMark/>
          </w:tcPr>
          <w:p w14:paraId="425E08C3"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48.1</w:t>
            </w:r>
          </w:p>
        </w:tc>
        <w:tc>
          <w:tcPr>
            <w:tcW w:w="948" w:type="dxa"/>
            <w:tcBorders>
              <w:top w:val="nil"/>
              <w:left w:val="nil"/>
              <w:bottom w:val="nil"/>
              <w:right w:val="nil"/>
            </w:tcBorders>
            <w:shd w:val="clear" w:color="auto" w:fill="auto"/>
            <w:noWrap/>
            <w:hideMark/>
          </w:tcPr>
          <w:p w14:paraId="2C82FD3A"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128.8</w:t>
            </w:r>
          </w:p>
        </w:tc>
        <w:tc>
          <w:tcPr>
            <w:tcW w:w="1182" w:type="dxa"/>
            <w:tcBorders>
              <w:top w:val="nil"/>
              <w:left w:val="nil"/>
              <w:bottom w:val="nil"/>
              <w:right w:val="nil"/>
            </w:tcBorders>
            <w:shd w:val="clear" w:color="auto" w:fill="auto"/>
            <w:noWrap/>
            <w:hideMark/>
          </w:tcPr>
          <w:p w14:paraId="3839727D"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p>
        </w:tc>
        <w:tc>
          <w:tcPr>
            <w:tcW w:w="750" w:type="dxa"/>
            <w:tcBorders>
              <w:top w:val="nil"/>
              <w:left w:val="nil"/>
              <w:bottom w:val="nil"/>
              <w:right w:val="nil"/>
            </w:tcBorders>
            <w:shd w:val="clear" w:color="auto" w:fill="auto"/>
            <w:noWrap/>
            <w:hideMark/>
          </w:tcPr>
          <w:p w14:paraId="0EE9E5C7"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58.5</w:t>
            </w:r>
          </w:p>
        </w:tc>
        <w:tc>
          <w:tcPr>
            <w:tcW w:w="2040" w:type="dxa"/>
            <w:tcBorders>
              <w:top w:val="nil"/>
              <w:left w:val="nil"/>
              <w:bottom w:val="nil"/>
              <w:right w:val="nil"/>
            </w:tcBorders>
            <w:shd w:val="clear" w:color="auto" w:fill="auto"/>
            <w:noWrap/>
            <w:hideMark/>
          </w:tcPr>
          <w:p w14:paraId="3E20B7E5"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0.996 (0.995-0.997)</w:t>
            </w:r>
          </w:p>
        </w:tc>
        <w:tc>
          <w:tcPr>
            <w:tcW w:w="1134" w:type="dxa"/>
            <w:tcBorders>
              <w:top w:val="nil"/>
              <w:left w:val="nil"/>
              <w:bottom w:val="nil"/>
              <w:right w:val="nil"/>
            </w:tcBorders>
            <w:shd w:val="clear" w:color="auto" w:fill="auto"/>
            <w:noWrap/>
            <w:hideMark/>
          </w:tcPr>
          <w:p w14:paraId="083B934D"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&lt; 0.001</w:t>
            </w:r>
          </w:p>
        </w:tc>
      </w:tr>
      <w:tr w:rsidR="001326DA" w:rsidRPr="001326DA" w14:paraId="4925BAC5" w14:textId="77777777" w:rsidTr="00430572">
        <w:trPr>
          <w:trHeight w:val="288"/>
        </w:trPr>
        <w:tc>
          <w:tcPr>
            <w:tcW w:w="2359" w:type="dxa"/>
            <w:tcBorders>
              <w:top w:val="nil"/>
              <w:left w:val="nil"/>
              <w:right w:val="nil"/>
            </w:tcBorders>
            <w:shd w:val="clear" w:color="auto" w:fill="auto"/>
            <w:noWrap/>
            <w:hideMark/>
          </w:tcPr>
          <w:p w14:paraId="2D72687E" w14:textId="77777777" w:rsidR="001326DA" w:rsidRPr="001326DA" w:rsidRDefault="001326DA" w:rsidP="00430572">
            <w:pPr>
              <w:spacing w:line="360" w:lineRule="auto"/>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 xml:space="preserve">Operation </w:t>
            </w:r>
            <w:r w:rsidR="00430572" w:rsidRPr="001326DA">
              <w:rPr>
                <w:rFonts w:ascii="Book Antiqua" w:eastAsia="Times New Roman" w:hAnsi="Book Antiqua" w:cs="Times New Roman"/>
                <w:color w:val="000000"/>
                <w:lang w:eastAsia="zh-CN"/>
              </w:rPr>
              <w:t>t</w:t>
            </w:r>
            <w:r w:rsidRPr="001326DA">
              <w:rPr>
                <w:rFonts w:ascii="Book Antiqua" w:eastAsia="Times New Roman" w:hAnsi="Book Antiqua" w:cs="Times New Roman"/>
                <w:color w:val="000000"/>
                <w:lang w:eastAsia="zh-CN"/>
              </w:rPr>
              <w:t>ime</w:t>
            </w:r>
          </w:p>
        </w:tc>
        <w:tc>
          <w:tcPr>
            <w:tcW w:w="1185" w:type="dxa"/>
            <w:tcBorders>
              <w:top w:val="nil"/>
              <w:left w:val="nil"/>
              <w:right w:val="nil"/>
            </w:tcBorders>
            <w:shd w:val="clear" w:color="auto" w:fill="auto"/>
            <w:noWrap/>
            <w:hideMark/>
          </w:tcPr>
          <w:p w14:paraId="191F6724"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61.4</w:t>
            </w:r>
          </w:p>
        </w:tc>
        <w:tc>
          <w:tcPr>
            <w:tcW w:w="992" w:type="dxa"/>
            <w:tcBorders>
              <w:top w:val="nil"/>
              <w:left w:val="nil"/>
              <w:right w:val="nil"/>
            </w:tcBorders>
            <w:shd w:val="clear" w:color="auto" w:fill="auto"/>
            <w:noWrap/>
            <w:hideMark/>
          </w:tcPr>
          <w:p w14:paraId="64C4A0D9"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p>
        </w:tc>
        <w:tc>
          <w:tcPr>
            <w:tcW w:w="750" w:type="dxa"/>
            <w:tcBorders>
              <w:top w:val="nil"/>
              <w:left w:val="nil"/>
              <w:right w:val="nil"/>
            </w:tcBorders>
            <w:shd w:val="clear" w:color="auto" w:fill="auto"/>
            <w:noWrap/>
            <w:hideMark/>
          </w:tcPr>
          <w:p w14:paraId="665B9DB0"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43.8</w:t>
            </w:r>
          </w:p>
        </w:tc>
        <w:tc>
          <w:tcPr>
            <w:tcW w:w="948" w:type="dxa"/>
            <w:tcBorders>
              <w:top w:val="nil"/>
              <w:left w:val="nil"/>
              <w:right w:val="nil"/>
            </w:tcBorders>
            <w:shd w:val="clear" w:color="auto" w:fill="auto"/>
            <w:noWrap/>
            <w:hideMark/>
          </w:tcPr>
          <w:p w14:paraId="63BD689D"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70.2</w:t>
            </w:r>
          </w:p>
        </w:tc>
        <w:tc>
          <w:tcPr>
            <w:tcW w:w="1182" w:type="dxa"/>
            <w:tcBorders>
              <w:top w:val="nil"/>
              <w:left w:val="nil"/>
              <w:right w:val="nil"/>
            </w:tcBorders>
            <w:shd w:val="clear" w:color="auto" w:fill="auto"/>
            <w:noWrap/>
            <w:hideMark/>
          </w:tcPr>
          <w:p w14:paraId="74633CA7"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p>
        </w:tc>
        <w:tc>
          <w:tcPr>
            <w:tcW w:w="750" w:type="dxa"/>
            <w:tcBorders>
              <w:top w:val="nil"/>
              <w:left w:val="nil"/>
              <w:right w:val="nil"/>
            </w:tcBorders>
            <w:shd w:val="clear" w:color="auto" w:fill="auto"/>
            <w:noWrap/>
            <w:hideMark/>
          </w:tcPr>
          <w:p w14:paraId="1E1AC8E8"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43.5</w:t>
            </w:r>
          </w:p>
        </w:tc>
        <w:tc>
          <w:tcPr>
            <w:tcW w:w="2040" w:type="dxa"/>
            <w:tcBorders>
              <w:top w:val="nil"/>
              <w:left w:val="nil"/>
              <w:right w:val="nil"/>
            </w:tcBorders>
            <w:shd w:val="clear" w:color="auto" w:fill="auto"/>
            <w:noWrap/>
            <w:hideMark/>
          </w:tcPr>
          <w:p w14:paraId="049A380A"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0.994 (0.992-0.996)</w:t>
            </w:r>
          </w:p>
        </w:tc>
        <w:tc>
          <w:tcPr>
            <w:tcW w:w="1134" w:type="dxa"/>
            <w:tcBorders>
              <w:top w:val="nil"/>
              <w:left w:val="nil"/>
              <w:right w:val="nil"/>
            </w:tcBorders>
            <w:shd w:val="clear" w:color="auto" w:fill="auto"/>
            <w:noWrap/>
            <w:hideMark/>
          </w:tcPr>
          <w:p w14:paraId="2B647D40"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&lt; 0.001</w:t>
            </w:r>
          </w:p>
        </w:tc>
      </w:tr>
      <w:tr w:rsidR="001326DA" w:rsidRPr="001326DA" w14:paraId="37FE3EB4" w14:textId="77777777" w:rsidTr="00430572">
        <w:trPr>
          <w:trHeight w:val="288"/>
        </w:trPr>
        <w:tc>
          <w:tcPr>
            <w:tcW w:w="2359" w:type="dxa"/>
            <w:tcBorders>
              <w:top w:val="nil"/>
              <w:left w:val="nil"/>
              <w:bottom w:val="single" w:sz="4" w:space="0" w:color="auto"/>
              <w:right w:val="nil"/>
            </w:tcBorders>
            <w:shd w:val="clear" w:color="auto" w:fill="auto"/>
            <w:noWrap/>
            <w:hideMark/>
          </w:tcPr>
          <w:p w14:paraId="477AEC16" w14:textId="77777777" w:rsidR="001326DA" w:rsidRPr="001326DA" w:rsidRDefault="001326DA" w:rsidP="00430572">
            <w:pPr>
              <w:spacing w:line="360" w:lineRule="auto"/>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 xml:space="preserve">Modified </w:t>
            </w:r>
            <w:proofErr w:type="spellStart"/>
            <w:r w:rsidR="00F572C8">
              <w:rPr>
                <w:rFonts w:ascii="Book Antiqua" w:eastAsia="Times New Roman" w:hAnsi="Book Antiqua" w:cs="Times New Roman"/>
                <w:color w:val="000000"/>
                <w:lang w:eastAsia="zh-CN"/>
              </w:rPr>
              <w:t>C</w:t>
            </w:r>
            <w:r w:rsidRPr="001326DA">
              <w:rPr>
                <w:rFonts w:ascii="Book Antiqua" w:eastAsia="Times New Roman" w:hAnsi="Book Antiqua" w:cs="Times New Roman"/>
                <w:color w:val="000000"/>
                <w:lang w:eastAsia="zh-CN"/>
              </w:rPr>
              <w:t>harlson</w:t>
            </w:r>
            <w:proofErr w:type="spellEnd"/>
            <w:r w:rsidRPr="001326DA">
              <w:rPr>
                <w:rFonts w:ascii="Book Antiqua" w:eastAsia="Times New Roman" w:hAnsi="Book Antiqua" w:cs="Times New Roman"/>
                <w:color w:val="000000"/>
                <w:lang w:eastAsia="zh-CN"/>
              </w:rPr>
              <w:t xml:space="preserve"> Score</w:t>
            </w:r>
          </w:p>
        </w:tc>
        <w:tc>
          <w:tcPr>
            <w:tcW w:w="1185" w:type="dxa"/>
            <w:tcBorders>
              <w:top w:val="nil"/>
              <w:left w:val="nil"/>
              <w:bottom w:val="single" w:sz="4" w:space="0" w:color="auto"/>
              <w:right w:val="nil"/>
            </w:tcBorders>
            <w:shd w:val="clear" w:color="auto" w:fill="auto"/>
            <w:noWrap/>
            <w:hideMark/>
          </w:tcPr>
          <w:p w14:paraId="51BFDDA2"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2.44</w:t>
            </w:r>
          </w:p>
        </w:tc>
        <w:tc>
          <w:tcPr>
            <w:tcW w:w="992" w:type="dxa"/>
            <w:tcBorders>
              <w:top w:val="nil"/>
              <w:left w:val="nil"/>
              <w:bottom w:val="single" w:sz="4" w:space="0" w:color="auto"/>
              <w:right w:val="nil"/>
            </w:tcBorders>
            <w:shd w:val="clear" w:color="auto" w:fill="auto"/>
            <w:noWrap/>
            <w:hideMark/>
          </w:tcPr>
          <w:p w14:paraId="48A6814B"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p>
        </w:tc>
        <w:tc>
          <w:tcPr>
            <w:tcW w:w="750" w:type="dxa"/>
            <w:tcBorders>
              <w:top w:val="nil"/>
              <w:left w:val="nil"/>
              <w:bottom w:val="single" w:sz="4" w:space="0" w:color="auto"/>
              <w:right w:val="nil"/>
            </w:tcBorders>
            <w:shd w:val="clear" w:color="auto" w:fill="auto"/>
            <w:noWrap/>
            <w:hideMark/>
          </w:tcPr>
          <w:p w14:paraId="36BAF43C"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1.4</w:t>
            </w:r>
          </w:p>
        </w:tc>
        <w:tc>
          <w:tcPr>
            <w:tcW w:w="948" w:type="dxa"/>
            <w:tcBorders>
              <w:top w:val="nil"/>
              <w:left w:val="nil"/>
              <w:bottom w:val="single" w:sz="4" w:space="0" w:color="auto"/>
              <w:right w:val="nil"/>
            </w:tcBorders>
            <w:shd w:val="clear" w:color="auto" w:fill="auto"/>
            <w:noWrap/>
            <w:hideMark/>
          </w:tcPr>
          <w:p w14:paraId="3D388168"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2.03</w:t>
            </w:r>
          </w:p>
        </w:tc>
        <w:tc>
          <w:tcPr>
            <w:tcW w:w="1182" w:type="dxa"/>
            <w:tcBorders>
              <w:top w:val="nil"/>
              <w:left w:val="nil"/>
              <w:bottom w:val="single" w:sz="4" w:space="0" w:color="auto"/>
              <w:right w:val="nil"/>
            </w:tcBorders>
            <w:shd w:val="clear" w:color="auto" w:fill="auto"/>
            <w:noWrap/>
            <w:hideMark/>
          </w:tcPr>
          <w:p w14:paraId="3BC943EE"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p>
        </w:tc>
        <w:tc>
          <w:tcPr>
            <w:tcW w:w="750" w:type="dxa"/>
            <w:tcBorders>
              <w:top w:val="nil"/>
              <w:left w:val="nil"/>
              <w:bottom w:val="single" w:sz="4" w:space="0" w:color="auto"/>
              <w:right w:val="nil"/>
            </w:tcBorders>
            <w:shd w:val="clear" w:color="auto" w:fill="auto"/>
            <w:noWrap/>
            <w:hideMark/>
          </w:tcPr>
          <w:p w14:paraId="333FD070"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1.5</w:t>
            </w:r>
          </w:p>
        </w:tc>
        <w:tc>
          <w:tcPr>
            <w:tcW w:w="2040" w:type="dxa"/>
            <w:tcBorders>
              <w:top w:val="nil"/>
              <w:left w:val="nil"/>
              <w:bottom w:val="single" w:sz="4" w:space="0" w:color="auto"/>
              <w:right w:val="nil"/>
            </w:tcBorders>
            <w:shd w:val="clear" w:color="auto" w:fill="auto"/>
            <w:noWrap/>
            <w:hideMark/>
          </w:tcPr>
          <w:p w14:paraId="322C1D66"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1.207 (1.16-1.255)</w:t>
            </w:r>
          </w:p>
        </w:tc>
        <w:tc>
          <w:tcPr>
            <w:tcW w:w="1134" w:type="dxa"/>
            <w:tcBorders>
              <w:top w:val="nil"/>
              <w:left w:val="nil"/>
              <w:bottom w:val="single" w:sz="4" w:space="0" w:color="auto"/>
              <w:right w:val="nil"/>
            </w:tcBorders>
            <w:shd w:val="clear" w:color="auto" w:fill="auto"/>
            <w:noWrap/>
            <w:hideMark/>
          </w:tcPr>
          <w:p w14:paraId="61709B2F" w14:textId="77777777" w:rsidR="001326DA" w:rsidRPr="001326DA" w:rsidRDefault="001326DA" w:rsidP="00430572">
            <w:pPr>
              <w:spacing w:line="360" w:lineRule="auto"/>
              <w:jc w:val="center"/>
              <w:rPr>
                <w:rFonts w:ascii="Book Antiqua" w:eastAsia="Times New Roman" w:hAnsi="Book Antiqua" w:cs="Times New Roman"/>
                <w:color w:val="000000"/>
                <w:lang w:eastAsia="zh-CN"/>
              </w:rPr>
            </w:pPr>
            <w:r w:rsidRPr="001326DA">
              <w:rPr>
                <w:rFonts w:ascii="Book Antiqua" w:eastAsia="Times New Roman" w:hAnsi="Book Antiqua" w:cs="Times New Roman"/>
                <w:color w:val="000000"/>
                <w:lang w:eastAsia="zh-CN"/>
              </w:rPr>
              <w:t>&lt; 0.001</w:t>
            </w:r>
          </w:p>
        </w:tc>
      </w:tr>
    </w:tbl>
    <w:p w14:paraId="2FB8570F" w14:textId="77777777" w:rsidR="004F5898" w:rsidRDefault="004F5898" w:rsidP="001326DA">
      <w:pPr>
        <w:shd w:val="clear" w:color="auto" w:fill="FFFFFF"/>
        <w:snapToGrid w:val="0"/>
        <w:spacing w:line="360" w:lineRule="auto"/>
        <w:jc w:val="both"/>
        <w:rPr>
          <w:rFonts w:ascii="Book Antiqua" w:hAnsi="Book Antiqua" w:cs="Helvetica"/>
          <w:b/>
        </w:rPr>
      </w:pPr>
    </w:p>
    <w:p w14:paraId="4DF0A1DB" w14:textId="77777777" w:rsidR="004F5898" w:rsidRDefault="004F5898">
      <w:pPr>
        <w:rPr>
          <w:rFonts w:ascii="Book Antiqua" w:hAnsi="Book Antiqua" w:cs="Helvetica"/>
          <w:b/>
        </w:rPr>
      </w:pPr>
      <w:r>
        <w:rPr>
          <w:rFonts w:ascii="Book Antiqua" w:hAnsi="Book Antiqua" w:cs="Helvetica"/>
          <w:b/>
        </w:rPr>
        <w:br w:type="page"/>
      </w:r>
    </w:p>
    <w:p w14:paraId="237E2C5F" w14:textId="77777777" w:rsidR="001326DA" w:rsidRDefault="00430572" w:rsidP="001326DA">
      <w:pPr>
        <w:shd w:val="clear" w:color="auto" w:fill="FFFFFF"/>
        <w:snapToGrid w:val="0"/>
        <w:spacing w:line="360" w:lineRule="auto"/>
        <w:jc w:val="both"/>
        <w:rPr>
          <w:rFonts w:ascii="Book Antiqua" w:hAnsi="Book Antiqua" w:cs="Helvetica"/>
          <w:b/>
          <w:lang w:eastAsia="zh-CN"/>
        </w:rPr>
      </w:pPr>
      <w:r>
        <w:rPr>
          <w:rFonts w:ascii="Book Antiqua" w:hAnsi="Book Antiqua" w:cs="Helvetica"/>
          <w:b/>
        </w:rPr>
        <w:lastRenderedPageBreak/>
        <w:t>Table 2</w:t>
      </w:r>
      <w:r w:rsidR="001326DA" w:rsidRPr="001326DA">
        <w:rPr>
          <w:rFonts w:ascii="Book Antiqua" w:hAnsi="Book Antiqua" w:cs="Helvetica"/>
          <w:b/>
        </w:rPr>
        <w:t xml:space="preserve"> Propensity score matched cohorts, matched by propensity for </w:t>
      </w:r>
      <w:r w:rsidR="00C06921" w:rsidRPr="00936AC6">
        <w:rPr>
          <w:rFonts w:ascii="Book Antiqua" w:hAnsi="Book Antiqua" w:cs="Times New Roman"/>
          <w:b/>
          <w:color w:val="1A1A1A"/>
        </w:rPr>
        <w:t>Do Not Resuscitate</w:t>
      </w:r>
      <w:r w:rsidR="00C06921" w:rsidRPr="001326DA">
        <w:rPr>
          <w:rFonts w:ascii="Book Antiqua" w:hAnsi="Book Antiqua" w:cs="Helvetica"/>
          <w:b/>
        </w:rPr>
        <w:t xml:space="preserve"> </w:t>
      </w:r>
      <w:r w:rsidR="001326DA" w:rsidRPr="001326DA">
        <w:rPr>
          <w:rFonts w:ascii="Book Antiqua" w:hAnsi="Book Antiqua" w:cs="Helvetica"/>
          <w:b/>
        </w:rPr>
        <w:t>status</w:t>
      </w:r>
      <w:r w:rsidR="00C06921" w:rsidRPr="00C06921">
        <w:rPr>
          <w:rFonts w:ascii="Book Antiqua" w:hAnsi="Book Antiqua" w:cs="Times New Roman"/>
          <w:b/>
          <w:color w:val="1A1A1A"/>
        </w:rPr>
        <w:t xml:space="preserve"> </w:t>
      </w:r>
    </w:p>
    <w:tbl>
      <w:tblPr>
        <w:tblStyle w:val="TableGrid"/>
        <w:tblW w:w="10441"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9"/>
        <w:gridCol w:w="2922"/>
        <w:gridCol w:w="932"/>
        <w:gridCol w:w="977"/>
        <w:gridCol w:w="876"/>
        <w:gridCol w:w="790"/>
        <w:gridCol w:w="977"/>
        <w:gridCol w:w="876"/>
        <w:gridCol w:w="902"/>
      </w:tblGrid>
      <w:tr w:rsidR="00936AC6" w:rsidRPr="00430572" w14:paraId="44FFC4B3" w14:textId="77777777" w:rsidTr="00936AC6">
        <w:trPr>
          <w:trHeight w:val="288"/>
        </w:trPr>
        <w:tc>
          <w:tcPr>
            <w:tcW w:w="1189" w:type="dxa"/>
            <w:vMerge w:val="restart"/>
            <w:tcBorders>
              <w:top w:val="single" w:sz="4" w:space="0" w:color="auto"/>
            </w:tcBorders>
            <w:noWrap/>
            <w:hideMark/>
          </w:tcPr>
          <w:p w14:paraId="3A78FBDF" w14:textId="77777777" w:rsidR="00936AC6" w:rsidRPr="00430572" w:rsidRDefault="00936AC6" w:rsidP="00430572">
            <w:pPr>
              <w:shd w:val="clear" w:color="auto" w:fill="FFFFFF"/>
              <w:snapToGrid w:val="0"/>
              <w:spacing w:line="360" w:lineRule="auto"/>
              <w:jc w:val="both"/>
              <w:rPr>
                <w:rFonts w:ascii="Book Antiqua" w:hAnsi="Book Antiqua" w:cs="Helvetica"/>
                <w:b/>
                <w:lang w:eastAsia="zh-CN"/>
              </w:rPr>
            </w:pPr>
            <w:r w:rsidRPr="00430572">
              <w:rPr>
                <w:rFonts w:ascii="Book Antiqua" w:hAnsi="Book Antiqua" w:cs="Helvetica"/>
                <w:b/>
                <w:lang w:eastAsia="zh-CN"/>
              </w:rPr>
              <w:t>Surgical specialty</w:t>
            </w:r>
          </w:p>
        </w:tc>
        <w:tc>
          <w:tcPr>
            <w:tcW w:w="2922" w:type="dxa"/>
            <w:vMerge w:val="restart"/>
            <w:tcBorders>
              <w:top w:val="single" w:sz="4" w:space="0" w:color="auto"/>
            </w:tcBorders>
            <w:noWrap/>
            <w:hideMark/>
          </w:tcPr>
          <w:p w14:paraId="4E637F2A" w14:textId="77777777" w:rsidR="00936AC6" w:rsidRPr="00430572" w:rsidRDefault="007457AD" w:rsidP="00936AC6">
            <w:pPr>
              <w:shd w:val="clear" w:color="auto" w:fill="FFFFFF"/>
              <w:snapToGrid w:val="0"/>
              <w:spacing w:line="360" w:lineRule="auto"/>
              <w:jc w:val="center"/>
              <w:rPr>
                <w:rFonts w:ascii="Book Antiqua" w:hAnsi="Book Antiqua" w:cs="Helvetica"/>
                <w:b/>
                <w:lang w:eastAsia="zh-CN"/>
              </w:rPr>
            </w:pPr>
            <w:r>
              <w:rPr>
                <w:rFonts w:ascii="Book Antiqua" w:eastAsia="Times New Roman" w:hAnsi="Book Antiqua" w:cs="Times New Roman"/>
                <w:b/>
                <w:noProof/>
                <w:color w:val="000000"/>
                <w:lang w:eastAsia="zh-CN"/>
              </w:rPr>
              <mc:AlternateContent>
                <mc:Choice Requires="wps">
                  <w:drawing>
                    <wp:anchor distT="0" distB="0" distL="114300" distR="114300" simplePos="0" relativeHeight="251683840" behindDoc="0" locked="0" layoutInCell="1" allowOverlap="1" wp14:anchorId="6137E540" wp14:editId="3862C1B6">
                      <wp:simplePos x="0" y="0"/>
                      <wp:positionH relativeFrom="column">
                        <wp:posOffset>1847215</wp:posOffset>
                      </wp:positionH>
                      <wp:positionV relativeFrom="paragraph">
                        <wp:posOffset>262890</wp:posOffset>
                      </wp:positionV>
                      <wp:extent cx="1532255" cy="0"/>
                      <wp:effectExtent l="10795" t="7620" r="19050" b="30480"/>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225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CEA8E3" id="AutoShape 20" o:spid="_x0000_s1026" type="#_x0000_t32" style="position:absolute;margin-left:145.45pt;margin-top:20.7pt;width:120.6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"/>
                  </w:pict>
                </mc:Fallback>
              </mc:AlternateContent>
            </w:r>
            <w:r w:rsidR="00936AC6" w:rsidRPr="00430572">
              <w:rPr>
                <w:rFonts w:ascii="Book Antiqua" w:hAnsi="Book Antiqua" w:cs="Helvetica"/>
                <w:b/>
                <w:lang w:eastAsia="zh-CN"/>
              </w:rPr>
              <w:t>Translation</w:t>
            </w:r>
          </w:p>
        </w:tc>
        <w:tc>
          <w:tcPr>
            <w:tcW w:w="1909" w:type="dxa"/>
            <w:gridSpan w:val="2"/>
            <w:tcBorders>
              <w:top w:val="single" w:sz="4" w:space="0" w:color="auto"/>
            </w:tcBorders>
            <w:noWrap/>
            <w:hideMark/>
          </w:tcPr>
          <w:p w14:paraId="5A125056" w14:textId="77777777" w:rsidR="00936AC6" w:rsidRPr="00430572" w:rsidRDefault="00936AC6" w:rsidP="00936AC6">
            <w:pPr>
              <w:shd w:val="clear" w:color="auto" w:fill="FFFFFF"/>
              <w:snapToGrid w:val="0"/>
              <w:spacing w:line="360" w:lineRule="auto"/>
              <w:jc w:val="center"/>
              <w:rPr>
                <w:rFonts w:ascii="Book Antiqua" w:hAnsi="Book Antiqua" w:cs="Helvetica"/>
                <w:b/>
                <w:lang w:eastAsia="zh-CN"/>
              </w:rPr>
            </w:pPr>
            <w:r w:rsidRPr="00430572">
              <w:rPr>
                <w:rFonts w:ascii="Book Antiqua" w:hAnsi="Book Antiqua" w:cs="Helvetica"/>
                <w:b/>
                <w:lang w:eastAsia="zh-CN"/>
              </w:rPr>
              <w:t>DNR</w:t>
            </w:r>
          </w:p>
        </w:tc>
        <w:tc>
          <w:tcPr>
            <w:tcW w:w="876" w:type="dxa"/>
            <w:tcBorders>
              <w:top w:val="single" w:sz="4" w:space="0" w:color="auto"/>
            </w:tcBorders>
            <w:noWrap/>
            <w:hideMark/>
          </w:tcPr>
          <w:p w14:paraId="0BA0EA88" w14:textId="77777777" w:rsidR="00936AC6" w:rsidRPr="00430572" w:rsidRDefault="00936AC6" w:rsidP="00936AC6">
            <w:pPr>
              <w:shd w:val="clear" w:color="auto" w:fill="FFFFFF"/>
              <w:snapToGrid w:val="0"/>
              <w:spacing w:line="360" w:lineRule="auto"/>
              <w:jc w:val="center"/>
              <w:rPr>
                <w:rFonts w:ascii="Book Antiqua" w:hAnsi="Book Antiqua" w:cs="Helvetica"/>
                <w:b/>
                <w:lang w:eastAsia="zh-CN"/>
              </w:rPr>
            </w:pPr>
          </w:p>
        </w:tc>
        <w:tc>
          <w:tcPr>
            <w:tcW w:w="2643" w:type="dxa"/>
            <w:gridSpan w:val="3"/>
            <w:tcBorders>
              <w:top w:val="single" w:sz="4" w:space="0" w:color="auto"/>
            </w:tcBorders>
            <w:noWrap/>
            <w:hideMark/>
          </w:tcPr>
          <w:p w14:paraId="37521D7A" w14:textId="39558C53" w:rsidR="00936AC6" w:rsidRPr="00430572" w:rsidRDefault="007457AD" w:rsidP="00C512FC">
            <w:pPr>
              <w:shd w:val="clear" w:color="auto" w:fill="FFFFFF"/>
              <w:snapToGrid w:val="0"/>
              <w:spacing w:line="360" w:lineRule="auto"/>
              <w:jc w:val="center"/>
              <w:rPr>
                <w:rFonts w:ascii="Book Antiqua" w:hAnsi="Book Antiqua" w:cs="Helvetica"/>
                <w:b/>
                <w:lang w:eastAsia="zh-CN"/>
              </w:rPr>
            </w:pPr>
            <w:r>
              <w:rPr>
                <w:rFonts w:ascii="Book Antiqua" w:eastAsia="Times New Roman" w:hAnsi="Book Antiqua" w:cs="Times New Roman"/>
                <w:b/>
                <w:noProof/>
                <w:color w:val="000000"/>
                <w:lang w:eastAsia="zh-CN"/>
              </w:rPr>
              <mc:AlternateContent>
                <mc:Choice Requires="wps">
                  <w:drawing>
                    <wp:anchor distT="0" distB="0" distL="114300" distR="114300" simplePos="0" relativeHeight="251684864" behindDoc="0" locked="0" layoutInCell="1" allowOverlap="1" wp14:anchorId="3FAE2774" wp14:editId="172C59CC">
                      <wp:simplePos x="0" y="0"/>
                      <wp:positionH relativeFrom="column">
                        <wp:posOffset>-14605</wp:posOffset>
                      </wp:positionH>
                      <wp:positionV relativeFrom="paragraph">
                        <wp:posOffset>262890</wp:posOffset>
                      </wp:positionV>
                      <wp:extent cx="1456055" cy="0"/>
                      <wp:effectExtent l="7620" t="7620" r="22225" b="30480"/>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605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158662" id="AutoShape 21" o:spid="_x0000_s1026" type="#_x0000_t32" style="position:absolute;margin-left:-1.15pt;margin-top:20.7pt;width:114.6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"/>
                  </w:pict>
                </mc:Fallback>
              </mc:AlternateContent>
            </w:r>
            <w:r w:rsidR="00936AC6" w:rsidRPr="00430572">
              <w:rPr>
                <w:rFonts w:ascii="Book Antiqua" w:hAnsi="Book Antiqua" w:cs="Helvetica"/>
                <w:b/>
                <w:lang w:eastAsia="zh-CN"/>
              </w:rPr>
              <w:t>No</w:t>
            </w:r>
            <w:r w:rsidR="00C512FC">
              <w:rPr>
                <w:rFonts w:ascii="Book Antiqua" w:hAnsi="Book Antiqua" w:cs="Helvetica" w:hint="eastAsia"/>
                <w:b/>
                <w:lang w:eastAsia="zh-CN"/>
              </w:rPr>
              <w:t>t</w:t>
            </w:r>
            <w:r w:rsidR="00936AC6" w:rsidRPr="00430572">
              <w:rPr>
                <w:rFonts w:ascii="Book Antiqua" w:hAnsi="Book Antiqua" w:cs="Helvetica"/>
                <w:b/>
                <w:lang w:eastAsia="zh-CN"/>
              </w:rPr>
              <w:t xml:space="preserve"> DNR</w:t>
            </w:r>
          </w:p>
        </w:tc>
        <w:tc>
          <w:tcPr>
            <w:tcW w:w="902" w:type="dxa"/>
            <w:vMerge w:val="restart"/>
            <w:tcBorders>
              <w:top w:val="single" w:sz="4" w:space="0" w:color="auto"/>
            </w:tcBorders>
            <w:noWrap/>
            <w:hideMark/>
          </w:tcPr>
          <w:p w14:paraId="6441A264" w14:textId="77777777" w:rsidR="00936AC6" w:rsidRPr="00430572" w:rsidRDefault="00936AC6" w:rsidP="00936AC6">
            <w:pPr>
              <w:shd w:val="clear" w:color="auto" w:fill="FFFFFF"/>
              <w:snapToGrid w:val="0"/>
              <w:spacing w:line="360" w:lineRule="auto"/>
              <w:jc w:val="center"/>
              <w:rPr>
                <w:rFonts w:ascii="Book Antiqua" w:hAnsi="Book Antiqua" w:cs="Helvetica"/>
                <w:b/>
                <w:lang w:eastAsia="zh-CN"/>
              </w:rPr>
            </w:pPr>
            <w:r w:rsidRPr="00936AC6">
              <w:rPr>
                <w:rFonts w:ascii="Book Antiqua" w:hAnsi="Book Antiqua" w:cs="Helvetica"/>
                <w:b/>
                <w:i/>
                <w:lang w:eastAsia="zh-CN"/>
              </w:rPr>
              <w:t>P</w:t>
            </w:r>
            <w:r w:rsidR="007457AD">
              <w:rPr>
                <w:rFonts w:ascii="Book Antiqua" w:hAnsi="Book Antiqua" w:cs="Helvetica"/>
                <w:b/>
                <w:lang w:eastAsia="zh-CN"/>
              </w:rPr>
              <w:t xml:space="preserve"> </w:t>
            </w:r>
            <w:r w:rsidRPr="00430572">
              <w:rPr>
                <w:rFonts w:ascii="Book Antiqua" w:hAnsi="Book Antiqua" w:cs="Helvetica"/>
                <w:b/>
                <w:lang w:eastAsia="zh-CN"/>
              </w:rPr>
              <w:t>value</w:t>
            </w:r>
          </w:p>
        </w:tc>
      </w:tr>
      <w:tr w:rsidR="00936AC6" w:rsidRPr="00430572" w14:paraId="2938A128" w14:textId="77777777" w:rsidTr="00936AC6">
        <w:trPr>
          <w:trHeight w:val="288"/>
        </w:trPr>
        <w:tc>
          <w:tcPr>
            <w:tcW w:w="1189" w:type="dxa"/>
            <w:vMerge/>
            <w:tcBorders>
              <w:bottom w:val="single" w:sz="4" w:space="0" w:color="auto"/>
            </w:tcBorders>
            <w:noWrap/>
            <w:hideMark/>
          </w:tcPr>
          <w:p w14:paraId="2329CFDC" w14:textId="77777777" w:rsidR="00936AC6" w:rsidRPr="00430572" w:rsidRDefault="00936AC6" w:rsidP="00430572">
            <w:pPr>
              <w:shd w:val="clear" w:color="auto" w:fill="FFFFFF"/>
              <w:snapToGrid w:val="0"/>
              <w:spacing w:line="360" w:lineRule="auto"/>
              <w:jc w:val="both"/>
              <w:rPr>
                <w:rFonts w:ascii="Book Antiqua" w:hAnsi="Book Antiqua" w:cs="Helvetica"/>
                <w:b/>
                <w:lang w:eastAsia="zh-CN"/>
              </w:rPr>
            </w:pPr>
          </w:p>
        </w:tc>
        <w:tc>
          <w:tcPr>
            <w:tcW w:w="2922" w:type="dxa"/>
            <w:vMerge/>
            <w:tcBorders>
              <w:bottom w:val="single" w:sz="4" w:space="0" w:color="auto"/>
            </w:tcBorders>
            <w:noWrap/>
            <w:hideMark/>
          </w:tcPr>
          <w:p w14:paraId="1617F3AE" w14:textId="77777777" w:rsidR="00936AC6" w:rsidRPr="00430572" w:rsidRDefault="00936AC6" w:rsidP="00936AC6">
            <w:pPr>
              <w:shd w:val="clear" w:color="auto" w:fill="FFFFFF"/>
              <w:snapToGrid w:val="0"/>
              <w:spacing w:line="360" w:lineRule="auto"/>
              <w:jc w:val="center"/>
              <w:rPr>
                <w:rFonts w:ascii="Book Antiqua" w:hAnsi="Book Antiqua" w:cs="Helvetica"/>
                <w:b/>
                <w:lang w:eastAsia="zh-CN"/>
              </w:rPr>
            </w:pPr>
          </w:p>
        </w:tc>
        <w:tc>
          <w:tcPr>
            <w:tcW w:w="932" w:type="dxa"/>
            <w:tcBorders>
              <w:bottom w:val="single" w:sz="4" w:space="0" w:color="auto"/>
            </w:tcBorders>
            <w:noWrap/>
            <w:hideMark/>
          </w:tcPr>
          <w:p w14:paraId="2FEC1C00" w14:textId="77777777" w:rsidR="00936AC6" w:rsidRPr="00430572" w:rsidRDefault="00936AC6" w:rsidP="00936AC6">
            <w:pPr>
              <w:shd w:val="clear" w:color="auto" w:fill="FFFFFF"/>
              <w:snapToGrid w:val="0"/>
              <w:spacing w:line="360" w:lineRule="auto"/>
              <w:jc w:val="center"/>
              <w:rPr>
                <w:rFonts w:ascii="Book Antiqua" w:hAnsi="Book Antiqua" w:cs="Helvetica"/>
                <w:b/>
                <w:lang w:eastAsia="zh-CN"/>
              </w:rPr>
            </w:pPr>
            <w:proofErr w:type="spellStart"/>
            <w:r w:rsidRPr="00430572">
              <w:rPr>
                <w:rFonts w:ascii="Book Antiqua" w:hAnsi="Book Antiqua" w:cs="Helvetica"/>
                <w:b/>
                <w:lang w:eastAsia="zh-CN"/>
              </w:rPr>
              <w:t>num</w:t>
            </w:r>
            <w:proofErr w:type="spellEnd"/>
          </w:p>
        </w:tc>
        <w:tc>
          <w:tcPr>
            <w:tcW w:w="977" w:type="dxa"/>
            <w:tcBorders>
              <w:bottom w:val="single" w:sz="4" w:space="0" w:color="auto"/>
            </w:tcBorders>
            <w:noWrap/>
            <w:hideMark/>
          </w:tcPr>
          <w:p w14:paraId="0FFAF1E9" w14:textId="77777777" w:rsidR="00936AC6" w:rsidRPr="00430572" w:rsidRDefault="00936AC6" w:rsidP="00936AC6">
            <w:pPr>
              <w:shd w:val="clear" w:color="auto" w:fill="FFFFFF"/>
              <w:snapToGrid w:val="0"/>
              <w:spacing w:line="360" w:lineRule="auto"/>
              <w:jc w:val="center"/>
              <w:rPr>
                <w:rFonts w:ascii="Book Antiqua" w:hAnsi="Book Antiqua" w:cs="Helvetica"/>
                <w:b/>
                <w:lang w:eastAsia="zh-CN"/>
              </w:rPr>
            </w:pPr>
            <w:proofErr w:type="spellStart"/>
            <w:r w:rsidRPr="00430572">
              <w:rPr>
                <w:rFonts w:ascii="Book Antiqua" w:hAnsi="Book Antiqua" w:cs="Helvetica"/>
                <w:b/>
                <w:lang w:eastAsia="zh-CN"/>
              </w:rPr>
              <w:t>denom</w:t>
            </w:r>
            <w:proofErr w:type="spellEnd"/>
          </w:p>
        </w:tc>
        <w:tc>
          <w:tcPr>
            <w:tcW w:w="876" w:type="dxa"/>
            <w:tcBorders>
              <w:bottom w:val="single" w:sz="4" w:space="0" w:color="auto"/>
            </w:tcBorders>
            <w:noWrap/>
            <w:hideMark/>
          </w:tcPr>
          <w:p w14:paraId="291F3D2E" w14:textId="77777777" w:rsidR="00936AC6" w:rsidRPr="00430572" w:rsidRDefault="00936AC6" w:rsidP="00936AC6">
            <w:pPr>
              <w:shd w:val="clear" w:color="auto" w:fill="FFFFFF"/>
              <w:snapToGrid w:val="0"/>
              <w:spacing w:line="360" w:lineRule="auto"/>
              <w:jc w:val="center"/>
              <w:rPr>
                <w:rFonts w:ascii="Book Antiqua" w:hAnsi="Book Antiqua" w:cs="Helvetica"/>
                <w:b/>
                <w:lang w:eastAsia="zh-CN"/>
              </w:rPr>
            </w:pPr>
            <w:r w:rsidRPr="00430572">
              <w:rPr>
                <w:rFonts w:ascii="Book Antiqua" w:hAnsi="Book Antiqua" w:cs="Helvetica"/>
                <w:b/>
                <w:lang w:eastAsia="zh-CN"/>
              </w:rPr>
              <w:t>%</w:t>
            </w:r>
          </w:p>
        </w:tc>
        <w:tc>
          <w:tcPr>
            <w:tcW w:w="790" w:type="dxa"/>
            <w:tcBorders>
              <w:bottom w:val="single" w:sz="4" w:space="0" w:color="auto"/>
            </w:tcBorders>
            <w:noWrap/>
            <w:hideMark/>
          </w:tcPr>
          <w:p w14:paraId="2E7AD6C4" w14:textId="77777777" w:rsidR="00936AC6" w:rsidRPr="00430572" w:rsidRDefault="00936AC6" w:rsidP="00936AC6">
            <w:pPr>
              <w:shd w:val="clear" w:color="auto" w:fill="FFFFFF"/>
              <w:snapToGrid w:val="0"/>
              <w:spacing w:line="360" w:lineRule="auto"/>
              <w:jc w:val="center"/>
              <w:rPr>
                <w:rFonts w:ascii="Book Antiqua" w:hAnsi="Book Antiqua" w:cs="Helvetica"/>
                <w:b/>
                <w:lang w:eastAsia="zh-CN"/>
              </w:rPr>
            </w:pPr>
            <w:proofErr w:type="spellStart"/>
            <w:r w:rsidRPr="00430572">
              <w:rPr>
                <w:rFonts w:ascii="Book Antiqua" w:hAnsi="Book Antiqua" w:cs="Helvetica"/>
                <w:b/>
                <w:lang w:eastAsia="zh-CN"/>
              </w:rPr>
              <w:t>num</w:t>
            </w:r>
            <w:proofErr w:type="spellEnd"/>
          </w:p>
        </w:tc>
        <w:tc>
          <w:tcPr>
            <w:tcW w:w="977" w:type="dxa"/>
            <w:tcBorders>
              <w:bottom w:val="single" w:sz="4" w:space="0" w:color="auto"/>
            </w:tcBorders>
            <w:noWrap/>
            <w:hideMark/>
          </w:tcPr>
          <w:p w14:paraId="398DFADD" w14:textId="77777777" w:rsidR="00936AC6" w:rsidRPr="00430572" w:rsidRDefault="00936AC6" w:rsidP="00936AC6">
            <w:pPr>
              <w:shd w:val="clear" w:color="auto" w:fill="FFFFFF"/>
              <w:snapToGrid w:val="0"/>
              <w:spacing w:line="360" w:lineRule="auto"/>
              <w:jc w:val="center"/>
              <w:rPr>
                <w:rFonts w:ascii="Book Antiqua" w:hAnsi="Book Antiqua" w:cs="Helvetica"/>
                <w:b/>
                <w:lang w:eastAsia="zh-CN"/>
              </w:rPr>
            </w:pPr>
            <w:proofErr w:type="spellStart"/>
            <w:r w:rsidRPr="00430572">
              <w:rPr>
                <w:rFonts w:ascii="Book Antiqua" w:hAnsi="Book Antiqua" w:cs="Helvetica"/>
                <w:b/>
                <w:lang w:eastAsia="zh-CN"/>
              </w:rPr>
              <w:t>denom</w:t>
            </w:r>
            <w:proofErr w:type="spellEnd"/>
          </w:p>
        </w:tc>
        <w:tc>
          <w:tcPr>
            <w:tcW w:w="876" w:type="dxa"/>
            <w:tcBorders>
              <w:bottom w:val="single" w:sz="4" w:space="0" w:color="auto"/>
            </w:tcBorders>
            <w:noWrap/>
            <w:hideMark/>
          </w:tcPr>
          <w:p w14:paraId="16DDCC13" w14:textId="77777777" w:rsidR="00936AC6" w:rsidRPr="00430572" w:rsidRDefault="00936AC6" w:rsidP="00936AC6">
            <w:pPr>
              <w:shd w:val="clear" w:color="auto" w:fill="FFFFFF"/>
              <w:snapToGrid w:val="0"/>
              <w:spacing w:line="360" w:lineRule="auto"/>
              <w:jc w:val="center"/>
              <w:rPr>
                <w:rFonts w:ascii="Book Antiqua" w:hAnsi="Book Antiqua" w:cs="Helvetica"/>
                <w:b/>
                <w:lang w:eastAsia="zh-CN"/>
              </w:rPr>
            </w:pPr>
            <w:r w:rsidRPr="00430572">
              <w:rPr>
                <w:rFonts w:ascii="Book Antiqua" w:hAnsi="Book Antiqua" w:cs="Helvetica"/>
                <w:b/>
                <w:lang w:eastAsia="zh-CN"/>
              </w:rPr>
              <w:t>%</w:t>
            </w:r>
          </w:p>
        </w:tc>
        <w:tc>
          <w:tcPr>
            <w:tcW w:w="902" w:type="dxa"/>
            <w:vMerge/>
            <w:tcBorders>
              <w:bottom w:val="single" w:sz="4" w:space="0" w:color="auto"/>
            </w:tcBorders>
            <w:noWrap/>
            <w:hideMark/>
          </w:tcPr>
          <w:p w14:paraId="55EABBEF" w14:textId="77777777" w:rsidR="00936AC6" w:rsidRPr="00430572" w:rsidRDefault="00936AC6" w:rsidP="00936AC6">
            <w:pPr>
              <w:shd w:val="clear" w:color="auto" w:fill="FFFFFF"/>
              <w:snapToGrid w:val="0"/>
              <w:spacing w:line="360" w:lineRule="auto"/>
              <w:jc w:val="center"/>
              <w:rPr>
                <w:rFonts w:ascii="Book Antiqua" w:hAnsi="Book Antiqua" w:cs="Helvetica"/>
                <w:b/>
                <w:lang w:eastAsia="zh-CN"/>
              </w:rPr>
            </w:pPr>
          </w:p>
        </w:tc>
      </w:tr>
      <w:tr w:rsidR="00936AC6" w:rsidRPr="00936AC6" w14:paraId="5CC5212D" w14:textId="77777777" w:rsidTr="00936AC6">
        <w:trPr>
          <w:trHeight w:val="288"/>
        </w:trPr>
        <w:tc>
          <w:tcPr>
            <w:tcW w:w="1189" w:type="dxa"/>
            <w:tcBorders>
              <w:top w:val="single" w:sz="4" w:space="0" w:color="auto"/>
            </w:tcBorders>
            <w:noWrap/>
            <w:hideMark/>
          </w:tcPr>
          <w:p w14:paraId="7C8B537E" w14:textId="77777777" w:rsidR="00430572" w:rsidRPr="00936AC6" w:rsidRDefault="00430572" w:rsidP="00430572">
            <w:pPr>
              <w:shd w:val="clear" w:color="auto" w:fill="FFFFFF"/>
              <w:snapToGrid w:val="0"/>
              <w:spacing w:line="360" w:lineRule="auto"/>
              <w:jc w:val="both"/>
              <w:rPr>
                <w:rFonts w:ascii="Book Antiqua" w:hAnsi="Book Antiqua" w:cs="Helvetica"/>
                <w:lang w:eastAsia="zh-CN"/>
              </w:rPr>
            </w:pPr>
            <w:r w:rsidRPr="00936AC6">
              <w:rPr>
                <w:rFonts w:ascii="Book Antiqua" w:hAnsi="Book Antiqua" w:cs="Helvetica"/>
                <w:lang w:eastAsia="zh-CN"/>
              </w:rPr>
              <w:t>27236</w:t>
            </w:r>
          </w:p>
        </w:tc>
        <w:tc>
          <w:tcPr>
            <w:tcW w:w="2922" w:type="dxa"/>
            <w:tcBorders>
              <w:top w:val="single" w:sz="4" w:space="0" w:color="auto"/>
            </w:tcBorders>
            <w:noWrap/>
            <w:hideMark/>
          </w:tcPr>
          <w:p w14:paraId="080F126C"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Open treatment of femoral fracture, proximal end, neck, internal fixation or prosthetic replacement</w:t>
            </w:r>
          </w:p>
        </w:tc>
        <w:tc>
          <w:tcPr>
            <w:tcW w:w="932" w:type="dxa"/>
            <w:tcBorders>
              <w:top w:val="single" w:sz="4" w:space="0" w:color="auto"/>
            </w:tcBorders>
            <w:noWrap/>
            <w:hideMark/>
          </w:tcPr>
          <w:p w14:paraId="45426046"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322</w:t>
            </w:r>
          </w:p>
        </w:tc>
        <w:tc>
          <w:tcPr>
            <w:tcW w:w="977" w:type="dxa"/>
            <w:tcBorders>
              <w:top w:val="single" w:sz="4" w:space="0" w:color="auto"/>
            </w:tcBorders>
            <w:noWrap/>
            <w:hideMark/>
          </w:tcPr>
          <w:p w14:paraId="1E742942"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1252</w:t>
            </w:r>
          </w:p>
        </w:tc>
        <w:tc>
          <w:tcPr>
            <w:tcW w:w="876" w:type="dxa"/>
            <w:tcBorders>
              <w:top w:val="single" w:sz="4" w:space="0" w:color="auto"/>
            </w:tcBorders>
            <w:noWrap/>
            <w:hideMark/>
          </w:tcPr>
          <w:p w14:paraId="695F9BEC"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25.719</w:t>
            </w:r>
          </w:p>
        </w:tc>
        <w:tc>
          <w:tcPr>
            <w:tcW w:w="790" w:type="dxa"/>
            <w:tcBorders>
              <w:top w:val="single" w:sz="4" w:space="0" w:color="auto"/>
            </w:tcBorders>
            <w:noWrap/>
            <w:hideMark/>
          </w:tcPr>
          <w:p w14:paraId="13ED8980"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1873</w:t>
            </w:r>
          </w:p>
        </w:tc>
        <w:tc>
          <w:tcPr>
            <w:tcW w:w="977" w:type="dxa"/>
            <w:tcBorders>
              <w:top w:val="single" w:sz="4" w:space="0" w:color="auto"/>
            </w:tcBorders>
            <w:noWrap/>
            <w:hideMark/>
          </w:tcPr>
          <w:p w14:paraId="1AC0A208"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7758</w:t>
            </w:r>
          </w:p>
        </w:tc>
        <w:tc>
          <w:tcPr>
            <w:tcW w:w="876" w:type="dxa"/>
            <w:tcBorders>
              <w:top w:val="single" w:sz="4" w:space="0" w:color="auto"/>
            </w:tcBorders>
            <w:noWrap/>
            <w:hideMark/>
          </w:tcPr>
          <w:p w14:paraId="6B14DF06"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24.143</w:t>
            </w:r>
          </w:p>
        </w:tc>
        <w:tc>
          <w:tcPr>
            <w:tcW w:w="902" w:type="dxa"/>
            <w:tcBorders>
              <w:top w:val="single" w:sz="4" w:space="0" w:color="auto"/>
            </w:tcBorders>
            <w:noWrap/>
            <w:hideMark/>
          </w:tcPr>
          <w:p w14:paraId="1ABCEC62"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&lt;0.001</w:t>
            </w:r>
          </w:p>
        </w:tc>
      </w:tr>
      <w:tr w:rsidR="00936AC6" w:rsidRPr="00936AC6" w14:paraId="0F7AC25D" w14:textId="77777777" w:rsidTr="00936AC6">
        <w:trPr>
          <w:trHeight w:val="288"/>
        </w:trPr>
        <w:tc>
          <w:tcPr>
            <w:tcW w:w="1189" w:type="dxa"/>
            <w:noWrap/>
            <w:hideMark/>
          </w:tcPr>
          <w:p w14:paraId="11969052" w14:textId="77777777" w:rsidR="00430572" w:rsidRPr="00936AC6" w:rsidRDefault="00430572" w:rsidP="00430572">
            <w:pPr>
              <w:shd w:val="clear" w:color="auto" w:fill="FFFFFF"/>
              <w:snapToGrid w:val="0"/>
              <w:spacing w:line="360" w:lineRule="auto"/>
              <w:jc w:val="both"/>
              <w:rPr>
                <w:rFonts w:ascii="Book Antiqua" w:hAnsi="Book Antiqua" w:cs="Helvetica"/>
                <w:lang w:eastAsia="zh-CN"/>
              </w:rPr>
            </w:pPr>
            <w:r w:rsidRPr="00936AC6">
              <w:rPr>
                <w:rFonts w:ascii="Book Antiqua" w:hAnsi="Book Antiqua" w:cs="Helvetica"/>
                <w:lang w:eastAsia="zh-CN"/>
              </w:rPr>
              <w:t>27245</w:t>
            </w:r>
          </w:p>
        </w:tc>
        <w:tc>
          <w:tcPr>
            <w:tcW w:w="2922" w:type="dxa"/>
            <w:noWrap/>
            <w:hideMark/>
          </w:tcPr>
          <w:p w14:paraId="582B4C84"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 xml:space="preserve">Treatment of intertrochanteric, </w:t>
            </w:r>
            <w:proofErr w:type="spellStart"/>
            <w:r w:rsidRPr="00936AC6">
              <w:rPr>
                <w:rFonts w:ascii="Book Antiqua" w:hAnsi="Book Antiqua" w:cs="Helvetica"/>
                <w:lang w:eastAsia="zh-CN"/>
              </w:rPr>
              <w:t>pertrochanteric</w:t>
            </w:r>
            <w:proofErr w:type="spellEnd"/>
            <w:r w:rsidRPr="00936AC6">
              <w:rPr>
                <w:rFonts w:ascii="Book Antiqua" w:hAnsi="Book Antiqua" w:cs="Helvetica"/>
                <w:lang w:eastAsia="zh-CN"/>
              </w:rPr>
              <w:t>, or sub-trochanteric femoral fracture; with intramedullary implant</w:t>
            </w:r>
          </w:p>
        </w:tc>
        <w:tc>
          <w:tcPr>
            <w:tcW w:w="932" w:type="dxa"/>
            <w:noWrap/>
            <w:hideMark/>
          </w:tcPr>
          <w:p w14:paraId="10233CAC"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297</w:t>
            </w:r>
          </w:p>
        </w:tc>
        <w:tc>
          <w:tcPr>
            <w:tcW w:w="977" w:type="dxa"/>
            <w:noWrap/>
            <w:hideMark/>
          </w:tcPr>
          <w:p w14:paraId="32DB485C"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1252</w:t>
            </w:r>
          </w:p>
        </w:tc>
        <w:tc>
          <w:tcPr>
            <w:tcW w:w="876" w:type="dxa"/>
            <w:noWrap/>
            <w:hideMark/>
          </w:tcPr>
          <w:p w14:paraId="2173BBE7"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23.722</w:t>
            </w:r>
          </w:p>
        </w:tc>
        <w:tc>
          <w:tcPr>
            <w:tcW w:w="790" w:type="dxa"/>
            <w:noWrap/>
            <w:hideMark/>
          </w:tcPr>
          <w:p w14:paraId="6FFC5585"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1799</w:t>
            </w:r>
          </w:p>
        </w:tc>
        <w:tc>
          <w:tcPr>
            <w:tcW w:w="977" w:type="dxa"/>
            <w:noWrap/>
            <w:hideMark/>
          </w:tcPr>
          <w:p w14:paraId="3E69CFE5"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7758</w:t>
            </w:r>
          </w:p>
        </w:tc>
        <w:tc>
          <w:tcPr>
            <w:tcW w:w="876" w:type="dxa"/>
            <w:noWrap/>
            <w:hideMark/>
          </w:tcPr>
          <w:p w14:paraId="7C595257"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23.189</w:t>
            </w:r>
          </w:p>
        </w:tc>
        <w:tc>
          <w:tcPr>
            <w:tcW w:w="902" w:type="dxa"/>
            <w:noWrap/>
            <w:hideMark/>
          </w:tcPr>
          <w:p w14:paraId="09B8BEC2"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p>
        </w:tc>
      </w:tr>
      <w:tr w:rsidR="00936AC6" w:rsidRPr="00936AC6" w14:paraId="3F57D41E" w14:textId="77777777" w:rsidTr="00936AC6">
        <w:trPr>
          <w:trHeight w:val="300"/>
        </w:trPr>
        <w:tc>
          <w:tcPr>
            <w:tcW w:w="1189" w:type="dxa"/>
            <w:noWrap/>
            <w:hideMark/>
          </w:tcPr>
          <w:p w14:paraId="737F31DD" w14:textId="77777777" w:rsidR="00430572" w:rsidRPr="00936AC6" w:rsidRDefault="00430572" w:rsidP="00430572">
            <w:pPr>
              <w:shd w:val="clear" w:color="auto" w:fill="FFFFFF"/>
              <w:snapToGrid w:val="0"/>
              <w:spacing w:line="360" w:lineRule="auto"/>
              <w:jc w:val="both"/>
              <w:rPr>
                <w:rFonts w:ascii="Book Antiqua" w:hAnsi="Book Antiqua" w:cs="Helvetica"/>
                <w:lang w:eastAsia="zh-CN"/>
              </w:rPr>
            </w:pPr>
            <w:r w:rsidRPr="00936AC6">
              <w:rPr>
                <w:rFonts w:ascii="Book Antiqua" w:hAnsi="Book Antiqua" w:cs="Helvetica"/>
                <w:lang w:eastAsia="zh-CN"/>
              </w:rPr>
              <w:t>27125</w:t>
            </w:r>
          </w:p>
        </w:tc>
        <w:tc>
          <w:tcPr>
            <w:tcW w:w="2922" w:type="dxa"/>
            <w:noWrap/>
            <w:hideMark/>
          </w:tcPr>
          <w:p w14:paraId="71A8E172"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Hemiarthroplasty, hip, partial (</w:t>
            </w:r>
            <w:r w:rsidRPr="00936AC6">
              <w:rPr>
                <w:rFonts w:ascii="Book Antiqua" w:hAnsi="Book Antiqua" w:cs="Helvetica"/>
                <w:i/>
                <w:lang w:eastAsia="zh-CN"/>
              </w:rPr>
              <w:t>e</w:t>
            </w:r>
            <w:r w:rsidR="00936AC6" w:rsidRPr="00936AC6">
              <w:rPr>
                <w:rFonts w:ascii="Book Antiqua" w:hAnsi="Book Antiqua" w:cs="Helvetica" w:hint="eastAsia"/>
                <w:i/>
                <w:lang w:eastAsia="zh-CN"/>
              </w:rPr>
              <w:t>.</w:t>
            </w:r>
            <w:r w:rsidRPr="00936AC6">
              <w:rPr>
                <w:rFonts w:ascii="Book Antiqua" w:hAnsi="Book Antiqua" w:cs="Helvetica"/>
                <w:i/>
                <w:lang w:eastAsia="zh-CN"/>
              </w:rPr>
              <w:t>g</w:t>
            </w:r>
            <w:r w:rsidR="00936AC6" w:rsidRPr="00936AC6">
              <w:rPr>
                <w:rFonts w:ascii="Book Antiqua" w:hAnsi="Book Antiqua" w:cs="Helvetica" w:hint="eastAsia"/>
                <w:i/>
                <w:lang w:eastAsia="zh-CN"/>
              </w:rPr>
              <w:t>.</w:t>
            </w:r>
            <w:r w:rsidRPr="00936AC6">
              <w:rPr>
                <w:rFonts w:ascii="Book Antiqua" w:hAnsi="Book Antiqua" w:cs="Helvetica"/>
                <w:i/>
                <w:lang w:eastAsia="zh-CN"/>
              </w:rPr>
              <w:t>,</w:t>
            </w:r>
            <w:r w:rsidRPr="00936AC6">
              <w:rPr>
                <w:rFonts w:ascii="Book Antiqua" w:hAnsi="Book Antiqua" w:cs="Helvetica"/>
                <w:lang w:eastAsia="zh-CN"/>
              </w:rPr>
              <w:t xml:space="preserve"> femoral stem prosthesis, bipolar arthroplasty)</w:t>
            </w:r>
          </w:p>
        </w:tc>
        <w:tc>
          <w:tcPr>
            <w:tcW w:w="932" w:type="dxa"/>
            <w:noWrap/>
            <w:hideMark/>
          </w:tcPr>
          <w:p w14:paraId="76DDBD7C"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233</w:t>
            </w:r>
          </w:p>
        </w:tc>
        <w:tc>
          <w:tcPr>
            <w:tcW w:w="977" w:type="dxa"/>
            <w:noWrap/>
            <w:hideMark/>
          </w:tcPr>
          <w:p w14:paraId="33BB2D9E"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1252</w:t>
            </w:r>
          </w:p>
        </w:tc>
        <w:tc>
          <w:tcPr>
            <w:tcW w:w="876" w:type="dxa"/>
            <w:noWrap/>
            <w:hideMark/>
          </w:tcPr>
          <w:p w14:paraId="2ED1CBB5"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18.61</w:t>
            </w:r>
          </w:p>
        </w:tc>
        <w:tc>
          <w:tcPr>
            <w:tcW w:w="790" w:type="dxa"/>
            <w:noWrap/>
            <w:hideMark/>
          </w:tcPr>
          <w:p w14:paraId="4180B944"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1178</w:t>
            </w:r>
          </w:p>
        </w:tc>
        <w:tc>
          <w:tcPr>
            <w:tcW w:w="977" w:type="dxa"/>
            <w:noWrap/>
            <w:hideMark/>
          </w:tcPr>
          <w:p w14:paraId="02504FBB"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7758</w:t>
            </w:r>
          </w:p>
        </w:tc>
        <w:tc>
          <w:tcPr>
            <w:tcW w:w="876" w:type="dxa"/>
            <w:noWrap/>
            <w:hideMark/>
          </w:tcPr>
          <w:p w14:paraId="5E0F6D3B"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15.184</w:t>
            </w:r>
          </w:p>
        </w:tc>
        <w:tc>
          <w:tcPr>
            <w:tcW w:w="902" w:type="dxa"/>
            <w:noWrap/>
            <w:hideMark/>
          </w:tcPr>
          <w:p w14:paraId="10DE6866"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p>
        </w:tc>
      </w:tr>
      <w:tr w:rsidR="00936AC6" w:rsidRPr="00936AC6" w14:paraId="69A84FE5" w14:textId="77777777" w:rsidTr="00936AC6">
        <w:trPr>
          <w:trHeight w:val="420"/>
        </w:trPr>
        <w:tc>
          <w:tcPr>
            <w:tcW w:w="1189" w:type="dxa"/>
            <w:noWrap/>
            <w:hideMark/>
          </w:tcPr>
          <w:p w14:paraId="27714C2E" w14:textId="77777777" w:rsidR="00430572" w:rsidRPr="00936AC6" w:rsidRDefault="00430572" w:rsidP="00430572">
            <w:pPr>
              <w:shd w:val="clear" w:color="auto" w:fill="FFFFFF"/>
              <w:snapToGrid w:val="0"/>
              <w:spacing w:line="360" w:lineRule="auto"/>
              <w:jc w:val="both"/>
              <w:rPr>
                <w:rFonts w:ascii="Book Antiqua" w:hAnsi="Book Antiqua" w:cs="Helvetica"/>
                <w:lang w:eastAsia="zh-CN"/>
              </w:rPr>
            </w:pPr>
            <w:r w:rsidRPr="00936AC6">
              <w:rPr>
                <w:rFonts w:ascii="Book Antiqua" w:hAnsi="Book Antiqua" w:cs="Helvetica"/>
                <w:lang w:eastAsia="zh-CN"/>
              </w:rPr>
              <w:t>27244</w:t>
            </w:r>
          </w:p>
        </w:tc>
        <w:tc>
          <w:tcPr>
            <w:tcW w:w="2922" w:type="dxa"/>
            <w:hideMark/>
          </w:tcPr>
          <w:p w14:paraId="40844CEA"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 xml:space="preserve">Treatment of intertrochanteric, </w:t>
            </w:r>
            <w:proofErr w:type="spellStart"/>
            <w:r w:rsidRPr="00936AC6">
              <w:rPr>
                <w:rFonts w:ascii="Book Antiqua" w:hAnsi="Book Antiqua" w:cs="Helvetica"/>
                <w:lang w:eastAsia="zh-CN"/>
              </w:rPr>
              <w:t>pertrochanteric</w:t>
            </w:r>
            <w:proofErr w:type="spellEnd"/>
            <w:r w:rsidRPr="00936AC6">
              <w:rPr>
                <w:rFonts w:ascii="Book Antiqua" w:hAnsi="Book Antiqua" w:cs="Helvetica"/>
                <w:lang w:eastAsia="zh-CN"/>
              </w:rPr>
              <w:t xml:space="preserve">, or </w:t>
            </w:r>
            <w:proofErr w:type="spellStart"/>
            <w:r w:rsidRPr="00936AC6">
              <w:rPr>
                <w:rFonts w:ascii="Book Antiqua" w:hAnsi="Book Antiqua" w:cs="Helvetica"/>
                <w:lang w:eastAsia="zh-CN"/>
              </w:rPr>
              <w:t>subtrochanteric</w:t>
            </w:r>
            <w:proofErr w:type="spellEnd"/>
            <w:r w:rsidRPr="00936AC6">
              <w:rPr>
                <w:rFonts w:ascii="Book Antiqua" w:hAnsi="Book Antiqua" w:cs="Helvetica"/>
                <w:lang w:eastAsia="zh-CN"/>
              </w:rPr>
              <w:t xml:space="preserve"> femoral fracture; with plate/screw type implant, with or without cerclage</w:t>
            </w:r>
          </w:p>
        </w:tc>
        <w:tc>
          <w:tcPr>
            <w:tcW w:w="932" w:type="dxa"/>
            <w:noWrap/>
            <w:hideMark/>
          </w:tcPr>
          <w:p w14:paraId="2E877C6F"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213</w:t>
            </w:r>
          </w:p>
        </w:tc>
        <w:tc>
          <w:tcPr>
            <w:tcW w:w="977" w:type="dxa"/>
            <w:noWrap/>
            <w:hideMark/>
          </w:tcPr>
          <w:p w14:paraId="1EBD767C"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1252</w:t>
            </w:r>
          </w:p>
        </w:tc>
        <w:tc>
          <w:tcPr>
            <w:tcW w:w="876" w:type="dxa"/>
            <w:noWrap/>
            <w:hideMark/>
          </w:tcPr>
          <w:p w14:paraId="65772373"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17.013</w:t>
            </w:r>
          </w:p>
        </w:tc>
        <w:tc>
          <w:tcPr>
            <w:tcW w:w="790" w:type="dxa"/>
            <w:noWrap/>
            <w:hideMark/>
          </w:tcPr>
          <w:p w14:paraId="2697D9A8"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914</w:t>
            </w:r>
          </w:p>
        </w:tc>
        <w:tc>
          <w:tcPr>
            <w:tcW w:w="977" w:type="dxa"/>
            <w:noWrap/>
            <w:hideMark/>
          </w:tcPr>
          <w:p w14:paraId="2A85C492"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7758</w:t>
            </w:r>
          </w:p>
        </w:tc>
        <w:tc>
          <w:tcPr>
            <w:tcW w:w="876" w:type="dxa"/>
            <w:noWrap/>
            <w:hideMark/>
          </w:tcPr>
          <w:p w14:paraId="68D2D3E7"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11.781</w:t>
            </w:r>
          </w:p>
        </w:tc>
        <w:tc>
          <w:tcPr>
            <w:tcW w:w="902" w:type="dxa"/>
            <w:noWrap/>
            <w:hideMark/>
          </w:tcPr>
          <w:p w14:paraId="7B182DF7"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p>
        </w:tc>
      </w:tr>
      <w:tr w:rsidR="00936AC6" w:rsidRPr="00936AC6" w14:paraId="202AB991" w14:textId="77777777" w:rsidTr="00936AC6">
        <w:trPr>
          <w:trHeight w:val="288"/>
        </w:trPr>
        <w:tc>
          <w:tcPr>
            <w:tcW w:w="1189" w:type="dxa"/>
            <w:noWrap/>
            <w:hideMark/>
          </w:tcPr>
          <w:p w14:paraId="790DE512" w14:textId="77777777" w:rsidR="00430572" w:rsidRPr="00936AC6" w:rsidRDefault="00430572" w:rsidP="00430572">
            <w:pPr>
              <w:shd w:val="clear" w:color="auto" w:fill="FFFFFF"/>
              <w:snapToGrid w:val="0"/>
              <w:spacing w:line="360" w:lineRule="auto"/>
              <w:jc w:val="both"/>
              <w:rPr>
                <w:rFonts w:ascii="Book Antiqua" w:hAnsi="Book Antiqua" w:cs="Helvetica"/>
                <w:lang w:eastAsia="zh-CN"/>
              </w:rPr>
            </w:pPr>
            <w:r w:rsidRPr="00936AC6">
              <w:rPr>
                <w:rFonts w:ascii="Book Antiqua" w:hAnsi="Book Antiqua" w:cs="Helvetica"/>
                <w:lang w:eastAsia="zh-CN"/>
              </w:rPr>
              <w:t>27235</w:t>
            </w:r>
          </w:p>
        </w:tc>
        <w:tc>
          <w:tcPr>
            <w:tcW w:w="2922" w:type="dxa"/>
            <w:noWrap/>
            <w:hideMark/>
          </w:tcPr>
          <w:p w14:paraId="2519DE6C"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Percutaneous skeletal fixation of femoral fracture, proximal end, neck</w:t>
            </w:r>
          </w:p>
        </w:tc>
        <w:tc>
          <w:tcPr>
            <w:tcW w:w="932" w:type="dxa"/>
            <w:noWrap/>
            <w:hideMark/>
          </w:tcPr>
          <w:p w14:paraId="6C76AAE0"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66</w:t>
            </w:r>
          </w:p>
        </w:tc>
        <w:tc>
          <w:tcPr>
            <w:tcW w:w="977" w:type="dxa"/>
            <w:noWrap/>
            <w:hideMark/>
          </w:tcPr>
          <w:p w14:paraId="1F8644D2"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1252</w:t>
            </w:r>
          </w:p>
        </w:tc>
        <w:tc>
          <w:tcPr>
            <w:tcW w:w="876" w:type="dxa"/>
            <w:noWrap/>
            <w:hideMark/>
          </w:tcPr>
          <w:p w14:paraId="7D0AE010"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5.272</w:t>
            </w:r>
          </w:p>
        </w:tc>
        <w:tc>
          <w:tcPr>
            <w:tcW w:w="790" w:type="dxa"/>
            <w:noWrap/>
            <w:hideMark/>
          </w:tcPr>
          <w:p w14:paraId="2542B35C"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550</w:t>
            </w:r>
          </w:p>
        </w:tc>
        <w:tc>
          <w:tcPr>
            <w:tcW w:w="977" w:type="dxa"/>
            <w:noWrap/>
            <w:hideMark/>
          </w:tcPr>
          <w:p w14:paraId="0AE7997B"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7758</w:t>
            </w:r>
          </w:p>
        </w:tc>
        <w:tc>
          <w:tcPr>
            <w:tcW w:w="876" w:type="dxa"/>
            <w:noWrap/>
            <w:hideMark/>
          </w:tcPr>
          <w:p w14:paraId="71F7BAFA"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7.089</w:t>
            </w:r>
          </w:p>
        </w:tc>
        <w:tc>
          <w:tcPr>
            <w:tcW w:w="902" w:type="dxa"/>
            <w:noWrap/>
            <w:hideMark/>
          </w:tcPr>
          <w:p w14:paraId="47CD0AF8"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p>
        </w:tc>
      </w:tr>
      <w:tr w:rsidR="00936AC6" w:rsidRPr="00936AC6" w14:paraId="07184E7A" w14:textId="77777777" w:rsidTr="00936AC6">
        <w:trPr>
          <w:trHeight w:val="288"/>
        </w:trPr>
        <w:tc>
          <w:tcPr>
            <w:tcW w:w="1189" w:type="dxa"/>
            <w:noWrap/>
            <w:hideMark/>
          </w:tcPr>
          <w:p w14:paraId="221DB19D" w14:textId="77777777" w:rsidR="00430572" w:rsidRPr="00936AC6" w:rsidRDefault="00430572" w:rsidP="00430572">
            <w:pPr>
              <w:shd w:val="clear" w:color="auto" w:fill="FFFFFF"/>
              <w:snapToGrid w:val="0"/>
              <w:spacing w:line="360" w:lineRule="auto"/>
              <w:jc w:val="both"/>
              <w:rPr>
                <w:rFonts w:ascii="Book Antiqua" w:hAnsi="Book Antiqua" w:cs="Helvetica"/>
                <w:lang w:eastAsia="zh-CN"/>
              </w:rPr>
            </w:pPr>
            <w:r w:rsidRPr="00936AC6">
              <w:rPr>
                <w:rFonts w:ascii="Book Antiqua" w:hAnsi="Book Antiqua" w:cs="Helvetica"/>
                <w:lang w:eastAsia="zh-CN"/>
              </w:rPr>
              <w:t>27130</w:t>
            </w:r>
          </w:p>
        </w:tc>
        <w:tc>
          <w:tcPr>
            <w:tcW w:w="2922" w:type="dxa"/>
            <w:noWrap/>
            <w:hideMark/>
          </w:tcPr>
          <w:p w14:paraId="6833A7E1"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 xml:space="preserve">Arthroplasty, acetabular </w:t>
            </w:r>
            <w:r w:rsidRPr="00936AC6">
              <w:rPr>
                <w:rFonts w:ascii="Book Antiqua" w:hAnsi="Book Antiqua" w:cs="Helvetica"/>
                <w:lang w:eastAsia="zh-CN"/>
              </w:rPr>
              <w:lastRenderedPageBreak/>
              <w:t>and proximal femoral prosthetic replacement (total hip arthroplasty)</w:t>
            </w:r>
          </w:p>
        </w:tc>
        <w:tc>
          <w:tcPr>
            <w:tcW w:w="932" w:type="dxa"/>
            <w:noWrap/>
            <w:hideMark/>
          </w:tcPr>
          <w:p w14:paraId="20BC4665"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lastRenderedPageBreak/>
              <w:t>29</w:t>
            </w:r>
          </w:p>
        </w:tc>
        <w:tc>
          <w:tcPr>
            <w:tcW w:w="977" w:type="dxa"/>
            <w:noWrap/>
            <w:hideMark/>
          </w:tcPr>
          <w:p w14:paraId="71E55A7E"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1252</w:t>
            </w:r>
          </w:p>
        </w:tc>
        <w:tc>
          <w:tcPr>
            <w:tcW w:w="876" w:type="dxa"/>
            <w:noWrap/>
            <w:hideMark/>
          </w:tcPr>
          <w:p w14:paraId="06CD90C2"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2.316</w:t>
            </w:r>
          </w:p>
        </w:tc>
        <w:tc>
          <w:tcPr>
            <w:tcW w:w="790" w:type="dxa"/>
            <w:noWrap/>
            <w:hideMark/>
          </w:tcPr>
          <w:p w14:paraId="1737150E"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377</w:t>
            </w:r>
          </w:p>
        </w:tc>
        <w:tc>
          <w:tcPr>
            <w:tcW w:w="977" w:type="dxa"/>
            <w:noWrap/>
            <w:hideMark/>
          </w:tcPr>
          <w:p w14:paraId="372F84DE"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7758</w:t>
            </w:r>
          </w:p>
        </w:tc>
        <w:tc>
          <w:tcPr>
            <w:tcW w:w="876" w:type="dxa"/>
            <w:noWrap/>
            <w:hideMark/>
          </w:tcPr>
          <w:p w14:paraId="3508F6C4"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4.859</w:t>
            </w:r>
          </w:p>
        </w:tc>
        <w:tc>
          <w:tcPr>
            <w:tcW w:w="902" w:type="dxa"/>
            <w:noWrap/>
            <w:hideMark/>
          </w:tcPr>
          <w:p w14:paraId="33EF86EF"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p>
        </w:tc>
      </w:tr>
      <w:tr w:rsidR="00936AC6" w:rsidRPr="00936AC6" w14:paraId="3971BDBB" w14:textId="77777777" w:rsidTr="00936AC6">
        <w:trPr>
          <w:trHeight w:val="288"/>
        </w:trPr>
        <w:tc>
          <w:tcPr>
            <w:tcW w:w="1189" w:type="dxa"/>
            <w:noWrap/>
            <w:hideMark/>
          </w:tcPr>
          <w:p w14:paraId="4A875505" w14:textId="77777777" w:rsidR="00430572" w:rsidRPr="00936AC6" w:rsidRDefault="00430572" w:rsidP="00430572">
            <w:pPr>
              <w:shd w:val="clear" w:color="auto" w:fill="FFFFFF"/>
              <w:snapToGrid w:val="0"/>
              <w:spacing w:line="360" w:lineRule="auto"/>
              <w:jc w:val="both"/>
              <w:rPr>
                <w:rFonts w:ascii="Book Antiqua" w:hAnsi="Book Antiqua" w:cs="Helvetica"/>
                <w:lang w:eastAsia="zh-CN"/>
              </w:rPr>
            </w:pPr>
            <w:r w:rsidRPr="00936AC6">
              <w:rPr>
                <w:rFonts w:ascii="Book Antiqua" w:hAnsi="Book Antiqua" w:cs="Helvetica"/>
                <w:lang w:eastAsia="zh-CN"/>
              </w:rPr>
              <w:lastRenderedPageBreak/>
              <w:t>27248</w:t>
            </w:r>
          </w:p>
        </w:tc>
        <w:tc>
          <w:tcPr>
            <w:tcW w:w="2922" w:type="dxa"/>
            <w:noWrap/>
            <w:hideMark/>
          </w:tcPr>
          <w:p w14:paraId="44D56B38"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Open treatment of greater trochanteric fracture, with or without internal or external fixation</w:t>
            </w:r>
          </w:p>
        </w:tc>
        <w:tc>
          <w:tcPr>
            <w:tcW w:w="932" w:type="dxa"/>
            <w:noWrap/>
            <w:hideMark/>
          </w:tcPr>
          <w:p w14:paraId="4A7F2B58"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15</w:t>
            </w:r>
          </w:p>
        </w:tc>
        <w:tc>
          <w:tcPr>
            <w:tcW w:w="977" w:type="dxa"/>
            <w:noWrap/>
            <w:hideMark/>
          </w:tcPr>
          <w:p w14:paraId="0BAEAD4F"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1252</w:t>
            </w:r>
          </w:p>
        </w:tc>
        <w:tc>
          <w:tcPr>
            <w:tcW w:w="876" w:type="dxa"/>
            <w:noWrap/>
            <w:hideMark/>
          </w:tcPr>
          <w:p w14:paraId="473B571D"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1.198</w:t>
            </w:r>
          </w:p>
        </w:tc>
        <w:tc>
          <w:tcPr>
            <w:tcW w:w="790" w:type="dxa"/>
            <w:noWrap/>
            <w:hideMark/>
          </w:tcPr>
          <w:p w14:paraId="4A89BBD7"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132</w:t>
            </w:r>
          </w:p>
        </w:tc>
        <w:tc>
          <w:tcPr>
            <w:tcW w:w="977" w:type="dxa"/>
            <w:noWrap/>
            <w:hideMark/>
          </w:tcPr>
          <w:p w14:paraId="20F80BD0"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7758</w:t>
            </w:r>
          </w:p>
        </w:tc>
        <w:tc>
          <w:tcPr>
            <w:tcW w:w="876" w:type="dxa"/>
            <w:noWrap/>
            <w:hideMark/>
          </w:tcPr>
          <w:p w14:paraId="66E9E2D5"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1.701</w:t>
            </w:r>
          </w:p>
        </w:tc>
        <w:tc>
          <w:tcPr>
            <w:tcW w:w="902" w:type="dxa"/>
            <w:noWrap/>
            <w:hideMark/>
          </w:tcPr>
          <w:p w14:paraId="35AFEF07"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p>
        </w:tc>
      </w:tr>
      <w:tr w:rsidR="00936AC6" w:rsidRPr="00936AC6" w14:paraId="17C2110F" w14:textId="77777777" w:rsidTr="00936AC6">
        <w:trPr>
          <w:trHeight w:val="288"/>
        </w:trPr>
        <w:tc>
          <w:tcPr>
            <w:tcW w:w="1189" w:type="dxa"/>
            <w:noWrap/>
            <w:hideMark/>
          </w:tcPr>
          <w:p w14:paraId="5B886EC5" w14:textId="77777777" w:rsidR="00430572" w:rsidRPr="00936AC6" w:rsidRDefault="00430572" w:rsidP="00430572">
            <w:pPr>
              <w:shd w:val="clear" w:color="auto" w:fill="FFFFFF"/>
              <w:snapToGrid w:val="0"/>
              <w:spacing w:line="360" w:lineRule="auto"/>
              <w:jc w:val="both"/>
              <w:rPr>
                <w:rFonts w:ascii="Book Antiqua" w:hAnsi="Book Antiqua" w:cs="Helvetica"/>
                <w:lang w:eastAsia="zh-CN"/>
              </w:rPr>
            </w:pPr>
            <w:r w:rsidRPr="00936AC6">
              <w:rPr>
                <w:rFonts w:ascii="Book Antiqua" w:hAnsi="Book Antiqua" w:cs="Helvetica"/>
                <w:lang w:eastAsia="zh-CN"/>
              </w:rPr>
              <w:t>27506</w:t>
            </w:r>
          </w:p>
        </w:tc>
        <w:tc>
          <w:tcPr>
            <w:tcW w:w="2922" w:type="dxa"/>
            <w:noWrap/>
            <w:hideMark/>
          </w:tcPr>
          <w:p w14:paraId="1C0E727B"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p>
        </w:tc>
        <w:tc>
          <w:tcPr>
            <w:tcW w:w="932" w:type="dxa"/>
            <w:noWrap/>
            <w:hideMark/>
          </w:tcPr>
          <w:p w14:paraId="714A9646"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10</w:t>
            </w:r>
          </w:p>
        </w:tc>
        <w:tc>
          <w:tcPr>
            <w:tcW w:w="977" w:type="dxa"/>
            <w:noWrap/>
            <w:hideMark/>
          </w:tcPr>
          <w:p w14:paraId="5573E11B"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1252</w:t>
            </w:r>
          </w:p>
        </w:tc>
        <w:tc>
          <w:tcPr>
            <w:tcW w:w="876" w:type="dxa"/>
            <w:noWrap/>
            <w:hideMark/>
          </w:tcPr>
          <w:p w14:paraId="598FB561"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0.799</w:t>
            </w:r>
          </w:p>
        </w:tc>
        <w:tc>
          <w:tcPr>
            <w:tcW w:w="790" w:type="dxa"/>
            <w:noWrap/>
            <w:hideMark/>
          </w:tcPr>
          <w:p w14:paraId="792E2BA4"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197</w:t>
            </w:r>
          </w:p>
        </w:tc>
        <w:tc>
          <w:tcPr>
            <w:tcW w:w="977" w:type="dxa"/>
            <w:noWrap/>
            <w:hideMark/>
          </w:tcPr>
          <w:p w14:paraId="7B4D37DF"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7758</w:t>
            </w:r>
          </w:p>
        </w:tc>
        <w:tc>
          <w:tcPr>
            <w:tcW w:w="876" w:type="dxa"/>
            <w:noWrap/>
            <w:hideMark/>
          </w:tcPr>
          <w:p w14:paraId="5C656B9C"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2.539</w:t>
            </w:r>
          </w:p>
        </w:tc>
        <w:tc>
          <w:tcPr>
            <w:tcW w:w="902" w:type="dxa"/>
            <w:noWrap/>
            <w:hideMark/>
          </w:tcPr>
          <w:p w14:paraId="39DE146B"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p>
        </w:tc>
      </w:tr>
      <w:tr w:rsidR="00936AC6" w:rsidRPr="00936AC6" w14:paraId="2965BC79" w14:textId="77777777" w:rsidTr="00936AC6">
        <w:trPr>
          <w:trHeight w:val="288"/>
        </w:trPr>
        <w:tc>
          <w:tcPr>
            <w:tcW w:w="1189" w:type="dxa"/>
            <w:noWrap/>
            <w:hideMark/>
          </w:tcPr>
          <w:p w14:paraId="0B152B2B" w14:textId="77777777" w:rsidR="00430572" w:rsidRPr="00936AC6" w:rsidRDefault="00430572" w:rsidP="00430572">
            <w:pPr>
              <w:shd w:val="clear" w:color="auto" w:fill="FFFFFF"/>
              <w:snapToGrid w:val="0"/>
              <w:spacing w:line="360" w:lineRule="auto"/>
              <w:jc w:val="both"/>
              <w:rPr>
                <w:rFonts w:ascii="Book Antiqua" w:hAnsi="Book Antiqua" w:cs="Helvetica"/>
                <w:lang w:eastAsia="zh-CN"/>
              </w:rPr>
            </w:pPr>
            <w:r w:rsidRPr="00936AC6">
              <w:rPr>
                <w:rFonts w:ascii="Book Antiqua" w:hAnsi="Book Antiqua" w:cs="Helvetica"/>
                <w:lang w:eastAsia="zh-CN"/>
              </w:rPr>
              <w:t>27187</w:t>
            </w:r>
          </w:p>
        </w:tc>
        <w:tc>
          <w:tcPr>
            <w:tcW w:w="2922" w:type="dxa"/>
            <w:noWrap/>
            <w:hideMark/>
          </w:tcPr>
          <w:p w14:paraId="4625C55F"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p>
        </w:tc>
        <w:tc>
          <w:tcPr>
            <w:tcW w:w="932" w:type="dxa"/>
            <w:noWrap/>
            <w:hideMark/>
          </w:tcPr>
          <w:p w14:paraId="3211A28E"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6</w:t>
            </w:r>
          </w:p>
        </w:tc>
        <w:tc>
          <w:tcPr>
            <w:tcW w:w="977" w:type="dxa"/>
            <w:noWrap/>
            <w:hideMark/>
          </w:tcPr>
          <w:p w14:paraId="699601A4"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1252</w:t>
            </w:r>
          </w:p>
        </w:tc>
        <w:tc>
          <w:tcPr>
            <w:tcW w:w="876" w:type="dxa"/>
            <w:noWrap/>
            <w:hideMark/>
          </w:tcPr>
          <w:p w14:paraId="3AC9EB89"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0.479</w:t>
            </w:r>
          </w:p>
        </w:tc>
        <w:tc>
          <w:tcPr>
            <w:tcW w:w="790" w:type="dxa"/>
            <w:noWrap/>
            <w:hideMark/>
          </w:tcPr>
          <w:p w14:paraId="6F5DC361"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71</w:t>
            </w:r>
          </w:p>
        </w:tc>
        <w:tc>
          <w:tcPr>
            <w:tcW w:w="977" w:type="dxa"/>
            <w:noWrap/>
            <w:hideMark/>
          </w:tcPr>
          <w:p w14:paraId="7B1D4D8E"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7758</w:t>
            </w:r>
          </w:p>
        </w:tc>
        <w:tc>
          <w:tcPr>
            <w:tcW w:w="876" w:type="dxa"/>
            <w:noWrap/>
            <w:hideMark/>
          </w:tcPr>
          <w:p w14:paraId="2E354164"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0.915</w:t>
            </w:r>
          </w:p>
        </w:tc>
        <w:tc>
          <w:tcPr>
            <w:tcW w:w="902" w:type="dxa"/>
            <w:noWrap/>
            <w:hideMark/>
          </w:tcPr>
          <w:p w14:paraId="4C1A5618"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p>
        </w:tc>
      </w:tr>
      <w:tr w:rsidR="00936AC6" w:rsidRPr="00936AC6" w14:paraId="3FD45A7E" w14:textId="77777777" w:rsidTr="00936AC6">
        <w:trPr>
          <w:trHeight w:val="288"/>
        </w:trPr>
        <w:tc>
          <w:tcPr>
            <w:tcW w:w="1189" w:type="dxa"/>
            <w:noWrap/>
            <w:hideMark/>
          </w:tcPr>
          <w:p w14:paraId="3EFC3B0F" w14:textId="77777777" w:rsidR="00430572" w:rsidRPr="00936AC6" w:rsidRDefault="00430572" w:rsidP="00430572">
            <w:pPr>
              <w:shd w:val="clear" w:color="auto" w:fill="FFFFFF"/>
              <w:snapToGrid w:val="0"/>
              <w:spacing w:line="360" w:lineRule="auto"/>
              <w:jc w:val="both"/>
              <w:rPr>
                <w:rFonts w:ascii="Book Antiqua" w:hAnsi="Book Antiqua" w:cs="Helvetica"/>
                <w:lang w:eastAsia="zh-CN"/>
              </w:rPr>
            </w:pPr>
            <w:r w:rsidRPr="00936AC6">
              <w:rPr>
                <w:rFonts w:ascii="Book Antiqua" w:hAnsi="Book Antiqua" w:cs="Helvetica"/>
                <w:lang w:eastAsia="zh-CN"/>
              </w:rPr>
              <w:t>27511</w:t>
            </w:r>
          </w:p>
        </w:tc>
        <w:tc>
          <w:tcPr>
            <w:tcW w:w="2922" w:type="dxa"/>
            <w:noWrap/>
            <w:hideMark/>
          </w:tcPr>
          <w:p w14:paraId="6D7284C4"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p>
        </w:tc>
        <w:tc>
          <w:tcPr>
            <w:tcW w:w="932" w:type="dxa"/>
            <w:noWrap/>
            <w:hideMark/>
          </w:tcPr>
          <w:p w14:paraId="5D5C36A2"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6</w:t>
            </w:r>
          </w:p>
        </w:tc>
        <w:tc>
          <w:tcPr>
            <w:tcW w:w="977" w:type="dxa"/>
            <w:noWrap/>
            <w:hideMark/>
          </w:tcPr>
          <w:p w14:paraId="35A8C031"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1252</w:t>
            </w:r>
          </w:p>
        </w:tc>
        <w:tc>
          <w:tcPr>
            <w:tcW w:w="876" w:type="dxa"/>
            <w:noWrap/>
            <w:hideMark/>
          </w:tcPr>
          <w:p w14:paraId="25E1DB63"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0.479</w:t>
            </w:r>
          </w:p>
        </w:tc>
        <w:tc>
          <w:tcPr>
            <w:tcW w:w="790" w:type="dxa"/>
            <w:noWrap/>
            <w:hideMark/>
          </w:tcPr>
          <w:p w14:paraId="64AA38A8"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102</w:t>
            </w:r>
          </w:p>
        </w:tc>
        <w:tc>
          <w:tcPr>
            <w:tcW w:w="977" w:type="dxa"/>
            <w:noWrap/>
            <w:hideMark/>
          </w:tcPr>
          <w:p w14:paraId="714C811C"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7758</w:t>
            </w:r>
          </w:p>
        </w:tc>
        <w:tc>
          <w:tcPr>
            <w:tcW w:w="876" w:type="dxa"/>
            <w:noWrap/>
            <w:hideMark/>
          </w:tcPr>
          <w:p w14:paraId="1F020795"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1.315</w:t>
            </w:r>
          </w:p>
        </w:tc>
        <w:tc>
          <w:tcPr>
            <w:tcW w:w="902" w:type="dxa"/>
            <w:noWrap/>
            <w:hideMark/>
          </w:tcPr>
          <w:p w14:paraId="2BE9B513"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p>
        </w:tc>
      </w:tr>
      <w:tr w:rsidR="00936AC6" w:rsidRPr="00936AC6" w14:paraId="24DBF2B3" w14:textId="77777777" w:rsidTr="00936AC6">
        <w:trPr>
          <w:trHeight w:val="288"/>
        </w:trPr>
        <w:tc>
          <w:tcPr>
            <w:tcW w:w="1189" w:type="dxa"/>
            <w:noWrap/>
            <w:hideMark/>
          </w:tcPr>
          <w:p w14:paraId="50A05D47" w14:textId="77777777" w:rsidR="00430572" w:rsidRPr="00936AC6" w:rsidRDefault="00430572" w:rsidP="00430572">
            <w:pPr>
              <w:shd w:val="clear" w:color="auto" w:fill="FFFFFF"/>
              <w:snapToGrid w:val="0"/>
              <w:spacing w:line="360" w:lineRule="auto"/>
              <w:jc w:val="both"/>
              <w:rPr>
                <w:rFonts w:ascii="Book Antiqua" w:hAnsi="Book Antiqua" w:cs="Helvetica"/>
                <w:lang w:eastAsia="zh-CN"/>
              </w:rPr>
            </w:pPr>
            <w:r w:rsidRPr="00936AC6">
              <w:rPr>
                <w:rFonts w:ascii="Book Antiqua" w:hAnsi="Book Antiqua" w:cs="Helvetica"/>
                <w:lang w:eastAsia="zh-CN"/>
              </w:rPr>
              <w:t>22318</w:t>
            </w:r>
          </w:p>
        </w:tc>
        <w:tc>
          <w:tcPr>
            <w:tcW w:w="2922" w:type="dxa"/>
            <w:noWrap/>
            <w:hideMark/>
          </w:tcPr>
          <w:p w14:paraId="33274DE7"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p>
        </w:tc>
        <w:tc>
          <w:tcPr>
            <w:tcW w:w="932" w:type="dxa"/>
            <w:noWrap/>
            <w:hideMark/>
          </w:tcPr>
          <w:p w14:paraId="05E459FC"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5</w:t>
            </w:r>
          </w:p>
        </w:tc>
        <w:tc>
          <w:tcPr>
            <w:tcW w:w="977" w:type="dxa"/>
            <w:noWrap/>
            <w:hideMark/>
          </w:tcPr>
          <w:p w14:paraId="245CBB77"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1252</w:t>
            </w:r>
          </w:p>
        </w:tc>
        <w:tc>
          <w:tcPr>
            <w:tcW w:w="876" w:type="dxa"/>
            <w:noWrap/>
            <w:hideMark/>
          </w:tcPr>
          <w:p w14:paraId="1490906F"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0.399</w:t>
            </w:r>
          </w:p>
        </w:tc>
        <w:tc>
          <w:tcPr>
            <w:tcW w:w="790" w:type="dxa"/>
            <w:noWrap/>
            <w:hideMark/>
          </w:tcPr>
          <w:p w14:paraId="0901C1C0"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23</w:t>
            </w:r>
          </w:p>
        </w:tc>
        <w:tc>
          <w:tcPr>
            <w:tcW w:w="977" w:type="dxa"/>
            <w:noWrap/>
            <w:hideMark/>
          </w:tcPr>
          <w:p w14:paraId="2372AAE8"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7758</w:t>
            </w:r>
          </w:p>
        </w:tc>
        <w:tc>
          <w:tcPr>
            <w:tcW w:w="876" w:type="dxa"/>
            <w:noWrap/>
            <w:hideMark/>
          </w:tcPr>
          <w:p w14:paraId="01135D0D"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0.296</w:t>
            </w:r>
          </w:p>
        </w:tc>
        <w:tc>
          <w:tcPr>
            <w:tcW w:w="902" w:type="dxa"/>
            <w:noWrap/>
            <w:hideMark/>
          </w:tcPr>
          <w:p w14:paraId="5EE57C3C"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p>
        </w:tc>
      </w:tr>
      <w:tr w:rsidR="00936AC6" w:rsidRPr="00936AC6" w14:paraId="73EA4C72" w14:textId="77777777" w:rsidTr="00936AC6">
        <w:trPr>
          <w:trHeight w:val="288"/>
        </w:trPr>
        <w:tc>
          <w:tcPr>
            <w:tcW w:w="1189" w:type="dxa"/>
            <w:noWrap/>
            <w:hideMark/>
          </w:tcPr>
          <w:p w14:paraId="24FA875C" w14:textId="77777777" w:rsidR="00430572" w:rsidRPr="00936AC6" w:rsidRDefault="00430572" w:rsidP="00430572">
            <w:pPr>
              <w:shd w:val="clear" w:color="auto" w:fill="FFFFFF"/>
              <w:snapToGrid w:val="0"/>
              <w:spacing w:line="360" w:lineRule="auto"/>
              <w:jc w:val="both"/>
              <w:rPr>
                <w:rFonts w:ascii="Book Antiqua" w:hAnsi="Book Antiqua" w:cs="Helvetica"/>
                <w:lang w:eastAsia="zh-CN"/>
              </w:rPr>
            </w:pPr>
            <w:r w:rsidRPr="00936AC6">
              <w:rPr>
                <w:rFonts w:ascii="Book Antiqua" w:hAnsi="Book Antiqua" w:cs="Helvetica"/>
                <w:lang w:eastAsia="zh-CN"/>
              </w:rPr>
              <w:t>27454</w:t>
            </w:r>
          </w:p>
        </w:tc>
        <w:tc>
          <w:tcPr>
            <w:tcW w:w="2922" w:type="dxa"/>
            <w:noWrap/>
            <w:hideMark/>
          </w:tcPr>
          <w:p w14:paraId="3A278F17"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p>
        </w:tc>
        <w:tc>
          <w:tcPr>
            <w:tcW w:w="932" w:type="dxa"/>
            <w:noWrap/>
            <w:hideMark/>
          </w:tcPr>
          <w:p w14:paraId="1AA947D0"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5</w:t>
            </w:r>
          </w:p>
        </w:tc>
        <w:tc>
          <w:tcPr>
            <w:tcW w:w="977" w:type="dxa"/>
            <w:noWrap/>
            <w:hideMark/>
          </w:tcPr>
          <w:p w14:paraId="6B34C3F6"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1252</w:t>
            </w:r>
          </w:p>
        </w:tc>
        <w:tc>
          <w:tcPr>
            <w:tcW w:w="876" w:type="dxa"/>
            <w:noWrap/>
            <w:hideMark/>
          </w:tcPr>
          <w:p w14:paraId="624EA68E"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0.399</w:t>
            </w:r>
          </w:p>
        </w:tc>
        <w:tc>
          <w:tcPr>
            <w:tcW w:w="790" w:type="dxa"/>
            <w:noWrap/>
            <w:hideMark/>
          </w:tcPr>
          <w:p w14:paraId="7E588EE4"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7</w:t>
            </w:r>
          </w:p>
        </w:tc>
        <w:tc>
          <w:tcPr>
            <w:tcW w:w="977" w:type="dxa"/>
            <w:noWrap/>
            <w:hideMark/>
          </w:tcPr>
          <w:p w14:paraId="266EC3F4"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7758</w:t>
            </w:r>
          </w:p>
        </w:tc>
        <w:tc>
          <w:tcPr>
            <w:tcW w:w="876" w:type="dxa"/>
            <w:noWrap/>
            <w:hideMark/>
          </w:tcPr>
          <w:p w14:paraId="02603CB0"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0.09</w:t>
            </w:r>
          </w:p>
        </w:tc>
        <w:tc>
          <w:tcPr>
            <w:tcW w:w="902" w:type="dxa"/>
            <w:noWrap/>
            <w:hideMark/>
          </w:tcPr>
          <w:p w14:paraId="4104E5A2"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p>
        </w:tc>
      </w:tr>
      <w:tr w:rsidR="00936AC6" w:rsidRPr="00936AC6" w14:paraId="075A41C1" w14:textId="77777777" w:rsidTr="00936AC6">
        <w:trPr>
          <w:trHeight w:val="288"/>
        </w:trPr>
        <w:tc>
          <w:tcPr>
            <w:tcW w:w="1189" w:type="dxa"/>
            <w:noWrap/>
            <w:hideMark/>
          </w:tcPr>
          <w:p w14:paraId="7E83A506" w14:textId="77777777" w:rsidR="00430572" w:rsidRPr="00936AC6" w:rsidRDefault="00430572" w:rsidP="00430572">
            <w:pPr>
              <w:shd w:val="clear" w:color="auto" w:fill="FFFFFF"/>
              <w:snapToGrid w:val="0"/>
              <w:spacing w:line="360" w:lineRule="auto"/>
              <w:jc w:val="both"/>
              <w:rPr>
                <w:rFonts w:ascii="Book Antiqua" w:hAnsi="Book Antiqua" w:cs="Helvetica"/>
                <w:lang w:eastAsia="zh-CN"/>
              </w:rPr>
            </w:pPr>
            <w:r w:rsidRPr="00936AC6">
              <w:rPr>
                <w:rFonts w:ascii="Book Antiqua" w:hAnsi="Book Antiqua" w:cs="Helvetica"/>
                <w:lang w:eastAsia="zh-CN"/>
              </w:rPr>
              <w:t>27507</w:t>
            </w:r>
          </w:p>
        </w:tc>
        <w:tc>
          <w:tcPr>
            <w:tcW w:w="2922" w:type="dxa"/>
            <w:noWrap/>
            <w:hideMark/>
          </w:tcPr>
          <w:p w14:paraId="1B5EE1E0"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p>
        </w:tc>
        <w:tc>
          <w:tcPr>
            <w:tcW w:w="932" w:type="dxa"/>
            <w:noWrap/>
            <w:hideMark/>
          </w:tcPr>
          <w:p w14:paraId="220C0A3F"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5</w:t>
            </w:r>
          </w:p>
        </w:tc>
        <w:tc>
          <w:tcPr>
            <w:tcW w:w="977" w:type="dxa"/>
            <w:noWrap/>
            <w:hideMark/>
          </w:tcPr>
          <w:p w14:paraId="42F1CB62"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1252</w:t>
            </w:r>
          </w:p>
        </w:tc>
        <w:tc>
          <w:tcPr>
            <w:tcW w:w="876" w:type="dxa"/>
            <w:noWrap/>
            <w:hideMark/>
          </w:tcPr>
          <w:p w14:paraId="511446CB"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0.399</w:t>
            </w:r>
          </w:p>
        </w:tc>
        <w:tc>
          <w:tcPr>
            <w:tcW w:w="790" w:type="dxa"/>
            <w:noWrap/>
            <w:hideMark/>
          </w:tcPr>
          <w:p w14:paraId="11ECAB92"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68</w:t>
            </w:r>
          </w:p>
        </w:tc>
        <w:tc>
          <w:tcPr>
            <w:tcW w:w="977" w:type="dxa"/>
            <w:noWrap/>
            <w:hideMark/>
          </w:tcPr>
          <w:p w14:paraId="3F7EC101"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7758</w:t>
            </w:r>
          </w:p>
        </w:tc>
        <w:tc>
          <w:tcPr>
            <w:tcW w:w="876" w:type="dxa"/>
            <w:noWrap/>
            <w:hideMark/>
          </w:tcPr>
          <w:p w14:paraId="7CBF0958"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0.877</w:t>
            </w:r>
          </w:p>
        </w:tc>
        <w:tc>
          <w:tcPr>
            <w:tcW w:w="902" w:type="dxa"/>
            <w:noWrap/>
            <w:hideMark/>
          </w:tcPr>
          <w:p w14:paraId="47D667D5"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p>
        </w:tc>
      </w:tr>
      <w:tr w:rsidR="00936AC6" w:rsidRPr="00936AC6" w14:paraId="7A98752F" w14:textId="77777777" w:rsidTr="00936AC6">
        <w:trPr>
          <w:trHeight w:val="288"/>
        </w:trPr>
        <w:tc>
          <w:tcPr>
            <w:tcW w:w="1189" w:type="dxa"/>
            <w:noWrap/>
            <w:hideMark/>
          </w:tcPr>
          <w:p w14:paraId="2C9947C1" w14:textId="77777777" w:rsidR="00430572" w:rsidRPr="00936AC6" w:rsidRDefault="00430572" w:rsidP="00430572">
            <w:pPr>
              <w:shd w:val="clear" w:color="auto" w:fill="FFFFFF"/>
              <w:snapToGrid w:val="0"/>
              <w:spacing w:line="360" w:lineRule="auto"/>
              <w:jc w:val="both"/>
              <w:rPr>
                <w:rFonts w:ascii="Book Antiqua" w:hAnsi="Book Antiqua" w:cs="Helvetica"/>
                <w:lang w:eastAsia="zh-CN"/>
              </w:rPr>
            </w:pPr>
            <w:r w:rsidRPr="00936AC6">
              <w:rPr>
                <w:rFonts w:ascii="Book Antiqua" w:hAnsi="Book Antiqua" w:cs="Helvetica"/>
                <w:lang w:eastAsia="zh-CN"/>
              </w:rPr>
              <w:t>27254</w:t>
            </w:r>
          </w:p>
        </w:tc>
        <w:tc>
          <w:tcPr>
            <w:tcW w:w="2922" w:type="dxa"/>
            <w:noWrap/>
            <w:hideMark/>
          </w:tcPr>
          <w:p w14:paraId="0F628B43"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Open treatment of hip dislocation, traumatic, with acetabular wall and femoral head fracture, with or without internal or external fixation</w:t>
            </w:r>
          </w:p>
        </w:tc>
        <w:tc>
          <w:tcPr>
            <w:tcW w:w="932" w:type="dxa"/>
            <w:noWrap/>
            <w:hideMark/>
          </w:tcPr>
          <w:p w14:paraId="52853C24"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4</w:t>
            </w:r>
          </w:p>
        </w:tc>
        <w:tc>
          <w:tcPr>
            <w:tcW w:w="977" w:type="dxa"/>
            <w:noWrap/>
            <w:hideMark/>
          </w:tcPr>
          <w:p w14:paraId="5C6110C3"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1252</w:t>
            </w:r>
          </w:p>
        </w:tc>
        <w:tc>
          <w:tcPr>
            <w:tcW w:w="876" w:type="dxa"/>
            <w:noWrap/>
            <w:hideMark/>
          </w:tcPr>
          <w:p w14:paraId="12CCE0F5"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0.319</w:t>
            </w:r>
          </w:p>
        </w:tc>
        <w:tc>
          <w:tcPr>
            <w:tcW w:w="790" w:type="dxa"/>
            <w:noWrap/>
            <w:hideMark/>
          </w:tcPr>
          <w:p w14:paraId="58DEE1DB"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141</w:t>
            </w:r>
          </w:p>
        </w:tc>
        <w:tc>
          <w:tcPr>
            <w:tcW w:w="977" w:type="dxa"/>
            <w:noWrap/>
            <w:hideMark/>
          </w:tcPr>
          <w:p w14:paraId="798B7A01"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7758</w:t>
            </w:r>
          </w:p>
        </w:tc>
        <w:tc>
          <w:tcPr>
            <w:tcW w:w="876" w:type="dxa"/>
            <w:noWrap/>
            <w:hideMark/>
          </w:tcPr>
          <w:p w14:paraId="76D46455"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1.817</w:t>
            </w:r>
          </w:p>
        </w:tc>
        <w:tc>
          <w:tcPr>
            <w:tcW w:w="902" w:type="dxa"/>
            <w:noWrap/>
            <w:hideMark/>
          </w:tcPr>
          <w:p w14:paraId="4D1A0757"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p>
        </w:tc>
      </w:tr>
      <w:tr w:rsidR="00936AC6" w:rsidRPr="00936AC6" w14:paraId="0C48EBEF" w14:textId="77777777" w:rsidTr="00936AC6">
        <w:trPr>
          <w:trHeight w:val="288"/>
        </w:trPr>
        <w:tc>
          <w:tcPr>
            <w:tcW w:w="1189" w:type="dxa"/>
            <w:noWrap/>
            <w:hideMark/>
          </w:tcPr>
          <w:p w14:paraId="45D49172" w14:textId="77777777" w:rsidR="00430572" w:rsidRPr="00936AC6" w:rsidRDefault="00430572" w:rsidP="00430572">
            <w:pPr>
              <w:shd w:val="clear" w:color="auto" w:fill="FFFFFF"/>
              <w:snapToGrid w:val="0"/>
              <w:spacing w:line="360" w:lineRule="auto"/>
              <w:jc w:val="both"/>
              <w:rPr>
                <w:rFonts w:ascii="Book Antiqua" w:hAnsi="Book Antiqua" w:cs="Helvetica"/>
                <w:lang w:eastAsia="zh-CN"/>
              </w:rPr>
            </w:pPr>
            <w:r w:rsidRPr="00936AC6">
              <w:rPr>
                <w:rFonts w:ascii="Book Antiqua" w:hAnsi="Book Antiqua" w:cs="Helvetica"/>
                <w:lang w:eastAsia="zh-CN"/>
              </w:rPr>
              <w:t>27509</w:t>
            </w:r>
          </w:p>
        </w:tc>
        <w:tc>
          <w:tcPr>
            <w:tcW w:w="2922" w:type="dxa"/>
            <w:noWrap/>
            <w:hideMark/>
          </w:tcPr>
          <w:p w14:paraId="06DCA88C"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p>
        </w:tc>
        <w:tc>
          <w:tcPr>
            <w:tcW w:w="932" w:type="dxa"/>
            <w:noWrap/>
            <w:hideMark/>
          </w:tcPr>
          <w:p w14:paraId="5A3AA613"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4</w:t>
            </w:r>
          </w:p>
        </w:tc>
        <w:tc>
          <w:tcPr>
            <w:tcW w:w="977" w:type="dxa"/>
            <w:noWrap/>
            <w:hideMark/>
          </w:tcPr>
          <w:p w14:paraId="17020EFB"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1252</w:t>
            </w:r>
          </w:p>
        </w:tc>
        <w:tc>
          <w:tcPr>
            <w:tcW w:w="876" w:type="dxa"/>
            <w:noWrap/>
            <w:hideMark/>
          </w:tcPr>
          <w:p w14:paraId="45057220"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0.319</w:t>
            </w:r>
          </w:p>
        </w:tc>
        <w:tc>
          <w:tcPr>
            <w:tcW w:w="790" w:type="dxa"/>
            <w:noWrap/>
            <w:hideMark/>
          </w:tcPr>
          <w:p w14:paraId="7CF7FF47"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17</w:t>
            </w:r>
          </w:p>
        </w:tc>
        <w:tc>
          <w:tcPr>
            <w:tcW w:w="977" w:type="dxa"/>
            <w:noWrap/>
            <w:hideMark/>
          </w:tcPr>
          <w:p w14:paraId="510935D6"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7758</w:t>
            </w:r>
          </w:p>
        </w:tc>
        <w:tc>
          <w:tcPr>
            <w:tcW w:w="876" w:type="dxa"/>
            <w:noWrap/>
            <w:hideMark/>
          </w:tcPr>
          <w:p w14:paraId="69633412"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0.219</w:t>
            </w:r>
          </w:p>
        </w:tc>
        <w:tc>
          <w:tcPr>
            <w:tcW w:w="902" w:type="dxa"/>
            <w:noWrap/>
            <w:hideMark/>
          </w:tcPr>
          <w:p w14:paraId="1DD194DF"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p>
        </w:tc>
      </w:tr>
      <w:tr w:rsidR="00936AC6" w:rsidRPr="00936AC6" w14:paraId="2C2C2631" w14:textId="77777777" w:rsidTr="00936AC6">
        <w:trPr>
          <w:trHeight w:val="288"/>
        </w:trPr>
        <w:tc>
          <w:tcPr>
            <w:tcW w:w="1189" w:type="dxa"/>
            <w:noWrap/>
            <w:hideMark/>
          </w:tcPr>
          <w:p w14:paraId="648FD6C9" w14:textId="77777777" w:rsidR="00430572" w:rsidRPr="00936AC6" w:rsidRDefault="00430572" w:rsidP="00430572">
            <w:pPr>
              <w:shd w:val="clear" w:color="auto" w:fill="FFFFFF"/>
              <w:snapToGrid w:val="0"/>
              <w:spacing w:line="360" w:lineRule="auto"/>
              <w:jc w:val="both"/>
              <w:rPr>
                <w:rFonts w:ascii="Book Antiqua" w:hAnsi="Book Antiqua" w:cs="Helvetica"/>
                <w:lang w:eastAsia="zh-CN"/>
              </w:rPr>
            </w:pPr>
            <w:r w:rsidRPr="00936AC6">
              <w:rPr>
                <w:rFonts w:ascii="Book Antiqua" w:hAnsi="Book Antiqua" w:cs="Helvetica"/>
                <w:lang w:eastAsia="zh-CN"/>
              </w:rPr>
              <w:t>27513</w:t>
            </w:r>
          </w:p>
        </w:tc>
        <w:tc>
          <w:tcPr>
            <w:tcW w:w="2922" w:type="dxa"/>
            <w:noWrap/>
            <w:hideMark/>
          </w:tcPr>
          <w:p w14:paraId="7D2FC83D"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p>
        </w:tc>
        <w:tc>
          <w:tcPr>
            <w:tcW w:w="932" w:type="dxa"/>
            <w:noWrap/>
            <w:hideMark/>
          </w:tcPr>
          <w:p w14:paraId="2D21C997"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4</w:t>
            </w:r>
          </w:p>
        </w:tc>
        <w:tc>
          <w:tcPr>
            <w:tcW w:w="977" w:type="dxa"/>
            <w:noWrap/>
            <w:hideMark/>
          </w:tcPr>
          <w:p w14:paraId="043F8265"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1252</w:t>
            </w:r>
          </w:p>
        </w:tc>
        <w:tc>
          <w:tcPr>
            <w:tcW w:w="876" w:type="dxa"/>
            <w:noWrap/>
            <w:hideMark/>
          </w:tcPr>
          <w:p w14:paraId="137A1CAF"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0.319</w:t>
            </w:r>
          </w:p>
        </w:tc>
        <w:tc>
          <w:tcPr>
            <w:tcW w:w="790" w:type="dxa"/>
            <w:noWrap/>
            <w:hideMark/>
          </w:tcPr>
          <w:p w14:paraId="4EAB1DB2"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50</w:t>
            </w:r>
          </w:p>
        </w:tc>
        <w:tc>
          <w:tcPr>
            <w:tcW w:w="977" w:type="dxa"/>
            <w:noWrap/>
            <w:hideMark/>
          </w:tcPr>
          <w:p w14:paraId="159F1161"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7758</w:t>
            </w:r>
          </w:p>
        </w:tc>
        <w:tc>
          <w:tcPr>
            <w:tcW w:w="876" w:type="dxa"/>
            <w:noWrap/>
            <w:hideMark/>
          </w:tcPr>
          <w:p w14:paraId="126A764E"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0.644</w:t>
            </w:r>
          </w:p>
        </w:tc>
        <w:tc>
          <w:tcPr>
            <w:tcW w:w="902" w:type="dxa"/>
            <w:noWrap/>
            <w:hideMark/>
          </w:tcPr>
          <w:p w14:paraId="19494D6E"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p>
        </w:tc>
      </w:tr>
      <w:tr w:rsidR="00936AC6" w:rsidRPr="00936AC6" w14:paraId="5FA0A275" w14:textId="77777777" w:rsidTr="00936AC6">
        <w:trPr>
          <w:trHeight w:val="288"/>
        </w:trPr>
        <w:tc>
          <w:tcPr>
            <w:tcW w:w="1189" w:type="dxa"/>
            <w:noWrap/>
            <w:hideMark/>
          </w:tcPr>
          <w:p w14:paraId="34C1E63D" w14:textId="77777777" w:rsidR="00430572" w:rsidRPr="00936AC6" w:rsidRDefault="00430572" w:rsidP="00430572">
            <w:pPr>
              <w:shd w:val="clear" w:color="auto" w:fill="FFFFFF"/>
              <w:snapToGrid w:val="0"/>
              <w:spacing w:line="360" w:lineRule="auto"/>
              <w:jc w:val="both"/>
              <w:rPr>
                <w:rFonts w:ascii="Book Antiqua" w:hAnsi="Book Antiqua" w:cs="Helvetica"/>
                <w:lang w:eastAsia="zh-CN"/>
              </w:rPr>
            </w:pPr>
            <w:r w:rsidRPr="00936AC6">
              <w:rPr>
                <w:rFonts w:ascii="Book Antiqua" w:hAnsi="Book Antiqua" w:cs="Helvetica"/>
                <w:lang w:eastAsia="zh-CN"/>
              </w:rPr>
              <w:t>23615</w:t>
            </w:r>
          </w:p>
        </w:tc>
        <w:tc>
          <w:tcPr>
            <w:tcW w:w="2922" w:type="dxa"/>
            <w:noWrap/>
            <w:hideMark/>
          </w:tcPr>
          <w:p w14:paraId="0DAA9418"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p>
        </w:tc>
        <w:tc>
          <w:tcPr>
            <w:tcW w:w="932" w:type="dxa"/>
            <w:noWrap/>
            <w:hideMark/>
          </w:tcPr>
          <w:p w14:paraId="64001FB4"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3</w:t>
            </w:r>
          </w:p>
        </w:tc>
        <w:tc>
          <w:tcPr>
            <w:tcW w:w="977" w:type="dxa"/>
            <w:noWrap/>
            <w:hideMark/>
          </w:tcPr>
          <w:p w14:paraId="73CD2510"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1252</w:t>
            </w:r>
          </w:p>
        </w:tc>
        <w:tc>
          <w:tcPr>
            <w:tcW w:w="876" w:type="dxa"/>
            <w:noWrap/>
            <w:hideMark/>
          </w:tcPr>
          <w:p w14:paraId="2013CD80"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0.24</w:t>
            </w:r>
          </w:p>
        </w:tc>
        <w:tc>
          <w:tcPr>
            <w:tcW w:w="790" w:type="dxa"/>
            <w:noWrap/>
            <w:hideMark/>
          </w:tcPr>
          <w:p w14:paraId="32BF768D"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12</w:t>
            </w:r>
          </w:p>
        </w:tc>
        <w:tc>
          <w:tcPr>
            <w:tcW w:w="977" w:type="dxa"/>
            <w:noWrap/>
            <w:hideMark/>
          </w:tcPr>
          <w:p w14:paraId="7633CAE6"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7758</w:t>
            </w:r>
          </w:p>
        </w:tc>
        <w:tc>
          <w:tcPr>
            <w:tcW w:w="876" w:type="dxa"/>
            <w:noWrap/>
            <w:hideMark/>
          </w:tcPr>
          <w:p w14:paraId="3BFBC4ED"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0.155</w:t>
            </w:r>
          </w:p>
        </w:tc>
        <w:tc>
          <w:tcPr>
            <w:tcW w:w="902" w:type="dxa"/>
            <w:noWrap/>
            <w:hideMark/>
          </w:tcPr>
          <w:p w14:paraId="44BE9D2D"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p>
        </w:tc>
      </w:tr>
      <w:tr w:rsidR="00936AC6" w:rsidRPr="00936AC6" w14:paraId="21F30EE1" w14:textId="77777777" w:rsidTr="00936AC6">
        <w:trPr>
          <w:trHeight w:val="288"/>
        </w:trPr>
        <w:tc>
          <w:tcPr>
            <w:tcW w:w="1189" w:type="dxa"/>
            <w:noWrap/>
            <w:hideMark/>
          </w:tcPr>
          <w:p w14:paraId="30855DE9" w14:textId="77777777" w:rsidR="00430572" w:rsidRPr="00936AC6" w:rsidRDefault="00430572" w:rsidP="00430572">
            <w:pPr>
              <w:shd w:val="clear" w:color="auto" w:fill="FFFFFF"/>
              <w:snapToGrid w:val="0"/>
              <w:spacing w:line="360" w:lineRule="auto"/>
              <w:jc w:val="both"/>
              <w:rPr>
                <w:rFonts w:ascii="Book Antiqua" w:hAnsi="Book Antiqua" w:cs="Helvetica"/>
                <w:lang w:eastAsia="zh-CN"/>
              </w:rPr>
            </w:pPr>
            <w:r w:rsidRPr="00936AC6">
              <w:rPr>
                <w:rFonts w:ascii="Book Antiqua" w:hAnsi="Book Antiqua" w:cs="Helvetica"/>
                <w:lang w:eastAsia="zh-CN"/>
              </w:rPr>
              <w:t>27122</w:t>
            </w:r>
          </w:p>
        </w:tc>
        <w:tc>
          <w:tcPr>
            <w:tcW w:w="2922" w:type="dxa"/>
            <w:noWrap/>
            <w:hideMark/>
          </w:tcPr>
          <w:p w14:paraId="077093B5"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p>
        </w:tc>
        <w:tc>
          <w:tcPr>
            <w:tcW w:w="932" w:type="dxa"/>
            <w:noWrap/>
            <w:hideMark/>
          </w:tcPr>
          <w:p w14:paraId="04DF34FD"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3</w:t>
            </w:r>
          </w:p>
        </w:tc>
        <w:tc>
          <w:tcPr>
            <w:tcW w:w="977" w:type="dxa"/>
            <w:noWrap/>
            <w:hideMark/>
          </w:tcPr>
          <w:p w14:paraId="0200842A"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1252</w:t>
            </w:r>
          </w:p>
        </w:tc>
        <w:tc>
          <w:tcPr>
            <w:tcW w:w="876" w:type="dxa"/>
            <w:noWrap/>
            <w:hideMark/>
          </w:tcPr>
          <w:p w14:paraId="68DADFD9"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0.24</w:t>
            </w:r>
          </w:p>
        </w:tc>
        <w:tc>
          <w:tcPr>
            <w:tcW w:w="790" w:type="dxa"/>
            <w:noWrap/>
            <w:hideMark/>
          </w:tcPr>
          <w:p w14:paraId="2FCA8890"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3</w:t>
            </w:r>
          </w:p>
        </w:tc>
        <w:tc>
          <w:tcPr>
            <w:tcW w:w="977" w:type="dxa"/>
            <w:noWrap/>
            <w:hideMark/>
          </w:tcPr>
          <w:p w14:paraId="07E5C90B"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7758</w:t>
            </w:r>
          </w:p>
        </w:tc>
        <w:tc>
          <w:tcPr>
            <w:tcW w:w="876" w:type="dxa"/>
            <w:noWrap/>
            <w:hideMark/>
          </w:tcPr>
          <w:p w14:paraId="155E5E7A"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0.039</w:t>
            </w:r>
          </w:p>
        </w:tc>
        <w:tc>
          <w:tcPr>
            <w:tcW w:w="902" w:type="dxa"/>
            <w:noWrap/>
            <w:hideMark/>
          </w:tcPr>
          <w:p w14:paraId="605B19A1"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p>
        </w:tc>
      </w:tr>
      <w:tr w:rsidR="00936AC6" w:rsidRPr="00936AC6" w14:paraId="3EF8694D" w14:textId="77777777" w:rsidTr="00936AC6">
        <w:trPr>
          <w:trHeight w:val="288"/>
        </w:trPr>
        <w:tc>
          <w:tcPr>
            <w:tcW w:w="1189" w:type="dxa"/>
            <w:noWrap/>
            <w:hideMark/>
          </w:tcPr>
          <w:p w14:paraId="048E9BF8" w14:textId="77777777" w:rsidR="00430572" w:rsidRPr="00936AC6" w:rsidRDefault="00430572" w:rsidP="00430572">
            <w:pPr>
              <w:shd w:val="clear" w:color="auto" w:fill="FFFFFF"/>
              <w:snapToGrid w:val="0"/>
              <w:spacing w:line="360" w:lineRule="auto"/>
              <w:jc w:val="both"/>
              <w:rPr>
                <w:rFonts w:ascii="Book Antiqua" w:hAnsi="Book Antiqua" w:cs="Helvetica"/>
                <w:lang w:eastAsia="zh-CN"/>
              </w:rPr>
            </w:pPr>
            <w:r w:rsidRPr="00936AC6">
              <w:rPr>
                <w:rFonts w:ascii="Book Antiqua" w:hAnsi="Book Antiqua" w:cs="Helvetica"/>
                <w:lang w:eastAsia="zh-CN"/>
              </w:rPr>
              <w:t>27165</w:t>
            </w:r>
          </w:p>
        </w:tc>
        <w:tc>
          <w:tcPr>
            <w:tcW w:w="2922" w:type="dxa"/>
            <w:noWrap/>
            <w:hideMark/>
          </w:tcPr>
          <w:p w14:paraId="6E021E7B"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p>
        </w:tc>
        <w:tc>
          <w:tcPr>
            <w:tcW w:w="932" w:type="dxa"/>
            <w:noWrap/>
            <w:hideMark/>
          </w:tcPr>
          <w:p w14:paraId="62584706"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3</w:t>
            </w:r>
          </w:p>
        </w:tc>
        <w:tc>
          <w:tcPr>
            <w:tcW w:w="977" w:type="dxa"/>
            <w:noWrap/>
            <w:hideMark/>
          </w:tcPr>
          <w:p w14:paraId="6FA99236"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1252</w:t>
            </w:r>
          </w:p>
        </w:tc>
        <w:tc>
          <w:tcPr>
            <w:tcW w:w="876" w:type="dxa"/>
            <w:noWrap/>
            <w:hideMark/>
          </w:tcPr>
          <w:p w14:paraId="575B0412"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0.24</w:t>
            </w:r>
          </w:p>
        </w:tc>
        <w:tc>
          <w:tcPr>
            <w:tcW w:w="790" w:type="dxa"/>
            <w:noWrap/>
            <w:hideMark/>
          </w:tcPr>
          <w:p w14:paraId="59B81A74"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44</w:t>
            </w:r>
          </w:p>
        </w:tc>
        <w:tc>
          <w:tcPr>
            <w:tcW w:w="977" w:type="dxa"/>
            <w:noWrap/>
            <w:hideMark/>
          </w:tcPr>
          <w:p w14:paraId="06DBADE9"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7758</w:t>
            </w:r>
          </w:p>
        </w:tc>
        <w:tc>
          <w:tcPr>
            <w:tcW w:w="876" w:type="dxa"/>
            <w:noWrap/>
            <w:hideMark/>
          </w:tcPr>
          <w:p w14:paraId="34AB67FC"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0.567</w:t>
            </w:r>
          </w:p>
        </w:tc>
        <w:tc>
          <w:tcPr>
            <w:tcW w:w="902" w:type="dxa"/>
            <w:noWrap/>
            <w:hideMark/>
          </w:tcPr>
          <w:p w14:paraId="2EC10C0F"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p>
        </w:tc>
      </w:tr>
      <w:tr w:rsidR="00936AC6" w:rsidRPr="00936AC6" w14:paraId="11B90335" w14:textId="77777777" w:rsidTr="00936AC6">
        <w:trPr>
          <w:trHeight w:val="288"/>
        </w:trPr>
        <w:tc>
          <w:tcPr>
            <w:tcW w:w="1189" w:type="dxa"/>
            <w:noWrap/>
            <w:hideMark/>
          </w:tcPr>
          <w:p w14:paraId="5AEC7E3F" w14:textId="77777777" w:rsidR="00430572" w:rsidRPr="00936AC6" w:rsidRDefault="00430572" w:rsidP="00430572">
            <w:pPr>
              <w:shd w:val="clear" w:color="auto" w:fill="FFFFFF"/>
              <w:snapToGrid w:val="0"/>
              <w:spacing w:line="360" w:lineRule="auto"/>
              <w:jc w:val="both"/>
              <w:rPr>
                <w:rFonts w:ascii="Book Antiqua" w:hAnsi="Book Antiqua" w:cs="Helvetica"/>
                <w:lang w:eastAsia="zh-CN"/>
              </w:rPr>
            </w:pPr>
            <w:r w:rsidRPr="00936AC6">
              <w:rPr>
                <w:rFonts w:ascii="Book Antiqua" w:hAnsi="Book Antiqua" w:cs="Helvetica"/>
                <w:lang w:eastAsia="zh-CN"/>
              </w:rPr>
              <w:t>27228</w:t>
            </w:r>
          </w:p>
        </w:tc>
        <w:tc>
          <w:tcPr>
            <w:tcW w:w="2922" w:type="dxa"/>
            <w:noWrap/>
            <w:hideMark/>
          </w:tcPr>
          <w:p w14:paraId="3DB41778"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p>
        </w:tc>
        <w:tc>
          <w:tcPr>
            <w:tcW w:w="932" w:type="dxa"/>
            <w:noWrap/>
            <w:hideMark/>
          </w:tcPr>
          <w:p w14:paraId="40F5359A"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3</w:t>
            </w:r>
          </w:p>
        </w:tc>
        <w:tc>
          <w:tcPr>
            <w:tcW w:w="977" w:type="dxa"/>
            <w:noWrap/>
            <w:hideMark/>
          </w:tcPr>
          <w:p w14:paraId="1A163B13"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1252</w:t>
            </w:r>
          </w:p>
        </w:tc>
        <w:tc>
          <w:tcPr>
            <w:tcW w:w="876" w:type="dxa"/>
            <w:noWrap/>
            <w:hideMark/>
          </w:tcPr>
          <w:p w14:paraId="61E5117B"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0.24</w:t>
            </w:r>
          </w:p>
        </w:tc>
        <w:tc>
          <w:tcPr>
            <w:tcW w:w="790" w:type="dxa"/>
            <w:noWrap/>
            <w:hideMark/>
          </w:tcPr>
          <w:p w14:paraId="2BDC83C3"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20</w:t>
            </w:r>
          </w:p>
        </w:tc>
        <w:tc>
          <w:tcPr>
            <w:tcW w:w="977" w:type="dxa"/>
            <w:noWrap/>
            <w:hideMark/>
          </w:tcPr>
          <w:p w14:paraId="45B78EC8"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7758</w:t>
            </w:r>
          </w:p>
        </w:tc>
        <w:tc>
          <w:tcPr>
            <w:tcW w:w="876" w:type="dxa"/>
            <w:noWrap/>
            <w:hideMark/>
          </w:tcPr>
          <w:p w14:paraId="2DED5850"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0.258</w:t>
            </w:r>
          </w:p>
        </w:tc>
        <w:tc>
          <w:tcPr>
            <w:tcW w:w="902" w:type="dxa"/>
            <w:noWrap/>
            <w:hideMark/>
          </w:tcPr>
          <w:p w14:paraId="0561BDBF"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p>
        </w:tc>
      </w:tr>
      <w:tr w:rsidR="00936AC6" w:rsidRPr="00936AC6" w14:paraId="5A57E180" w14:textId="77777777" w:rsidTr="00936AC6">
        <w:trPr>
          <w:trHeight w:val="288"/>
        </w:trPr>
        <w:tc>
          <w:tcPr>
            <w:tcW w:w="1189" w:type="dxa"/>
            <w:noWrap/>
            <w:hideMark/>
          </w:tcPr>
          <w:p w14:paraId="01BCD24A" w14:textId="77777777" w:rsidR="00430572" w:rsidRPr="00936AC6" w:rsidRDefault="00430572" w:rsidP="00430572">
            <w:pPr>
              <w:shd w:val="clear" w:color="auto" w:fill="FFFFFF"/>
              <w:snapToGrid w:val="0"/>
              <w:spacing w:line="360" w:lineRule="auto"/>
              <w:jc w:val="both"/>
              <w:rPr>
                <w:rFonts w:ascii="Book Antiqua" w:hAnsi="Book Antiqua" w:cs="Helvetica"/>
                <w:lang w:eastAsia="zh-CN"/>
              </w:rPr>
            </w:pPr>
            <w:r w:rsidRPr="00936AC6">
              <w:rPr>
                <w:rFonts w:ascii="Book Antiqua" w:hAnsi="Book Antiqua" w:cs="Helvetica"/>
                <w:lang w:eastAsia="zh-CN"/>
              </w:rPr>
              <w:t>27514</w:t>
            </w:r>
          </w:p>
        </w:tc>
        <w:tc>
          <w:tcPr>
            <w:tcW w:w="2922" w:type="dxa"/>
            <w:noWrap/>
            <w:hideMark/>
          </w:tcPr>
          <w:p w14:paraId="43DBFFAE"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p>
        </w:tc>
        <w:tc>
          <w:tcPr>
            <w:tcW w:w="932" w:type="dxa"/>
            <w:noWrap/>
            <w:hideMark/>
          </w:tcPr>
          <w:p w14:paraId="69EC82CA"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3</w:t>
            </w:r>
          </w:p>
        </w:tc>
        <w:tc>
          <w:tcPr>
            <w:tcW w:w="977" w:type="dxa"/>
            <w:noWrap/>
            <w:hideMark/>
          </w:tcPr>
          <w:p w14:paraId="3162624A"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1252</w:t>
            </w:r>
          </w:p>
        </w:tc>
        <w:tc>
          <w:tcPr>
            <w:tcW w:w="876" w:type="dxa"/>
            <w:noWrap/>
            <w:hideMark/>
          </w:tcPr>
          <w:p w14:paraId="266181BB"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0.24</w:t>
            </w:r>
          </w:p>
        </w:tc>
        <w:tc>
          <w:tcPr>
            <w:tcW w:w="790" w:type="dxa"/>
            <w:noWrap/>
            <w:hideMark/>
          </w:tcPr>
          <w:p w14:paraId="05BABC67"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48</w:t>
            </w:r>
          </w:p>
        </w:tc>
        <w:tc>
          <w:tcPr>
            <w:tcW w:w="977" w:type="dxa"/>
            <w:noWrap/>
            <w:hideMark/>
          </w:tcPr>
          <w:p w14:paraId="67DA6A3F"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7758</w:t>
            </w:r>
          </w:p>
        </w:tc>
        <w:tc>
          <w:tcPr>
            <w:tcW w:w="876" w:type="dxa"/>
            <w:noWrap/>
            <w:hideMark/>
          </w:tcPr>
          <w:p w14:paraId="412AE0E2"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0.619</w:t>
            </w:r>
          </w:p>
        </w:tc>
        <w:tc>
          <w:tcPr>
            <w:tcW w:w="902" w:type="dxa"/>
            <w:noWrap/>
            <w:hideMark/>
          </w:tcPr>
          <w:p w14:paraId="25020A75"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p>
        </w:tc>
      </w:tr>
      <w:tr w:rsidR="00936AC6" w:rsidRPr="00936AC6" w14:paraId="3ED7EF26" w14:textId="77777777" w:rsidTr="00936AC6">
        <w:trPr>
          <w:trHeight w:val="288"/>
        </w:trPr>
        <w:tc>
          <w:tcPr>
            <w:tcW w:w="1189" w:type="dxa"/>
            <w:noWrap/>
            <w:hideMark/>
          </w:tcPr>
          <w:p w14:paraId="7872D1C6" w14:textId="77777777" w:rsidR="00430572" w:rsidRPr="00936AC6" w:rsidRDefault="00430572" w:rsidP="00430572">
            <w:pPr>
              <w:shd w:val="clear" w:color="auto" w:fill="FFFFFF"/>
              <w:snapToGrid w:val="0"/>
              <w:spacing w:line="360" w:lineRule="auto"/>
              <w:jc w:val="both"/>
              <w:rPr>
                <w:rFonts w:ascii="Book Antiqua" w:hAnsi="Book Antiqua" w:cs="Helvetica"/>
                <w:lang w:eastAsia="zh-CN"/>
              </w:rPr>
            </w:pPr>
            <w:r w:rsidRPr="00936AC6">
              <w:rPr>
                <w:rFonts w:ascii="Book Antiqua" w:hAnsi="Book Antiqua" w:cs="Helvetica"/>
                <w:lang w:eastAsia="zh-CN"/>
              </w:rPr>
              <w:t>27138</w:t>
            </w:r>
          </w:p>
        </w:tc>
        <w:tc>
          <w:tcPr>
            <w:tcW w:w="2922" w:type="dxa"/>
            <w:noWrap/>
            <w:hideMark/>
          </w:tcPr>
          <w:p w14:paraId="67E696CF"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p>
        </w:tc>
        <w:tc>
          <w:tcPr>
            <w:tcW w:w="932" w:type="dxa"/>
            <w:noWrap/>
            <w:hideMark/>
          </w:tcPr>
          <w:p w14:paraId="14346309"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2</w:t>
            </w:r>
          </w:p>
        </w:tc>
        <w:tc>
          <w:tcPr>
            <w:tcW w:w="977" w:type="dxa"/>
            <w:noWrap/>
            <w:hideMark/>
          </w:tcPr>
          <w:p w14:paraId="38C80FF6"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1252</w:t>
            </w:r>
          </w:p>
        </w:tc>
        <w:tc>
          <w:tcPr>
            <w:tcW w:w="876" w:type="dxa"/>
            <w:noWrap/>
            <w:hideMark/>
          </w:tcPr>
          <w:p w14:paraId="6E1912FA"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0.16</w:t>
            </w:r>
          </w:p>
        </w:tc>
        <w:tc>
          <w:tcPr>
            <w:tcW w:w="790" w:type="dxa"/>
            <w:noWrap/>
            <w:hideMark/>
          </w:tcPr>
          <w:p w14:paraId="52F9ED04"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18</w:t>
            </w:r>
          </w:p>
        </w:tc>
        <w:tc>
          <w:tcPr>
            <w:tcW w:w="977" w:type="dxa"/>
            <w:noWrap/>
            <w:hideMark/>
          </w:tcPr>
          <w:p w14:paraId="59069761"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7758</w:t>
            </w:r>
          </w:p>
        </w:tc>
        <w:tc>
          <w:tcPr>
            <w:tcW w:w="876" w:type="dxa"/>
            <w:noWrap/>
            <w:hideMark/>
          </w:tcPr>
          <w:p w14:paraId="6CEA57C6"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0.232</w:t>
            </w:r>
          </w:p>
        </w:tc>
        <w:tc>
          <w:tcPr>
            <w:tcW w:w="902" w:type="dxa"/>
            <w:noWrap/>
            <w:hideMark/>
          </w:tcPr>
          <w:p w14:paraId="75364A93"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p>
        </w:tc>
      </w:tr>
      <w:tr w:rsidR="00936AC6" w:rsidRPr="00936AC6" w14:paraId="0EBEB30C" w14:textId="77777777" w:rsidTr="00936AC6">
        <w:trPr>
          <w:trHeight w:val="288"/>
        </w:trPr>
        <w:tc>
          <w:tcPr>
            <w:tcW w:w="1189" w:type="dxa"/>
            <w:noWrap/>
            <w:hideMark/>
          </w:tcPr>
          <w:p w14:paraId="7CFE677B" w14:textId="77777777" w:rsidR="00430572" w:rsidRPr="00936AC6" w:rsidRDefault="00430572" w:rsidP="00430572">
            <w:pPr>
              <w:shd w:val="clear" w:color="auto" w:fill="FFFFFF"/>
              <w:snapToGrid w:val="0"/>
              <w:spacing w:line="360" w:lineRule="auto"/>
              <w:jc w:val="both"/>
              <w:rPr>
                <w:rFonts w:ascii="Book Antiqua" w:hAnsi="Book Antiqua" w:cs="Helvetica"/>
                <w:lang w:eastAsia="zh-CN"/>
              </w:rPr>
            </w:pPr>
            <w:r w:rsidRPr="00936AC6">
              <w:rPr>
                <w:rFonts w:ascii="Book Antiqua" w:hAnsi="Book Antiqua" w:cs="Helvetica"/>
                <w:lang w:eastAsia="zh-CN"/>
              </w:rPr>
              <w:t>27759</w:t>
            </w:r>
          </w:p>
        </w:tc>
        <w:tc>
          <w:tcPr>
            <w:tcW w:w="2922" w:type="dxa"/>
            <w:noWrap/>
            <w:hideMark/>
          </w:tcPr>
          <w:p w14:paraId="46D4E25A"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p>
        </w:tc>
        <w:tc>
          <w:tcPr>
            <w:tcW w:w="932" w:type="dxa"/>
            <w:noWrap/>
            <w:hideMark/>
          </w:tcPr>
          <w:p w14:paraId="6FFC7C85"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2</w:t>
            </w:r>
          </w:p>
        </w:tc>
        <w:tc>
          <w:tcPr>
            <w:tcW w:w="977" w:type="dxa"/>
            <w:noWrap/>
            <w:hideMark/>
          </w:tcPr>
          <w:p w14:paraId="4441F4C0"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1252</w:t>
            </w:r>
          </w:p>
        </w:tc>
        <w:tc>
          <w:tcPr>
            <w:tcW w:w="876" w:type="dxa"/>
            <w:noWrap/>
            <w:hideMark/>
          </w:tcPr>
          <w:p w14:paraId="31573C19"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0.16</w:t>
            </w:r>
          </w:p>
        </w:tc>
        <w:tc>
          <w:tcPr>
            <w:tcW w:w="790" w:type="dxa"/>
            <w:noWrap/>
            <w:hideMark/>
          </w:tcPr>
          <w:p w14:paraId="7AA95675"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1</w:t>
            </w:r>
          </w:p>
        </w:tc>
        <w:tc>
          <w:tcPr>
            <w:tcW w:w="977" w:type="dxa"/>
            <w:noWrap/>
            <w:hideMark/>
          </w:tcPr>
          <w:p w14:paraId="4D66BC5E"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7758</w:t>
            </w:r>
          </w:p>
        </w:tc>
        <w:tc>
          <w:tcPr>
            <w:tcW w:w="876" w:type="dxa"/>
            <w:noWrap/>
            <w:hideMark/>
          </w:tcPr>
          <w:p w14:paraId="79553158"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0.013</w:t>
            </w:r>
          </w:p>
        </w:tc>
        <w:tc>
          <w:tcPr>
            <w:tcW w:w="902" w:type="dxa"/>
            <w:noWrap/>
            <w:hideMark/>
          </w:tcPr>
          <w:p w14:paraId="5452FCF2"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p>
        </w:tc>
      </w:tr>
      <w:tr w:rsidR="00936AC6" w:rsidRPr="00936AC6" w14:paraId="75127708" w14:textId="77777777" w:rsidTr="00936AC6">
        <w:trPr>
          <w:trHeight w:val="288"/>
        </w:trPr>
        <w:tc>
          <w:tcPr>
            <w:tcW w:w="1189" w:type="dxa"/>
            <w:noWrap/>
            <w:hideMark/>
          </w:tcPr>
          <w:p w14:paraId="44E792C0" w14:textId="77777777" w:rsidR="00430572" w:rsidRPr="00936AC6" w:rsidRDefault="00430572" w:rsidP="00430572">
            <w:pPr>
              <w:shd w:val="clear" w:color="auto" w:fill="FFFFFF"/>
              <w:snapToGrid w:val="0"/>
              <w:spacing w:line="360" w:lineRule="auto"/>
              <w:jc w:val="both"/>
              <w:rPr>
                <w:rFonts w:ascii="Book Antiqua" w:hAnsi="Book Antiqua" w:cs="Helvetica"/>
                <w:lang w:eastAsia="zh-CN"/>
              </w:rPr>
            </w:pPr>
            <w:r w:rsidRPr="00936AC6">
              <w:rPr>
                <w:rFonts w:ascii="Book Antiqua" w:hAnsi="Book Antiqua" w:cs="Helvetica"/>
                <w:lang w:eastAsia="zh-CN"/>
              </w:rPr>
              <w:t>23470</w:t>
            </w:r>
          </w:p>
        </w:tc>
        <w:tc>
          <w:tcPr>
            <w:tcW w:w="2922" w:type="dxa"/>
            <w:noWrap/>
            <w:hideMark/>
          </w:tcPr>
          <w:p w14:paraId="02F59CDB"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p>
        </w:tc>
        <w:tc>
          <w:tcPr>
            <w:tcW w:w="932" w:type="dxa"/>
            <w:noWrap/>
            <w:hideMark/>
          </w:tcPr>
          <w:p w14:paraId="238F2D84"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1</w:t>
            </w:r>
          </w:p>
        </w:tc>
        <w:tc>
          <w:tcPr>
            <w:tcW w:w="977" w:type="dxa"/>
            <w:noWrap/>
            <w:hideMark/>
          </w:tcPr>
          <w:p w14:paraId="46D1DE06"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1252</w:t>
            </w:r>
          </w:p>
        </w:tc>
        <w:tc>
          <w:tcPr>
            <w:tcW w:w="876" w:type="dxa"/>
            <w:noWrap/>
            <w:hideMark/>
          </w:tcPr>
          <w:p w14:paraId="7C3F5814"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0.08</w:t>
            </w:r>
          </w:p>
        </w:tc>
        <w:tc>
          <w:tcPr>
            <w:tcW w:w="790" w:type="dxa"/>
            <w:noWrap/>
            <w:hideMark/>
          </w:tcPr>
          <w:p w14:paraId="2522F78B"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2</w:t>
            </w:r>
          </w:p>
        </w:tc>
        <w:tc>
          <w:tcPr>
            <w:tcW w:w="977" w:type="dxa"/>
            <w:noWrap/>
            <w:hideMark/>
          </w:tcPr>
          <w:p w14:paraId="497F6823"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7758</w:t>
            </w:r>
          </w:p>
        </w:tc>
        <w:tc>
          <w:tcPr>
            <w:tcW w:w="876" w:type="dxa"/>
            <w:noWrap/>
            <w:hideMark/>
          </w:tcPr>
          <w:p w14:paraId="37CADBFC"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0.026</w:t>
            </w:r>
          </w:p>
        </w:tc>
        <w:tc>
          <w:tcPr>
            <w:tcW w:w="902" w:type="dxa"/>
            <w:noWrap/>
            <w:hideMark/>
          </w:tcPr>
          <w:p w14:paraId="7C662125"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p>
        </w:tc>
      </w:tr>
      <w:tr w:rsidR="00936AC6" w:rsidRPr="00936AC6" w14:paraId="728A69C5" w14:textId="77777777" w:rsidTr="00936AC6">
        <w:trPr>
          <w:trHeight w:val="288"/>
        </w:trPr>
        <w:tc>
          <w:tcPr>
            <w:tcW w:w="1189" w:type="dxa"/>
            <w:noWrap/>
            <w:hideMark/>
          </w:tcPr>
          <w:p w14:paraId="606D7201" w14:textId="77777777" w:rsidR="00430572" w:rsidRPr="00936AC6" w:rsidRDefault="00430572" w:rsidP="00430572">
            <w:pPr>
              <w:shd w:val="clear" w:color="auto" w:fill="FFFFFF"/>
              <w:snapToGrid w:val="0"/>
              <w:spacing w:line="360" w:lineRule="auto"/>
              <w:jc w:val="both"/>
              <w:rPr>
                <w:rFonts w:ascii="Book Antiqua" w:hAnsi="Book Antiqua" w:cs="Helvetica"/>
                <w:lang w:eastAsia="zh-CN"/>
              </w:rPr>
            </w:pPr>
            <w:r w:rsidRPr="00936AC6">
              <w:rPr>
                <w:rFonts w:ascii="Book Antiqua" w:hAnsi="Book Antiqua" w:cs="Helvetica"/>
                <w:lang w:eastAsia="zh-CN"/>
              </w:rPr>
              <w:t>27132</w:t>
            </w:r>
          </w:p>
        </w:tc>
        <w:tc>
          <w:tcPr>
            <w:tcW w:w="2922" w:type="dxa"/>
            <w:noWrap/>
            <w:hideMark/>
          </w:tcPr>
          <w:p w14:paraId="61BB7331"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p>
        </w:tc>
        <w:tc>
          <w:tcPr>
            <w:tcW w:w="932" w:type="dxa"/>
            <w:noWrap/>
            <w:hideMark/>
          </w:tcPr>
          <w:p w14:paraId="6F3F0F0A"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1</w:t>
            </w:r>
          </w:p>
        </w:tc>
        <w:tc>
          <w:tcPr>
            <w:tcW w:w="977" w:type="dxa"/>
            <w:noWrap/>
            <w:hideMark/>
          </w:tcPr>
          <w:p w14:paraId="6130F694"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1252</w:t>
            </w:r>
          </w:p>
        </w:tc>
        <w:tc>
          <w:tcPr>
            <w:tcW w:w="876" w:type="dxa"/>
            <w:noWrap/>
            <w:hideMark/>
          </w:tcPr>
          <w:p w14:paraId="2E708706"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0.08</w:t>
            </w:r>
          </w:p>
        </w:tc>
        <w:tc>
          <w:tcPr>
            <w:tcW w:w="790" w:type="dxa"/>
            <w:noWrap/>
            <w:hideMark/>
          </w:tcPr>
          <w:p w14:paraId="2DF8C34D"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13</w:t>
            </w:r>
          </w:p>
        </w:tc>
        <w:tc>
          <w:tcPr>
            <w:tcW w:w="977" w:type="dxa"/>
            <w:noWrap/>
            <w:hideMark/>
          </w:tcPr>
          <w:p w14:paraId="3B693DCF"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7758</w:t>
            </w:r>
          </w:p>
        </w:tc>
        <w:tc>
          <w:tcPr>
            <w:tcW w:w="876" w:type="dxa"/>
            <w:noWrap/>
            <w:hideMark/>
          </w:tcPr>
          <w:p w14:paraId="4F750A10"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0.168</w:t>
            </w:r>
          </w:p>
        </w:tc>
        <w:tc>
          <w:tcPr>
            <w:tcW w:w="902" w:type="dxa"/>
            <w:noWrap/>
            <w:hideMark/>
          </w:tcPr>
          <w:p w14:paraId="580FD5D0"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p>
        </w:tc>
      </w:tr>
      <w:tr w:rsidR="00936AC6" w:rsidRPr="00936AC6" w14:paraId="1408E171" w14:textId="77777777" w:rsidTr="00936AC6">
        <w:trPr>
          <w:trHeight w:val="288"/>
        </w:trPr>
        <w:tc>
          <w:tcPr>
            <w:tcW w:w="1189" w:type="dxa"/>
            <w:noWrap/>
            <w:hideMark/>
          </w:tcPr>
          <w:p w14:paraId="4308A945" w14:textId="77777777" w:rsidR="00430572" w:rsidRPr="00936AC6" w:rsidRDefault="00430572" w:rsidP="00430572">
            <w:pPr>
              <w:shd w:val="clear" w:color="auto" w:fill="FFFFFF"/>
              <w:snapToGrid w:val="0"/>
              <w:spacing w:line="360" w:lineRule="auto"/>
              <w:jc w:val="both"/>
              <w:rPr>
                <w:rFonts w:ascii="Book Antiqua" w:hAnsi="Book Antiqua" w:cs="Helvetica"/>
                <w:lang w:eastAsia="zh-CN"/>
              </w:rPr>
            </w:pPr>
            <w:r w:rsidRPr="00936AC6">
              <w:rPr>
                <w:rFonts w:ascii="Book Antiqua" w:hAnsi="Book Antiqua" w:cs="Helvetica"/>
                <w:lang w:eastAsia="zh-CN"/>
              </w:rPr>
              <w:t>27134</w:t>
            </w:r>
          </w:p>
        </w:tc>
        <w:tc>
          <w:tcPr>
            <w:tcW w:w="2922" w:type="dxa"/>
            <w:noWrap/>
            <w:hideMark/>
          </w:tcPr>
          <w:p w14:paraId="3E529BE6"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p>
        </w:tc>
        <w:tc>
          <w:tcPr>
            <w:tcW w:w="932" w:type="dxa"/>
            <w:noWrap/>
            <w:hideMark/>
          </w:tcPr>
          <w:p w14:paraId="0233AC9C"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1</w:t>
            </w:r>
          </w:p>
        </w:tc>
        <w:tc>
          <w:tcPr>
            <w:tcW w:w="977" w:type="dxa"/>
            <w:noWrap/>
            <w:hideMark/>
          </w:tcPr>
          <w:p w14:paraId="13719F49"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1252</w:t>
            </w:r>
          </w:p>
        </w:tc>
        <w:tc>
          <w:tcPr>
            <w:tcW w:w="876" w:type="dxa"/>
            <w:noWrap/>
            <w:hideMark/>
          </w:tcPr>
          <w:p w14:paraId="08F8795C"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0.08</w:t>
            </w:r>
          </w:p>
        </w:tc>
        <w:tc>
          <w:tcPr>
            <w:tcW w:w="790" w:type="dxa"/>
            <w:noWrap/>
            <w:hideMark/>
          </w:tcPr>
          <w:p w14:paraId="3F546DA1"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14</w:t>
            </w:r>
          </w:p>
        </w:tc>
        <w:tc>
          <w:tcPr>
            <w:tcW w:w="977" w:type="dxa"/>
            <w:noWrap/>
            <w:hideMark/>
          </w:tcPr>
          <w:p w14:paraId="24FE7D9A"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7758</w:t>
            </w:r>
          </w:p>
        </w:tc>
        <w:tc>
          <w:tcPr>
            <w:tcW w:w="876" w:type="dxa"/>
            <w:noWrap/>
            <w:hideMark/>
          </w:tcPr>
          <w:p w14:paraId="522534B1"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0.18</w:t>
            </w:r>
          </w:p>
        </w:tc>
        <w:tc>
          <w:tcPr>
            <w:tcW w:w="902" w:type="dxa"/>
            <w:noWrap/>
            <w:hideMark/>
          </w:tcPr>
          <w:p w14:paraId="78634988"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p>
        </w:tc>
      </w:tr>
      <w:tr w:rsidR="00936AC6" w:rsidRPr="00936AC6" w14:paraId="2EB09059" w14:textId="77777777" w:rsidTr="00936AC6">
        <w:trPr>
          <w:trHeight w:val="288"/>
        </w:trPr>
        <w:tc>
          <w:tcPr>
            <w:tcW w:w="1189" w:type="dxa"/>
            <w:tcBorders>
              <w:bottom w:val="single" w:sz="4" w:space="0" w:color="auto"/>
            </w:tcBorders>
            <w:noWrap/>
            <w:hideMark/>
          </w:tcPr>
          <w:p w14:paraId="33BD696B" w14:textId="77777777" w:rsidR="00430572" w:rsidRPr="00936AC6" w:rsidRDefault="00430572" w:rsidP="00430572">
            <w:pPr>
              <w:shd w:val="clear" w:color="auto" w:fill="FFFFFF"/>
              <w:snapToGrid w:val="0"/>
              <w:spacing w:line="360" w:lineRule="auto"/>
              <w:jc w:val="both"/>
              <w:rPr>
                <w:rFonts w:ascii="Book Antiqua" w:hAnsi="Book Antiqua" w:cs="Helvetica"/>
                <w:lang w:eastAsia="zh-CN"/>
              </w:rPr>
            </w:pPr>
            <w:r w:rsidRPr="00936AC6">
              <w:rPr>
                <w:rFonts w:ascii="Book Antiqua" w:hAnsi="Book Antiqua" w:cs="Helvetica"/>
                <w:lang w:eastAsia="zh-CN"/>
              </w:rPr>
              <w:lastRenderedPageBreak/>
              <w:t>27177</w:t>
            </w:r>
          </w:p>
        </w:tc>
        <w:tc>
          <w:tcPr>
            <w:tcW w:w="2922" w:type="dxa"/>
            <w:tcBorders>
              <w:bottom w:val="single" w:sz="4" w:space="0" w:color="auto"/>
            </w:tcBorders>
            <w:noWrap/>
            <w:hideMark/>
          </w:tcPr>
          <w:p w14:paraId="0481FEA6"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p>
        </w:tc>
        <w:tc>
          <w:tcPr>
            <w:tcW w:w="932" w:type="dxa"/>
            <w:tcBorders>
              <w:bottom w:val="single" w:sz="4" w:space="0" w:color="auto"/>
            </w:tcBorders>
            <w:noWrap/>
            <w:hideMark/>
          </w:tcPr>
          <w:p w14:paraId="0A12D271"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1</w:t>
            </w:r>
          </w:p>
        </w:tc>
        <w:tc>
          <w:tcPr>
            <w:tcW w:w="977" w:type="dxa"/>
            <w:tcBorders>
              <w:bottom w:val="single" w:sz="4" w:space="0" w:color="auto"/>
            </w:tcBorders>
            <w:noWrap/>
            <w:hideMark/>
          </w:tcPr>
          <w:p w14:paraId="0F1FEC01"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1252</w:t>
            </w:r>
          </w:p>
        </w:tc>
        <w:tc>
          <w:tcPr>
            <w:tcW w:w="876" w:type="dxa"/>
            <w:tcBorders>
              <w:bottom w:val="single" w:sz="4" w:space="0" w:color="auto"/>
            </w:tcBorders>
            <w:noWrap/>
            <w:hideMark/>
          </w:tcPr>
          <w:p w14:paraId="56ADA99E"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0.08</w:t>
            </w:r>
          </w:p>
        </w:tc>
        <w:tc>
          <w:tcPr>
            <w:tcW w:w="790" w:type="dxa"/>
            <w:tcBorders>
              <w:bottom w:val="single" w:sz="4" w:space="0" w:color="auto"/>
            </w:tcBorders>
            <w:noWrap/>
            <w:hideMark/>
          </w:tcPr>
          <w:p w14:paraId="5F5108A2"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4</w:t>
            </w:r>
          </w:p>
        </w:tc>
        <w:tc>
          <w:tcPr>
            <w:tcW w:w="977" w:type="dxa"/>
            <w:tcBorders>
              <w:bottom w:val="single" w:sz="4" w:space="0" w:color="auto"/>
            </w:tcBorders>
            <w:noWrap/>
            <w:hideMark/>
          </w:tcPr>
          <w:p w14:paraId="42C520D1"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7758</w:t>
            </w:r>
          </w:p>
        </w:tc>
        <w:tc>
          <w:tcPr>
            <w:tcW w:w="876" w:type="dxa"/>
            <w:tcBorders>
              <w:bottom w:val="single" w:sz="4" w:space="0" w:color="auto"/>
            </w:tcBorders>
            <w:noWrap/>
            <w:hideMark/>
          </w:tcPr>
          <w:p w14:paraId="1F88D655"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r w:rsidRPr="00936AC6">
              <w:rPr>
                <w:rFonts w:ascii="Book Antiqua" w:hAnsi="Book Antiqua" w:cs="Helvetica"/>
                <w:lang w:eastAsia="zh-CN"/>
              </w:rPr>
              <w:t>0.052</w:t>
            </w:r>
          </w:p>
        </w:tc>
        <w:tc>
          <w:tcPr>
            <w:tcW w:w="902" w:type="dxa"/>
            <w:tcBorders>
              <w:bottom w:val="single" w:sz="4" w:space="0" w:color="auto"/>
            </w:tcBorders>
            <w:noWrap/>
            <w:hideMark/>
          </w:tcPr>
          <w:p w14:paraId="5F933DA3" w14:textId="77777777" w:rsidR="00430572" w:rsidRPr="00936AC6" w:rsidRDefault="00430572" w:rsidP="00936AC6">
            <w:pPr>
              <w:shd w:val="clear" w:color="auto" w:fill="FFFFFF"/>
              <w:snapToGrid w:val="0"/>
              <w:spacing w:line="360" w:lineRule="auto"/>
              <w:jc w:val="center"/>
              <w:rPr>
                <w:rFonts w:ascii="Book Antiqua" w:hAnsi="Book Antiqua" w:cs="Helvetica"/>
                <w:lang w:eastAsia="zh-CN"/>
              </w:rPr>
            </w:pPr>
          </w:p>
        </w:tc>
      </w:tr>
    </w:tbl>
    <w:p w14:paraId="469E8305" w14:textId="77777777" w:rsidR="00430572" w:rsidRDefault="00430572" w:rsidP="001326DA">
      <w:pPr>
        <w:shd w:val="clear" w:color="auto" w:fill="FFFFFF"/>
        <w:snapToGrid w:val="0"/>
        <w:spacing w:line="360" w:lineRule="auto"/>
        <w:jc w:val="both"/>
        <w:rPr>
          <w:rFonts w:ascii="Book Antiqua" w:hAnsi="Book Antiqua" w:cs="Helvetica"/>
          <w:b/>
          <w:lang w:eastAsia="zh-CN"/>
        </w:rPr>
      </w:pPr>
    </w:p>
    <w:p w14:paraId="4A1524BE" w14:textId="77777777" w:rsidR="00430572" w:rsidRPr="001326DA" w:rsidRDefault="00430572" w:rsidP="001326DA">
      <w:pPr>
        <w:shd w:val="clear" w:color="auto" w:fill="FFFFFF"/>
        <w:snapToGrid w:val="0"/>
        <w:spacing w:line="360" w:lineRule="auto"/>
        <w:jc w:val="both"/>
        <w:rPr>
          <w:rFonts w:ascii="Book Antiqua" w:hAnsi="Book Antiqua" w:cs="Helvetica"/>
          <w:b/>
          <w:lang w:eastAsia="zh-CN"/>
        </w:rPr>
      </w:pPr>
    </w:p>
    <w:p w14:paraId="282F6345" w14:textId="77777777" w:rsidR="00430572" w:rsidRDefault="00430572">
      <w:pPr>
        <w:rPr>
          <w:rFonts w:ascii="Book Antiqua" w:hAnsi="Book Antiqua" w:cs="Helvetica"/>
          <w:b/>
        </w:rPr>
      </w:pPr>
      <w:r>
        <w:rPr>
          <w:rFonts w:ascii="Book Antiqua" w:hAnsi="Book Antiqua" w:cs="Helvetica"/>
          <w:b/>
        </w:rPr>
        <w:br w:type="page"/>
      </w:r>
    </w:p>
    <w:p w14:paraId="3D00042A" w14:textId="77777777" w:rsidR="001326DA" w:rsidRDefault="00936AC6" w:rsidP="001326DA">
      <w:pPr>
        <w:shd w:val="clear" w:color="auto" w:fill="FFFFFF"/>
        <w:snapToGrid w:val="0"/>
        <w:spacing w:line="360" w:lineRule="auto"/>
        <w:jc w:val="both"/>
        <w:rPr>
          <w:rFonts w:ascii="Book Antiqua" w:hAnsi="Book Antiqua" w:cs="Helvetica"/>
          <w:b/>
          <w:lang w:eastAsia="zh-CN"/>
        </w:rPr>
      </w:pPr>
      <w:r>
        <w:rPr>
          <w:rFonts w:ascii="Book Antiqua" w:hAnsi="Book Antiqua" w:cs="Helvetica"/>
          <w:b/>
        </w:rPr>
        <w:lastRenderedPageBreak/>
        <w:t>Table 3</w:t>
      </w:r>
      <w:r w:rsidR="001326DA" w:rsidRPr="001326DA">
        <w:rPr>
          <w:rFonts w:ascii="Book Antiqua" w:hAnsi="Book Antiqua" w:cs="Helvetica"/>
          <w:b/>
        </w:rPr>
        <w:t xml:space="preserve"> Surgical case mix of hip fracture surgery performed on </w:t>
      </w:r>
      <w:r w:rsidR="00C06921" w:rsidRPr="00936AC6">
        <w:rPr>
          <w:rFonts w:ascii="Book Antiqua" w:hAnsi="Book Antiqua" w:cs="Times New Roman"/>
          <w:b/>
          <w:color w:val="1A1A1A"/>
        </w:rPr>
        <w:t>Do Not Resuscitate</w:t>
      </w:r>
      <w:r w:rsidR="00C06921" w:rsidRPr="00936AC6">
        <w:rPr>
          <w:rFonts w:ascii="Book Antiqua" w:hAnsi="Book Antiqua" w:cs="Helvetica"/>
          <w:b/>
        </w:rPr>
        <w:t xml:space="preserve"> and </w:t>
      </w:r>
      <w:proofErr w:type="spellStart"/>
      <w:proofErr w:type="gramStart"/>
      <w:r w:rsidR="00C06921" w:rsidRPr="00936AC6">
        <w:rPr>
          <w:rFonts w:ascii="Book Antiqua" w:hAnsi="Book Antiqua" w:cs="Helvetica"/>
          <w:b/>
        </w:rPr>
        <w:t xml:space="preserve">non </w:t>
      </w:r>
      <w:r w:rsidR="00C06921" w:rsidRPr="00936AC6">
        <w:rPr>
          <w:rFonts w:ascii="Book Antiqua" w:hAnsi="Book Antiqua" w:cs="Times New Roman"/>
          <w:b/>
          <w:color w:val="1A1A1A"/>
        </w:rPr>
        <w:t>Do</w:t>
      </w:r>
      <w:proofErr w:type="spellEnd"/>
      <w:proofErr w:type="gramEnd"/>
      <w:r w:rsidR="00C06921" w:rsidRPr="00936AC6">
        <w:rPr>
          <w:rFonts w:ascii="Book Antiqua" w:hAnsi="Book Antiqua" w:cs="Times New Roman"/>
          <w:b/>
          <w:color w:val="1A1A1A"/>
        </w:rPr>
        <w:t xml:space="preserve"> Not Resuscitate</w:t>
      </w:r>
      <w:r w:rsidR="00C06921">
        <w:rPr>
          <w:rFonts w:ascii="Book Antiqua" w:hAnsi="Book Antiqua" w:cs="Times New Roman" w:hint="eastAsia"/>
          <w:color w:val="1A1A1A"/>
          <w:lang w:eastAsia="zh-CN"/>
        </w:rPr>
        <w:t xml:space="preserve"> </w:t>
      </w:r>
      <w:r w:rsidR="001326DA" w:rsidRPr="001326DA">
        <w:rPr>
          <w:rFonts w:ascii="Book Antiqua" w:hAnsi="Book Antiqua" w:cs="Helvetica"/>
          <w:b/>
        </w:rPr>
        <w:t>status patients</w:t>
      </w:r>
    </w:p>
    <w:tbl>
      <w:tblPr>
        <w:tblW w:w="11040" w:type="dxa"/>
        <w:tblInd w:w="-1168" w:type="dxa"/>
        <w:tblLook w:val="04A0" w:firstRow="1" w:lastRow="0" w:firstColumn="1" w:lastColumn="0" w:noHBand="0" w:noVBand="1"/>
      </w:tblPr>
      <w:tblGrid>
        <w:gridCol w:w="1418"/>
        <w:gridCol w:w="3402"/>
        <w:gridCol w:w="723"/>
        <w:gridCol w:w="1004"/>
        <w:gridCol w:w="975"/>
        <w:gridCol w:w="723"/>
        <w:gridCol w:w="1004"/>
        <w:gridCol w:w="975"/>
        <w:gridCol w:w="816"/>
      </w:tblGrid>
      <w:tr w:rsidR="00C06921" w:rsidRPr="00C06921" w14:paraId="0721643B" w14:textId="77777777" w:rsidTr="00C06921">
        <w:trPr>
          <w:trHeight w:val="288"/>
        </w:trPr>
        <w:tc>
          <w:tcPr>
            <w:tcW w:w="1418" w:type="dxa"/>
            <w:vMerge w:val="restart"/>
            <w:tcBorders>
              <w:top w:val="single" w:sz="4" w:space="0" w:color="auto"/>
              <w:left w:val="nil"/>
              <w:right w:val="nil"/>
            </w:tcBorders>
            <w:shd w:val="clear" w:color="auto" w:fill="auto"/>
            <w:noWrap/>
            <w:hideMark/>
          </w:tcPr>
          <w:p w14:paraId="44AC9EA4" w14:textId="77777777" w:rsidR="00C06921" w:rsidRPr="00C06921" w:rsidRDefault="00C06921" w:rsidP="00C06921">
            <w:pPr>
              <w:spacing w:line="360" w:lineRule="auto"/>
              <w:jc w:val="center"/>
              <w:rPr>
                <w:rFonts w:ascii="Book Antiqua" w:eastAsia="Times New Roman" w:hAnsi="Book Antiqua" w:cs="Times New Roman"/>
                <w:b/>
                <w:color w:val="000000"/>
                <w:lang w:eastAsia="zh-CN"/>
              </w:rPr>
            </w:pPr>
            <w:r w:rsidRPr="00C06921">
              <w:rPr>
                <w:rFonts w:ascii="Book Antiqua" w:eastAsia="Times New Roman" w:hAnsi="Book Antiqua" w:cs="Times New Roman"/>
                <w:b/>
                <w:color w:val="000000"/>
                <w:lang w:eastAsia="zh-CN"/>
              </w:rPr>
              <w:t>Surgical specialty</w:t>
            </w:r>
          </w:p>
        </w:tc>
        <w:tc>
          <w:tcPr>
            <w:tcW w:w="3402" w:type="dxa"/>
            <w:vMerge w:val="restart"/>
            <w:tcBorders>
              <w:top w:val="single" w:sz="4" w:space="0" w:color="auto"/>
              <w:left w:val="nil"/>
              <w:right w:val="nil"/>
            </w:tcBorders>
            <w:shd w:val="clear" w:color="auto" w:fill="auto"/>
            <w:hideMark/>
          </w:tcPr>
          <w:p w14:paraId="2D4EDC2F" w14:textId="77777777" w:rsidR="00C06921" w:rsidRPr="00C06921" w:rsidRDefault="00C06921" w:rsidP="00C06921">
            <w:pPr>
              <w:spacing w:line="360" w:lineRule="auto"/>
              <w:jc w:val="center"/>
              <w:rPr>
                <w:rFonts w:ascii="Book Antiqua" w:eastAsia="Times New Roman" w:hAnsi="Book Antiqua" w:cs="Times New Roman"/>
                <w:b/>
                <w:color w:val="000000"/>
                <w:lang w:eastAsia="zh-CN"/>
              </w:rPr>
            </w:pPr>
            <w:r w:rsidRPr="00C06921">
              <w:rPr>
                <w:rFonts w:ascii="Book Antiqua" w:eastAsia="Times New Roman" w:hAnsi="Book Antiqua" w:cs="Times New Roman"/>
                <w:b/>
                <w:color w:val="000000"/>
                <w:lang w:eastAsia="zh-CN"/>
              </w:rPr>
              <w:t>Translation</w:t>
            </w:r>
          </w:p>
        </w:tc>
        <w:tc>
          <w:tcPr>
            <w:tcW w:w="2702" w:type="dxa"/>
            <w:gridSpan w:val="3"/>
            <w:tcBorders>
              <w:top w:val="single" w:sz="4" w:space="0" w:color="auto"/>
              <w:left w:val="nil"/>
              <w:bottom w:val="nil"/>
              <w:right w:val="nil"/>
            </w:tcBorders>
            <w:shd w:val="clear" w:color="auto" w:fill="auto"/>
            <w:noWrap/>
            <w:hideMark/>
          </w:tcPr>
          <w:p w14:paraId="4561D269" w14:textId="77777777" w:rsidR="00C06921" w:rsidRPr="00C06921" w:rsidRDefault="007457AD" w:rsidP="00C06921">
            <w:pPr>
              <w:spacing w:line="360" w:lineRule="auto"/>
              <w:jc w:val="center"/>
              <w:rPr>
                <w:rFonts w:ascii="Book Antiqua" w:eastAsia="Times New Roman" w:hAnsi="Book Antiqua" w:cs="Times New Roman"/>
                <w:b/>
                <w:color w:val="000000"/>
                <w:lang w:eastAsia="zh-CN"/>
              </w:rPr>
            </w:pPr>
            <w:r>
              <w:rPr>
                <w:rFonts w:ascii="Book Antiqua" w:eastAsia="Times New Roman" w:hAnsi="Book Antiqua" w:cs="Times New Roman"/>
                <w:b/>
                <w:noProof/>
                <w:color w:val="000000"/>
                <w:lang w:eastAsia="zh-CN"/>
              </w:rPr>
              <mc:AlternateContent>
                <mc:Choice Requires="wps">
                  <w:drawing>
                    <wp:anchor distT="0" distB="0" distL="114300" distR="114300" simplePos="0" relativeHeight="251685888" behindDoc="0" locked="0" layoutInCell="1" allowOverlap="1" wp14:anchorId="1B7D939F" wp14:editId="3B94EA31">
                      <wp:simplePos x="0" y="0"/>
                      <wp:positionH relativeFrom="column">
                        <wp:posOffset>-69850</wp:posOffset>
                      </wp:positionH>
                      <wp:positionV relativeFrom="paragraph">
                        <wp:posOffset>234950</wp:posOffset>
                      </wp:positionV>
                      <wp:extent cx="1532255" cy="0"/>
                      <wp:effectExtent l="13970" t="17780" r="28575" b="20320"/>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225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9D0EE5" id="AutoShape 22" o:spid="_x0000_s1026" type="#_x0000_t32" style="position:absolute;margin-left:-5.5pt;margin-top:18.5pt;width:120.6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"/>
                  </w:pict>
                </mc:Fallback>
              </mc:AlternateContent>
            </w:r>
            <w:r w:rsidR="00C06921" w:rsidRPr="00C06921">
              <w:rPr>
                <w:rFonts w:ascii="Book Antiqua" w:eastAsia="Times New Roman" w:hAnsi="Book Antiqua" w:cs="Times New Roman"/>
                <w:b/>
                <w:color w:val="000000"/>
                <w:lang w:eastAsia="zh-CN"/>
              </w:rPr>
              <w:t>DNR</w:t>
            </w:r>
          </w:p>
        </w:tc>
        <w:tc>
          <w:tcPr>
            <w:tcW w:w="2702" w:type="dxa"/>
            <w:gridSpan w:val="3"/>
            <w:tcBorders>
              <w:top w:val="single" w:sz="4" w:space="0" w:color="auto"/>
              <w:left w:val="nil"/>
              <w:bottom w:val="nil"/>
              <w:right w:val="nil"/>
            </w:tcBorders>
            <w:shd w:val="clear" w:color="auto" w:fill="auto"/>
            <w:noWrap/>
            <w:hideMark/>
          </w:tcPr>
          <w:p w14:paraId="54D1F018" w14:textId="51107D5D" w:rsidR="00C06921" w:rsidRPr="00C06921" w:rsidRDefault="007457AD" w:rsidP="00C512FC">
            <w:pPr>
              <w:spacing w:line="360" w:lineRule="auto"/>
              <w:jc w:val="center"/>
              <w:rPr>
                <w:rFonts w:ascii="Book Antiqua" w:eastAsia="Times New Roman" w:hAnsi="Book Antiqua" w:cs="Times New Roman"/>
                <w:b/>
                <w:color w:val="000000"/>
                <w:lang w:eastAsia="zh-CN"/>
              </w:rPr>
            </w:pPr>
            <w:r>
              <w:rPr>
                <w:rFonts w:ascii="Book Antiqua" w:eastAsia="Times New Roman" w:hAnsi="Book Antiqua" w:cs="Times New Roman"/>
                <w:b/>
                <w:noProof/>
                <w:color w:val="000000"/>
                <w:lang w:eastAsia="zh-CN"/>
              </w:rPr>
              <mc:AlternateContent>
                <mc:Choice Requires="wps">
                  <w:drawing>
                    <wp:anchor distT="0" distB="0" distL="114300" distR="114300" simplePos="0" relativeHeight="251686912" behindDoc="0" locked="0" layoutInCell="1" allowOverlap="1" wp14:anchorId="5AE932D0" wp14:editId="3F4F4DAC">
                      <wp:simplePos x="0" y="0"/>
                      <wp:positionH relativeFrom="column">
                        <wp:posOffset>-13970</wp:posOffset>
                      </wp:positionH>
                      <wp:positionV relativeFrom="paragraph">
                        <wp:posOffset>234950</wp:posOffset>
                      </wp:positionV>
                      <wp:extent cx="1532255" cy="0"/>
                      <wp:effectExtent l="7620" t="17780" r="22225" b="20320"/>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225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8F64D8" id="AutoShape 23" o:spid="_x0000_s1026" type="#_x0000_t32" style="position:absolute;margin-left:-1.1pt;margin-top:18.5pt;width:120.6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"/>
                  </w:pict>
                </mc:Fallback>
              </mc:AlternateContent>
            </w:r>
            <w:r w:rsidR="00C06921" w:rsidRPr="00C06921">
              <w:rPr>
                <w:rFonts w:ascii="Book Antiqua" w:eastAsia="Times New Roman" w:hAnsi="Book Antiqua" w:cs="Times New Roman"/>
                <w:b/>
                <w:color w:val="000000"/>
                <w:lang w:eastAsia="zh-CN"/>
              </w:rPr>
              <w:t>No</w:t>
            </w:r>
            <w:r w:rsidR="00C512FC">
              <w:rPr>
                <w:rFonts w:ascii="Book Antiqua" w:eastAsia="Times New Roman" w:hAnsi="Book Antiqua" w:cs="Times New Roman" w:hint="eastAsia"/>
                <w:b/>
                <w:color w:val="000000"/>
                <w:lang w:eastAsia="zh-CN"/>
              </w:rPr>
              <w:t>t</w:t>
            </w:r>
            <w:r w:rsidR="00C06921" w:rsidRPr="00C06921">
              <w:rPr>
                <w:rFonts w:ascii="Book Antiqua" w:eastAsia="Times New Roman" w:hAnsi="Book Antiqua" w:cs="Times New Roman"/>
                <w:b/>
                <w:color w:val="000000"/>
                <w:lang w:eastAsia="zh-CN"/>
              </w:rPr>
              <w:t xml:space="preserve"> DNR</w:t>
            </w:r>
          </w:p>
        </w:tc>
        <w:tc>
          <w:tcPr>
            <w:tcW w:w="816" w:type="dxa"/>
            <w:vMerge w:val="restart"/>
            <w:tcBorders>
              <w:top w:val="single" w:sz="4" w:space="0" w:color="auto"/>
              <w:left w:val="nil"/>
              <w:right w:val="nil"/>
            </w:tcBorders>
            <w:shd w:val="clear" w:color="auto" w:fill="auto"/>
            <w:noWrap/>
            <w:hideMark/>
          </w:tcPr>
          <w:p w14:paraId="14F49C6B" w14:textId="77777777" w:rsidR="00C06921" w:rsidRPr="00C06921" w:rsidRDefault="00C06921" w:rsidP="00C06921">
            <w:pPr>
              <w:spacing w:line="360" w:lineRule="auto"/>
              <w:jc w:val="center"/>
              <w:rPr>
                <w:rFonts w:ascii="Book Antiqua" w:eastAsia="Times New Roman" w:hAnsi="Book Antiqua" w:cs="Times New Roman"/>
                <w:b/>
                <w:color w:val="000000"/>
                <w:lang w:eastAsia="zh-CN"/>
              </w:rPr>
            </w:pPr>
            <w:r w:rsidRPr="00C06921">
              <w:rPr>
                <w:rFonts w:ascii="Book Antiqua" w:eastAsia="Times New Roman" w:hAnsi="Book Antiqua" w:cs="Times New Roman"/>
                <w:b/>
                <w:i/>
                <w:color w:val="000000"/>
                <w:lang w:eastAsia="zh-CN"/>
              </w:rPr>
              <w:t>P</w:t>
            </w:r>
            <w:r w:rsidR="007457AD">
              <w:rPr>
                <w:rFonts w:ascii="Book Antiqua" w:eastAsia="Times New Roman" w:hAnsi="Book Antiqua" w:cs="Times New Roman"/>
                <w:b/>
                <w:color w:val="000000"/>
                <w:lang w:eastAsia="zh-CN"/>
              </w:rPr>
              <w:t xml:space="preserve"> </w:t>
            </w:r>
            <w:r w:rsidRPr="00C06921">
              <w:rPr>
                <w:rFonts w:ascii="Book Antiqua" w:eastAsia="Times New Roman" w:hAnsi="Book Antiqua" w:cs="Times New Roman"/>
                <w:b/>
                <w:color w:val="000000"/>
                <w:lang w:eastAsia="zh-CN"/>
              </w:rPr>
              <w:t>value</w:t>
            </w:r>
          </w:p>
        </w:tc>
      </w:tr>
      <w:tr w:rsidR="00C06921" w:rsidRPr="00C06921" w14:paraId="25948370" w14:textId="77777777" w:rsidTr="00C06921">
        <w:trPr>
          <w:trHeight w:val="288"/>
        </w:trPr>
        <w:tc>
          <w:tcPr>
            <w:tcW w:w="1418" w:type="dxa"/>
            <w:vMerge/>
            <w:tcBorders>
              <w:left w:val="nil"/>
              <w:bottom w:val="single" w:sz="4" w:space="0" w:color="auto"/>
              <w:right w:val="nil"/>
            </w:tcBorders>
            <w:shd w:val="clear" w:color="auto" w:fill="auto"/>
            <w:noWrap/>
            <w:hideMark/>
          </w:tcPr>
          <w:p w14:paraId="270ED71E" w14:textId="77777777" w:rsidR="00C06921" w:rsidRPr="00C06921" w:rsidRDefault="00C06921" w:rsidP="00C06921">
            <w:pPr>
              <w:spacing w:line="360" w:lineRule="auto"/>
              <w:jc w:val="center"/>
              <w:rPr>
                <w:rFonts w:ascii="Book Antiqua" w:eastAsia="Times New Roman" w:hAnsi="Book Antiqua" w:cs="Times New Roman"/>
                <w:b/>
                <w:color w:val="000000"/>
                <w:lang w:eastAsia="zh-CN"/>
              </w:rPr>
            </w:pPr>
          </w:p>
        </w:tc>
        <w:tc>
          <w:tcPr>
            <w:tcW w:w="3402" w:type="dxa"/>
            <w:vMerge/>
            <w:tcBorders>
              <w:left w:val="nil"/>
              <w:bottom w:val="single" w:sz="4" w:space="0" w:color="auto"/>
              <w:right w:val="nil"/>
            </w:tcBorders>
            <w:shd w:val="clear" w:color="auto" w:fill="auto"/>
            <w:hideMark/>
          </w:tcPr>
          <w:p w14:paraId="7F5F6FC3" w14:textId="77777777" w:rsidR="00C06921" w:rsidRPr="00C06921" w:rsidRDefault="00C06921" w:rsidP="00C06921">
            <w:pPr>
              <w:spacing w:line="360" w:lineRule="auto"/>
              <w:jc w:val="center"/>
              <w:rPr>
                <w:rFonts w:ascii="Book Antiqua" w:eastAsia="Times New Roman" w:hAnsi="Book Antiqua" w:cs="Times New Roman"/>
                <w:b/>
                <w:color w:val="000000"/>
                <w:lang w:eastAsia="zh-CN"/>
              </w:rPr>
            </w:pPr>
          </w:p>
        </w:tc>
        <w:tc>
          <w:tcPr>
            <w:tcW w:w="723" w:type="dxa"/>
            <w:tcBorders>
              <w:top w:val="nil"/>
              <w:left w:val="nil"/>
              <w:bottom w:val="single" w:sz="4" w:space="0" w:color="auto"/>
              <w:right w:val="nil"/>
            </w:tcBorders>
            <w:shd w:val="clear" w:color="auto" w:fill="auto"/>
            <w:noWrap/>
            <w:hideMark/>
          </w:tcPr>
          <w:p w14:paraId="0B4F9231" w14:textId="77777777" w:rsidR="00C06921" w:rsidRPr="00C06921" w:rsidRDefault="00C06921" w:rsidP="00C06921">
            <w:pPr>
              <w:spacing w:line="360" w:lineRule="auto"/>
              <w:jc w:val="center"/>
              <w:rPr>
                <w:rFonts w:ascii="Book Antiqua" w:eastAsia="Times New Roman" w:hAnsi="Book Antiqua" w:cs="Times New Roman"/>
                <w:b/>
                <w:color w:val="000000"/>
                <w:lang w:eastAsia="zh-CN"/>
              </w:rPr>
            </w:pPr>
            <w:proofErr w:type="spellStart"/>
            <w:r w:rsidRPr="00C06921">
              <w:rPr>
                <w:rFonts w:ascii="Book Antiqua" w:eastAsia="Times New Roman" w:hAnsi="Book Antiqua" w:cs="Times New Roman"/>
                <w:b/>
                <w:color w:val="000000"/>
                <w:lang w:eastAsia="zh-CN"/>
              </w:rPr>
              <w:t>num</w:t>
            </w:r>
            <w:proofErr w:type="spellEnd"/>
          </w:p>
        </w:tc>
        <w:tc>
          <w:tcPr>
            <w:tcW w:w="1004" w:type="dxa"/>
            <w:tcBorders>
              <w:top w:val="nil"/>
              <w:left w:val="nil"/>
              <w:bottom w:val="single" w:sz="4" w:space="0" w:color="auto"/>
              <w:right w:val="nil"/>
            </w:tcBorders>
            <w:shd w:val="clear" w:color="auto" w:fill="auto"/>
            <w:noWrap/>
            <w:hideMark/>
          </w:tcPr>
          <w:p w14:paraId="06A80924" w14:textId="77777777" w:rsidR="00C06921" w:rsidRPr="00C06921" w:rsidRDefault="00C06921" w:rsidP="00C06921">
            <w:pPr>
              <w:spacing w:line="360" w:lineRule="auto"/>
              <w:jc w:val="center"/>
              <w:rPr>
                <w:rFonts w:ascii="Book Antiqua" w:eastAsia="Times New Roman" w:hAnsi="Book Antiqua" w:cs="Times New Roman"/>
                <w:b/>
                <w:color w:val="000000"/>
                <w:lang w:eastAsia="zh-CN"/>
              </w:rPr>
            </w:pPr>
            <w:proofErr w:type="spellStart"/>
            <w:r w:rsidRPr="00C06921">
              <w:rPr>
                <w:rFonts w:ascii="Book Antiqua" w:eastAsia="Times New Roman" w:hAnsi="Book Antiqua" w:cs="Times New Roman"/>
                <w:b/>
                <w:color w:val="000000"/>
                <w:lang w:eastAsia="zh-CN"/>
              </w:rPr>
              <w:t>denom</w:t>
            </w:r>
            <w:proofErr w:type="spellEnd"/>
          </w:p>
        </w:tc>
        <w:tc>
          <w:tcPr>
            <w:tcW w:w="975" w:type="dxa"/>
            <w:tcBorders>
              <w:top w:val="nil"/>
              <w:left w:val="nil"/>
              <w:bottom w:val="single" w:sz="4" w:space="0" w:color="auto"/>
              <w:right w:val="nil"/>
            </w:tcBorders>
            <w:shd w:val="clear" w:color="auto" w:fill="auto"/>
            <w:noWrap/>
            <w:hideMark/>
          </w:tcPr>
          <w:p w14:paraId="77736B6A" w14:textId="77777777" w:rsidR="00C06921" w:rsidRPr="00C06921" w:rsidRDefault="00C06921" w:rsidP="00C06921">
            <w:pPr>
              <w:spacing w:line="360" w:lineRule="auto"/>
              <w:jc w:val="center"/>
              <w:rPr>
                <w:rFonts w:ascii="Book Antiqua" w:eastAsia="Times New Roman" w:hAnsi="Book Antiqua" w:cs="Times New Roman"/>
                <w:b/>
                <w:color w:val="000000"/>
                <w:lang w:eastAsia="zh-CN"/>
              </w:rPr>
            </w:pPr>
            <w:r w:rsidRPr="00C06921">
              <w:rPr>
                <w:rFonts w:ascii="Book Antiqua" w:eastAsia="Times New Roman" w:hAnsi="Book Antiqua" w:cs="Times New Roman"/>
                <w:b/>
                <w:color w:val="000000"/>
                <w:lang w:eastAsia="zh-CN"/>
              </w:rPr>
              <w:t>%</w:t>
            </w:r>
          </w:p>
        </w:tc>
        <w:tc>
          <w:tcPr>
            <w:tcW w:w="723" w:type="dxa"/>
            <w:tcBorders>
              <w:top w:val="nil"/>
              <w:left w:val="nil"/>
              <w:bottom w:val="single" w:sz="4" w:space="0" w:color="auto"/>
              <w:right w:val="nil"/>
            </w:tcBorders>
            <w:shd w:val="clear" w:color="auto" w:fill="auto"/>
            <w:noWrap/>
            <w:hideMark/>
          </w:tcPr>
          <w:p w14:paraId="21ECAA56" w14:textId="77777777" w:rsidR="00C06921" w:rsidRPr="00C06921" w:rsidRDefault="00C06921" w:rsidP="00C06921">
            <w:pPr>
              <w:spacing w:line="360" w:lineRule="auto"/>
              <w:jc w:val="center"/>
              <w:rPr>
                <w:rFonts w:ascii="Book Antiqua" w:eastAsia="Times New Roman" w:hAnsi="Book Antiqua" w:cs="Times New Roman"/>
                <w:b/>
                <w:color w:val="000000"/>
                <w:lang w:eastAsia="zh-CN"/>
              </w:rPr>
            </w:pPr>
            <w:proofErr w:type="spellStart"/>
            <w:r w:rsidRPr="00C06921">
              <w:rPr>
                <w:rFonts w:ascii="Book Antiqua" w:eastAsia="Times New Roman" w:hAnsi="Book Antiqua" w:cs="Times New Roman"/>
                <w:b/>
                <w:color w:val="000000"/>
                <w:lang w:eastAsia="zh-CN"/>
              </w:rPr>
              <w:t>num</w:t>
            </w:r>
            <w:proofErr w:type="spellEnd"/>
          </w:p>
        </w:tc>
        <w:tc>
          <w:tcPr>
            <w:tcW w:w="1004" w:type="dxa"/>
            <w:tcBorders>
              <w:top w:val="nil"/>
              <w:left w:val="nil"/>
              <w:bottom w:val="single" w:sz="4" w:space="0" w:color="auto"/>
              <w:right w:val="nil"/>
            </w:tcBorders>
            <w:shd w:val="clear" w:color="auto" w:fill="auto"/>
            <w:noWrap/>
            <w:hideMark/>
          </w:tcPr>
          <w:p w14:paraId="0F4F5D38" w14:textId="77777777" w:rsidR="00C06921" w:rsidRPr="00C06921" w:rsidRDefault="00C06921" w:rsidP="00C06921">
            <w:pPr>
              <w:spacing w:line="360" w:lineRule="auto"/>
              <w:jc w:val="center"/>
              <w:rPr>
                <w:rFonts w:ascii="Book Antiqua" w:eastAsia="Times New Roman" w:hAnsi="Book Antiqua" w:cs="Times New Roman"/>
                <w:b/>
                <w:color w:val="000000"/>
                <w:lang w:eastAsia="zh-CN"/>
              </w:rPr>
            </w:pPr>
            <w:proofErr w:type="spellStart"/>
            <w:r w:rsidRPr="00C06921">
              <w:rPr>
                <w:rFonts w:ascii="Book Antiqua" w:eastAsia="Times New Roman" w:hAnsi="Book Antiqua" w:cs="Times New Roman"/>
                <w:b/>
                <w:color w:val="000000"/>
                <w:lang w:eastAsia="zh-CN"/>
              </w:rPr>
              <w:t>denom</w:t>
            </w:r>
            <w:proofErr w:type="spellEnd"/>
          </w:p>
        </w:tc>
        <w:tc>
          <w:tcPr>
            <w:tcW w:w="975" w:type="dxa"/>
            <w:tcBorders>
              <w:top w:val="nil"/>
              <w:left w:val="nil"/>
              <w:bottom w:val="single" w:sz="4" w:space="0" w:color="auto"/>
              <w:right w:val="nil"/>
            </w:tcBorders>
            <w:shd w:val="clear" w:color="auto" w:fill="auto"/>
            <w:noWrap/>
            <w:hideMark/>
          </w:tcPr>
          <w:p w14:paraId="72B7D4C1" w14:textId="77777777" w:rsidR="00C06921" w:rsidRPr="00C06921" w:rsidRDefault="00C06921" w:rsidP="00C06921">
            <w:pPr>
              <w:spacing w:line="360" w:lineRule="auto"/>
              <w:jc w:val="center"/>
              <w:rPr>
                <w:rFonts w:ascii="Book Antiqua" w:eastAsia="Times New Roman" w:hAnsi="Book Antiqua" w:cs="Times New Roman"/>
                <w:b/>
                <w:color w:val="000000"/>
                <w:lang w:eastAsia="zh-CN"/>
              </w:rPr>
            </w:pPr>
            <w:r w:rsidRPr="00C06921">
              <w:rPr>
                <w:rFonts w:ascii="Book Antiqua" w:eastAsia="Times New Roman" w:hAnsi="Book Antiqua" w:cs="Times New Roman"/>
                <w:b/>
                <w:color w:val="000000"/>
                <w:lang w:eastAsia="zh-CN"/>
              </w:rPr>
              <w:t>%</w:t>
            </w:r>
          </w:p>
        </w:tc>
        <w:tc>
          <w:tcPr>
            <w:tcW w:w="816" w:type="dxa"/>
            <w:vMerge/>
            <w:tcBorders>
              <w:left w:val="nil"/>
              <w:bottom w:val="single" w:sz="4" w:space="0" w:color="auto"/>
              <w:right w:val="nil"/>
            </w:tcBorders>
            <w:shd w:val="clear" w:color="auto" w:fill="auto"/>
            <w:noWrap/>
            <w:hideMark/>
          </w:tcPr>
          <w:p w14:paraId="1169DEC9" w14:textId="77777777" w:rsidR="00C06921" w:rsidRPr="00C06921" w:rsidRDefault="00C06921" w:rsidP="00C06921">
            <w:pPr>
              <w:spacing w:line="360" w:lineRule="auto"/>
              <w:jc w:val="center"/>
              <w:rPr>
                <w:rFonts w:ascii="Book Antiqua" w:eastAsia="Times New Roman" w:hAnsi="Book Antiqua" w:cs="Times New Roman"/>
                <w:b/>
                <w:color w:val="000000"/>
                <w:lang w:eastAsia="zh-CN"/>
              </w:rPr>
            </w:pPr>
          </w:p>
        </w:tc>
      </w:tr>
      <w:tr w:rsidR="00C06921" w:rsidRPr="00C06921" w14:paraId="4126DA9B" w14:textId="77777777" w:rsidTr="00C06921">
        <w:trPr>
          <w:trHeight w:val="288"/>
        </w:trPr>
        <w:tc>
          <w:tcPr>
            <w:tcW w:w="1418" w:type="dxa"/>
            <w:tcBorders>
              <w:top w:val="single" w:sz="4" w:space="0" w:color="auto"/>
              <w:left w:val="nil"/>
              <w:bottom w:val="nil"/>
              <w:right w:val="nil"/>
            </w:tcBorders>
            <w:shd w:val="clear" w:color="auto" w:fill="auto"/>
            <w:noWrap/>
            <w:hideMark/>
          </w:tcPr>
          <w:p w14:paraId="4D831EED"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27236</w:t>
            </w:r>
          </w:p>
        </w:tc>
        <w:tc>
          <w:tcPr>
            <w:tcW w:w="3402" w:type="dxa"/>
            <w:tcBorders>
              <w:top w:val="single" w:sz="4" w:space="0" w:color="auto"/>
              <w:left w:val="nil"/>
              <w:bottom w:val="nil"/>
              <w:right w:val="nil"/>
            </w:tcBorders>
            <w:shd w:val="clear" w:color="auto" w:fill="auto"/>
            <w:hideMark/>
          </w:tcPr>
          <w:p w14:paraId="3A464FA0"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Open treatment of femoral fracture, proximal end, neck, internal fixation or prosthetic replacement</w:t>
            </w:r>
          </w:p>
        </w:tc>
        <w:tc>
          <w:tcPr>
            <w:tcW w:w="723" w:type="dxa"/>
            <w:tcBorders>
              <w:top w:val="single" w:sz="4" w:space="0" w:color="auto"/>
              <w:left w:val="nil"/>
              <w:bottom w:val="nil"/>
              <w:right w:val="nil"/>
            </w:tcBorders>
            <w:shd w:val="clear" w:color="auto" w:fill="auto"/>
            <w:noWrap/>
            <w:hideMark/>
          </w:tcPr>
          <w:p w14:paraId="36698BAF"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210</w:t>
            </w:r>
          </w:p>
        </w:tc>
        <w:tc>
          <w:tcPr>
            <w:tcW w:w="1004" w:type="dxa"/>
            <w:tcBorders>
              <w:top w:val="single" w:sz="4" w:space="0" w:color="auto"/>
              <w:left w:val="nil"/>
              <w:bottom w:val="nil"/>
              <w:right w:val="nil"/>
            </w:tcBorders>
            <w:shd w:val="clear" w:color="auto" w:fill="auto"/>
            <w:noWrap/>
            <w:hideMark/>
          </w:tcPr>
          <w:p w14:paraId="0A209B42"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725</w:t>
            </w:r>
          </w:p>
        </w:tc>
        <w:tc>
          <w:tcPr>
            <w:tcW w:w="975" w:type="dxa"/>
            <w:tcBorders>
              <w:top w:val="single" w:sz="4" w:space="0" w:color="auto"/>
              <w:left w:val="nil"/>
              <w:bottom w:val="nil"/>
              <w:right w:val="nil"/>
            </w:tcBorders>
            <w:shd w:val="clear" w:color="auto" w:fill="auto"/>
            <w:noWrap/>
            <w:hideMark/>
          </w:tcPr>
          <w:p w14:paraId="1FF0EEEC"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28.966</w:t>
            </w:r>
          </w:p>
        </w:tc>
        <w:tc>
          <w:tcPr>
            <w:tcW w:w="723" w:type="dxa"/>
            <w:tcBorders>
              <w:top w:val="single" w:sz="4" w:space="0" w:color="auto"/>
              <w:left w:val="nil"/>
              <w:bottom w:val="nil"/>
              <w:right w:val="nil"/>
            </w:tcBorders>
            <w:shd w:val="clear" w:color="auto" w:fill="auto"/>
            <w:noWrap/>
            <w:hideMark/>
          </w:tcPr>
          <w:p w14:paraId="790A9332"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223</w:t>
            </w:r>
          </w:p>
        </w:tc>
        <w:tc>
          <w:tcPr>
            <w:tcW w:w="1004" w:type="dxa"/>
            <w:tcBorders>
              <w:top w:val="single" w:sz="4" w:space="0" w:color="auto"/>
              <w:left w:val="nil"/>
              <w:bottom w:val="nil"/>
              <w:right w:val="nil"/>
            </w:tcBorders>
            <w:shd w:val="clear" w:color="auto" w:fill="auto"/>
            <w:noWrap/>
            <w:hideMark/>
          </w:tcPr>
          <w:p w14:paraId="25BDDF99"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725</w:t>
            </w:r>
          </w:p>
        </w:tc>
        <w:tc>
          <w:tcPr>
            <w:tcW w:w="975" w:type="dxa"/>
            <w:tcBorders>
              <w:top w:val="single" w:sz="4" w:space="0" w:color="auto"/>
              <w:left w:val="nil"/>
              <w:bottom w:val="nil"/>
              <w:right w:val="nil"/>
            </w:tcBorders>
            <w:shd w:val="clear" w:color="auto" w:fill="auto"/>
            <w:noWrap/>
            <w:hideMark/>
          </w:tcPr>
          <w:p w14:paraId="0037C2EF"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30.759</w:t>
            </w:r>
          </w:p>
        </w:tc>
        <w:tc>
          <w:tcPr>
            <w:tcW w:w="816" w:type="dxa"/>
            <w:tcBorders>
              <w:top w:val="single" w:sz="4" w:space="0" w:color="auto"/>
              <w:left w:val="nil"/>
              <w:bottom w:val="nil"/>
              <w:right w:val="nil"/>
            </w:tcBorders>
            <w:shd w:val="clear" w:color="auto" w:fill="auto"/>
            <w:noWrap/>
            <w:hideMark/>
          </w:tcPr>
          <w:p w14:paraId="763DEFD6"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0.994</w:t>
            </w:r>
          </w:p>
        </w:tc>
      </w:tr>
      <w:tr w:rsidR="00C06921" w:rsidRPr="00C06921" w14:paraId="55A01500" w14:textId="77777777" w:rsidTr="00C06921">
        <w:trPr>
          <w:trHeight w:val="864"/>
        </w:trPr>
        <w:tc>
          <w:tcPr>
            <w:tcW w:w="1418" w:type="dxa"/>
            <w:tcBorders>
              <w:top w:val="nil"/>
              <w:left w:val="nil"/>
              <w:bottom w:val="nil"/>
              <w:right w:val="nil"/>
            </w:tcBorders>
            <w:shd w:val="clear" w:color="auto" w:fill="auto"/>
            <w:noWrap/>
            <w:hideMark/>
          </w:tcPr>
          <w:p w14:paraId="0A9D49E6"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27245</w:t>
            </w:r>
          </w:p>
        </w:tc>
        <w:tc>
          <w:tcPr>
            <w:tcW w:w="3402" w:type="dxa"/>
            <w:tcBorders>
              <w:top w:val="nil"/>
              <w:left w:val="nil"/>
              <w:bottom w:val="nil"/>
              <w:right w:val="nil"/>
            </w:tcBorders>
            <w:shd w:val="clear" w:color="auto" w:fill="auto"/>
            <w:hideMark/>
          </w:tcPr>
          <w:p w14:paraId="4F28AB02"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Treatment of intertrochanteric, per-trochanteric, or sub-trochanteric femoral fracture; with intramedullary implant</w:t>
            </w:r>
          </w:p>
        </w:tc>
        <w:tc>
          <w:tcPr>
            <w:tcW w:w="723" w:type="dxa"/>
            <w:tcBorders>
              <w:top w:val="nil"/>
              <w:left w:val="nil"/>
              <w:bottom w:val="nil"/>
              <w:right w:val="nil"/>
            </w:tcBorders>
            <w:shd w:val="clear" w:color="auto" w:fill="auto"/>
            <w:noWrap/>
            <w:hideMark/>
          </w:tcPr>
          <w:p w14:paraId="66355D3E"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173</w:t>
            </w:r>
          </w:p>
        </w:tc>
        <w:tc>
          <w:tcPr>
            <w:tcW w:w="1004" w:type="dxa"/>
            <w:tcBorders>
              <w:top w:val="nil"/>
              <w:left w:val="nil"/>
              <w:bottom w:val="nil"/>
              <w:right w:val="nil"/>
            </w:tcBorders>
            <w:shd w:val="clear" w:color="auto" w:fill="auto"/>
            <w:noWrap/>
            <w:hideMark/>
          </w:tcPr>
          <w:p w14:paraId="2846F47B"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725</w:t>
            </w:r>
          </w:p>
        </w:tc>
        <w:tc>
          <w:tcPr>
            <w:tcW w:w="975" w:type="dxa"/>
            <w:tcBorders>
              <w:top w:val="nil"/>
              <w:left w:val="nil"/>
              <w:bottom w:val="nil"/>
              <w:right w:val="nil"/>
            </w:tcBorders>
            <w:shd w:val="clear" w:color="auto" w:fill="auto"/>
            <w:noWrap/>
            <w:hideMark/>
          </w:tcPr>
          <w:p w14:paraId="451DEE2C"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23.862</w:t>
            </w:r>
          </w:p>
        </w:tc>
        <w:tc>
          <w:tcPr>
            <w:tcW w:w="723" w:type="dxa"/>
            <w:tcBorders>
              <w:top w:val="nil"/>
              <w:left w:val="nil"/>
              <w:bottom w:val="nil"/>
              <w:right w:val="nil"/>
            </w:tcBorders>
            <w:shd w:val="clear" w:color="auto" w:fill="auto"/>
            <w:noWrap/>
            <w:hideMark/>
          </w:tcPr>
          <w:p w14:paraId="2846DF82"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171</w:t>
            </w:r>
          </w:p>
        </w:tc>
        <w:tc>
          <w:tcPr>
            <w:tcW w:w="1004" w:type="dxa"/>
            <w:tcBorders>
              <w:top w:val="nil"/>
              <w:left w:val="nil"/>
              <w:bottom w:val="nil"/>
              <w:right w:val="nil"/>
            </w:tcBorders>
            <w:shd w:val="clear" w:color="auto" w:fill="auto"/>
            <w:noWrap/>
            <w:hideMark/>
          </w:tcPr>
          <w:p w14:paraId="41F949AE"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725</w:t>
            </w:r>
          </w:p>
        </w:tc>
        <w:tc>
          <w:tcPr>
            <w:tcW w:w="975" w:type="dxa"/>
            <w:tcBorders>
              <w:top w:val="nil"/>
              <w:left w:val="nil"/>
              <w:bottom w:val="nil"/>
              <w:right w:val="nil"/>
            </w:tcBorders>
            <w:shd w:val="clear" w:color="auto" w:fill="auto"/>
            <w:noWrap/>
            <w:hideMark/>
          </w:tcPr>
          <w:p w14:paraId="138C6EAE"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23.586</w:t>
            </w:r>
          </w:p>
        </w:tc>
        <w:tc>
          <w:tcPr>
            <w:tcW w:w="816" w:type="dxa"/>
            <w:tcBorders>
              <w:top w:val="nil"/>
              <w:left w:val="nil"/>
              <w:bottom w:val="nil"/>
              <w:right w:val="nil"/>
            </w:tcBorders>
            <w:shd w:val="clear" w:color="auto" w:fill="auto"/>
            <w:noWrap/>
            <w:hideMark/>
          </w:tcPr>
          <w:p w14:paraId="0D7ED438"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p>
        </w:tc>
      </w:tr>
      <w:tr w:rsidR="00C06921" w:rsidRPr="00C06921" w14:paraId="3A5A8069" w14:textId="77777777" w:rsidTr="00C06921">
        <w:trPr>
          <w:trHeight w:val="288"/>
        </w:trPr>
        <w:tc>
          <w:tcPr>
            <w:tcW w:w="1418" w:type="dxa"/>
            <w:tcBorders>
              <w:top w:val="nil"/>
              <w:left w:val="nil"/>
              <w:bottom w:val="nil"/>
              <w:right w:val="nil"/>
            </w:tcBorders>
            <w:shd w:val="clear" w:color="auto" w:fill="auto"/>
            <w:noWrap/>
            <w:hideMark/>
          </w:tcPr>
          <w:p w14:paraId="795284BA"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27125</w:t>
            </w:r>
          </w:p>
        </w:tc>
        <w:tc>
          <w:tcPr>
            <w:tcW w:w="3402" w:type="dxa"/>
            <w:tcBorders>
              <w:top w:val="nil"/>
              <w:left w:val="nil"/>
              <w:bottom w:val="nil"/>
              <w:right w:val="nil"/>
            </w:tcBorders>
            <w:shd w:val="clear" w:color="auto" w:fill="auto"/>
            <w:hideMark/>
          </w:tcPr>
          <w:p w14:paraId="6DBACAB4"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Hemiarthroplasty, hip, partial (e.g., femoral stem prosthesis, bipolar arthroplasty)</w:t>
            </w:r>
          </w:p>
        </w:tc>
        <w:tc>
          <w:tcPr>
            <w:tcW w:w="723" w:type="dxa"/>
            <w:tcBorders>
              <w:top w:val="nil"/>
              <w:left w:val="nil"/>
              <w:bottom w:val="nil"/>
              <w:right w:val="nil"/>
            </w:tcBorders>
            <w:shd w:val="clear" w:color="auto" w:fill="auto"/>
            <w:noWrap/>
            <w:hideMark/>
          </w:tcPr>
          <w:p w14:paraId="31FF5467"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111</w:t>
            </w:r>
          </w:p>
        </w:tc>
        <w:tc>
          <w:tcPr>
            <w:tcW w:w="1004" w:type="dxa"/>
            <w:tcBorders>
              <w:top w:val="nil"/>
              <w:left w:val="nil"/>
              <w:bottom w:val="nil"/>
              <w:right w:val="nil"/>
            </w:tcBorders>
            <w:shd w:val="clear" w:color="auto" w:fill="auto"/>
            <w:noWrap/>
            <w:hideMark/>
          </w:tcPr>
          <w:p w14:paraId="2B55B462"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725</w:t>
            </w:r>
          </w:p>
        </w:tc>
        <w:tc>
          <w:tcPr>
            <w:tcW w:w="975" w:type="dxa"/>
            <w:tcBorders>
              <w:top w:val="nil"/>
              <w:left w:val="nil"/>
              <w:bottom w:val="nil"/>
              <w:right w:val="nil"/>
            </w:tcBorders>
            <w:shd w:val="clear" w:color="auto" w:fill="auto"/>
            <w:noWrap/>
            <w:hideMark/>
          </w:tcPr>
          <w:p w14:paraId="11F5D996"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15.31</w:t>
            </w:r>
          </w:p>
        </w:tc>
        <w:tc>
          <w:tcPr>
            <w:tcW w:w="723" w:type="dxa"/>
            <w:tcBorders>
              <w:top w:val="nil"/>
              <w:left w:val="nil"/>
              <w:bottom w:val="nil"/>
              <w:right w:val="nil"/>
            </w:tcBorders>
            <w:shd w:val="clear" w:color="auto" w:fill="auto"/>
            <w:noWrap/>
            <w:hideMark/>
          </w:tcPr>
          <w:p w14:paraId="1FA91BFF"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104</w:t>
            </w:r>
          </w:p>
        </w:tc>
        <w:tc>
          <w:tcPr>
            <w:tcW w:w="1004" w:type="dxa"/>
            <w:tcBorders>
              <w:top w:val="nil"/>
              <w:left w:val="nil"/>
              <w:bottom w:val="nil"/>
              <w:right w:val="nil"/>
            </w:tcBorders>
            <w:shd w:val="clear" w:color="auto" w:fill="auto"/>
            <w:noWrap/>
            <w:hideMark/>
          </w:tcPr>
          <w:p w14:paraId="35A3CA92"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725</w:t>
            </w:r>
          </w:p>
        </w:tc>
        <w:tc>
          <w:tcPr>
            <w:tcW w:w="975" w:type="dxa"/>
            <w:tcBorders>
              <w:top w:val="nil"/>
              <w:left w:val="nil"/>
              <w:bottom w:val="nil"/>
              <w:right w:val="nil"/>
            </w:tcBorders>
            <w:shd w:val="clear" w:color="auto" w:fill="auto"/>
            <w:noWrap/>
            <w:hideMark/>
          </w:tcPr>
          <w:p w14:paraId="679F2112"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14.345</w:t>
            </w:r>
          </w:p>
        </w:tc>
        <w:tc>
          <w:tcPr>
            <w:tcW w:w="816" w:type="dxa"/>
            <w:tcBorders>
              <w:top w:val="nil"/>
              <w:left w:val="nil"/>
              <w:bottom w:val="nil"/>
              <w:right w:val="nil"/>
            </w:tcBorders>
            <w:shd w:val="clear" w:color="auto" w:fill="auto"/>
            <w:noWrap/>
            <w:hideMark/>
          </w:tcPr>
          <w:p w14:paraId="5EC4AE2B"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p>
        </w:tc>
      </w:tr>
      <w:tr w:rsidR="00C06921" w:rsidRPr="00C06921" w14:paraId="24735C15" w14:textId="77777777" w:rsidTr="00C06921">
        <w:trPr>
          <w:trHeight w:val="864"/>
        </w:trPr>
        <w:tc>
          <w:tcPr>
            <w:tcW w:w="1418" w:type="dxa"/>
            <w:tcBorders>
              <w:top w:val="nil"/>
              <w:left w:val="nil"/>
              <w:bottom w:val="nil"/>
              <w:right w:val="nil"/>
            </w:tcBorders>
            <w:shd w:val="clear" w:color="auto" w:fill="auto"/>
            <w:noWrap/>
            <w:hideMark/>
          </w:tcPr>
          <w:p w14:paraId="3CFD1F5A"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27244</w:t>
            </w:r>
          </w:p>
        </w:tc>
        <w:tc>
          <w:tcPr>
            <w:tcW w:w="3402" w:type="dxa"/>
            <w:tcBorders>
              <w:top w:val="nil"/>
              <w:left w:val="nil"/>
              <w:bottom w:val="nil"/>
              <w:right w:val="nil"/>
            </w:tcBorders>
            <w:shd w:val="clear" w:color="auto" w:fill="auto"/>
            <w:hideMark/>
          </w:tcPr>
          <w:p w14:paraId="55A8860D"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 xml:space="preserve">Treatment of intertrochanteric, per-trochanteric, or sub-trochanteric femoral fracture; </w:t>
            </w:r>
            <w:r w:rsidRPr="00C06921">
              <w:rPr>
                <w:rFonts w:ascii="Book Antiqua" w:eastAsia="Times New Roman" w:hAnsi="Book Antiqua" w:cs="Times New Roman"/>
                <w:color w:val="000000"/>
                <w:lang w:eastAsia="zh-CN"/>
              </w:rPr>
              <w:br/>
              <w:t>with plate/screw type implant, with or without cerclage</w:t>
            </w:r>
          </w:p>
        </w:tc>
        <w:tc>
          <w:tcPr>
            <w:tcW w:w="723" w:type="dxa"/>
            <w:tcBorders>
              <w:top w:val="nil"/>
              <w:left w:val="nil"/>
              <w:bottom w:val="nil"/>
              <w:right w:val="nil"/>
            </w:tcBorders>
            <w:shd w:val="clear" w:color="auto" w:fill="auto"/>
            <w:noWrap/>
            <w:hideMark/>
          </w:tcPr>
          <w:p w14:paraId="3D2B9011"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91</w:t>
            </w:r>
          </w:p>
        </w:tc>
        <w:tc>
          <w:tcPr>
            <w:tcW w:w="1004" w:type="dxa"/>
            <w:tcBorders>
              <w:top w:val="nil"/>
              <w:left w:val="nil"/>
              <w:bottom w:val="nil"/>
              <w:right w:val="nil"/>
            </w:tcBorders>
            <w:shd w:val="clear" w:color="auto" w:fill="auto"/>
            <w:noWrap/>
            <w:hideMark/>
          </w:tcPr>
          <w:p w14:paraId="4B42B2DE"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725</w:t>
            </w:r>
          </w:p>
        </w:tc>
        <w:tc>
          <w:tcPr>
            <w:tcW w:w="975" w:type="dxa"/>
            <w:tcBorders>
              <w:top w:val="nil"/>
              <w:left w:val="nil"/>
              <w:bottom w:val="nil"/>
              <w:right w:val="nil"/>
            </w:tcBorders>
            <w:shd w:val="clear" w:color="auto" w:fill="auto"/>
            <w:noWrap/>
            <w:hideMark/>
          </w:tcPr>
          <w:p w14:paraId="58D4CE8E"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12.552</w:t>
            </w:r>
          </w:p>
        </w:tc>
        <w:tc>
          <w:tcPr>
            <w:tcW w:w="723" w:type="dxa"/>
            <w:tcBorders>
              <w:top w:val="nil"/>
              <w:left w:val="nil"/>
              <w:bottom w:val="nil"/>
              <w:right w:val="nil"/>
            </w:tcBorders>
            <w:shd w:val="clear" w:color="auto" w:fill="auto"/>
            <w:noWrap/>
            <w:hideMark/>
          </w:tcPr>
          <w:p w14:paraId="77050A9B"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99</w:t>
            </w:r>
          </w:p>
        </w:tc>
        <w:tc>
          <w:tcPr>
            <w:tcW w:w="1004" w:type="dxa"/>
            <w:tcBorders>
              <w:top w:val="nil"/>
              <w:left w:val="nil"/>
              <w:bottom w:val="nil"/>
              <w:right w:val="nil"/>
            </w:tcBorders>
            <w:shd w:val="clear" w:color="auto" w:fill="auto"/>
            <w:noWrap/>
            <w:hideMark/>
          </w:tcPr>
          <w:p w14:paraId="1774C12A"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725</w:t>
            </w:r>
          </w:p>
        </w:tc>
        <w:tc>
          <w:tcPr>
            <w:tcW w:w="975" w:type="dxa"/>
            <w:tcBorders>
              <w:top w:val="nil"/>
              <w:left w:val="nil"/>
              <w:bottom w:val="nil"/>
              <w:right w:val="nil"/>
            </w:tcBorders>
            <w:shd w:val="clear" w:color="auto" w:fill="auto"/>
            <w:noWrap/>
            <w:hideMark/>
          </w:tcPr>
          <w:p w14:paraId="75232E9D"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13.655</w:t>
            </w:r>
          </w:p>
        </w:tc>
        <w:tc>
          <w:tcPr>
            <w:tcW w:w="816" w:type="dxa"/>
            <w:tcBorders>
              <w:top w:val="nil"/>
              <w:left w:val="nil"/>
              <w:bottom w:val="nil"/>
              <w:right w:val="nil"/>
            </w:tcBorders>
            <w:shd w:val="clear" w:color="auto" w:fill="auto"/>
            <w:noWrap/>
            <w:hideMark/>
          </w:tcPr>
          <w:p w14:paraId="61C02C60"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p>
        </w:tc>
      </w:tr>
      <w:tr w:rsidR="00C06921" w:rsidRPr="00C06921" w14:paraId="3E1F0AB8" w14:textId="77777777" w:rsidTr="00C06921">
        <w:trPr>
          <w:trHeight w:val="288"/>
        </w:trPr>
        <w:tc>
          <w:tcPr>
            <w:tcW w:w="1418" w:type="dxa"/>
            <w:tcBorders>
              <w:top w:val="nil"/>
              <w:left w:val="nil"/>
              <w:bottom w:val="nil"/>
              <w:right w:val="nil"/>
            </w:tcBorders>
            <w:shd w:val="clear" w:color="auto" w:fill="auto"/>
            <w:noWrap/>
            <w:hideMark/>
          </w:tcPr>
          <w:p w14:paraId="78A0591B"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27235</w:t>
            </w:r>
          </w:p>
        </w:tc>
        <w:tc>
          <w:tcPr>
            <w:tcW w:w="3402" w:type="dxa"/>
            <w:tcBorders>
              <w:top w:val="nil"/>
              <w:left w:val="nil"/>
              <w:bottom w:val="nil"/>
              <w:right w:val="nil"/>
            </w:tcBorders>
            <w:shd w:val="clear" w:color="auto" w:fill="auto"/>
            <w:hideMark/>
          </w:tcPr>
          <w:p w14:paraId="3A876BF3"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Percutaneous skeletal fixation of femoral fracture, proximal end, neck</w:t>
            </w:r>
          </w:p>
        </w:tc>
        <w:tc>
          <w:tcPr>
            <w:tcW w:w="723" w:type="dxa"/>
            <w:tcBorders>
              <w:top w:val="nil"/>
              <w:left w:val="nil"/>
              <w:bottom w:val="nil"/>
              <w:right w:val="nil"/>
            </w:tcBorders>
            <w:shd w:val="clear" w:color="auto" w:fill="auto"/>
            <w:noWrap/>
            <w:hideMark/>
          </w:tcPr>
          <w:p w14:paraId="78452EF4"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48</w:t>
            </w:r>
          </w:p>
        </w:tc>
        <w:tc>
          <w:tcPr>
            <w:tcW w:w="1004" w:type="dxa"/>
            <w:tcBorders>
              <w:top w:val="nil"/>
              <w:left w:val="nil"/>
              <w:bottom w:val="nil"/>
              <w:right w:val="nil"/>
            </w:tcBorders>
            <w:shd w:val="clear" w:color="auto" w:fill="auto"/>
            <w:noWrap/>
            <w:hideMark/>
          </w:tcPr>
          <w:p w14:paraId="11273324"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725</w:t>
            </w:r>
          </w:p>
        </w:tc>
        <w:tc>
          <w:tcPr>
            <w:tcW w:w="975" w:type="dxa"/>
            <w:tcBorders>
              <w:top w:val="nil"/>
              <w:left w:val="nil"/>
              <w:bottom w:val="nil"/>
              <w:right w:val="nil"/>
            </w:tcBorders>
            <w:shd w:val="clear" w:color="auto" w:fill="auto"/>
            <w:noWrap/>
            <w:hideMark/>
          </w:tcPr>
          <w:p w14:paraId="27E1A028"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6.621</w:t>
            </w:r>
          </w:p>
        </w:tc>
        <w:tc>
          <w:tcPr>
            <w:tcW w:w="723" w:type="dxa"/>
            <w:tcBorders>
              <w:top w:val="nil"/>
              <w:left w:val="nil"/>
              <w:bottom w:val="nil"/>
              <w:right w:val="nil"/>
            </w:tcBorders>
            <w:shd w:val="clear" w:color="auto" w:fill="auto"/>
            <w:noWrap/>
            <w:hideMark/>
          </w:tcPr>
          <w:p w14:paraId="15C9DB3A"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44</w:t>
            </w:r>
          </w:p>
        </w:tc>
        <w:tc>
          <w:tcPr>
            <w:tcW w:w="1004" w:type="dxa"/>
            <w:tcBorders>
              <w:top w:val="nil"/>
              <w:left w:val="nil"/>
              <w:bottom w:val="nil"/>
              <w:right w:val="nil"/>
            </w:tcBorders>
            <w:shd w:val="clear" w:color="auto" w:fill="auto"/>
            <w:noWrap/>
            <w:hideMark/>
          </w:tcPr>
          <w:p w14:paraId="7BEBF87D"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725</w:t>
            </w:r>
          </w:p>
        </w:tc>
        <w:tc>
          <w:tcPr>
            <w:tcW w:w="975" w:type="dxa"/>
            <w:tcBorders>
              <w:top w:val="nil"/>
              <w:left w:val="nil"/>
              <w:bottom w:val="nil"/>
              <w:right w:val="nil"/>
            </w:tcBorders>
            <w:shd w:val="clear" w:color="auto" w:fill="auto"/>
            <w:noWrap/>
            <w:hideMark/>
          </w:tcPr>
          <w:p w14:paraId="26A8CAFF"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6.069</w:t>
            </w:r>
          </w:p>
        </w:tc>
        <w:tc>
          <w:tcPr>
            <w:tcW w:w="816" w:type="dxa"/>
            <w:tcBorders>
              <w:top w:val="nil"/>
              <w:left w:val="nil"/>
              <w:bottom w:val="nil"/>
              <w:right w:val="nil"/>
            </w:tcBorders>
            <w:shd w:val="clear" w:color="auto" w:fill="auto"/>
            <w:noWrap/>
            <w:hideMark/>
          </w:tcPr>
          <w:p w14:paraId="34806E95"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p>
        </w:tc>
      </w:tr>
      <w:tr w:rsidR="00C06921" w:rsidRPr="00C06921" w14:paraId="6F3B0839" w14:textId="77777777" w:rsidTr="00C06921">
        <w:trPr>
          <w:trHeight w:val="288"/>
        </w:trPr>
        <w:tc>
          <w:tcPr>
            <w:tcW w:w="1418" w:type="dxa"/>
            <w:tcBorders>
              <w:top w:val="nil"/>
              <w:left w:val="nil"/>
              <w:bottom w:val="nil"/>
              <w:right w:val="nil"/>
            </w:tcBorders>
            <w:shd w:val="clear" w:color="auto" w:fill="auto"/>
            <w:noWrap/>
            <w:hideMark/>
          </w:tcPr>
          <w:p w14:paraId="47EAFE59"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27130</w:t>
            </w:r>
          </w:p>
        </w:tc>
        <w:tc>
          <w:tcPr>
            <w:tcW w:w="3402" w:type="dxa"/>
            <w:tcBorders>
              <w:top w:val="nil"/>
              <w:left w:val="nil"/>
              <w:bottom w:val="nil"/>
              <w:right w:val="nil"/>
            </w:tcBorders>
            <w:shd w:val="clear" w:color="auto" w:fill="auto"/>
            <w:hideMark/>
          </w:tcPr>
          <w:p w14:paraId="1D2C7D71"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Arthroplasty, acetabular and proximal femoral prosthetic replacement (total hip arthroplasty)</w:t>
            </w:r>
          </w:p>
        </w:tc>
        <w:tc>
          <w:tcPr>
            <w:tcW w:w="723" w:type="dxa"/>
            <w:tcBorders>
              <w:top w:val="nil"/>
              <w:left w:val="nil"/>
              <w:bottom w:val="nil"/>
              <w:right w:val="nil"/>
            </w:tcBorders>
            <w:shd w:val="clear" w:color="auto" w:fill="auto"/>
            <w:noWrap/>
            <w:hideMark/>
          </w:tcPr>
          <w:p w14:paraId="4ED51B1C"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20</w:t>
            </w:r>
          </w:p>
        </w:tc>
        <w:tc>
          <w:tcPr>
            <w:tcW w:w="1004" w:type="dxa"/>
            <w:tcBorders>
              <w:top w:val="nil"/>
              <w:left w:val="nil"/>
              <w:bottom w:val="nil"/>
              <w:right w:val="nil"/>
            </w:tcBorders>
            <w:shd w:val="clear" w:color="auto" w:fill="auto"/>
            <w:noWrap/>
            <w:hideMark/>
          </w:tcPr>
          <w:p w14:paraId="607DF0D0"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725</w:t>
            </w:r>
          </w:p>
        </w:tc>
        <w:tc>
          <w:tcPr>
            <w:tcW w:w="975" w:type="dxa"/>
            <w:tcBorders>
              <w:top w:val="nil"/>
              <w:left w:val="nil"/>
              <w:bottom w:val="nil"/>
              <w:right w:val="nil"/>
            </w:tcBorders>
            <w:shd w:val="clear" w:color="auto" w:fill="auto"/>
            <w:noWrap/>
            <w:hideMark/>
          </w:tcPr>
          <w:p w14:paraId="5A8C4E20"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2.759</w:t>
            </w:r>
          </w:p>
        </w:tc>
        <w:tc>
          <w:tcPr>
            <w:tcW w:w="723" w:type="dxa"/>
            <w:tcBorders>
              <w:top w:val="nil"/>
              <w:left w:val="nil"/>
              <w:bottom w:val="nil"/>
              <w:right w:val="nil"/>
            </w:tcBorders>
            <w:shd w:val="clear" w:color="auto" w:fill="auto"/>
            <w:noWrap/>
            <w:hideMark/>
          </w:tcPr>
          <w:p w14:paraId="539E1769"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19</w:t>
            </w:r>
          </w:p>
        </w:tc>
        <w:tc>
          <w:tcPr>
            <w:tcW w:w="1004" w:type="dxa"/>
            <w:tcBorders>
              <w:top w:val="nil"/>
              <w:left w:val="nil"/>
              <w:bottom w:val="nil"/>
              <w:right w:val="nil"/>
            </w:tcBorders>
            <w:shd w:val="clear" w:color="auto" w:fill="auto"/>
            <w:noWrap/>
            <w:hideMark/>
          </w:tcPr>
          <w:p w14:paraId="72F505A9"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725</w:t>
            </w:r>
          </w:p>
        </w:tc>
        <w:tc>
          <w:tcPr>
            <w:tcW w:w="975" w:type="dxa"/>
            <w:tcBorders>
              <w:top w:val="nil"/>
              <w:left w:val="nil"/>
              <w:bottom w:val="nil"/>
              <w:right w:val="nil"/>
            </w:tcBorders>
            <w:shd w:val="clear" w:color="auto" w:fill="auto"/>
            <w:noWrap/>
            <w:hideMark/>
          </w:tcPr>
          <w:p w14:paraId="3CE72186"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2.621</w:t>
            </w:r>
          </w:p>
        </w:tc>
        <w:tc>
          <w:tcPr>
            <w:tcW w:w="816" w:type="dxa"/>
            <w:tcBorders>
              <w:top w:val="nil"/>
              <w:left w:val="nil"/>
              <w:bottom w:val="nil"/>
              <w:right w:val="nil"/>
            </w:tcBorders>
            <w:shd w:val="clear" w:color="auto" w:fill="auto"/>
            <w:noWrap/>
            <w:hideMark/>
          </w:tcPr>
          <w:p w14:paraId="09FDF8B6"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p>
        </w:tc>
      </w:tr>
      <w:tr w:rsidR="00C06921" w:rsidRPr="00C06921" w14:paraId="1F678A6A" w14:textId="77777777" w:rsidTr="00C06921">
        <w:trPr>
          <w:trHeight w:val="288"/>
        </w:trPr>
        <w:tc>
          <w:tcPr>
            <w:tcW w:w="1418" w:type="dxa"/>
            <w:tcBorders>
              <w:top w:val="nil"/>
              <w:left w:val="nil"/>
              <w:bottom w:val="nil"/>
              <w:right w:val="nil"/>
            </w:tcBorders>
            <w:shd w:val="clear" w:color="auto" w:fill="auto"/>
            <w:noWrap/>
            <w:hideMark/>
          </w:tcPr>
          <w:p w14:paraId="46B7760E"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27248</w:t>
            </w:r>
          </w:p>
        </w:tc>
        <w:tc>
          <w:tcPr>
            <w:tcW w:w="3402" w:type="dxa"/>
            <w:tcBorders>
              <w:top w:val="nil"/>
              <w:left w:val="nil"/>
              <w:bottom w:val="nil"/>
              <w:right w:val="nil"/>
            </w:tcBorders>
            <w:shd w:val="clear" w:color="auto" w:fill="auto"/>
            <w:hideMark/>
          </w:tcPr>
          <w:p w14:paraId="0738E0F7"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 xml:space="preserve">Open treatment of greater </w:t>
            </w:r>
            <w:r w:rsidRPr="00C06921">
              <w:rPr>
                <w:rFonts w:ascii="Book Antiqua" w:eastAsia="Times New Roman" w:hAnsi="Book Antiqua" w:cs="Times New Roman"/>
                <w:color w:val="000000"/>
                <w:lang w:eastAsia="zh-CN"/>
              </w:rPr>
              <w:lastRenderedPageBreak/>
              <w:t>trochanteric fracture, with or without internal or external fixation</w:t>
            </w:r>
          </w:p>
        </w:tc>
        <w:tc>
          <w:tcPr>
            <w:tcW w:w="723" w:type="dxa"/>
            <w:tcBorders>
              <w:top w:val="nil"/>
              <w:left w:val="nil"/>
              <w:bottom w:val="nil"/>
              <w:right w:val="nil"/>
            </w:tcBorders>
            <w:shd w:val="clear" w:color="auto" w:fill="auto"/>
            <w:noWrap/>
            <w:hideMark/>
          </w:tcPr>
          <w:p w14:paraId="2C1B0A18"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lastRenderedPageBreak/>
              <w:t>9</w:t>
            </w:r>
          </w:p>
        </w:tc>
        <w:tc>
          <w:tcPr>
            <w:tcW w:w="1004" w:type="dxa"/>
            <w:tcBorders>
              <w:top w:val="nil"/>
              <w:left w:val="nil"/>
              <w:bottom w:val="nil"/>
              <w:right w:val="nil"/>
            </w:tcBorders>
            <w:shd w:val="clear" w:color="auto" w:fill="auto"/>
            <w:noWrap/>
            <w:hideMark/>
          </w:tcPr>
          <w:p w14:paraId="245F148F"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725</w:t>
            </w:r>
          </w:p>
        </w:tc>
        <w:tc>
          <w:tcPr>
            <w:tcW w:w="975" w:type="dxa"/>
            <w:tcBorders>
              <w:top w:val="nil"/>
              <w:left w:val="nil"/>
              <w:bottom w:val="nil"/>
              <w:right w:val="nil"/>
            </w:tcBorders>
            <w:shd w:val="clear" w:color="auto" w:fill="auto"/>
            <w:noWrap/>
            <w:hideMark/>
          </w:tcPr>
          <w:p w14:paraId="6EA4839E"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1.241</w:t>
            </w:r>
          </w:p>
        </w:tc>
        <w:tc>
          <w:tcPr>
            <w:tcW w:w="723" w:type="dxa"/>
            <w:tcBorders>
              <w:top w:val="nil"/>
              <w:left w:val="nil"/>
              <w:bottom w:val="nil"/>
              <w:right w:val="nil"/>
            </w:tcBorders>
            <w:shd w:val="clear" w:color="auto" w:fill="auto"/>
            <w:noWrap/>
            <w:hideMark/>
          </w:tcPr>
          <w:p w14:paraId="385A4427"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5</w:t>
            </w:r>
          </w:p>
        </w:tc>
        <w:tc>
          <w:tcPr>
            <w:tcW w:w="1004" w:type="dxa"/>
            <w:tcBorders>
              <w:top w:val="nil"/>
              <w:left w:val="nil"/>
              <w:bottom w:val="nil"/>
              <w:right w:val="nil"/>
            </w:tcBorders>
            <w:shd w:val="clear" w:color="auto" w:fill="auto"/>
            <w:noWrap/>
            <w:hideMark/>
          </w:tcPr>
          <w:p w14:paraId="79F55A77"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725</w:t>
            </w:r>
          </w:p>
        </w:tc>
        <w:tc>
          <w:tcPr>
            <w:tcW w:w="975" w:type="dxa"/>
            <w:tcBorders>
              <w:top w:val="nil"/>
              <w:left w:val="nil"/>
              <w:bottom w:val="nil"/>
              <w:right w:val="nil"/>
            </w:tcBorders>
            <w:shd w:val="clear" w:color="auto" w:fill="auto"/>
            <w:noWrap/>
            <w:hideMark/>
          </w:tcPr>
          <w:p w14:paraId="549C8050"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0.69</w:t>
            </w:r>
          </w:p>
        </w:tc>
        <w:tc>
          <w:tcPr>
            <w:tcW w:w="816" w:type="dxa"/>
            <w:tcBorders>
              <w:top w:val="nil"/>
              <w:left w:val="nil"/>
              <w:bottom w:val="nil"/>
              <w:right w:val="nil"/>
            </w:tcBorders>
            <w:shd w:val="clear" w:color="auto" w:fill="auto"/>
            <w:noWrap/>
            <w:hideMark/>
          </w:tcPr>
          <w:p w14:paraId="12F36B49"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p>
        </w:tc>
      </w:tr>
      <w:tr w:rsidR="00C06921" w:rsidRPr="00C06921" w14:paraId="38B37E09" w14:textId="77777777" w:rsidTr="00C06921">
        <w:trPr>
          <w:trHeight w:val="864"/>
        </w:trPr>
        <w:tc>
          <w:tcPr>
            <w:tcW w:w="1418" w:type="dxa"/>
            <w:tcBorders>
              <w:top w:val="nil"/>
              <w:left w:val="nil"/>
              <w:bottom w:val="nil"/>
              <w:right w:val="nil"/>
            </w:tcBorders>
            <w:shd w:val="clear" w:color="auto" w:fill="auto"/>
            <w:noWrap/>
            <w:hideMark/>
          </w:tcPr>
          <w:p w14:paraId="6235D581"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lastRenderedPageBreak/>
              <w:t>27506</w:t>
            </w:r>
          </w:p>
        </w:tc>
        <w:tc>
          <w:tcPr>
            <w:tcW w:w="3402" w:type="dxa"/>
            <w:tcBorders>
              <w:top w:val="nil"/>
              <w:left w:val="nil"/>
              <w:bottom w:val="nil"/>
              <w:right w:val="nil"/>
            </w:tcBorders>
            <w:shd w:val="clear" w:color="auto" w:fill="auto"/>
            <w:hideMark/>
          </w:tcPr>
          <w:p w14:paraId="464C9D44"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 xml:space="preserve">Open treatment of femoral shaft fracture, with or without external fixation, with insertion </w:t>
            </w:r>
            <w:r w:rsidRPr="00C06921">
              <w:rPr>
                <w:rFonts w:ascii="Book Antiqua" w:eastAsia="Times New Roman" w:hAnsi="Book Antiqua" w:cs="Times New Roman"/>
                <w:color w:val="000000"/>
                <w:lang w:eastAsia="zh-CN"/>
              </w:rPr>
              <w:br/>
              <w:t>of intramedullary implant, with or without cerclage and/or locking screws</w:t>
            </w:r>
          </w:p>
        </w:tc>
        <w:tc>
          <w:tcPr>
            <w:tcW w:w="723" w:type="dxa"/>
            <w:tcBorders>
              <w:top w:val="nil"/>
              <w:left w:val="nil"/>
              <w:bottom w:val="nil"/>
              <w:right w:val="nil"/>
            </w:tcBorders>
            <w:shd w:val="clear" w:color="auto" w:fill="auto"/>
            <w:noWrap/>
            <w:hideMark/>
          </w:tcPr>
          <w:p w14:paraId="043A06A9"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8</w:t>
            </w:r>
          </w:p>
        </w:tc>
        <w:tc>
          <w:tcPr>
            <w:tcW w:w="1004" w:type="dxa"/>
            <w:tcBorders>
              <w:top w:val="nil"/>
              <w:left w:val="nil"/>
              <w:bottom w:val="nil"/>
              <w:right w:val="nil"/>
            </w:tcBorders>
            <w:shd w:val="clear" w:color="auto" w:fill="auto"/>
            <w:noWrap/>
            <w:hideMark/>
          </w:tcPr>
          <w:p w14:paraId="411E236A"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725</w:t>
            </w:r>
          </w:p>
        </w:tc>
        <w:tc>
          <w:tcPr>
            <w:tcW w:w="975" w:type="dxa"/>
            <w:tcBorders>
              <w:top w:val="nil"/>
              <w:left w:val="nil"/>
              <w:bottom w:val="nil"/>
              <w:right w:val="nil"/>
            </w:tcBorders>
            <w:shd w:val="clear" w:color="auto" w:fill="auto"/>
            <w:noWrap/>
            <w:hideMark/>
          </w:tcPr>
          <w:p w14:paraId="3C415ED1"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1.103</w:t>
            </w:r>
          </w:p>
        </w:tc>
        <w:tc>
          <w:tcPr>
            <w:tcW w:w="723" w:type="dxa"/>
            <w:tcBorders>
              <w:top w:val="nil"/>
              <w:left w:val="nil"/>
              <w:bottom w:val="nil"/>
              <w:right w:val="nil"/>
            </w:tcBorders>
            <w:shd w:val="clear" w:color="auto" w:fill="auto"/>
            <w:noWrap/>
            <w:hideMark/>
          </w:tcPr>
          <w:p w14:paraId="32DF5271"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12</w:t>
            </w:r>
          </w:p>
        </w:tc>
        <w:tc>
          <w:tcPr>
            <w:tcW w:w="1004" w:type="dxa"/>
            <w:tcBorders>
              <w:top w:val="nil"/>
              <w:left w:val="nil"/>
              <w:bottom w:val="nil"/>
              <w:right w:val="nil"/>
            </w:tcBorders>
            <w:shd w:val="clear" w:color="auto" w:fill="auto"/>
            <w:noWrap/>
            <w:hideMark/>
          </w:tcPr>
          <w:p w14:paraId="3C6A7CB6"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725</w:t>
            </w:r>
          </w:p>
        </w:tc>
        <w:tc>
          <w:tcPr>
            <w:tcW w:w="975" w:type="dxa"/>
            <w:tcBorders>
              <w:top w:val="nil"/>
              <w:left w:val="nil"/>
              <w:bottom w:val="nil"/>
              <w:right w:val="nil"/>
            </w:tcBorders>
            <w:shd w:val="clear" w:color="auto" w:fill="auto"/>
            <w:noWrap/>
            <w:hideMark/>
          </w:tcPr>
          <w:p w14:paraId="5C3F2CC7"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1.655</w:t>
            </w:r>
          </w:p>
        </w:tc>
        <w:tc>
          <w:tcPr>
            <w:tcW w:w="816" w:type="dxa"/>
            <w:tcBorders>
              <w:top w:val="nil"/>
              <w:left w:val="nil"/>
              <w:bottom w:val="nil"/>
              <w:right w:val="nil"/>
            </w:tcBorders>
            <w:shd w:val="clear" w:color="auto" w:fill="auto"/>
            <w:noWrap/>
            <w:hideMark/>
          </w:tcPr>
          <w:p w14:paraId="7EA5C640"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p>
        </w:tc>
      </w:tr>
      <w:tr w:rsidR="00C06921" w:rsidRPr="00C06921" w14:paraId="05F6B7CF" w14:textId="77777777" w:rsidTr="00C06921">
        <w:trPr>
          <w:trHeight w:val="576"/>
        </w:trPr>
        <w:tc>
          <w:tcPr>
            <w:tcW w:w="1418" w:type="dxa"/>
            <w:tcBorders>
              <w:top w:val="nil"/>
              <w:left w:val="nil"/>
              <w:bottom w:val="nil"/>
              <w:right w:val="nil"/>
            </w:tcBorders>
            <w:shd w:val="clear" w:color="auto" w:fill="auto"/>
            <w:noWrap/>
            <w:hideMark/>
          </w:tcPr>
          <w:p w14:paraId="58F6F19D"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27187</w:t>
            </w:r>
          </w:p>
        </w:tc>
        <w:tc>
          <w:tcPr>
            <w:tcW w:w="3402" w:type="dxa"/>
            <w:tcBorders>
              <w:top w:val="nil"/>
              <w:left w:val="nil"/>
              <w:bottom w:val="nil"/>
              <w:right w:val="nil"/>
            </w:tcBorders>
            <w:shd w:val="clear" w:color="auto" w:fill="auto"/>
            <w:hideMark/>
          </w:tcPr>
          <w:p w14:paraId="14A005C7"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 xml:space="preserve">Prophylactic treatment (nailing, pinning, plating or wiring) with or without </w:t>
            </w:r>
            <w:proofErr w:type="spellStart"/>
            <w:r w:rsidRPr="00C06921">
              <w:rPr>
                <w:rFonts w:ascii="Book Antiqua" w:eastAsia="Times New Roman" w:hAnsi="Book Antiqua" w:cs="Times New Roman"/>
                <w:color w:val="000000"/>
                <w:lang w:eastAsia="zh-CN"/>
              </w:rPr>
              <w:t>methylmethacrylate</w:t>
            </w:r>
            <w:proofErr w:type="spellEnd"/>
            <w:r w:rsidRPr="00C06921">
              <w:rPr>
                <w:rFonts w:ascii="Book Antiqua" w:eastAsia="Times New Roman" w:hAnsi="Book Antiqua" w:cs="Times New Roman"/>
                <w:color w:val="000000"/>
                <w:lang w:eastAsia="zh-CN"/>
              </w:rPr>
              <w:t>, femoral neck and proximal femur</w:t>
            </w:r>
          </w:p>
        </w:tc>
        <w:tc>
          <w:tcPr>
            <w:tcW w:w="723" w:type="dxa"/>
            <w:tcBorders>
              <w:top w:val="nil"/>
              <w:left w:val="nil"/>
              <w:bottom w:val="nil"/>
              <w:right w:val="nil"/>
            </w:tcBorders>
            <w:shd w:val="clear" w:color="auto" w:fill="auto"/>
            <w:noWrap/>
            <w:hideMark/>
          </w:tcPr>
          <w:p w14:paraId="5A0A72CA"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6</w:t>
            </w:r>
          </w:p>
        </w:tc>
        <w:tc>
          <w:tcPr>
            <w:tcW w:w="1004" w:type="dxa"/>
            <w:tcBorders>
              <w:top w:val="nil"/>
              <w:left w:val="nil"/>
              <w:bottom w:val="nil"/>
              <w:right w:val="nil"/>
            </w:tcBorders>
            <w:shd w:val="clear" w:color="auto" w:fill="auto"/>
            <w:noWrap/>
            <w:hideMark/>
          </w:tcPr>
          <w:p w14:paraId="5DE2A4DE"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725</w:t>
            </w:r>
          </w:p>
        </w:tc>
        <w:tc>
          <w:tcPr>
            <w:tcW w:w="975" w:type="dxa"/>
            <w:tcBorders>
              <w:top w:val="nil"/>
              <w:left w:val="nil"/>
              <w:bottom w:val="nil"/>
              <w:right w:val="nil"/>
            </w:tcBorders>
            <w:shd w:val="clear" w:color="auto" w:fill="auto"/>
            <w:noWrap/>
            <w:hideMark/>
          </w:tcPr>
          <w:p w14:paraId="5ADBD1A8"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0.828</w:t>
            </w:r>
          </w:p>
        </w:tc>
        <w:tc>
          <w:tcPr>
            <w:tcW w:w="723" w:type="dxa"/>
            <w:tcBorders>
              <w:top w:val="nil"/>
              <w:left w:val="nil"/>
              <w:bottom w:val="nil"/>
              <w:right w:val="nil"/>
            </w:tcBorders>
            <w:shd w:val="clear" w:color="auto" w:fill="auto"/>
            <w:noWrap/>
            <w:hideMark/>
          </w:tcPr>
          <w:p w14:paraId="3E070148"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4</w:t>
            </w:r>
          </w:p>
        </w:tc>
        <w:tc>
          <w:tcPr>
            <w:tcW w:w="1004" w:type="dxa"/>
            <w:tcBorders>
              <w:top w:val="nil"/>
              <w:left w:val="nil"/>
              <w:bottom w:val="nil"/>
              <w:right w:val="nil"/>
            </w:tcBorders>
            <w:shd w:val="clear" w:color="auto" w:fill="auto"/>
            <w:noWrap/>
            <w:hideMark/>
          </w:tcPr>
          <w:p w14:paraId="2DC90C89"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725</w:t>
            </w:r>
          </w:p>
        </w:tc>
        <w:tc>
          <w:tcPr>
            <w:tcW w:w="975" w:type="dxa"/>
            <w:tcBorders>
              <w:top w:val="nil"/>
              <w:left w:val="nil"/>
              <w:bottom w:val="nil"/>
              <w:right w:val="nil"/>
            </w:tcBorders>
            <w:shd w:val="clear" w:color="auto" w:fill="auto"/>
            <w:noWrap/>
            <w:hideMark/>
          </w:tcPr>
          <w:p w14:paraId="14F2B465"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0.552</w:t>
            </w:r>
          </w:p>
        </w:tc>
        <w:tc>
          <w:tcPr>
            <w:tcW w:w="816" w:type="dxa"/>
            <w:tcBorders>
              <w:top w:val="nil"/>
              <w:left w:val="nil"/>
              <w:bottom w:val="nil"/>
              <w:right w:val="nil"/>
            </w:tcBorders>
            <w:shd w:val="clear" w:color="auto" w:fill="auto"/>
            <w:noWrap/>
            <w:hideMark/>
          </w:tcPr>
          <w:p w14:paraId="3DFF4B40"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p>
        </w:tc>
      </w:tr>
      <w:tr w:rsidR="00C06921" w:rsidRPr="00C06921" w14:paraId="3C4828E7" w14:textId="77777777" w:rsidTr="00C06921">
        <w:trPr>
          <w:trHeight w:val="288"/>
        </w:trPr>
        <w:tc>
          <w:tcPr>
            <w:tcW w:w="1418" w:type="dxa"/>
            <w:tcBorders>
              <w:top w:val="nil"/>
              <w:left w:val="nil"/>
              <w:bottom w:val="nil"/>
              <w:right w:val="nil"/>
            </w:tcBorders>
            <w:shd w:val="clear" w:color="auto" w:fill="auto"/>
            <w:noWrap/>
            <w:hideMark/>
          </w:tcPr>
          <w:p w14:paraId="64F646B4"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27454</w:t>
            </w:r>
          </w:p>
        </w:tc>
        <w:tc>
          <w:tcPr>
            <w:tcW w:w="3402" w:type="dxa"/>
            <w:tcBorders>
              <w:top w:val="nil"/>
              <w:left w:val="nil"/>
              <w:bottom w:val="nil"/>
              <w:right w:val="nil"/>
            </w:tcBorders>
            <w:shd w:val="clear" w:color="auto" w:fill="auto"/>
            <w:hideMark/>
          </w:tcPr>
          <w:p w14:paraId="570364AB"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 xml:space="preserve">Osteotomy, multiple, with realignment on intramedullary rod, femoral shaft (e.g., </w:t>
            </w:r>
            <w:proofErr w:type="spellStart"/>
            <w:r w:rsidRPr="00C06921">
              <w:rPr>
                <w:rFonts w:ascii="Book Antiqua" w:eastAsia="Times New Roman" w:hAnsi="Book Antiqua" w:cs="Times New Roman"/>
                <w:color w:val="000000"/>
                <w:lang w:eastAsia="zh-CN"/>
              </w:rPr>
              <w:t>Sofield</w:t>
            </w:r>
            <w:proofErr w:type="spellEnd"/>
            <w:r w:rsidRPr="00C06921">
              <w:rPr>
                <w:rFonts w:ascii="Book Antiqua" w:eastAsia="Times New Roman" w:hAnsi="Book Antiqua" w:cs="Times New Roman"/>
                <w:color w:val="000000"/>
                <w:lang w:eastAsia="zh-CN"/>
              </w:rPr>
              <w:t xml:space="preserve"> type procedure)</w:t>
            </w:r>
          </w:p>
        </w:tc>
        <w:tc>
          <w:tcPr>
            <w:tcW w:w="723" w:type="dxa"/>
            <w:tcBorders>
              <w:top w:val="nil"/>
              <w:left w:val="nil"/>
              <w:bottom w:val="nil"/>
              <w:right w:val="nil"/>
            </w:tcBorders>
            <w:shd w:val="clear" w:color="auto" w:fill="auto"/>
            <w:noWrap/>
            <w:hideMark/>
          </w:tcPr>
          <w:p w14:paraId="3839E8EF"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5</w:t>
            </w:r>
          </w:p>
        </w:tc>
        <w:tc>
          <w:tcPr>
            <w:tcW w:w="1004" w:type="dxa"/>
            <w:tcBorders>
              <w:top w:val="nil"/>
              <w:left w:val="nil"/>
              <w:bottom w:val="nil"/>
              <w:right w:val="nil"/>
            </w:tcBorders>
            <w:shd w:val="clear" w:color="auto" w:fill="auto"/>
            <w:noWrap/>
            <w:hideMark/>
          </w:tcPr>
          <w:p w14:paraId="20A9F97C"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725</w:t>
            </w:r>
          </w:p>
        </w:tc>
        <w:tc>
          <w:tcPr>
            <w:tcW w:w="975" w:type="dxa"/>
            <w:tcBorders>
              <w:top w:val="nil"/>
              <w:left w:val="nil"/>
              <w:bottom w:val="nil"/>
              <w:right w:val="nil"/>
            </w:tcBorders>
            <w:shd w:val="clear" w:color="auto" w:fill="auto"/>
            <w:noWrap/>
            <w:hideMark/>
          </w:tcPr>
          <w:p w14:paraId="33D4C9A9"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0.69</w:t>
            </w:r>
          </w:p>
        </w:tc>
        <w:tc>
          <w:tcPr>
            <w:tcW w:w="723" w:type="dxa"/>
            <w:tcBorders>
              <w:top w:val="nil"/>
              <w:left w:val="nil"/>
              <w:bottom w:val="nil"/>
              <w:right w:val="nil"/>
            </w:tcBorders>
            <w:shd w:val="clear" w:color="auto" w:fill="auto"/>
            <w:noWrap/>
            <w:hideMark/>
          </w:tcPr>
          <w:p w14:paraId="05493A68"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4</w:t>
            </w:r>
          </w:p>
        </w:tc>
        <w:tc>
          <w:tcPr>
            <w:tcW w:w="1004" w:type="dxa"/>
            <w:tcBorders>
              <w:top w:val="nil"/>
              <w:left w:val="nil"/>
              <w:bottom w:val="nil"/>
              <w:right w:val="nil"/>
            </w:tcBorders>
            <w:shd w:val="clear" w:color="auto" w:fill="auto"/>
            <w:noWrap/>
            <w:hideMark/>
          </w:tcPr>
          <w:p w14:paraId="65524B5F"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725</w:t>
            </w:r>
          </w:p>
        </w:tc>
        <w:tc>
          <w:tcPr>
            <w:tcW w:w="975" w:type="dxa"/>
            <w:tcBorders>
              <w:top w:val="nil"/>
              <w:left w:val="nil"/>
              <w:bottom w:val="nil"/>
              <w:right w:val="nil"/>
            </w:tcBorders>
            <w:shd w:val="clear" w:color="auto" w:fill="auto"/>
            <w:noWrap/>
            <w:hideMark/>
          </w:tcPr>
          <w:p w14:paraId="21226011"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0.552</w:t>
            </w:r>
          </w:p>
        </w:tc>
        <w:tc>
          <w:tcPr>
            <w:tcW w:w="816" w:type="dxa"/>
            <w:tcBorders>
              <w:top w:val="nil"/>
              <w:left w:val="nil"/>
              <w:bottom w:val="nil"/>
              <w:right w:val="nil"/>
            </w:tcBorders>
            <w:shd w:val="clear" w:color="auto" w:fill="auto"/>
            <w:noWrap/>
            <w:hideMark/>
          </w:tcPr>
          <w:p w14:paraId="3ECC3CE0"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p>
        </w:tc>
      </w:tr>
      <w:tr w:rsidR="00C06921" w:rsidRPr="00C06921" w14:paraId="78189474" w14:textId="77777777" w:rsidTr="00C06921">
        <w:trPr>
          <w:trHeight w:val="288"/>
        </w:trPr>
        <w:tc>
          <w:tcPr>
            <w:tcW w:w="1418" w:type="dxa"/>
            <w:tcBorders>
              <w:top w:val="nil"/>
              <w:left w:val="nil"/>
              <w:bottom w:val="nil"/>
              <w:right w:val="nil"/>
            </w:tcBorders>
            <w:shd w:val="clear" w:color="auto" w:fill="auto"/>
            <w:noWrap/>
            <w:hideMark/>
          </w:tcPr>
          <w:p w14:paraId="3756035B"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27507</w:t>
            </w:r>
          </w:p>
        </w:tc>
        <w:tc>
          <w:tcPr>
            <w:tcW w:w="3402" w:type="dxa"/>
            <w:tcBorders>
              <w:top w:val="nil"/>
              <w:left w:val="nil"/>
              <w:bottom w:val="nil"/>
              <w:right w:val="nil"/>
            </w:tcBorders>
            <w:shd w:val="clear" w:color="auto" w:fill="auto"/>
            <w:hideMark/>
          </w:tcPr>
          <w:p w14:paraId="79CB80F0"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Open treatment of femoral shaft fracture with plate/screws, with or without cerclage</w:t>
            </w:r>
          </w:p>
        </w:tc>
        <w:tc>
          <w:tcPr>
            <w:tcW w:w="723" w:type="dxa"/>
            <w:tcBorders>
              <w:top w:val="nil"/>
              <w:left w:val="nil"/>
              <w:bottom w:val="nil"/>
              <w:right w:val="nil"/>
            </w:tcBorders>
            <w:shd w:val="clear" w:color="auto" w:fill="auto"/>
            <w:noWrap/>
            <w:hideMark/>
          </w:tcPr>
          <w:p w14:paraId="0F1E70F3"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5</w:t>
            </w:r>
          </w:p>
        </w:tc>
        <w:tc>
          <w:tcPr>
            <w:tcW w:w="1004" w:type="dxa"/>
            <w:tcBorders>
              <w:top w:val="nil"/>
              <w:left w:val="nil"/>
              <w:bottom w:val="nil"/>
              <w:right w:val="nil"/>
            </w:tcBorders>
            <w:shd w:val="clear" w:color="auto" w:fill="auto"/>
            <w:noWrap/>
            <w:hideMark/>
          </w:tcPr>
          <w:p w14:paraId="1DDFD433"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725</w:t>
            </w:r>
          </w:p>
        </w:tc>
        <w:tc>
          <w:tcPr>
            <w:tcW w:w="975" w:type="dxa"/>
            <w:tcBorders>
              <w:top w:val="nil"/>
              <w:left w:val="nil"/>
              <w:bottom w:val="nil"/>
              <w:right w:val="nil"/>
            </w:tcBorders>
            <w:shd w:val="clear" w:color="auto" w:fill="auto"/>
            <w:noWrap/>
            <w:hideMark/>
          </w:tcPr>
          <w:p w14:paraId="2EDC6BAA"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0.69</w:t>
            </w:r>
          </w:p>
        </w:tc>
        <w:tc>
          <w:tcPr>
            <w:tcW w:w="723" w:type="dxa"/>
            <w:tcBorders>
              <w:top w:val="nil"/>
              <w:left w:val="nil"/>
              <w:bottom w:val="nil"/>
              <w:right w:val="nil"/>
            </w:tcBorders>
            <w:shd w:val="clear" w:color="auto" w:fill="auto"/>
            <w:noWrap/>
            <w:hideMark/>
          </w:tcPr>
          <w:p w14:paraId="591B2901"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8</w:t>
            </w:r>
          </w:p>
        </w:tc>
        <w:tc>
          <w:tcPr>
            <w:tcW w:w="1004" w:type="dxa"/>
            <w:tcBorders>
              <w:top w:val="nil"/>
              <w:left w:val="nil"/>
              <w:bottom w:val="nil"/>
              <w:right w:val="nil"/>
            </w:tcBorders>
            <w:shd w:val="clear" w:color="auto" w:fill="auto"/>
            <w:noWrap/>
            <w:hideMark/>
          </w:tcPr>
          <w:p w14:paraId="0200F9D0"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725</w:t>
            </w:r>
          </w:p>
        </w:tc>
        <w:tc>
          <w:tcPr>
            <w:tcW w:w="975" w:type="dxa"/>
            <w:tcBorders>
              <w:top w:val="nil"/>
              <w:left w:val="nil"/>
              <w:bottom w:val="nil"/>
              <w:right w:val="nil"/>
            </w:tcBorders>
            <w:shd w:val="clear" w:color="auto" w:fill="auto"/>
            <w:noWrap/>
            <w:hideMark/>
          </w:tcPr>
          <w:p w14:paraId="7A7C49FF"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1.103</w:t>
            </w:r>
          </w:p>
        </w:tc>
        <w:tc>
          <w:tcPr>
            <w:tcW w:w="816" w:type="dxa"/>
            <w:tcBorders>
              <w:top w:val="nil"/>
              <w:left w:val="nil"/>
              <w:bottom w:val="nil"/>
              <w:right w:val="nil"/>
            </w:tcBorders>
            <w:shd w:val="clear" w:color="auto" w:fill="auto"/>
            <w:noWrap/>
            <w:hideMark/>
          </w:tcPr>
          <w:p w14:paraId="0D2FA6A4"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p>
        </w:tc>
      </w:tr>
      <w:tr w:rsidR="00C06921" w:rsidRPr="00C06921" w14:paraId="6DA3BB1F" w14:textId="77777777" w:rsidTr="00C06921">
        <w:trPr>
          <w:trHeight w:val="864"/>
        </w:trPr>
        <w:tc>
          <w:tcPr>
            <w:tcW w:w="1418" w:type="dxa"/>
            <w:tcBorders>
              <w:top w:val="nil"/>
              <w:left w:val="nil"/>
              <w:bottom w:val="nil"/>
              <w:right w:val="nil"/>
            </w:tcBorders>
            <w:shd w:val="clear" w:color="auto" w:fill="auto"/>
            <w:noWrap/>
            <w:hideMark/>
          </w:tcPr>
          <w:p w14:paraId="62040CCA"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27511</w:t>
            </w:r>
          </w:p>
        </w:tc>
        <w:tc>
          <w:tcPr>
            <w:tcW w:w="3402" w:type="dxa"/>
            <w:tcBorders>
              <w:top w:val="nil"/>
              <w:left w:val="nil"/>
              <w:bottom w:val="nil"/>
              <w:right w:val="nil"/>
            </w:tcBorders>
            <w:shd w:val="clear" w:color="auto" w:fill="auto"/>
            <w:hideMark/>
          </w:tcPr>
          <w:p w14:paraId="506B9BE4"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 xml:space="preserve">Open treatment of femoral supracondylar or trans-condylar fracture without intercondylar extension, </w:t>
            </w:r>
            <w:r w:rsidRPr="00C06921">
              <w:rPr>
                <w:rFonts w:ascii="Book Antiqua" w:eastAsia="Times New Roman" w:hAnsi="Book Antiqua" w:cs="Times New Roman"/>
                <w:color w:val="000000"/>
                <w:lang w:eastAsia="zh-CN"/>
              </w:rPr>
              <w:br/>
              <w:t>with or without internal or external fixation</w:t>
            </w:r>
          </w:p>
        </w:tc>
        <w:tc>
          <w:tcPr>
            <w:tcW w:w="723" w:type="dxa"/>
            <w:tcBorders>
              <w:top w:val="nil"/>
              <w:left w:val="nil"/>
              <w:bottom w:val="nil"/>
              <w:right w:val="nil"/>
            </w:tcBorders>
            <w:shd w:val="clear" w:color="auto" w:fill="auto"/>
            <w:noWrap/>
            <w:hideMark/>
          </w:tcPr>
          <w:p w14:paraId="4B4852FE"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5</w:t>
            </w:r>
          </w:p>
        </w:tc>
        <w:tc>
          <w:tcPr>
            <w:tcW w:w="1004" w:type="dxa"/>
            <w:tcBorders>
              <w:top w:val="nil"/>
              <w:left w:val="nil"/>
              <w:bottom w:val="nil"/>
              <w:right w:val="nil"/>
            </w:tcBorders>
            <w:shd w:val="clear" w:color="auto" w:fill="auto"/>
            <w:noWrap/>
            <w:hideMark/>
          </w:tcPr>
          <w:p w14:paraId="30A4B9F5"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725</w:t>
            </w:r>
          </w:p>
        </w:tc>
        <w:tc>
          <w:tcPr>
            <w:tcW w:w="975" w:type="dxa"/>
            <w:tcBorders>
              <w:top w:val="nil"/>
              <w:left w:val="nil"/>
              <w:bottom w:val="nil"/>
              <w:right w:val="nil"/>
            </w:tcBorders>
            <w:shd w:val="clear" w:color="auto" w:fill="auto"/>
            <w:noWrap/>
            <w:hideMark/>
          </w:tcPr>
          <w:p w14:paraId="3A7EC41F"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0.69</w:t>
            </w:r>
          </w:p>
        </w:tc>
        <w:tc>
          <w:tcPr>
            <w:tcW w:w="723" w:type="dxa"/>
            <w:tcBorders>
              <w:top w:val="nil"/>
              <w:left w:val="nil"/>
              <w:bottom w:val="nil"/>
              <w:right w:val="nil"/>
            </w:tcBorders>
            <w:shd w:val="clear" w:color="auto" w:fill="auto"/>
            <w:noWrap/>
            <w:hideMark/>
          </w:tcPr>
          <w:p w14:paraId="2C36A41E"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6</w:t>
            </w:r>
          </w:p>
        </w:tc>
        <w:tc>
          <w:tcPr>
            <w:tcW w:w="1004" w:type="dxa"/>
            <w:tcBorders>
              <w:top w:val="nil"/>
              <w:left w:val="nil"/>
              <w:bottom w:val="nil"/>
              <w:right w:val="nil"/>
            </w:tcBorders>
            <w:shd w:val="clear" w:color="auto" w:fill="auto"/>
            <w:noWrap/>
            <w:hideMark/>
          </w:tcPr>
          <w:p w14:paraId="4742D7FB"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725</w:t>
            </w:r>
          </w:p>
        </w:tc>
        <w:tc>
          <w:tcPr>
            <w:tcW w:w="975" w:type="dxa"/>
            <w:tcBorders>
              <w:top w:val="nil"/>
              <w:left w:val="nil"/>
              <w:bottom w:val="nil"/>
              <w:right w:val="nil"/>
            </w:tcBorders>
            <w:shd w:val="clear" w:color="auto" w:fill="auto"/>
            <w:noWrap/>
            <w:hideMark/>
          </w:tcPr>
          <w:p w14:paraId="6A64A427"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0.828</w:t>
            </w:r>
          </w:p>
        </w:tc>
        <w:tc>
          <w:tcPr>
            <w:tcW w:w="816" w:type="dxa"/>
            <w:tcBorders>
              <w:top w:val="nil"/>
              <w:left w:val="nil"/>
              <w:bottom w:val="nil"/>
              <w:right w:val="nil"/>
            </w:tcBorders>
            <w:shd w:val="clear" w:color="auto" w:fill="auto"/>
            <w:noWrap/>
            <w:hideMark/>
          </w:tcPr>
          <w:p w14:paraId="31FA628E"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p>
        </w:tc>
      </w:tr>
      <w:tr w:rsidR="00C06921" w:rsidRPr="00C06921" w14:paraId="4FBE4C18" w14:textId="77777777" w:rsidTr="00C06921">
        <w:trPr>
          <w:trHeight w:val="1152"/>
        </w:trPr>
        <w:tc>
          <w:tcPr>
            <w:tcW w:w="1418" w:type="dxa"/>
            <w:tcBorders>
              <w:top w:val="nil"/>
              <w:left w:val="nil"/>
              <w:bottom w:val="nil"/>
              <w:right w:val="nil"/>
            </w:tcBorders>
            <w:shd w:val="clear" w:color="auto" w:fill="auto"/>
            <w:noWrap/>
            <w:hideMark/>
          </w:tcPr>
          <w:p w14:paraId="3D4E96CA"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lastRenderedPageBreak/>
              <w:t>27228</w:t>
            </w:r>
          </w:p>
        </w:tc>
        <w:tc>
          <w:tcPr>
            <w:tcW w:w="3402" w:type="dxa"/>
            <w:tcBorders>
              <w:top w:val="nil"/>
              <w:left w:val="nil"/>
              <w:bottom w:val="nil"/>
              <w:right w:val="nil"/>
            </w:tcBorders>
            <w:shd w:val="clear" w:color="auto" w:fill="auto"/>
            <w:hideMark/>
          </w:tcPr>
          <w:p w14:paraId="0AFB870C"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 xml:space="preserve">Open treatment of acetabular fracture(s) involving anterior and posterior (two) columns, includes </w:t>
            </w:r>
            <w:r w:rsidRPr="00C06921">
              <w:rPr>
                <w:rFonts w:ascii="Book Antiqua" w:eastAsia="Times New Roman" w:hAnsi="Book Antiqua" w:cs="Times New Roman"/>
                <w:color w:val="000000"/>
                <w:lang w:eastAsia="zh-CN"/>
              </w:rPr>
              <w:br/>
              <w:t>T-fracture and both column fracture with complete articular detachment, or single column or transverse fracture with associated acetabular wall fracture, with internal fixation</w:t>
            </w:r>
          </w:p>
        </w:tc>
        <w:tc>
          <w:tcPr>
            <w:tcW w:w="723" w:type="dxa"/>
            <w:tcBorders>
              <w:top w:val="nil"/>
              <w:left w:val="nil"/>
              <w:bottom w:val="nil"/>
              <w:right w:val="nil"/>
            </w:tcBorders>
            <w:shd w:val="clear" w:color="auto" w:fill="auto"/>
            <w:noWrap/>
            <w:hideMark/>
          </w:tcPr>
          <w:p w14:paraId="6E788BA8"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3</w:t>
            </w:r>
          </w:p>
        </w:tc>
        <w:tc>
          <w:tcPr>
            <w:tcW w:w="1004" w:type="dxa"/>
            <w:tcBorders>
              <w:top w:val="nil"/>
              <w:left w:val="nil"/>
              <w:bottom w:val="nil"/>
              <w:right w:val="nil"/>
            </w:tcBorders>
            <w:shd w:val="clear" w:color="auto" w:fill="auto"/>
            <w:noWrap/>
            <w:hideMark/>
          </w:tcPr>
          <w:p w14:paraId="2192A3FE"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725</w:t>
            </w:r>
          </w:p>
        </w:tc>
        <w:tc>
          <w:tcPr>
            <w:tcW w:w="975" w:type="dxa"/>
            <w:tcBorders>
              <w:top w:val="nil"/>
              <w:left w:val="nil"/>
              <w:bottom w:val="nil"/>
              <w:right w:val="nil"/>
            </w:tcBorders>
            <w:shd w:val="clear" w:color="auto" w:fill="auto"/>
            <w:noWrap/>
            <w:hideMark/>
          </w:tcPr>
          <w:p w14:paraId="11AA19C6"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0.414</w:t>
            </w:r>
          </w:p>
        </w:tc>
        <w:tc>
          <w:tcPr>
            <w:tcW w:w="723" w:type="dxa"/>
            <w:tcBorders>
              <w:top w:val="nil"/>
              <w:left w:val="nil"/>
              <w:bottom w:val="nil"/>
              <w:right w:val="nil"/>
            </w:tcBorders>
            <w:shd w:val="clear" w:color="auto" w:fill="auto"/>
            <w:noWrap/>
            <w:hideMark/>
          </w:tcPr>
          <w:p w14:paraId="45AB73E2"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4</w:t>
            </w:r>
          </w:p>
        </w:tc>
        <w:tc>
          <w:tcPr>
            <w:tcW w:w="1004" w:type="dxa"/>
            <w:tcBorders>
              <w:top w:val="nil"/>
              <w:left w:val="nil"/>
              <w:bottom w:val="nil"/>
              <w:right w:val="nil"/>
            </w:tcBorders>
            <w:shd w:val="clear" w:color="auto" w:fill="auto"/>
            <w:noWrap/>
            <w:hideMark/>
          </w:tcPr>
          <w:p w14:paraId="5D896C5B"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725</w:t>
            </w:r>
          </w:p>
        </w:tc>
        <w:tc>
          <w:tcPr>
            <w:tcW w:w="975" w:type="dxa"/>
            <w:tcBorders>
              <w:top w:val="nil"/>
              <w:left w:val="nil"/>
              <w:bottom w:val="nil"/>
              <w:right w:val="nil"/>
            </w:tcBorders>
            <w:shd w:val="clear" w:color="auto" w:fill="auto"/>
            <w:noWrap/>
            <w:hideMark/>
          </w:tcPr>
          <w:p w14:paraId="7C0ED54B"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0.552</w:t>
            </w:r>
          </w:p>
        </w:tc>
        <w:tc>
          <w:tcPr>
            <w:tcW w:w="816" w:type="dxa"/>
            <w:tcBorders>
              <w:top w:val="nil"/>
              <w:left w:val="nil"/>
              <w:bottom w:val="nil"/>
              <w:right w:val="nil"/>
            </w:tcBorders>
            <w:shd w:val="clear" w:color="auto" w:fill="auto"/>
            <w:noWrap/>
            <w:hideMark/>
          </w:tcPr>
          <w:p w14:paraId="60199036"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p>
        </w:tc>
      </w:tr>
      <w:tr w:rsidR="00C06921" w:rsidRPr="00C06921" w14:paraId="68C191B2" w14:textId="77777777" w:rsidTr="00C06921">
        <w:trPr>
          <w:trHeight w:val="864"/>
        </w:trPr>
        <w:tc>
          <w:tcPr>
            <w:tcW w:w="1418" w:type="dxa"/>
            <w:tcBorders>
              <w:top w:val="nil"/>
              <w:left w:val="nil"/>
              <w:bottom w:val="nil"/>
              <w:right w:val="nil"/>
            </w:tcBorders>
            <w:shd w:val="clear" w:color="auto" w:fill="auto"/>
            <w:noWrap/>
            <w:hideMark/>
          </w:tcPr>
          <w:p w14:paraId="527A24D0"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27513</w:t>
            </w:r>
          </w:p>
        </w:tc>
        <w:tc>
          <w:tcPr>
            <w:tcW w:w="3402" w:type="dxa"/>
            <w:tcBorders>
              <w:top w:val="nil"/>
              <w:left w:val="nil"/>
              <w:bottom w:val="nil"/>
              <w:right w:val="nil"/>
            </w:tcBorders>
            <w:shd w:val="clear" w:color="auto" w:fill="auto"/>
            <w:hideMark/>
          </w:tcPr>
          <w:p w14:paraId="32E30F36"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Open treatment of femoral supracondylar or trans-condylar fracture with intercondylar extension,</w:t>
            </w:r>
            <w:r w:rsidRPr="00C06921">
              <w:rPr>
                <w:rFonts w:ascii="Book Antiqua" w:eastAsia="Times New Roman" w:hAnsi="Book Antiqua" w:cs="Times New Roman"/>
                <w:color w:val="000000"/>
                <w:lang w:eastAsia="zh-CN"/>
              </w:rPr>
              <w:br/>
              <w:t xml:space="preserve"> with or without internal or external fixation</w:t>
            </w:r>
          </w:p>
        </w:tc>
        <w:tc>
          <w:tcPr>
            <w:tcW w:w="723" w:type="dxa"/>
            <w:tcBorders>
              <w:top w:val="nil"/>
              <w:left w:val="nil"/>
              <w:bottom w:val="nil"/>
              <w:right w:val="nil"/>
            </w:tcBorders>
            <w:shd w:val="clear" w:color="auto" w:fill="auto"/>
            <w:noWrap/>
            <w:hideMark/>
          </w:tcPr>
          <w:p w14:paraId="4BCB67AD"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3</w:t>
            </w:r>
          </w:p>
        </w:tc>
        <w:tc>
          <w:tcPr>
            <w:tcW w:w="1004" w:type="dxa"/>
            <w:tcBorders>
              <w:top w:val="nil"/>
              <w:left w:val="nil"/>
              <w:bottom w:val="nil"/>
              <w:right w:val="nil"/>
            </w:tcBorders>
            <w:shd w:val="clear" w:color="auto" w:fill="auto"/>
            <w:noWrap/>
            <w:hideMark/>
          </w:tcPr>
          <w:p w14:paraId="5555489D"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725</w:t>
            </w:r>
          </w:p>
        </w:tc>
        <w:tc>
          <w:tcPr>
            <w:tcW w:w="975" w:type="dxa"/>
            <w:tcBorders>
              <w:top w:val="nil"/>
              <w:left w:val="nil"/>
              <w:bottom w:val="nil"/>
              <w:right w:val="nil"/>
            </w:tcBorders>
            <w:shd w:val="clear" w:color="auto" w:fill="auto"/>
            <w:noWrap/>
            <w:hideMark/>
          </w:tcPr>
          <w:p w14:paraId="43CF9709"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0.414</w:t>
            </w:r>
          </w:p>
        </w:tc>
        <w:tc>
          <w:tcPr>
            <w:tcW w:w="723" w:type="dxa"/>
            <w:tcBorders>
              <w:top w:val="nil"/>
              <w:left w:val="nil"/>
              <w:bottom w:val="nil"/>
              <w:right w:val="nil"/>
            </w:tcBorders>
            <w:shd w:val="clear" w:color="auto" w:fill="auto"/>
            <w:noWrap/>
            <w:hideMark/>
          </w:tcPr>
          <w:p w14:paraId="0DE2129C"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1</w:t>
            </w:r>
          </w:p>
        </w:tc>
        <w:tc>
          <w:tcPr>
            <w:tcW w:w="1004" w:type="dxa"/>
            <w:tcBorders>
              <w:top w:val="nil"/>
              <w:left w:val="nil"/>
              <w:bottom w:val="nil"/>
              <w:right w:val="nil"/>
            </w:tcBorders>
            <w:shd w:val="clear" w:color="auto" w:fill="auto"/>
            <w:noWrap/>
            <w:hideMark/>
          </w:tcPr>
          <w:p w14:paraId="34F09216"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725</w:t>
            </w:r>
          </w:p>
        </w:tc>
        <w:tc>
          <w:tcPr>
            <w:tcW w:w="975" w:type="dxa"/>
            <w:tcBorders>
              <w:top w:val="nil"/>
              <w:left w:val="nil"/>
              <w:bottom w:val="nil"/>
              <w:right w:val="nil"/>
            </w:tcBorders>
            <w:shd w:val="clear" w:color="auto" w:fill="auto"/>
            <w:noWrap/>
            <w:hideMark/>
          </w:tcPr>
          <w:p w14:paraId="0C211E4D"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0.138</w:t>
            </w:r>
          </w:p>
        </w:tc>
        <w:tc>
          <w:tcPr>
            <w:tcW w:w="816" w:type="dxa"/>
            <w:tcBorders>
              <w:top w:val="nil"/>
              <w:left w:val="nil"/>
              <w:bottom w:val="nil"/>
              <w:right w:val="nil"/>
            </w:tcBorders>
            <w:shd w:val="clear" w:color="auto" w:fill="auto"/>
            <w:noWrap/>
            <w:hideMark/>
          </w:tcPr>
          <w:p w14:paraId="6D942E4F"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p>
        </w:tc>
      </w:tr>
      <w:tr w:rsidR="00C06921" w:rsidRPr="00C06921" w14:paraId="35E5D158" w14:textId="77777777" w:rsidTr="00C06921">
        <w:trPr>
          <w:trHeight w:val="288"/>
        </w:trPr>
        <w:tc>
          <w:tcPr>
            <w:tcW w:w="1418" w:type="dxa"/>
            <w:tcBorders>
              <w:top w:val="nil"/>
              <w:left w:val="nil"/>
              <w:bottom w:val="nil"/>
              <w:right w:val="nil"/>
            </w:tcBorders>
            <w:shd w:val="clear" w:color="auto" w:fill="auto"/>
            <w:noWrap/>
            <w:hideMark/>
          </w:tcPr>
          <w:p w14:paraId="64FF4363"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27122</w:t>
            </w:r>
          </w:p>
        </w:tc>
        <w:tc>
          <w:tcPr>
            <w:tcW w:w="3402" w:type="dxa"/>
            <w:tcBorders>
              <w:top w:val="nil"/>
              <w:left w:val="nil"/>
              <w:bottom w:val="nil"/>
              <w:right w:val="nil"/>
            </w:tcBorders>
            <w:shd w:val="clear" w:color="auto" w:fill="auto"/>
            <w:hideMark/>
          </w:tcPr>
          <w:p w14:paraId="2FC9121F"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proofErr w:type="spellStart"/>
            <w:r w:rsidRPr="00C06921">
              <w:rPr>
                <w:rFonts w:ascii="Book Antiqua" w:eastAsia="Times New Roman" w:hAnsi="Book Antiqua" w:cs="Times New Roman"/>
                <w:color w:val="000000"/>
                <w:lang w:eastAsia="zh-CN"/>
              </w:rPr>
              <w:t>Acetabuloplasty</w:t>
            </w:r>
            <w:proofErr w:type="spellEnd"/>
            <w:r w:rsidRPr="00C06921">
              <w:rPr>
                <w:rFonts w:ascii="Book Antiqua" w:eastAsia="Times New Roman" w:hAnsi="Book Antiqua" w:cs="Times New Roman"/>
                <w:color w:val="000000"/>
                <w:lang w:eastAsia="zh-CN"/>
              </w:rPr>
              <w:t>; resection, femoral head (</w:t>
            </w:r>
            <w:r w:rsidR="00F572C8">
              <w:rPr>
                <w:rFonts w:ascii="Book Antiqua" w:eastAsia="Times New Roman" w:hAnsi="Book Antiqua" w:cs="Times New Roman"/>
                <w:color w:val="000000"/>
                <w:lang w:eastAsia="zh-CN"/>
              </w:rPr>
              <w:t xml:space="preserve">e.g., </w:t>
            </w:r>
            <w:proofErr w:type="spellStart"/>
            <w:r w:rsidRPr="00C06921">
              <w:rPr>
                <w:rFonts w:ascii="Book Antiqua" w:eastAsia="Times New Roman" w:hAnsi="Book Antiqua" w:cs="Times New Roman"/>
                <w:color w:val="000000"/>
                <w:lang w:eastAsia="zh-CN"/>
              </w:rPr>
              <w:t>Girdlestone</w:t>
            </w:r>
            <w:proofErr w:type="spellEnd"/>
            <w:r w:rsidRPr="00C06921">
              <w:rPr>
                <w:rFonts w:ascii="Book Antiqua" w:eastAsia="Times New Roman" w:hAnsi="Book Antiqua" w:cs="Times New Roman"/>
                <w:color w:val="000000"/>
                <w:lang w:eastAsia="zh-CN"/>
              </w:rPr>
              <w:t xml:space="preserve"> procedure)</w:t>
            </w:r>
          </w:p>
        </w:tc>
        <w:tc>
          <w:tcPr>
            <w:tcW w:w="723" w:type="dxa"/>
            <w:tcBorders>
              <w:top w:val="nil"/>
              <w:left w:val="nil"/>
              <w:bottom w:val="nil"/>
              <w:right w:val="nil"/>
            </w:tcBorders>
            <w:shd w:val="clear" w:color="auto" w:fill="auto"/>
            <w:noWrap/>
            <w:hideMark/>
          </w:tcPr>
          <w:p w14:paraId="4FC8EAFB"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2</w:t>
            </w:r>
          </w:p>
        </w:tc>
        <w:tc>
          <w:tcPr>
            <w:tcW w:w="1004" w:type="dxa"/>
            <w:tcBorders>
              <w:top w:val="nil"/>
              <w:left w:val="nil"/>
              <w:bottom w:val="nil"/>
              <w:right w:val="nil"/>
            </w:tcBorders>
            <w:shd w:val="clear" w:color="auto" w:fill="auto"/>
            <w:noWrap/>
            <w:hideMark/>
          </w:tcPr>
          <w:p w14:paraId="69EB701B"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725</w:t>
            </w:r>
          </w:p>
        </w:tc>
        <w:tc>
          <w:tcPr>
            <w:tcW w:w="975" w:type="dxa"/>
            <w:tcBorders>
              <w:top w:val="nil"/>
              <w:left w:val="nil"/>
              <w:bottom w:val="nil"/>
              <w:right w:val="nil"/>
            </w:tcBorders>
            <w:shd w:val="clear" w:color="auto" w:fill="auto"/>
            <w:noWrap/>
            <w:hideMark/>
          </w:tcPr>
          <w:p w14:paraId="08389C3F"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0.276</w:t>
            </w:r>
          </w:p>
        </w:tc>
        <w:tc>
          <w:tcPr>
            <w:tcW w:w="723" w:type="dxa"/>
            <w:tcBorders>
              <w:top w:val="nil"/>
              <w:left w:val="nil"/>
              <w:bottom w:val="nil"/>
              <w:right w:val="nil"/>
            </w:tcBorders>
            <w:shd w:val="clear" w:color="auto" w:fill="auto"/>
            <w:noWrap/>
            <w:hideMark/>
          </w:tcPr>
          <w:p w14:paraId="7ECEC798"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2</w:t>
            </w:r>
          </w:p>
        </w:tc>
        <w:tc>
          <w:tcPr>
            <w:tcW w:w="1004" w:type="dxa"/>
            <w:tcBorders>
              <w:top w:val="nil"/>
              <w:left w:val="nil"/>
              <w:bottom w:val="nil"/>
              <w:right w:val="nil"/>
            </w:tcBorders>
            <w:shd w:val="clear" w:color="auto" w:fill="auto"/>
            <w:noWrap/>
            <w:hideMark/>
          </w:tcPr>
          <w:p w14:paraId="5DCC0096"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725</w:t>
            </w:r>
          </w:p>
        </w:tc>
        <w:tc>
          <w:tcPr>
            <w:tcW w:w="975" w:type="dxa"/>
            <w:tcBorders>
              <w:top w:val="nil"/>
              <w:left w:val="nil"/>
              <w:bottom w:val="nil"/>
              <w:right w:val="nil"/>
            </w:tcBorders>
            <w:shd w:val="clear" w:color="auto" w:fill="auto"/>
            <w:noWrap/>
            <w:hideMark/>
          </w:tcPr>
          <w:p w14:paraId="763F69C2"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0.276</w:t>
            </w:r>
          </w:p>
        </w:tc>
        <w:tc>
          <w:tcPr>
            <w:tcW w:w="816" w:type="dxa"/>
            <w:tcBorders>
              <w:top w:val="nil"/>
              <w:left w:val="nil"/>
              <w:bottom w:val="nil"/>
              <w:right w:val="nil"/>
            </w:tcBorders>
            <w:shd w:val="clear" w:color="auto" w:fill="auto"/>
            <w:noWrap/>
            <w:hideMark/>
          </w:tcPr>
          <w:p w14:paraId="79C92D8F"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p>
        </w:tc>
      </w:tr>
      <w:tr w:rsidR="00C06921" w:rsidRPr="00C06921" w14:paraId="2B371425" w14:textId="77777777" w:rsidTr="00C06921">
        <w:trPr>
          <w:trHeight w:val="288"/>
        </w:trPr>
        <w:tc>
          <w:tcPr>
            <w:tcW w:w="1418" w:type="dxa"/>
            <w:tcBorders>
              <w:top w:val="nil"/>
              <w:left w:val="nil"/>
              <w:bottom w:val="nil"/>
              <w:right w:val="nil"/>
            </w:tcBorders>
            <w:shd w:val="clear" w:color="auto" w:fill="auto"/>
            <w:noWrap/>
            <w:hideMark/>
          </w:tcPr>
          <w:p w14:paraId="4C9CE353"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27138</w:t>
            </w:r>
          </w:p>
        </w:tc>
        <w:tc>
          <w:tcPr>
            <w:tcW w:w="3402" w:type="dxa"/>
            <w:tcBorders>
              <w:top w:val="nil"/>
              <w:left w:val="nil"/>
              <w:bottom w:val="nil"/>
              <w:right w:val="nil"/>
            </w:tcBorders>
            <w:shd w:val="clear" w:color="auto" w:fill="auto"/>
            <w:hideMark/>
          </w:tcPr>
          <w:p w14:paraId="39C9D67F"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Revision of total hip arthroplasty</w:t>
            </w:r>
          </w:p>
        </w:tc>
        <w:tc>
          <w:tcPr>
            <w:tcW w:w="723" w:type="dxa"/>
            <w:tcBorders>
              <w:top w:val="nil"/>
              <w:left w:val="nil"/>
              <w:bottom w:val="nil"/>
              <w:right w:val="nil"/>
            </w:tcBorders>
            <w:shd w:val="clear" w:color="auto" w:fill="auto"/>
            <w:noWrap/>
            <w:hideMark/>
          </w:tcPr>
          <w:p w14:paraId="0F369CD5"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2</w:t>
            </w:r>
          </w:p>
        </w:tc>
        <w:tc>
          <w:tcPr>
            <w:tcW w:w="1004" w:type="dxa"/>
            <w:tcBorders>
              <w:top w:val="nil"/>
              <w:left w:val="nil"/>
              <w:bottom w:val="nil"/>
              <w:right w:val="nil"/>
            </w:tcBorders>
            <w:shd w:val="clear" w:color="auto" w:fill="auto"/>
            <w:noWrap/>
            <w:hideMark/>
          </w:tcPr>
          <w:p w14:paraId="3D2B50ED"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725</w:t>
            </w:r>
          </w:p>
        </w:tc>
        <w:tc>
          <w:tcPr>
            <w:tcW w:w="975" w:type="dxa"/>
            <w:tcBorders>
              <w:top w:val="nil"/>
              <w:left w:val="nil"/>
              <w:bottom w:val="nil"/>
              <w:right w:val="nil"/>
            </w:tcBorders>
            <w:shd w:val="clear" w:color="auto" w:fill="auto"/>
            <w:noWrap/>
            <w:hideMark/>
          </w:tcPr>
          <w:p w14:paraId="41CC5AC1"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0.276</w:t>
            </w:r>
          </w:p>
        </w:tc>
        <w:tc>
          <w:tcPr>
            <w:tcW w:w="723" w:type="dxa"/>
            <w:tcBorders>
              <w:top w:val="nil"/>
              <w:left w:val="nil"/>
              <w:bottom w:val="nil"/>
              <w:right w:val="nil"/>
            </w:tcBorders>
            <w:shd w:val="clear" w:color="auto" w:fill="auto"/>
            <w:noWrap/>
            <w:hideMark/>
          </w:tcPr>
          <w:p w14:paraId="57C282F7"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2</w:t>
            </w:r>
          </w:p>
        </w:tc>
        <w:tc>
          <w:tcPr>
            <w:tcW w:w="1004" w:type="dxa"/>
            <w:tcBorders>
              <w:top w:val="nil"/>
              <w:left w:val="nil"/>
              <w:bottom w:val="nil"/>
              <w:right w:val="nil"/>
            </w:tcBorders>
            <w:shd w:val="clear" w:color="auto" w:fill="auto"/>
            <w:noWrap/>
            <w:hideMark/>
          </w:tcPr>
          <w:p w14:paraId="5C272A4D"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725</w:t>
            </w:r>
          </w:p>
        </w:tc>
        <w:tc>
          <w:tcPr>
            <w:tcW w:w="975" w:type="dxa"/>
            <w:tcBorders>
              <w:top w:val="nil"/>
              <w:left w:val="nil"/>
              <w:bottom w:val="nil"/>
              <w:right w:val="nil"/>
            </w:tcBorders>
            <w:shd w:val="clear" w:color="auto" w:fill="auto"/>
            <w:noWrap/>
            <w:hideMark/>
          </w:tcPr>
          <w:p w14:paraId="658EAD61"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0.276</w:t>
            </w:r>
          </w:p>
        </w:tc>
        <w:tc>
          <w:tcPr>
            <w:tcW w:w="816" w:type="dxa"/>
            <w:tcBorders>
              <w:top w:val="nil"/>
              <w:left w:val="nil"/>
              <w:bottom w:val="nil"/>
              <w:right w:val="nil"/>
            </w:tcBorders>
            <w:shd w:val="clear" w:color="auto" w:fill="auto"/>
            <w:noWrap/>
            <w:hideMark/>
          </w:tcPr>
          <w:p w14:paraId="2D9E412D"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p>
        </w:tc>
      </w:tr>
      <w:tr w:rsidR="00C06921" w:rsidRPr="00C06921" w14:paraId="61712F55" w14:textId="77777777" w:rsidTr="00C06921">
        <w:trPr>
          <w:trHeight w:val="288"/>
        </w:trPr>
        <w:tc>
          <w:tcPr>
            <w:tcW w:w="1418" w:type="dxa"/>
            <w:tcBorders>
              <w:top w:val="nil"/>
              <w:left w:val="nil"/>
              <w:bottom w:val="nil"/>
              <w:right w:val="nil"/>
            </w:tcBorders>
            <w:shd w:val="clear" w:color="auto" w:fill="auto"/>
            <w:noWrap/>
            <w:hideMark/>
          </w:tcPr>
          <w:p w14:paraId="7B0C9D24"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27165</w:t>
            </w:r>
          </w:p>
        </w:tc>
        <w:tc>
          <w:tcPr>
            <w:tcW w:w="3402" w:type="dxa"/>
            <w:tcBorders>
              <w:top w:val="nil"/>
              <w:left w:val="nil"/>
              <w:bottom w:val="nil"/>
              <w:right w:val="nil"/>
            </w:tcBorders>
            <w:shd w:val="clear" w:color="auto" w:fill="auto"/>
            <w:hideMark/>
          </w:tcPr>
          <w:p w14:paraId="2DF555C8"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Osteotomy, intertrochanteric or sub-trochanteric, including internal or external fixation and/or cast</w:t>
            </w:r>
          </w:p>
        </w:tc>
        <w:tc>
          <w:tcPr>
            <w:tcW w:w="723" w:type="dxa"/>
            <w:tcBorders>
              <w:top w:val="nil"/>
              <w:left w:val="nil"/>
              <w:bottom w:val="nil"/>
              <w:right w:val="nil"/>
            </w:tcBorders>
            <w:shd w:val="clear" w:color="auto" w:fill="auto"/>
            <w:noWrap/>
            <w:hideMark/>
          </w:tcPr>
          <w:p w14:paraId="37E89C1E"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2</w:t>
            </w:r>
          </w:p>
        </w:tc>
        <w:tc>
          <w:tcPr>
            <w:tcW w:w="1004" w:type="dxa"/>
            <w:tcBorders>
              <w:top w:val="nil"/>
              <w:left w:val="nil"/>
              <w:bottom w:val="nil"/>
              <w:right w:val="nil"/>
            </w:tcBorders>
            <w:shd w:val="clear" w:color="auto" w:fill="auto"/>
            <w:noWrap/>
            <w:hideMark/>
          </w:tcPr>
          <w:p w14:paraId="71BA0928"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725</w:t>
            </w:r>
          </w:p>
        </w:tc>
        <w:tc>
          <w:tcPr>
            <w:tcW w:w="975" w:type="dxa"/>
            <w:tcBorders>
              <w:top w:val="nil"/>
              <w:left w:val="nil"/>
              <w:bottom w:val="nil"/>
              <w:right w:val="nil"/>
            </w:tcBorders>
            <w:shd w:val="clear" w:color="auto" w:fill="auto"/>
            <w:noWrap/>
            <w:hideMark/>
          </w:tcPr>
          <w:p w14:paraId="08FE30B5"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0.276</w:t>
            </w:r>
          </w:p>
        </w:tc>
        <w:tc>
          <w:tcPr>
            <w:tcW w:w="723" w:type="dxa"/>
            <w:tcBorders>
              <w:top w:val="nil"/>
              <w:left w:val="nil"/>
              <w:bottom w:val="nil"/>
              <w:right w:val="nil"/>
            </w:tcBorders>
            <w:shd w:val="clear" w:color="auto" w:fill="auto"/>
            <w:noWrap/>
            <w:hideMark/>
          </w:tcPr>
          <w:p w14:paraId="1A9F35E5"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0</w:t>
            </w:r>
          </w:p>
        </w:tc>
        <w:tc>
          <w:tcPr>
            <w:tcW w:w="1004" w:type="dxa"/>
            <w:tcBorders>
              <w:top w:val="nil"/>
              <w:left w:val="nil"/>
              <w:bottom w:val="nil"/>
              <w:right w:val="nil"/>
            </w:tcBorders>
            <w:shd w:val="clear" w:color="auto" w:fill="auto"/>
            <w:noWrap/>
            <w:hideMark/>
          </w:tcPr>
          <w:p w14:paraId="68E35720"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725</w:t>
            </w:r>
          </w:p>
        </w:tc>
        <w:tc>
          <w:tcPr>
            <w:tcW w:w="975" w:type="dxa"/>
            <w:tcBorders>
              <w:top w:val="nil"/>
              <w:left w:val="nil"/>
              <w:bottom w:val="nil"/>
              <w:right w:val="nil"/>
            </w:tcBorders>
            <w:shd w:val="clear" w:color="auto" w:fill="auto"/>
            <w:noWrap/>
            <w:hideMark/>
          </w:tcPr>
          <w:p w14:paraId="749244A8"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0</w:t>
            </w:r>
          </w:p>
        </w:tc>
        <w:tc>
          <w:tcPr>
            <w:tcW w:w="816" w:type="dxa"/>
            <w:tcBorders>
              <w:top w:val="nil"/>
              <w:left w:val="nil"/>
              <w:bottom w:val="nil"/>
              <w:right w:val="nil"/>
            </w:tcBorders>
            <w:shd w:val="clear" w:color="auto" w:fill="auto"/>
            <w:noWrap/>
            <w:hideMark/>
          </w:tcPr>
          <w:p w14:paraId="2A60DFA9"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p>
        </w:tc>
      </w:tr>
      <w:tr w:rsidR="00C06921" w:rsidRPr="00C06921" w14:paraId="7613BB3D" w14:textId="77777777" w:rsidTr="00C06921">
        <w:trPr>
          <w:trHeight w:val="576"/>
        </w:trPr>
        <w:tc>
          <w:tcPr>
            <w:tcW w:w="1418" w:type="dxa"/>
            <w:tcBorders>
              <w:top w:val="nil"/>
              <w:left w:val="nil"/>
              <w:bottom w:val="nil"/>
              <w:right w:val="nil"/>
            </w:tcBorders>
            <w:shd w:val="clear" w:color="auto" w:fill="auto"/>
            <w:noWrap/>
            <w:hideMark/>
          </w:tcPr>
          <w:p w14:paraId="4E31C105"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27509</w:t>
            </w:r>
          </w:p>
        </w:tc>
        <w:tc>
          <w:tcPr>
            <w:tcW w:w="3402" w:type="dxa"/>
            <w:tcBorders>
              <w:top w:val="nil"/>
              <w:left w:val="nil"/>
              <w:bottom w:val="nil"/>
              <w:right w:val="nil"/>
            </w:tcBorders>
            <w:shd w:val="clear" w:color="auto" w:fill="auto"/>
            <w:hideMark/>
          </w:tcPr>
          <w:p w14:paraId="65C6C14B"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 xml:space="preserve">Percutaneous skeletal fixation of femoral fracture, distal end, medial or lateral condyle, or supracondylar or trans-condylar, with or without intercondylar </w:t>
            </w:r>
            <w:r w:rsidRPr="00C06921">
              <w:rPr>
                <w:rFonts w:ascii="Book Antiqua" w:eastAsia="Times New Roman" w:hAnsi="Book Antiqua" w:cs="Times New Roman"/>
                <w:color w:val="000000"/>
                <w:lang w:eastAsia="zh-CN"/>
              </w:rPr>
              <w:lastRenderedPageBreak/>
              <w:t>extension, or distal femoral epiphyseal</w:t>
            </w:r>
          </w:p>
        </w:tc>
        <w:tc>
          <w:tcPr>
            <w:tcW w:w="723" w:type="dxa"/>
            <w:tcBorders>
              <w:top w:val="nil"/>
              <w:left w:val="nil"/>
              <w:bottom w:val="nil"/>
              <w:right w:val="nil"/>
            </w:tcBorders>
            <w:shd w:val="clear" w:color="auto" w:fill="auto"/>
            <w:noWrap/>
            <w:hideMark/>
          </w:tcPr>
          <w:p w14:paraId="14F24A57"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lastRenderedPageBreak/>
              <w:t>2</w:t>
            </w:r>
          </w:p>
        </w:tc>
        <w:tc>
          <w:tcPr>
            <w:tcW w:w="1004" w:type="dxa"/>
            <w:tcBorders>
              <w:top w:val="nil"/>
              <w:left w:val="nil"/>
              <w:bottom w:val="nil"/>
              <w:right w:val="nil"/>
            </w:tcBorders>
            <w:shd w:val="clear" w:color="auto" w:fill="auto"/>
            <w:noWrap/>
            <w:hideMark/>
          </w:tcPr>
          <w:p w14:paraId="2E1ABB41"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725</w:t>
            </w:r>
          </w:p>
        </w:tc>
        <w:tc>
          <w:tcPr>
            <w:tcW w:w="975" w:type="dxa"/>
            <w:tcBorders>
              <w:top w:val="nil"/>
              <w:left w:val="nil"/>
              <w:bottom w:val="nil"/>
              <w:right w:val="nil"/>
            </w:tcBorders>
            <w:shd w:val="clear" w:color="auto" w:fill="auto"/>
            <w:noWrap/>
            <w:hideMark/>
          </w:tcPr>
          <w:p w14:paraId="528E89AC"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0.276</w:t>
            </w:r>
          </w:p>
        </w:tc>
        <w:tc>
          <w:tcPr>
            <w:tcW w:w="723" w:type="dxa"/>
            <w:tcBorders>
              <w:top w:val="nil"/>
              <w:left w:val="nil"/>
              <w:bottom w:val="nil"/>
              <w:right w:val="nil"/>
            </w:tcBorders>
            <w:shd w:val="clear" w:color="auto" w:fill="auto"/>
            <w:noWrap/>
            <w:hideMark/>
          </w:tcPr>
          <w:p w14:paraId="41447C40"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1</w:t>
            </w:r>
          </w:p>
        </w:tc>
        <w:tc>
          <w:tcPr>
            <w:tcW w:w="1004" w:type="dxa"/>
            <w:tcBorders>
              <w:top w:val="nil"/>
              <w:left w:val="nil"/>
              <w:bottom w:val="nil"/>
              <w:right w:val="nil"/>
            </w:tcBorders>
            <w:shd w:val="clear" w:color="auto" w:fill="auto"/>
            <w:noWrap/>
            <w:hideMark/>
          </w:tcPr>
          <w:p w14:paraId="7B5F8B3F"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725</w:t>
            </w:r>
          </w:p>
        </w:tc>
        <w:tc>
          <w:tcPr>
            <w:tcW w:w="975" w:type="dxa"/>
            <w:tcBorders>
              <w:top w:val="nil"/>
              <w:left w:val="nil"/>
              <w:bottom w:val="nil"/>
              <w:right w:val="nil"/>
            </w:tcBorders>
            <w:shd w:val="clear" w:color="auto" w:fill="auto"/>
            <w:noWrap/>
            <w:hideMark/>
          </w:tcPr>
          <w:p w14:paraId="1B6DF496"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0.138</w:t>
            </w:r>
          </w:p>
        </w:tc>
        <w:tc>
          <w:tcPr>
            <w:tcW w:w="816" w:type="dxa"/>
            <w:tcBorders>
              <w:top w:val="nil"/>
              <w:left w:val="nil"/>
              <w:bottom w:val="nil"/>
              <w:right w:val="nil"/>
            </w:tcBorders>
            <w:shd w:val="clear" w:color="auto" w:fill="auto"/>
            <w:noWrap/>
            <w:hideMark/>
          </w:tcPr>
          <w:p w14:paraId="644CEC57"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p>
        </w:tc>
      </w:tr>
      <w:tr w:rsidR="00C06921" w:rsidRPr="00C06921" w14:paraId="478F7698" w14:textId="77777777" w:rsidTr="00C06921">
        <w:trPr>
          <w:trHeight w:val="288"/>
        </w:trPr>
        <w:tc>
          <w:tcPr>
            <w:tcW w:w="1418" w:type="dxa"/>
            <w:tcBorders>
              <w:top w:val="nil"/>
              <w:left w:val="nil"/>
              <w:bottom w:val="nil"/>
              <w:right w:val="nil"/>
            </w:tcBorders>
            <w:shd w:val="clear" w:color="auto" w:fill="auto"/>
            <w:noWrap/>
            <w:hideMark/>
          </w:tcPr>
          <w:p w14:paraId="6E031A1B"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lastRenderedPageBreak/>
              <w:t>27132</w:t>
            </w:r>
          </w:p>
        </w:tc>
        <w:tc>
          <w:tcPr>
            <w:tcW w:w="3402" w:type="dxa"/>
            <w:tcBorders>
              <w:top w:val="nil"/>
              <w:left w:val="nil"/>
              <w:bottom w:val="nil"/>
              <w:right w:val="nil"/>
            </w:tcBorders>
            <w:shd w:val="clear" w:color="auto" w:fill="auto"/>
            <w:hideMark/>
          </w:tcPr>
          <w:p w14:paraId="080D5CE5"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Conversion of previous hip surgery to total hip arthroplasty</w:t>
            </w:r>
          </w:p>
        </w:tc>
        <w:tc>
          <w:tcPr>
            <w:tcW w:w="723" w:type="dxa"/>
            <w:tcBorders>
              <w:top w:val="nil"/>
              <w:left w:val="nil"/>
              <w:bottom w:val="nil"/>
              <w:right w:val="nil"/>
            </w:tcBorders>
            <w:shd w:val="clear" w:color="auto" w:fill="auto"/>
            <w:noWrap/>
            <w:hideMark/>
          </w:tcPr>
          <w:p w14:paraId="03B18401"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1</w:t>
            </w:r>
          </w:p>
        </w:tc>
        <w:tc>
          <w:tcPr>
            <w:tcW w:w="1004" w:type="dxa"/>
            <w:tcBorders>
              <w:top w:val="nil"/>
              <w:left w:val="nil"/>
              <w:bottom w:val="nil"/>
              <w:right w:val="nil"/>
            </w:tcBorders>
            <w:shd w:val="clear" w:color="auto" w:fill="auto"/>
            <w:noWrap/>
            <w:hideMark/>
          </w:tcPr>
          <w:p w14:paraId="4C21C06D"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725</w:t>
            </w:r>
          </w:p>
        </w:tc>
        <w:tc>
          <w:tcPr>
            <w:tcW w:w="975" w:type="dxa"/>
            <w:tcBorders>
              <w:top w:val="nil"/>
              <w:left w:val="nil"/>
              <w:bottom w:val="nil"/>
              <w:right w:val="nil"/>
            </w:tcBorders>
            <w:shd w:val="clear" w:color="auto" w:fill="auto"/>
            <w:noWrap/>
            <w:hideMark/>
          </w:tcPr>
          <w:p w14:paraId="45DFF9ED"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0.138</w:t>
            </w:r>
          </w:p>
        </w:tc>
        <w:tc>
          <w:tcPr>
            <w:tcW w:w="723" w:type="dxa"/>
            <w:tcBorders>
              <w:top w:val="nil"/>
              <w:left w:val="nil"/>
              <w:bottom w:val="nil"/>
              <w:right w:val="nil"/>
            </w:tcBorders>
            <w:shd w:val="clear" w:color="auto" w:fill="auto"/>
            <w:noWrap/>
            <w:hideMark/>
          </w:tcPr>
          <w:p w14:paraId="3C83DB41"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1</w:t>
            </w:r>
          </w:p>
        </w:tc>
        <w:tc>
          <w:tcPr>
            <w:tcW w:w="1004" w:type="dxa"/>
            <w:tcBorders>
              <w:top w:val="nil"/>
              <w:left w:val="nil"/>
              <w:bottom w:val="nil"/>
              <w:right w:val="nil"/>
            </w:tcBorders>
            <w:shd w:val="clear" w:color="auto" w:fill="auto"/>
            <w:noWrap/>
            <w:hideMark/>
          </w:tcPr>
          <w:p w14:paraId="297F2482"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725</w:t>
            </w:r>
          </w:p>
        </w:tc>
        <w:tc>
          <w:tcPr>
            <w:tcW w:w="975" w:type="dxa"/>
            <w:tcBorders>
              <w:top w:val="nil"/>
              <w:left w:val="nil"/>
              <w:bottom w:val="nil"/>
              <w:right w:val="nil"/>
            </w:tcBorders>
            <w:shd w:val="clear" w:color="auto" w:fill="auto"/>
            <w:noWrap/>
            <w:hideMark/>
          </w:tcPr>
          <w:p w14:paraId="0DA8452E"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0.138</w:t>
            </w:r>
          </w:p>
        </w:tc>
        <w:tc>
          <w:tcPr>
            <w:tcW w:w="816" w:type="dxa"/>
            <w:tcBorders>
              <w:top w:val="nil"/>
              <w:left w:val="nil"/>
              <w:bottom w:val="nil"/>
              <w:right w:val="nil"/>
            </w:tcBorders>
            <w:shd w:val="clear" w:color="auto" w:fill="auto"/>
            <w:noWrap/>
            <w:hideMark/>
          </w:tcPr>
          <w:p w14:paraId="0B72A0CC"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p>
        </w:tc>
      </w:tr>
      <w:tr w:rsidR="00C06921" w:rsidRPr="00C06921" w14:paraId="3245C991" w14:textId="77777777" w:rsidTr="00C06921">
        <w:trPr>
          <w:trHeight w:val="288"/>
        </w:trPr>
        <w:tc>
          <w:tcPr>
            <w:tcW w:w="1418" w:type="dxa"/>
            <w:tcBorders>
              <w:top w:val="nil"/>
              <w:left w:val="nil"/>
              <w:bottom w:val="nil"/>
              <w:right w:val="nil"/>
            </w:tcBorders>
            <w:shd w:val="clear" w:color="auto" w:fill="auto"/>
            <w:noWrap/>
            <w:hideMark/>
          </w:tcPr>
          <w:p w14:paraId="65C57FCE"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27134</w:t>
            </w:r>
          </w:p>
        </w:tc>
        <w:tc>
          <w:tcPr>
            <w:tcW w:w="3402" w:type="dxa"/>
            <w:tcBorders>
              <w:top w:val="nil"/>
              <w:left w:val="nil"/>
              <w:bottom w:val="nil"/>
              <w:right w:val="nil"/>
            </w:tcBorders>
            <w:shd w:val="clear" w:color="auto" w:fill="auto"/>
            <w:hideMark/>
          </w:tcPr>
          <w:p w14:paraId="64C4F2D3"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Revision of total hip arthroplasty</w:t>
            </w:r>
          </w:p>
        </w:tc>
        <w:tc>
          <w:tcPr>
            <w:tcW w:w="723" w:type="dxa"/>
            <w:tcBorders>
              <w:top w:val="nil"/>
              <w:left w:val="nil"/>
              <w:bottom w:val="nil"/>
              <w:right w:val="nil"/>
            </w:tcBorders>
            <w:shd w:val="clear" w:color="auto" w:fill="auto"/>
            <w:noWrap/>
            <w:hideMark/>
          </w:tcPr>
          <w:p w14:paraId="72A4858E"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1</w:t>
            </w:r>
          </w:p>
        </w:tc>
        <w:tc>
          <w:tcPr>
            <w:tcW w:w="1004" w:type="dxa"/>
            <w:tcBorders>
              <w:top w:val="nil"/>
              <w:left w:val="nil"/>
              <w:bottom w:val="nil"/>
              <w:right w:val="nil"/>
            </w:tcBorders>
            <w:shd w:val="clear" w:color="auto" w:fill="auto"/>
            <w:noWrap/>
            <w:hideMark/>
          </w:tcPr>
          <w:p w14:paraId="2CA490EC"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725</w:t>
            </w:r>
          </w:p>
        </w:tc>
        <w:tc>
          <w:tcPr>
            <w:tcW w:w="975" w:type="dxa"/>
            <w:tcBorders>
              <w:top w:val="nil"/>
              <w:left w:val="nil"/>
              <w:bottom w:val="nil"/>
              <w:right w:val="nil"/>
            </w:tcBorders>
            <w:shd w:val="clear" w:color="auto" w:fill="auto"/>
            <w:noWrap/>
            <w:hideMark/>
          </w:tcPr>
          <w:p w14:paraId="40587CC9"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0.138</w:t>
            </w:r>
          </w:p>
        </w:tc>
        <w:tc>
          <w:tcPr>
            <w:tcW w:w="723" w:type="dxa"/>
            <w:tcBorders>
              <w:top w:val="nil"/>
              <w:left w:val="nil"/>
              <w:bottom w:val="nil"/>
              <w:right w:val="nil"/>
            </w:tcBorders>
            <w:shd w:val="clear" w:color="auto" w:fill="auto"/>
            <w:noWrap/>
            <w:hideMark/>
          </w:tcPr>
          <w:p w14:paraId="1DB7F6B3"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0</w:t>
            </w:r>
          </w:p>
        </w:tc>
        <w:tc>
          <w:tcPr>
            <w:tcW w:w="1004" w:type="dxa"/>
            <w:tcBorders>
              <w:top w:val="nil"/>
              <w:left w:val="nil"/>
              <w:bottom w:val="nil"/>
              <w:right w:val="nil"/>
            </w:tcBorders>
            <w:shd w:val="clear" w:color="auto" w:fill="auto"/>
            <w:noWrap/>
            <w:hideMark/>
          </w:tcPr>
          <w:p w14:paraId="357FF60A"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725</w:t>
            </w:r>
          </w:p>
        </w:tc>
        <w:tc>
          <w:tcPr>
            <w:tcW w:w="975" w:type="dxa"/>
            <w:tcBorders>
              <w:top w:val="nil"/>
              <w:left w:val="nil"/>
              <w:bottom w:val="nil"/>
              <w:right w:val="nil"/>
            </w:tcBorders>
            <w:shd w:val="clear" w:color="auto" w:fill="auto"/>
            <w:noWrap/>
            <w:hideMark/>
          </w:tcPr>
          <w:p w14:paraId="090E9C47"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0</w:t>
            </w:r>
          </w:p>
        </w:tc>
        <w:tc>
          <w:tcPr>
            <w:tcW w:w="816" w:type="dxa"/>
            <w:tcBorders>
              <w:top w:val="nil"/>
              <w:left w:val="nil"/>
              <w:bottom w:val="nil"/>
              <w:right w:val="nil"/>
            </w:tcBorders>
            <w:shd w:val="clear" w:color="auto" w:fill="auto"/>
            <w:noWrap/>
            <w:hideMark/>
          </w:tcPr>
          <w:p w14:paraId="108DFD94"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p>
        </w:tc>
      </w:tr>
      <w:tr w:rsidR="00C06921" w:rsidRPr="00C06921" w14:paraId="2E8740F9" w14:textId="77777777" w:rsidTr="00C06921">
        <w:trPr>
          <w:trHeight w:val="864"/>
        </w:trPr>
        <w:tc>
          <w:tcPr>
            <w:tcW w:w="1418" w:type="dxa"/>
            <w:tcBorders>
              <w:top w:val="nil"/>
              <w:left w:val="nil"/>
              <w:bottom w:val="nil"/>
              <w:right w:val="nil"/>
            </w:tcBorders>
            <w:shd w:val="clear" w:color="auto" w:fill="auto"/>
            <w:noWrap/>
            <w:hideMark/>
          </w:tcPr>
          <w:p w14:paraId="3A529F5C"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27254</w:t>
            </w:r>
          </w:p>
        </w:tc>
        <w:tc>
          <w:tcPr>
            <w:tcW w:w="3402" w:type="dxa"/>
            <w:tcBorders>
              <w:top w:val="nil"/>
              <w:left w:val="nil"/>
              <w:bottom w:val="nil"/>
              <w:right w:val="nil"/>
            </w:tcBorders>
            <w:shd w:val="clear" w:color="auto" w:fill="auto"/>
            <w:hideMark/>
          </w:tcPr>
          <w:p w14:paraId="0EB8648A"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 xml:space="preserve">Open treatment of hip dislocation, traumatic, with acetabular wall and femoral head fracture, </w:t>
            </w:r>
            <w:r w:rsidRPr="00C06921">
              <w:rPr>
                <w:rFonts w:ascii="Book Antiqua" w:eastAsia="Times New Roman" w:hAnsi="Book Antiqua" w:cs="Times New Roman"/>
                <w:color w:val="000000"/>
                <w:lang w:eastAsia="zh-CN"/>
              </w:rPr>
              <w:br/>
              <w:t>with or without internal or external fixation</w:t>
            </w:r>
          </w:p>
        </w:tc>
        <w:tc>
          <w:tcPr>
            <w:tcW w:w="723" w:type="dxa"/>
            <w:tcBorders>
              <w:top w:val="nil"/>
              <w:left w:val="nil"/>
              <w:bottom w:val="nil"/>
              <w:right w:val="nil"/>
            </w:tcBorders>
            <w:shd w:val="clear" w:color="auto" w:fill="auto"/>
            <w:noWrap/>
            <w:hideMark/>
          </w:tcPr>
          <w:p w14:paraId="52F5CCFC"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1</w:t>
            </w:r>
          </w:p>
        </w:tc>
        <w:tc>
          <w:tcPr>
            <w:tcW w:w="1004" w:type="dxa"/>
            <w:tcBorders>
              <w:top w:val="nil"/>
              <w:left w:val="nil"/>
              <w:bottom w:val="nil"/>
              <w:right w:val="nil"/>
            </w:tcBorders>
            <w:shd w:val="clear" w:color="auto" w:fill="auto"/>
            <w:noWrap/>
            <w:hideMark/>
          </w:tcPr>
          <w:p w14:paraId="3AC5CAFF"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725</w:t>
            </w:r>
          </w:p>
        </w:tc>
        <w:tc>
          <w:tcPr>
            <w:tcW w:w="975" w:type="dxa"/>
            <w:tcBorders>
              <w:top w:val="nil"/>
              <w:left w:val="nil"/>
              <w:bottom w:val="nil"/>
              <w:right w:val="nil"/>
            </w:tcBorders>
            <w:shd w:val="clear" w:color="auto" w:fill="auto"/>
            <w:noWrap/>
            <w:hideMark/>
          </w:tcPr>
          <w:p w14:paraId="51095E3F"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0.138</w:t>
            </w:r>
          </w:p>
        </w:tc>
        <w:tc>
          <w:tcPr>
            <w:tcW w:w="723" w:type="dxa"/>
            <w:tcBorders>
              <w:top w:val="nil"/>
              <w:left w:val="nil"/>
              <w:bottom w:val="nil"/>
              <w:right w:val="nil"/>
            </w:tcBorders>
            <w:shd w:val="clear" w:color="auto" w:fill="auto"/>
            <w:noWrap/>
            <w:hideMark/>
          </w:tcPr>
          <w:p w14:paraId="6F7166E8"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1</w:t>
            </w:r>
          </w:p>
        </w:tc>
        <w:tc>
          <w:tcPr>
            <w:tcW w:w="1004" w:type="dxa"/>
            <w:tcBorders>
              <w:top w:val="nil"/>
              <w:left w:val="nil"/>
              <w:bottom w:val="nil"/>
              <w:right w:val="nil"/>
            </w:tcBorders>
            <w:shd w:val="clear" w:color="auto" w:fill="auto"/>
            <w:noWrap/>
            <w:hideMark/>
          </w:tcPr>
          <w:p w14:paraId="6C85D22E"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725</w:t>
            </w:r>
          </w:p>
        </w:tc>
        <w:tc>
          <w:tcPr>
            <w:tcW w:w="975" w:type="dxa"/>
            <w:tcBorders>
              <w:top w:val="nil"/>
              <w:left w:val="nil"/>
              <w:bottom w:val="nil"/>
              <w:right w:val="nil"/>
            </w:tcBorders>
            <w:shd w:val="clear" w:color="auto" w:fill="auto"/>
            <w:noWrap/>
            <w:hideMark/>
          </w:tcPr>
          <w:p w14:paraId="64DD314F"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0.138</w:t>
            </w:r>
          </w:p>
        </w:tc>
        <w:tc>
          <w:tcPr>
            <w:tcW w:w="816" w:type="dxa"/>
            <w:tcBorders>
              <w:top w:val="nil"/>
              <w:left w:val="nil"/>
              <w:bottom w:val="nil"/>
              <w:right w:val="nil"/>
            </w:tcBorders>
            <w:shd w:val="clear" w:color="auto" w:fill="auto"/>
            <w:noWrap/>
            <w:hideMark/>
          </w:tcPr>
          <w:p w14:paraId="14B9949E"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p>
        </w:tc>
      </w:tr>
      <w:tr w:rsidR="00C06921" w:rsidRPr="00C06921" w14:paraId="198FD5E8" w14:textId="77777777" w:rsidTr="00C06921">
        <w:trPr>
          <w:trHeight w:val="288"/>
        </w:trPr>
        <w:tc>
          <w:tcPr>
            <w:tcW w:w="1418" w:type="dxa"/>
            <w:tcBorders>
              <w:top w:val="nil"/>
              <w:left w:val="nil"/>
              <w:right w:val="nil"/>
            </w:tcBorders>
            <w:shd w:val="clear" w:color="auto" w:fill="auto"/>
            <w:noWrap/>
            <w:hideMark/>
          </w:tcPr>
          <w:p w14:paraId="15D4668D"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27450</w:t>
            </w:r>
          </w:p>
        </w:tc>
        <w:tc>
          <w:tcPr>
            <w:tcW w:w="3402" w:type="dxa"/>
            <w:tcBorders>
              <w:top w:val="nil"/>
              <w:left w:val="nil"/>
              <w:right w:val="nil"/>
            </w:tcBorders>
            <w:shd w:val="clear" w:color="auto" w:fill="auto"/>
            <w:hideMark/>
          </w:tcPr>
          <w:p w14:paraId="106EFDC0"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Osteotomy, femur, shaft or supracondylar; with fixation</w:t>
            </w:r>
          </w:p>
        </w:tc>
        <w:tc>
          <w:tcPr>
            <w:tcW w:w="723" w:type="dxa"/>
            <w:tcBorders>
              <w:top w:val="nil"/>
              <w:left w:val="nil"/>
              <w:right w:val="nil"/>
            </w:tcBorders>
            <w:shd w:val="clear" w:color="auto" w:fill="auto"/>
            <w:noWrap/>
            <w:hideMark/>
          </w:tcPr>
          <w:p w14:paraId="0D097004"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1</w:t>
            </w:r>
          </w:p>
        </w:tc>
        <w:tc>
          <w:tcPr>
            <w:tcW w:w="1004" w:type="dxa"/>
            <w:tcBorders>
              <w:top w:val="nil"/>
              <w:left w:val="nil"/>
              <w:right w:val="nil"/>
            </w:tcBorders>
            <w:shd w:val="clear" w:color="auto" w:fill="auto"/>
            <w:noWrap/>
            <w:hideMark/>
          </w:tcPr>
          <w:p w14:paraId="3E1B04F2"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725</w:t>
            </w:r>
          </w:p>
        </w:tc>
        <w:tc>
          <w:tcPr>
            <w:tcW w:w="975" w:type="dxa"/>
            <w:tcBorders>
              <w:top w:val="nil"/>
              <w:left w:val="nil"/>
              <w:right w:val="nil"/>
            </w:tcBorders>
            <w:shd w:val="clear" w:color="auto" w:fill="auto"/>
            <w:noWrap/>
            <w:hideMark/>
          </w:tcPr>
          <w:p w14:paraId="2D999A4C"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0.138</w:t>
            </w:r>
          </w:p>
        </w:tc>
        <w:tc>
          <w:tcPr>
            <w:tcW w:w="723" w:type="dxa"/>
            <w:tcBorders>
              <w:top w:val="nil"/>
              <w:left w:val="nil"/>
              <w:right w:val="nil"/>
            </w:tcBorders>
            <w:shd w:val="clear" w:color="auto" w:fill="auto"/>
            <w:noWrap/>
            <w:hideMark/>
          </w:tcPr>
          <w:p w14:paraId="78C11C0A"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3</w:t>
            </w:r>
          </w:p>
        </w:tc>
        <w:tc>
          <w:tcPr>
            <w:tcW w:w="1004" w:type="dxa"/>
            <w:tcBorders>
              <w:top w:val="nil"/>
              <w:left w:val="nil"/>
              <w:right w:val="nil"/>
            </w:tcBorders>
            <w:shd w:val="clear" w:color="auto" w:fill="auto"/>
            <w:noWrap/>
            <w:hideMark/>
          </w:tcPr>
          <w:p w14:paraId="235DA1F2"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725</w:t>
            </w:r>
          </w:p>
        </w:tc>
        <w:tc>
          <w:tcPr>
            <w:tcW w:w="975" w:type="dxa"/>
            <w:tcBorders>
              <w:top w:val="nil"/>
              <w:left w:val="nil"/>
              <w:right w:val="nil"/>
            </w:tcBorders>
            <w:shd w:val="clear" w:color="auto" w:fill="auto"/>
            <w:noWrap/>
            <w:hideMark/>
          </w:tcPr>
          <w:p w14:paraId="5A1A938F"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0.414</w:t>
            </w:r>
          </w:p>
        </w:tc>
        <w:tc>
          <w:tcPr>
            <w:tcW w:w="816" w:type="dxa"/>
            <w:tcBorders>
              <w:top w:val="nil"/>
              <w:left w:val="nil"/>
              <w:right w:val="nil"/>
            </w:tcBorders>
            <w:shd w:val="clear" w:color="auto" w:fill="auto"/>
            <w:noWrap/>
            <w:hideMark/>
          </w:tcPr>
          <w:p w14:paraId="489BBC33"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p>
        </w:tc>
      </w:tr>
      <w:tr w:rsidR="00C06921" w:rsidRPr="00C06921" w14:paraId="44681056" w14:textId="77777777" w:rsidTr="00C06921">
        <w:trPr>
          <w:trHeight w:val="915"/>
        </w:trPr>
        <w:tc>
          <w:tcPr>
            <w:tcW w:w="1418" w:type="dxa"/>
            <w:tcBorders>
              <w:top w:val="nil"/>
              <w:left w:val="nil"/>
              <w:bottom w:val="single" w:sz="4" w:space="0" w:color="auto"/>
              <w:right w:val="nil"/>
            </w:tcBorders>
            <w:shd w:val="clear" w:color="auto" w:fill="auto"/>
            <w:noWrap/>
            <w:hideMark/>
          </w:tcPr>
          <w:p w14:paraId="3E0DF5E8"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27514</w:t>
            </w:r>
          </w:p>
        </w:tc>
        <w:tc>
          <w:tcPr>
            <w:tcW w:w="3402" w:type="dxa"/>
            <w:tcBorders>
              <w:top w:val="nil"/>
              <w:left w:val="nil"/>
              <w:bottom w:val="single" w:sz="4" w:space="0" w:color="auto"/>
              <w:right w:val="nil"/>
            </w:tcBorders>
            <w:shd w:val="clear" w:color="auto" w:fill="auto"/>
            <w:hideMark/>
          </w:tcPr>
          <w:p w14:paraId="389F89D7"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 xml:space="preserve">Open treatment of femoral fracture, distal end, medial or lateral condyle, </w:t>
            </w:r>
            <w:r w:rsidRPr="00C06921">
              <w:rPr>
                <w:rFonts w:ascii="Book Antiqua" w:eastAsia="Times New Roman" w:hAnsi="Book Antiqua" w:cs="Times New Roman"/>
                <w:color w:val="000000"/>
                <w:lang w:eastAsia="zh-CN"/>
              </w:rPr>
              <w:br/>
              <w:t>with or without internal or external fixation</w:t>
            </w:r>
          </w:p>
        </w:tc>
        <w:tc>
          <w:tcPr>
            <w:tcW w:w="723" w:type="dxa"/>
            <w:tcBorders>
              <w:top w:val="nil"/>
              <w:left w:val="nil"/>
              <w:bottom w:val="single" w:sz="4" w:space="0" w:color="auto"/>
              <w:right w:val="nil"/>
            </w:tcBorders>
            <w:shd w:val="clear" w:color="auto" w:fill="auto"/>
            <w:noWrap/>
            <w:hideMark/>
          </w:tcPr>
          <w:p w14:paraId="5B77DEA9"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1</w:t>
            </w:r>
          </w:p>
        </w:tc>
        <w:tc>
          <w:tcPr>
            <w:tcW w:w="1004" w:type="dxa"/>
            <w:tcBorders>
              <w:top w:val="nil"/>
              <w:left w:val="nil"/>
              <w:bottom w:val="single" w:sz="4" w:space="0" w:color="auto"/>
              <w:right w:val="nil"/>
            </w:tcBorders>
            <w:shd w:val="clear" w:color="auto" w:fill="auto"/>
            <w:noWrap/>
            <w:hideMark/>
          </w:tcPr>
          <w:p w14:paraId="20A5E644"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725</w:t>
            </w:r>
          </w:p>
        </w:tc>
        <w:tc>
          <w:tcPr>
            <w:tcW w:w="975" w:type="dxa"/>
            <w:tcBorders>
              <w:top w:val="nil"/>
              <w:left w:val="nil"/>
              <w:bottom w:val="single" w:sz="4" w:space="0" w:color="auto"/>
              <w:right w:val="nil"/>
            </w:tcBorders>
            <w:shd w:val="clear" w:color="auto" w:fill="auto"/>
            <w:noWrap/>
            <w:hideMark/>
          </w:tcPr>
          <w:p w14:paraId="177F959F"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0.138</w:t>
            </w:r>
          </w:p>
        </w:tc>
        <w:tc>
          <w:tcPr>
            <w:tcW w:w="723" w:type="dxa"/>
            <w:tcBorders>
              <w:top w:val="nil"/>
              <w:left w:val="nil"/>
              <w:bottom w:val="single" w:sz="4" w:space="0" w:color="auto"/>
              <w:right w:val="nil"/>
            </w:tcBorders>
            <w:shd w:val="clear" w:color="auto" w:fill="auto"/>
            <w:noWrap/>
            <w:hideMark/>
          </w:tcPr>
          <w:p w14:paraId="149BC337"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1</w:t>
            </w:r>
          </w:p>
        </w:tc>
        <w:tc>
          <w:tcPr>
            <w:tcW w:w="1004" w:type="dxa"/>
            <w:tcBorders>
              <w:top w:val="nil"/>
              <w:left w:val="nil"/>
              <w:bottom w:val="single" w:sz="4" w:space="0" w:color="auto"/>
              <w:right w:val="nil"/>
            </w:tcBorders>
            <w:shd w:val="clear" w:color="auto" w:fill="auto"/>
            <w:noWrap/>
            <w:hideMark/>
          </w:tcPr>
          <w:p w14:paraId="369CCF47"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725</w:t>
            </w:r>
          </w:p>
        </w:tc>
        <w:tc>
          <w:tcPr>
            <w:tcW w:w="975" w:type="dxa"/>
            <w:tcBorders>
              <w:top w:val="nil"/>
              <w:left w:val="nil"/>
              <w:bottom w:val="single" w:sz="4" w:space="0" w:color="auto"/>
              <w:right w:val="nil"/>
            </w:tcBorders>
            <w:shd w:val="clear" w:color="auto" w:fill="auto"/>
            <w:noWrap/>
            <w:hideMark/>
          </w:tcPr>
          <w:p w14:paraId="38C89668"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r w:rsidRPr="00C06921">
              <w:rPr>
                <w:rFonts w:ascii="Book Antiqua" w:eastAsia="Times New Roman" w:hAnsi="Book Antiqua" w:cs="Times New Roman"/>
                <w:color w:val="000000"/>
                <w:lang w:eastAsia="zh-CN"/>
              </w:rPr>
              <w:t>0.138</w:t>
            </w:r>
          </w:p>
        </w:tc>
        <w:tc>
          <w:tcPr>
            <w:tcW w:w="816" w:type="dxa"/>
            <w:tcBorders>
              <w:top w:val="nil"/>
              <w:left w:val="nil"/>
              <w:bottom w:val="single" w:sz="4" w:space="0" w:color="auto"/>
              <w:right w:val="nil"/>
            </w:tcBorders>
            <w:shd w:val="clear" w:color="auto" w:fill="auto"/>
            <w:noWrap/>
            <w:hideMark/>
          </w:tcPr>
          <w:p w14:paraId="023EF5CB" w14:textId="77777777" w:rsidR="00C06921" w:rsidRPr="00C06921" w:rsidRDefault="00C06921" w:rsidP="00C06921">
            <w:pPr>
              <w:spacing w:line="360" w:lineRule="auto"/>
              <w:jc w:val="center"/>
              <w:rPr>
                <w:rFonts w:ascii="Book Antiqua" w:eastAsia="Times New Roman" w:hAnsi="Book Antiqua" w:cs="Times New Roman"/>
                <w:color w:val="000000"/>
                <w:lang w:eastAsia="zh-CN"/>
              </w:rPr>
            </w:pPr>
          </w:p>
        </w:tc>
      </w:tr>
    </w:tbl>
    <w:p w14:paraId="674797CC" w14:textId="77777777" w:rsidR="00C06921" w:rsidRDefault="00C06921" w:rsidP="00936AC6">
      <w:pPr>
        <w:shd w:val="clear" w:color="auto" w:fill="FFFFFF"/>
        <w:snapToGrid w:val="0"/>
        <w:spacing w:line="360" w:lineRule="auto"/>
        <w:jc w:val="both"/>
        <w:rPr>
          <w:rFonts w:ascii="Book Antiqua" w:hAnsi="Book Antiqua" w:cs="Helvetica"/>
          <w:b/>
        </w:rPr>
      </w:pPr>
    </w:p>
    <w:p w14:paraId="409754CF" w14:textId="77777777" w:rsidR="00C06921" w:rsidRDefault="00C06921">
      <w:pPr>
        <w:rPr>
          <w:rFonts w:ascii="Book Antiqua" w:hAnsi="Book Antiqua" w:cs="Helvetica"/>
          <w:b/>
        </w:rPr>
      </w:pPr>
      <w:r>
        <w:rPr>
          <w:rFonts w:ascii="Book Antiqua" w:hAnsi="Book Antiqua" w:cs="Helvetica"/>
          <w:b/>
        </w:rPr>
        <w:br w:type="page"/>
      </w:r>
    </w:p>
    <w:p w14:paraId="089D7207" w14:textId="77777777" w:rsidR="00936AC6" w:rsidRPr="001326DA" w:rsidRDefault="00936AC6" w:rsidP="00936AC6">
      <w:pPr>
        <w:shd w:val="clear" w:color="auto" w:fill="FFFFFF"/>
        <w:snapToGrid w:val="0"/>
        <w:spacing w:line="360" w:lineRule="auto"/>
        <w:jc w:val="both"/>
        <w:rPr>
          <w:rFonts w:ascii="Book Antiqua" w:hAnsi="Book Antiqua" w:cs="Helvetica"/>
          <w:b/>
        </w:rPr>
      </w:pPr>
      <w:r>
        <w:rPr>
          <w:rFonts w:ascii="Book Antiqua" w:hAnsi="Book Antiqua" w:cs="Helvetica"/>
          <w:b/>
        </w:rPr>
        <w:lastRenderedPageBreak/>
        <w:t>Table 4</w:t>
      </w:r>
      <w:r>
        <w:rPr>
          <w:rFonts w:ascii="Book Antiqua" w:hAnsi="Book Antiqua" w:cs="Helvetica" w:hint="eastAsia"/>
          <w:b/>
          <w:lang w:eastAsia="zh-CN"/>
        </w:rPr>
        <w:t xml:space="preserve"> Thirty</w:t>
      </w:r>
      <w:r w:rsidRPr="001326DA">
        <w:rPr>
          <w:rFonts w:ascii="Book Antiqua" w:hAnsi="Book Antiqua" w:cs="Helvetica"/>
          <w:b/>
        </w:rPr>
        <w:t>-day outcomes after hip fracture surgery in DNR and non-DNR status patients</w:t>
      </w:r>
    </w:p>
    <w:tbl>
      <w:tblPr>
        <w:tblW w:w="11170" w:type="dxa"/>
        <w:tblInd w:w="-885" w:type="dxa"/>
        <w:tblLook w:val="04A0" w:firstRow="1" w:lastRow="0" w:firstColumn="1" w:lastColumn="0" w:noHBand="0" w:noVBand="1"/>
      </w:tblPr>
      <w:tblGrid>
        <w:gridCol w:w="2411"/>
        <w:gridCol w:w="928"/>
        <w:gridCol w:w="1121"/>
        <w:gridCol w:w="712"/>
        <w:gridCol w:w="818"/>
        <w:gridCol w:w="977"/>
        <w:gridCol w:w="712"/>
        <w:gridCol w:w="2245"/>
        <w:gridCol w:w="1246"/>
      </w:tblGrid>
      <w:tr w:rsidR="001A1E7F" w:rsidRPr="00482EEC" w14:paraId="7811F343" w14:textId="77777777" w:rsidTr="00482EEC">
        <w:trPr>
          <w:trHeight w:val="288"/>
        </w:trPr>
        <w:tc>
          <w:tcPr>
            <w:tcW w:w="2411" w:type="dxa"/>
            <w:vMerge w:val="restart"/>
            <w:tcBorders>
              <w:top w:val="single" w:sz="4" w:space="0" w:color="auto"/>
              <w:left w:val="nil"/>
              <w:bottom w:val="single" w:sz="4" w:space="0" w:color="auto"/>
              <w:right w:val="nil"/>
            </w:tcBorders>
            <w:shd w:val="clear" w:color="auto" w:fill="auto"/>
            <w:noWrap/>
            <w:hideMark/>
          </w:tcPr>
          <w:p w14:paraId="1B2C2E71" w14:textId="77777777" w:rsidR="001A1E7F" w:rsidRPr="001A1E7F" w:rsidRDefault="001A1E7F" w:rsidP="00482EEC">
            <w:pPr>
              <w:spacing w:line="360" w:lineRule="auto"/>
              <w:rPr>
                <w:rFonts w:ascii="Book Antiqua" w:eastAsia="Times New Roman" w:hAnsi="Book Antiqua" w:cs="Times New Roman"/>
                <w:b/>
                <w:lang w:eastAsia="zh-CN"/>
              </w:rPr>
            </w:pPr>
            <w:r w:rsidRPr="001A1E7F">
              <w:rPr>
                <w:rFonts w:ascii="Book Antiqua" w:eastAsia="Times New Roman" w:hAnsi="Book Antiqua" w:cs="Times New Roman"/>
                <w:b/>
                <w:lang w:eastAsia="zh-CN"/>
              </w:rPr>
              <w:t>Outcomes</w:t>
            </w:r>
          </w:p>
        </w:tc>
        <w:tc>
          <w:tcPr>
            <w:tcW w:w="2761" w:type="dxa"/>
            <w:gridSpan w:val="3"/>
            <w:tcBorders>
              <w:top w:val="single" w:sz="4" w:space="0" w:color="auto"/>
              <w:left w:val="nil"/>
              <w:bottom w:val="single" w:sz="4" w:space="0" w:color="auto"/>
              <w:right w:val="nil"/>
            </w:tcBorders>
            <w:shd w:val="clear" w:color="auto" w:fill="auto"/>
            <w:noWrap/>
            <w:hideMark/>
          </w:tcPr>
          <w:p w14:paraId="08FE6BDD" w14:textId="77777777" w:rsidR="001A1E7F" w:rsidRPr="001A1E7F" w:rsidRDefault="001A1E7F" w:rsidP="00482EEC">
            <w:pPr>
              <w:spacing w:line="360" w:lineRule="auto"/>
              <w:jc w:val="center"/>
              <w:rPr>
                <w:rFonts w:ascii="Book Antiqua" w:eastAsia="Times New Roman" w:hAnsi="Book Antiqua" w:cs="Times New Roman"/>
                <w:b/>
                <w:lang w:eastAsia="zh-CN"/>
              </w:rPr>
            </w:pPr>
            <w:r w:rsidRPr="001A1E7F">
              <w:rPr>
                <w:rFonts w:ascii="Book Antiqua" w:eastAsia="Times New Roman" w:hAnsi="Book Antiqua" w:cs="Times New Roman"/>
                <w:b/>
                <w:lang w:eastAsia="zh-CN"/>
              </w:rPr>
              <w:t>DNR</w:t>
            </w:r>
          </w:p>
        </w:tc>
        <w:tc>
          <w:tcPr>
            <w:tcW w:w="2507" w:type="dxa"/>
            <w:gridSpan w:val="3"/>
            <w:tcBorders>
              <w:top w:val="single" w:sz="4" w:space="0" w:color="auto"/>
              <w:left w:val="nil"/>
              <w:bottom w:val="single" w:sz="4" w:space="0" w:color="auto"/>
              <w:right w:val="nil"/>
            </w:tcBorders>
            <w:shd w:val="clear" w:color="auto" w:fill="auto"/>
            <w:noWrap/>
            <w:hideMark/>
          </w:tcPr>
          <w:p w14:paraId="237CA35A" w14:textId="77777777" w:rsidR="001A1E7F" w:rsidRPr="001A1E7F" w:rsidRDefault="001A1E7F" w:rsidP="00482EEC">
            <w:pPr>
              <w:spacing w:line="360" w:lineRule="auto"/>
              <w:jc w:val="center"/>
              <w:rPr>
                <w:rFonts w:ascii="Book Antiqua" w:eastAsia="Times New Roman" w:hAnsi="Book Antiqua" w:cs="Times New Roman"/>
                <w:b/>
                <w:lang w:eastAsia="zh-CN"/>
              </w:rPr>
            </w:pPr>
            <w:r w:rsidRPr="001A1E7F">
              <w:rPr>
                <w:rFonts w:ascii="Book Antiqua" w:eastAsia="Times New Roman" w:hAnsi="Book Antiqua" w:cs="Times New Roman"/>
                <w:b/>
                <w:lang w:eastAsia="zh-CN"/>
              </w:rPr>
              <w:t>Not DNR</w:t>
            </w:r>
          </w:p>
        </w:tc>
        <w:tc>
          <w:tcPr>
            <w:tcW w:w="2245" w:type="dxa"/>
            <w:vMerge w:val="restart"/>
            <w:tcBorders>
              <w:top w:val="single" w:sz="4" w:space="0" w:color="auto"/>
              <w:left w:val="nil"/>
              <w:bottom w:val="single" w:sz="4" w:space="0" w:color="auto"/>
              <w:right w:val="nil"/>
            </w:tcBorders>
            <w:shd w:val="clear" w:color="auto" w:fill="auto"/>
            <w:noWrap/>
            <w:hideMark/>
          </w:tcPr>
          <w:p w14:paraId="7F9371A8" w14:textId="77777777" w:rsidR="001A1E7F" w:rsidRPr="001A1E7F" w:rsidRDefault="00482EEC" w:rsidP="00482EEC">
            <w:pPr>
              <w:spacing w:line="360" w:lineRule="auto"/>
              <w:jc w:val="center"/>
              <w:rPr>
                <w:rFonts w:ascii="Book Antiqua" w:eastAsia="Times New Roman" w:hAnsi="Book Antiqua" w:cs="Times New Roman"/>
                <w:b/>
                <w:lang w:eastAsia="zh-CN"/>
              </w:rPr>
            </w:pPr>
            <w:r w:rsidRPr="00482EEC">
              <w:rPr>
                <w:rFonts w:ascii="Book Antiqua" w:eastAsia="Times New Roman" w:hAnsi="Book Antiqua" w:cs="Times New Roman"/>
                <w:b/>
                <w:lang w:eastAsia="zh-CN"/>
              </w:rPr>
              <w:t>OR (95%</w:t>
            </w:r>
            <w:r w:rsidR="001A1E7F" w:rsidRPr="001A1E7F">
              <w:rPr>
                <w:rFonts w:ascii="Book Antiqua" w:eastAsia="Times New Roman" w:hAnsi="Book Antiqua" w:cs="Times New Roman"/>
                <w:b/>
                <w:lang w:eastAsia="zh-CN"/>
              </w:rPr>
              <w:t>CI)</w:t>
            </w:r>
          </w:p>
        </w:tc>
        <w:tc>
          <w:tcPr>
            <w:tcW w:w="1246" w:type="dxa"/>
            <w:vMerge w:val="restart"/>
            <w:tcBorders>
              <w:top w:val="single" w:sz="4" w:space="0" w:color="auto"/>
              <w:left w:val="nil"/>
              <w:bottom w:val="single" w:sz="4" w:space="0" w:color="auto"/>
              <w:right w:val="nil"/>
            </w:tcBorders>
            <w:shd w:val="clear" w:color="auto" w:fill="auto"/>
            <w:noWrap/>
            <w:hideMark/>
          </w:tcPr>
          <w:p w14:paraId="567C428D" w14:textId="77777777" w:rsidR="001A1E7F" w:rsidRPr="001A1E7F" w:rsidRDefault="00482EEC" w:rsidP="00482EEC">
            <w:pPr>
              <w:spacing w:line="360" w:lineRule="auto"/>
              <w:jc w:val="center"/>
              <w:rPr>
                <w:rFonts w:ascii="Book Antiqua" w:eastAsia="Times New Roman" w:hAnsi="Book Antiqua" w:cs="Times New Roman"/>
                <w:b/>
                <w:lang w:eastAsia="zh-CN"/>
              </w:rPr>
            </w:pPr>
            <w:r w:rsidRPr="00482EEC">
              <w:rPr>
                <w:rFonts w:ascii="Book Antiqua" w:eastAsia="Times New Roman" w:hAnsi="Book Antiqua" w:cs="Times New Roman"/>
                <w:b/>
                <w:i/>
                <w:lang w:eastAsia="zh-CN"/>
              </w:rPr>
              <w:t>P</w:t>
            </w:r>
            <w:r w:rsidR="007457AD">
              <w:rPr>
                <w:rFonts w:ascii="Book Antiqua" w:eastAsia="Times New Roman" w:hAnsi="Book Antiqua" w:cs="Times New Roman"/>
                <w:b/>
                <w:lang w:eastAsia="zh-CN"/>
              </w:rPr>
              <w:t xml:space="preserve"> </w:t>
            </w:r>
            <w:r w:rsidR="001A1E7F" w:rsidRPr="001A1E7F">
              <w:rPr>
                <w:rFonts w:ascii="Book Antiqua" w:eastAsia="Times New Roman" w:hAnsi="Book Antiqua" w:cs="Times New Roman"/>
                <w:b/>
                <w:lang w:eastAsia="zh-CN"/>
              </w:rPr>
              <w:t>values</w:t>
            </w:r>
          </w:p>
        </w:tc>
      </w:tr>
      <w:tr w:rsidR="001A1E7F" w:rsidRPr="00482EEC" w14:paraId="1D0871DA" w14:textId="77777777" w:rsidTr="00482EEC">
        <w:trPr>
          <w:trHeight w:val="288"/>
        </w:trPr>
        <w:tc>
          <w:tcPr>
            <w:tcW w:w="2411" w:type="dxa"/>
            <w:vMerge/>
            <w:tcBorders>
              <w:top w:val="single" w:sz="4" w:space="0" w:color="auto"/>
              <w:left w:val="nil"/>
              <w:bottom w:val="single" w:sz="4" w:space="0" w:color="auto"/>
              <w:right w:val="nil"/>
            </w:tcBorders>
            <w:shd w:val="clear" w:color="auto" w:fill="auto"/>
            <w:noWrap/>
            <w:hideMark/>
          </w:tcPr>
          <w:p w14:paraId="63AE3B96" w14:textId="77777777" w:rsidR="001A1E7F" w:rsidRPr="001A1E7F" w:rsidRDefault="001A1E7F" w:rsidP="00482EEC">
            <w:pPr>
              <w:spacing w:line="360" w:lineRule="auto"/>
              <w:rPr>
                <w:rFonts w:ascii="Book Antiqua" w:eastAsia="Times New Roman" w:hAnsi="Book Antiqua" w:cs="Times New Roman"/>
                <w:b/>
                <w:lang w:eastAsia="zh-CN"/>
              </w:rPr>
            </w:pPr>
          </w:p>
        </w:tc>
        <w:tc>
          <w:tcPr>
            <w:tcW w:w="928" w:type="dxa"/>
            <w:tcBorders>
              <w:top w:val="single" w:sz="4" w:space="0" w:color="auto"/>
              <w:left w:val="nil"/>
              <w:bottom w:val="single" w:sz="4" w:space="0" w:color="auto"/>
              <w:right w:val="nil"/>
            </w:tcBorders>
            <w:shd w:val="clear" w:color="auto" w:fill="auto"/>
            <w:noWrap/>
            <w:hideMark/>
          </w:tcPr>
          <w:p w14:paraId="2E30D936" w14:textId="77777777" w:rsidR="001A1E7F" w:rsidRPr="001A1E7F" w:rsidRDefault="001A1E7F" w:rsidP="00482EEC">
            <w:pPr>
              <w:spacing w:line="360" w:lineRule="auto"/>
              <w:jc w:val="center"/>
              <w:rPr>
                <w:rFonts w:ascii="Book Antiqua" w:eastAsia="Times New Roman" w:hAnsi="Book Antiqua" w:cs="Times New Roman"/>
                <w:b/>
                <w:lang w:eastAsia="zh-CN"/>
              </w:rPr>
            </w:pPr>
            <w:proofErr w:type="spellStart"/>
            <w:r w:rsidRPr="001A1E7F">
              <w:rPr>
                <w:rFonts w:ascii="Book Antiqua" w:eastAsia="Times New Roman" w:hAnsi="Book Antiqua" w:cs="Times New Roman"/>
                <w:b/>
                <w:lang w:eastAsia="zh-CN"/>
              </w:rPr>
              <w:t>num</w:t>
            </w:r>
            <w:proofErr w:type="spellEnd"/>
          </w:p>
        </w:tc>
        <w:tc>
          <w:tcPr>
            <w:tcW w:w="1121" w:type="dxa"/>
            <w:tcBorders>
              <w:top w:val="single" w:sz="4" w:space="0" w:color="auto"/>
              <w:left w:val="nil"/>
              <w:bottom w:val="single" w:sz="4" w:space="0" w:color="auto"/>
              <w:right w:val="nil"/>
            </w:tcBorders>
            <w:shd w:val="clear" w:color="auto" w:fill="auto"/>
            <w:noWrap/>
            <w:hideMark/>
          </w:tcPr>
          <w:p w14:paraId="2309BFCA" w14:textId="77777777" w:rsidR="001A1E7F" w:rsidRPr="001A1E7F" w:rsidRDefault="001A1E7F" w:rsidP="00482EEC">
            <w:pPr>
              <w:spacing w:line="360" w:lineRule="auto"/>
              <w:jc w:val="center"/>
              <w:rPr>
                <w:rFonts w:ascii="Book Antiqua" w:eastAsia="Times New Roman" w:hAnsi="Book Antiqua" w:cs="Times New Roman"/>
                <w:b/>
                <w:lang w:eastAsia="zh-CN"/>
              </w:rPr>
            </w:pPr>
            <w:proofErr w:type="spellStart"/>
            <w:r w:rsidRPr="001A1E7F">
              <w:rPr>
                <w:rFonts w:ascii="Book Antiqua" w:eastAsia="Times New Roman" w:hAnsi="Book Antiqua" w:cs="Times New Roman"/>
                <w:b/>
                <w:lang w:eastAsia="zh-CN"/>
              </w:rPr>
              <w:t>denom</w:t>
            </w:r>
            <w:proofErr w:type="spellEnd"/>
          </w:p>
        </w:tc>
        <w:tc>
          <w:tcPr>
            <w:tcW w:w="712" w:type="dxa"/>
            <w:tcBorders>
              <w:top w:val="single" w:sz="4" w:space="0" w:color="auto"/>
              <w:left w:val="nil"/>
              <w:bottom w:val="single" w:sz="4" w:space="0" w:color="auto"/>
              <w:right w:val="nil"/>
            </w:tcBorders>
            <w:shd w:val="clear" w:color="auto" w:fill="auto"/>
            <w:noWrap/>
            <w:hideMark/>
          </w:tcPr>
          <w:p w14:paraId="480F73B0" w14:textId="77777777" w:rsidR="001A1E7F" w:rsidRPr="001A1E7F" w:rsidRDefault="001A1E7F" w:rsidP="00482EEC">
            <w:pPr>
              <w:spacing w:line="360" w:lineRule="auto"/>
              <w:jc w:val="center"/>
              <w:rPr>
                <w:rFonts w:ascii="Book Antiqua" w:eastAsia="Times New Roman" w:hAnsi="Book Antiqua" w:cs="Times New Roman"/>
                <w:b/>
                <w:lang w:eastAsia="zh-CN"/>
              </w:rPr>
            </w:pPr>
            <w:r w:rsidRPr="001A1E7F">
              <w:rPr>
                <w:rFonts w:ascii="Book Antiqua" w:eastAsia="Times New Roman" w:hAnsi="Book Antiqua" w:cs="Times New Roman"/>
                <w:b/>
                <w:lang w:eastAsia="zh-CN"/>
              </w:rPr>
              <w:t>%</w:t>
            </w:r>
          </w:p>
        </w:tc>
        <w:tc>
          <w:tcPr>
            <w:tcW w:w="818" w:type="dxa"/>
            <w:tcBorders>
              <w:top w:val="single" w:sz="4" w:space="0" w:color="auto"/>
              <w:left w:val="nil"/>
              <w:bottom w:val="single" w:sz="4" w:space="0" w:color="auto"/>
              <w:right w:val="nil"/>
            </w:tcBorders>
            <w:shd w:val="clear" w:color="auto" w:fill="auto"/>
            <w:noWrap/>
            <w:hideMark/>
          </w:tcPr>
          <w:p w14:paraId="13D5EF79" w14:textId="77777777" w:rsidR="001A1E7F" w:rsidRPr="001A1E7F" w:rsidRDefault="001A1E7F" w:rsidP="00482EEC">
            <w:pPr>
              <w:spacing w:line="360" w:lineRule="auto"/>
              <w:jc w:val="center"/>
              <w:rPr>
                <w:rFonts w:ascii="Book Antiqua" w:eastAsia="Times New Roman" w:hAnsi="Book Antiqua" w:cs="Times New Roman"/>
                <w:b/>
                <w:lang w:eastAsia="zh-CN"/>
              </w:rPr>
            </w:pPr>
            <w:proofErr w:type="spellStart"/>
            <w:r w:rsidRPr="001A1E7F">
              <w:rPr>
                <w:rFonts w:ascii="Book Antiqua" w:eastAsia="Times New Roman" w:hAnsi="Book Antiqua" w:cs="Times New Roman"/>
                <w:b/>
                <w:lang w:eastAsia="zh-CN"/>
              </w:rPr>
              <w:t>num</w:t>
            </w:r>
            <w:proofErr w:type="spellEnd"/>
          </w:p>
        </w:tc>
        <w:tc>
          <w:tcPr>
            <w:tcW w:w="977" w:type="dxa"/>
            <w:tcBorders>
              <w:top w:val="single" w:sz="4" w:space="0" w:color="auto"/>
              <w:left w:val="nil"/>
              <w:bottom w:val="single" w:sz="4" w:space="0" w:color="auto"/>
              <w:right w:val="nil"/>
            </w:tcBorders>
            <w:shd w:val="clear" w:color="auto" w:fill="auto"/>
            <w:noWrap/>
            <w:hideMark/>
          </w:tcPr>
          <w:p w14:paraId="1150A1D8" w14:textId="77777777" w:rsidR="001A1E7F" w:rsidRPr="001A1E7F" w:rsidRDefault="001A1E7F" w:rsidP="00482EEC">
            <w:pPr>
              <w:spacing w:line="360" w:lineRule="auto"/>
              <w:jc w:val="center"/>
              <w:rPr>
                <w:rFonts w:ascii="Book Antiqua" w:eastAsia="Times New Roman" w:hAnsi="Book Antiqua" w:cs="Times New Roman"/>
                <w:b/>
                <w:lang w:eastAsia="zh-CN"/>
              </w:rPr>
            </w:pPr>
            <w:proofErr w:type="spellStart"/>
            <w:r w:rsidRPr="001A1E7F">
              <w:rPr>
                <w:rFonts w:ascii="Book Antiqua" w:eastAsia="Times New Roman" w:hAnsi="Book Antiqua" w:cs="Times New Roman"/>
                <w:b/>
                <w:lang w:eastAsia="zh-CN"/>
              </w:rPr>
              <w:t>denom</w:t>
            </w:r>
            <w:proofErr w:type="spellEnd"/>
          </w:p>
        </w:tc>
        <w:tc>
          <w:tcPr>
            <w:tcW w:w="712" w:type="dxa"/>
            <w:tcBorders>
              <w:top w:val="single" w:sz="4" w:space="0" w:color="auto"/>
              <w:left w:val="nil"/>
              <w:bottom w:val="single" w:sz="4" w:space="0" w:color="auto"/>
              <w:right w:val="nil"/>
            </w:tcBorders>
            <w:shd w:val="clear" w:color="auto" w:fill="auto"/>
            <w:noWrap/>
            <w:hideMark/>
          </w:tcPr>
          <w:p w14:paraId="5D5D8760" w14:textId="77777777" w:rsidR="001A1E7F" w:rsidRPr="001A1E7F" w:rsidRDefault="001A1E7F" w:rsidP="00482EEC">
            <w:pPr>
              <w:spacing w:line="360" w:lineRule="auto"/>
              <w:jc w:val="center"/>
              <w:rPr>
                <w:rFonts w:ascii="Book Antiqua" w:eastAsia="Times New Roman" w:hAnsi="Book Antiqua" w:cs="Times New Roman"/>
                <w:b/>
                <w:lang w:eastAsia="zh-CN"/>
              </w:rPr>
            </w:pPr>
            <w:r w:rsidRPr="001A1E7F">
              <w:rPr>
                <w:rFonts w:ascii="Book Antiqua" w:eastAsia="Times New Roman" w:hAnsi="Book Antiqua" w:cs="Times New Roman"/>
                <w:b/>
                <w:lang w:eastAsia="zh-CN"/>
              </w:rPr>
              <w:t>%</w:t>
            </w:r>
          </w:p>
        </w:tc>
        <w:tc>
          <w:tcPr>
            <w:tcW w:w="2245" w:type="dxa"/>
            <w:vMerge/>
            <w:tcBorders>
              <w:top w:val="single" w:sz="4" w:space="0" w:color="auto"/>
              <w:left w:val="nil"/>
              <w:bottom w:val="single" w:sz="4" w:space="0" w:color="auto"/>
              <w:right w:val="nil"/>
            </w:tcBorders>
            <w:shd w:val="clear" w:color="auto" w:fill="auto"/>
            <w:noWrap/>
            <w:hideMark/>
          </w:tcPr>
          <w:p w14:paraId="681F58A5" w14:textId="77777777" w:rsidR="001A1E7F" w:rsidRPr="001A1E7F" w:rsidRDefault="001A1E7F" w:rsidP="00482EEC">
            <w:pPr>
              <w:spacing w:line="360" w:lineRule="auto"/>
              <w:jc w:val="center"/>
              <w:rPr>
                <w:rFonts w:ascii="Book Antiqua" w:eastAsia="Times New Roman" w:hAnsi="Book Antiqua" w:cs="Times New Roman"/>
                <w:b/>
                <w:lang w:eastAsia="zh-CN"/>
              </w:rPr>
            </w:pPr>
          </w:p>
        </w:tc>
        <w:tc>
          <w:tcPr>
            <w:tcW w:w="1246" w:type="dxa"/>
            <w:vMerge/>
            <w:tcBorders>
              <w:top w:val="single" w:sz="4" w:space="0" w:color="auto"/>
              <w:left w:val="nil"/>
              <w:bottom w:val="single" w:sz="4" w:space="0" w:color="auto"/>
              <w:right w:val="nil"/>
            </w:tcBorders>
            <w:shd w:val="clear" w:color="auto" w:fill="auto"/>
            <w:noWrap/>
            <w:hideMark/>
          </w:tcPr>
          <w:p w14:paraId="1598ABED" w14:textId="77777777" w:rsidR="001A1E7F" w:rsidRPr="001A1E7F" w:rsidRDefault="001A1E7F" w:rsidP="00482EEC">
            <w:pPr>
              <w:spacing w:line="360" w:lineRule="auto"/>
              <w:jc w:val="center"/>
              <w:rPr>
                <w:rFonts w:ascii="Book Antiqua" w:eastAsia="Times New Roman" w:hAnsi="Book Antiqua" w:cs="Times New Roman"/>
                <w:b/>
                <w:lang w:eastAsia="zh-CN"/>
              </w:rPr>
            </w:pPr>
          </w:p>
        </w:tc>
      </w:tr>
      <w:tr w:rsidR="00482EEC" w:rsidRPr="001A1E7F" w14:paraId="7914E34D" w14:textId="77777777" w:rsidTr="00482EEC">
        <w:trPr>
          <w:trHeight w:val="288"/>
        </w:trPr>
        <w:tc>
          <w:tcPr>
            <w:tcW w:w="2411" w:type="dxa"/>
            <w:tcBorders>
              <w:top w:val="single" w:sz="4" w:space="0" w:color="auto"/>
              <w:left w:val="nil"/>
              <w:bottom w:val="nil"/>
              <w:right w:val="nil"/>
            </w:tcBorders>
            <w:shd w:val="clear" w:color="auto" w:fill="auto"/>
            <w:noWrap/>
            <w:hideMark/>
          </w:tcPr>
          <w:p w14:paraId="680467FF" w14:textId="77777777" w:rsidR="001A1E7F" w:rsidRPr="001A1E7F" w:rsidRDefault="001A1E7F" w:rsidP="00482EEC">
            <w:pPr>
              <w:spacing w:line="360" w:lineRule="auto"/>
              <w:rPr>
                <w:rFonts w:ascii="Book Antiqua" w:eastAsia="Times New Roman" w:hAnsi="Book Antiqua" w:cs="Times New Roman"/>
                <w:lang w:eastAsia="zh-CN"/>
              </w:rPr>
            </w:pPr>
            <w:r w:rsidRPr="001A1E7F">
              <w:rPr>
                <w:rFonts w:ascii="Book Antiqua" w:eastAsia="Times New Roman" w:hAnsi="Book Antiqua" w:cs="Times New Roman"/>
                <w:lang w:eastAsia="zh-CN"/>
              </w:rPr>
              <w:t>Death</w:t>
            </w:r>
          </w:p>
        </w:tc>
        <w:tc>
          <w:tcPr>
            <w:tcW w:w="928" w:type="dxa"/>
            <w:tcBorders>
              <w:top w:val="single" w:sz="4" w:space="0" w:color="auto"/>
              <w:left w:val="nil"/>
              <w:bottom w:val="nil"/>
              <w:right w:val="nil"/>
            </w:tcBorders>
            <w:shd w:val="clear" w:color="auto" w:fill="auto"/>
            <w:noWrap/>
            <w:hideMark/>
          </w:tcPr>
          <w:p w14:paraId="0C169D7F"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111</w:t>
            </w:r>
          </w:p>
        </w:tc>
        <w:tc>
          <w:tcPr>
            <w:tcW w:w="1121" w:type="dxa"/>
            <w:tcBorders>
              <w:top w:val="single" w:sz="4" w:space="0" w:color="auto"/>
              <w:left w:val="nil"/>
              <w:bottom w:val="nil"/>
              <w:right w:val="nil"/>
            </w:tcBorders>
            <w:shd w:val="clear" w:color="auto" w:fill="auto"/>
            <w:noWrap/>
            <w:hideMark/>
          </w:tcPr>
          <w:p w14:paraId="5AA4CE47"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725</w:t>
            </w:r>
          </w:p>
        </w:tc>
        <w:tc>
          <w:tcPr>
            <w:tcW w:w="712" w:type="dxa"/>
            <w:tcBorders>
              <w:top w:val="single" w:sz="4" w:space="0" w:color="auto"/>
              <w:left w:val="nil"/>
              <w:bottom w:val="nil"/>
              <w:right w:val="nil"/>
            </w:tcBorders>
            <w:shd w:val="clear" w:color="auto" w:fill="auto"/>
            <w:noWrap/>
            <w:hideMark/>
          </w:tcPr>
          <w:p w14:paraId="7F8A5C05"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15.3</w:t>
            </w:r>
          </w:p>
        </w:tc>
        <w:tc>
          <w:tcPr>
            <w:tcW w:w="818" w:type="dxa"/>
            <w:tcBorders>
              <w:top w:val="single" w:sz="4" w:space="0" w:color="auto"/>
              <w:left w:val="nil"/>
              <w:bottom w:val="nil"/>
              <w:right w:val="nil"/>
            </w:tcBorders>
            <w:shd w:val="clear" w:color="auto" w:fill="auto"/>
            <w:noWrap/>
            <w:hideMark/>
          </w:tcPr>
          <w:p w14:paraId="79F93109"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59</w:t>
            </w:r>
          </w:p>
        </w:tc>
        <w:tc>
          <w:tcPr>
            <w:tcW w:w="977" w:type="dxa"/>
            <w:tcBorders>
              <w:top w:val="single" w:sz="4" w:space="0" w:color="auto"/>
              <w:left w:val="nil"/>
              <w:bottom w:val="nil"/>
              <w:right w:val="nil"/>
            </w:tcBorders>
            <w:shd w:val="clear" w:color="auto" w:fill="auto"/>
            <w:noWrap/>
            <w:hideMark/>
          </w:tcPr>
          <w:p w14:paraId="67DB24F9"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725</w:t>
            </w:r>
          </w:p>
        </w:tc>
        <w:tc>
          <w:tcPr>
            <w:tcW w:w="712" w:type="dxa"/>
            <w:tcBorders>
              <w:top w:val="single" w:sz="4" w:space="0" w:color="auto"/>
              <w:left w:val="nil"/>
              <w:bottom w:val="nil"/>
              <w:right w:val="nil"/>
            </w:tcBorders>
            <w:shd w:val="clear" w:color="auto" w:fill="auto"/>
            <w:noWrap/>
            <w:hideMark/>
          </w:tcPr>
          <w:p w14:paraId="5D26444A"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8.1</w:t>
            </w:r>
          </w:p>
        </w:tc>
        <w:tc>
          <w:tcPr>
            <w:tcW w:w="2245" w:type="dxa"/>
            <w:tcBorders>
              <w:top w:val="single" w:sz="4" w:space="0" w:color="auto"/>
              <w:left w:val="nil"/>
              <w:bottom w:val="nil"/>
              <w:right w:val="nil"/>
            </w:tcBorders>
            <w:shd w:val="clear" w:color="auto" w:fill="auto"/>
            <w:noWrap/>
            <w:hideMark/>
          </w:tcPr>
          <w:p w14:paraId="2016B0F0"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2.04</w:t>
            </w:r>
            <w:r w:rsidR="00482EEC">
              <w:rPr>
                <w:rFonts w:ascii="Book Antiqua" w:eastAsia="Times New Roman" w:hAnsi="Book Antiqua" w:cs="Times New Roman"/>
                <w:lang w:eastAsia="zh-CN"/>
              </w:rPr>
              <w:t xml:space="preserve"> (</w:t>
            </w:r>
            <w:r w:rsidRPr="001A1E7F">
              <w:rPr>
                <w:rFonts w:ascii="Book Antiqua" w:eastAsia="Times New Roman" w:hAnsi="Book Antiqua" w:cs="Times New Roman"/>
                <w:lang w:eastAsia="zh-CN"/>
              </w:rPr>
              <w:t>1.459-2.851)</w:t>
            </w:r>
          </w:p>
        </w:tc>
        <w:tc>
          <w:tcPr>
            <w:tcW w:w="1246" w:type="dxa"/>
            <w:tcBorders>
              <w:top w:val="single" w:sz="4" w:space="0" w:color="auto"/>
              <w:left w:val="nil"/>
              <w:bottom w:val="nil"/>
              <w:right w:val="nil"/>
            </w:tcBorders>
            <w:shd w:val="clear" w:color="auto" w:fill="auto"/>
            <w:noWrap/>
            <w:hideMark/>
          </w:tcPr>
          <w:p w14:paraId="218EA9CD"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&lt;</w:t>
            </w:r>
            <w:r w:rsidR="00482EEC">
              <w:rPr>
                <w:rFonts w:ascii="Book Antiqua" w:hAnsi="Book Antiqua" w:cs="Times New Roman" w:hint="eastAsia"/>
                <w:lang w:eastAsia="zh-CN"/>
              </w:rPr>
              <w:t xml:space="preserve"> </w:t>
            </w:r>
            <w:r w:rsidRPr="001A1E7F">
              <w:rPr>
                <w:rFonts w:ascii="Book Antiqua" w:eastAsia="Times New Roman" w:hAnsi="Book Antiqua" w:cs="Times New Roman"/>
                <w:lang w:eastAsia="zh-CN"/>
              </w:rPr>
              <w:t>0.001</w:t>
            </w:r>
          </w:p>
        </w:tc>
      </w:tr>
      <w:tr w:rsidR="00482EEC" w:rsidRPr="001A1E7F" w14:paraId="19122B24" w14:textId="77777777" w:rsidTr="00482EEC">
        <w:trPr>
          <w:trHeight w:val="288"/>
        </w:trPr>
        <w:tc>
          <w:tcPr>
            <w:tcW w:w="2411" w:type="dxa"/>
            <w:tcBorders>
              <w:top w:val="nil"/>
              <w:left w:val="nil"/>
              <w:bottom w:val="nil"/>
              <w:right w:val="nil"/>
            </w:tcBorders>
            <w:shd w:val="clear" w:color="auto" w:fill="auto"/>
            <w:noWrap/>
            <w:hideMark/>
          </w:tcPr>
          <w:p w14:paraId="31610C44" w14:textId="77777777" w:rsidR="001A1E7F" w:rsidRPr="001A1E7F" w:rsidRDefault="001A1E7F" w:rsidP="00482EEC">
            <w:pPr>
              <w:spacing w:line="360" w:lineRule="auto"/>
              <w:rPr>
                <w:rFonts w:ascii="Book Antiqua" w:eastAsia="Times New Roman" w:hAnsi="Book Antiqua" w:cs="Times New Roman"/>
                <w:lang w:eastAsia="zh-CN"/>
              </w:rPr>
            </w:pPr>
            <w:r w:rsidRPr="001A1E7F">
              <w:rPr>
                <w:rFonts w:ascii="Book Antiqua" w:eastAsia="Times New Roman" w:hAnsi="Book Antiqua" w:cs="Times New Roman"/>
                <w:lang w:eastAsia="zh-CN"/>
              </w:rPr>
              <w:t>Reoperation/</w:t>
            </w:r>
            <w:r w:rsidR="00482EEC" w:rsidRPr="001A1E7F">
              <w:rPr>
                <w:rFonts w:ascii="Book Antiqua" w:eastAsia="Times New Roman" w:hAnsi="Book Antiqua" w:cs="Times New Roman"/>
                <w:lang w:eastAsia="zh-CN"/>
              </w:rPr>
              <w:t>r</w:t>
            </w:r>
            <w:r w:rsidRPr="001A1E7F">
              <w:rPr>
                <w:rFonts w:ascii="Book Antiqua" w:eastAsia="Times New Roman" w:hAnsi="Book Antiqua" w:cs="Times New Roman"/>
                <w:lang w:eastAsia="zh-CN"/>
              </w:rPr>
              <w:t>eturn OR</w:t>
            </w:r>
          </w:p>
        </w:tc>
        <w:tc>
          <w:tcPr>
            <w:tcW w:w="928" w:type="dxa"/>
            <w:tcBorders>
              <w:top w:val="nil"/>
              <w:left w:val="nil"/>
              <w:bottom w:val="nil"/>
              <w:right w:val="nil"/>
            </w:tcBorders>
            <w:shd w:val="clear" w:color="auto" w:fill="auto"/>
            <w:noWrap/>
            <w:hideMark/>
          </w:tcPr>
          <w:p w14:paraId="732059F4"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22</w:t>
            </w:r>
          </w:p>
        </w:tc>
        <w:tc>
          <w:tcPr>
            <w:tcW w:w="1121" w:type="dxa"/>
            <w:tcBorders>
              <w:top w:val="nil"/>
              <w:left w:val="nil"/>
              <w:bottom w:val="nil"/>
              <w:right w:val="nil"/>
            </w:tcBorders>
            <w:shd w:val="clear" w:color="auto" w:fill="auto"/>
            <w:noWrap/>
            <w:hideMark/>
          </w:tcPr>
          <w:p w14:paraId="3B27C9E5"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725</w:t>
            </w:r>
          </w:p>
        </w:tc>
        <w:tc>
          <w:tcPr>
            <w:tcW w:w="712" w:type="dxa"/>
            <w:tcBorders>
              <w:top w:val="nil"/>
              <w:left w:val="nil"/>
              <w:bottom w:val="nil"/>
              <w:right w:val="nil"/>
            </w:tcBorders>
            <w:shd w:val="clear" w:color="auto" w:fill="auto"/>
            <w:noWrap/>
            <w:hideMark/>
          </w:tcPr>
          <w:p w14:paraId="00793188"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3.0</w:t>
            </w:r>
          </w:p>
        </w:tc>
        <w:tc>
          <w:tcPr>
            <w:tcW w:w="818" w:type="dxa"/>
            <w:tcBorders>
              <w:top w:val="nil"/>
              <w:left w:val="nil"/>
              <w:bottom w:val="nil"/>
              <w:right w:val="nil"/>
            </w:tcBorders>
            <w:shd w:val="clear" w:color="auto" w:fill="auto"/>
            <w:noWrap/>
            <w:hideMark/>
          </w:tcPr>
          <w:p w14:paraId="446DF1FE"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17</w:t>
            </w:r>
          </w:p>
        </w:tc>
        <w:tc>
          <w:tcPr>
            <w:tcW w:w="977" w:type="dxa"/>
            <w:tcBorders>
              <w:top w:val="nil"/>
              <w:left w:val="nil"/>
              <w:bottom w:val="nil"/>
              <w:right w:val="nil"/>
            </w:tcBorders>
            <w:shd w:val="clear" w:color="auto" w:fill="auto"/>
            <w:noWrap/>
            <w:hideMark/>
          </w:tcPr>
          <w:p w14:paraId="48E970F8"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725</w:t>
            </w:r>
          </w:p>
        </w:tc>
        <w:tc>
          <w:tcPr>
            <w:tcW w:w="712" w:type="dxa"/>
            <w:tcBorders>
              <w:top w:val="nil"/>
              <w:left w:val="nil"/>
              <w:bottom w:val="nil"/>
              <w:right w:val="nil"/>
            </w:tcBorders>
            <w:shd w:val="clear" w:color="auto" w:fill="auto"/>
            <w:noWrap/>
            <w:hideMark/>
          </w:tcPr>
          <w:p w14:paraId="3E9FBB47"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2.3</w:t>
            </w:r>
          </w:p>
        </w:tc>
        <w:tc>
          <w:tcPr>
            <w:tcW w:w="2245" w:type="dxa"/>
            <w:tcBorders>
              <w:top w:val="nil"/>
              <w:left w:val="nil"/>
              <w:bottom w:val="nil"/>
              <w:right w:val="nil"/>
            </w:tcBorders>
            <w:shd w:val="clear" w:color="auto" w:fill="auto"/>
            <w:noWrap/>
            <w:hideMark/>
          </w:tcPr>
          <w:p w14:paraId="10E05CD3"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1.309</w:t>
            </w:r>
            <w:r w:rsidR="00482EEC">
              <w:rPr>
                <w:rFonts w:ascii="Book Antiqua" w:eastAsia="Times New Roman" w:hAnsi="Book Antiqua" w:cs="Times New Roman"/>
                <w:lang w:eastAsia="zh-CN"/>
              </w:rPr>
              <w:t xml:space="preserve"> (</w:t>
            </w:r>
            <w:r w:rsidRPr="001A1E7F">
              <w:rPr>
                <w:rFonts w:ascii="Book Antiqua" w:eastAsia="Times New Roman" w:hAnsi="Book Antiqua" w:cs="Times New Roman"/>
                <w:lang w:eastAsia="zh-CN"/>
              </w:rPr>
              <w:t>0.689-2.487)</w:t>
            </w:r>
          </w:p>
        </w:tc>
        <w:tc>
          <w:tcPr>
            <w:tcW w:w="1246" w:type="dxa"/>
            <w:tcBorders>
              <w:top w:val="nil"/>
              <w:left w:val="nil"/>
              <w:bottom w:val="nil"/>
              <w:right w:val="nil"/>
            </w:tcBorders>
            <w:shd w:val="clear" w:color="auto" w:fill="auto"/>
            <w:noWrap/>
            <w:hideMark/>
          </w:tcPr>
          <w:p w14:paraId="0A55CFD1"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0.417</w:t>
            </w:r>
          </w:p>
        </w:tc>
      </w:tr>
      <w:tr w:rsidR="00482EEC" w:rsidRPr="001A1E7F" w14:paraId="744DA7FE" w14:textId="77777777" w:rsidTr="00482EEC">
        <w:trPr>
          <w:trHeight w:val="288"/>
        </w:trPr>
        <w:tc>
          <w:tcPr>
            <w:tcW w:w="2411" w:type="dxa"/>
            <w:tcBorders>
              <w:top w:val="nil"/>
              <w:left w:val="nil"/>
              <w:bottom w:val="nil"/>
              <w:right w:val="nil"/>
            </w:tcBorders>
            <w:shd w:val="clear" w:color="auto" w:fill="auto"/>
            <w:noWrap/>
            <w:hideMark/>
          </w:tcPr>
          <w:p w14:paraId="690DCFFA" w14:textId="77777777" w:rsidR="001A1E7F" w:rsidRPr="001A1E7F" w:rsidRDefault="001A1E7F" w:rsidP="00482EEC">
            <w:pPr>
              <w:spacing w:line="360" w:lineRule="auto"/>
              <w:rPr>
                <w:rFonts w:ascii="Book Antiqua" w:eastAsia="Times New Roman" w:hAnsi="Book Antiqua" w:cs="Times New Roman"/>
                <w:lang w:eastAsia="zh-CN"/>
              </w:rPr>
            </w:pPr>
            <w:r w:rsidRPr="001A1E7F">
              <w:rPr>
                <w:rFonts w:ascii="Book Antiqua" w:eastAsia="Times New Roman" w:hAnsi="Book Antiqua" w:cs="Times New Roman"/>
                <w:lang w:eastAsia="zh-CN"/>
              </w:rPr>
              <w:t>Failure to wean from vent</w:t>
            </w:r>
          </w:p>
        </w:tc>
        <w:tc>
          <w:tcPr>
            <w:tcW w:w="928" w:type="dxa"/>
            <w:tcBorders>
              <w:top w:val="nil"/>
              <w:left w:val="nil"/>
              <w:bottom w:val="nil"/>
              <w:right w:val="nil"/>
            </w:tcBorders>
            <w:shd w:val="clear" w:color="auto" w:fill="auto"/>
            <w:noWrap/>
            <w:hideMark/>
          </w:tcPr>
          <w:p w14:paraId="51F0AA19"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4</w:t>
            </w:r>
          </w:p>
        </w:tc>
        <w:tc>
          <w:tcPr>
            <w:tcW w:w="1121" w:type="dxa"/>
            <w:tcBorders>
              <w:top w:val="nil"/>
              <w:left w:val="nil"/>
              <w:bottom w:val="nil"/>
              <w:right w:val="nil"/>
            </w:tcBorders>
            <w:shd w:val="clear" w:color="auto" w:fill="auto"/>
            <w:noWrap/>
            <w:hideMark/>
          </w:tcPr>
          <w:p w14:paraId="18BA59BA"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725</w:t>
            </w:r>
          </w:p>
        </w:tc>
        <w:tc>
          <w:tcPr>
            <w:tcW w:w="712" w:type="dxa"/>
            <w:tcBorders>
              <w:top w:val="nil"/>
              <w:left w:val="nil"/>
              <w:bottom w:val="nil"/>
              <w:right w:val="nil"/>
            </w:tcBorders>
            <w:shd w:val="clear" w:color="auto" w:fill="auto"/>
            <w:noWrap/>
            <w:hideMark/>
          </w:tcPr>
          <w:p w14:paraId="4010E37A"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0.6</w:t>
            </w:r>
          </w:p>
        </w:tc>
        <w:tc>
          <w:tcPr>
            <w:tcW w:w="818" w:type="dxa"/>
            <w:tcBorders>
              <w:top w:val="nil"/>
              <w:left w:val="nil"/>
              <w:bottom w:val="nil"/>
              <w:right w:val="nil"/>
            </w:tcBorders>
            <w:shd w:val="clear" w:color="auto" w:fill="auto"/>
            <w:noWrap/>
            <w:hideMark/>
          </w:tcPr>
          <w:p w14:paraId="62F38DEB"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7</w:t>
            </w:r>
          </w:p>
        </w:tc>
        <w:tc>
          <w:tcPr>
            <w:tcW w:w="977" w:type="dxa"/>
            <w:tcBorders>
              <w:top w:val="nil"/>
              <w:left w:val="nil"/>
              <w:bottom w:val="nil"/>
              <w:right w:val="nil"/>
            </w:tcBorders>
            <w:shd w:val="clear" w:color="auto" w:fill="auto"/>
            <w:noWrap/>
            <w:hideMark/>
          </w:tcPr>
          <w:p w14:paraId="34985EF7"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725</w:t>
            </w:r>
          </w:p>
        </w:tc>
        <w:tc>
          <w:tcPr>
            <w:tcW w:w="712" w:type="dxa"/>
            <w:tcBorders>
              <w:top w:val="nil"/>
              <w:left w:val="nil"/>
              <w:bottom w:val="nil"/>
              <w:right w:val="nil"/>
            </w:tcBorders>
            <w:shd w:val="clear" w:color="auto" w:fill="auto"/>
            <w:noWrap/>
            <w:hideMark/>
          </w:tcPr>
          <w:p w14:paraId="54800777"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1.0</w:t>
            </w:r>
          </w:p>
        </w:tc>
        <w:tc>
          <w:tcPr>
            <w:tcW w:w="2245" w:type="dxa"/>
            <w:tcBorders>
              <w:top w:val="nil"/>
              <w:left w:val="nil"/>
              <w:bottom w:val="nil"/>
              <w:right w:val="nil"/>
            </w:tcBorders>
            <w:shd w:val="clear" w:color="auto" w:fill="auto"/>
            <w:noWrap/>
            <w:hideMark/>
          </w:tcPr>
          <w:p w14:paraId="4EAB42FC"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0.558</w:t>
            </w:r>
            <w:r w:rsidR="00482EEC">
              <w:rPr>
                <w:rFonts w:ascii="Book Antiqua" w:eastAsia="Times New Roman" w:hAnsi="Book Antiqua" w:cs="Times New Roman"/>
                <w:lang w:eastAsia="zh-CN"/>
              </w:rPr>
              <w:t xml:space="preserve"> (</w:t>
            </w:r>
            <w:r w:rsidRPr="001A1E7F">
              <w:rPr>
                <w:rFonts w:ascii="Book Antiqua" w:eastAsia="Times New Roman" w:hAnsi="Book Antiqua" w:cs="Times New Roman"/>
                <w:lang w:eastAsia="zh-CN"/>
              </w:rPr>
              <w:t>0.161-1.934)</w:t>
            </w:r>
          </w:p>
        </w:tc>
        <w:tc>
          <w:tcPr>
            <w:tcW w:w="1246" w:type="dxa"/>
            <w:tcBorders>
              <w:top w:val="nil"/>
              <w:left w:val="nil"/>
              <w:bottom w:val="nil"/>
              <w:right w:val="nil"/>
            </w:tcBorders>
            <w:shd w:val="clear" w:color="auto" w:fill="auto"/>
            <w:noWrap/>
            <w:hideMark/>
          </w:tcPr>
          <w:p w14:paraId="1B35A6D3"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0.364</w:t>
            </w:r>
          </w:p>
        </w:tc>
      </w:tr>
      <w:tr w:rsidR="00482EEC" w:rsidRPr="001A1E7F" w14:paraId="19CA0305" w14:textId="77777777" w:rsidTr="00482EEC">
        <w:trPr>
          <w:trHeight w:val="288"/>
        </w:trPr>
        <w:tc>
          <w:tcPr>
            <w:tcW w:w="2411" w:type="dxa"/>
            <w:tcBorders>
              <w:top w:val="nil"/>
              <w:left w:val="nil"/>
              <w:bottom w:val="nil"/>
              <w:right w:val="nil"/>
            </w:tcBorders>
            <w:shd w:val="clear" w:color="auto" w:fill="auto"/>
            <w:noWrap/>
            <w:hideMark/>
          </w:tcPr>
          <w:p w14:paraId="6232B614" w14:textId="77777777" w:rsidR="001A1E7F" w:rsidRPr="001A1E7F" w:rsidRDefault="001A1E7F" w:rsidP="00482EEC">
            <w:pPr>
              <w:spacing w:line="360" w:lineRule="auto"/>
              <w:rPr>
                <w:rFonts w:ascii="Book Antiqua" w:eastAsia="Times New Roman" w:hAnsi="Book Antiqua" w:cs="Times New Roman"/>
                <w:lang w:eastAsia="zh-CN"/>
              </w:rPr>
            </w:pPr>
            <w:r w:rsidRPr="001A1E7F">
              <w:rPr>
                <w:rFonts w:ascii="Book Antiqua" w:eastAsia="Times New Roman" w:hAnsi="Book Antiqua" w:cs="Times New Roman"/>
                <w:lang w:eastAsia="zh-CN"/>
              </w:rPr>
              <w:t>Reintubation</w:t>
            </w:r>
          </w:p>
        </w:tc>
        <w:tc>
          <w:tcPr>
            <w:tcW w:w="928" w:type="dxa"/>
            <w:tcBorders>
              <w:top w:val="nil"/>
              <w:left w:val="nil"/>
              <w:bottom w:val="nil"/>
              <w:right w:val="nil"/>
            </w:tcBorders>
            <w:shd w:val="clear" w:color="auto" w:fill="auto"/>
            <w:noWrap/>
            <w:hideMark/>
          </w:tcPr>
          <w:p w14:paraId="4E801261"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5</w:t>
            </w:r>
          </w:p>
        </w:tc>
        <w:tc>
          <w:tcPr>
            <w:tcW w:w="1121" w:type="dxa"/>
            <w:tcBorders>
              <w:top w:val="nil"/>
              <w:left w:val="nil"/>
              <w:bottom w:val="nil"/>
              <w:right w:val="nil"/>
            </w:tcBorders>
            <w:shd w:val="clear" w:color="auto" w:fill="auto"/>
            <w:noWrap/>
            <w:hideMark/>
          </w:tcPr>
          <w:p w14:paraId="224DE968"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725</w:t>
            </w:r>
          </w:p>
        </w:tc>
        <w:tc>
          <w:tcPr>
            <w:tcW w:w="712" w:type="dxa"/>
            <w:tcBorders>
              <w:top w:val="nil"/>
              <w:left w:val="nil"/>
              <w:bottom w:val="nil"/>
              <w:right w:val="nil"/>
            </w:tcBorders>
            <w:shd w:val="clear" w:color="auto" w:fill="auto"/>
            <w:noWrap/>
            <w:hideMark/>
          </w:tcPr>
          <w:p w14:paraId="22001047"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0.7</w:t>
            </w:r>
          </w:p>
        </w:tc>
        <w:tc>
          <w:tcPr>
            <w:tcW w:w="818" w:type="dxa"/>
            <w:tcBorders>
              <w:top w:val="nil"/>
              <w:left w:val="nil"/>
              <w:bottom w:val="nil"/>
              <w:right w:val="nil"/>
            </w:tcBorders>
            <w:shd w:val="clear" w:color="auto" w:fill="auto"/>
            <w:noWrap/>
            <w:hideMark/>
          </w:tcPr>
          <w:p w14:paraId="777D30EE"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19</w:t>
            </w:r>
          </w:p>
        </w:tc>
        <w:tc>
          <w:tcPr>
            <w:tcW w:w="977" w:type="dxa"/>
            <w:tcBorders>
              <w:top w:val="nil"/>
              <w:left w:val="nil"/>
              <w:bottom w:val="nil"/>
              <w:right w:val="nil"/>
            </w:tcBorders>
            <w:shd w:val="clear" w:color="auto" w:fill="auto"/>
            <w:noWrap/>
            <w:hideMark/>
          </w:tcPr>
          <w:p w14:paraId="18CB230F"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725</w:t>
            </w:r>
          </w:p>
        </w:tc>
        <w:tc>
          <w:tcPr>
            <w:tcW w:w="712" w:type="dxa"/>
            <w:tcBorders>
              <w:top w:val="nil"/>
              <w:left w:val="nil"/>
              <w:bottom w:val="nil"/>
              <w:right w:val="nil"/>
            </w:tcBorders>
            <w:shd w:val="clear" w:color="auto" w:fill="auto"/>
            <w:noWrap/>
            <w:hideMark/>
          </w:tcPr>
          <w:p w14:paraId="440CAF05"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2.6</w:t>
            </w:r>
          </w:p>
        </w:tc>
        <w:tc>
          <w:tcPr>
            <w:tcW w:w="2245" w:type="dxa"/>
            <w:tcBorders>
              <w:top w:val="nil"/>
              <w:left w:val="nil"/>
              <w:bottom w:val="nil"/>
              <w:right w:val="nil"/>
            </w:tcBorders>
            <w:shd w:val="clear" w:color="auto" w:fill="auto"/>
            <w:noWrap/>
            <w:hideMark/>
          </w:tcPr>
          <w:p w14:paraId="35A331FA"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0.253</w:t>
            </w:r>
            <w:r w:rsidR="00482EEC">
              <w:rPr>
                <w:rFonts w:ascii="Book Antiqua" w:eastAsia="Times New Roman" w:hAnsi="Book Antiqua" w:cs="Times New Roman"/>
                <w:lang w:eastAsia="zh-CN"/>
              </w:rPr>
              <w:t xml:space="preserve"> (</w:t>
            </w:r>
            <w:r w:rsidRPr="001A1E7F">
              <w:rPr>
                <w:rFonts w:ascii="Book Antiqua" w:eastAsia="Times New Roman" w:hAnsi="Book Antiqua" w:cs="Times New Roman"/>
                <w:lang w:eastAsia="zh-CN"/>
              </w:rPr>
              <w:t>0.093-0.688)</w:t>
            </w:r>
          </w:p>
        </w:tc>
        <w:tc>
          <w:tcPr>
            <w:tcW w:w="1246" w:type="dxa"/>
            <w:tcBorders>
              <w:top w:val="nil"/>
              <w:left w:val="nil"/>
              <w:bottom w:val="nil"/>
              <w:right w:val="nil"/>
            </w:tcBorders>
            <w:shd w:val="clear" w:color="auto" w:fill="auto"/>
            <w:noWrap/>
            <w:hideMark/>
          </w:tcPr>
          <w:p w14:paraId="50C11185"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0.004</w:t>
            </w:r>
          </w:p>
        </w:tc>
      </w:tr>
      <w:tr w:rsidR="00482EEC" w:rsidRPr="001A1E7F" w14:paraId="353E4BCD" w14:textId="77777777" w:rsidTr="00482EEC">
        <w:trPr>
          <w:trHeight w:val="288"/>
        </w:trPr>
        <w:tc>
          <w:tcPr>
            <w:tcW w:w="2411" w:type="dxa"/>
            <w:tcBorders>
              <w:top w:val="nil"/>
              <w:left w:val="nil"/>
              <w:bottom w:val="nil"/>
              <w:right w:val="nil"/>
            </w:tcBorders>
            <w:shd w:val="clear" w:color="auto" w:fill="auto"/>
            <w:noWrap/>
            <w:hideMark/>
          </w:tcPr>
          <w:p w14:paraId="75E29946" w14:textId="77777777" w:rsidR="001A1E7F" w:rsidRPr="001A1E7F" w:rsidRDefault="001A1E7F" w:rsidP="00482EEC">
            <w:pPr>
              <w:spacing w:line="360" w:lineRule="auto"/>
              <w:rPr>
                <w:rFonts w:ascii="Book Antiqua" w:eastAsia="Times New Roman" w:hAnsi="Book Antiqua" w:cs="Times New Roman"/>
                <w:lang w:eastAsia="zh-CN"/>
              </w:rPr>
            </w:pPr>
            <w:r w:rsidRPr="001A1E7F">
              <w:rPr>
                <w:rFonts w:ascii="Book Antiqua" w:eastAsia="Times New Roman" w:hAnsi="Book Antiqua" w:cs="Times New Roman"/>
                <w:lang w:eastAsia="zh-CN"/>
              </w:rPr>
              <w:t>Superficial SSI</w:t>
            </w:r>
          </w:p>
        </w:tc>
        <w:tc>
          <w:tcPr>
            <w:tcW w:w="928" w:type="dxa"/>
            <w:tcBorders>
              <w:top w:val="nil"/>
              <w:left w:val="nil"/>
              <w:bottom w:val="nil"/>
              <w:right w:val="nil"/>
            </w:tcBorders>
            <w:shd w:val="clear" w:color="auto" w:fill="auto"/>
            <w:noWrap/>
            <w:hideMark/>
          </w:tcPr>
          <w:p w14:paraId="111F170E"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10</w:t>
            </w:r>
          </w:p>
        </w:tc>
        <w:tc>
          <w:tcPr>
            <w:tcW w:w="1121" w:type="dxa"/>
            <w:tcBorders>
              <w:top w:val="nil"/>
              <w:left w:val="nil"/>
              <w:bottom w:val="nil"/>
              <w:right w:val="nil"/>
            </w:tcBorders>
            <w:shd w:val="clear" w:color="auto" w:fill="auto"/>
            <w:noWrap/>
            <w:hideMark/>
          </w:tcPr>
          <w:p w14:paraId="70C43B0A"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725</w:t>
            </w:r>
          </w:p>
        </w:tc>
        <w:tc>
          <w:tcPr>
            <w:tcW w:w="712" w:type="dxa"/>
            <w:tcBorders>
              <w:top w:val="nil"/>
              <w:left w:val="nil"/>
              <w:bottom w:val="nil"/>
              <w:right w:val="nil"/>
            </w:tcBorders>
            <w:shd w:val="clear" w:color="auto" w:fill="auto"/>
            <w:noWrap/>
            <w:hideMark/>
          </w:tcPr>
          <w:p w14:paraId="3319EF5C"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1.4</w:t>
            </w:r>
          </w:p>
        </w:tc>
        <w:tc>
          <w:tcPr>
            <w:tcW w:w="818" w:type="dxa"/>
            <w:tcBorders>
              <w:top w:val="nil"/>
              <w:left w:val="nil"/>
              <w:bottom w:val="nil"/>
              <w:right w:val="nil"/>
            </w:tcBorders>
            <w:shd w:val="clear" w:color="auto" w:fill="auto"/>
            <w:noWrap/>
            <w:hideMark/>
          </w:tcPr>
          <w:p w14:paraId="050078AA"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0</w:t>
            </w:r>
          </w:p>
        </w:tc>
        <w:tc>
          <w:tcPr>
            <w:tcW w:w="977" w:type="dxa"/>
            <w:tcBorders>
              <w:top w:val="nil"/>
              <w:left w:val="nil"/>
              <w:bottom w:val="nil"/>
              <w:right w:val="nil"/>
            </w:tcBorders>
            <w:shd w:val="clear" w:color="auto" w:fill="auto"/>
            <w:noWrap/>
            <w:hideMark/>
          </w:tcPr>
          <w:p w14:paraId="7E21B5DF"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725</w:t>
            </w:r>
          </w:p>
        </w:tc>
        <w:tc>
          <w:tcPr>
            <w:tcW w:w="712" w:type="dxa"/>
            <w:tcBorders>
              <w:top w:val="nil"/>
              <w:left w:val="nil"/>
              <w:bottom w:val="nil"/>
              <w:right w:val="nil"/>
            </w:tcBorders>
            <w:shd w:val="clear" w:color="auto" w:fill="auto"/>
            <w:noWrap/>
            <w:hideMark/>
          </w:tcPr>
          <w:p w14:paraId="6E4B1AFA"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0.0</w:t>
            </w:r>
          </w:p>
        </w:tc>
        <w:tc>
          <w:tcPr>
            <w:tcW w:w="2245" w:type="dxa"/>
            <w:tcBorders>
              <w:top w:val="nil"/>
              <w:left w:val="nil"/>
              <w:bottom w:val="nil"/>
              <w:right w:val="nil"/>
            </w:tcBorders>
            <w:shd w:val="clear" w:color="auto" w:fill="auto"/>
            <w:noWrap/>
            <w:hideMark/>
          </w:tcPr>
          <w:p w14:paraId="5256E979"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21.294</w:t>
            </w:r>
            <w:r w:rsidR="00482EEC">
              <w:rPr>
                <w:rFonts w:ascii="Book Antiqua" w:eastAsia="Times New Roman" w:hAnsi="Book Antiqua" w:cs="Times New Roman"/>
                <w:lang w:eastAsia="zh-CN"/>
              </w:rPr>
              <w:t xml:space="preserve"> (</w:t>
            </w:r>
            <w:r w:rsidRPr="001A1E7F">
              <w:rPr>
                <w:rFonts w:ascii="Book Antiqua" w:eastAsia="Times New Roman" w:hAnsi="Book Antiqua" w:cs="Times New Roman"/>
                <w:lang w:eastAsia="zh-CN"/>
              </w:rPr>
              <w:t>1.245-364.078)</w:t>
            </w:r>
          </w:p>
        </w:tc>
        <w:tc>
          <w:tcPr>
            <w:tcW w:w="1246" w:type="dxa"/>
            <w:tcBorders>
              <w:top w:val="nil"/>
              <w:left w:val="nil"/>
              <w:bottom w:val="nil"/>
              <w:right w:val="nil"/>
            </w:tcBorders>
            <w:shd w:val="clear" w:color="auto" w:fill="auto"/>
            <w:noWrap/>
            <w:hideMark/>
          </w:tcPr>
          <w:p w14:paraId="6B479C26"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0.002</w:t>
            </w:r>
          </w:p>
        </w:tc>
      </w:tr>
      <w:tr w:rsidR="00482EEC" w:rsidRPr="001A1E7F" w14:paraId="6FE64329" w14:textId="77777777" w:rsidTr="00482EEC">
        <w:trPr>
          <w:trHeight w:val="288"/>
        </w:trPr>
        <w:tc>
          <w:tcPr>
            <w:tcW w:w="2411" w:type="dxa"/>
            <w:tcBorders>
              <w:top w:val="nil"/>
              <w:left w:val="nil"/>
              <w:bottom w:val="nil"/>
              <w:right w:val="nil"/>
            </w:tcBorders>
            <w:shd w:val="clear" w:color="auto" w:fill="auto"/>
            <w:noWrap/>
            <w:hideMark/>
          </w:tcPr>
          <w:p w14:paraId="31EEC3D3" w14:textId="77777777" w:rsidR="001A1E7F" w:rsidRPr="001A1E7F" w:rsidRDefault="001A1E7F" w:rsidP="00482EEC">
            <w:pPr>
              <w:spacing w:line="360" w:lineRule="auto"/>
              <w:rPr>
                <w:rFonts w:ascii="Book Antiqua" w:eastAsia="Times New Roman" w:hAnsi="Book Antiqua" w:cs="Times New Roman"/>
                <w:lang w:eastAsia="zh-CN"/>
              </w:rPr>
            </w:pPr>
            <w:r w:rsidRPr="001A1E7F">
              <w:rPr>
                <w:rFonts w:ascii="Book Antiqua" w:eastAsia="Times New Roman" w:hAnsi="Book Antiqua" w:cs="Times New Roman"/>
                <w:lang w:eastAsia="zh-CN"/>
              </w:rPr>
              <w:t xml:space="preserve">Deep </w:t>
            </w:r>
            <w:r w:rsidR="00482EEC" w:rsidRPr="001A1E7F">
              <w:rPr>
                <w:rFonts w:ascii="Book Antiqua" w:eastAsia="Times New Roman" w:hAnsi="Book Antiqua" w:cs="Times New Roman"/>
                <w:lang w:eastAsia="zh-CN"/>
              </w:rPr>
              <w:t>i</w:t>
            </w:r>
            <w:r w:rsidRPr="001A1E7F">
              <w:rPr>
                <w:rFonts w:ascii="Book Antiqua" w:eastAsia="Times New Roman" w:hAnsi="Book Antiqua" w:cs="Times New Roman"/>
                <w:lang w:eastAsia="zh-CN"/>
              </w:rPr>
              <w:t>ncisional SSI</w:t>
            </w:r>
          </w:p>
        </w:tc>
        <w:tc>
          <w:tcPr>
            <w:tcW w:w="928" w:type="dxa"/>
            <w:tcBorders>
              <w:top w:val="nil"/>
              <w:left w:val="nil"/>
              <w:bottom w:val="nil"/>
              <w:right w:val="nil"/>
            </w:tcBorders>
            <w:shd w:val="clear" w:color="auto" w:fill="auto"/>
            <w:noWrap/>
            <w:hideMark/>
          </w:tcPr>
          <w:p w14:paraId="2FDB5304"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3</w:t>
            </w:r>
          </w:p>
        </w:tc>
        <w:tc>
          <w:tcPr>
            <w:tcW w:w="1121" w:type="dxa"/>
            <w:tcBorders>
              <w:top w:val="nil"/>
              <w:left w:val="nil"/>
              <w:bottom w:val="nil"/>
              <w:right w:val="nil"/>
            </w:tcBorders>
            <w:shd w:val="clear" w:color="auto" w:fill="auto"/>
            <w:noWrap/>
            <w:hideMark/>
          </w:tcPr>
          <w:p w14:paraId="0C0C805F"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725</w:t>
            </w:r>
          </w:p>
        </w:tc>
        <w:tc>
          <w:tcPr>
            <w:tcW w:w="712" w:type="dxa"/>
            <w:tcBorders>
              <w:top w:val="nil"/>
              <w:left w:val="nil"/>
              <w:bottom w:val="nil"/>
              <w:right w:val="nil"/>
            </w:tcBorders>
            <w:shd w:val="clear" w:color="auto" w:fill="auto"/>
            <w:noWrap/>
            <w:hideMark/>
          </w:tcPr>
          <w:p w14:paraId="56A56DAA"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0.4</w:t>
            </w:r>
          </w:p>
        </w:tc>
        <w:tc>
          <w:tcPr>
            <w:tcW w:w="818" w:type="dxa"/>
            <w:tcBorders>
              <w:top w:val="nil"/>
              <w:left w:val="nil"/>
              <w:bottom w:val="nil"/>
              <w:right w:val="nil"/>
            </w:tcBorders>
            <w:shd w:val="clear" w:color="auto" w:fill="auto"/>
            <w:noWrap/>
            <w:hideMark/>
          </w:tcPr>
          <w:p w14:paraId="236CF298"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2</w:t>
            </w:r>
          </w:p>
        </w:tc>
        <w:tc>
          <w:tcPr>
            <w:tcW w:w="977" w:type="dxa"/>
            <w:tcBorders>
              <w:top w:val="nil"/>
              <w:left w:val="nil"/>
              <w:bottom w:val="nil"/>
              <w:right w:val="nil"/>
            </w:tcBorders>
            <w:shd w:val="clear" w:color="auto" w:fill="auto"/>
            <w:noWrap/>
            <w:hideMark/>
          </w:tcPr>
          <w:p w14:paraId="25A370E9"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725</w:t>
            </w:r>
          </w:p>
        </w:tc>
        <w:tc>
          <w:tcPr>
            <w:tcW w:w="712" w:type="dxa"/>
            <w:tcBorders>
              <w:top w:val="nil"/>
              <w:left w:val="nil"/>
              <w:bottom w:val="nil"/>
              <w:right w:val="nil"/>
            </w:tcBorders>
            <w:shd w:val="clear" w:color="auto" w:fill="auto"/>
            <w:noWrap/>
            <w:hideMark/>
          </w:tcPr>
          <w:p w14:paraId="0A2F5D42"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0.3</w:t>
            </w:r>
          </w:p>
        </w:tc>
        <w:tc>
          <w:tcPr>
            <w:tcW w:w="2245" w:type="dxa"/>
            <w:tcBorders>
              <w:top w:val="nil"/>
              <w:left w:val="nil"/>
              <w:bottom w:val="nil"/>
              <w:right w:val="nil"/>
            </w:tcBorders>
            <w:shd w:val="clear" w:color="auto" w:fill="auto"/>
            <w:noWrap/>
            <w:hideMark/>
          </w:tcPr>
          <w:p w14:paraId="561972CF"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1.466</w:t>
            </w:r>
            <w:r w:rsidR="00482EEC">
              <w:rPr>
                <w:rFonts w:ascii="Book Antiqua" w:eastAsia="Times New Roman" w:hAnsi="Book Antiqua" w:cs="Times New Roman"/>
                <w:lang w:eastAsia="zh-CN"/>
              </w:rPr>
              <w:t xml:space="preserve"> (</w:t>
            </w:r>
            <w:r w:rsidRPr="001A1E7F">
              <w:rPr>
                <w:rFonts w:ascii="Book Antiqua" w:eastAsia="Times New Roman" w:hAnsi="Book Antiqua" w:cs="Times New Roman"/>
                <w:lang w:eastAsia="zh-CN"/>
              </w:rPr>
              <w:t>0.242-8.901)</w:t>
            </w:r>
          </w:p>
        </w:tc>
        <w:tc>
          <w:tcPr>
            <w:tcW w:w="1246" w:type="dxa"/>
            <w:tcBorders>
              <w:top w:val="nil"/>
              <w:left w:val="nil"/>
              <w:bottom w:val="nil"/>
              <w:right w:val="nil"/>
            </w:tcBorders>
            <w:shd w:val="clear" w:color="auto" w:fill="auto"/>
            <w:noWrap/>
            <w:hideMark/>
          </w:tcPr>
          <w:p w14:paraId="29565421"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0.654</w:t>
            </w:r>
          </w:p>
        </w:tc>
      </w:tr>
      <w:tr w:rsidR="00482EEC" w:rsidRPr="001A1E7F" w14:paraId="47295BE7" w14:textId="77777777" w:rsidTr="00482EEC">
        <w:trPr>
          <w:trHeight w:val="288"/>
        </w:trPr>
        <w:tc>
          <w:tcPr>
            <w:tcW w:w="2411" w:type="dxa"/>
            <w:tcBorders>
              <w:top w:val="nil"/>
              <w:left w:val="nil"/>
              <w:bottom w:val="nil"/>
              <w:right w:val="nil"/>
            </w:tcBorders>
            <w:shd w:val="clear" w:color="auto" w:fill="auto"/>
            <w:noWrap/>
            <w:hideMark/>
          </w:tcPr>
          <w:p w14:paraId="6FAB7F8A" w14:textId="77777777" w:rsidR="001A1E7F" w:rsidRPr="001A1E7F" w:rsidRDefault="001A1E7F" w:rsidP="00482EEC">
            <w:pPr>
              <w:spacing w:line="360" w:lineRule="auto"/>
              <w:rPr>
                <w:rFonts w:ascii="Book Antiqua" w:eastAsia="Times New Roman" w:hAnsi="Book Antiqua" w:cs="Times New Roman"/>
                <w:lang w:eastAsia="zh-CN"/>
              </w:rPr>
            </w:pPr>
            <w:r w:rsidRPr="001A1E7F">
              <w:rPr>
                <w:rFonts w:ascii="Book Antiqua" w:eastAsia="Times New Roman" w:hAnsi="Book Antiqua" w:cs="Times New Roman"/>
                <w:lang w:eastAsia="zh-CN"/>
              </w:rPr>
              <w:t>Organ/Space SSI</w:t>
            </w:r>
          </w:p>
        </w:tc>
        <w:tc>
          <w:tcPr>
            <w:tcW w:w="928" w:type="dxa"/>
            <w:tcBorders>
              <w:top w:val="nil"/>
              <w:left w:val="nil"/>
              <w:bottom w:val="nil"/>
              <w:right w:val="nil"/>
            </w:tcBorders>
            <w:shd w:val="clear" w:color="auto" w:fill="auto"/>
            <w:noWrap/>
            <w:hideMark/>
          </w:tcPr>
          <w:p w14:paraId="2148D6E2"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2</w:t>
            </w:r>
          </w:p>
        </w:tc>
        <w:tc>
          <w:tcPr>
            <w:tcW w:w="1121" w:type="dxa"/>
            <w:tcBorders>
              <w:top w:val="nil"/>
              <w:left w:val="nil"/>
              <w:bottom w:val="nil"/>
              <w:right w:val="nil"/>
            </w:tcBorders>
            <w:shd w:val="clear" w:color="auto" w:fill="auto"/>
            <w:noWrap/>
            <w:hideMark/>
          </w:tcPr>
          <w:p w14:paraId="0268586C"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725</w:t>
            </w:r>
          </w:p>
        </w:tc>
        <w:tc>
          <w:tcPr>
            <w:tcW w:w="712" w:type="dxa"/>
            <w:tcBorders>
              <w:top w:val="nil"/>
              <w:left w:val="nil"/>
              <w:bottom w:val="nil"/>
              <w:right w:val="nil"/>
            </w:tcBorders>
            <w:shd w:val="clear" w:color="auto" w:fill="auto"/>
            <w:noWrap/>
            <w:hideMark/>
          </w:tcPr>
          <w:p w14:paraId="7814E32D"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0.3</w:t>
            </w:r>
          </w:p>
        </w:tc>
        <w:tc>
          <w:tcPr>
            <w:tcW w:w="818" w:type="dxa"/>
            <w:tcBorders>
              <w:top w:val="nil"/>
              <w:left w:val="nil"/>
              <w:bottom w:val="nil"/>
              <w:right w:val="nil"/>
            </w:tcBorders>
            <w:shd w:val="clear" w:color="auto" w:fill="auto"/>
            <w:noWrap/>
            <w:hideMark/>
          </w:tcPr>
          <w:p w14:paraId="545C1B2D"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2</w:t>
            </w:r>
          </w:p>
        </w:tc>
        <w:tc>
          <w:tcPr>
            <w:tcW w:w="977" w:type="dxa"/>
            <w:tcBorders>
              <w:top w:val="nil"/>
              <w:left w:val="nil"/>
              <w:bottom w:val="nil"/>
              <w:right w:val="nil"/>
            </w:tcBorders>
            <w:shd w:val="clear" w:color="auto" w:fill="auto"/>
            <w:noWrap/>
            <w:hideMark/>
          </w:tcPr>
          <w:p w14:paraId="6C8B786B"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725</w:t>
            </w:r>
          </w:p>
        </w:tc>
        <w:tc>
          <w:tcPr>
            <w:tcW w:w="712" w:type="dxa"/>
            <w:tcBorders>
              <w:top w:val="nil"/>
              <w:left w:val="nil"/>
              <w:bottom w:val="nil"/>
              <w:right w:val="nil"/>
            </w:tcBorders>
            <w:shd w:val="clear" w:color="auto" w:fill="auto"/>
            <w:noWrap/>
            <w:hideMark/>
          </w:tcPr>
          <w:p w14:paraId="3D97905D"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0.3</w:t>
            </w:r>
          </w:p>
        </w:tc>
        <w:tc>
          <w:tcPr>
            <w:tcW w:w="2245" w:type="dxa"/>
            <w:tcBorders>
              <w:top w:val="nil"/>
              <w:left w:val="nil"/>
              <w:bottom w:val="nil"/>
              <w:right w:val="nil"/>
            </w:tcBorders>
            <w:shd w:val="clear" w:color="auto" w:fill="auto"/>
            <w:noWrap/>
            <w:hideMark/>
          </w:tcPr>
          <w:p w14:paraId="7A8A2469"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1.011</w:t>
            </w:r>
            <w:r w:rsidR="00482EEC">
              <w:rPr>
                <w:rFonts w:ascii="Book Antiqua" w:eastAsia="Times New Roman" w:hAnsi="Book Antiqua" w:cs="Times New Roman"/>
                <w:lang w:eastAsia="zh-CN"/>
              </w:rPr>
              <w:t xml:space="preserve"> (</w:t>
            </w:r>
            <w:r w:rsidRPr="001A1E7F">
              <w:rPr>
                <w:rFonts w:ascii="Book Antiqua" w:eastAsia="Times New Roman" w:hAnsi="Book Antiqua" w:cs="Times New Roman"/>
                <w:lang w:eastAsia="zh-CN"/>
              </w:rPr>
              <w:t>0.142-7.196)</w:t>
            </w:r>
          </w:p>
        </w:tc>
        <w:tc>
          <w:tcPr>
            <w:tcW w:w="1246" w:type="dxa"/>
            <w:tcBorders>
              <w:top w:val="nil"/>
              <w:left w:val="nil"/>
              <w:bottom w:val="nil"/>
              <w:right w:val="nil"/>
            </w:tcBorders>
            <w:shd w:val="clear" w:color="auto" w:fill="auto"/>
            <w:noWrap/>
            <w:hideMark/>
          </w:tcPr>
          <w:p w14:paraId="20A3CE2D"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1</w:t>
            </w:r>
          </w:p>
        </w:tc>
      </w:tr>
      <w:tr w:rsidR="00482EEC" w:rsidRPr="001A1E7F" w14:paraId="2996B98C" w14:textId="77777777" w:rsidTr="00482EEC">
        <w:trPr>
          <w:trHeight w:val="288"/>
        </w:trPr>
        <w:tc>
          <w:tcPr>
            <w:tcW w:w="2411" w:type="dxa"/>
            <w:tcBorders>
              <w:top w:val="nil"/>
              <w:left w:val="nil"/>
              <w:bottom w:val="nil"/>
              <w:right w:val="nil"/>
            </w:tcBorders>
            <w:shd w:val="clear" w:color="auto" w:fill="auto"/>
            <w:noWrap/>
            <w:hideMark/>
          </w:tcPr>
          <w:p w14:paraId="18B798AB" w14:textId="77777777" w:rsidR="001A1E7F" w:rsidRPr="001A1E7F" w:rsidRDefault="001A1E7F" w:rsidP="00482EEC">
            <w:pPr>
              <w:spacing w:line="360" w:lineRule="auto"/>
              <w:rPr>
                <w:rFonts w:ascii="Book Antiqua" w:eastAsia="Times New Roman" w:hAnsi="Book Antiqua" w:cs="Times New Roman"/>
                <w:lang w:eastAsia="zh-CN"/>
              </w:rPr>
            </w:pPr>
            <w:r w:rsidRPr="001A1E7F">
              <w:rPr>
                <w:rFonts w:ascii="Book Antiqua" w:eastAsia="Times New Roman" w:hAnsi="Book Antiqua" w:cs="Times New Roman"/>
                <w:lang w:eastAsia="zh-CN"/>
              </w:rPr>
              <w:t>Dehiscence</w:t>
            </w:r>
          </w:p>
        </w:tc>
        <w:tc>
          <w:tcPr>
            <w:tcW w:w="928" w:type="dxa"/>
            <w:tcBorders>
              <w:top w:val="nil"/>
              <w:left w:val="nil"/>
              <w:bottom w:val="nil"/>
              <w:right w:val="nil"/>
            </w:tcBorders>
            <w:shd w:val="clear" w:color="auto" w:fill="auto"/>
            <w:noWrap/>
            <w:hideMark/>
          </w:tcPr>
          <w:p w14:paraId="5668933D"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1</w:t>
            </w:r>
          </w:p>
        </w:tc>
        <w:tc>
          <w:tcPr>
            <w:tcW w:w="1121" w:type="dxa"/>
            <w:tcBorders>
              <w:top w:val="nil"/>
              <w:left w:val="nil"/>
              <w:bottom w:val="nil"/>
              <w:right w:val="nil"/>
            </w:tcBorders>
            <w:shd w:val="clear" w:color="auto" w:fill="auto"/>
            <w:noWrap/>
            <w:hideMark/>
          </w:tcPr>
          <w:p w14:paraId="04E57111"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725</w:t>
            </w:r>
          </w:p>
        </w:tc>
        <w:tc>
          <w:tcPr>
            <w:tcW w:w="712" w:type="dxa"/>
            <w:tcBorders>
              <w:top w:val="nil"/>
              <w:left w:val="nil"/>
              <w:bottom w:val="nil"/>
              <w:right w:val="nil"/>
            </w:tcBorders>
            <w:shd w:val="clear" w:color="auto" w:fill="auto"/>
            <w:noWrap/>
            <w:hideMark/>
          </w:tcPr>
          <w:p w14:paraId="712F4DD9"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0.1</w:t>
            </w:r>
          </w:p>
        </w:tc>
        <w:tc>
          <w:tcPr>
            <w:tcW w:w="818" w:type="dxa"/>
            <w:tcBorders>
              <w:top w:val="nil"/>
              <w:left w:val="nil"/>
              <w:bottom w:val="nil"/>
              <w:right w:val="nil"/>
            </w:tcBorders>
            <w:shd w:val="clear" w:color="auto" w:fill="auto"/>
            <w:noWrap/>
            <w:hideMark/>
          </w:tcPr>
          <w:p w14:paraId="3ECA7245"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0</w:t>
            </w:r>
          </w:p>
        </w:tc>
        <w:tc>
          <w:tcPr>
            <w:tcW w:w="977" w:type="dxa"/>
            <w:tcBorders>
              <w:top w:val="nil"/>
              <w:left w:val="nil"/>
              <w:bottom w:val="nil"/>
              <w:right w:val="nil"/>
            </w:tcBorders>
            <w:shd w:val="clear" w:color="auto" w:fill="auto"/>
            <w:noWrap/>
            <w:hideMark/>
          </w:tcPr>
          <w:p w14:paraId="778EA564"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725</w:t>
            </w:r>
          </w:p>
        </w:tc>
        <w:tc>
          <w:tcPr>
            <w:tcW w:w="712" w:type="dxa"/>
            <w:tcBorders>
              <w:top w:val="nil"/>
              <w:left w:val="nil"/>
              <w:bottom w:val="nil"/>
              <w:right w:val="nil"/>
            </w:tcBorders>
            <w:shd w:val="clear" w:color="auto" w:fill="auto"/>
            <w:noWrap/>
            <w:hideMark/>
          </w:tcPr>
          <w:p w14:paraId="366BF5D9"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0.0</w:t>
            </w:r>
          </w:p>
        </w:tc>
        <w:tc>
          <w:tcPr>
            <w:tcW w:w="2245" w:type="dxa"/>
            <w:tcBorders>
              <w:top w:val="nil"/>
              <w:left w:val="nil"/>
              <w:bottom w:val="nil"/>
              <w:right w:val="nil"/>
            </w:tcBorders>
            <w:shd w:val="clear" w:color="auto" w:fill="auto"/>
            <w:noWrap/>
            <w:hideMark/>
          </w:tcPr>
          <w:p w14:paraId="66C35DDF"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3.00</w:t>
            </w:r>
            <w:r w:rsidR="00482EEC">
              <w:rPr>
                <w:rFonts w:ascii="Book Antiqua" w:eastAsia="Times New Roman" w:hAnsi="Book Antiqua" w:cs="Times New Roman"/>
                <w:lang w:eastAsia="zh-CN"/>
              </w:rPr>
              <w:t xml:space="preserve"> (</w:t>
            </w:r>
            <w:r w:rsidRPr="001A1E7F">
              <w:rPr>
                <w:rFonts w:ascii="Book Antiqua" w:eastAsia="Times New Roman" w:hAnsi="Book Antiqua" w:cs="Times New Roman"/>
                <w:lang w:eastAsia="zh-CN"/>
              </w:rPr>
              <w:t>0.122-73.870)</w:t>
            </w:r>
          </w:p>
        </w:tc>
        <w:tc>
          <w:tcPr>
            <w:tcW w:w="1246" w:type="dxa"/>
            <w:tcBorders>
              <w:top w:val="nil"/>
              <w:left w:val="nil"/>
              <w:bottom w:val="nil"/>
              <w:right w:val="nil"/>
            </w:tcBorders>
            <w:shd w:val="clear" w:color="auto" w:fill="auto"/>
            <w:noWrap/>
            <w:hideMark/>
          </w:tcPr>
          <w:p w14:paraId="6FF51E42"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0.317</w:t>
            </w:r>
          </w:p>
        </w:tc>
      </w:tr>
      <w:tr w:rsidR="00482EEC" w:rsidRPr="001A1E7F" w14:paraId="0CB1F911" w14:textId="77777777" w:rsidTr="00482EEC">
        <w:trPr>
          <w:trHeight w:val="288"/>
        </w:trPr>
        <w:tc>
          <w:tcPr>
            <w:tcW w:w="2411" w:type="dxa"/>
            <w:tcBorders>
              <w:top w:val="nil"/>
              <w:left w:val="nil"/>
              <w:bottom w:val="nil"/>
              <w:right w:val="nil"/>
            </w:tcBorders>
            <w:shd w:val="clear" w:color="auto" w:fill="auto"/>
            <w:noWrap/>
            <w:hideMark/>
          </w:tcPr>
          <w:p w14:paraId="1658F52C" w14:textId="77777777" w:rsidR="001A1E7F" w:rsidRPr="001A1E7F" w:rsidRDefault="001A1E7F" w:rsidP="00482EEC">
            <w:pPr>
              <w:spacing w:line="360" w:lineRule="auto"/>
              <w:rPr>
                <w:rFonts w:ascii="Book Antiqua" w:eastAsia="Times New Roman" w:hAnsi="Book Antiqua" w:cs="Times New Roman"/>
                <w:lang w:eastAsia="zh-CN"/>
              </w:rPr>
            </w:pPr>
            <w:r w:rsidRPr="001A1E7F">
              <w:rPr>
                <w:rFonts w:ascii="Book Antiqua" w:eastAsia="Times New Roman" w:hAnsi="Book Antiqua" w:cs="Times New Roman"/>
                <w:lang w:eastAsia="zh-CN"/>
              </w:rPr>
              <w:t>Pneumonia</w:t>
            </w:r>
          </w:p>
        </w:tc>
        <w:tc>
          <w:tcPr>
            <w:tcW w:w="928" w:type="dxa"/>
            <w:tcBorders>
              <w:top w:val="nil"/>
              <w:left w:val="nil"/>
              <w:bottom w:val="nil"/>
              <w:right w:val="nil"/>
            </w:tcBorders>
            <w:shd w:val="clear" w:color="auto" w:fill="auto"/>
            <w:noWrap/>
            <w:hideMark/>
          </w:tcPr>
          <w:p w14:paraId="6DC24D22"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25</w:t>
            </w:r>
          </w:p>
        </w:tc>
        <w:tc>
          <w:tcPr>
            <w:tcW w:w="1121" w:type="dxa"/>
            <w:tcBorders>
              <w:top w:val="nil"/>
              <w:left w:val="nil"/>
              <w:bottom w:val="nil"/>
              <w:right w:val="nil"/>
            </w:tcBorders>
            <w:shd w:val="clear" w:color="auto" w:fill="auto"/>
            <w:noWrap/>
            <w:hideMark/>
          </w:tcPr>
          <w:p w14:paraId="5215FB60"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725</w:t>
            </w:r>
          </w:p>
        </w:tc>
        <w:tc>
          <w:tcPr>
            <w:tcW w:w="712" w:type="dxa"/>
            <w:tcBorders>
              <w:top w:val="nil"/>
              <w:left w:val="nil"/>
              <w:bottom w:val="nil"/>
              <w:right w:val="nil"/>
            </w:tcBorders>
            <w:shd w:val="clear" w:color="auto" w:fill="auto"/>
            <w:noWrap/>
            <w:hideMark/>
          </w:tcPr>
          <w:p w14:paraId="30596C9D"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3.4</w:t>
            </w:r>
          </w:p>
        </w:tc>
        <w:tc>
          <w:tcPr>
            <w:tcW w:w="818" w:type="dxa"/>
            <w:tcBorders>
              <w:top w:val="nil"/>
              <w:left w:val="nil"/>
              <w:bottom w:val="nil"/>
              <w:right w:val="nil"/>
            </w:tcBorders>
            <w:shd w:val="clear" w:color="auto" w:fill="auto"/>
            <w:noWrap/>
            <w:hideMark/>
          </w:tcPr>
          <w:p w14:paraId="71A89B99"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34</w:t>
            </w:r>
          </w:p>
        </w:tc>
        <w:tc>
          <w:tcPr>
            <w:tcW w:w="977" w:type="dxa"/>
            <w:tcBorders>
              <w:top w:val="nil"/>
              <w:left w:val="nil"/>
              <w:bottom w:val="nil"/>
              <w:right w:val="nil"/>
            </w:tcBorders>
            <w:shd w:val="clear" w:color="auto" w:fill="auto"/>
            <w:noWrap/>
            <w:hideMark/>
          </w:tcPr>
          <w:p w14:paraId="6C66313E"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725</w:t>
            </w:r>
          </w:p>
        </w:tc>
        <w:tc>
          <w:tcPr>
            <w:tcW w:w="712" w:type="dxa"/>
            <w:tcBorders>
              <w:top w:val="nil"/>
              <w:left w:val="nil"/>
              <w:bottom w:val="nil"/>
              <w:right w:val="nil"/>
            </w:tcBorders>
            <w:shd w:val="clear" w:color="auto" w:fill="auto"/>
            <w:noWrap/>
            <w:hideMark/>
          </w:tcPr>
          <w:p w14:paraId="277C10AF"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4.7</w:t>
            </w:r>
          </w:p>
        </w:tc>
        <w:tc>
          <w:tcPr>
            <w:tcW w:w="2245" w:type="dxa"/>
            <w:tcBorders>
              <w:top w:val="nil"/>
              <w:left w:val="nil"/>
              <w:bottom w:val="nil"/>
              <w:right w:val="nil"/>
            </w:tcBorders>
            <w:shd w:val="clear" w:color="auto" w:fill="auto"/>
            <w:noWrap/>
            <w:hideMark/>
          </w:tcPr>
          <w:p w14:paraId="5D98D879"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0.725</w:t>
            </w:r>
            <w:r w:rsidR="00482EEC">
              <w:rPr>
                <w:rFonts w:ascii="Book Antiqua" w:eastAsia="Times New Roman" w:hAnsi="Book Antiqua" w:cs="Times New Roman"/>
                <w:lang w:eastAsia="zh-CN"/>
              </w:rPr>
              <w:t xml:space="preserve"> (</w:t>
            </w:r>
            <w:r w:rsidRPr="001A1E7F">
              <w:rPr>
                <w:rFonts w:ascii="Book Antiqua" w:eastAsia="Times New Roman" w:hAnsi="Book Antiqua" w:cs="Times New Roman"/>
                <w:lang w:eastAsia="zh-CN"/>
              </w:rPr>
              <w:t>0.428-1.23)</w:t>
            </w:r>
          </w:p>
        </w:tc>
        <w:tc>
          <w:tcPr>
            <w:tcW w:w="1246" w:type="dxa"/>
            <w:tcBorders>
              <w:top w:val="nil"/>
              <w:left w:val="nil"/>
              <w:bottom w:val="nil"/>
              <w:right w:val="nil"/>
            </w:tcBorders>
            <w:shd w:val="clear" w:color="auto" w:fill="auto"/>
            <w:noWrap/>
            <w:hideMark/>
          </w:tcPr>
          <w:p w14:paraId="4BB57E10"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0.232</w:t>
            </w:r>
          </w:p>
        </w:tc>
      </w:tr>
      <w:tr w:rsidR="00482EEC" w:rsidRPr="001A1E7F" w14:paraId="5E81D293" w14:textId="77777777" w:rsidTr="00482EEC">
        <w:trPr>
          <w:trHeight w:val="288"/>
        </w:trPr>
        <w:tc>
          <w:tcPr>
            <w:tcW w:w="2411" w:type="dxa"/>
            <w:tcBorders>
              <w:top w:val="nil"/>
              <w:left w:val="nil"/>
              <w:bottom w:val="nil"/>
              <w:right w:val="nil"/>
            </w:tcBorders>
            <w:shd w:val="clear" w:color="auto" w:fill="auto"/>
            <w:noWrap/>
            <w:hideMark/>
          </w:tcPr>
          <w:p w14:paraId="22ACBF12" w14:textId="77777777" w:rsidR="001A1E7F" w:rsidRPr="001A1E7F" w:rsidRDefault="001A1E7F" w:rsidP="00482EEC">
            <w:pPr>
              <w:spacing w:line="360" w:lineRule="auto"/>
              <w:rPr>
                <w:rFonts w:ascii="Book Antiqua" w:eastAsia="Times New Roman" w:hAnsi="Book Antiqua" w:cs="Times New Roman"/>
                <w:lang w:eastAsia="zh-CN"/>
              </w:rPr>
            </w:pPr>
            <w:r w:rsidRPr="001A1E7F">
              <w:rPr>
                <w:rFonts w:ascii="Book Antiqua" w:eastAsia="Times New Roman" w:hAnsi="Book Antiqua" w:cs="Times New Roman"/>
                <w:lang w:eastAsia="zh-CN"/>
              </w:rPr>
              <w:t>Acute Kidney Injury</w:t>
            </w:r>
          </w:p>
        </w:tc>
        <w:tc>
          <w:tcPr>
            <w:tcW w:w="928" w:type="dxa"/>
            <w:tcBorders>
              <w:top w:val="nil"/>
              <w:left w:val="nil"/>
              <w:bottom w:val="nil"/>
              <w:right w:val="nil"/>
            </w:tcBorders>
            <w:shd w:val="clear" w:color="auto" w:fill="auto"/>
            <w:noWrap/>
            <w:hideMark/>
          </w:tcPr>
          <w:p w14:paraId="582ACA5D"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3</w:t>
            </w:r>
          </w:p>
        </w:tc>
        <w:tc>
          <w:tcPr>
            <w:tcW w:w="1121" w:type="dxa"/>
            <w:tcBorders>
              <w:top w:val="nil"/>
              <w:left w:val="nil"/>
              <w:bottom w:val="nil"/>
              <w:right w:val="nil"/>
            </w:tcBorders>
            <w:shd w:val="clear" w:color="auto" w:fill="auto"/>
            <w:noWrap/>
            <w:hideMark/>
          </w:tcPr>
          <w:p w14:paraId="7CA22DCB"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725</w:t>
            </w:r>
          </w:p>
        </w:tc>
        <w:tc>
          <w:tcPr>
            <w:tcW w:w="712" w:type="dxa"/>
            <w:tcBorders>
              <w:top w:val="nil"/>
              <w:left w:val="nil"/>
              <w:bottom w:val="nil"/>
              <w:right w:val="nil"/>
            </w:tcBorders>
            <w:shd w:val="clear" w:color="auto" w:fill="auto"/>
            <w:noWrap/>
            <w:hideMark/>
          </w:tcPr>
          <w:p w14:paraId="74C3C70B"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0.4</w:t>
            </w:r>
          </w:p>
        </w:tc>
        <w:tc>
          <w:tcPr>
            <w:tcW w:w="818" w:type="dxa"/>
            <w:tcBorders>
              <w:top w:val="nil"/>
              <w:left w:val="nil"/>
              <w:bottom w:val="nil"/>
              <w:right w:val="nil"/>
            </w:tcBorders>
            <w:shd w:val="clear" w:color="auto" w:fill="auto"/>
            <w:noWrap/>
            <w:hideMark/>
          </w:tcPr>
          <w:p w14:paraId="15B7EC68"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4</w:t>
            </w:r>
          </w:p>
        </w:tc>
        <w:tc>
          <w:tcPr>
            <w:tcW w:w="977" w:type="dxa"/>
            <w:tcBorders>
              <w:top w:val="nil"/>
              <w:left w:val="nil"/>
              <w:bottom w:val="nil"/>
              <w:right w:val="nil"/>
            </w:tcBorders>
            <w:shd w:val="clear" w:color="auto" w:fill="auto"/>
            <w:noWrap/>
            <w:hideMark/>
          </w:tcPr>
          <w:p w14:paraId="4BF50B8D"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725</w:t>
            </w:r>
          </w:p>
        </w:tc>
        <w:tc>
          <w:tcPr>
            <w:tcW w:w="712" w:type="dxa"/>
            <w:tcBorders>
              <w:top w:val="nil"/>
              <w:left w:val="nil"/>
              <w:bottom w:val="nil"/>
              <w:right w:val="nil"/>
            </w:tcBorders>
            <w:shd w:val="clear" w:color="auto" w:fill="auto"/>
            <w:noWrap/>
            <w:hideMark/>
          </w:tcPr>
          <w:p w14:paraId="12C8FBCA"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0.6</w:t>
            </w:r>
          </w:p>
        </w:tc>
        <w:tc>
          <w:tcPr>
            <w:tcW w:w="2245" w:type="dxa"/>
            <w:tcBorders>
              <w:top w:val="nil"/>
              <w:left w:val="nil"/>
              <w:bottom w:val="nil"/>
              <w:right w:val="nil"/>
            </w:tcBorders>
            <w:shd w:val="clear" w:color="auto" w:fill="auto"/>
            <w:noWrap/>
            <w:hideMark/>
          </w:tcPr>
          <w:p w14:paraId="43702683"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0.754</w:t>
            </w:r>
            <w:r w:rsidR="00482EEC">
              <w:rPr>
                <w:rFonts w:ascii="Book Antiqua" w:eastAsia="Times New Roman" w:hAnsi="Book Antiqua" w:cs="Times New Roman"/>
                <w:lang w:eastAsia="zh-CN"/>
              </w:rPr>
              <w:t xml:space="preserve"> (</w:t>
            </w:r>
            <w:r w:rsidRPr="001A1E7F">
              <w:rPr>
                <w:rFonts w:ascii="Book Antiqua" w:eastAsia="Times New Roman" w:hAnsi="Book Antiqua" w:cs="Times New Roman"/>
                <w:lang w:eastAsia="zh-CN"/>
              </w:rPr>
              <w:t>0.168-3.383)</w:t>
            </w:r>
          </w:p>
        </w:tc>
        <w:tc>
          <w:tcPr>
            <w:tcW w:w="1246" w:type="dxa"/>
            <w:tcBorders>
              <w:top w:val="nil"/>
              <w:left w:val="nil"/>
              <w:bottom w:val="nil"/>
              <w:right w:val="nil"/>
            </w:tcBorders>
            <w:shd w:val="clear" w:color="auto" w:fill="auto"/>
            <w:noWrap/>
            <w:hideMark/>
          </w:tcPr>
          <w:p w14:paraId="408236EC"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0.705</w:t>
            </w:r>
          </w:p>
        </w:tc>
      </w:tr>
      <w:tr w:rsidR="00482EEC" w:rsidRPr="001A1E7F" w14:paraId="21E084E3" w14:textId="77777777" w:rsidTr="00482EEC">
        <w:trPr>
          <w:trHeight w:val="288"/>
        </w:trPr>
        <w:tc>
          <w:tcPr>
            <w:tcW w:w="2411" w:type="dxa"/>
            <w:tcBorders>
              <w:top w:val="nil"/>
              <w:left w:val="nil"/>
              <w:bottom w:val="nil"/>
              <w:right w:val="nil"/>
            </w:tcBorders>
            <w:shd w:val="clear" w:color="auto" w:fill="auto"/>
            <w:noWrap/>
            <w:hideMark/>
          </w:tcPr>
          <w:p w14:paraId="35783F40" w14:textId="77777777" w:rsidR="001A1E7F" w:rsidRPr="001A1E7F" w:rsidRDefault="001A1E7F" w:rsidP="00482EEC">
            <w:pPr>
              <w:spacing w:line="360" w:lineRule="auto"/>
              <w:rPr>
                <w:rFonts w:ascii="Book Antiqua" w:eastAsia="Times New Roman" w:hAnsi="Book Antiqua" w:cs="Times New Roman"/>
                <w:lang w:eastAsia="zh-CN"/>
              </w:rPr>
            </w:pPr>
            <w:r w:rsidRPr="001A1E7F">
              <w:rPr>
                <w:rFonts w:ascii="Book Antiqua" w:eastAsia="Times New Roman" w:hAnsi="Book Antiqua" w:cs="Times New Roman"/>
                <w:lang w:eastAsia="zh-CN"/>
              </w:rPr>
              <w:t>Renal failure requiring Dialysis</w:t>
            </w:r>
          </w:p>
        </w:tc>
        <w:tc>
          <w:tcPr>
            <w:tcW w:w="928" w:type="dxa"/>
            <w:tcBorders>
              <w:top w:val="nil"/>
              <w:left w:val="nil"/>
              <w:bottom w:val="nil"/>
              <w:right w:val="nil"/>
            </w:tcBorders>
            <w:shd w:val="clear" w:color="auto" w:fill="auto"/>
            <w:noWrap/>
            <w:hideMark/>
          </w:tcPr>
          <w:p w14:paraId="611F38AA"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3</w:t>
            </w:r>
          </w:p>
        </w:tc>
        <w:tc>
          <w:tcPr>
            <w:tcW w:w="1121" w:type="dxa"/>
            <w:tcBorders>
              <w:top w:val="nil"/>
              <w:left w:val="nil"/>
              <w:bottom w:val="nil"/>
              <w:right w:val="nil"/>
            </w:tcBorders>
            <w:shd w:val="clear" w:color="auto" w:fill="auto"/>
            <w:noWrap/>
            <w:hideMark/>
          </w:tcPr>
          <w:p w14:paraId="05CDB75D"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725</w:t>
            </w:r>
          </w:p>
        </w:tc>
        <w:tc>
          <w:tcPr>
            <w:tcW w:w="712" w:type="dxa"/>
            <w:tcBorders>
              <w:top w:val="nil"/>
              <w:left w:val="nil"/>
              <w:bottom w:val="nil"/>
              <w:right w:val="nil"/>
            </w:tcBorders>
            <w:shd w:val="clear" w:color="auto" w:fill="auto"/>
            <w:noWrap/>
            <w:hideMark/>
          </w:tcPr>
          <w:p w14:paraId="400029F3"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0.4</w:t>
            </w:r>
          </w:p>
        </w:tc>
        <w:tc>
          <w:tcPr>
            <w:tcW w:w="818" w:type="dxa"/>
            <w:tcBorders>
              <w:top w:val="nil"/>
              <w:left w:val="nil"/>
              <w:bottom w:val="nil"/>
              <w:right w:val="nil"/>
            </w:tcBorders>
            <w:shd w:val="clear" w:color="auto" w:fill="auto"/>
            <w:noWrap/>
            <w:hideMark/>
          </w:tcPr>
          <w:p w14:paraId="61562DD6"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2</w:t>
            </w:r>
          </w:p>
        </w:tc>
        <w:tc>
          <w:tcPr>
            <w:tcW w:w="977" w:type="dxa"/>
            <w:tcBorders>
              <w:top w:val="nil"/>
              <w:left w:val="nil"/>
              <w:bottom w:val="nil"/>
              <w:right w:val="nil"/>
            </w:tcBorders>
            <w:shd w:val="clear" w:color="auto" w:fill="auto"/>
            <w:noWrap/>
            <w:hideMark/>
          </w:tcPr>
          <w:p w14:paraId="42294D6C"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725</w:t>
            </w:r>
          </w:p>
        </w:tc>
        <w:tc>
          <w:tcPr>
            <w:tcW w:w="712" w:type="dxa"/>
            <w:tcBorders>
              <w:top w:val="nil"/>
              <w:left w:val="nil"/>
              <w:bottom w:val="nil"/>
              <w:right w:val="nil"/>
            </w:tcBorders>
            <w:shd w:val="clear" w:color="auto" w:fill="auto"/>
            <w:noWrap/>
            <w:hideMark/>
          </w:tcPr>
          <w:p w14:paraId="458C0A8A"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0.3</w:t>
            </w:r>
          </w:p>
        </w:tc>
        <w:tc>
          <w:tcPr>
            <w:tcW w:w="2245" w:type="dxa"/>
            <w:tcBorders>
              <w:top w:val="nil"/>
              <w:left w:val="nil"/>
              <w:bottom w:val="nil"/>
              <w:right w:val="nil"/>
            </w:tcBorders>
            <w:shd w:val="clear" w:color="auto" w:fill="auto"/>
            <w:noWrap/>
            <w:hideMark/>
          </w:tcPr>
          <w:p w14:paraId="287D35F6"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1.5</w:t>
            </w:r>
            <w:r w:rsidR="00482EEC">
              <w:rPr>
                <w:rFonts w:ascii="Book Antiqua" w:eastAsia="Times New Roman" w:hAnsi="Book Antiqua" w:cs="Times New Roman"/>
                <w:lang w:eastAsia="zh-CN"/>
              </w:rPr>
              <w:t xml:space="preserve"> (</w:t>
            </w:r>
            <w:r w:rsidRPr="001A1E7F">
              <w:rPr>
                <w:rFonts w:ascii="Book Antiqua" w:eastAsia="Times New Roman" w:hAnsi="Book Antiqua" w:cs="Times New Roman"/>
                <w:lang w:eastAsia="zh-CN"/>
              </w:rPr>
              <w:t>0.249-9.034)</w:t>
            </w:r>
          </w:p>
        </w:tc>
        <w:tc>
          <w:tcPr>
            <w:tcW w:w="1246" w:type="dxa"/>
            <w:tcBorders>
              <w:top w:val="nil"/>
              <w:left w:val="nil"/>
              <w:bottom w:val="nil"/>
              <w:right w:val="nil"/>
            </w:tcBorders>
            <w:shd w:val="clear" w:color="auto" w:fill="auto"/>
            <w:noWrap/>
            <w:hideMark/>
          </w:tcPr>
          <w:p w14:paraId="668BF26F"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0.654</w:t>
            </w:r>
          </w:p>
        </w:tc>
      </w:tr>
      <w:tr w:rsidR="00482EEC" w:rsidRPr="001A1E7F" w14:paraId="1660705E" w14:textId="77777777" w:rsidTr="00482EEC">
        <w:trPr>
          <w:trHeight w:val="288"/>
        </w:trPr>
        <w:tc>
          <w:tcPr>
            <w:tcW w:w="2411" w:type="dxa"/>
            <w:tcBorders>
              <w:top w:val="nil"/>
              <w:left w:val="nil"/>
              <w:bottom w:val="nil"/>
              <w:right w:val="nil"/>
            </w:tcBorders>
            <w:shd w:val="clear" w:color="auto" w:fill="auto"/>
            <w:noWrap/>
            <w:hideMark/>
          </w:tcPr>
          <w:p w14:paraId="3D56B5E8" w14:textId="77777777" w:rsidR="001A1E7F" w:rsidRPr="001A1E7F" w:rsidRDefault="001A1E7F" w:rsidP="00482EEC">
            <w:pPr>
              <w:spacing w:line="360" w:lineRule="auto"/>
              <w:rPr>
                <w:rFonts w:ascii="Book Antiqua" w:eastAsia="Times New Roman" w:hAnsi="Book Antiqua" w:cs="Times New Roman"/>
                <w:lang w:eastAsia="zh-CN"/>
              </w:rPr>
            </w:pPr>
            <w:r w:rsidRPr="001A1E7F">
              <w:rPr>
                <w:rFonts w:ascii="Book Antiqua" w:eastAsia="Times New Roman" w:hAnsi="Book Antiqua" w:cs="Times New Roman"/>
                <w:lang w:eastAsia="zh-CN"/>
              </w:rPr>
              <w:t>CVA</w:t>
            </w:r>
          </w:p>
        </w:tc>
        <w:tc>
          <w:tcPr>
            <w:tcW w:w="928" w:type="dxa"/>
            <w:tcBorders>
              <w:top w:val="nil"/>
              <w:left w:val="nil"/>
              <w:bottom w:val="nil"/>
              <w:right w:val="nil"/>
            </w:tcBorders>
            <w:shd w:val="clear" w:color="auto" w:fill="auto"/>
            <w:noWrap/>
            <w:hideMark/>
          </w:tcPr>
          <w:p w14:paraId="428D5D06"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4</w:t>
            </w:r>
          </w:p>
        </w:tc>
        <w:tc>
          <w:tcPr>
            <w:tcW w:w="1121" w:type="dxa"/>
            <w:tcBorders>
              <w:top w:val="nil"/>
              <w:left w:val="nil"/>
              <w:bottom w:val="nil"/>
              <w:right w:val="nil"/>
            </w:tcBorders>
            <w:shd w:val="clear" w:color="auto" w:fill="auto"/>
            <w:noWrap/>
            <w:hideMark/>
          </w:tcPr>
          <w:p w14:paraId="44367D8E"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725</w:t>
            </w:r>
          </w:p>
        </w:tc>
        <w:tc>
          <w:tcPr>
            <w:tcW w:w="712" w:type="dxa"/>
            <w:tcBorders>
              <w:top w:val="nil"/>
              <w:left w:val="nil"/>
              <w:bottom w:val="nil"/>
              <w:right w:val="nil"/>
            </w:tcBorders>
            <w:shd w:val="clear" w:color="auto" w:fill="auto"/>
            <w:noWrap/>
            <w:hideMark/>
          </w:tcPr>
          <w:p w14:paraId="797B8A46"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0.6</w:t>
            </w:r>
          </w:p>
        </w:tc>
        <w:tc>
          <w:tcPr>
            <w:tcW w:w="818" w:type="dxa"/>
            <w:tcBorders>
              <w:top w:val="nil"/>
              <w:left w:val="nil"/>
              <w:bottom w:val="nil"/>
              <w:right w:val="nil"/>
            </w:tcBorders>
            <w:shd w:val="clear" w:color="auto" w:fill="auto"/>
            <w:noWrap/>
            <w:hideMark/>
          </w:tcPr>
          <w:p w14:paraId="13748988"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5</w:t>
            </w:r>
          </w:p>
        </w:tc>
        <w:tc>
          <w:tcPr>
            <w:tcW w:w="977" w:type="dxa"/>
            <w:tcBorders>
              <w:top w:val="nil"/>
              <w:left w:val="nil"/>
              <w:bottom w:val="nil"/>
              <w:right w:val="nil"/>
            </w:tcBorders>
            <w:shd w:val="clear" w:color="auto" w:fill="auto"/>
            <w:noWrap/>
            <w:hideMark/>
          </w:tcPr>
          <w:p w14:paraId="78CCE1AC"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725</w:t>
            </w:r>
          </w:p>
        </w:tc>
        <w:tc>
          <w:tcPr>
            <w:tcW w:w="712" w:type="dxa"/>
            <w:tcBorders>
              <w:top w:val="nil"/>
              <w:left w:val="nil"/>
              <w:bottom w:val="nil"/>
              <w:right w:val="nil"/>
            </w:tcBorders>
            <w:shd w:val="clear" w:color="auto" w:fill="auto"/>
            <w:noWrap/>
            <w:hideMark/>
          </w:tcPr>
          <w:p w14:paraId="66FA7752"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0.7</w:t>
            </w:r>
          </w:p>
        </w:tc>
        <w:tc>
          <w:tcPr>
            <w:tcW w:w="2245" w:type="dxa"/>
            <w:tcBorders>
              <w:top w:val="nil"/>
              <w:left w:val="nil"/>
              <w:bottom w:val="nil"/>
              <w:right w:val="nil"/>
            </w:tcBorders>
            <w:shd w:val="clear" w:color="auto" w:fill="auto"/>
            <w:noWrap/>
            <w:hideMark/>
          </w:tcPr>
          <w:p w14:paraId="31C07E19"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0.798</w:t>
            </w:r>
            <w:r w:rsidR="00482EEC">
              <w:rPr>
                <w:rFonts w:ascii="Book Antiqua" w:eastAsia="Times New Roman" w:hAnsi="Book Antiqua" w:cs="Times New Roman"/>
                <w:lang w:eastAsia="zh-CN"/>
              </w:rPr>
              <w:t xml:space="preserve"> (</w:t>
            </w:r>
            <w:r w:rsidRPr="001A1E7F">
              <w:rPr>
                <w:rFonts w:ascii="Book Antiqua" w:eastAsia="Times New Roman" w:hAnsi="Book Antiqua" w:cs="Times New Roman"/>
                <w:lang w:eastAsia="zh-CN"/>
              </w:rPr>
              <w:t>0.213-2.994)</w:t>
            </w:r>
          </w:p>
        </w:tc>
        <w:tc>
          <w:tcPr>
            <w:tcW w:w="1246" w:type="dxa"/>
            <w:tcBorders>
              <w:top w:val="nil"/>
              <w:left w:val="nil"/>
              <w:bottom w:val="nil"/>
              <w:right w:val="nil"/>
            </w:tcBorders>
            <w:shd w:val="clear" w:color="auto" w:fill="auto"/>
            <w:noWrap/>
            <w:hideMark/>
          </w:tcPr>
          <w:p w14:paraId="40B261D8"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0.738</w:t>
            </w:r>
          </w:p>
        </w:tc>
      </w:tr>
      <w:tr w:rsidR="00482EEC" w:rsidRPr="001A1E7F" w14:paraId="1E3872D6" w14:textId="77777777" w:rsidTr="00482EEC">
        <w:trPr>
          <w:trHeight w:val="288"/>
        </w:trPr>
        <w:tc>
          <w:tcPr>
            <w:tcW w:w="2411" w:type="dxa"/>
            <w:tcBorders>
              <w:top w:val="nil"/>
              <w:left w:val="nil"/>
              <w:bottom w:val="nil"/>
              <w:right w:val="nil"/>
            </w:tcBorders>
            <w:shd w:val="clear" w:color="auto" w:fill="auto"/>
            <w:noWrap/>
            <w:hideMark/>
          </w:tcPr>
          <w:p w14:paraId="0CC371E9" w14:textId="77777777" w:rsidR="001A1E7F" w:rsidRPr="001A1E7F" w:rsidRDefault="001A1E7F" w:rsidP="00482EEC">
            <w:pPr>
              <w:spacing w:line="360" w:lineRule="auto"/>
              <w:rPr>
                <w:rFonts w:ascii="Book Antiqua" w:eastAsia="Times New Roman" w:hAnsi="Book Antiqua" w:cs="Times New Roman"/>
                <w:lang w:eastAsia="zh-CN"/>
              </w:rPr>
            </w:pPr>
            <w:r w:rsidRPr="001A1E7F">
              <w:rPr>
                <w:rFonts w:ascii="Book Antiqua" w:eastAsia="Times New Roman" w:hAnsi="Book Antiqua" w:cs="Times New Roman"/>
                <w:lang w:eastAsia="zh-CN"/>
              </w:rPr>
              <w:t>Cardiac arrest with CPR</w:t>
            </w:r>
          </w:p>
        </w:tc>
        <w:tc>
          <w:tcPr>
            <w:tcW w:w="928" w:type="dxa"/>
            <w:tcBorders>
              <w:top w:val="nil"/>
              <w:left w:val="nil"/>
              <w:bottom w:val="nil"/>
              <w:right w:val="nil"/>
            </w:tcBorders>
            <w:shd w:val="clear" w:color="auto" w:fill="auto"/>
            <w:noWrap/>
            <w:hideMark/>
          </w:tcPr>
          <w:p w14:paraId="40F5AE1E"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2</w:t>
            </w:r>
          </w:p>
        </w:tc>
        <w:tc>
          <w:tcPr>
            <w:tcW w:w="1121" w:type="dxa"/>
            <w:tcBorders>
              <w:top w:val="nil"/>
              <w:left w:val="nil"/>
              <w:bottom w:val="nil"/>
              <w:right w:val="nil"/>
            </w:tcBorders>
            <w:shd w:val="clear" w:color="auto" w:fill="auto"/>
            <w:noWrap/>
            <w:hideMark/>
          </w:tcPr>
          <w:p w14:paraId="2C2590C3"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725</w:t>
            </w:r>
          </w:p>
        </w:tc>
        <w:tc>
          <w:tcPr>
            <w:tcW w:w="712" w:type="dxa"/>
            <w:tcBorders>
              <w:top w:val="nil"/>
              <w:left w:val="nil"/>
              <w:bottom w:val="nil"/>
              <w:right w:val="nil"/>
            </w:tcBorders>
            <w:shd w:val="clear" w:color="auto" w:fill="auto"/>
            <w:noWrap/>
            <w:hideMark/>
          </w:tcPr>
          <w:p w14:paraId="382F56D7"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0.3</w:t>
            </w:r>
          </w:p>
        </w:tc>
        <w:tc>
          <w:tcPr>
            <w:tcW w:w="818" w:type="dxa"/>
            <w:tcBorders>
              <w:top w:val="nil"/>
              <w:left w:val="nil"/>
              <w:bottom w:val="nil"/>
              <w:right w:val="nil"/>
            </w:tcBorders>
            <w:shd w:val="clear" w:color="auto" w:fill="auto"/>
            <w:noWrap/>
            <w:hideMark/>
          </w:tcPr>
          <w:p w14:paraId="0B235352"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16</w:t>
            </w:r>
          </w:p>
        </w:tc>
        <w:tc>
          <w:tcPr>
            <w:tcW w:w="977" w:type="dxa"/>
            <w:tcBorders>
              <w:top w:val="nil"/>
              <w:left w:val="nil"/>
              <w:bottom w:val="nil"/>
              <w:right w:val="nil"/>
            </w:tcBorders>
            <w:shd w:val="clear" w:color="auto" w:fill="auto"/>
            <w:noWrap/>
            <w:hideMark/>
          </w:tcPr>
          <w:p w14:paraId="654022C4"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725</w:t>
            </w:r>
          </w:p>
        </w:tc>
        <w:tc>
          <w:tcPr>
            <w:tcW w:w="712" w:type="dxa"/>
            <w:tcBorders>
              <w:top w:val="nil"/>
              <w:left w:val="nil"/>
              <w:bottom w:val="nil"/>
              <w:right w:val="nil"/>
            </w:tcBorders>
            <w:shd w:val="clear" w:color="auto" w:fill="auto"/>
            <w:noWrap/>
            <w:hideMark/>
          </w:tcPr>
          <w:p w14:paraId="688298F6"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2.2</w:t>
            </w:r>
          </w:p>
        </w:tc>
        <w:tc>
          <w:tcPr>
            <w:tcW w:w="2245" w:type="dxa"/>
            <w:tcBorders>
              <w:top w:val="nil"/>
              <w:left w:val="nil"/>
              <w:bottom w:val="nil"/>
              <w:right w:val="nil"/>
            </w:tcBorders>
            <w:shd w:val="clear" w:color="auto" w:fill="auto"/>
            <w:noWrap/>
            <w:hideMark/>
          </w:tcPr>
          <w:p w14:paraId="7532F473"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0.115</w:t>
            </w:r>
            <w:r w:rsidR="00482EEC">
              <w:rPr>
                <w:rFonts w:ascii="Book Antiqua" w:eastAsia="Times New Roman" w:hAnsi="Book Antiqua" w:cs="Times New Roman"/>
                <w:lang w:eastAsia="zh-CN"/>
              </w:rPr>
              <w:t xml:space="preserve"> (</w:t>
            </w:r>
            <w:r w:rsidRPr="001A1E7F">
              <w:rPr>
                <w:rFonts w:ascii="Book Antiqua" w:eastAsia="Times New Roman" w:hAnsi="Book Antiqua" w:cs="Times New Roman"/>
                <w:lang w:eastAsia="zh-CN"/>
              </w:rPr>
              <w:t>0.025-0.523)</w:t>
            </w:r>
          </w:p>
        </w:tc>
        <w:tc>
          <w:tcPr>
            <w:tcW w:w="1246" w:type="dxa"/>
            <w:tcBorders>
              <w:top w:val="nil"/>
              <w:left w:val="nil"/>
              <w:bottom w:val="nil"/>
              <w:right w:val="nil"/>
            </w:tcBorders>
            <w:shd w:val="clear" w:color="auto" w:fill="auto"/>
            <w:noWrap/>
            <w:hideMark/>
          </w:tcPr>
          <w:p w14:paraId="3ED8CCE0"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0.001</w:t>
            </w:r>
          </w:p>
        </w:tc>
      </w:tr>
      <w:tr w:rsidR="00482EEC" w:rsidRPr="001A1E7F" w14:paraId="285510A6" w14:textId="77777777" w:rsidTr="00482EEC">
        <w:trPr>
          <w:trHeight w:val="288"/>
        </w:trPr>
        <w:tc>
          <w:tcPr>
            <w:tcW w:w="2411" w:type="dxa"/>
            <w:tcBorders>
              <w:top w:val="nil"/>
              <w:left w:val="nil"/>
              <w:bottom w:val="nil"/>
              <w:right w:val="nil"/>
            </w:tcBorders>
            <w:shd w:val="clear" w:color="auto" w:fill="auto"/>
            <w:noWrap/>
            <w:hideMark/>
          </w:tcPr>
          <w:p w14:paraId="769A3DD3" w14:textId="77777777" w:rsidR="001A1E7F" w:rsidRPr="001A1E7F" w:rsidRDefault="001A1E7F" w:rsidP="00482EEC">
            <w:pPr>
              <w:spacing w:line="360" w:lineRule="auto"/>
              <w:rPr>
                <w:rFonts w:ascii="Book Antiqua" w:eastAsia="Times New Roman" w:hAnsi="Book Antiqua" w:cs="Times New Roman"/>
                <w:lang w:eastAsia="zh-CN"/>
              </w:rPr>
            </w:pPr>
            <w:r w:rsidRPr="001A1E7F">
              <w:rPr>
                <w:rFonts w:ascii="Book Antiqua" w:eastAsia="Times New Roman" w:hAnsi="Book Antiqua" w:cs="Times New Roman"/>
                <w:lang w:eastAsia="zh-CN"/>
              </w:rPr>
              <w:t>Acute MI</w:t>
            </w:r>
          </w:p>
        </w:tc>
        <w:tc>
          <w:tcPr>
            <w:tcW w:w="928" w:type="dxa"/>
            <w:tcBorders>
              <w:top w:val="nil"/>
              <w:left w:val="nil"/>
              <w:bottom w:val="nil"/>
              <w:right w:val="nil"/>
            </w:tcBorders>
            <w:shd w:val="clear" w:color="auto" w:fill="auto"/>
            <w:noWrap/>
            <w:hideMark/>
          </w:tcPr>
          <w:p w14:paraId="1642CFCD"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16</w:t>
            </w:r>
          </w:p>
        </w:tc>
        <w:tc>
          <w:tcPr>
            <w:tcW w:w="1121" w:type="dxa"/>
            <w:tcBorders>
              <w:top w:val="nil"/>
              <w:left w:val="nil"/>
              <w:bottom w:val="nil"/>
              <w:right w:val="nil"/>
            </w:tcBorders>
            <w:shd w:val="clear" w:color="auto" w:fill="auto"/>
            <w:noWrap/>
            <w:hideMark/>
          </w:tcPr>
          <w:p w14:paraId="1C2AA099"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725</w:t>
            </w:r>
          </w:p>
        </w:tc>
        <w:tc>
          <w:tcPr>
            <w:tcW w:w="712" w:type="dxa"/>
            <w:tcBorders>
              <w:top w:val="nil"/>
              <w:left w:val="nil"/>
              <w:bottom w:val="nil"/>
              <w:right w:val="nil"/>
            </w:tcBorders>
            <w:shd w:val="clear" w:color="auto" w:fill="auto"/>
            <w:noWrap/>
            <w:hideMark/>
          </w:tcPr>
          <w:p w14:paraId="2A5FDF1B"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2.2</w:t>
            </w:r>
          </w:p>
        </w:tc>
        <w:tc>
          <w:tcPr>
            <w:tcW w:w="818" w:type="dxa"/>
            <w:tcBorders>
              <w:top w:val="nil"/>
              <w:left w:val="nil"/>
              <w:bottom w:val="nil"/>
              <w:right w:val="nil"/>
            </w:tcBorders>
            <w:shd w:val="clear" w:color="auto" w:fill="auto"/>
            <w:noWrap/>
            <w:hideMark/>
          </w:tcPr>
          <w:p w14:paraId="3AFEDA43"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13</w:t>
            </w:r>
          </w:p>
        </w:tc>
        <w:tc>
          <w:tcPr>
            <w:tcW w:w="977" w:type="dxa"/>
            <w:tcBorders>
              <w:top w:val="nil"/>
              <w:left w:val="nil"/>
              <w:bottom w:val="nil"/>
              <w:right w:val="nil"/>
            </w:tcBorders>
            <w:shd w:val="clear" w:color="auto" w:fill="auto"/>
            <w:noWrap/>
            <w:hideMark/>
          </w:tcPr>
          <w:p w14:paraId="5E0812CE"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725</w:t>
            </w:r>
          </w:p>
        </w:tc>
        <w:tc>
          <w:tcPr>
            <w:tcW w:w="712" w:type="dxa"/>
            <w:tcBorders>
              <w:top w:val="nil"/>
              <w:left w:val="nil"/>
              <w:bottom w:val="nil"/>
              <w:right w:val="nil"/>
            </w:tcBorders>
            <w:shd w:val="clear" w:color="auto" w:fill="auto"/>
            <w:noWrap/>
            <w:hideMark/>
          </w:tcPr>
          <w:p w14:paraId="76C65A33"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1.8</w:t>
            </w:r>
          </w:p>
        </w:tc>
        <w:tc>
          <w:tcPr>
            <w:tcW w:w="2245" w:type="dxa"/>
            <w:tcBorders>
              <w:top w:val="nil"/>
              <w:left w:val="nil"/>
              <w:bottom w:val="nil"/>
              <w:right w:val="nil"/>
            </w:tcBorders>
            <w:shd w:val="clear" w:color="auto" w:fill="auto"/>
            <w:noWrap/>
            <w:hideMark/>
          </w:tcPr>
          <w:p w14:paraId="327F4FEA"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1.245</w:t>
            </w:r>
            <w:r w:rsidR="00482EEC">
              <w:rPr>
                <w:rFonts w:ascii="Book Antiqua" w:eastAsia="Times New Roman" w:hAnsi="Book Antiqua" w:cs="Times New Roman"/>
                <w:lang w:eastAsia="zh-CN"/>
              </w:rPr>
              <w:t xml:space="preserve"> (</w:t>
            </w:r>
            <w:r w:rsidRPr="001A1E7F">
              <w:rPr>
                <w:rFonts w:ascii="Book Antiqua" w:eastAsia="Times New Roman" w:hAnsi="Book Antiqua" w:cs="Times New Roman"/>
                <w:lang w:eastAsia="zh-CN"/>
              </w:rPr>
              <w:t>0.594-2.608)</w:t>
            </w:r>
          </w:p>
        </w:tc>
        <w:tc>
          <w:tcPr>
            <w:tcW w:w="1246" w:type="dxa"/>
            <w:tcBorders>
              <w:top w:val="nil"/>
              <w:left w:val="nil"/>
              <w:bottom w:val="nil"/>
              <w:right w:val="nil"/>
            </w:tcBorders>
            <w:shd w:val="clear" w:color="auto" w:fill="auto"/>
            <w:noWrap/>
            <w:hideMark/>
          </w:tcPr>
          <w:p w14:paraId="5929815F"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0.574</w:t>
            </w:r>
          </w:p>
        </w:tc>
      </w:tr>
      <w:tr w:rsidR="00482EEC" w:rsidRPr="001A1E7F" w14:paraId="3BB78A83" w14:textId="77777777" w:rsidTr="00482EEC">
        <w:trPr>
          <w:trHeight w:val="288"/>
        </w:trPr>
        <w:tc>
          <w:tcPr>
            <w:tcW w:w="2411" w:type="dxa"/>
            <w:tcBorders>
              <w:top w:val="nil"/>
              <w:left w:val="nil"/>
              <w:bottom w:val="nil"/>
              <w:right w:val="nil"/>
            </w:tcBorders>
            <w:shd w:val="clear" w:color="auto" w:fill="auto"/>
            <w:noWrap/>
            <w:hideMark/>
          </w:tcPr>
          <w:p w14:paraId="626C82CD" w14:textId="77777777" w:rsidR="001A1E7F" w:rsidRPr="001A1E7F" w:rsidRDefault="001A1E7F" w:rsidP="00482EEC">
            <w:pPr>
              <w:spacing w:line="360" w:lineRule="auto"/>
              <w:rPr>
                <w:rFonts w:ascii="Book Antiqua" w:eastAsia="Times New Roman" w:hAnsi="Book Antiqua" w:cs="Times New Roman"/>
                <w:lang w:eastAsia="zh-CN"/>
              </w:rPr>
            </w:pPr>
            <w:r w:rsidRPr="001A1E7F">
              <w:rPr>
                <w:rFonts w:ascii="Book Antiqua" w:eastAsia="Times New Roman" w:hAnsi="Book Antiqua" w:cs="Times New Roman"/>
                <w:lang w:eastAsia="zh-CN"/>
              </w:rPr>
              <w:t>Transfusion</w:t>
            </w:r>
          </w:p>
        </w:tc>
        <w:tc>
          <w:tcPr>
            <w:tcW w:w="928" w:type="dxa"/>
            <w:tcBorders>
              <w:top w:val="nil"/>
              <w:left w:val="nil"/>
              <w:bottom w:val="nil"/>
              <w:right w:val="nil"/>
            </w:tcBorders>
            <w:shd w:val="clear" w:color="auto" w:fill="auto"/>
            <w:noWrap/>
            <w:hideMark/>
          </w:tcPr>
          <w:p w14:paraId="77E2CBC9"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169</w:t>
            </w:r>
          </w:p>
        </w:tc>
        <w:tc>
          <w:tcPr>
            <w:tcW w:w="1121" w:type="dxa"/>
            <w:tcBorders>
              <w:top w:val="nil"/>
              <w:left w:val="nil"/>
              <w:bottom w:val="nil"/>
              <w:right w:val="nil"/>
            </w:tcBorders>
            <w:shd w:val="clear" w:color="auto" w:fill="auto"/>
            <w:noWrap/>
            <w:hideMark/>
          </w:tcPr>
          <w:p w14:paraId="52B0CBA4"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725</w:t>
            </w:r>
          </w:p>
        </w:tc>
        <w:tc>
          <w:tcPr>
            <w:tcW w:w="712" w:type="dxa"/>
            <w:tcBorders>
              <w:top w:val="nil"/>
              <w:left w:val="nil"/>
              <w:bottom w:val="nil"/>
              <w:right w:val="nil"/>
            </w:tcBorders>
            <w:shd w:val="clear" w:color="auto" w:fill="auto"/>
            <w:noWrap/>
            <w:hideMark/>
          </w:tcPr>
          <w:p w14:paraId="63812286"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23.3</w:t>
            </w:r>
          </w:p>
        </w:tc>
        <w:tc>
          <w:tcPr>
            <w:tcW w:w="818" w:type="dxa"/>
            <w:tcBorders>
              <w:top w:val="nil"/>
              <w:left w:val="nil"/>
              <w:bottom w:val="nil"/>
              <w:right w:val="nil"/>
            </w:tcBorders>
            <w:shd w:val="clear" w:color="auto" w:fill="auto"/>
            <w:noWrap/>
            <w:hideMark/>
          </w:tcPr>
          <w:p w14:paraId="6C16679D"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139</w:t>
            </w:r>
          </w:p>
        </w:tc>
        <w:tc>
          <w:tcPr>
            <w:tcW w:w="977" w:type="dxa"/>
            <w:tcBorders>
              <w:top w:val="nil"/>
              <w:left w:val="nil"/>
              <w:bottom w:val="nil"/>
              <w:right w:val="nil"/>
            </w:tcBorders>
            <w:shd w:val="clear" w:color="auto" w:fill="auto"/>
            <w:noWrap/>
            <w:hideMark/>
          </w:tcPr>
          <w:p w14:paraId="3291D252"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725</w:t>
            </w:r>
          </w:p>
        </w:tc>
        <w:tc>
          <w:tcPr>
            <w:tcW w:w="712" w:type="dxa"/>
            <w:tcBorders>
              <w:top w:val="nil"/>
              <w:left w:val="nil"/>
              <w:bottom w:val="nil"/>
              <w:right w:val="nil"/>
            </w:tcBorders>
            <w:shd w:val="clear" w:color="auto" w:fill="auto"/>
            <w:noWrap/>
            <w:hideMark/>
          </w:tcPr>
          <w:p w14:paraId="1F3E5701"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19.2</w:t>
            </w:r>
          </w:p>
        </w:tc>
        <w:tc>
          <w:tcPr>
            <w:tcW w:w="2245" w:type="dxa"/>
            <w:tcBorders>
              <w:top w:val="nil"/>
              <w:left w:val="nil"/>
              <w:bottom w:val="nil"/>
              <w:right w:val="nil"/>
            </w:tcBorders>
            <w:shd w:val="clear" w:color="auto" w:fill="auto"/>
            <w:noWrap/>
            <w:hideMark/>
          </w:tcPr>
          <w:p w14:paraId="359C7238"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1.243</w:t>
            </w:r>
            <w:r w:rsidR="00482EEC">
              <w:rPr>
                <w:rFonts w:ascii="Book Antiqua" w:eastAsia="Times New Roman" w:hAnsi="Book Antiqua" w:cs="Times New Roman"/>
                <w:lang w:eastAsia="zh-CN"/>
              </w:rPr>
              <w:t xml:space="preserve"> (</w:t>
            </w:r>
            <w:r w:rsidRPr="001A1E7F">
              <w:rPr>
                <w:rFonts w:ascii="Book Antiqua" w:eastAsia="Times New Roman" w:hAnsi="Book Antiqua" w:cs="Times New Roman"/>
                <w:lang w:eastAsia="zh-CN"/>
              </w:rPr>
              <w:t>0.964-1.603)</w:t>
            </w:r>
          </w:p>
        </w:tc>
        <w:tc>
          <w:tcPr>
            <w:tcW w:w="1246" w:type="dxa"/>
            <w:tcBorders>
              <w:top w:val="nil"/>
              <w:left w:val="nil"/>
              <w:bottom w:val="nil"/>
              <w:right w:val="nil"/>
            </w:tcBorders>
            <w:shd w:val="clear" w:color="auto" w:fill="auto"/>
            <w:noWrap/>
            <w:hideMark/>
          </w:tcPr>
          <w:p w14:paraId="4DD6924E"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0.054</w:t>
            </w:r>
          </w:p>
        </w:tc>
      </w:tr>
      <w:tr w:rsidR="00482EEC" w:rsidRPr="001A1E7F" w14:paraId="6855DF3D" w14:textId="77777777" w:rsidTr="00482EEC">
        <w:trPr>
          <w:trHeight w:val="288"/>
        </w:trPr>
        <w:tc>
          <w:tcPr>
            <w:tcW w:w="2411" w:type="dxa"/>
            <w:tcBorders>
              <w:top w:val="nil"/>
              <w:left w:val="nil"/>
              <w:bottom w:val="nil"/>
              <w:right w:val="nil"/>
            </w:tcBorders>
            <w:shd w:val="clear" w:color="auto" w:fill="auto"/>
            <w:noWrap/>
            <w:hideMark/>
          </w:tcPr>
          <w:p w14:paraId="0B4984B5" w14:textId="77777777" w:rsidR="001A1E7F" w:rsidRPr="001A1E7F" w:rsidRDefault="001A1E7F" w:rsidP="00482EEC">
            <w:pPr>
              <w:spacing w:line="360" w:lineRule="auto"/>
              <w:rPr>
                <w:rFonts w:ascii="Book Antiqua" w:eastAsia="Times New Roman" w:hAnsi="Book Antiqua" w:cs="Times New Roman"/>
                <w:lang w:eastAsia="zh-CN"/>
              </w:rPr>
            </w:pPr>
            <w:r w:rsidRPr="001A1E7F">
              <w:rPr>
                <w:rFonts w:ascii="Book Antiqua" w:eastAsia="Times New Roman" w:hAnsi="Book Antiqua" w:cs="Times New Roman"/>
                <w:lang w:eastAsia="zh-CN"/>
              </w:rPr>
              <w:t>Venous Thromboembolism</w:t>
            </w:r>
          </w:p>
        </w:tc>
        <w:tc>
          <w:tcPr>
            <w:tcW w:w="928" w:type="dxa"/>
            <w:tcBorders>
              <w:top w:val="nil"/>
              <w:left w:val="nil"/>
              <w:bottom w:val="nil"/>
              <w:right w:val="nil"/>
            </w:tcBorders>
            <w:shd w:val="clear" w:color="auto" w:fill="auto"/>
            <w:noWrap/>
            <w:hideMark/>
          </w:tcPr>
          <w:p w14:paraId="1E74C150"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9</w:t>
            </w:r>
          </w:p>
        </w:tc>
        <w:tc>
          <w:tcPr>
            <w:tcW w:w="1121" w:type="dxa"/>
            <w:tcBorders>
              <w:top w:val="nil"/>
              <w:left w:val="nil"/>
              <w:bottom w:val="nil"/>
              <w:right w:val="nil"/>
            </w:tcBorders>
            <w:shd w:val="clear" w:color="auto" w:fill="auto"/>
            <w:noWrap/>
            <w:hideMark/>
          </w:tcPr>
          <w:p w14:paraId="0028DE54"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725</w:t>
            </w:r>
          </w:p>
        </w:tc>
        <w:tc>
          <w:tcPr>
            <w:tcW w:w="712" w:type="dxa"/>
            <w:tcBorders>
              <w:top w:val="nil"/>
              <w:left w:val="nil"/>
              <w:bottom w:val="nil"/>
              <w:right w:val="nil"/>
            </w:tcBorders>
            <w:shd w:val="clear" w:color="auto" w:fill="auto"/>
            <w:noWrap/>
            <w:hideMark/>
          </w:tcPr>
          <w:p w14:paraId="3AE5DBD6"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1.2</w:t>
            </w:r>
          </w:p>
        </w:tc>
        <w:tc>
          <w:tcPr>
            <w:tcW w:w="818" w:type="dxa"/>
            <w:tcBorders>
              <w:top w:val="nil"/>
              <w:left w:val="nil"/>
              <w:bottom w:val="nil"/>
              <w:right w:val="nil"/>
            </w:tcBorders>
            <w:shd w:val="clear" w:color="auto" w:fill="auto"/>
            <w:noWrap/>
            <w:hideMark/>
          </w:tcPr>
          <w:p w14:paraId="1F2F77BD"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14</w:t>
            </w:r>
          </w:p>
        </w:tc>
        <w:tc>
          <w:tcPr>
            <w:tcW w:w="977" w:type="dxa"/>
            <w:tcBorders>
              <w:top w:val="nil"/>
              <w:left w:val="nil"/>
              <w:bottom w:val="nil"/>
              <w:right w:val="nil"/>
            </w:tcBorders>
            <w:shd w:val="clear" w:color="auto" w:fill="auto"/>
            <w:noWrap/>
            <w:hideMark/>
          </w:tcPr>
          <w:p w14:paraId="7B114B19"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725</w:t>
            </w:r>
          </w:p>
        </w:tc>
        <w:tc>
          <w:tcPr>
            <w:tcW w:w="712" w:type="dxa"/>
            <w:tcBorders>
              <w:top w:val="nil"/>
              <w:left w:val="nil"/>
              <w:bottom w:val="nil"/>
              <w:right w:val="nil"/>
            </w:tcBorders>
            <w:shd w:val="clear" w:color="auto" w:fill="auto"/>
            <w:noWrap/>
            <w:hideMark/>
          </w:tcPr>
          <w:p w14:paraId="617AFC2F"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1.9</w:t>
            </w:r>
          </w:p>
        </w:tc>
        <w:tc>
          <w:tcPr>
            <w:tcW w:w="2245" w:type="dxa"/>
            <w:tcBorders>
              <w:top w:val="nil"/>
              <w:left w:val="nil"/>
              <w:bottom w:val="nil"/>
              <w:right w:val="nil"/>
            </w:tcBorders>
            <w:shd w:val="clear" w:color="auto" w:fill="auto"/>
            <w:noWrap/>
            <w:hideMark/>
          </w:tcPr>
          <w:p w14:paraId="46298BE3"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0.621</w:t>
            </w:r>
            <w:r w:rsidR="00482EEC">
              <w:rPr>
                <w:rFonts w:ascii="Book Antiqua" w:eastAsia="Times New Roman" w:hAnsi="Book Antiqua" w:cs="Times New Roman"/>
                <w:lang w:eastAsia="zh-CN"/>
              </w:rPr>
              <w:t xml:space="preserve"> (</w:t>
            </w:r>
            <w:r w:rsidRPr="001A1E7F">
              <w:rPr>
                <w:rFonts w:ascii="Book Antiqua" w:eastAsia="Times New Roman" w:hAnsi="Book Antiqua" w:cs="Times New Roman"/>
                <w:lang w:eastAsia="zh-CN"/>
              </w:rPr>
              <w:t>0.265-1.457)</w:t>
            </w:r>
          </w:p>
        </w:tc>
        <w:tc>
          <w:tcPr>
            <w:tcW w:w="1246" w:type="dxa"/>
            <w:tcBorders>
              <w:top w:val="nil"/>
              <w:left w:val="nil"/>
              <w:bottom w:val="nil"/>
              <w:right w:val="nil"/>
            </w:tcBorders>
            <w:shd w:val="clear" w:color="auto" w:fill="auto"/>
            <w:noWrap/>
            <w:hideMark/>
          </w:tcPr>
          <w:p w14:paraId="42E8641F"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0.293</w:t>
            </w:r>
          </w:p>
        </w:tc>
      </w:tr>
      <w:tr w:rsidR="00482EEC" w:rsidRPr="001A1E7F" w14:paraId="5B26E17F" w14:textId="77777777" w:rsidTr="00482EEC">
        <w:trPr>
          <w:trHeight w:val="288"/>
        </w:trPr>
        <w:tc>
          <w:tcPr>
            <w:tcW w:w="2411" w:type="dxa"/>
            <w:tcBorders>
              <w:top w:val="nil"/>
              <w:left w:val="nil"/>
              <w:bottom w:val="nil"/>
              <w:right w:val="nil"/>
            </w:tcBorders>
            <w:shd w:val="clear" w:color="auto" w:fill="auto"/>
            <w:noWrap/>
            <w:hideMark/>
          </w:tcPr>
          <w:p w14:paraId="4162092B" w14:textId="77777777" w:rsidR="001A1E7F" w:rsidRPr="001A1E7F" w:rsidRDefault="001A1E7F" w:rsidP="00482EEC">
            <w:pPr>
              <w:spacing w:line="360" w:lineRule="auto"/>
              <w:rPr>
                <w:rFonts w:ascii="Book Antiqua" w:eastAsia="Times New Roman" w:hAnsi="Book Antiqua" w:cs="Times New Roman"/>
                <w:lang w:eastAsia="zh-CN"/>
              </w:rPr>
            </w:pPr>
            <w:r w:rsidRPr="001A1E7F">
              <w:rPr>
                <w:rFonts w:ascii="Book Antiqua" w:eastAsia="Times New Roman" w:hAnsi="Book Antiqua" w:cs="Times New Roman"/>
                <w:lang w:eastAsia="zh-CN"/>
              </w:rPr>
              <w:t>UTI</w:t>
            </w:r>
          </w:p>
        </w:tc>
        <w:tc>
          <w:tcPr>
            <w:tcW w:w="928" w:type="dxa"/>
            <w:tcBorders>
              <w:top w:val="nil"/>
              <w:left w:val="nil"/>
              <w:bottom w:val="nil"/>
              <w:right w:val="nil"/>
            </w:tcBorders>
            <w:shd w:val="clear" w:color="auto" w:fill="auto"/>
            <w:noWrap/>
            <w:hideMark/>
          </w:tcPr>
          <w:p w14:paraId="69068093"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45</w:t>
            </w:r>
          </w:p>
        </w:tc>
        <w:tc>
          <w:tcPr>
            <w:tcW w:w="1121" w:type="dxa"/>
            <w:tcBorders>
              <w:top w:val="nil"/>
              <w:left w:val="nil"/>
              <w:bottom w:val="nil"/>
              <w:right w:val="nil"/>
            </w:tcBorders>
            <w:shd w:val="clear" w:color="auto" w:fill="auto"/>
            <w:noWrap/>
            <w:hideMark/>
          </w:tcPr>
          <w:p w14:paraId="397F6BF5"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725</w:t>
            </w:r>
          </w:p>
        </w:tc>
        <w:tc>
          <w:tcPr>
            <w:tcW w:w="712" w:type="dxa"/>
            <w:tcBorders>
              <w:top w:val="nil"/>
              <w:left w:val="nil"/>
              <w:bottom w:val="nil"/>
              <w:right w:val="nil"/>
            </w:tcBorders>
            <w:shd w:val="clear" w:color="auto" w:fill="auto"/>
            <w:noWrap/>
            <w:hideMark/>
          </w:tcPr>
          <w:p w14:paraId="685D66B3"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6.2</w:t>
            </w:r>
          </w:p>
        </w:tc>
        <w:tc>
          <w:tcPr>
            <w:tcW w:w="818" w:type="dxa"/>
            <w:tcBorders>
              <w:top w:val="nil"/>
              <w:left w:val="nil"/>
              <w:bottom w:val="nil"/>
              <w:right w:val="nil"/>
            </w:tcBorders>
            <w:shd w:val="clear" w:color="auto" w:fill="auto"/>
            <w:noWrap/>
            <w:hideMark/>
          </w:tcPr>
          <w:p w14:paraId="6239D2EB"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41</w:t>
            </w:r>
          </w:p>
        </w:tc>
        <w:tc>
          <w:tcPr>
            <w:tcW w:w="977" w:type="dxa"/>
            <w:tcBorders>
              <w:top w:val="nil"/>
              <w:left w:val="nil"/>
              <w:bottom w:val="nil"/>
              <w:right w:val="nil"/>
            </w:tcBorders>
            <w:shd w:val="clear" w:color="auto" w:fill="auto"/>
            <w:noWrap/>
            <w:hideMark/>
          </w:tcPr>
          <w:p w14:paraId="5F5D5ECE"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725</w:t>
            </w:r>
          </w:p>
        </w:tc>
        <w:tc>
          <w:tcPr>
            <w:tcW w:w="712" w:type="dxa"/>
            <w:tcBorders>
              <w:top w:val="nil"/>
              <w:left w:val="nil"/>
              <w:bottom w:val="nil"/>
              <w:right w:val="nil"/>
            </w:tcBorders>
            <w:shd w:val="clear" w:color="auto" w:fill="auto"/>
            <w:noWrap/>
            <w:hideMark/>
          </w:tcPr>
          <w:p w14:paraId="1C0AF215"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5.7</w:t>
            </w:r>
          </w:p>
        </w:tc>
        <w:tc>
          <w:tcPr>
            <w:tcW w:w="2245" w:type="dxa"/>
            <w:tcBorders>
              <w:top w:val="nil"/>
              <w:left w:val="nil"/>
              <w:bottom w:val="nil"/>
              <w:right w:val="nil"/>
            </w:tcBorders>
            <w:shd w:val="clear" w:color="auto" w:fill="auto"/>
            <w:noWrap/>
            <w:hideMark/>
          </w:tcPr>
          <w:p w14:paraId="6AF5E306"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1.061</w:t>
            </w:r>
            <w:r w:rsidR="00482EEC">
              <w:rPr>
                <w:rFonts w:ascii="Book Antiqua" w:eastAsia="Times New Roman" w:hAnsi="Book Antiqua" w:cs="Times New Roman"/>
                <w:lang w:eastAsia="zh-CN"/>
              </w:rPr>
              <w:t xml:space="preserve"> (</w:t>
            </w:r>
            <w:r w:rsidRPr="001A1E7F">
              <w:rPr>
                <w:rFonts w:ascii="Book Antiqua" w:eastAsia="Times New Roman" w:hAnsi="Book Antiqua" w:cs="Times New Roman"/>
                <w:lang w:eastAsia="zh-CN"/>
              </w:rPr>
              <w:t>0.683-1.649)</w:t>
            </w:r>
          </w:p>
        </w:tc>
        <w:tc>
          <w:tcPr>
            <w:tcW w:w="1246" w:type="dxa"/>
            <w:tcBorders>
              <w:top w:val="nil"/>
              <w:left w:val="nil"/>
              <w:bottom w:val="nil"/>
              <w:right w:val="nil"/>
            </w:tcBorders>
            <w:shd w:val="clear" w:color="auto" w:fill="auto"/>
            <w:noWrap/>
            <w:hideMark/>
          </w:tcPr>
          <w:p w14:paraId="76133D62"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0.657</w:t>
            </w:r>
          </w:p>
        </w:tc>
      </w:tr>
      <w:tr w:rsidR="00482EEC" w:rsidRPr="001A1E7F" w14:paraId="56A05BD9" w14:textId="77777777" w:rsidTr="001D5054">
        <w:trPr>
          <w:trHeight w:val="477"/>
        </w:trPr>
        <w:tc>
          <w:tcPr>
            <w:tcW w:w="2411" w:type="dxa"/>
            <w:tcBorders>
              <w:top w:val="nil"/>
              <w:left w:val="nil"/>
              <w:bottom w:val="nil"/>
              <w:right w:val="nil"/>
            </w:tcBorders>
            <w:shd w:val="clear" w:color="auto" w:fill="auto"/>
            <w:noWrap/>
            <w:hideMark/>
          </w:tcPr>
          <w:p w14:paraId="7DA59994" w14:textId="77777777" w:rsidR="001A1E7F" w:rsidRPr="001A1E7F" w:rsidRDefault="001A1E7F" w:rsidP="00482EEC">
            <w:pPr>
              <w:spacing w:line="360" w:lineRule="auto"/>
              <w:rPr>
                <w:rFonts w:ascii="Book Antiqua" w:eastAsia="Times New Roman" w:hAnsi="Book Antiqua" w:cs="Times New Roman"/>
                <w:lang w:eastAsia="zh-CN"/>
              </w:rPr>
            </w:pPr>
            <w:r w:rsidRPr="001A1E7F">
              <w:rPr>
                <w:rFonts w:ascii="Book Antiqua" w:eastAsia="Times New Roman" w:hAnsi="Book Antiqua" w:cs="Times New Roman"/>
                <w:lang w:eastAsia="zh-CN"/>
              </w:rPr>
              <w:t>Sepsis</w:t>
            </w:r>
          </w:p>
        </w:tc>
        <w:tc>
          <w:tcPr>
            <w:tcW w:w="928" w:type="dxa"/>
            <w:tcBorders>
              <w:top w:val="nil"/>
              <w:left w:val="nil"/>
              <w:bottom w:val="nil"/>
              <w:right w:val="nil"/>
            </w:tcBorders>
            <w:shd w:val="clear" w:color="auto" w:fill="auto"/>
            <w:noWrap/>
            <w:hideMark/>
          </w:tcPr>
          <w:p w14:paraId="5501B7CD"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14</w:t>
            </w:r>
          </w:p>
        </w:tc>
        <w:tc>
          <w:tcPr>
            <w:tcW w:w="1121" w:type="dxa"/>
            <w:tcBorders>
              <w:top w:val="nil"/>
              <w:left w:val="nil"/>
              <w:bottom w:val="nil"/>
              <w:right w:val="nil"/>
            </w:tcBorders>
            <w:shd w:val="clear" w:color="auto" w:fill="auto"/>
            <w:noWrap/>
            <w:hideMark/>
          </w:tcPr>
          <w:p w14:paraId="3DF5292F"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725</w:t>
            </w:r>
          </w:p>
        </w:tc>
        <w:tc>
          <w:tcPr>
            <w:tcW w:w="712" w:type="dxa"/>
            <w:tcBorders>
              <w:top w:val="nil"/>
              <w:left w:val="nil"/>
              <w:bottom w:val="nil"/>
              <w:right w:val="nil"/>
            </w:tcBorders>
            <w:shd w:val="clear" w:color="auto" w:fill="auto"/>
            <w:noWrap/>
            <w:hideMark/>
          </w:tcPr>
          <w:p w14:paraId="0139D7A1"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1.9</w:t>
            </w:r>
          </w:p>
        </w:tc>
        <w:tc>
          <w:tcPr>
            <w:tcW w:w="818" w:type="dxa"/>
            <w:tcBorders>
              <w:top w:val="nil"/>
              <w:left w:val="nil"/>
              <w:bottom w:val="nil"/>
              <w:right w:val="nil"/>
            </w:tcBorders>
            <w:shd w:val="clear" w:color="auto" w:fill="auto"/>
            <w:noWrap/>
            <w:hideMark/>
          </w:tcPr>
          <w:p w14:paraId="2311F004"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23</w:t>
            </w:r>
          </w:p>
        </w:tc>
        <w:tc>
          <w:tcPr>
            <w:tcW w:w="977" w:type="dxa"/>
            <w:tcBorders>
              <w:top w:val="nil"/>
              <w:left w:val="nil"/>
              <w:bottom w:val="nil"/>
              <w:right w:val="nil"/>
            </w:tcBorders>
            <w:shd w:val="clear" w:color="auto" w:fill="auto"/>
            <w:noWrap/>
            <w:hideMark/>
          </w:tcPr>
          <w:p w14:paraId="02318999"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725</w:t>
            </w:r>
          </w:p>
        </w:tc>
        <w:tc>
          <w:tcPr>
            <w:tcW w:w="712" w:type="dxa"/>
            <w:tcBorders>
              <w:top w:val="nil"/>
              <w:left w:val="nil"/>
              <w:bottom w:val="nil"/>
              <w:right w:val="nil"/>
            </w:tcBorders>
            <w:shd w:val="clear" w:color="auto" w:fill="auto"/>
            <w:noWrap/>
            <w:hideMark/>
          </w:tcPr>
          <w:p w14:paraId="41785DC7"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3.2</w:t>
            </w:r>
          </w:p>
        </w:tc>
        <w:tc>
          <w:tcPr>
            <w:tcW w:w="2245" w:type="dxa"/>
            <w:tcBorders>
              <w:top w:val="nil"/>
              <w:left w:val="nil"/>
              <w:bottom w:val="nil"/>
              <w:right w:val="nil"/>
            </w:tcBorders>
            <w:shd w:val="clear" w:color="auto" w:fill="auto"/>
            <w:noWrap/>
            <w:hideMark/>
          </w:tcPr>
          <w:p w14:paraId="41B27D6A"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0.595</w:t>
            </w:r>
            <w:r w:rsidR="00482EEC">
              <w:rPr>
                <w:rFonts w:ascii="Book Antiqua" w:eastAsia="Times New Roman" w:hAnsi="Book Antiqua" w:cs="Times New Roman"/>
                <w:lang w:eastAsia="zh-CN"/>
              </w:rPr>
              <w:t xml:space="preserve"> (</w:t>
            </w:r>
            <w:r w:rsidRPr="001A1E7F">
              <w:rPr>
                <w:rFonts w:ascii="Book Antiqua" w:eastAsia="Times New Roman" w:hAnsi="Book Antiqua" w:cs="Times New Roman"/>
                <w:lang w:eastAsia="zh-CN"/>
              </w:rPr>
              <w:t>0.303-1.17)</w:t>
            </w:r>
          </w:p>
        </w:tc>
        <w:tc>
          <w:tcPr>
            <w:tcW w:w="1246" w:type="dxa"/>
            <w:tcBorders>
              <w:top w:val="nil"/>
              <w:left w:val="nil"/>
              <w:bottom w:val="nil"/>
              <w:right w:val="nil"/>
            </w:tcBorders>
            <w:shd w:val="clear" w:color="auto" w:fill="auto"/>
            <w:noWrap/>
            <w:hideMark/>
          </w:tcPr>
          <w:p w14:paraId="778223B2" w14:textId="77777777" w:rsidR="001A1E7F" w:rsidRPr="001A1E7F" w:rsidRDefault="001A1E7F"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0.134</w:t>
            </w:r>
          </w:p>
        </w:tc>
      </w:tr>
      <w:tr w:rsidR="00482EEC" w:rsidRPr="001A1E7F" w14:paraId="3E91C73C" w14:textId="77777777" w:rsidTr="00482EEC">
        <w:trPr>
          <w:trHeight w:val="288"/>
        </w:trPr>
        <w:tc>
          <w:tcPr>
            <w:tcW w:w="2411" w:type="dxa"/>
            <w:vMerge w:val="restart"/>
            <w:tcBorders>
              <w:top w:val="nil"/>
              <w:left w:val="nil"/>
              <w:right w:val="nil"/>
            </w:tcBorders>
            <w:shd w:val="clear" w:color="auto" w:fill="auto"/>
            <w:noWrap/>
            <w:hideMark/>
          </w:tcPr>
          <w:p w14:paraId="60F07B28" w14:textId="77777777" w:rsidR="00482EEC" w:rsidRPr="001A1E7F" w:rsidRDefault="00482EEC" w:rsidP="00482EEC">
            <w:pPr>
              <w:spacing w:line="360" w:lineRule="auto"/>
              <w:rPr>
                <w:rFonts w:ascii="Book Antiqua" w:eastAsia="Times New Roman" w:hAnsi="Book Antiqua" w:cs="Times New Roman"/>
                <w:lang w:eastAsia="zh-CN"/>
              </w:rPr>
            </w:pPr>
            <w:bookmarkStart w:id="212" w:name="_GoBack"/>
            <w:r w:rsidRPr="001A1E7F">
              <w:rPr>
                <w:rFonts w:ascii="Book Antiqua" w:eastAsia="Times New Roman" w:hAnsi="Book Antiqua" w:cs="Times New Roman"/>
                <w:lang w:eastAsia="zh-CN"/>
              </w:rPr>
              <w:t>Number of complications</w:t>
            </w:r>
          </w:p>
        </w:tc>
        <w:tc>
          <w:tcPr>
            <w:tcW w:w="928" w:type="dxa"/>
            <w:tcBorders>
              <w:top w:val="nil"/>
              <w:left w:val="nil"/>
              <w:bottom w:val="nil"/>
              <w:right w:val="nil"/>
            </w:tcBorders>
            <w:shd w:val="clear" w:color="auto" w:fill="auto"/>
            <w:noWrap/>
            <w:hideMark/>
          </w:tcPr>
          <w:p w14:paraId="04B199E2" w14:textId="77777777" w:rsidR="00482EEC" w:rsidRPr="001A1E7F" w:rsidRDefault="00482EEC"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Mean</w:t>
            </w:r>
          </w:p>
        </w:tc>
        <w:tc>
          <w:tcPr>
            <w:tcW w:w="1121" w:type="dxa"/>
            <w:tcBorders>
              <w:top w:val="nil"/>
              <w:left w:val="nil"/>
              <w:bottom w:val="nil"/>
              <w:right w:val="nil"/>
            </w:tcBorders>
            <w:shd w:val="clear" w:color="auto" w:fill="auto"/>
            <w:noWrap/>
            <w:hideMark/>
          </w:tcPr>
          <w:p w14:paraId="2C69193E" w14:textId="77777777" w:rsidR="00482EEC" w:rsidRPr="001A1E7F" w:rsidRDefault="00482EEC" w:rsidP="00482EEC">
            <w:pPr>
              <w:spacing w:line="360" w:lineRule="auto"/>
              <w:jc w:val="center"/>
              <w:rPr>
                <w:rFonts w:ascii="Book Antiqua" w:eastAsia="Times New Roman" w:hAnsi="Book Antiqua" w:cs="Times New Roman"/>
                <w:lang w:eastAsia="zh-CN"/>
              </w:rPr>
            </w:pPr>
          </w:p>
        </w:tc>
        <w:tc>
          <w:tcPr>
            <w:tcW w:w="712" w:type="dxa"/>
            <w:tcBorders>
              <w:top w:val="nil"/>
              <w:left w:val="nil"/>
              <w:bottom w:val="nil"/>
              <w:right w:val="nil"/>
            </w:tcBorders>
            <w:shd w:val="clear" w:color="auto" w:fill="auto"/>
            <w:noWrap/>
            <w:hideMark/>
          </w:tcPr>
          <w:p w14:paraId="56FA2475" w14:textId="77777777" w:rsidR="00482EEC" w:rsidRPr="001A1E7F" w:rsidRDefault="00482EEC"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SD</w:t>
            </w:r>
          </w:p>
        </w:tc>
        <w:tc>
          <w:tcPr>
            <w:tcW w:w="818" w:type="dxa"/>
            <w:tcBorders>
              <w:top w:val="nil"/>
              <w:left w:val="nil"/>
              <w:bottom w:val="nil"/>
              <w:right w:val="nil"/>
            </w:tcBorders>
            <w:shd w:val="clear" w:color="auto" w:fill="auto"/>
            <w:noWrap/>
            <w:hideMark/>
          </w:tcPr>
          <w:p w14:paraId="55557A8A" w14:textId="77777777" w:rsidR="00482EEC" w:rsidRPr="001A1E7F" w:rsidRDefault="00482EEC"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Mean</w:t>
            </w:r>
          </w:p>
        </w:tc>
        <w:tc>
          <w:tcPr>
            <w:tcW w:w="977" w:type="dxa"/>
            <w:tcBorders>
              <w:top w:val="nil"/>
              <w:left w:val="nil"/>
              <w:bottom w:val="nil"/>
              <w:right w:val="nil"/>
            </w:tcBorders>
            <w:shd w:val="clear" w:color="auto" w:fill="auto"/>
            <w:noWrap/>
            <w:hideMark/>
          </w:tcPr>
          <w:p w14:paraId="4B4AD866" w14:textId="77777777" w:rsidR="00482EEC" w:rsidRPr="001A1E7F" w:rsidRDefault="00482EEC" w:rsidP="00482EEC">
            <w:pPr>
              <w:spacing w:line="360" w:lineRule="auto"/>
              <w:jc w:val="center"/>
              <w:rPr>
                <w:rFonts w:ascii="Book Antiqua" w:eastAsia="Times New Roman" w:hAnsi="Book Antiqua" w:cs="Times New Roman"/>
                <w:lang w:eastAsia="zh-CN"/>
              </w:rPr>
            </w:pPr>
          </w:p>
        </w:tc>
        <w:tc>
          <w:tcPr>
            <w:tcW w:w="712" w:type="dxa"/>
            <w:tcBorders>
              <w:top w:val="nil"/>
              <w:left w:val="nil"/>
              <w:bottom w:val="nil"/>
              <w:right w:val="nil"/>
            </w:tcBorders>
            <w:shd w:val="clear" w:color="auto" w:fill="auto"/>
            <w:noWrap/>
            <w:hideMark/>
          </w:tcPr>
          <w:p w14:paraId="115C99D9" w14:textId="77777777" w:rsidR="00482EEC" w:rsidRPr="001A1E7F" w:rsidRDefault="00482EEC"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SD</w:t>
            </w:r>
          </w:p>
        </w:tc>
        <w:tc>
          <w:tcPr>
            <w:tcW w:w="2245" w:type="dxa"/>
            <w:tcBorders>
              <w:top w:val="nil"/>
              <w:left w:val="nil"/>
              <w:bottom w:val="nil"/>
              <w:right w:val="nil"/>
            </w:tcBorders>
            <w:shd w:val="clear" w:color="auto" w:fill="auto"/>
            <w:noWrap/>
            <w:hideMark/>
          </w:tcPr>
          <w:p w14:paraId="2886D6AD" w14:textId="77777777" w:rsidR="00482EEC" w:rsidRPr="001A1E7F" w:rsidRDefault="00482EEC"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OR</w:t>
            </w:r>
            <w:r>
              <w:rPr>
                <w:rFonts w:ascii="Book Antiqua" w:eastAsia="Times New Roman" w:hAnsi="Book Antiqua" w:cs="Times New Roman"/>
                <w:lang w:eastAsia="zh-CN"/>
              </w:rPr>
              <w:t xml:space="preserve"> (</w:t>
            </w:r>
            <w:r w:rsidRPr="001A1E7F">
              <w:rPr>
                <w:rFonts w:ascii="Book Antiqua" w:eastAsia="Times New Roman" w:hAnsi="Book Antiqua" w:cs="Times New Roman"/>
                <w:lang w:eastAsia="zh-CN"/>
              </w:rPr>
              <w:t>95% CI)</w:t>
            </w:r>
          </w:p>
        </w:tc>
        <w:tc>
          <w:tcPr>
            <w:tcW w:w="1246" w:type="dxa"/>
            <w:tcBorders>
              <w:top w:val="nil"/>
              <w:left w:val="nil"/>
              <w:bottom w:val="nil"/>
              <w:right w:val="nil"/>
            </w:tcBorders>
            <w:shd w:val="clear" w:color="auto" w:fill="auto"/>
            <w:noWrap/>
            <w:hideMark/>
          </w:tcPr>
          <w:p w14:paraId="57E67134" w14:textId="77777777" w:rsidR="00482EEC" w:rsidRPr="001A1E7F" w:rsidRDefault="00482EEC" w:rsidP="00482EEC">
            <w:pPr>
              <w:spacing w:line="360" w:lineRule="auto"/>
              <w:jc w:val="center"/>
              <w:rPr>
                <w:rFonts w:ascii="Book Antiqua" w:eastAsia="Times New Roman" w:hAnsi="Book Antiqua" w:cs="Times New Roman"/>
                <w:lang w:eastAsia="zh-CN"/>
              </w:rPr>
            </w:pPr>
            <w:r w:rsidRPr="00482EEC">
              <w:rPr>
                <w:rFonts w:ascii="Book Antiqua" w:eastAsia="Times New Roman" w:hAnsi="Book Antiqua" w:cs="Times New Roman"/>
                <w:i/>
                <w:lang w:eastAsia="zh-CN"/>
              </w:rPr>
              <w:t>P</w:t>
            </w:r>
            <w:r w:rsidRPr="001A1E7F">
              <w:rPr>
                <w:rFonts w:ascii="Book Antiqua" w:eastAsia="Times New Roman" w:hAnsi="Book Antiqua" w:cs="Times New Roman"/>
                <w:lang w:eastAsia="zh-CN"/>
              </w:rPr>
              <w:t>-values</w:t>
            </w:r>
          </w:p>
        </w:tc>
      </w:tr>
      <w:bookmarkEnd w:id="212"/>
      <w:tr w:rsidR="00482EEC" w:rsidRPr="001A1E7F" w14:paraId="66F8E456" w14:textId="77777777" w:rsidTr="00482EEC">
        <w:trPr>
          <w:trHeight w:val="288"/>
        </w:trPr>
        <w:tc>
          <w:tcPr>
            <w:tcW w:w="2411" w:type="dxa"/>
            <w:vMerge/>
            <w:tcBorders>
              <w:left w:val="nil"/>
              <w:bottom w:val="nil"/>
              <w:right w:val="nil"/>
            </w:tcBorders>
            <w:shd w:val="clear" w:color="auto" w:fill="auto"/>
            <w:noWrap/>
            <w:hideMark/>
          </w:tcPr>
          <w:p w14:paraId="79951F7C" w14:textId="77777777" w:rsidR="00482EEC" w:rsidRPr="001A1E7F" w:rsidRDefault="00482EEC" w:rsidP="00482EEC">
            <w:pPr>
              <w:spacing w:line="360" w:lineRule="auto"/>
              <w:rPr>
                <w:rFonts w:ascii="Book Antiqua" w:eastAsia="Times New Roman" w:hAnsi="Book Antiqua" w:cs="Times New Roman"/>
                <w:lang w:eastAsia="zh-CN"/>
              </w:rPr>
            </w:pPr>
          </w:p>
        </w:tc>
        <w:tc>
          <w:tcPr>
            <w:tcW w:w="928" w:type="dxa"/>
            <w:tcBorders>
              <w:top w:val="nil"/>
              <w:left w:val="nil"/>
              <w:bottom w:val="nil"/>
              <w:right w:val="nil"/>
            </w:tcBorders>
            <w:shd w:val="clear" w:color="auto" w:fill="auto"/>
            <w:noWrap/>
            <w:hideMark/>
          </w:tcPr>
          <w:p w14:paraId="68E5DE51" w14:textId="77777777" w:rsidR="00482EEC" w:rsidRPr="001A1E7F" w:rsidRDefault="00482EEC"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0.53</w:t>
            </w:r>
          </w:p>
        </w:tc>
        <w:tc>
          <w:tcPr>
            <w:tcW w:w="1121" w:type="dxa"/>
            <w:tcBorders>
              <w:top w:val="nil"/>
              <w:left w:val="nil"/>
              <w:bottom w:val="nil"/>
              <w:right w:val="nil"/>
            </w:tcBorders>
            <w:shd w:val="clear" w:color="auto" w:fill="auto"/>
            <w:noWrap/>
            <w:hideMark/>
          </w:tcPr>
          <w:p w14:paraId="558EB672" w14:textId="77777777" w:rsidR="00482EEC" w:rsidRPr="001A1E7F" w:rsidRDefault="00482EEC" w:rsidP="00482EEC">
            <w:pPr>
              <w:spacing w:line="360" w:lineRule="auto"/>
              <w:jc w:val="center"/>
              <w:rPr>
                <w:rFonts w:ascii="Book Antiqua" w:eastAsia="Times New Roman" w:hAnsi="Book Antiqua" w:cs="Times New Roman"/>
                <w:lang w:eastAsia="zh-CN"/>
              </w:rPr>
            </w:pPr>
          </w:p>
        </w:tc>
        <w:tc>
          <w:tcPr>
            <w:tcW w:w="712" w:type="dxa"/>
            <w:tcBorders>
              <w:top w:val="nil"/>
              <w:left w:val="nil"/>
              <w:bottom w:val="nil"/>
              <w:right w:val="nil"/>
            </w:tcBorders>
            <w:shd w:val="clear" w:color="auto" w:fill="auto"/>
            <w:noWrap/>
            <w:hideMark/>
          </w:tcPr>
          <w:p w14:paraId="5EFA1844" w14:textId="77777777" w:rsidR="00482EEC" w:rsidRPr="001A1E7F" w:rsidRDefault="00482EEC"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0.65</w:t>
            </w:r>
          </w:p>
        </w:tc>
        <w:tc>
          <w:tcPr>
            <w:tcW w:w="818" w:type="dxa"/>
            <w:tcBorders>
              <w:top w:val="nil"/>
              <w:left w:val="nil"/>
              <w:bottom w:val="nil"/>
              <w:right w:val="nil"/>
            </w:tcBorders>
            <w:shd w:val="clear" w:color="auto" w:fill="auto"/>
            <w:noWrap/>
            <w:hideMark/>
          </w:tcPr>
          <w:p w14:paraId="3B81D546" w14:textId="77777777" w:rsidR="00482EEC" w:rsidRPr="001A1E7F" w:rsidRDefault="00482EEC"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0.43</w:t>
            </w:r>
          </w:p>
        </w:tc>
        <w:tc>
          <w:tcPr>
            <w:tcW w:w="977" w:type="dxa"/>
            <w:tcBorders>
              <w:top w:val="nil"/>
              <w:left w:val="nil"/>
              <w:bottom w:val="nil"/>
              <w:right w:val="nil"/>
            </w:tcBorders>
            <w:shd w:val="clear" w:color="auto" w:fill="auto"/>
            <w:noWrap/>
            <w:hideMark/>
          </w:tcPr>
          <w:p w14:paraId="7EDFBFD5" w14:textId="77777777" w:rsidR="00482EEC" w:rsidRPr="001A1E7F" w:rsidRDefault="00482EEC" w:rsidP="00482EEC">
            <w:pPr>
              <w:spacing w:line="360" w:lineRule="auto"/>
              <w:jc w:val="center"/>
              <w:rPr>
                <w:rFonts w:ascii="Book Antiqua" w:eastAsia="Times New Roman" w:hAnsi="Book Antiqua" w:cs="Times New Roman"/>
                <w:lang w:eastAsia="zh-CN"/>
              </w:rPr>
            </w:pPr>
          </w:p>
        </w:tc>
        <w:tc>
          <w:tcPr>
            <w:tcW w:w="712" w:type="dxa"/>
            <w:tcBorders>
              <w:top w:val="nil"/>
              <w:left w:val="nil"/>
              <w:bottom w:val="nil"/>
              <w:right w:val="nil"/>
            </w:tcBorders>
            <w:shd w:val="clear" w:color="auto" w:fill="auto"/>
            <w:noWrap/>
            <w:hideMark/>
          </w:tcPr>
          <w:p w14:paraId="68CF53AD" w14:textId="77777777" w:rsidR="00482EEC" w:rsidRPr="001A1E7F" w:rsidRDefault="00482EEC"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0.61</w:t>
            </w:r>
          </w:p>
        </w:tc>
        <w:tc>
          <w:tcPr>
            <w:tcW w:w="2245" w:type="dxa"/>
            <w:tcBorders>
              <w:top w:val="nil"/>
              <w:left w:val="nil"/>
              <w:bottom w:val="nil"/>
              <w:right w:val="nil"/>
            </w:tcBorders>
            <w:shd w:val="clear" w:color="auto" w:fill="auto"/>
            <w:noWrap/>
            <w:hideMark/>
          </w:tcPr>
          <w:p w14:paraId="74C9F314" w14:textId="77777777" w:rsidR="00482EEC" w:rsidRPr="001A1E7F" w:rsidRDefault="00482EEC"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1.213</w:t>
            </w:r>
            <w:r>
              <w:rPr>
                <w:rFonts w:ascii="Book Antiqua" w:eastAsia="Times New Roman" w:hAnsi="Book Antiqua" w:cs="Times New Roman"/>
                <w:lang w:eastAsia="zh-CN"/>
              </w:rPr>
              <w:t xml:space="preserve"> (</w:t>
            </w:r>
            <w:r w:rsidRPr="001A1E7F">
              <w:rPr>
                <w:rFonts w:ascii="Book Antiqua" w:eastAsia="Times New Roman" w:hAnsi="Book Antiqua" w:cs="Times New Roman"/>
                <w:lang w:eastAsia="zh-CN"/>
              </w:rPr>
              <w:t>1.043-1.409)</w:t>
            </w:r>
          </w:p>
        </w:tc>
        <w:tc>
          <w:tcPr>
            <w:tcW w:w="1246" w:type="dxa"/>
            <w:tcBorders>
              <w:top w:val="nil"/>
              <w:left w:val="nil"/>
              <w:bottom w:val="nil"/>
              <w:right w:val="nil"/>
            </w:tcBorders>
            <w:shd w:val="clear" w:color="auto" w:fill="auto"/>
            <w:noWrap/>
            <w:hideMark/>
          </w:tcPr>
          <w:p w14:paraId="027F414D" w14:textId="77777777" w:rsidR="00482EEC" w:rsidRPr="001A1E7F" w:rsidRDefault="00482EEC"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0.004</w:t>
            </w:r>
          </w:p>
        </w:tc>
      </w:tr>
      <w:tr w:rsidR="00482EEC" w:rsidRPr="001A1E7F" w14:paraId="6AB488CF" w14:textId="77777777" w:rsidTr="00482EEC">
        <w:trPr>
          <w:trHeight w:val="288"/>
        </w:trPr>
        <w:tc>
          <w:tcPr>
            <w:tcW w:w="2411" w:type="dxa"/>
            <w:vMerge w:val="restart"/>
            <w:tcBorders>
              <w:top w:val="nil"/>
              <w:left w:val="nil"/>
              <w:right w:val="nil"/>
            </w:tcBorders>
            <w:shd w:val="clear" w:color="auto" w:fill="auto"/>
            <w:noWrap/>
            <w:hideMark/>
          </w:tcPr>
          <w:p w14:paraId="755CAE61" w14:textId="77777777" w:rsidR="00482EEC" w:rsidRPr="001A1E7F" w:rsidRDefault="00482EEC" w:rsidP="00482EEC">
            <w:pPr>
              <w:spacing w:line="360" w:lineRule="auto"/>
              <w:rPr>
                <w:rFonts w:ascii="Book Antiqua" w:eastAsia="Times New Roman" w:hAnsi="Book Antiqua" w:cs="Times New Roman"/>
                <w:lang w:eastAsia="zh-CN"/>
              </w:rPr>
            </w:pPr>
            <w:r w:rsidRPr="001A1E7F">
              <w:rPr>
                <w:rFonts w:ascii="Book Antiqua" w:eastAsia="Times New Roman" w:hAnsi="Book Antiqua" w:cs="Times New Roman"/>
                <w:lang w:eastAsia="zh-CN"/>
              </w:rPr>
              <w:t>Length of stay</w:t>
            </w:r>
          </w:p>
        </w:tc>
        <w:tc>
          <w:tcPr>
            <w:tcW w:w="928" w:type="dxa"/>
            <w:tcBorders>
              <w:top w:val="nil"/>
              <w:left w:val="nil"/>
              <w:right w:val="nil"/>
            </w:tcBorders>
            <w:shd w:val="clear" w:color="auto" w:fill="auto"/>
            <w:noWrap/>
            <w:hideMark/>
          </w:tcPr>
          <w:p w14:paraId="7F9AA8BC" w14:textId="77777777" w:rsidR="00482EEC" w:rsidRPr="001A1E7F" w:rsidRDefault="00482EEC"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Mean</w:t>
            </w:r>
          </w:p>
        </w:tc>
        <w:tc>
          <w:tcPr>
            <w:tcW w:w="1121" w:type="dxa"/>
            <w:tcBorders>
              <w:top w:val="nil"/>
              <w:left w:val="nil"/>
              <w:right w:val="nil"/>
            </w:tcBorders>
            <w:shd w:val="clear" w:color="auto" w:fill="auto"/>
            <w:noWrap/>
            <w:hideMark/>
          </w:tcPr>
          <w:p w14:paraId="6B482AE8" w14:textId="77777777" w:rsidR="00482EEC" w:rsidRPr="001A1E7F" w:rsidRDefault="00482EEC" w:rsidP="00482EEC">
            <w:pPr>
              <w:spacing w:line="360" w:lineRule="auto"/>
              <w:jc w:val="center"/>
              <w:rPr>
                <w:rFonts w:ascii="Book Antiqua" w:eastAsia="Times New Roman" w:hAnsi="Book Antiqua" w:cs="Times New Roman"/>
                <w:lang w:eastAsia="zh-CN"/>
              </w:rPr>
            </w:pPr>
          </w:p>
        </w:tc>
        <w:tc>
          <w:tcPr>
            <w:tcW w:w="712" w:type="dxa"/>
            <w:tcBorders>
              <w:top w:val="nil"/>
              <w:left w:val="nil"/>
              <w:right w:val="nil"/>
            </w:tcBorders>
            <w:shd w:val="clear" w:color="auto" w:fill="auto"/>
            <w:noWrap/>
            <w:hideMark/>
          </w:tcPr>
          <w:p w14:paraId="4AA2F4CD" w14:textId="77777777" w:rsidR="00482EEC" w:rsidRPr="001A1E7F" w:rsidRDefault="00482EEC"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SD</w:t>
            </w:r>
          </w:p>
        </w:tc>
        <w:tc>
          <w:tcPr>
            <w:tcW w:w="818" w:type="dxa"/>
            <w:tcBorders>
              <w:top w:val="nil"/>
              <w:left w:val="nil"/>
              <w:right w:val="nil"/>
            </w:tcBorders>
            <w:shd w:val="clear" w:color="auto" w:fill="auto"/>
            <w:noWrap/>
            <w:hideMark/>
          </w:tcPr>
          <w:p w14:paraId="68963350" w14:textId="77777777" w:rsidR="00482EEC" w:rsidRPr="001A1E7F" w:rsidRDefault="00482EEC"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Mean</w:t>
            </w:r>
          </w:p>
        </w:tc>
        <w:tc>
          <w:tcPr>
            <w:tcW w:w="977" w:type="dxa"/>
            <w:tcBorders>
              <w:top w:val="nil"/>
              <w:left w:val="nil"/>
              <w:right w:val="nil"/>
            </w:tcBorders>
            <w:shd w:val="clear" w:color="auto" w:fill="auto"/>
            <w:noWrap/>
            <w:hideMark/>
          </w:tcPr>
          <w:p w14:paraId="653B71E8" w14:textId="77777777" w:rsidR="00482EEC" w:rsidRPr="001A1E7F" w:rsidRDefault="00482EEC" w:rsidP="00482EEC">
            <w:pPr>
              <w:spacing w:line="360" w:lineRule="auto"/>
              <w:jc w:val="center"/>
              <w:rPr>
                <w:rFonts w:ascii="Book Antiqua" w:eastAsia="Times New Roman" w:hAnsi="Book Antiqua" w:cs="Times New Roman"/>
                <w:lang w:eastAsia="zh-CN"/>
              </w:rPr>
            </w:pPr>
          </w:p>
        </w:tc>
        <w:tc>
          <w:tcPr>
            <w:tcW w:w="712" w:type="dxa"/>
            <w:tcBorders>
              <w:top w:val="nil"/>
              <w:left w:val="nil"/>
              <w:right w:val="nil"/>
            </w:tcBorders>
            <w:shd w:val="clear" w:color="auto" w:fill="auto"/>
            <w:noWrap/>
            <w:hideMark/>
          </w:tcPr>
          <w:p w14:paraId="348DB610" w14:textId="77777777" w:rsidR="00482EEC" w:rsidRPr="001A1E7F" w:rsidRDefault="00482EEC"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SD</w:t>
            </w:r>
          </w:p>
        </w:tc>
        <w:tc>
          <w:tcPr>
            <w:tcW w:w="2245" w:type="dxa"/>
            <w:tcBorders>
              <w:top w:val="nil"/>
              <w:left w:val="nil"/>
              <w:right w:val="nil"/>
            </w:tcBorders>
            <w:shd w:val="clear" w:color="auto" w:fill="auto"/>
            <w:noWrap/>
            <w:hideMark/>
          </w:tcPr>
          <w:p w14:paraId="3B8E430D" w14:textId="77777777" w:rsidR="00482EEC" w:rsidRPr="001A1E7F" w:rsidRDefault="00482EEC"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HR</w:t>
            </w:r>
            <w:r>
              <w:rPr>
                <w:rFonts w:ascii="Book Antiqua" w:eastAsia="Times New Roman" w:hAnsi="Book Antiqua" w:cs="Times New Roman"/>
                <w:lang w:eastAsia="zh-CN"/>
              </w:rPr>
              <w:t xml:space="preserve"> (</w:t>
            </w:r>
            <w:r w:rsidRPr="001A1E7F">
              <w:rPr>
                <w:rFonts w:ascii="Book Antiqua" w:eastAsia="Times New Roman" w:hAnsi="Book Antiqua" w:cs="Times New Roman"/>
                <w:lang w:eastAsia="zh-CN"/>
              </w:rPr>
              <w:t>95% CI)</w:t>
            </w:r>
          </w:p>
        </w:tc>
        <w:tc>
          <w:tcPr>
            <w:tcW w:w="1246" w:type="dxa"/>
            <w:tcBorders>
              <w:top w:val="nil"/>
              <w:left w:val="nil"/>
              <w:right w:val="nil"/>
            </w:tcBorders>
            <w:shd w:val="clear" w:color="auto" w:fill="auto"/>
            <w:noWrap/>
            <w:hideMark/>
          </w:tcPr>
          <w:p w14:paraId="5BAF2F40" w14:textId="77777777" w:rsidR="00482EEC" w:rsidRPr="001A1E7F" w:rsidRDefault="00482EEC" w:rsidP="00482EEC">
            <w:pPr>
              <w:spacing w:line="360" w:lineRule="auto"/>
              <w:jc w:val="center"/>
              <w:rPr>
                <w:rFonts w:ascii="Book Antiqua" w:eastAsia="Times New Roman" w:hAnsi="Book Antiqua" w:cs="Times New Roman"/>
                <w:lang w:eastAsia="zh-CN"/>
              </w:rPr>
            </w:pPr>
            <w:r w:rsidRPr="00482EEC">
              <w:rPr>
                <w:rFonts w:ascii="Book Antiqua" w:eastAsia="Times New Roman" w:hAnsi="Book Antiqua" w:cs="Times New Roman"/>
                <w:i/>
                <w:lang w:eastAsia="zh-CN"/>
              </w:rPr>
              <w:t>P</w:t>
            </w:r>
            <w:r w:rsidRPr="001A1E7F">
              <w:rPr>
                <w:rFonts w:ascii="Book Antiqua" w:eastAsia="Times New Roman" w:hAnsi="Book Antiqua" w:cs="Times New Roman"/>
                <w:lang w:eastAsia="zh-CN"/>
              </w:rPr>
              <w:t>-values</w:t>
            </w:r>
          </w:p>
        </w:tc>
      </w:tr>
      <w:tr w:rsidR="00482EEC" w:rsidRPr="001A1E7F" w14:paraId="001359D1" w14:textId="77777777" w:rsidTr="00482EEC">
        <w:trPr>
          <w:trHeight w:val="288"/>
        </w:trPr>
        <w:tc>
          <w:tcPr>
            <w:tcW w:w="2411" w:type="dxa"/>
            <w:vMerge/>
            <w:tcBorders>
              <w:left w:val="nil"/>
              <w:bottom w:val="single" w:sz="4" w:space="0" w:color="auto"/>
              <w:right w:val="nil"/>
            </w:tcBorders>
            <w:shd w:val="clear" w:color="auto" w:fill="auto"/>
            <w:noWrap/>
            <w:hideMark/>
          </w:tcPr>
          <w:p w14:paraId="2AF14FE2" w14:textId="77777777" w:rsidR="00482EEC" w:rsidRPr="001A1E7F" w:rsidRDefault="00482EEC" w:rsidP="00482EEC">
            <w:pPr>
              <w:spacing w:line="360" w:lineRule="auto"/>
              <w:rPr>
                <w:rFonts w:ascii="Book Antiqua" w:eastAsia="Times New Roman" w:hAnsi="Book Antiqua" w:cs="Times New Roman"/>
                <w:lang w:eastAsia="zh-CN"/>
              </w:rPr>
            </w:pPr>
          </w:p>
        </w:tc>
        <w:tc>
          <w:tcPr>
            <w:tcW w:w="928" w:type="dxa"/>
            <w:tcBorders>
              <w:top w:val="nil"/>
              <w:left w:val="nil"/>
              <w:bottom w:val="single" w:sz="4" w:space="0" w:color="auto"/>
              <w:right w:val="nil"/>
            </w:tcBorders>
            <w:shd w:val="clear" w:color="auto" w:fill="auto"/>
            <w:noWrap/>
            <w:hideMark/>
          </w:tcPr>
          <w:p w14:paraId="06924D0C" w14:textId="77777777" w:rsidR="00482EEC" w:rsidRPr="001A1E7F" w:rsidRDefault="00482EEC"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6.4</w:t>
            </w:r>
          </w:p>
        </w:tc>
        <w:tc>
          <w:tcPr>
            <w:tcW w:w="1121" w:type="dxa"/>
            <w:tcBorders>
              <w:top w:val="nil"/>
              <w:left w:val="nil"/>
              <w:bottom w:val="single" w:sz="4" w:space="0" w:color="auto"/>
              <w:right w:val="nil"/>
            </w:tcBorders>
            <w:shd w:val="clear" w:color="auto" w:fill="auto"/>
            <w:noWrap/>
            <w:hideMark/>
          </w:tcPr>
          <w:p w14:paraId="35A284D3" w14:textId="77777777" w:rsidR="00482EEC" w:rsidRPr="001A1E7F" w:rsidRDefault="00482EEC" w:rsidP="00482EEC">
            <w:pPr>
              <w:spacing w:line="360" w:lineRule="auto"/>
              <w:jc w:val="center"/>
              <w:rPr>
                <w:rFonts w:ascii="Book Antiqua" w:eastAsia="Times New Roman" w:hAnsi="Book Antiqua" w:cs="Times New Roman"/>
                <w:lang w:eastAsia="zh-CN"/>
              </w:rPr>
            </w:pPr>
          </w:p>
        </w:tc>
        <w:tc>
          <w:tcPr>
            <w:tcW w:w="712" w:type="dxa"/>
            <w:tcBorders>
              <w:top w:val="nil"/>
              <w:left w:val="nil"/>
              <w:bottom w:val="single" w:sz="4" w:space="0" w:color="auto"/>
              <w:right w:val="nil"/>
            </w:tcBorders>
            <w:shd w:val="clear" w:color="auto" w:fill="auto"/>
            <w:noWrap/>
            <w:hideMark/>
          </w:tcPr>
          <w:p w14:paraId="36CE66B9" w14:textId="77777777" w:rsidR="00482EEC" w:rsidRPr="001A1E7F" w:rsidRDefault="00482EEC"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5.0</w:t>
            </w:r>
          </w:p>
        </w:tc>
        <w:tc>
          <w:tcPr>
            <w:tcW w:w="818" w:type="dxa"/>
            <w:tcBorders>
              <w:top w:val="nil"/>
              <w:left w:val="nil"/>
              <w:bottom w:val="single" w:sz="4" w:space="0" w:color="auto"/>
              <w:right w:val="nil"/>
            </w:tcBorders>
            <w:shd w:val="clear" w:color="auto" w:fill="auto"/>
            <w:noWrap/>
            <w:hideMark/>
          </w:tcPr>
          <w:p w14:paraId="27479968" w14:textId="77777777" w:rsidR="00482EEC" w:rsidRPr="001A1E7F" w:rsidRDefault="00482EEC"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6.74</w:t>
            </w:r>
          </w:p>
        </w:tc>
        <w:tc>
          <w:tcPr>
            <w:tcW w:w="977" w:type="dxa"/>
            <w:tcBorders>
              <w:top w:val="nil"/>
              <w:left w:val="nil"/>
              <w:bottom w:val="single" w:sz="4" w:space="0" w:color="auto"/>
              <w:right w:val="nil"/>
            </w:tcBorders>
            <w:shd w:val="clear" w:color="auto" w:fill="auto"/>
            <w:noWrap/>
            <w:hideMark/>
          </w:tcPr>
          <w:p w14:paraId="00D4E83A" w14:textId="77777777" w:rsidR="00482EEC" w:rsidRPr="001A1E7F" w:rsidRDefault="00482EEC" w:rsidP="00482EEC">
            <w:pPr>
              <w:spacing w:line="360" w:lineRule="auto"/>
              <w:jc w:val="center"/>
              <w:rPr>
                <w:rFonts w:ascii="Book Antiqua" w:eastAsia="Times New Roman" w:hAnsi="Book Antiqua" w:cs="Times New Roman"/>
                <w:lang w:eastAsia="zh-CN"/>
              </w:rPr>
            </w:pPr>
          </w:p>
        </w:tc>
        <w:tc>
          <w:tcPr>
            <w:tcW w:w="712" w:type="dxa"/>
            <w:tcBorders>
              <w:top w:val="nil"/>
              <w:left w:val="nil"/>
              <w:bottom w:val="single" w:sz="4" w:space="0" w:color="auto"/>
              <w:right w:val="nil"/>
            </w:tcBorders>
            <w:shd w:val="clear" w:color="auto" w:fill="auto"/>
            <w:noWrap/>
            <w:hideMark/>
          </w:tcPr>
          <w:p w14:paraId="02DDAA74" w14:textId="77777777" w:rsidR="00482EEC" w:rsidRPr="001A1E7F" w:rsidRDefault="00482EEC"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5.3</w:t>
            </w:r>
          </w:p>
        </w:tc>
        <w:tc>
          <w:tcPr>
            <w:tcW w:w="2245" w:type="dxa"/>
            <w:tcBorders>
              <w:top w:val="nil"/>
              <w:left w:val="nil"/>
              <w:bottom w:val="single" w:sz="4" w:space="0" w:color="auto"/>
              <w:right w:val="nil"/>
            </w:tcBorders>
            <w:shd w:val="clear" w:color="auto" w:fill="auto"/>
            <w:noWrap/>
            <w:hideMark/>
          </w:tcPr>
          <w:p w14:paraId="0CE0CC28" w14:textId="77777777" w:rsidR="00482EEC" w:rsidRPr="001A1E7F" w:rsidRDefault="00482EEC"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2.133</w:t>
            </w:r>
            <w:r>
              <w:rPr>
                <w:rFonts w:ascii="Book Antiqua" w:eastAsia="Times New Roman" w:hAnsi="Book Antiqua" w:cs="Times New Roman"/>
                <w:lang w:eastAsia="zh-CN"/>
              </w:rPr>
              <w:t xml:space="preserve"> (</w:t>
            </w:r>
            <w:r w:rsidRPr="001A1E7F">
              <w:rPr>
                <w:rFonts w:ascii="Book Antiqua" w:eastAsia="Times New Roman" w:hAnsi="Book Antiqua" w:cs="Times New Roman"/>
                <w:lang w:eastAsia="zh-CN"/>
              </w:rPr>
              <w:t>0.469-0.871)</w:t>
            </w:r>
          </w:p>
        </w:tc>
        <w:tc>
          <w:tcPr>
            <w:tcW w:w="1246" w:type="dxa"/>
            <w:tcBorders>
              <w:top w:val="nil"/>
              <w:left w:val="nil"/>
              <w:bottom w:val="single" w:sz="4" w:space="0" w:color="auto"/>
              <w:right w:val="nil"/>
            </w:tcBorders>
            <w:shd w:val="clear" w:color="auto" w:fill="auto"/>
            <w:noWrap/>
            <w:hideMark/>
          </w:tcPr>
          <w:p w14:paraId="2704D95C" w14:textId="77777777" w:rsidR="00482EEC" w:rsidRPr="001A1E7F" w:rsidRDefault="00482EEC" w:rsidP="00482EEC">
            <w:pPr>
              <w:spacing w:line="360" w:lineRule="auto"/>
              <w:jc w:val="center"/>
              <w:rPr>
                <w:rFonts w:ascii="Book Antiqua" w:eastAsia="Times New Roman" w:hAnsi="Book Antiqua" w:cs="Times New Roman"/>
                <w:lang w:eastAsia="zh-CN"/>
              </w:rPr>
            </w:pPr>
            <w:r w:rsidRPr="001A1E7F">
              <w:rPr>
                <w:rFonts w:ascii="Book Antiqua" w:eastAsia="Times New Roman" w:hAnsi="Book Antiqua" w:cs="Times New Roman"/>
                <w:lang w:eastAsia="zh-CN"/>
              </w:rPr>
              <w:t>0.219</w:t>
            </w:r>
          </w:p>
        </w:tc>
      </w:tr>
    </w:tbl>
    <w:p w14:paraId="01695490" w14:textId="77777777" w:rsidR="00A1103D" w:rsidRPr="00A1103D" w:rsidRDefault="00A1103D" w:rsidP="00482EEC">
      <w:pPr>
        <w:spacing w:line="480" w:lineRule="auto"/>
        <w:rPr>
          <w:rFonts w:ascii="Book Antiqua" w:hAnsi="Book Antiqua" w:cs="Arial"/>
          <w:lang w:eastAsia="zh-CN"/>
        </w:rPr>
      </w:pPr>
    </w:p>
    <w:sectPr w:rsidR="00A1103D" w:rsidRPr="00A1103D" w:rsidSect="00482EEC">
      <w:footerReference w:type="even" r:id="rId15"/>
      <w:footerReference w:type="default" r:id="rId1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6A015B" w14:textId="77777777" w:rsidR="009A69D0" w:rsidRDefault="009A69D0" w:rsidP="00C703C6">
      <w:r>
        <w:separator/>
      </w:r>
    </w:p>
  </w:endnote>
  <w:endnote w:type="continuationSeparator" w:id="0">
    <w:p w14:paraId="755CF5B4" w14:textId="77777777" w:rsidR="009A69D0" w:rsidRDefault="009A69D0" w:rsidP="00C70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宋体">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panose1 w:val="02010600030101010101"/>
    <w:charset w:val="86"/>
    <w:family w:val="script"/>
    <w:pitch w:val="variable"/>
    <w:sig w:usb0="A00002BF" w:usb1="38CF7CFA" w:usb2="00000016" w:usb3="00000000" w:csb0="0004000F" w:csb1="00000000"/>
  </w:font>
  <w:font w:name="Helvetica">
    <w:panose1 w:val="00000000000000000000"/>
    <w:charset w:val="00"/>
    <w:family w:val="swiss"/>
    <w:pitch w:val="variable"/>
    <w:sig w:usb0="E00002FF" w:usb1="5000785B" w:usb2="00000000" w:usb3="00000000" w:csb0="0000019F" w:csb1="00000000"/>
  </w:font>
  <w:font w:name="Segoe UI">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95209" w14:textId="77777777" w:rsidR="00F572C8" w:rsidRDefault="00F572C8" w:rsidP="00E97CD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4CF7B7" w14:textId="77777777" w:rsidR="00F572C8" w:rsidRDefault="00F572C8" w:rsidP="00C703C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B2BBB" w14:textId="77777777" w:rsidR="00F572C8" w:rsidRDefault="00F572C8" w:rsidP="00E97CD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5054">
      <w:rPr>
        <w:rStyle w:val="PageNumber"/>
        <w:noProof/>
      </w:rPr>
      <w:t>36</w:t>
    </w:r>
    <w:r>
      <w:rPr>
        <w:rStyle w:val="PageNumber"/>
      </w:rPr>
      <w:fldChar w:fldCharType="end"/>
    </w:r>
  </w:p>
  <w:p w14:paraId="23097E8D" w14:textId="77777777" w:rsidR="00F572C8" w:rsidRDefault="00F572C8" w:rsidP="00C703C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7589A8" w14:textId="77777777" w:rsidR="009A69D0" w:rsidRDefault="009A69D0" w:rsidP="00C703C6">
      <w:r>
        <w:separator/>
      </w:r>
    </w:p>
  </w:footnote>
  <w:footnote w:type="continuationSeparator" w:id="0">
    <w:p w14:paraId="6ECC18A6" w14:textId="77777777" w:rsidR="009A69D0" w:rsidRDefault="009A69D0" w:rsidP="00C703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E59092D"/>
    <w:multiLevelType w:val="hybridMultilevel"/>
    <w:tmpl w:val="7EEECFFA"/>
    <w:lvl w:ilvl="0" w:tplc="E37A533E">
      <w:start w:val="1"/>
      <w:numFmt w:val="decimal"/>
      <w:lvlText w:val="%1"/>
      <w:lvlJc w:val="left"/>
      <w:pPr>
        <w:ind w:left="720" w:hanging="360"/>
      </w:pPr>
      <w:rPr>
        <w:rFonts w:ascii="Book Antiqua" w:eastAsia="宋体" w:hAnsi="Book Antiqua"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9D6EB4"/>
    <w:multiLevelType w:val="hybridMultilevel"/>
    <w:tmpl w:val="70DC2214"/>
    <w:lvl w:ilvl="0" w:tplc="D76CE7A4">
      <w:start w:val="1"/>
      <w:numFmt w:val="bullet"/>
      <w:lvlText w:val="•"/>
      <w:lvlJc w:val="left"/>
      <w:pPr>
        <w:tabs>
          <w:tab w:val="num" w:pos="720"/>
        </w:tabs>
        <w:ind w:left="720" w:hanging="360"/>
      </w:pPr>
      <w:rPr>
        <w:rFonts w:ascii="Times New Roman" w:hAnsi="Times New Roman" w:hint="default"/>
      </w:rPr>
    </w:lvl>
    <w:lvl w:ilvl="1" w:tplc="2C4A62CA" w:tentative="1">
      <w:start w:val="1"/>
      <w:numFmt w:val="bullet"/>
      <w:lvlText w:val="•"/>
      <w:lvlJc w:val="left"/>
      <w:pPr>
        <w:tabs>
          <w:tab w:val="num" w:pos="1440"/>
        </w:tabs>
        <w:ind w:left="1440" w:hanging="360"/>
      </w:pPr>
      <w:rPr>
        <w:rFonts w:ascii="Times New Roman" w:hAnsi="Times New Roman" w:hint="default"/>
      </w:rPr>
    </w:lvl>
    <w:lvl w:ilvl="2" w:tplc="526C57F4" w:tentative="1">
      <w:start w:val="1"/>
      <w:numFmt w:val="bullet"/>
      <w:lvlText w:val="•"/>
      <w:lvlJc w:val="left"/>
      <w:pPr>
        <w:tabs>
          <w:tab w:val="num" w:pos="2160"/>
        </w:tabs>
        <w:ind w:left="2160" w:hanging="360"/>
      </w:pPr>
      <w:rPr>
        <w:rFonts w:ascii="Times New Roman" w:hAnsi="Times New Roman" w:hint="default"/>
      </w:rPr>
    </w:lvl>
    <w:lvl w:ilvl="3" w:tplc="9FEEDE30" w:tentative="1">
      <w:start w:val="1"/>
      <w:numFmt w:val="bullet"/>
      <w:lvlText w:val="•"/>
      <w:lvlJc w:val="left"/>
      <w:pPr>
        <w:tabs>
          <w:tab w:val="num" w:pos="2880"/>
        </w:tabs>
        <w:ind w:left="2880" w:hanging="360"/>
      </w:pPr>
      <w:rPr>
        <w:rFonts w:ascii="Times New Roman" w:hAnsi="Times New Roman" w:hint="default"/>
      </w:rPr>
    </w:lvl>
    <w:lvl w:ilvl="4" w:tplc="59F8F09E" w:tentative="1">
      <w:start w:val="1"/>
      <w:numFmt w:val="bullet"/>
      <w:lvlText w:val="•"/>
      <w:lvlJc w:val="left"/>
      <w:pPr>
        <w:tabs>
          <w:tab w:val="num" w:pos="3600"/>
        </w:tabs>
        <w:ind w:left="3600" w:hanging="360"/>
      </w:pPr>
      <w:rPr>
        <w:rFonts w:ascii="Times New Roman" w:hAnsi="Times New Roman" w:hint="default"/>
      </w:rPr>
    </w:lvl>
    <w:lvl w:ilvl="5" w:tplc="728A9F20" w:tentative="1">
      <w:start w:val="1"/>
      <w:numFmt w:val="bullet"/>
      <w:lvlText w:val="•"/>
      <w:lvlJc w:val="left"/>
      <w:pPr>
        <w:tabs>
          <w:tab w:val="num" w:pos="4320"/>
        </w:tabs>
        <w:ind w:left="4320" w:hanging="360"/>
      </w:pPr>
      <w:rPr>
        <w:rFonts w:ascii="Times New Roman" w:hAnsi="Times New Roman" w:hint="default"/>
      </w:rPr>
    </w:lvl>
    <w:lvl w:ilvl="6" w:tplc="1FA44ED2" w:tentative="1">
      <w:start w:val="1"/>
      <w:numFmt w:val="bullet"/>
      <w:lvlText w:val="•"/>
      <w:lvlJc w:val="left"/>
      <w:pPr>
        <w:tabs>
          <w:tab w:val="num" w:pos="5040"/>
        </w:tabs>
        <w:ind w:left="5040" w:hanging="360"/>
      </w:pPr>
      <w:rPr>
        <w:rFonts w:ascii="Times New Roman" w:hAnsi="Times New Roman" w:hint="default"/>
      </w:rPr>
    </w:lvl>
    <w:lvl w:ilvl="7" w:tplc="31D879A8" w:tentative="1">
      <w:start w:val="1"/>
      <w:numFmt w:val="bullet"/>
      <w:lvlText w:val="•"/>
      <w:lvlJc w:val="left"/>
      <w:pPr>
        <w:tabs>
          <w:tab w:val="num" w:pos="5760"/>
        </w:tabs>
        <w:ind w:left="5760" w:hanging="360"/>
      </w:pPr>
      <w:rPr>
        <w:rFonts w:ascii="Times New Roman" w:hAnsi="Times New Roman" w:hint="default"/>
      </w:rPr>
    </w:lvl>
    <w:lvl w:ilvl="8" w:tplc="99BE757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Clinical Anesthesia-3&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9zw09zxkadresee02px9a5w5z0d9szvax2w&quot;&gt;ALL DNR&lt;record-ids&gt;&lt;item&gt;1&lt;/item&gt;&lt;item&gt;2&lt;/item&gt;&lt;item&gt;3&lt;/item&gt;&lt;item&gt;5&lt;/item&gt;&lt;item&gt;7&lt;/item&gt;&lt;item&gt;8&lt;/item&gt;&lt;item&gt;9&lt;/item&gt;&lt;item&gt;10&lt;/item&gt;&lt;item&gt;20&lt;/item&gt;&lt;item&gt;21&lt;/item&gt;&lt;item&gt;25&lt;/item&gt;&lt;item&gt;28&lt;/item&gt;&lt;item&gt;29&lt;/item&gt;&lt;item&gt;34&lt;/item&gt;&lt;item&gt;36&lt;/item&gt;&lt;item&gt;38&lt;/item&gt;&lt;item&gt;39&lt;/item&gt;&lt;item&gt;41&lt;/item&gt;&lt;item&gt;44&lt;/item&gt;&lt;item&gt;46&lt;/item&gt;&lt;item&gt;49&lt;/item&gt;&lt;item&gt;52&lt;/item&gt;&lt;item&gt;56&lt;/item&gt;&lt;item&gt;58&lt;/item&gt;&lt;item&gt;96&lt;/item&gt;&lt;item&gt;121&lt;/item&gt;&lt;item&gt;135&lt;/item&gt;&lt;item&gt;137&lt;/item&gt;&lt;item&gt;148&lt;/item&gt;&lt;item&gt;152&lt;/item&gt;&lt;item&gt;173&lt;/item&gt;&lt;item&gt;187&lt;/item&gt;&lt;item&gt;189&lt;/item&gt;&lt;/record-ids&gt;&lt;/item&gt;&lt;/Libraries&gt;"/>
  </w:docVars>
  <w:rsids>
    <w:rsidRoot w:val="0071597D"/>
    <w:rsid w:val="0000198E"/>
    <w:rsid w:val="000038E6"/>
    <w:rsid w:val="00010A97"/>
    <w:rsid w:val="00010ADD"/>
    <w:rsid w:val="00010F98"/>
    <w:rsid w:val="0001287E"/>
    <w:rsid w:val="000135B5"/>
    <w:rsid w:val="00017CAA"/>
    <w:rsid w:val="00020E2E"/>
    <w:rsid w:val="000305E7"/>
    <w:rsid w:val="000309FD"/>
    <w:rsid w:val="00036AB0"/>
    <w:rsid w:val="0004175E"/>
    <w:rsid w:val="00041EA7"/>
    <w:rsid w:val="00043104"/>
    <w:rsid w:val="0005485A"/>
    <w:rsid w:val="00057E58"/>
    <w:rsid w:val="000679DE"/>
    <w:rsid w:val="00071889"/>
    <w:rsid w:val="00072C77"/>
    <w:rsid w:val="0007567C"/>
    <w:rsid w:val="00076B65"/>
    <w:rsid w:val="0008288D"/>
    <w:rsid w:val="000945E0"/>
    <w:rsid w:val="000975EC"/>
    <w:rsid w:val="00097BC9"/>
    <w:rsid w:val="000A06C0"/>
    <w:rsid w:val="000A44AB"/>
    <w:rsid w:val="000B2C71"/>
    <w:rsid w:val="000B526C"/>
    <w:rsid w:val="000C235D"/>
    <w:rsid w:val="000D023D"/>
    <w:rsid w:val="000D3115"/>
    <w:rsid w:val="000D578B"/>
    <w:rsid w:val="000D6129"/>
    <w:rsid w:val="000E1B33"/>
    <w:rsid w:val="000E55D7"/>
    <w:rsid w:val="000F453A"/>
    <w:rsid w:val="000F513E"/>
    <w:rsid w:val="000F5E0C"/>
    <w:rsid w:val="001051E9"/>
    <w:rsid w:val="001127AF"/>
    <w:rsid w:val="0012310A"/>
    <w:rsid w:val="00126F21"/>
    <w:rsid w:val="00126FEC"/>
    <w:rsid w:val="001326DA"/>
    <w:rsid w:val="00132709"/>
    <w:rsid w:val="00134743"/>
    <w:rsid w:val="00135440"/>
    <w:rsid w:val="00135A71"/>
    <w:rsid w:val="0014490A"/>
    <w:rsid w:val="00145D92"/>
    <w:rsid w:val="00145DFB"/>
    <w:rsid w:val="001523DC"/>
    <w:rsid w:val="001526FA"/>
    <w:rsid w:val="001538F4"/>
    <w:rsid w:val="00156ADE"/>
    <w:rsid w:val="00156FD9"/>
    <w:rsid w:val="00160A78"/>
    <w:rsid w:val="00164333"/>
    <w:rsid w:val="00164B50"/>
    <w:rsid w:val="00167223"/>
    <w:rsid w:val="001724D1"/>
    <w:rsid w:val="00174DB9"/>
    <w:rsid w:val="00181644"/>
    <w:rsid w:val="00181DC9"/>
    <w:rsid w:val="00181E7F"/>
    <w:rsid w:val="00181FB8"/>
    <w:rsid w:val="00192C1D"/>
    <w:rsid w:val="001930BA"/>
    <w:rsid w:val="00195E05"/>
    <w:rsid w:val="001A1E7F"/>
    <w:rsid w:val="001A21C1"/>
    <w:rsid w:val="001A4B28"/>
    <w:rsid w:val="001B2973"/>
    <w:rsid w:val="001C7925"/>
    <w:rsid w:val="001D3C38"/>
    <w:rsid w:val="001D4793"/>
    <w:rsid w:val="001D4E0C"/>
    <w:rsid w:val="001D5054"/>
    <w:rsid w:val="001D6CBB"/>
    <w:rsid w:val="001D7064"/>
    <w:rsid w:val="001D7CB9"/>
    <w:rsid w:val="001E542A"/>
    <w:rsid w:val="001E6922"/>
    <w:rsid w:val="001F3A00"/>
    <w:rsid w:val="001F3E4D"/>
    <w:rsid w:val="0020354E"/>
    <w:rsid w:val="0020558F"/>
    <w:rsid w:val="00205C0C"/>
    <w:rsid w:val="00207058"/>
    <w:rsid w:val="0020745F"/>
    <w:rsid w:val="002125CB"/>
    <w:rsid w:val="0021570D"/>
    <w:rsid w:val="00215FF1"/>
    <w:rsid w:val="0021677F"/>
    <w:rsid w:val="00222B66"/>
    <w:rsid w:val="00224145"/>
    <w:rsid w:val="002248E1"/>
    <w:rsid w:val="0022798E"/>
    <w:rsid w:val="00227DCA"/>
    <w:rsid w:val="00230F0F"/>
    <w:rsid w:val="002379D7"/>
    <w:rsid w:val="00237C14"/>
    <w:rsid w:val="00237E82"/>
    <w:rsid w:val="0024175E"/>
    <w:rsid w:val="00243ADC"/>
    <w:rsid w:val="002450AF"/>
    <w:rsid w:val="00246109"/>
    <w:rsid w:val="00256A61"/>
    <w:rsid w:val="00257968"/>
    <w:rsid w:val="00262DB8"/>
    <w:rsid w:val="00263B81"/>
    <w:rsid w:val="00270F31"/>
    <w:rsid w:val="00282B5A"/>
    <w:rsid w:val="00285331"/>
    <w:rsid w:val="00286639"/>
    <w:rsid w:val="00287848"/>
    <w:rsid w:val="00290D36"/>
    <w:rsid w:val="002918B5"/>
    <w:rsid w:val="0029252C"/>
    <w:rsid w:val="00295727"/>
    <w:rsid w:val="00295ECF"/>
    <w:rsid w:val="00296920"/>
    <w:rsid w:val="00297599"/>
    <w:rsid w:val="002A035C"/>
    <w:rsid w:val="002A4C69"/>
    <w:rsid w:val="002A5123"/>
    <w:rsid w:val="002A6B02"/>
    <w:rsid w:val="002B1B2D"/>
    <w:rsid w:val="002B3A15"/>
    <w:rsid w:val="002B4450"/>
    <w:rsid w:val="002C0CCF"/>
    <w:rsid w:val="002C266A"/>
    <w:rsid w:val="002C2B96"/>
    <w:rsid w:val="002D1C98"/>
    <w:rsid w:val="002D2584"/>
    <w:rsid w:val="002D2DBF"/>
    <w:rsid w:val="002E04F0"/>
    <w:rsid w:val="002E12AC"/>
    <w:rsid w:val="002E3164"/>
    <w:rsid w:val="002E574B"/>
    <w:rsid w:val="002F1FA7"/>
    <w:rsid w:val="002F77EF"/>
    <w:rsid w:val="002F78E9"/>
    <w:rsid w:val="00306518"/>
    <w:rsid w:val="00306AE2"/>
    <w:rsid w:val="00307567"/>
    <w:rsid w:val="0031065A"/>
    <w:rsid w:val="00312B16"/>
    <w:rsid w:val="00314042"/>
    <w:rsid w:val="003164DD"/>
    <w:rsid w:val="00317167"/>
    <w:rsid w:val="00322CD8"/>
    <w:rsid w:val="00326F32"/>
    <w:rsid w:val="00330F5F"/>
    <w:rsid w:val="00336617"/>
    <w:rsid w:val="00336CBE"/>
    <w:rsid w:val="0034509C"/>
    <w:rsid w:val="00346DDB"/>
    <w:rsid w:val="0035086F"/>
    <w:rsid w:val="003528D1"/>
    <w:rsid w:val="00354A8C"/>
    <w:rsid w:val="00356262"/>
    <w:rsid w:val="003733B4"/>
    <w:rsid w:val="00376719"/>
    <w:rsid w:val="00376A7C"/>
    <w:rsid w:val="00381FD1"/>
    <w:rsid w:val="0038407E"/>
    <w:rsid w:val="00384CC8"/>
    <w:rsid w:val="003869C7"/>
    <w:rsid w:val="003875B0"/>
    <w:rsid w:val="00387FCC"/>
    <w:rsid w:val="00394944"/>
    <w:rsid w:val="003A0F54"/>
    <w:rsid w:val="003A1929"/>
    <w:rsid w:val="003A2263"/>
    <w:rsid w:val="003A76B0"/>
    <w:rsid w:val="003B34BC"/>
    <w:rsid w:val="003B376A"/>
    <w:rsid w:val="003B38A8"/>
    <w:rsid w:val="003B73F4"/>
    <w:rsid w:val="003C0C49"/>
    <w:rsid w:val="003C17B1"/>
    <w:rsid w:val="003C1D14"/>
    <w:rsid w:val="003D090F"/>
    <w:rsid w:val="003D1786"/>
    <w:rsid w:val="003D3D7A"/>
    <w:rsid w:val="003E0105"/>
    <w:rsid w:val="003E3E78"/>
    <w:rsid w:val="003E7397"/>
    <w:rsid w:val="003F0514"/>
    <w:rsid w:val="003F232A"/>
    <w:rsid w:val="003F2A2D"/>
    <w:rsid w:val="003F3C57"/>
    <w:rsid w:val="004007A4"/>
    <w:rsid w:val="0040104C"/>
    <w:rsid w:val="00403E1F"/>
    <w:rsid w:val="004058A2"/>
    <w:rsid w:val="00410DDC"/>
    <w:rsid w:val="00412496"/>
    <w:rsid w:val="00414EBA"/>
    <w:rsid w:val="004221E5"/>
    <w:rsid w:val="00425889"/>
    <w:rsid w:val="00426AA6"/>
    <w:rsid w:val="004278B6"/>
    <w:rsid w:val="00430572"/>
    <w:rsid w:val="00430A0F"/>
    <w:rsid w:val="00432CEC"/>
    <w:rsid w:val="00436A47"/>
    <w:rsid w:val="00437BC0"/>
    <w:rsid w:val="00441FFE"/>
    <w:rsid w:val="0044221A"/>
    <w:rsid w:val="0044365E"/>
    <w:rsid w:val="00447CE4"/>
    <w:rsid w:val="004526A6"/>
    <w:rsid w:val="004538C0"/>
    <w:rsid w:val="00457D69"/>
    <w:rsid w:val="004633BE"/>
    <w:rsid w:val="004638AD"/>
    <w:rsid w:val="004660F8"/>
    <w:rsid w:val="00474144"/>
    <w:rsid w:val="00474ABA"/>
    <w:rsid w:val="00475CF6"/>
    <w:rsid w:val="004774D6"/>
    <w:rsid w:val="00480BFD"/>
    <w:rsid w:val="0048191D"/>
    <w:rsid w:val="00481F54"/>
    <w:rsid w:val="004828DD"/>
    <w:rsid w:val="00482AE9"/>
    <w:rsid w:val="00482EEC"/>
    <w:rsid w:val="00486A63"/>
    <w:rsid w:val="00491E08"/>
    <w:rsid w:val="00492849"/>
    <w:rsid w:val="00496B6D"/>
    <w:rsid w:val="004A01B0"/>
    <w:rsid w:val="004A6ADF"/>
    <w:rsid w:val="004B13F5"/>
    <w:rsid w:val="004B6B6C"/>
    <w:rsid w:val="004C21E9"/>
    <w:rsid w:val="004C5625"/>
    <w:rsid w:val="004C783B"/>
    <w:rsid w:val="004D196F"/>
    <w:rsid w:val="004D26B0"/>
    <w:rsid w:val="004D3E6B"/>
    <w:rsid w:val="004D43BF"/>
    <w:rsid w:val="004D4759"/>
    <w:rsid w:val="004D635A"/>
    <w:rsid w:val="004D7147"/>
    <w:rsid w:val="004E3513"/>
    <w:rsid w:val="004E7D59"/>
    <w:rsid w:val="004F00CE"/>
    <w:rsid w:val="004F5898"/>
    <w:rsid w:val="005123C8"/>
    <w:rsid w:val="00513FAD"/>
    <w:rsid w:val="0052176A"/>
    <w:rsid w:val="00522077"/>
    <w:rsid w:val="00522558"/>
    <w:rsid w:val="00526CAB"/>
    <w:rsid w:val="00536DAE"/>
    <w:rsid w:val="005412D3"/>
    <w:rsid w:val="005455EC"/>
    <w:rsid w:val="00550269"/>
    <w:rsid w:val="00551057"/>
    <w:rsid w:val="00555D01"/>
    <w:rsid w:val="00566DEF"/>
    <w:rsid w:val="0056783D"/>
    <w:rsid w:val="005704E8"/>
    <w:rsid w:val="00570AE6"/>
    <w:rsid w:val="00577FDD"/>
    <w:rsid w:val="00581632"/>
    <w:rsid w:val="0059079E"/>
    <w:rsid w:val="005A1D2C"/>
    <w:rsid w:val="005B1FF2"/>
    <w:rsid w:val="005B62EB"/>
    <w:rsid w:val="005C35AF"/>
    <w:rsid w:val="005C409F"/>
    <w:rsid w:val="005C4966"/>
    <w:rsid w:val="005C6C26"/>
    <w:rsid w:val="005C6F2A"/>
    <w:rsid w:val="005C7D23"/>
    <w:rsid w:val="005D271C"/>
    <w:rsid w:val="005D4977"/>
    <w:rsid w:val="005E0D17"/>
    <w:rsid w:val="005E4154"/>
    <w:rsid w:val="005F019E"/>
    <w:rsid w:val="005F3650"/>
    <w:rsid w:val="005F67CC"/>
    <w:rsid w:val="00615F1D"/>
    <w:rsid w:val="006206E4"/>
    <w:rsid w:val="0062483E"/>
    <w:rsid w:val="00626FAC"/>
    <w:rsid w:val="006306D5"/>
    <w:rsid w:val="00632B9B"/>
    <w:rsid w:val="00641966"/>
    <w:rsid w:val="00644D41"/>
    <w:rsid w:val="006506B8"/>
    <w:rsid w:val="006509EB"/>
    <w:rsid w:val="00652ED6"/>
    <w:rsid w:val="00664370"/>
    <w:rsid w:val="00673001"/>
    <w:rsid w:val="006730FD"/>
    <w:rsid w:val="00677CD5"/>
    <w:rsid w:val="00680202"/>
    <w:rsid w:val="00687FCE"/>
    <w:rsid w:val="006A3A0F"/>
    <w:rsid w:val="006A7461"/>
    <w:rsid w:val="006B03F4"/>
    <w:rsid w:val="006B2828"/>
    <w:rsid w:val="006B4E3B"/>
    <w:rsid w:val="006B6BA2"/>
    <w:rsid w:val="006B7A12"/>
    <w:rsid w:val="006C21F7"/>
    <w:rsid w:val="006C527D"/>
    <w:rsid w:val="006D2270"/>
    <w:rsid w:val="006D5C8C"/>
    <w:rsid w:val="006E0EA7"/>
    <w:rsid w:val="006E26CC"/>
    <w:rsid w:val="006F15BB"/>
    <w:rsid w:val="006F4D44"/>
    <w:rsid w:val="00702AE8"/>
    <w:rsid w:val="0071597D"/>
    <w:rsid w:val="0072114A"/>
    <w:rsid w:val="00727BAE"/>
    <w:rsid w:val="00732DCF"/>
    <w:rsid w:val="00740BF4"/>
    <w:rsid w:val="007457AD"/>
    <w:rsid w:val="007472EE"/>
    <w:rsid w:val="00750EDB"/>
    <w:rsid w:val="00756959"/>
    <w:rsid w:val="00757881"/>
    <w:rsid w:val="00761DD5"/>
    <w:rsid w:val="00772635"/>
    <w:rsid w:val="00772B11"/>
    <w:rsid w:val="00773889"/>
    <w:rsid w:val="00775540"/>
    <w:rsid w:val="00781AF7"/>
    <w:rsid w:val="007827DD"/>
    <w:rsid w:val="007828DA"/>
    <w:rsid w:val="007871E0"/>
    <w:rsid w:val="0079243B"/>
    <w:rsid w:val="007930BD"/>
    <w:rsid w:val="00796597"/>
    <w:rsid w:val="007A45E4"/>
    <w:rsid w:val="007A522B"/>
    <w:rsid w:val="007A56F6"/>
    <w:rsid w:val="007A6A1E"/>
    <w:rsid w:val="007B3C31"/>
    <w:rsid w:val="007B3E89"/>
    <w:rsid w:val="007C1944"/>
    <w:rsid w:val="007C3787"/>
    <w:rsid w:val="007C74FD"/>
    <w:rsid w:val="007D02D9"/>
    <w:rsid w:val="007D0C53"/>
    <w:rsid w:val="007E1EAA"/>
    <w:rsid w:val="007E3EEC"/>
    <w:rsid w:val="007E5C13"/>
    <w:rsid w:val="007E7DE9"/>
    <w:rsid w:val="007F2DBE"/>
    <w:rsid w:val="007F4BFD"/>
    <w:rsid w:val="007F6FCE"/>
    <w:rsid w:val="008041C8"/>
    <w:rsid w:val="008077F5"/>
    <w:rsid w:val="00807E7A"/>
    <w:rsid w:val="00811874"/>
    <w:rsid w:val="00813E31"/>
    <w:rsid w:val="00820A53"/>
    <w:rsid w:val="00826132"/>
    <w:rsid w:val="00826E5A"/>
    <w:rsid w:val="00843451"/>
    <w:rsid w:val="008440F7"/>
    <w:rsid w:val="0084449C"/>
    <w:rsid w:val="008451CC"/>
    <w:rsid w:val="0084630A"/>
    <w:rsid w:val="00851A42"/>
    <w:rsid w:val="00853B42"/>
    <w:rsid w:val="00856C9E"/>
    <w:rsid w:val="00871607"/>
    <w:rsid w:val="008758CE"/>
    <w:rsid w:val="008771C3"/>
    <w:rsid w:val="00886963"/>
    <w:rsid w:val="0089099F"/>
    <w:rsid w:val="00890AB9"/>
    <w:rsid w:val="00890E8C"/>
    <w:rsid w:val="0089264F"/>
    <w:rsid w:val="008937C1"/>
    <w:rsid w:val="0089719F"/>
    <w:rsid w:val="008B0828"/>
    <w:rsid w:val="008C0422"/>
    <w:rsid w:val="008C0E26"/>
    <w:rsid w:val="008C4769"/>
    <w:rsid w:val="008C4ACC"/>
    <w:rsid w:val="008C549A"/>
    <w:rsid w:val="008D0BE1"/>
    <w:rsid w:val="008D6E5A"/>
    <w:rsid w:val="008E37B9"/>
    <w:rsid w:val="008E3D0B"/>
    <w:rsid w:val="008E4235"/>
    <w:rsid w:val="008E5F22"/>
    <w:rsid w:val="008E7BBF"/>
    <w:rsid w:val="008F7F8F"/>
    <w:rsid w:val="009031CD"/>
    <w:rsid w:val="00905773"/>
    <w:rsid w:val="00905DA4"/>
    <w:rsid w:val="00905E66"/>
    <w:rsid w:val="00905E9F"/>
    <w:rsid w:val="009132B1"/>
    <w:rsid w:val="00915A2A"/>
    <w:rsid w:val="00921F9D"/>
    <w:rsid w:val="00924582"/>
    <w:rsid w:val="00925337"/>
    <w:rsid w:val="009279D4"/>
    <w:rsid w:val="00931D33"/>
    <w:rsid w:val="00932C2F"/>
    <w:rsid w:val="00935F13"/>
    <w:rsid w:val="0093637A"/>
    <w:rsid w:val="00936AC6"/>
    <w:rsid w:val="009447C1"/>
    <w:rsid w:val="00946B20"/>
    <w:rsid w:val="00953A7E"/>
    <w:rsid w:val="0095459B"/>
    <w:rsid w:val="0095570A"/>
    <w:rsid w:val="00957A87"/>
    <w:rsid w:val="009647DC"/>
    <w:rsid w:val="00981D71"/>
    <w:rsid w:val="00982D0A"/>
    <w:rsid w:val="009905F1"/>
    <w:rsid w:val="009946C3"/>
    <w:rsid w:val="009971D3"/>
    <w:rsid w:val="009A455C"/>
    <w:rsid w:val="009A69D0"/>
    <w:rsid w:val="009B2625"/>
    <w:rsid w:val="009B50E3"/>
    <w:rsid w:val="009B6413"/>
    <w:rsid w:val="009B7671"/>
    <w:rsid w:val="009C2777"/>
    <w:rsid w:val="009C300C"/>
    <w:rsid w:val="009C690E"/>
    <w:rsid w:val="009E3971"/>
    <w:rsid w:val="009E6BEB"/>
    <w:rsid w:val="009F134E"/>
    <w:rsid w:val="00A1103D"/>
    <w:rsid w:val="00A13F46"/>
    <w:rsid w:val="00A1424D"/>
    <w:rsid w:val="00A15E86"/>
    <w:rsid w:val="00A20431"/>
    <w:rsid w:val="00A256D1"/>
    <w:rsid w:val="00A27B00"/>
    <w:rsid w:val="00A27F32"/>
    <w:rsid w:val="00A42212"/>
    <w:rsid w:val="00A47712"/>
    <w:rsid w:val="00A51A2B"/>
    <w:rsid w:val="00A57D52"/>
    <w:rsid w:val="00A61B19"/>
    <w:rsid w:val="00A66C57"/>
    <w:rsid w:val="00A70412"/>
    <w:rsid w:val="00A739CF"/>
    <w:rsid w:val="00A73F8B"/>
    <w:rsid w:val="00A748E4"/>
    <w:rsid w:val="00A772EF"/>
    <w:rsid w:val="00A8132F"/>
    <w:rsid w:val="00A81B8D"/>
    <w:rsid w:val="00A81BEE"/>
    <w:rsid w:val="00A90E9B"/>
    <w:rsid w:val="00A941E6"/>
    <w:rsid w:val="00A95697"/>
    <w:rsid w:val="00A9649E"/>
    <w:rsid w:val="00A96772"/>
    <w:rsid w:val="00A9733C"/>
    <w:rsid w:val="00AA0AB5"/>
    <w:rsid w:val="00AA1262"/>
    <w:rsid w:val="00AA7196"/>
    <w:rsid w:val="00AB5F4D"/>
    <w:rsid w:val="00AC4F22"/>
    <w:rsid w:val="00AD6039"/>
    <w:rsid w:val="00AE11FC"/>
    <w:rsid w:val="00AE7749"/>
    <w:rsid w:val="00AF1FAC"/>
    <w:rsid w:val="00B02A5A"/>
    <w:rsid w:val="00B03A38"/>
    <w:rsid w:val="00B03FC1"/>
    <w:rsid w:val="00B06433"/>
    <w:rsid w:val="00B07D94"/>
    <w:rsid w:val="00B14CAD"/>
    <w:rsid w:val="00B176FC"/>
    <w:rsid w:val="00B22022"/>
    <w:rsid w:val="00B23F05"/>
    <w:rsid w:val="00B30B32"/>
    <w:rsid w:val="00B311F6"/>
    <w:rsid w:val="00B32AFE"/>
    <w:rsid w:val="00B45BD2"/>
    <w:rsid w:val="00B5291B"/>
    <w:rsid w:val="00B5388A"/>
    <w:rsid w:val="00B547E3"/>
    <w:rsid w:val="00B55E1A"/>
    <w:rsid w:val="00B611A0"/>
    <w:rsid w:val="00B65F76"/>
    <w:rsid w:val="00B70CB0"/>
    <w:rsid w:val="00B764CA"/>
    <w:rsid w:val="00B77B55"/>
    <w:rsid w:val="00B808C9"/>
    <w:rsid w:val="00B835AF"/>
    <w:rsid w:val="00B853CB"/>
    <w:rsid w:val="00B9101E"/>
    <w:rsid w:val="00BA17F1"/>
    <w:rsid w:val="00BA1E48"/>
    <w:rsid w:val="00BA22B2"/>
    <w:rsid w:val="00BA3490"/>
    <w:rsid w:val="00BA5350"/>
    <w:rsid w:val="00BA6241"/>
    <w:rsid w:val="00BB1AE0"/>
    <w:rsid w:val="00BC07A1"/>
    <w:rsid w:val="00BC7141"/>
    <w:rsid w:val="00BD569B"/>
    <w:rsid w:val="00BD7FAB"/>
    <w:rsid w:val="00BE17ED"/>
    <w:rsid w:val="00BF06DA"/>
    <w:rsid w:val="00BF1B22"/>
    <w:rsid w:val="00BF3DB2"/>
    <w:rsid w:val="00C04342"/>
    <w:rsid w:val="00C048B1"/>
    <w:rsid w:val="00C06921"/>
    <w:rsid w:val="00C100E0"/>
    <w:rsid w:val="00C108A8"/>
    <w:rsid w:val="00C10B5F"/>
    <w:rsid w:val="00C14A6E"/>
    <w:rsid w:val="00C15CC5"/>
    <w:rsid w:val="00C2034F"/>
    <w:rsid w:val="00C22375"/>
    <w:rsid w:val="00C24979"/>
    <w:rsid w:val="00C24AA5"/>
    <w:rsid w:val="00C2761D"/>
    <w:rsid w:val="00C31DA6"/>
    <w:rsid w:val="00C34887"/>
    <w:rsid w:val="00C406CF"/>
    <w:rsid w:val="00C47AB5"/>
    <w:rsid w:val="00C512FC"/>
    <w:rsid w:val="00C538FB"/>
    <w:rsid w:val="00C57A79"/>
    <w:rsid w:val="00C61172"/>
    <w:rsid w:val="00C703C6"/>
    <w:rsid w:val="00C714B3"/>
    <w:rsid w:val="00C71825"/>
    <w:rsid w:val="00C71C86"/>
    <w:rsid w:val="00C76426"/>
    <w:rsid w:val="00C77C82"/>
    <w:rsid w:val="00C8680A"/>
    <w:rsid w:val="00C92950"/>
    <w:rsid w:val="00C94764"/>
    <w:rsid w:val="00CA50C2"/>
    <w:rsid w:val="00CA53CE"/>
    <w:rsid w:val="00CA6F79"/>
    <w:rsid w:val="00CB3090"/>
    <w:rsid w:val="00CC23F5"/>
    <w:rsid w:val="00CC2AA9"/>
    <w:rsid w:val="00CC4936"/>
    <w:rsid w:val="00CD0F6C"/>
    <w:rsid w:val="00CD2AD3"/>
    <w:rsid w:val="00CF4D1F"/>
    <w:rsid w:val="00D03951"/>
    <w:rsid w:val="00D05749"/>
    <w:rsid w:val="00D112DD"/>
    <w:rsid w:val="00D33465"/>
    <w:rsid w:val="00D40588"/>
    <w:rsid w:val="00D40970"/>
    <w:rsid w:val="00D4719C"/>
    <w:rsid w:val="00D51589"/>
    <w:rsid w:val="00D551EB"/>
    <w:rsid w:val="00D64379"/>
    <w:rsid w:val="00D7014F"/>
    <w:rsid w:val="00D71926"/>
    <w:rsid w:val="00D71A1A"/>
    <w:rsid w:val="00D71BF1"/>
    <w:rsid w:val="00D72EB1"/>
    <w:rsid w:val="00D84882"/>
    <w:rsid w:val="00D872E5"/>
    <w:rsid w:val="00D9136F"/>
    <w:rsid w:val="00D918F6"/>
    <w:rsid w:val="00D92E8D"/>
    <w:rsid w:val="00D947BE"/>
    <w:rsid w:val="00D9593F"/>
    <w:rsid w:val="00D979D8"/>
    <w:rsid w:val="00DA57F3"/>
    <w:rsid w:val="00DB12B4"/>
    <w:rsid w:val="00DB4DB2"/>
    <w:rsid w:val="00DB55BB"/>
    <w:rsid w:val="00DC0589"/>
    <w:rsid w:val="00DC5398"/>
    <w:rsid w:val="00DC6F45"/>
    <w:rsid w:val="00DC7047"/>
    <w:rsid w:val="00DD2F31"/>
    <w:rsid w:val="00DD41C9"/>
    <w:rsid w:val="00DD5033"/>
    <w:rsid w:val="00DD5AC1"/>
    <w:rsid w:val="00DD7B50"/>
    <w:rsid w:val="00DE2CD7"/>
    <w:rsid w:val="00DF074D"/>
    <w:rsid w:val="00DF7FA4"/>
    <w:rsid w:val="00E00126"/>
    <w:rsid w:val="00E03C36"/>
    <w:rsid w:val="00E214F5"/>
    <w:rsid w:val="00E22D22"/>
    <w:rsid w:val="00E26E2B"/>
    <w:rsid w:val="00E27FC5"/>
    <w:rsid w:val="00E32BBE"/>
    <w:rsid w:val="00E3391B"/>
    <w:rsid w:val="00E4110B"/>
    <w:rsid w:val="00E413D6"/>
    <w:rsid w:val="00E478DA"/>
    <w:rsid w:val="00E6088D"/>
    <w:rsid w:val="00E60909"/>
    <w:rsid w:val="00E62669"/>
    <w:rsid w:val="00E62FA1"/>
    <w:rsid w:val="00E63FD2"/>
    <w:rsid w:val="00E65534"/>
    <w:rsid w:val="00E67AE2"/>
    <w:rsid w:val="00E7199B"/>
    <w:rsid w:val="00E772D3"/>
    <w:rsid w:val="00E77DB7"/>
    <w:rsid w:val="00E84DAE"/>
    <w:rsid w:val="00E84DCB"/>
    <w:rsid w:val="00E94295"/>
    <w:rsid w:val="00E94FD2"/>
    <w:rsid w:val="00E97CD2"/>
    <w:rsid w:val="00EA15AD"/>
    <w:rsid w:val="00EA1BDD"/>
    <w:rsid w:val="00EA1FE3"/>
    <w:rsid w:val="00EA32F7"/>
    <w:rsid w:val="00EA5440"/>
    <w:rsid w:val="00EA5F19"/>
    <w:rsid w:val="00EB451E"/>
    <w:rsid w:val="00EB5A34"/>
    <w:rsid w:val="00EB5B53"/>
    <w:rsid w:val="00EC4A01"/>
    <w:rsid w:val="00ED27C3"/>
    <w:rsid w:val="00ED3ED9"/>
    <w:rsid w:val="00ED4763"/>
    <w:rsid w:val="00EE0AA2"/>
    <w:rsid w:val="00EE7A28"/>
    <w:rsid w:val="00EF2171"/>
    <w:rsid w:val="00EF41B9"/>
    <w:rsid w:val="00EF43F3"/>
    <w:rsid w:val="00F14189"/>
    <w:rsid w:val="00F16BCA"/>
    <w:rsid w:val="00F22E25"/>
    <w:rsid w:val="00F251EB"/>
    <w:rsid w:val="00F27436"/>
    <w:rsid w:val="00F27F29"/>
    <w:rsid w:val="00F36A37"/>
    <w:rsid w:val="00F408F9"/>
    <w:rsid w:val="00F4172C"/>
    <w:rsid w:val="00F4209E"/>
    <w:rsid w:val="00F50FE6"/>
    <w:rsid w:val="00F51F87"/>
    <w:rsid w:val="00F53F78"/>
    <w:rsid w:val="00F55FF3"/>
    <w:rsid w:val="00F5612A"/>
    <w:rsid w:val="00F572C8"/>
    <w:rsid w:val="00F63E9D"/>
    <w:rsid w:val="00F67FD8"/>
    <w:rsid w:val="00F70105"/>
    <w:rsid w:val="00F766A1"/>
    <w:rsid w:val="00F82745"/>
    <w:rsid w:val="00F84675"/>
    <w:rsid w:val="00F92244"/>
    <w:rsid w:val="00F92788"/>
    <w:rsid w:val="00F95509"/>
    <w:rsid w:val="00FA5BB5"/>
    <w:rsid w:val="00FA70E7"/>
    <w:rsid w:val="00FA72CF"/>
    <w:rsid w:val="00FB76F3"/>
    <w:rsid w:val="00FC06B2"/>
    <w:rsid w:val="00FC0712"/>
    <w:rsid w:val="00FC401A"/>
    <w:rsid w:val="00FC5351"/>
    <w:rsid w:val="00FC5B59"/>
    <w:rsid w:val="00FC6FAE"/>
    <w:rsid w:val="00FD4C74"/>
    <w:rsid w:val="00FD515C"/>
    <w:rsid w:val="00FE7F36"/>
    <w:rsid w:val="00FF3CAB"/>
    <w:rsid w:val="00FF5C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3563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4A6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4A6E"/>
    <w:rPr>
      <w:rFonts w:asciiTheme="majorHAnsi" w:eastAsiaTheme="majorEastAsia" w:hAnsiTheme="majorHAnsi" w:cstheme="majorBidi"/>
      <w:color w:val="2E74B5" w:themeColor="accent1" w:themeShade="BF"/>
      <w:sz w:val="32"/>
      <w:szCs w:val="32"/>
    </w:rPr>
  </w:style>
  <w:style w:type="paragraph" w:customStyle="1" w:styleId="Default">
    <w:name w:val="Default"/>
    <w:rsid w:val="00D40970"/>
    <w:pPr>
      <w:pBdr>
        <w:top w:val="nil"/>
        <w:left w:val="nil"/>
        <w:bottom w:val="nil"/>
        <w:right w:val="nil"/>
        <w:between w:val="nil"/>
        <w:bar w:val="nil"/>
      </w:pBdr>
    </w:pPr>
    <w:rPr>
      <w:rFonts w:ascii="Helvetica" w:eastAsia="Helvetica" w:hAnsi="Helvetica" w:cs="Helvetica"/>
      <w:color w:val="000000"/>
      <w:sz w:val="22"/>
      <w:szCs w:val="22"/>
      <w:bdr w:val="nil"/>
    </w:rPr>
  </w:style>
  <w:style w:type="paragraph" w:customStyle="1" w:styleId="EndNoteBibliographyTitle">
    <w:name w:val="EndNote Bibliography Title"/>
    <w:basedOn w:val="Normal"/>
    <w:rsid w:val="005455EC"/>
    <w:pPr>
      <w:jc w:val="center"/>
    </w:pPr>
    <w:rPr>
      <w:rFonts w:ascii="Calibri" w:hAnsi="Calibri"/>
    </w:rPr>
  </w:style>
  <w:style w:type="paragraph" w:customStyle="1" w:styleId="EndNoteBibliography">
    <w:name w:val="EndNote Bibliography"/>
    <w:basedOn w:val="Normal"/>
    <w:rsid w:val="005455EC"/>
    <w:rPr>
      <w:rFonts w:ascii="Calibri" w:hAnsi="Calibri"/>
    </w:rPr>
  </w:style>
  <w:style w:type="character" w:styleId="Strong">
    <w:name w:val="Strong"/>
    <w:basedOn w:val="DefaultParagraphFont"/>
    <w:uiPriority w:val="22"/>
    <w:qFormat/>
    <w:rsid w:val="00C2034F"/>
    <w:rPr>
      <w:b/>
      <w:bCs/>
    </w:rPr>
  </w:style>
  <w:style w:type="character" w:styleId="CommentReference">
    <w:name w:val="annotation reference"/>
    <w:basedOn w:val="DefaultParagraphFont"/>
    <w:uiPriority w:val="99"/>
    <w:semiHidden/>
    <w:unhideWhenUsed/>
    <w:rsid w:val="00145D92"/>
    <w:rPr>
      <w:sz w:val="16"/>
      <w:szCs w:val="16"/>
    </w:rPr>
  </w:style>
  <w:style w:type="paragraph" w:styleId="CommentText">
    <w:name w:val="annotation text"/>
    <w:basedOn w:val="Normal"/>
    <w:link w:val="CommentTextChar"/>
    <w:uiPriority w:val="99"/>
    <w:semiHidden/>
    <w:unhideWhenUsed/>
    <w:rsid w:val="00145D92"/>
    <w:rPr>
      <w:sz w:val="20"/>
      <w:szCs w:val="20"/>
    </w:rPr>
  </w:style>
  <w:style w:type="character" w:customStyle="1" w:styleId="CommentTextChar">
    <w:name w:val="Comment Text Char"/>
    <w:basedOn w:val="DefaultParagraphFont"/>
    <w:link w:val="CommentText"/>
    <w:uiPriority w:val="99"/>
    <w:semiHidden/>
    <w:rsid w:val="00145D92"/>
    <w:rPr>
      <w:sz w:val="20"/>
      <w:szCs w:val="20"/>
    </w:rPr>
  </w:style>
  <w:style w:type="paragraph" w:styleId="CommentSubject">
    <w:name w:val="annotation subject"/>
    <w:basedOn w:val="CommentText"/>
    <w:next w:val="CommentText"/>
    <w:link w:val="CommentSubjectChar"/>
    <w:uiPriority w:val="99"/>
    <w:semiHidden/>
    <w:unhideWhenUsed/>
    <w:rsid w:val="00145D92"/>
    <w:rPr>
      <w:b/>
      <w:bCs/>
    </w:rPr>
  </w:style>
  <w:style w:type="character" w:customStyle="1" w:styleId="CommentSubjectChar">
    <w:name w:val="Comment Subject Char"/>
    <w:basedOn w:val="CommentTextChar"/>
    <w:link w:val="CommentSubject"/>
    <w:uiPriority w:val="99"/>
    <w:semiHidden/>
    <w:rsid w:val="00145D92"/>
    <w:rPr>
      <w:b/>
      <w:bCs/>
      <w:sz w:val="20"/>
      <w:szCs w:val="20"/>
    </w:rPr>
  </w:style>
  <w:style w:type="paragraph" w:styleId="BalloonText">
    <w:name w:val="Balloon Text"/>
    <w:basedOn w:val="Normal"/>
    <w:link w:val="BalloonTextChar"/>
    <w:uiPriority w:val="99"/>
    <w:semiHidden/>
    <w:unhideWhenUsed/>
    <w:rsid w:val="00145D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D92"/>
    <w:rPr>
      <w:rFonts w:ascii="Segoe UI" w:hAnsi="Segoe UI" w:cs="Segoe UI"/>
      <w:sz w:val="18"/>
      <w:szCs w:val="18"/>
    </w:rPr>
  </w:style>
  <w:style w:type="character" w:styleId="Hyperlink">
    <w:name w:val="Hyperlink"/>
    <w:basedOn w:val="DefaultParagraphFont"/>
    <w:uiPriority w:val="99"/>
    <w:unhideWhenUsed/>
    <w:rsid w:val="004526A6"/>
    <w:rPr>
      <w:color w:val="0563C1" w:themeColor="hyperlink"/>
      <w:u w:val="single"/>
    </w:rPr>
  </w:style>
  <w:style w:type="character" w:styleId="FollowedHyperlink">
    <w:name w:val="FollowedHyperlink"/>
    <w:basedOn w:val="DefaultParagraphFont"/>
    <w:uiPriority w:val="99"/>
    <w:semiHidden/>
    <w:unhideWhenUsed/>
    <w:rsid w:val="001A21C1"/>
    <w:rPr>
      <w:color w:val="954F72" w:themeColor="followedHyperlink"/>
      <w:u w:val="single"/>
    </w:rPr>
  </w:style>
  <w:style w:type="paragraph" w:styleId="Footer">
    <w:name w:val="footer"/>
    <w:basedOn w:val="Normal"/>
    <w:link w:val="FooterChar"/>
    <w:uiPriority w:val="99"/>
    <w:unhideWhenUsed/>
    <w:rsid w:val="00C703C6"/>
    <w:pPr>
      <w:tabs>
        <w:tab w:val="center" w:pos="4680"/>
        <w:tab w:val="right" w:pos="9360"/>
      </w:tabs>
    </w:pPr>
  </w:style>
  <w:style w:type="character" w:customStyle="1" w:styleId="FooterChar">
    <w:name w:val="Footer Char"/>
    <w:basedOn w:val="DefaultParagraphFont"/>
    <w:link w:val="Footer"/>
    <w:uiPriority w:val="99"/>
    <w:rsid w:val="00C703C6"/>
  </w:style>
  <w:style w:type="character" w:styleId="PageNumber">
    <w:name w:val="page number"/>
    <w:basedOn w:val="DefaultParagraphFont"/>
    <w:uiPriority w:val="99"/>
    <w:semiHidden/>
    <w:unhideWhenUsed/>
    <w:rsid w:val="00C703C6"/>
  </w:style>
  <w:style w:type="paragraph" w:styleId="ListParagraph">
    <w:name w:val="List Paragraph"/>
    <w:basedOn w:val="Normal"/>
    <w:uiPriority w:val="34"/>
    <w:qFormat/>
    <w:rsid w:val="00237C14"/>
    <w:pPr>
      <w:ind w:left="720"/>
      <w:contextualSpacing/>
    </w:pPr>
  </w:style>
  <w:style w:type="character" w:styleId="LineNumber">
    <w:name w:val="line number"/>
    <w:basedOn w:val="DefaultParagraphFont"/>
    <w:uiPriority w:val="99"/>
    <w:semiHidden/>
    <w:unhideWhenUsed/>
    <w:rsid w:val="007F6FCE"/>
  </w:style>
  <w:style w:type="character" w:customStyle="1" w:styleId="apple-converted-space">
    <w:name w:val="apple-converted-space"/>
    <w:basedOn w:val="DefaultParagraphFont"/>
    <w:rsid w:val="004633BE"/>
  </w:style>
  <w:style w:type="paragraph" w:styleId="Header">
    <w:name w:val="header"/>
    <w:basedOn w:val="Normal"/>
    <w:link w:val="HeaderChar"/>
    <w:uiPriority w:val="99"/>
    <w:unhideWhenUsed/>
    <w:rsid w:val="00F92244"/>
    <w:pPr>
      <w:tabs>
        <w:tab w:val="center" w:pos="4680"/>
        <w:tab w:val="right" w:pos="9360"/>
      </w:tabs>
    </w:pPr>
  </w:style>
  <w:style w:type="character" w:customStyle="1" w:styleId="HeaderChar">
    <w:name w:val="Header Char"/>
    <w:basedOn w:val="DefaultParagraphFont"/>
    <w:link w:val="Header"/>
    <w:uiPriority w:val="99"/>
    <w:rsid w:val="00F92244"/>
  </w:style>
  <w:style w:type="paragraph" w:styleId="Revision">
    <w:name w:val="Revision"/>
    <w:hidden/>
    <w:uiPriority w:val="99"/>
    <w:semiHidden/>
    <w:rsid w:val="00263B81"/>
  </w:style>
  <w:style w:type="table" w:styleId="TableGrid">
    <w:name w:val="Table Grid"/>
    <w:basedOn w:val="TableNormal"/>
    <w:uiPriority w:val="39"/>
    <w:rsid w:val="004305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30127">
      <w:bodyDiv w:val="1"/>
      <w:marLeft w:val="0"/>
      <w:marRight w:val="0"/>
      <w:marTop w:val="0"/>
      <w:marBottom w:val="0"/>
      <w:divBdr>
        <w:top w:val="none" w:sz="0" w:space="0" w:color="auto"/>
        <w:left w:val="none" w:sz="0" w:space="0" w:color="auto"/>
        <w:bottom w:val="none" w:sz="0" w:space="0" w:color="auto"/>
        <w:right w:val="none" w:sz="0" w:space="0" w:color="auto"/>
      </w:divBdr>
    </w:div>
    <w:div w:id="58675451">
      <w:bodyDiv w:val="1"/>
      <w:marLeft w:val="0"/>
      <w:marRight w:val="0"/>
      <w:marTop w:val="0"/>
      <w:marBottom w:val="0"/>
      <w:divBdr>
        <w:top w:val="none" w:sz="0" w:space="0" w:color="auto"/>
        <w:left w:val="none" w:sz="0" w:space="0" w:color="auto"/>
        <w:bottom w:val="none" w:sz="0" w:space="0" w:color="auto"/>
        <w:right w:val="none" w:sz="0" w:space="0" w:color="auto"/>
      </w:divBdr>
    </w:div>
    <w:div w:id="77988548">
      <w:bodyDiv w:val="1"/>
      <w:marLeft w:val="0"/>
      <w:marRight w:val="0"/>
      <w:marTop w:val="0"/>
      <w:marBottom w:val="0"/>
      <w:divBdr>
        <w:top w:val="none" w:sz="0" w:space="0" w:color="auto"/>
        <w:left w:val="none" w:sz="0" w:space="0" w:color="auto"/>
        <w:bottom w:val="none" w:sz="0" w:space="0" w:color="auto"/>
        <w:right w:val="none" w:sz="0" w:space="0" w:color="auto"/>
      </w:divBdr>
    </w:div>
    <w:div w:id="94911196">
      <w:bodyDiv w:val="1"/>
      <w:marLeft w:val="0"/>
      <w:marRight w:val="0"/>
      <w:marTop w:val="0"/>
      <w:marBottom w:val="0"/>
      <w:divBdr>
        <w:top w:val="none" w:sz="0" w:space="0" w:color="auto"/>
        <w:left w:val="none" w:sz="0" w:space="0" w:color="auto"/>
        <w:bottom w:val="none" w:sz="0" w:space="0" w:color="auto"/>
        <w:right w:val="none" w:sz="0" w:space="0" w:color="auto"/>
      </w:divBdr>
    </w:div>
    <w:div w:id="124155467">
      <w:bodyDiv w:val="1"/>
      <w:marLeft w:val="0"/>
      <w:marRight w:val="0"/>
      <w:marTop w:val="0"/>
      <w:marBottom w:val="0"/>
      <w:divBdr>
        <w:top w:val="none" w:sz="0" w:space="0" w:color="auto"/>
        <w:left w:val="none" w:sz="0" w:space="0" w:color="auto"/>
        <w:bottom w:val="none" w:sz="0" w:space="0" w:color="auto"/>
        <w:right w:val="none" w:sz="0" w:space="0" w:color="auto"/>
      </w:divBdr>
    </w:div>
    <w:div w:id="240531635">
      <w:bodyDiv w:val="1"/>
      <w:marLeft w:val="0"/>
      <w:marRight w:val="0"/>
      <w:marTop w:val="0"/>
      <w:marBottom w:val="0"/>
      <w:divBdr>
        <w:top w:val="none" w:sz="0" w:space="0" w:color="auto"/>
        <w:left w:val="none" w:sz="0" w:space="0" w:color="auto"/>
        <w:bottom w:val="none" w:sz="0" w:space="0" w:color="auto"/>
        <w:right w:val="none" w:sz="0" w:space="0" w:color="auto"/>
      </w:divBdr>
    </w:div>
    <w:div w:id="317805967">
      <w:bodyDiv w:val="1"/>
      <w:marLeft w:val="0"/>
      <w:marRight w:val="0"/>
      <w:marTop w:val="0"/>
      <w:marBottom w:val="0"/>
      <w:divBdr>
        <w:top w:val="none" w:sz="0" w:space="0" w:color="auto"/>
        <w:left w:val="none" w:sz="0" w:space="0" w:color="auto"/>
        <w:bottom w:val="none" w:sz="0" w:space="0" w:color="auto"/>
        <w:right w:val="none" w:sz="0" w:space="0" w:color="auto"/>
      </w:divBdr>
    </w:div>
    <w:div w:id="410780616">
      <w:bodyDiv w:val="1"/>
      <w:marLeft w:val="0"/>
      <w:marRight w:val="0"/>
      <w:marTop w:val="0"/>
      <w:marBottom w:val="0"/>
      <w:divBdr>
        <w:top w:val="none" w:sz="0" w:space="0" w:color="auto"/>
        <w:left w:val="none" w:sz="0" w:space="0" w:color="auto"/>
        <w:bottom w:val="none" w:sz="0" w:space="0" w:color="auto"/>
        <w:right w:val="none" w:sz="0" w:space="0" w:color="auto"/>
      </w:divBdr>
    </w:div>
    <w:div w:id="520358857">
      <w:bodyDiv w:val="1"/>
      <w:marLeft w:val="0"/>
      <w:marRight w:val="0"/>
      <w:marTop w:val="0"/>
      <w:marBottom w:val="0"/>
      <w:divBdr>
        <w:top w:val="none" w:sz="0" w:space="0" w:color="auto"/>
        <w:left w:val="none" w:sz="0" w:space="0" w:color="auto"/>
        <w:bottom w:val="none" w:sz="0" w:space="0" w:color="auto"/>
        <w:right w:val="none" w:sz="0" w:space="0" w:color="auto"/>
      </w:divBdr>
    </w:div>
    <w:div w:id="630095189">
      <w:bodyDiv w:val="1"/>
      <w:marLeft w:val="0"/>
      <w:marRight w:val="0"/>
      <w:marTop w:val="0"/>
      <w:marBottom w:val="0"/>
      <w:divBdr>
        <w:top w:val="none" w:sz="0" w:space="0" w:color="auto"/>
        <w:left w:val="none" w:sz="0" w:space="0" w:color="auto"/>
        <w:bottom w:val="none" w:sz="0" w:space="0" w:color="auto"/>
        <w:right w:val="none" w:sz="0" w:space="0" w:color="auto"/>
      </w:divBdr>
    </w:div>
    <w:div w:id="735589420">
      <w:bodyDiv w:val="1"/>
      <w:marLeft w:val="0"/>
      <w:marRight w:val="0"/>
      <w:marTop w:val="0"/>
      <w:marBottom w:val="0"/>
      <w:divBdr>
        <w:top w:val="none" w:sz="0" w:space="0" w:color="auto"/>
        <w:left w:val="none" w:sz="0" w:space="0" w:color="auto"/>
        <w:bottom w:val="none" w:sz="0" w:space="0" w:color="auto"/>
        <w:right w:val="none" w:sz="0" w:space="0" w:color="auto"/>
      </w:divBdr>
    </w:div>
    <w:div w:id="793249816">
      <w:bodyDiv w:val="1"/>
      <w:marLeft w:val="0"/>
      <w:marRight w:val="0"/>
      <w:marTop w:val="0"/>
      <w:marBottom w:val="0"/>
      <w:divBdr>
        <w:top w:val="none" w:sz="0" w:space="0" w:color="auto"/>
        <w:left w:val="none" w:sz="0" w:space="0" w:color="auto"/>
        <w:bottom w:val="none" w:sz="0" w:space="0" w:color="auto"/>
        <w:right w:val="none" w:sz="0" w:space="0" w:color="auto"/>
      </w:divBdr>
    </w:div>
    <w:div w:id="819660783">
      <w:bodyDiv w:val="1"/>
      <w:marLeft w:val="0"/>
      <w:marRight w:val="0"/>
      <w:marTop w:val="0"/>
      <w:marBottom w:val="0"/>
      <w:divBdr>
        <w:top w:val="none" w:sz="0" w:space="0" w:color="auto"/>
        <w:left w:val="none" w:sz="0" w:space="0" w:color="auto"/>
        <w:bottom w:val="none" w:sz="0" w:space="0" w:color="auto"/>
        <w:right w:val="none" w:sz="0" w:space="0" w:color="auto"/>
      </w:divBdr>
    </w:div>
    <w:div w:id="894200183">
      <w:bodyDiv w:val="1"/>
      <w:marLeft w:val="0"/>
      <w:marRight w:val="0"/>
      <w:marTop w:val="0"/>
      <w:marBottom w:val="0"/>
      <w:divBdr>
        <w:top w:val="none" w:sz="0" w:space="0" w:color="auto"/>
        <w:left w:val="none" w:sz="0" w:space="0" w:color="auto"/>
        <w:bottom w:val="none" w:sz="0" w:space="0" w:color="auto"/>
        <w:right w:val="none" w:sz="0" w:space="0" w:color="auto"/>
      </w:divBdr>
    </w:div>
    <w:div w:id="988097499">
      <w:bodyDiv w:val="1"/>
      <w:marLeft w:val="0"/>
      <w:marRight w:val="0"/>
      <w:marTop w:val="0"/>
      <w:marBottom w:val="0"/>
      <w:divBdr>
        <w:top w:val="none" w:sz="0" w:space="0" w:color="auto"/>
        <w:left w:val="none" w:sz="0" w:space="0" w:color="auto"/>
        <w:bottom w:val="none" w:sz="0" w:space="0" w:color="auto"/>
        <w:right w:val="none" w:sz="0" w:space="0" w:color="auto"/>
      </w:divBdr>
    </w:div>
    <w:div w:id="1158157572">
      <w:bodyDiv w:val="1"/>
      <w:marLeft w:val="0"/>
      <w:marRight w:val="0"/>
      <w:marTop w:val="0"/>
      <w:marBottom w:val="0"/>
      <w:divBdr>
        <w:top w:val="none" w:sz="0" w:space="0" w:color="auto"/>
        <w:left w:val="none" w:sz="0" w:space="0" w:color="auto"/>
        <w:bottom w:val="none" w:sz="0" w:space="0" w:color="auto"/>
        <w:right w:val="none" w:sz="0" w:space="0" w:color="auto"/>
      </w:divBdr>
    </w:div>
    <w:div w:id="1168788818">
      <w:bodyDiv w:val="1"/>
      <w:marLeft w:val="0"/>
      <w:marRight w:val="0"/>
      <w:marTop w:val="0"/>
      <w:marBottom w:val="0"/>
      <w:divBdr>
        <w:top w:val="none" w:sz="0" w:space="0" w:color="auto"/>
        <w:left w:val="none" w:sz="0" w:space="0" w:color="auto"/>
        <w:bottom w:val="none" w:sz="0" w:space="0" w:color="auto"/>
        <w:right w:val="none" w:sz="0" w:space="0" w:color="auto"/>
      </w:divBdr>
      <w:divsChild>
        <w:div w:id="1372456895">
          <w:marLeft w:val="547"/>
          <w:marRight w:val="0"/>
          <w:marTop w:val="0"/>
          <w:marBottom w:val="0"/>
          <w:divBdr>
            <w:top w:val="none" w:sz="0" w:space="0" w:color="auto"/>
            <w:left w:val="none" w:sz="0" w:space="0" w:color="auto"/>
            <w:bottom w:val="none" w:sz="0" w:space="0" w:color="auto"/>
            <w:right w:val="none" w:sz="0" w:space="0" w:color="auto"/>
          </w:divBdr>
        </w:div>
      </w:divsChild>
    </w:div>
    <w:div w:id="1242638053">
      <w:bodyDiv w:val="1"/>
      <w:marLeft w:val="0"/>
      <w:marRight w:val="0"/>
      <w:marTop w:val="0"/>
      <w:marBottom w:val="0"/>
      <w:divBdr>
        <w:top w:val="none" w:sz="0" w:space="0" w:color="auto"/>
        <w:left w:val="none" w:sz="0" w:space="0" w:color="auto"/>
        <w:bottom w:val="none" w:sz="0" w:space="0" w:color="auto"/>
        <w:right w:val="none" w:sz="0" w:space="0" w:color="auto"/>
      </w:divBdr>
    </w:div>
    <w:div w:id="1278367342">
      <w:bodyDiv w:val="1"/>
      <w:marLeft w:val="0"/>
      <w:marRight w:val="0"/>
      <w:marTop w:val="0"/>
      <w:marBottom w:val="0"/>
      <w:divBdr>
        <w:top w:val="none" w:sz="0" w:space="0" w:color="auto"/>
        <w:left w:val="none" w:sz="0" w:space="0" w:color="auto"/>
        <w:bottom w:val="none" w:sz="0" w:space="0" w:color="auto"/>
        <w:right w:val="none" w:sz="0" w:space="0" w:color="auto"/>
      </w:divBdr>
    </w:div>
    <w:div w:id="1350527376">
      <w:bodyDiv w:val="1"/>
      <w:marLeft w:val="0"/>
      <w:marRight w:val="0"/>
      <w:marTop w:val="0"/>
      <w:marBottom w:val="0"/>
      <w:divBdr>
        <w:top w:val="none" w:sz="0" w:space="0" w:color="auto"/>
        <w:left w:val="none" w:sz="0" w:space="0" w:color="auto"/>
        <w:bottom w:val="none" w:sz="0" w:space="0" w:color="auto"/>
        <w:right w:val="none" w:sz="0" w:space="0" w:color="auto"/>
      </w:divBdr>
      <w:divsChild>
        <w:div w:id="2130203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4277063">
      <w:bodyDiv w:val="1"/>
      <w:marLeft w:val="0"/>
      <w:marRight w:val="0"/>
      <w:marTop w:val="0"/>
      <w:marBottom w:val="0"/>
      <w:divBdr>
        <w:top w:val="none" w:sz="0" w:space="0" w:color="auto"/>
        <w:left w:val="none" w:sz="0" w:space="0" w:color="auto"/>
        <w:bottom w:val="none" w:sz="0" w:space="0" w:color="auto"/>
        <w:right w:val="none" w:sz="0" w:space="0" w:color="auto"/>
      </w:divBdr>
    </w:div>
    <w:div w:id="1547137543">
      <w:bodyDiv w:val="1"/>
      <w:marLeft w:val="0"/>
      <w:marRight w:val="0"/>
      <w:marTop w:val="0"/>
      <w:marBottom w:val="0"/>
      <w:divBdr>
        <w:top w:val="none" w:sz="0" w:space="0" w:color="auto"/>
        <w:left w:val="none" w:sz="0" w:space="0" w:color="auto"/>
        <w:bottom w:val="none" w:sz="0" w:space="0" w:color="auto"/>
        <w:right w:val="none" w:sz="0" w:space="0" w:color="auto"/>
      </w:divBdr>
    </w:div>
    <w:div w:id="1634944028">
      <w:bodyDiv w:val="1"/>
      <w:marLeft w:val="0"/>
      <w:marRight w:val="0"/>
      <w:marTop w:val="0"/>
      <w:marBottom w:val="0"/>
      <w:divBdr>
        <w:top w:val="none" w:sz="0" w:space="0" w:color="auto"/>
        <w:left w:val="none" w:sz="0" w:space="0" w:color="auto"/>
        <w:bottom w:val="none" w:sz="0" w:space="0" w:color="auto"/>
        <w:right w:val="none" w:sz="0" w:space="0" w:color="auto"/>
      </w:divBdr>
    </w:div>
    <w:div w:id="1691253050">
      <w:bodyDiv w:val="1"/>
      <w:marLeft w:val="0"/>
      <w:marRight w:val="0"/>
      <w:marTop w:val="0"/>
      <w:marBottom w:val="0"/>
      <w:divBdr>
        <w:top w:val="none" w:sz="0" w:space="0" w:color="auto"/>
        <w:left w:val="none" w:sz="0" w:space="0" w:color="auto"/>
        <w:bottom w:val="none" w:sz="0" w:space="0" w:color="auto"/>
        <w:right w:val="none" w:sz="0" w:space="0" w:color="auto"/>
      </w:divBdr>
    </w:div>
    <w:div w:id="1741905852">
      <w:bodyDiv w:val="1"/>
      <w:marLeft w:val="0"/>
      <w:marRight w:val="0"/>
      <w:marTop w:val="0"/>
      <w:marBottom w:val="0"/>
      <w:divBdr>
        <w:top w:val="none" w:sz="0" w:space="0" w:color="auto"/>
        <w:left w:val="none" w:sz="0" w:space="0" w:color="auto"/>
        <w:bottom w:val="none" w:sz="0" w:space="0" w:color="auto"/>
        <w:right w:val="none" w:sz="0" w:space="0" w:color="auto"/>
      </w:divBdr>
    </w:div>
    <w:div w:id="1748184112">
      <w:bodyDiv w:val="1"/>
      <w:marLeft w:val="0"/>
      <w:marRight w:val="0"/>
      <w:marTop w:val="0"/>
      <w:marBottom w:val="0"/>
      <w:divBdr>
        <w:top w:val="none" w:sz="0" w:space="0" w:color="auto"/>
        <w:left w:val="none" w:sz="0" w:space="0" w:color="auto"/>
        <w:bottom w:val="none" w:sz="0" w:space="0" w:color="auto"/>
        <w:right w:val="none" w:sz="0" w:space="0" w:color="auto"/>
      </w:divBdr>
    </w:div>
    <w:div w:id="1795980446">
      <w:bodyDiv w:val="1"/>
      <w:marLeft w:val="0"/>
      <w:marRight w:val="0"/>
      <w:marTop w:val="0"/>
      <w:marBottom w:val="0"/>
      <w:divBdr>
        <w:top w:val="none" w:sz="0" w:space="0" w:color="auto"/>
        <w:left w:val="none" w:sz="0" w:space="0" w:color="auto"/>
        <w:bottom w:val="none" w:sz="0" w:space="0" w:color="auto"/>
        <w:right w:val="none" w:sz="0" w:space="0" w:color="auto"/>
      </w:divBdr>
    </w:div>
    <w:div w:id="1810394223">
      <w:bodyDiv w:val="1"/>
      <w:marLeft w:val="0"/>
      <w:marRight w:val="0"/>
      <w:marTop w:val="0"/>
      <w:marBottom w:val="0"/>
      <w:divBdr>
        <w:top w:val="none" w:sz="0" w:space="0" w:color="auto"/>
        <w:left w:val="none" w:sz="0" w:space="0" w:color="auto"/>
        <w:bottom w:val="none" w:sz="0" w:space="0" w:color="auto"/>
        <w:right w:val="none" w:sz="0" w:space="0" w:color="auto"/>
      </w:divBdr>
    </w:div>
    <w:div w:id="1913811131">
      <w:bodyDiv w:val="1"/>
      <w:marLeft w:val="0"/>
      <w:marRight w:val="0"/>
      <w:marTop w:val="0"/>
      <w:marBottom w:val="0"/>
      <w:divBdr>
        <w:top w:val="none" w:sz="0" w:space="0" w:color="auto"/>
        <w:left w:val="none" w:sz="0" w:space="0" w:color="auto"/>
        <w:bottom w:val="none" w:sz="0" w:space="0" w:color="auto"/>
        <w:right w:val="none" w:sz="0" w:space="0" w:color="auto"/>
      </w:divBdr>
    </w:div>
    <w:div w:id="2003200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Layout" Target="diagrams/layout1.xml"/><Relationship Id="rId12" Type="http://schemas.openxmlformats.org/officeDocument/2006/relationships/diagramQuickStyle" Target="diagrams/quickStyle1.xml"/><Relationship Id="rId13" Type="http://schemas.openxmlformats.org/officeDocument/2006/relationships/diagramColors" Target="diagrams/colors1.xml"/><Relationship Id="rId14" Type="http://schemas.microsoft.com/office/2007/relationships/diagramDrawing" Target="diagrams/drawing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urman@bwh.harvard.edu" TargetMode="External"/><Relationship Id="rId9" Type="http://schemas.openxmlformats.org/officeDocument/2006/relationships/hyperlink" Target="https://dx.doi.org/10.1007%2Fs11999-011-1863-5" TargetMode="External"/><Relationship Id="rId10"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2553AE9-DC38-6847-8DF3-32C81CDF563C}" type="doc">
      <dgm:prSet loTypeId="urn:microsoft.com/office/officeart/2005/8/layout/orgChart1" loCatId="" qsTypeId="urn:microsoft.com/office/officeart/2005/8/quickstyle/simple2" qsCatId="simple" csTypeId="urn:microsoft.com/office/officeart/2005/8/colors/accent0_2" csCatId="mainScheme" phldr="1"/>
      <dgm:spPr/>
      <dgm:t>
        <a:bodyPr/>
        <a:lstStyle/>
        <a:p>
          <a:endParaRPr lang="en-US"/>
        </a:p>
      </dgm:t>
    </dgm:pt>
    <dgm:pt modelId="{EEBF5A96-A0E4-654D-BA3A-7D3885D7BAB1}">
      <dgm:prSet/>
      <dgm:spPr/>
      <dgm:t>
        <a:bodyPr/>
        <a:lstStyle/>
        <a:p>
          <a:r>
            <a:rPr lang="en-US"/>
            <a:t>National Surgical Quality Improvement Project Participant Use File 2007-2013</a:t>
          </a:r>
        </a:p>
      </dgm:t>
    </dgm:pt>
    <dgm:pt modelId="{C17A74BB-8FD3-344E-AC05-08355CDA41BE}" type="parTrans" cxnId="{D2059714-566B-ED4F-983A-E6D13DD8B955}">
      <dgm:prSet/>
      <dgm:spPr/>
      <dgm:t>
        <a:bodyPr/>
        <a:lstStyle/>
        <a:p>
          <a:endParaRPr lang="en-US"/>
        </a:p>
      </dgm:t>
    </dgm:pt>
    <dgm:pt modelId="{AB473DEB-F3DC-3D45-99F2-8F60A6848DBE}" type="sibTrans" cxnId="{D2059714-566B-ED4F-983A-E6D13DD8B955}">
      <dgm:prSet/>
      <dgm:spPr/>
      <dgm:t>
        <a:bodyPr/>
        <a:lstStyle/>
        <a:p>
          <a:endParaRPr lang="en-US"/>
        </a:p>
      </dgm:t>
    </dgm:pt>
    <dgm:pt modelId="{5D923691-C4D9-A445-8F8A-31EB3CDEB2F6}">
      <dgm:prSet custT="1"/>
      <dgm:spPr/>
      <dgm:t>
        <a:bodyPr/>
        <a:lstStyle/>
        <a:p>
          <a:r>
            <a:rPr lang="en-US" sz="1300"/>
            <a:t>Hip fracture surgery Current Procedural Terminology</a:t>
          </a:r>
          <a:r>
            <a:rPr lang="en-US" sz="1300" baseline="0"/>
            <a:t> </a:t>
          </a:r>
          <a:r>
            <a:rPr lang="en-US" sz="1300"/>
            <a:t>codes* </a:t>
          </a:r>
          <a:endParaRPr lang="en-US" sz="1100"/>
        </a:p>
      </dgm:t>
    </dgm:pt>
    <dgm:pt modelId="{C3274629-7F89-0D4C-AFA7-2BB9C07A69CD}" type="parTrans" cxnId="{87653ACF-2DA3-1E4B-8C4F-E19436FBC7C4}">
      <dgm:prSet/>
      <dgm:spPr/>
      <dgm:t>
        <a:bodyPr/>
        <a:lstStyle/>
        <a:p>
          <a:endParaRPr lang="en-US"/>
        </a:p>
      </dgm:t>
    </dgm:pt>
    <dgm:pt modelId="{72A7B01F-9048-154A-8DE4-0CF44996ADA2}" type="sibTrans" cxnId="{87653ACF-2DA3-1E4B-8C4F-E19436FBC7C4}">
      <dgm:prSet/>
      <dgm:spPr/>
      <dgm:t>
        <a:bodyPr/>
        <a:lstStyle/>
        <a:p>
          <a:endParaRPr lang="en-US"/>
        </a:p>
      </dgm:t>
    </dgm:pt>
    <dgm:pt modelId="{BB327BD0-EDAA-ED4A-995F-B06166F27232}">
      <dgm:prSet/>
      <dgm:spPr/>
      <dgm:t>
        <a:bodyPr/>
        <a:lstStyle/>
        <a:p>
          <a:r>
            <a:rPr lang="en-US"/>
            <a:t>Included </a:t>
          </a:r>
        </a:p>
        <a:p>
          <a:r>
            <a:rPr lang="en-US"/>
            <a:t>n= </a:t>
          </a:r>
          <a:r>
            <a:rPr lang="en-GB"/>
            <a:t>9,218</a:t>
          </a:r>
          <a:endParaRPr lang="en-US"/>
        </a:p>
      </dgm:t>
    </dgm:pt>
    <dgm:pt modelId="{CBBAF087-45B3-2049-B652-7D516CF65ABB}" type="parTrans" cxnId="{97CC45CD-DD94-5846-9BAD-D0BF03E99872}">
      <dgm:prSet/>
      <dgm:spPr/>
      <dgm:t>
        <a:bodyPr/>
        <a:lstStyle/>
        <a:p>
          <a:endParaRPr lang="en-US"/>
        </a:p>
      </dgm:t>
    </dgm:pt>
    <dgm:pt modelId="{F3711D89-4E64-E644-87EB-B5137D1F38AD}" type="sibTrans" cxnId="{97CC45CD-DD94-5846-9BAD-D0BF03E99872}">
      <dgm:prSet/>
      <dgm:spPr/>
      <dgm:t>
        <a:bodyPr/>
        <a:lstStyle/>
        <a:p>
          <a:endParaRPr lang="en-US"/>
        </a:p>
      </dgm:t>
    </dgm:pt>
    <dgm:pt modelId="{E24CA1B9-7CF7-BB4E-8289-688A08204540}">
      <dgm:prSet/>
      <dgm:spPr/>
      <dgm:t>
        <a:bodyPr/>
        <a:lstStyle/>
        <a:p>
          <a:r>
            <a:rPr lang="en-US"/>
            <a:t>DNR Status: Yes </a:t>
          </a:r>
        </a:p>
        <a:p>
          <a:r>
            <a:rPr lang="en-US"/>
            <a:t>n= </a:t>
          </a:r>
          <a:r>
            <a:rPr lang="en-GB"/>
            <a:t>7,962 </a:t>
          </a:r>
          <a:endParaRPr lang="en-US"/>
        </a:p>
      </dgm:t>
    </dgm:pt>
    <dgm:pt modelId="{82C6847F-6959-594D-A275-D8AA3F2B306F}" type="parTrans" cxnId="{E62AC507-98CB-FC4E-A0A8-473C250C33E4}">
      <dgm:prSet/>
      <dgm:spPr/>
      <dgm:t>
        <a:bodyPr/>
        <a:lstStyle/>
        <a:p>
          <a:endParaRPr lang="en-US"/>
        </a:p>
      </dgm:t>
    </dgm:pt>
    <dgm:pt modelId="{BDAA738B-816D-DF49-A89A-2A1E68E23415}" type="sibTrans" cxnId="{E62AC507-98CB-FC4E-A0A8-473C250C33E4}">
      <dgm:prSet/>
      <dgm:spPr/>
      <dgm:t>
        <a:bodyPr/>
        <a:lstStyle/>
        <a:p>
          <a:endParaRPr lang="en-US"/>
        </a:p>
      </dgm:t>
    </dgm:pt>
    <dgm:pt modelId="{65839B38-B6AF-384F-96B1-4135E12D1617}">
      <dgm:prSet/>
      <dgm:spPr/>
      <dgm:t>
        <a:bodyPr/>
        <a:lstStyle/>
        <a:p>
          <a:r>
            <a:rPr lang="en-US"/>
            <a:t>DNR Status: No</a:t>
          </a:r>
        </a:p>
        <a:p>
          <a:r>
            <a:rPr lang="en-US"/>
            <a:t>n=</a:t>
          </a:r>
          <a:r>
            <a:rPr lang="en-US" baseline="0"/>
            <a:t> </a:t>
          </a:r>
          <a:r>
            <a:rPr lang="en-GB"/>
            <a:t>1,256 </a:t>
          </a:r>
          <a:endParaRPr lang="en-US"/>
        </a:p>
      </dgm:t>
    </dgm:pt>
    <dgm:pt modelId="{FFEA9354-68DE-5449-9D5D-CA6633BE4467}" type="sibTrans" cxnId="{D55C4A8A-8F99-7E46-B0AA-80FF322C6F4E}">
      <dgm:prSet/>
      <dgm:spPr/>
      <dgm:t>
        <a:bodyPr/>
        <a:lstStyle/>
        <a:p>
          <a:endParaRPr lang="en-US"/>
        </a:p>
      </dgm:t>
    </dgm:pt>
    <dgm:pt modelId="{1E8D89A7-1F68-014B-89B0-C293F5B757AA}" type="parTrans" cxnId="{D55C4A8A-8F99-7E46-B0AA-80FF322C6F4E}">
      <dgm:prSet/>
      <dgm:spPr/>
      <dgm:t>
        <a:bodyPr/>
        <a:lstStyle/>
        <a:p>
          <a:endParaRPr lang="en-US"/>
        </a:p>
      </dgm:t>
    </dgm:pt>
    <dgm:pt modelId="{40BBF0EF-57FA-9248-A3C1-76A7703F9894}" type="pres">
      <dgm:prSet presAssocID="{72553AE9-DC38-6847-8DF3-32C81CDF563C}" presName="hierChild1" presStyleCnt="0">
        <dgm:presLayoutVars>
          <dgm:orgChart val="1"/>
          <dgm:chPref val="1"/>
          <dgm:dir/>
          <dgm:animOne val="branch"/>
          <dgm:animLvl val="lvl"/>
          <dgm:resizeHandles/>
        </dgm:presLayoutVars>
      </dgm:prSet>
      <dgm:spPr/>
      <dgm:t>
        <a:bodyPr/>
        <a:lstStyle/>
        <a:p>
          <a:endParaRPr lang="en-US"/>
        </a:p>
      </dgm:t>
    </dgm:pt>
    <dgm:pt modelId="{31236462-915B-0340-92C8-B20E7D032FE2}" type="pres">
      <dgm:prSet presAssocID="{EEBF5A96-A0E4-654D-BA3A-7D3885D7BAB1}" presName="hierRoot1" presStyleCnt="0">
        <dgm:presLayoutVars>
          <dgm:hierBranch val="init"/>
        </dgm:presLayoutVars>
      </dgm:prSet>
      <dgm:spPr/>
    </dgm:pt>
    <dgm:pt modelId="{49991F0F-8B76-B04F-99F5-3C66BD905558}" type="pres">
      <dgm:prSet presAssocID="{EEBF5A96-A0E4-654D-BA3A-7D3885D7BAB1}" presName="rootComposite1" presStyleCnt="0"/>
      <dgm:spPr/>
    </dgm:pt>
    <dgm:pt modelId="{60C7FCEB-FB7C-EE4D-835D-DE51A0610B59}" type="pres">
      <dgm:prSet presAssocID="{EEBF5A96-A0E4-654D-BA3A-7D3885D7BAB1}" presName="rootText1" presStyleLbl="node0" presStyleIdx="0" presStyleCnt="1">
        <dgm:presLayoutVars>
          <dgm:chPref val="3"/>
        </dgm:presLayoutVars>
      </dgm:prSet>
      <dgm:spPr/>
      <dgm:t>
        <a:bodyPr/>
        <a:lstStyle/>
        <a:p>
          <a:endParaRPr lang="en-US"/>
        </a:p>
      </dgm:t>
    </dgm:pt>
    <dgm:pt modelId="{0B6654DD-45E8-EE4A-9D02-7E2BA85EAFED}" type="pres">
      <dgm:prSet presAssocID="{EEBF5A96-A0E4-654D-BA3A-7D3885D7BAB1}" presName="rootConnector1" presStyleLbl="node1" presStyleIdx="0" presStyleCnt="0"/>
      <dgm:spPr/>
      <dgm:t>
        <a:bodyPr/>
        <a:lstStyle/>
        <a:p>
          <a:endParaRPr lang="en-US"/>
        </a:p>
      </dgm:t>
    </dgm:pt>
    <dgm:pt modelId="{587C8FBA-2C96-F74A-8CE2-42E362D1ACF7}" type="pres">
      <dgm:prSet presAssocID="{EEBF5A96-A0E4-654D-BA3A-7D3885D7BAB1}" presName="hierChild2" presStyleCnt="0"/>
      <dgm:spPr/>
    </dgm:pt>
    <dgm:pt modelId="{B9B6595D-1595-6242-ABEF-F2D9EFC3AC3C}" type="pres">
      <dgm:prSet presAssocID="{C3274629-7F89-0D4C-AFA7-2BB9C07A69CD}" presName="Name37" presStyleLbl="parChTrans1D2" presStyleIdx="0" presStyleCnt="1"/>
      <dgm:spPr/>
      <dgm:t>
        <a:bodyPr/>
        <a:lstStyle/>
        <a:p>
          <a:endParaRPr lang="en-US"/>
        </a:p>
      </dgm:t>
    </dgm:pt>
    <dgm:pt modelId="{87128FA9-CC75-C343-8DB0-E050ADDF9971}" type="pres">
      <dgm:prSet presAssocID="{5D923691-C4D9-A445-8F8A-31EB3CDEB2F6}" presName="hierRoot2" presStyleCnt="0">
        <dgm:presLayoutVars>
          <dgm:hierBranch val="init"/>
        </dgm:presLayoutVars>
      </dgm:prSet>
      <dgm:spPr/>
    </dgm:pt>
    <dgm:pt modelId="{56F0FC93-2E5F-F24E-ACB8-3EA36B9795BD}" type="pres">
      <dgm:prSet presAssocID="{5D923691-C4D9-A445-8F8A-31EB3CDEB2F6}" presName="rootComposite" presStyleCnt="0"/>
      <dgm:spPr/>
    </dgm:pt>
    <dgm:pt modelId="{E6F1E70D-4663-C242-ABD1-1000B0F749C0}" type="pres">
      <dgm:prSet presAssocID="{5D923691-C4D9-A445-8F8A-31EB3CDEB2F6}" presName="rootText" presStyleLbl="node2" presStyleIdx="0" presStyleCnt="1" custScaleX="135444" custScaleY="176357" custLinFactNeighborX="-63" custLinFactNeighborY="-6473">
        <dgm:presLayoutVars>
          <dgm:chPref val="3"/>
        </dgm:presLayoutVars>
      </dgm:prSet>
      <dgm:spPr/>
      <dgm:t>
        <a:bodyPr/>
        <a:lstStyle/>
        <a:p>
          <a:endParaRPr lang="en-US"/>
        </a:p>
      </dgm:t>
    </dgm:pt>
    <dgm:pt modelId="{C3322F38-ED71-9041-93CC-4FBF0062D826}" type="pres">
      <dgm:prSet presAssocID="{5D923691-C4D9-A445-8F8A-31EB3CDEB2F6}" presName="rootConnector" presStyleLbl="node2" presStyleIdx="0" presStyleCnt="1"/>
      <dgm:spPr/>
      <dgm:t>
        <a:bodyPr/>
        <a:lstStyle/>
        <a:p>
          <a:endParaRPr lang="en-US"/>
        </a:p>
      </dgm:t>
    </dgm:pt>
    <dgm:pt modelId="{CC0FB36E-D20F-0149-9663-2BAAEA400524}" type="pres">
      <dgm:prSet presAssocID="{5D923691-C4D9-A445-8F8A-31EB3CDEB2F6}" presName="hierChild4" presStyleCnt="0"/>
      <dgm:spPr/>
    </dgm:pt>
    <dgm:pt modelId="{8D504276-9920-5949-BC87-8240EF63FCB4}" type="pres">
      <dgm:prSet presAssocID="{CBBAF087-45B3-2049-B652-7D516CF65ABB}" presName="Name37" presStyleLbl="parChTrans1D3" presStyleIdx="0" presStyleCnt="1"/>
      <dgm:spPr/>
      <dgm:t>
        <a:bodyPr/>
        <a:lstStyle/>
        <a:p>
          <a:endParaRPr lang="en-US"/>
        </a:p>
      </dgm:t>
    </dgm:pt>
    <dgm:pt modelId="{7C789361-AA32-514B-A6BC-2A8CC63DB12E}" type="pres">
      <dgm:prSet presAssocID="{BB327BD0-EDAA-ED4A-995F-B06166F27232}" presName="hierRoot2" presStyleCnt="0">
        <dgm:presLayoutVars>
          <dgm:hierBranch val="init"/>
        </dgm:presLayoutVars>
      </dgm:prSet>
      <dgm:spPr/>
    </dgm:pt>
    <dgm:pt modelId="{C49B6DE4-1ABC-3A40-B873-F0D6D97B3CC9}" type="pres">
      <dgm:prSet presAssocID="{BB327BD0-EDAA-ED4A-995F-B06166F27232}" presName="rootComposite" presStyleCnt="0"/>
      <dgm:spPr/>
    </dgm:pt>
    <dgm:pt modelId="{59F41621-9A83-104A-A082-A7F3F150D50A}" type="pres">
      <dgm:prSet presAssocID="{BB327BD0-EDAA-ED4A-995F-B06166F27232}" presName="rootText" presStyleLbl="node3" presStyleIdx="0" presStyleCnt="1">
        <dgm:presLayoutVars>
          <dgm:chPref val="3"/>
        </dgm:presLayoutVars>
      </dgm:prSet>
      <dgm:spPr/>
      <dgm:t>
        <a:bodyPr/>
        <a:lstStyle/>
        <a:p>
          <a:endParaRPr lang="en-US"/>
        </a:p>
      </dgm:t>
    </dgm:pt>
    <dgm:pt modelId="{48D4F89E-3955-5B48-84B0-891C6B89A207}" type="pres">
      <dgm:prSet presAssocID="{BB327BD0-EDAA-ED4A-995F-B06166F27232}" presName="rootConnector" presStyleLbl="node3" presStyleIdx="0" presStyleCnt="1"/>
      <dgm:spPr/>
      <dgm:t>
        <a:bodyPr/>
        <a:lstStyle/>
        <a:p>
          <a:endParaRPr lang="en-US"/>
        </a:p>
      </dgm:t>
    </dgm:pt>
    <dgm:pt modelId="{8206B1A7-C988-F547-B71F-EE598143FF46}" type="pres">
      <dgm:prSet presAssocID="{BB327BD0-EDAA-ED4A-995F-B06166F27232}" presName="hierChild4" presStyleCnt="0"/>
      <dgm:spPr/>
    </dgm:pt>
    <dgm:pt modelId="{2C694964-D9CF-3741-AEA0-6AC5E5515D03}" type="pres">
      <dgm:prSet presAssocID="{82C6847F-6959-594D-A275-D8AA3F2B306F}" presName="Name37" presStyleLbl="parChTrans1D4" presStyleIdx="0" presStyleCnt="2"/>
      <dgm:spPr/>
      <dgm:t>
        <a:bodyPr/>
        <a:lstStyle/>
        <a:p>
          <a:endParaRPr lang="en-US"/>
        </a:p>
      </dgm:t>
    </dgm:pt>
    <dgm:pt modelId="{DFA36726-2670-584B-999F-5FB3ECD866FE}" type="pres">
      <dgm:prSet presAssocID="{E24CA1B9-7CF7-BB4E-8289-688A08204540}" presName="hierRoot2" presStyleCnt="0">
        <dgm:presLayoutVars>
          <dgm:hierBranch val="init"/>
        </dgm:presLayoutVars>
      </dgm:prSet>
      <dgm:spPr/>
    </dgm:pt>
    <dgm:pt modelId="{3A6B33E9-8360-F346-9BDD-E14A8C58DA70}" type="pres">
      <dgm:prSet presAssocID="{E24CA1B9-7CF7-BB4E-8289-688A08204540}" presName="rootComposite" presStyleCnt="0"/>
      <dgm:spPr/>
    </dgm:pt>
    <dgm:pt modelId="{B735FC6E-D02F-0E4B-98AE-657C218625BD}" type="pres">
      <dgm:prSet presAssocID="{E24CA1B9-7CF7-BB4E-8289-688A08204540}" presName="rootText" presStyleLbl="node4" presStyleIdx="0" presStyleCnt="2" custLinFactNeighborX="1715" custLinFactNeighborY="34234">
        <dgm:presLayoutVars>
          <dgm:chPref val="3"/>
        </dgm:presLayoutVars>
      </dgm:prSet>
      <dgm:spPr/>
      <dgm:t>
        <a:bodyPr/>
        <a:lstStyle/>
        <a:p>
          <a:endParaRPr lang="en-US"/>
        </a:p>
      </dgm:t>
    </dgm:pt>
    <dgm:pt modelId="{101E13B5-0E2E-AE4C-88B7-0AE6E005B66D}" type="pres">
      <dgm:prSet presAssocID="{E24CA1B9-7CF7-BB4E-8289-688A08204540}" presName="rootConnector" presStyleLbl="node4" presStyleIdx="0" presStyleCnt="2"/>
      <dgm:spPr/>
      <dgm:t>
        <a:bodyPr/>
        <a:lstStyle/>
        <a:p>
          <a:endParaRPr lang="en-US"/>
        </a:p>
      </dgm:t>
    </dgm:pt>
    <dgm:pt modelId="{E65080A8-E99C-CA4E-B3A6-789E2D259410}" type="pres">
      <dgm:prSet presAssocID="{E24CA1B9-7CF7-BB4E-8289-688A08204540}" presName="hierChild4" presStyleCnt="0"/>
      <dgm:spPr/>
    </dgm:pt>
    <dgm:pt modelId="{649DEEDB-A429-7D4D-91FD-04C5081F8667}" type="pres">
      <dgm:prSet presAssocID="{E24CA1B9-7CF7-BB4E-8289-688A08204540}" presName="hierChild5" presStyleCnt="0"/>
      <dgm:spPr/>
    </dgm:pt>
    <dgm:pt modelId="{B3B9A5FA-0865-B542-A3D4-E612AF05574D}" type="pres">
      <dgm:prSet presAssocID="{1E8D89A7-1F68-014B-89B0-C293F5B757AA}" presName="Name37" presStyleLbl="parChTrans1D4" presStyleIdx="1" presStyleCnt="2"/>
      <dgm:spPr/>
      <dgm:t>
        <a:bodyPr/>
        <a:lstStyle/>
        <a:p>
          <a:endParaRPr lang="en-US"/>
        </a:p>
      </dgm:t>
    </dgm:pt>
    <dgm:pt modelId="{6A217E71-243F-AC49-9E06-5DAE02E6ECB6}" type="pres">
      <dgm:prSet presAssocID="{65839B38-B6AF-384F-96B1-4135E12D1617}" presName="hierRoot2" presStyleCnt="0">
        <dgm:presLayoutVars>
          <dgm:hierBranch val="init"/>
        </dgm:presLayoutVars>
      </dgm:prSet>
      <dgm:spPr/>
    </dgm:pt>
    <dgm:pt modelId="{F6E54402-BAD5-1841-AF53-3C68411FE2D5}" type="pres">
      <dgm:prSet presAssocID="{65839B38-B6AF-384F-96B1-4135E12D1617}" presName="rootComposite" presStyleCnt="0"/>
      <dgm:spPr/>
    </dgm:pt>
    <dgm:pt modelId="{6BFA53D8-A0C8-6E41-9DDC-17FD62F25027}" type="pres">
      <dgm:prSet presAssocID="{65839B38-B6AF-384F-96B1-4135E12D1617}" presName="rootText" presStyleLbl="node4" presStyleIdx="1" presStyleCnt="2" custLinFactX="-29350" custLinFactY="-7766" custLinFactNeighborX="-100000" custLinFactNeighborY="-100000">
        <dgm:presLayoutVars>
          <dgm:chPref val="3"/>
        </dgm:presLayoutVars>
      </dgm:prSet>
      <dgm:spPr/>
      <dgm:t>
        <a:bodyPr/>
        <a:lstStyle/>
        <a:p>
          <a:endParaRPr lang="en-US"/>
        </a:p>
      </dgm:t>
    </dgm:pt>
    <dgm:pt modelId="{88720DAD-E574-AC4D-BE46-591C9C8FD893}" type="pres">
      <dgm:prSet presAssocID="{65839B38-B6AF-384F-96B1-4135E12D1617}" presName="rootConnector" presStyleLbl="node4" presStyleIdx="1" presStyleCnt="2"/>
      <dgm:spPr/>
      <dgm:t>
        <a:bodyPr/>
        <a:lstStyle/>
        <a:p>
          <a:endParaRPr lang="en-US"/>
        </a:p>
      </dgm:t>
    </dgm:pt>
    <dgm:pt modelId="{6E78DA73-0032-FA49-8E07-6A6AA1EED7CB}" type="pres">
      <dgm:prSet presAssocID="{65839B38-B6AF-384F-96B1-4135E12D1617}" presName="hierChild4" presStyleCnt="0"/>
      <dgm:spPr/>
    </dgm:pt>
    <dgm:pt modelId="{92338295-4744-6748-B458-8B078A70110C}" type="pres">
      <dgm:prSet presAssocID="{65839B38-B6AF-384F-96B1-4135E12D1617}" presName="hierChild5" presStyleCnt="0"/>
      <dgm:spPr/>
    </dgm:pt>
    <dgm:pt modelId="{97C35C81-DEDF-9242-B1E1-70B885D30494}" type="pres">
      <dgm:prSet presAssocID="{BB327BD0-EDAA-ED4A-995F-B06166F27232}" presName="hierChild5" presStyleCnt="0"/>
      <dgm:spPr/>
    </dgm:pt>
    <dgm:pt modelId="{5FEF65C9-CC1B-A14D-A9C8-3C79AD200DA2}" type="pres">
      <dgm:prSet presAssocID="{5D923691-C4D9-A445-8F8A-31EB3CDEB2F6}" presName="hierChild5" presStyleCnt="0"/>
      <dgm:spPr/>
    </dgm:pt>
    <dgm:pt modelId="{B994E786-DBE2-4249-A467-F57FA89152F4}" type="pres">
      <dgm:prSet presAssocID="{EEBF5A96-A0E4-654D-BA3A-7D3885D7BAB1}" presName="hierChild3" presStyleCnt="0"/>
      <dgm:spPr/>
    </dgm:pt>
  </dgm:ptLst>
  <dgm:cxnLst>
    <dgm:cxn modelId="{5B9DE21B-BEF2-6D42-B080-01AC849CA52D}" type="presOf" srcId="{EEBF5A96-A0E4-654D-BA3A-7D3885D7BAB1}" destId="{0B6654DD-45E8-EE4A-9D02-7E2BA85EAFED}" srcOrd="1" destOrd="0" presId="urn:microsoft.com/office/officeart/2005/8/layout/orgChart1"/>
    <dgm:cxn modelId="{AA27AD6E-99A9-2E4B-AC2E-551D7294BA95}" type="presOf" srcId="{72553AE9-DC38-6847-8DF3-32C81CDF563C}" destId="{40BBF0EF-57FA-9248-A3C1-76A7703F9894}" srcOrd="0" destOrd="0" presId="urn:microsoft.com/office/officeart/2005/8/layout/orgChart1"/>
    <dgm:cxn modelId="{0388947D-7FB1-AA4C-8EF0-294B9FF34979}" type="presOf" srcId="{5D923691-C4D9-A445-8F8A-31EB3CDEB2F6}" destId="{E6F1E70D-4663-C242-ABD1-1000B0F749C0}" srcOrd="0" destOrd="0" presId="urn:microsoft.com/office/officeart/2005/8/layout/orgChart1"/>
    <dgm:cxn modelId="{96E04B56-3206-AA46-A68F-42D9C86013B2}" type="presOf" srcId="{E24CA1B9-7CF7-BB4E-8289-688A08204540}" destId="{101E13B5-0E2E-AE4C-88B7-0AE6E005B66D}" srcOrd="1" destOrd="0" presId="urn:microsoft.com/office/officeart/2005/8/layout/orgChart1"/>
    <dgm:cxn modelId="{87653ACF-2DA3-1E4B-8C4F-E19436FBC7C4}" srcId="{EEBF5A96-A0E4-654D-BA3A-7D3885D7BAB1}" destId="{5D923691-C4D9-A445-8F8A-31EB3CDEB2F6}" srcOrd="0" destOrd="0" parTransId="{C3274629-7F89-0D4C-AFA7-2BB9C07A69CD}" sibTransId="{72A7B01F-9048-154A-8DE4-0CF44996ADA2}"/>
    <dgm:cxn modelId="{D55C4A8A-8F99-7E46-B0AA-80FF322C6F4E}" srcId="{BB327BD0-EDAA-ED4A-995F-B06166F27232}" destId="{65839B38-B6AF-384F-96B1-4135E12D1617}" srcOrd="1" destOrd="0" parTransId="{1E8D89A7-1F68-014B-89B0-C293F5B757AA}" sibTransId="{FFEA9354-68DE-5449-9D5D-CA6633BE4467}"/>
    <dgm:cxn modelId="{D2059714-566B-ED4F-983A-E6D13DD8B955}" srcId="{72553AE9-DC38-6847-8DF3-32C81CDF563C}" destId="{EEBF5A96-A0E4-654D-BA3A-7D3885D7BAB1}" srcOrd="0" destOrd="0" parTransId="{C17A74BB-8FD3-344E-AC05-08355CDA41BE}" sibTransId="{AB473DEB-F3DC-3D45-99F2-8F60A6848DBE}"/>
    <dgm:cxn modelId="{2DFBED69-70B4-C54C-8266-1508F23BC2A3}" type="presOf" srcId="{E24CA1B9-7CF7-BB4E-8289-688A08204540}" destId="{B735FC6E-D02F-0E4B-98AE-657C218625BD}" srcOrd="0" destOrd="0" presId="urn:microsoft.com/office/officeart/2005/8/layout/orgChart1"/>
    <dgm:cxn modelId="{7CD7E8A7-14DD-4A47-B7A9-838CBFAF11BD}" type="presOf" srcId="{BB327BD0-EDAA-ED4A-995F-B06166F27232}" destId="{59F41621-9A83-104A-A082-A7F3F150D50A}" srcOrd="0" destOrd="0" presId="urn:microsoft.com/office/officeart/2005/8/layout/orgChart1"/>
    <dgm:cxn modelId="{2F4A8CE7-9B5F-614C-A529-ACEA44C07C6F}" type="presOf" srcId="{C3274629-7F89-0D4C-AFA7-2BB9C07A69CD}" destId="{B9B6595D-1595-6242-ABEF-F2D9EFC3AC3C}" srcOrd="0" destOrd="0" presId="urn:microsoft.com/office/officeart/2005/8/layout/orgChart1"/>
    <dgm:cxn modelId="{F96F7B3A-994D-674B-B623-B886CE083D8E}" type="presOf" srcId="{EEBF5A96-A0E4-654D-BA3A-7D3885D7BAB1}" destId="{60C7FCEB-FB7C-EE4D-835D-DE51A0610B59}" srcOrd="0" destOrd="0" presId="urn:microsoft.com/office/officeart/2005/8/layout/orgChart1"/>
    <dgm:cxn modelId="{4FDB209E-C9DE-FE4E-9B06-C9A84A075360}" type="presOf" srcId="{CBBAF087-45B3-2049-B652-7D516CF65ABB}" destId="{8D504276-9920-5949-BC87-8240EF63FCB4}" srcOrd="0" destOrd="0" presId="urn:microsoft.com/office/officeart/2005/8/layout/orgChart1"/>
    <dgm:cxn modelId="{E7CE12D7-17C7-5848-BD2F-84A06586AE17}" type="presOf" srcId="{82C6847F-6959-594D-A275-D8AA3F2B306F}" destId="{2C694964-D9CF-3741-AEA0-6AC5E5515D03}" srcOrd="0" destOrd="0" presId="urn:microsoft.com/office/officeart/2005/8/layout/orgChart1"/>
    <dgm:cxn modelId="{DC475D3D-44C0-3944-9F17-582C1D0AC101}" type="presOf" srcId="{5D923691-C4D9-A445-8F8A-31EB3CDEB2F6}" destId="{C3322F38-ED71-9041-93CC-4FBF0062D826}" srcOrd="1" destOrd="0" presId="urn:microsoft.com/office/officeart/2005/8/layout/orgChart1"/>
    <dgm:cxn modelId="{E62AC507-98CB-FC4E-A0A8-473C250C33E4}" srcId="{BB327BD0-EDAA-ED4A-995F-B06166F27232}" destId="{E24CA1B9-7CF7-BB4E-8289-688A08204540}" srcOrd="0" destOrd="0" parTransId="{82C6847F-6959-594D-A275-D8AA3F2B306F}" sibTransId="{BDAA738B-816D-DF49-A89A-2A1E68E23415}"/>
    <dgm:cxn modelId="{97CC45CD-DD94-5846-9BAD-D0BF03E99872}" srcId="{5D923691-C4D9-A445-8F8A-31EB3CDEB2F6}" destId="{BB327BD0-EDAA-ED4A-995F-B06166F27232}" srcOrd="0" destOrd="0" parTransId="{CBBAF087-45B3-2049-B652-7D516CF65ABB}" sibTransId="{F3711D89-4E64-E644-87EB-B5137D1F38AD}"/>
    <dgm:cxn modelId="{0ED70E18-AE02-5B4E-BB0F-CE88BC5AB807}" type="presOf" srcId="{65839B38-B6AF-384F-96B1-4135E12D1617}" destId="{88720DAD-E574-AC4D-BE46-591C9C8FD893}" srcOrd="1" destOrd="0" presId="urn:microsoft.com/office/officeart/2005/8/layout/orgChart1"/>
    <dgm:cxn modelId="{FE23B651-B153-0145-9A3A-81E618615826}" type="presOf" srcId="{BB327BD0-EDAA-ED4A-995F-B06166F27232}" destId="{48D4F89E-3955-5B48-84B0-891C6B89A207}" srcOrd="1" destOrd="0" presId="urn:microsoft.com/office/officeart/2005/8/layout/orgChart1"/>
    <dgm:cxn modelId="{4C38ECD7-9C13-3344-A3F2-5331AA2F3197}" type="presOf" srcId="{1E8D89A7-1F68-014B-89B0-C293F5B757AA}" destId="{B3B9A5FA-0865-B542-A3D4-E612AF05574D}" srcOrd="0" destOrd="0" presId="urn:microsoft.com/office/officeart/2005/8/layout/orgChart1"/>
    <dgm:cxn modelId="{3624C17F-6C2E-BE47-899B-E3FF0DDA3B5A}" type="presOf" srcId="{65839B38-B6AF-384F-96B1-4135E12D1617}" destId="{6BFA53D8-A0C8-6E41-9DDC-17FD62F25027}" srcOrd="0" destOrd="0" presId="urn:microsoft.com/office/officeart/2005/8/layout/orgChart1"/>
    <dgm:cxn modelId="{10FEC415-51D6-AD45-AECC-95D51BEB28A2}" type="presParOf" srcId="{40BBF0EF-57FA-9248-A3C1-76A7703F9894}" destId="{31236462-915B-0340-92C8-B20E7D032FE2}" srcOrd="0" destOrd="0" presId="urn:microsoft.com/office/officeart/2005/8/layout/orgChart1"/>
    <dgm:cxn modelId="{86E8E219-D204-134D-8475-E7AECF2A5206}" type="presParOf" srcId="{31236462-915B-0340-92C8-B20E7D032FE2}" destId="{49991F0F-8B76-B04F-99F5-3C66BD905558}" srcOrd="0" destOrd="0" presId="urn:microsoft.com/office/officeart/2005/8/layout/orgChart1"/>
    <dgm:cxn modelId="{0040A2FC-E3BA-3241-8154-CB7492894194}" type="presParOf" srcId="{49991F0F-8B76-B04F-99F5-3C66BD905558}" destId="{60C7FCEB-FB7C-EE4D-835D-DE51A0610B59}" srcOrd="0" destOrd="0" presId="urn:microsoft.com/office/officeart/2005/8/layout/orgChart1"/>
    <dgm:cxn modelId="{0549C037-4775-F14F-9730-058AF2BD5232}" type="presParOf" srcId="{49991F0F-8B76-B04F-99F5-3C66BD905558}" destId="{0B6654DD-45E8-EE4A-9D02-7E2BA85EAFED}" srcOrd="1" destOrd="0" presId="urn:microsoft.com/office/officeart/2005/8/layout/orgChart1"/>
    <dgm:cxn modelId="{7C8D7334-24C7-1944-B4F0-1DCC98AC9109}" type="presParOf" srcId="{31236462-915B-0340-92C8-B20E7D032FE2}" destId="{587C8FBA-2C96-F74A-8CE2-42E362D1ACF7}" srcOrd="1" destOrd="0" presId="urn:microsoft.com/office/officeart/2005/8/layout/orgChart1"/>
    <dgm:cxn modelId="{050E5AC0-99E8-464D-9FCA-3C85E90EB4E0}" type="presParOf" srcId="{587C8FBA-2C96-F74A-8CE2-42E362D1ACF7}" destId="{B9B6595D-1595-6242-ABEF-F2D9EFC3AC3C}" srcOrd="0" destOrd="0" presId="urn:microsoft.com/office/officeart/2005/8/layout/orgChart1"/>
    <dgm:cxn modelId="{E4AC26B9-BA5C-7C4B-9C7D-49D2A43C418E}" type="presParOf" srcId="{587C8FBA-2C96-F74A-8CE2-42E362D1ACF7}" destId="{87128FA9-CC75-C343-8DB0-E050ADDF9971}" srcOrd="1" destOrd="0" presId="urn:microsoft.com/office/officeart/2005/8/layout/orgChart1"/>
    <dgm:cxn modelId="{043EBEE9-5A7E-B24B-8D6C-202747248AC5}" type="presParOf" srcId="{87128FA9-CC75-C343-8DB0-E050ADDF9971}" destId="{56F0FC93-2E5F-F24E-ACB8-3EA36B9795BD}" srcOrd="0" destOrd="0" presId="urn:microsoft.com/office/officeart/2005/8/layout/orgChart1"/>
    <dgm:cxn modelId="{BAEDBF83-548F-DF4E-8323-DDEF56BA5413}" type="presParOf" srcId="{56F0FC93-2E5F-F24E-ACB8-3EA36B9795BD}" destId="{E6F1E70D-4663-C242-ABD1-1000B0F749C0}" srcOrd="0" destOrd="0" presId="urn:microsoft.com/office/officeart/2005/8/layout/orgChart1"/>
    <dgm:cxn modelId="{7D01018E-C8D3-514F-B5F0-3A0133D403DF}" type="presParOf" srcId="{56F0FC93-2E5F-F24E-ACB8-3EA36B9795BD}" destId="{C3322F38-ED71-9041-93CC-4FBF0062D826}" srcOrd="1" destOrd="0" presId="urn:microsoft.com/office/officeart/2005/8/layout/orgChart1"/>
    <dgm:cxn modelId="{EA48BBA2-4635-4243-B045-DC9097EEC7AD}" type="presParOf" srcId="{87128FA9-CC75-C343-8DB0-E050ADDF9971}" destId="{CC0FB36E-D20F-0149-9663-2BAAEA400524}" srcOrd="1" destOrd="0" presId="urn:microsoft.com/office/officeart/2005/8/layout/orgChart1"/>
    <dgm:cxn modelId="{845B0B8A-3469-D141-B525-1789FE461DEB}" type="presParOf" srcId="{CC0FB36E-D20F-0149-9663-2BAAEA400524}" destId="{8D504276-9920-5949-BC87-8240EF63FCB4}" srcOrd="0" destOrd="0" presId="urn:microsoft.com/office/officeart/2005/8/layout/orgChart1"/>
    <dgm:cxn modelId="{0F205D7B-70E6-5249-867A-E8A4D8D340E4}" type="presParOf" srcId="{CC0FB36E-D20F-0149-9663-2BAAEA400524}" destId="{7C789361-AA32-514B-A6BC-2A8CC63DB12E}" srcOrd="1" destOrd="0" presId="urn:microsoft.com/office/officeart/2005/8/layout/orgChart1"/>
    <dgm:cxn modelId="{AB3CA96A-ABE2-9446-A99E-20D8579E43E5}" type="presParOf" srcId="{7C789361-AA32-514B-A6BC-2A8CC63DB12E}" destId="{C49B6DE4-1ABC-3A40-B873-F0D6D97B3CC9}" srcOrd="0" destOrd="0" presId="urn:microsoft.com/office/officeart/2005/8/layout/orgChart1"/>
    <dgm:cxn modelId="{90CA37A0-AEC2-ED40-A4EA-D2785FFF3960}" type="presParOf" srcId="{C49B6DE4-1ABC-3A40-B873-F0D6D97B3CC9}" destId="{59F41621-9A83-104A-A082-A7F3F150D50A}" srcOrd="0" destOrd="0" presId="urn:microsoft.com/office/officeart/2005/8/layout/orgChart1"/>
    <dgm:cxn modelId="{43ED7B28-426F-6242-823E-7C0B955A7080}" type="presParOf" srcId="{C49B6DE4-1ABC-3A40-B873-F0D6D97B3CC9}" destId="{48D4F89E-3955-5B48-84B0-891C6B89A207}" srcOrd="1" destOrd="0" presId="urn:microsoft.com/office/officeart/2005/8/layout/orgChart1"/>
    <dgm:cxn modelId="{ACBF091C-4F9F-5E48-AE76-916F539CF1A0}" type="presParOf" srcId="{7C789361-AA32-514B-A6BC-2A8CC63DB12E}" destId="{8206B1A7-C988-F547-B71F-EE598143FF46}" srcOrd="1" destOrd="0" presId="urn:microsoft.com/office/officeart/2005/8/layout/orgChart1"/>
    <dgm:cxn modelId="{82B8D4AB-1587-5348-B266-56381783253B}" type="presParOf" srcId="{8206B1A7-C988-F547-B71F-EE598143FF46}" destId="{2C694964-D9CF-3741-AEA0-6AC5E5515D03}" srcOrd="0" destOrd="0" presId="urn:microsoft.com/office/officeart/2005/8/layout/orgChart1"/>
    <dgm:cxn modelId="{0ED08924-79F1-F34C-BBF4-86BE0A77FF04}" type="presParOf" srcId="{8206B1A7-C988-F547-B71F-EE598143FF46}" destId="{DFA36726-2670-584B-999F-5FB3ECD866FE}" srcOrd="1" destOrd="0" presId="urn:microsoft.com/office/officeart/2005/8/layout/orgChart1"/>
    <dgm:cxn modelId="{4B93FEE8-7ECA-3242-804C-D650C259A17E}" type="presParOf" srcId="{DFA36726-2670-584B-999F-5FB3ECD866FE}" destId="{3A6B33E9-8360-F346-9BDD-E14A8C58DA70}" srcOrd="0" destOrd="0" presId="urn:microsoft.com/office/officeart/2005/8/layout/orgChart1"/>
    <dgm:cxn modelId="{6B7B4CF8-94E6-634B-9F4D-3DDCF2A3057B}" type="presParOf" srcId="{3A6B33E9-8360-F346-9BDD-E14A8C58DA70}" destId="{B735FC6E-D02F-0E4B-98AE-657C218625BD}" srcOrd="0" destOrd="0" presId="urn:microsoft.com/office/officeart/2005/8/layout/orgChart1"/>
    <dgm:cxn modelId="{F831CA60-ADE1-A64A-8010-EF6DB97E931C}" type="presParOf" srcId="{3A6B33E9-8360-F346-9BDD-E14A8C58DA70}" destId="{101E13B5-0E2E-AE4C-88B7-0AE6E005B66D}" srcOrd="1" destOrd="0" presId="urn:microsoft.com/office/officeart/2005/8/layout/orgChart1"/>
    <dgm:cxn modelId="{EC563424-C05C-8D4A-A6BA-93E43D3BF558}" type="presParOf" srcId="{DFA36726-2670-584B-999F-5FB3ECD866FE}" destId="{E65080A8-E99C-CA4E-B3A6-789E2D259410}" srcOrd="1" destOrd="0" presId="urn:microsoft.com/office/officeart/2005/8/layout/orgChart1"/>
    <dgm:cxn modelId="{52A51363-4058-B74B-A706-18156F9F722E}" type="presParOf" srcId="{DFA36726-2670-584B-999F-5FB3ECD866FE}" destId="{649DEEDB-A429-7D4D-91FD-04C5081F8667}" srcOrd="2" destOrd="0" presId="urn:microsoft.com/office/officeart/2005/8/layout/orgChart1"/>
    <dgm:cxn modelId="{9064192D-C18E-7940-AD98-2AA271702936}" type="presParOf" srcId="{8206B1A7-C988-F547-B71F-EE598143FF46}" destId="{B3B9A5FA-0865-B542-A3D4-E612AF05574D}" srcOrd="2" destOrd="0" presId="urn:microsoft.com/office/officeart/2005/8/layout/orgChart1"/>
    <dgm:cxn modelId="{DE3BEBC0-6F47-C546-9605-0C96B3D04414}" type="presParOf" srcId="{8206B1A7-C988-F547-B71F-EE598143FF46}" destId="{6A217E71-243F-AC49-9E06-5DAE02E6ECB6}" srcOrd="3" destOrd="0" presId="urn:microsoft.com/office/officeart/2005/8/layout/orgChart1"/>
    <dgm:cxn modelId="{D1564E2C-194E-184A-B550-BF74528B1938}" type="presParOf" srcId="{6A217E71-243F-AC49-9E06-5DAE02E6ECB6}" destId="{F6E54402-BAD5-1841-AF53-3C68411FE2D5}" srcOrd="0" destOrd="0" presId="urn:microsoft.com/office/officeart/2005/8/layout/orgChart1"/>
    <dgm:cxn modelId="{285197EE-86F4-9140-ACB3-7F11F20E6131}" type="presParOf" srcId="{F6E54402-BAD5-1841-AF53-3C68411FE2D5}" destId="{6BFA53D8-A0C8-6E41-9DDC-17FD62F25027}" srcOrd="0" destOrd="0" presId="urn:microsoft.com/office/officeart/2005/8/layout/orgChart1"/>
    <dgm:cxn modelId="{FB002E0B-8EFC-3049-85AB-9CD145E8626C}" type="presParOf" srcId="{F6E54402-BAD5-1841-AF53-3C68411FE2D5}" destId="{88720DAD-E574-AC4D-BE46-591C9C8FD893}" srcOrd="1" destOrd="0" presId="urn:microsoft.com/office/officeart/2005/8/layout/orgChart1"/>
    <dgm:cxn modelId="{74E43CE5-6DEF-874B-AA1A-19DC9948CF7E}" type="presParOf" srcId="{6A217E71-243F-AC49-9E06-5DAE02E6ECB6}" destId="{6E78DA73-0032-FA49-8E07-6A6AA1EED7CB}" srcOrd="1" destOrd="0" presId="urn:microsoft.com/office/officeart/2005/8/layout/orgChart1"/>
    <dgm:cxn modelId="{9D55FF72-233F-F04C-8279-41B37F1E793E}" type="presParOf" srcId="{6A217E71-243F-AC49-9E06-5DAE02E6ECB6}" destId="{92338295-4744-6748-B458-8B078A70110C}" srcOrd="2" destOrd="0" presId="urn:microsoft.com/office/officeart/2005/8/layout/orgChart1"/>
    <dgm:cxn modelId="{A591B740-043D-754F-B367-EA4DD5ACB92C}" type="presParOf" srcId="{7C789361-AA32-514B-A6BC-2A8CC63DB12E}" destId="{97C35C81-DEDF-9242-B1E1-70B885D30494}" srcOrd="2" destOrd="0" presId="urn:microsoft.com/office/officeart/2005/8/layout/orgChart1"/>
    <dgm:cxn modelId="{DE60BCD3-C9E1-0E4F-8E54-DB0F4037D8DE}" type="presParOf" srcId="{87128FA9-CC75-C343-8DB0-E050ADDF9971}" destId="{5FEF65C9-CC1B-A14D-A9C8-3C79AD200DA2}" srcOrd="2" destOrd="0" presId="urn:microsoft.com/office/officeart/2005/8/layout/orgChart1"/>
    <dgm:cxn modelId="{AA37978D-DE1E-DD42-8CA2-2E8E612B1560}" type="presParOf" srcId="{31236462-915B-0340-92C8-B20E7D032FE2}" destId="{B994E786-DBE2-4249-A467-F57FA89152F4}"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B9A5FA-0865-B542-A3D4-E612AF05574D}">
      <dsp:nvSpPr>
        <dsp:cNvPr id="0" name=""/>
        <dsp:cNvSpPr/>
      </dsp:nvSpPr>
      <dsp:spPr>
        <a:xfrm>
          <a:off x="1603420" y="2585489"/>
          <a:ext cx="161133" cy="708728"/>
        </a:xfrm>
        <a:custGeom>
          <a:avLst/>
          <a:gdLst/>
          <a:ahLst/>
          <a:cxnLst/>
          <a:rect l="0" t="0" r="0" b="0"/>
          <a:pathLst>
            <a:path>
              <a:moveTo>
                <a:pt x="161133" y="0"/>
              </a:moveTo>
              <a:lnTo>
                <a:pt x="161133" y="708728"/>
              </a:lnTo>
              <a:lnTo>
                <a:pt x="0" y="708728"/>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C694964-D9CF-3741-AEA0-6AC5E5515D03}">
      <dsp:nvSpPr>
        <dsp:cNvPr id="0" name=""/>
        <dsp:cNvSpPr/>
      </dsp:nvSpPr>
      <dsp:spPr>
        <a:xfrm>
          <a:off x="1764553" y="2585489"/>
          <a:ext cx="187689" cy="708728"/>
        </a:xfrm>
        <a:custGeom>
          <a:avLst/>
          <a:gdLst/>
          <a:ahLst/>
          <a:cxnLst/>
          <a:rect l="0" t="0" r="0" b="0"/>
          <a:pathLst>
            <a:path>
              <a:moveTo>
                <a:pt x="0" y="0"/>
              </a:moveTo>
              <a:lnTo>
                <a:pt x="0" y="708728"/>
              </a:lnTo>
              <a:lnTo>
                <a:pt x="187689" y="708728"/>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D504276-9920-5949-BC87-8240EF63FCB4}">
      <dsp:nvSpPr>
        <dsp:cNvPr id="0" name=""/>
        <dsp:cNvSpPr/>
      </dsp:nvSpPr>
      <dsp:spPr>
        <a:xfrm>
          <a:off x="2167278" y="1751902"/>
          <a:ext cx="91440" cy="272146"/>
        </a:xfrm>
        <a:custGeom>
          <a:avLst/>
          <a:gdLst/>
          <a:ahLst/>
          <a:cxnLst/>
          <a:rect l="0" t="0" r="0" b="0"/>
          <a:pathLst>
            <a:path>
              <a:moveTo>
                <a:pt x="45720" y="0"/>
              </a:moveTo>
              <a:lnTo>
                <a:pt x="45720" y="154244"/>
              </a:lnTo>
              <a:lnTo>
                <a:pt x="46427" y="154244"/>
              </a:lnTo>
              <a:lnTo>
                <a:pt x="46427" y="27214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9B6595D-1595-6242-ABEF-F2D9EFC3AC3C}">
      <dsp:nvSpPr>
        <dsp:cNvPr id="0" name=""/>
        <dsp:cNvSpPr/>
      </dsp:nvSpPr>
      <dsp:spPr>
        <a:xfrm>
          <a:off x="2167278" y="562300"/>
          <a:ext cx="91440" cy="199462"/>
        </a:xfrm>
        <a:custGeom>
          <a:avLst/>
          <a:gdLst/>
          <a:ahLst/>
          <a:cxnLst/>
          <a:rect l="0" t="0" r="0" b="0"/>
          <a:pathLst>
            <a:path>
              <a:moveTo>
                <a:pt x="46427" y="0"/>
              </a:moveTo>
              <a:lnTo>
                <a:pt x="46427" y="81560"/>
              </a:lnTo>
              <a:lnTo>
                <a:pt x="45720" y="81560"/>
              </a:lnTo>
              <a:lnTo>
                <a:pt x="45720" y="199462"/>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0C7FCEB-FB7C-EE4D-835D-DE51A0610B59}">
      <dsp:nvSpPr>
        <dsp:cNvPr id="0" name=""/>
        <dsp:cNvSpPr/>
      </dsp:nvSpPr>
      <dsp:spPr>
        <a:xfrm>
          <a:off x="1652265" y="860"/>
          <a:ext cx="1122880" cy="561440"/>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National Surgical Quality Improvement Project Participant Use File 2007-2013</a:t>
          </a:r>
        </a:p>
      </dsp:txBody>
      <dsp:txXfrm>
        <a:off x="1652265" y="860"/>
        <a:ext cx="1122880" cy="561440"/>
      </dsp:txXfrm>
    </dsp:sp>
    <dsp:sp modelId="{E6F1E70D-4663-C242-ABD1-1000B0F749C0}">
      <dsp:nvSpPr>
        <dsp:cNvPr id="0" name=""/>
        <dsp:cNvSpPr/>
      </dsp:nvSpPr>
      <dsp:spPr>
        <a:xfrm>
          <a:off x="1452561" y="761763"/>
          <a:ext cx="1520873" cy="990139"/>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Hip fracture surgery Current Procedural Terminology</a:t>
          </a:r>
          <a:r>
            <a:rPr lang="en-US" sz="1300" kern="1200" baseline="0"/>
            <a:t> </a:t>
          </a:r>
          <a:r>
            <a:rPr lang="en-US" sz="1300" kern="1200"/>
            <a:t>codes* </a:t>
          </a:r>
          <a:endParaRPr lang="en-US" sz="1100" kern="1200"/>
        </a:p>
      </dsp:txBody>
      <dsp:txXfrm>
        <a:off x="1452561" y="761763"/>
        <a:ext cx="1520873" cy="990139"/>
      </dsp:txXfrm>
    </dsp:sp>
    <dsp:sp modelId="{59F41621-9A83-104A-A082-A7F3F150D50A}">
      <dsp:nvSpPr>
        <dsp:cNvPr id="0" name=""/>
        <dsp:cNvSpPr/>
      </dsp:nvSpPr>
      <dsp:spPr>
        <a:xfrm>
          <a:off x="1652265" y="2024049"/>
          <a:ext cx="1122880" cy="561440"/>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Included </a:t>
          </a:r>
        </a:p>
        <a:p>
          <a:pPr lvl="0" algn="ctr" defTabSz="400050">
            <a:lnSpc>
              <a:spcPct val="90000"/>
            </a:lnSpc>
            <a:spcBef>
              <a:spcPct val="0"/>
            </a:spcBef>
            <a:spcAft>
              <a:spcPct val="35000"/>
            </a:spcAft>
          </a:pPr>
          <a:r>
            <a:rPr lang="en-US" sz="900" kern="1200"/>
            <a:t>n= </a:t>
          </a:r>
          <a:r>
            <a:rPr lang="en-GB" sz="900" kern="1200"/>
            <a:t>9,218</a:t>
          </a:r>
          <a:endParaRPr lang="en-US" sz="900" kern="1200"/>
        </a:p>
      </dsp:txBody>
      <dsp:txXfrm>
        <a:off x="1652265" y="2024049"/>
        <a:ext cx="1122880" cy="561440"/>
      </dsp:txXfrm>
    </dsp:sp>
    <dsp:sp modelId="{B735FC6E-D02F-0E4B-98AE-657C218625BD}">
      <dsp:nvSpPr>
        <dsp:cNvPr id="0" name=""/>
        <dsp:cNvSpPr/>
      </dsp:nvSpPr>
      <dsp:spPr>
        <a:xfrm>
          <a:off x="1952243" y="3013497"/>
          <a:ext cx="1122880" cy="561440"/>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DNR Status: Yes </a:t>
          </a:r>
        </a:p>
        <a:p>
          <a:pPr lvl="0" algn="ctr" defTabSz="400050">
            <a:lnSpc>
              <a:spcPct val="90000"/>
            </a:lnSpc>
            <a:spcBef>
              <a:spcPct val="0"/>
            </a:spcBef>
            <a:spcAft>
              <a:spcPct val="35000"/>
            </a:spcAft>
          </a:pPr>
          <a:r>
            <a:rPr lang="en-US" sz="900" kern="1200"/>
            <a:t>n= </a:t>
          </a:r>
          <a:r>
            <a:rPr lang="en-GB" sz="900" kern="1200"/>
            <a:t>7,962 </a:t>
          </a:r>
          <a:endParaRPr lang="en-US" sz="900" kern="1200"/>
        </a:p>
      </dsp:txBody>
      <dsp:txXfrm>
        <a:off x="1952243" y="3013497"/>
        <a:ext cx="1122880" cy="561440"/>
      </dsp:txXfrm>
    </dsp:sp>
    <dsp:sp modelId="{6BFA53D8-A0C8-6E41-9DDC-17FD62F25027}">
      <dsp:nvSpPr>
        <dsp:cNvPr id="0" name=""/>
        <dsp:cNvSpPr/>
      </dsp:nvSpPr>
      <dsp:spPr>
        <a:xfrm>
          <a:off x="480540" y="3013497"/>
          <a:ext cx="1122880" cy="561440"/>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DNR Status: No</a:t>
          </a:r>
        </a:p>
        <a:p>
          <a:pPr lvl="0" algn="ctr" defTabSz="400050">
            <a:lnSpc>
              <a:spcPct val="90000"/>
            </a:lnSpc>
            <a:spcBef>
              <a:spcPct val="0"/>
            </a:spcBef>
            <a:spcAft>
              <a:spcPct val="35000"/>
            </a:spcAft>
          </a:pPr>
          <a:r>
            <a:rPr lang="en-US" sz="900" kern="1200"/>
            <a:t>n=</a:t>
          </a:r>
          <a:r>
            <a:rPr lang="en-US" sz="900" kern="1200" baseline="0"/>
            <a:t> </a:t>
          </a:r>
          <a:r>
            <a:rPr lang="en-GB" sz="900" kern="1200"/>
            <a:t>1,256 </a:t>
          </a:r>
          <a:endParaRPr lang="en-US" sz="900" kern="1200"/>
        </a:p>
      </dsp:txBody>
      <dsp:txXfrm>
        <a:off x="480540" y="3013497"/>
        <a:ext cx="1122880" cy="56144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FD722-15A7-9743-9DCE-08AF60F19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37</Pages>
  <Words>32417</Words>
  <Characters>184779</Characters>
  <Application>Microsoft Macintosh Word</Application>
  <DocSecurity>0</DocSecurity>
  <Lines>1539</Lines>
  <Paragraphs>433</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216763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Anair Beverly</dc:creator>
  <cp:lastModifiedBy>Na Ma</cp:lastModifiedBy>
  <cp:revision>12</cp:revision>
  <dcterms:created xsi:type="dcterms:W3CDTF">2017-11-29T22:21:00Z</dcterms:created>
  <dcterms:modified xsi:type="dcterms:W3CDTF">2017-11-30T01:25:00Z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35eaef9d-8a82-32dc-9a4d-5668c0706bc4</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http://www.zotero.org/styles/chicago-author-date</vt:lpwstr>
  </property>
  <property fmtid="{D5CDD505-2E9C-101B-9397-08002B2CF9AE}" pid="9" name="Mendeley Recent Style Name 2_1">
    <vt:lpwstr>Chicago Manual of Style 16th edition (author-date)</vt:lpwstr>
  </property>
  <property fmtid="{D5CDD505-2E9C-101B-9397-08002B2CF9AE}" pid="10" name="Mendeley Recent Style Id 3_1">
    <vt:lpwstr>http://www.zotero.org/styles/ieee</vt:lpwstr>
  </property>
  <property fmtid="{D5CDD505-2E9C-101B-9397-08002B2CF9AE}" pid="11" name="Mendeley Recent Style Name 3_1">
    <vt:lpwstr>IEEE</vt:lpwstr>
  </property>
  <property fmtid="{D5CDD505-2E9C-101B-9397-08002B2CF9AE}" pid="12" name="Mendeley Recent Style Id 4_1">
    <vt:lpwstr>http://www.zotero.org/styles/modern-humanities-research-association</vt:lpwstr>
  </property>
  <property fmtid="{D5CDD505-2E9C-101B-9397-08002B2CF9AE}" pid="13" name="Mendeley Recent Style Name 4_1">
    <vt:lpwstr>Modern Humanities Research Association 3rd edition (note with bibliography)</vt:lpwstr>
  </property>
  <property fmtid="{D5CDD505-2E9C-101B-9397-08002B2CF9AE}" pid="14" name="Mendeley Recent Style Id 5_1">
    <vt:lpwstr>http://www.zotero.org/styles/pain</vt:lpwstr>
  </property>
  <property fmtid="{D5CDD505-2E9C-101B-9397-08002B2CF9AE}" pid="15" name="Mendeley Recent Style Name 5_1">
    <vt:lpwstr>PAIN</vt:lpwstr>
  </property>
  <property fmtid="{D5CDD505-2E9C-101B-9397-08002B2CF9AE}" pid="16" name="Mendeley Recent Style Id 6_1">
    <vt:lpwstr>http://csl.mendeley.com/styles/451146661/pain</vt:lpwstr>
  </property>
  <property fmtid="{D5CDD505-2E9C-101B-9397-08002B2CF9AE}" pid="17" name="Mendeley Recent Style Name 6_1">
    <vt:lpwstr>Pain Physician - Custom Style_Andrew Pisansky</vt:lpwstr>
  </property>
  <property fmtid="{D5CDD505-2E9C-101B-9397-08002B2CF9AE}" pid="18" name="Mendeley Recent Style Id 7_1">
    <vt:lpwstr>http://csl.mendeley.com/styles/451146661/WorldJournalOrthopedicSurgery-2AP</vt:lpwstr>
  </property>
  <property fmtid="{D5CDD505-2E9C-101B-9397-08002B2CF9AE}" pid="19" name="Mendeley Recent Style Name 7_1">
    <vt:lpwstr>Springer - Basic (numeric, brackets) - Andrew Pisansky</vt:lpwstr>
  </property>
  <property fmtid="{D5CDD505-2E9C-101B-9397-08002B2CF9AE}" pid="20" name="Mendeley Recent Style Id 8_1">
    <vt:lpwstr>http://csl.mendeley.com/styles/451146661/WorldJournalOrthopedicSurgery-3AP</vt:lpwstr>
  </property>
  <property fmtid="{D5CDD505-2E9C-101B-9397-08002B2CF9AE}" pid="21" name="Mendeley Recent Style Name 8_1">
    <vt:lpwstr>Springer - Basic (numeric, brackets) - Andrew Pisansky</vt:lpwstr>
  </property>
  <property fmtid="{D5CDD505-2E9C-101B-9397-08002B2CF9AE}" pid="22" name="Mendeley Recent Style Id 9_1">
    <vt:lpwstr>http://www.zotero.org/styles/world-journal-of-surgery</vt:lpwstr>
  </property>
  <property fmtid="{D5CDD505-2E9C-101B-9397-08002B2CF9AE}" pid="23" name="Mendeley Recent Style Name 9_1">
    <vt:lpwstr>World Journal of Surgery</vt:lpwstr>
  </property>
  <property fmtid="{D5CDD505-2E9C-101B-9397-08002B2CF9AE}" pid="24" name="Mendeley Citation Style_1">
    <vt:lpwstr>http://csl.mendeley.com/styles/451146661/WorldJournalOrthopedicSurgery-3AP</vt:lpwstr>
  </property>
</Properties>
</file>