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99" w:rsidRPr="00010B85" w:rsidRDefault="00282799" w:rsidP="00010B85">
      <w:pPr>
        <w:spacing w:line="360" w:lineRule="auto"/>
        <w:rPr>
          <w:rFonts w:ascii="Book Antiqua" w:hAnsi="Book Antiqua" w:cs="Tahoma"/>
          <w:b/>
          <w:color w:val="000000"/>
          <w:sz w:val="24"/>
        </w:rPr>
      </w:pPr>
      <w:bookmarkStart w:id="0" w:name="OLE_LINK169"/>
      <w:bookmarkStart w:id="1" w:name="OLE_LINK170"/>
      <w:r w:rsidRPr="00010B85">
        <w:rPr>
          <w:rFonts w:ascii="Book Antiqua" w:hAnsi="Book Antiqua" w:cs="Tahoma"/>
          <w:b/>
          <w:color w:val="0000FF"/>
          <w:sz w:val="24"/>
        </w:rPr>
        <w:t xml:space="preserve">Name of journal: </w:t>
      </w:r>
      <w:r w:rsidRPr="00010B85">
        <w:rPr>
          <w:rFonts w:ascii="Book Antiqua" w:hAnsi="Book Antiqua" w:cs="Tahoma"/>
          <w:b/>
          <w:color w:val="000000"/>
          <w:sz w:val="24"/>
        </w:rPr>
        <w:t>World Journal of Gastroenterology</w:t>
      </w:r>
    </w:p>
    <w:p w:rsidR="00282799" w:rsidRPr="00010B85" w:rsidRDefault="00282799" w:rsidP="00010B85">
      <w:pPr>
        <w:spacing w:line="360" w:lineRule="auto"/>
        <w:rPr>
          <w:rFonts w:ascii="Book Antiqua" w:hAnsi="Book Antiqua" w:cs="Tahoma"/>
          <w:b/>
          <w:color w:val="0000FF"/>
          <w:sz w:val="24"/>
        </w:rPr>
      </w:pPr>
      <w:r w:rsidRPr="00010B85">
        <w:rPr>
          <w:rFonts w:ascii="Book Antiqua" w:hAnsi="Book Antiqua" w:cs="Tahoma"/>
          <w:b/>
          <w:color w:val="0000FF"/>
          <w:sz w:val="24"/>
        </w:rPr>
        <w:t>ESPS Manuscript NO: 3538</w:t>
      </w:r>
    </w:p>
    <w:p w:rsidR="00282799" w:rsidRPr="00010B85" w:rsidRDefault="00282799" w:rsidP="00010B85">
      <w:pPr>
        <w:spacing w:line="360" w:lineRule="auto"/>
        <w:rPr>
          <w:rFonts w:ascii="Book Antiqua" w:hAnsi="Book Antiqua" w:cs="Tahoma"/>
          <w:b/>
          <w:color w:val="000000"/>
          <w:sz w:val="24"/>
        </w:rPr>
      </w:pPr>
      <w:r w:rsidRPr="00010B85">
        <w:rPr>
          <w:rFonts w:ascii="Book Antiqua" w:hAnsi="Book Antiqua" w:cs="Tahoma"/>
          <w:b/>
          <w:color w:val="0000FF"/>
          <w:sz w:val="24"/>
        </w:rPr>
        <w:t xml:space="preserve">Columns: </w:t>
      </w:r>
      <w:r w:rsidRPr="00010B85">
        <w:rPr>
          <w:rFonts w:ascii="Book Antiqua" w:hAnsi="Book Antiqua" w:cs="Tahoma"/>
          <w:b/>
          <w:color w:val="000000"/>
          <w:sz w:val="24"/>
        </w:rPr>
        <w:t>BRIEF ARTICLE</w:t>
      </w:r>
    </w:p>
    <w:p w:rsidR="00282799" w:rsidRPr="00010B85" w:rsidRDefault="00282799" w:rsidP="00010B85">
      <w:pPr>
        <w:spacing w:line="360" w:lineRule="auto"/>
        <w:rPr>
          <w:rFonts w:ascii="Book Antiqua" w:hAnsi="Book Antiqua" w:cs="Tahoma"/>
          <w:b/>
          <w:color w:val="0000FF"/>
          <w:sz w:val="24"/>
        </w:rPr>
      </w:pPr>
    </w:p>
    <w:bookmarkEnd w:id="0"/>
    <w:bookmarkEnd w:id="1"/>
    <w:p w:rsidR="00282799" w:rsidRPr="00010B85" w:rsidRDefault="00282799" w:rsidP="00010B85">
      <w:pPr>
        <w:spacing w:line="360" w:lineRule="auto"/>
        <w:rPr>
          <w:rFonts w:ascii="Book Antiqua" w:hAnsi="Book Antiqua"/>
          <w:b/>
          <w:i/>
          <w:sz w:val="24"/>
        </w:rPr>
      </w:pPr>
      <w:r w:rsidRPr="00010B85">
        <w:rPr>
          <w:rFonts w:ascii="Book Antiqua" w:hAnsi="Book Antiqua"/>
          <w:b/>
          <w:sz w:val="24"/>
        </w:rPr>
        <w:t xml:space="preserve">Influence of chronic HBV infection on superimposed acute hepatitis E </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010B85">
        <w:rPr>
          <w:rFonts w:ascii="Book Antiqua" w:hAnsi="Book Antiqua"/>
          <w:sz w:val="24"/>
        </w:rPr>
        <w:t>Cheng</w:t>
      </w:r>
      <w:r>
        <w:rPr>
          <w:rFonts w:ascii="Book Antiqua" w:hAnsi="Book Antiqua"/>
          <w:sz w:val="24"/>
        </w:rPr>
        <w:t xml:space="preserve"> SH </w:t>
      </w:r>
      <w:r w:rsidRPr="00770DD7">
        <w:rPr>
          <w:rFonts w:ascii="Book Antiqua" w:hAnsi="Book Antiqua"/>
          <w:i/>
          <w:sz w:val="24"/>
        </w:rPr>
        <w:t>et al</w:t>
      </w:r>
      <w:r>
        <w:rPr>
          <w:rFonts w:ascii="Book Antiqua" w:hAnsi="Book Antiqua"/>
          <w:sz w:val="24"/>
        </w:rPr>
        <w:t>.</w:t>
      </w:r>
      <w:r w:rsidRPr="00010B85">
        <w:rPr>
          <w:rFonts w:ascii="Book Antiqua" w:hAnsi="Book Antiqua"/>
          <w:sz w:val="24"/>
        </w:rPr>
        <w:t xml:space="preserve"> Superinfection of HBV and HEV </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010B85">
        <w:rPr>
          <w:rFonts w:ascii="Book Antiqua" w:hAnsi="Book Antiqua"/>
          <w:sz w:val="24"/>
        </w:rPr>
        <w:t>Si-Hong Cheng, Li Mai, Feng-Qin Zhu, Xing-Fei Pan, Hai-Xia Sun, Hong Cao, Xin Shu, Wei-Min Ke, Gang Li, Qi-Huan Xu</w:t>
      </w:r>
    </w:p>
    <w:p w:rsidR="00282799" w:rsidRPr="00010B85" w:rsidRDefault="00282799" w:rsidP="00010B85">
      <w:pPr>
        <w:spacing w:line="360" w:lineRule="auto"/>
        <w:rPr>
          <w:rFonts w:ascii="Book Antiqua" w:hAnsi="Book Antiqua"/>
          <w:sz w:val="24"/>
        </w:rPr>
      </w:pPr>
    </w:p>
    <w:p w:rsidR="00282799" w:rsidRPr="00010B85" w:rsidRDefault="00973323" w:rsidP="00010B85">
      <w:pPr>
        <w:spacing w:line="360" w:lineRule="auto"/>
        <w:rPr>
          <w:rFonts w:ascii="Book Antiqua" w:hAnsi="Book Antiqua"/>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53721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" strokecolor="gray" strokeweight="3pt"/>
            </w:pict>
          </mc:Fallback>
        </mc:AlternateContent>
      </w:r>
      <w:r w:rsidR="00282799" w:rsidRPr="006F36F8">
        <w:rPr>
          <w:rFonts w:ascii="Book Antiqua" w:hAnsi="Book Antiqua"/>
          <w:b/>
          <w:sz w:val="24"/>
        </w:rPr>
        <w:t xml:space="preserve">Si-Hong Cheng, Li Mai, Feng-Qin Zhu, Xing-Fei Pan, Hai-Xia Sun, Hong Cao, Xin Shu, Wei-Min Ke, Gang Li, Qi-Huan Xu, </w:t>
      </w:r>
      <w:r w:rsidR="00282799" w:rsidRPr="00010B85">
        <w:rPr>
          <w:rFonts w:ascii="Book Antiqua" w:hAnsi="Book Antiqua"/>
          <w:sz w:val="24"/>
        </w:rPr>
        <w:t>Department of Infectious Diseases, The Third Affiliated Hospital of Sun Yat-sen University, Guangzhou 510630, Guangdong Province, China</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FC15A6">
        <w:rPr>
          <w:rFonts w:ascii="Book Antiqua" w:hAnsi="Book Antiqua"/>
          <w:b/>
          <w:sz w:val="24"/>
        </w:rPr>
        <w:t xml:space="preserve">Author contributions: </w:t>
      </w:r>
      <w:r w:rsidRPr="00010B85">
        <w:rPr>
          <w:rFonts w:ascii="Book Antiqua" w:hAnsi="Book Antiqua"/>
          <w:sz w:val="24"/>
        </w:rPr>
        <w:t xml:space="preserve">Cheng </w:t>
      </w:r>
      <w:r>
        <w:rPr>
          <w:rFonts w:ascii="Book Antiqua" w:hAnsi="Book Antiqua"/>
          <w:sz w:val="24"/>
        </w:rPr>
        <w:t xml:space="preserve">SH </w:t>
      </w:r>
      <w:r w:rsidRPr="00010B85">
        <w:rPr>
          <w:rFonts w:ascii="Book Antiqua" w:hAnsi="Book Antiqua"/>
          <w:sz w:val="24"/>
        </w:rPr>
        <w:t xml:space="preserve">and Mai </w:t>
      </w:r>
      <w:r>
        <w:rPr>
          <w:rFonts w:ascii="Book Antiqua" w:hAnsi="Book Antiqua"/>
          <w:sz w:val="24"/>
        </w:rPr>
        <w:t xml:space="preserve">L </w:t>
      </w:r>
      <w:r w:rsidRPr="00010B85">
        <w:rPr>
          <w:rFonts w:ascii="Book Antiqua" w:hAnsi="Book Antiqua"/>
          <w:sz w:val="24"/>
        </w:rPr>
        <w:t>contributed equally to this work; Cheng</w:t>
      </w:r>
      <w:r>
        <w:rPr>
          <w:rFonts w:ascii="Book Antiqua" w:hAnsi="Book Antiqua"/>
          <w:sz w:val="24"/>
        </w:rPr>
        <w:t xml:space="preserve"> SH</w:t>
      </w:r>
      <w:r w:rsidRPr="00010B85">
        <w:rPr>
          <w:rFonts w:ascii="Book Antiqua" w:hAnsi="Book Antiqua"/>
          <w:sz w:val="24"/>
        </w:rPr>
        <w:t>, Mai</w:t>
      </w:r>
      <w:r>
        <w:rPr>
          <w:rFonts w:ascii="Book Antiqua" w:hAnsi="Book Antiqua"/>
          <w:sz w:val="24"/>
        </w:rPr>
        <w:t xml:space="preserve"> L</w:t>
      </w:r>
      <w:r w:rsidRPr="00010B85">
        <w:rPr>
          <w:rFonts w:ascii="Book Antiqua" w:hAnsi="Book Antiqua"/>
          <w:sz w:val="24"/>
        </w:rPr>
        <w:t xml:space="preserve">, and Xu </w:t>
      </w:r>
      <w:r>
        <w:rPr>
          <w:rFonts w:ascii="Book Antiqua" w:hAnsi="Book Antiqua"/>
          <w:sz w:val="24"/>
        </w:rPr>
        <w:t xml:space="preserve">QH </w:t>
      </w:r>
      <w:r w:rsidRPr="00010B85">
        <w:rPr>
          <w:rFonts w:ascii="Book Antiqua" w:hAnsi="Book Antiqua"/>
          <w:sz w:val="24"/>
        </w:rPr>
        <w:t>designed the research; Cheng</w:t>
      </w:r>
      <w:r>
        <w:rPr>
          <w:rFonts w:ascii="Book Antiqua" w:hAnsi="Book Antiqua"/>
          <w:sz w:val="24"/>
        </w:rPr>
        <w:t xml:space="preserve"> SH</w:t>
      </w:r>
      <w:r w:rsidRPr="00010B85">
        <w:rPr>
          <w:rFonts w:ascii="Book Antiqua" w:hAnsi="Book Antiqua"/>
          <w:sz w:val="24"/>
        </w:rPr>
        <w:t>, Mai</w:t>
      </w:r>
      <w:r>
        <w:rPr>
          <w:rFonts w:ascii="Book Antiqua" w:hAnsi="Book Antiqua"/>
          <w:sz w:val="24"/>
        </w:rPr>
        <w:t xml:space="preserve"> L</w:t>
      </w:r>
      <w:r w:rsidRPr="00010B85">
        <w:rPr>
          <w:rFonts w:ascii="Book Antiqua" w:hAnsi="Book Antiqua"/>
          <w:sz w:val="24"/>
        </w:rPr>
        <w:t>, Zhu</w:t>
      </w:r>
      <w:r>
        <w:rPr>
          <w:rFonts w:ascii="Book Antiqua" w:hAnsi="Book Antiqua"/>
          <w:sz w:val="24"/>
        </w:rPr>
        <w:t xml:space="preserve"> FQ</w:t>
      </w:r>
      <w:r w:rsidRPr="00010B85">
        <w:rPr>
          <w:rFonts w:ascii="Book Antiqua" w:hAnsi="Book Antiqua"/>
          <w:sz w:val="24"/>
        </w:rPr>
        <w:t>, Pan</w:t>
      </w:r>
      <w:r>
        <w:rPr>
          <w:rFonts w:ascii="Book Antiqua" w:hAnsi="Book Antiqua"/>
          <w:sz w:val="24"/>
        </w:rPr>
        <w:t xml:space="preserve"> XF</w:t>
      </w:r>
      <w:r w:rsidRPr="00010B85">
        <w:rPr>
          <w:rFonts w:ascii="Book Antiqua" w:hAnsi="Book Antiqua"/>
          <w:sz w:val="24"/>
        </w:rPr>
        <w:t>, Sun</w:t>
      </w:r>
      <w:r>
        <w:rPr>
          <w:rFonts w:ascii="Book Antiqua" w:hAnsi="Book Antiqua"/>
          <w:sz w:val="24"/>
        </w:rPr>
        <w:t xml:space="preserve"> HX</w:t>
      </w:r>
      <w:r w:rsidRPr="00010B85">
        <w:rPr>
          <w:rFonts w:ascii="Book Antiqua" w:hAnsi="Book Antiqua"/>
          <w:sz w:val="24"/>
        </w:rPr>
        <w:t>, Cao</w:t>
      </w:r>
      <w:r>
        <w:rPr>
          <w:rFonts w:ascii="Book Antiqua" w:hAnsi="Book Antiqua"/>
          <w:sz w:val="24"/>
        </w:rPr>
        <w:t xml:space="preserve"> H</w:t>
      </w:r>
      <w:r w:rsidRPr="00010B85">
        <w:rPr>
          <w:rFonts w:ascii="Book Antiqua" w:hAnsi="Book Antiqua"/>
          <w:sz w:val="24"/>
        </w:rPr>
        <w:t>, Shu</w:t>
      </w:r>
      <w:r>
        <w:rPr>
          <w:rFonts w:ascii="Book Antiqua" w:hAnsi="Book Antiqua"/>
          <w:sz w:val="24"/>
        </w:rPr>
        <w:t xml:space="preserve"> X</w:t>
      </w:r>
      <w:r w:rsidRPr="00010B85">
        <w:rPr>
          <w:rFonts w:ascii="Book Antiqua" w:hAnsi="Book Antiqua"/>
          <w:sz w:val="24"/>
        </w:rPr>
        <w:t>, Ke</w:t>
      </w:r>
      <w:r>
        <w:rPr>
          <w:rFonts w:ascii="Book Antiqua" w:hAnsi="Book Antiqua"/>
          <w:sz w:val="24"/>
        </w:rPr>
        <w:t xml:space="preserve"> WM</w:t>
      </w:r>
      <w:r w:rsidRPr="00010B85">
        <w:rPr>
          <w:rFonts w:ascii="Book Antiqua" w:hAnsi="Book Antiqua"/>
          <w:sz w:val="24"/>
        </w:rPr>
        <w:t xml:space="preserve">, and Li </w:t>
      </w:r>
      <w:r>
        <w:rPr>
          <w:rFonts w:ascii="Book Antiqua" w:hAnsi="Book Antiqua"/>
          <w:sz w:val="24"/>
        </w:rPr>
        <w:t xml:space="preserve">G </w:t>
      </w:r>
      <w:r w:rsidRPr="00010B85">
        <w:rPr>
          <w:rFonts w:ascii="Book Antiqua" w:hAnsi="Book Antiqua"/>
          <w:sz w:val="24"/>
        </w:rPr>
        <w:t>performed the research; Cheng</w:t>
      </w:r>
      <w:r>
        <w:rPr>
          <w:rFonts w:ascii="Book Antiqua" w:hAnsi="Book Antiqua"/>
          <w:sz w:val="24"/>
        </w:rPr>
        <w:t xml:space="preserve"> SH</w:t>
      </w:r>
      <w:r w:rsidRPr="00010B85">
        <w:rPr>
          <w:rFonts w:ascii="Book Antiqua" w:hAnsi="Book Antiqua"/>
          <w:sz w:val="24"/>
        </w:rPr>
        <w:t>, Mai</w:t>
      </w:r>
      <w:r>
        <w:rPr>
          <w:rFonts w:ascii="Book Antiqua" w:hAnsi="Book Antiqua"/>
          <w:sz w:val="24"/>
        </w:rPr>
        <w:t xml:space="preserve"> L</w:t>
      </w:r>
      <w:r w:rsidRPr="00010B85">
        <w:rPr>
          <w:rFonts w:ascii="Book Antiqua" w:hAnsi="Book Antiqua"/>
          <w:sz w:val="24"/>
        </w:rPr>
        <w:t>, Zhu</w:t>
      </w:r>
      <w:r>
        <w:rPr>
          <w:rFonts w:ascii="Book Antiqua" w:hAnsi="Book Antiqua"/>
          <w:sz w:val="24"/>
        </w:rPr>
        <w:t xml:space="preserve"> FQ</w:t>
      </w:r>
      <w:r w:rsidRPr="00010B85">
        <w:rPr>
          <w:rFonts w:ascii="Book Antiqua" w:hAnsi="Book Antiqua"/>
          <w:sz w:val="24"/>
        </w:rPr>
        <w:t>, Pan</w:t>
      </w:r>
      <w:r>
        <w:rPr>
          <w:rFonts w:ascii="Book Antiqua" w:hAnsi="Book Antiqua"/>
          <w:sz w:val="24"/>
        </w:rPr>
        <w:t xml:space="preserve"> XF</w:t>
      </w:r>
      <w:r w:rsidRPr="00010B85">
        <w:rPr>
          <w:rFonts w:ascii="Book Antiqua" w:hAnsi="Book Antiqua"/>
          <w:sz w:val="24"/>
        </w:rPr>
        <w:t>, Sun</w:t>
      </w:r>
      <w:r>
        <w:rPr>
          <w:rFonts w:ascii="Book Antiqua" w:hAnsi="Book Antiqua"/>
          <w:sz w:val="24"/>
        </w:rPr>
        <w:t xml:space="preserve"> HX</w:t>
      </w:r>
      <w:r w:rsidRPr="00010B85">
        <w:rPr>
          <w:rFonts w:ascii="Book Antiqua" w:hAnsi="Book Antiqua"/>
          <w:sz w:val="24"/>
        </w:rPr>
        <w:t>, Cao</w:t>
      </w:r>
      <w:r>
        <w:rPr>
          <w:rFonts w:ascii="Book Antiqua" w:hAnsi="Book Antiqua"/>
          <w:sz w:val="24"/>
        </w:rPr>
        <w:t xml:space="preserve"> H</w:t>
      </w:r>
      <w:r w:rsidRPr="00010B85">
        <w:rPr>
          <w:rFonts w:ascii="Book Antiqua" w:hAnsi="Book Antiqua"/>
          <w:sz w:val="24"/>
        </w:rPr>
        <w:t xml:space="preserve">, and Shu </w:t>
      </w:r>
      <w:r>
        <w:rPr>
          <w:rFonts w:ascii="Book Antiqua" w:hAnsi="Book Antiqua"/>
          <w:sz w:val="24"/>
        </w:rPr>
        <w:t xml:space="preserve">X </w:t>
      </w:r>
      <w:r w:rsidRPr="00010B85">
        <w:rPr>
          <w:rFonts w:ascii="Book Antiqua" w:hAnsi="Book Antiqua"/>
          <w:sz w:val="24"/>
        </w:rPr>
        <w:t xml:space="preserve">collected the data; Cheng </w:t>
      </w:r>
      <w:r>
        <w:rPr>
          <w:rFonts w:ascii="Book Antiqua" w:hAnsi="Book Antiqua"/>
          <w:sz w:val="24"/>
        </w:rPr>
        <w:t xml:space="preserve">SH </w:t>
      </w:r>
      <w:r w:rsidRPr="00010B85">
        <w:rPr>
          <w:rFonts w:ascii="Book Antiqua" w:hAnsi="Book Antiqua"/>
          <w:sz w:val="24"/>
        </w:rPr>
        <w:t xml:space="preserve">and Mai </w:t>
      </w:r>
      <w:r>
        <w:rPr>
          <w:rFonts w:ascii="Book Antiqua" w:hAnsi="Book Antiqua"/>
          <w:sz w:val="24"/>
        </w:rPr>
        <w:t xml:space="preserve">L </w:t>
      </w:r>
      <w:r w:rsidRPr="00010B85">
        <w:rPr>
          <w:rFonts w:ascii="Book Antiqua" w:hAnsi="Book Antiqua"/>
          <w:sz w:val="24"/>
        </w:rPr>
        <w:t>analyzed the data; Cheng</w:t>
      </w:r>
      <w:r>
        <w:rPr>
          <w:rFonts w:ascii="Book Antiqua" w:hAnsi="Book Antiqua"/>
          <w:sz w:val="24"/>
        </w:rPr>
        <w:t xml:space="preserve"> SH</w:t>
      </w:r>
      <w:r w:rsidRPr="00010B85">
        <w:rPr>
          <w:rFonts w:ascii="Book Antiqua" w:hAnsi="Book Antiqua"/>
          <w:sz w:val="24"/>
        </w:rPr>
        <w:t>, Mai</w:t>
      </w:r>
      <w:r>
        <w:rPr>
          <w:rFonts w:ascii="Book Antiqua" w:hAnsi="Book Antiqua"/>
          <w:sz w:val="24"/>
        </w:rPr>
        <w:t xml:space="preserve"> L</w:t>
      </w:r>
      <w:r w:rsidRPr="00010B85">
        <w:rPr>
          <w:rFonts w:ascii="Book Antiqua" w:hAnsi="Book Antiqua"/>
          <w:sz w:val="24"/>
        </w:rPr>
        <w:t xml:space="preserve">, and Xu </w:t>
      </w:r>
      <w:r>
        <w:rPr>
          <w:rFonts w:ascii="Book Antiqua" w:hAnsi="Book Antiqua"/>
          <w:sz w:val="24"/>
        </w:rPr>
        <w:t xml:space="preserve">QH </w:t>
      </w:r>
      <w:r w:rsidRPr="00010B85">
        <w:rPr>
          <w:rFonts w:ascii="Book Antiqua" w:hAnsi="Book Antiqua"/>
          <w:sz w:val="24"/>
        </w:rPr>
        <w:t>wrote the manuscript.</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111BBE">
        <w:rPr>
          <w:rFonts w:ascii="Book Antiqua" w:hAnsi="Book Antiqua"/>
          <w:b/>
          <w:sz w:val="24"/>
        </w:rPr>
        <w:t xml:space="preserve">Correspondence to: Qi-Huan Xu, Professor, </w:t>
      </w:r>
      <w:r w:rsidRPr="00010B85">
        <w:rPr>
          <w:rFonts w:ascii="Book Antiqua" w:hAnsi="Book Antiqua"/>
          <w:sz w:val="24"/>
        </w:rPr>
        <w:t xml:space="preserve">Department of Infectious Diseases, The Third Affiliated Hospital of Sun Yat-sen University, </w:t>
      </w:r>
      <w:r w:rsidRPr="0054769B">
        <w:rPr>
          <w:rFonts w:ascii="Book Antiqua" w:hAnsi="Book Antiqua"/>
          <w:sz w:val="24"/>
        </w:rPr>
        <w:t>Tianhe District</w:t>
      </w:r>
      <w:r>
        <w:rPr>
          <w:rFonts w:ascii="Book Antiqua" w:hAnsi="Book Antiqua"/>
          <w:sz w:val="24"/>
        </w:rPr>
        <w:t xml:space="preserve">, </w:t>
      </w:r>
      <w:r w:rsidRPr="00010B85">
        <w:rPr>
          <w:rFonts w:ascii="Book Antiqua" w:hAnsi="Book Antiqua"/>
          <w:sz w:val="24"/>
        </w:rPr>
        <w:t>Guangzhou 510630, Guangdong Province, China. xqh03030513@aliyun.com</w:t>
      </w:r>
    </w:p>
    <w:p w:rsidR="00282799" w:rsidRDefault="00282799" w:rsidP="00010B85">
      <w:pPr>
        <w:spacing w:line="360" w:lineRule="auto"/>
        <w:rPr>
          <w:rFonts w:ascii="Book Antiqua" w:hAnsi="Book Antiqua"/>
          <w:sz w:val="24"/>
        </w:rPr>
      </w:pPr>
      <w:r w:rsidRPr="00440878">
        <w:rPr>
          <w:rFonts w:ascii="Book Antiqua" w:hAnsi="Book Antiqua"/>
          <w:b/>
          <w:sz w:val="24"/>
        </w:rPr>
        <w:t>Telephone:</w:t>
      </w:r>
      <w:r w:rsidRPr="00010B85">
        <w:rPr>
          <w:rFonts w:ascii="Book Antiqua" w:hAnsi="Book Antiqua"/>
          <w:sz w:val="24"/>
        </w:rPr>
        <w:t xml:space="preserve"> +86-20-85253179  </w:t>
      </w:r>
      <w:r w:rsidRPr="00440878">
        <w:rPr>
          <w:rFonts w:ascii="Book Antiqua" w:hAnsi="Book Antiqua"/>
          <w:b/>
          <w:sz w:val="24"/>
        </w:rPr>
        <w:t>Fax:</w:t>
      </w:r>
      <w:r w:rsidRPr="00010B85">
        <w:rPr>
          <w:rFonts w:ascii="Book Antiqua" w:hAnsi="Book Antiqua"/>
          <w:sz w:val="24"/>
        </w:rPr>
        <w:t xml:space="preserve"> +86-20-85253179</w:t>
      </w:r>
    </w:p>
    <w:p w:rsidR="00282799" w:rsidRDefault="00282799" w:rsidP="00010B85">
      <w:pPr>
        <w:spacing w:line="360" w:lineRule="auto"/>
        <w:rPr>
          <w:rFonts w:ascii="Book Antiqua" w:hAnsi="Book Antiqua"/>
          <w:sz w:val="24"/>
        </w:rPr>
      </w:pPr>
    </w:p>
    <w:p w:rsidR="00282799" w:rsidRDefault="00282799" w:rsidP="00440878">
      <w:pPr>
        <w:spacing w:line="360" w:lineRule="auto"/>
        <w:rPr>
          <w:rFonts w:ascii="Book Antiqua" w:hAnsi="Book Antiqua"/>
          <w:b/>
          <w:color w:val="000000"/>
          <w:sz w:val="24"/>
        </w:rPr>
      </w:pPr>
      <w:r w:rsidRPr="005C6A5F">
        <w:rPr>
          <w:rFonts w:ascii="Book Antiqua" w:hAnsi="Book Antiqua"/>
          <w:b/>
          <w:color w:val="000000"/>
          <w:sz w:val="24"/>
        </w:rPr>
        <w:t xml:space="preserve">Received: </w:t>
      </w:r>
      <w:bookmarkStart w:id="2" w:name="OLE_LINK131"/>
      <w:bookmarkStart w:id="3" w:name="OLE_LINK132"/>
      <w:bookmarkStart w:id="4" w:name="OLE_LINK141"/>
      <w:bookmarkStart w:id="5" w:name="OLE_LINK151"/>
      <w:r w:rsidRPr="00421E83">
        <w:rPr>
          <w:rFonts w:ascii="Book Antiqua" w:hAnsi="Book Antiqua"/>
          <w:sz w:val="24"/>
        </w:rPr>
        <w:t>May</w:t>
      </w:r>
      <w:bookmarkEnd w:id="2"/>
      <w:bookmarkEnd w:id="3"/>
      <w:bookmarkEnd w:id="4"/>
      <w:bookmarkEnd w:id="5"/>
      <w:r>
        <w:rPr>
          <w:rFonts w:ascii="Book Antiqua" w:hAnsi="Book Antiqua"/>
          <w:sz w:val="24"/>
        </w:rPr>
        <w:t xml:space="preserve"> 5, 2013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6" w:name="OLE_LINK25"/>
      <w:bookmarkStart w:id="7" w:name="OLE_LINK26"/>
      <w:bookmarkStart w:id="8" w:name="OLE_LINK139"/>
      <w:r w:rsidRPr="00421E83">
        <w:rPr>
          <w:rFonts w:ascii="Book Antiqua" w:hAnsi="Book Antiqua"/>
          <w:sz w:val="24"/>
        </w:rPr>
        <w:t>July</w:t>
      </w:r>
      <w:bookmarkEnd w:id="6"/>
      <w:bookmarkEnd w:id="7"/>
      <w:bookmarkEnd w:id="8"/>
      <w:r>
        <w:rPr>
          <w:rFonts w:ascii="Book Antiqua" w:hAnsi="Book Antiqua"/>
          <w:sz w:val="24"/>
        </w:rPr>
        <w:t xml:space="preserve"> 24, 2013</w:t>
      </w:r>
    </w:p>
    <w:p w:rsidR="00416E31" w:rsidRPr="006B63C9" w:rsidRDefault="00282799" w:rsidP="00416E31">
      <w:pPr>
        <w:rPr>
          <w:rFonts w:ascii="Book Antiqua" w:hAnsi="Book Antiqua"/>
          <w:sz w:val="24"/>
        </w:rPr>
      </w:pPr>
      <w:r w:rsidRPr="005C6A5F">
        <w:rPr>
          <w:rFonts w:ascii="Book Antiqua" w:hAnsi="Book Antiqua"/>
          <w:b/>
          <w:color w:val="000000"/>
          <w:sz w:val="24"/>
        </w:rPr>
        <w:t xml:space="preserve">Accepted: </w:t>
      </w:r>
      <w:r w:rsidR="00416E31" w:rsidRPr="006B63C9">
        <w:rPr>
          <w:rFonts w:ascii="Book Antiqua" w:hAnsi="Book Antiqua"/>
          <w:sz w:val="24"/>
        </w:rPr>
        <w:t>August 4, 2013</w:t>
      </w:r>
    </w:p>
    <w:p w:rsidR="00282799" w:rsidRPr="003408E1" w:rsidRDefault="00282799" w:rsidP="00440878">
      <w:pPr>
        <w:spacing w:line="360" w:lineRule="auto"/>
        <w:rPr>
          <w:rFonts w:ascii="Book Antiqua" w:hAnsi="Book Antiqua"/>
          <w:b/>
          <w:color w:val="000000"/>
          <w:sz w:val="24"/>
        </w:rPr>
      </w:pPr>
      <w:bookmarkStart w:id="9" w:name="_GoBack"/>
      <w:bookmarkEnd w:id="9"/>
    </w:p>
    <w:p w:rsidR="00282799" w:rsidRPr="005C6A5F" w:rsidRDefault="00282799" w:rsidP="00440878">
      <w:pPr>
        <w:spacing w:line="360" w:lineRule="auto"/>
        <w:rPr>
          <w:rFonts w:ascii="Book Antiqua" w:hAnsi="Book Antiqua"/>
          <w:color w:val="000000"/>
          <w:sz w:val="24"/>
        </w:rPr>
      </w:pPr>
      <w:r w:rsidRPr="005C6A5F">
        <w:rPr>
          <w:rFonts w:ascii="Book Antiqua" w:hAnsi="Book Antiqua"/>
          <w:b/>
          <w:color w:val="000000"/>
          <w:sz w:val="24"/>
        </w:rPr>
        <w:lastRenderedPageBreak/>
        <w:t xml:space="preserve">Published online: </w:t>
      </w:r>
    </w:p>
    <w:p w:rsidR="00282799" w:rsidRPr="00010B85" w:rsidRDefault="00282799" w:rsidP="00010B85">
      <w:pPr>
        <w:pageBreakBefore/>
        <w:spacing w:line="360" w:lineRule="auto"/>
        <w:rPr>
          <w:rFonts w:ascii="Book Antiqua" w:hAnsi="Book Antiqua"/>
          <w:sz w:val="24"/>
        </w:rPr>
      </w:pPr>
      <w:r w:rsidRPr="00010B85">
        <w:rPr>
          <w:rFonts w:ascii="Book Antiqua" w:hAnsi="Book Antiqua"/>
          <w:b/>
          <w:sz w:val="24"/>
        </w:rPr>
        <w:lastRenderedPageBreak/>
        <w:t>Abstract</w:t>
      </w:r>
      <w:r w:rsidRPr="00010B85">
        <w:rPr>
          <w:rFonts w:ascii="Book Antiqua" w:hAnsi="Book Antiqua"/>
          <w:sz w:val="24"/>
        </w:rPr>
        <w:t xml:space="preserve"> </w:t>
      </w:r>
    </w:p>
    <w:p w:rsidR="00282799" w:rsidRPr="00010B85" w:rsidRDefault="00282799" w:rsidP="00010B85">
      <w:pPr>
        <w:spacing w:line="360" w:lineRule="auto"/>
        <w:rPr>
          <w:rFonts w:ascii="Book Antiqua" w:hAnsi="Book Antiqua"/>
          <w:sz w:val="24"/>
        </w:rPr>
      </w:pPr>
      <w:r w:rsidRPr="00010B85">
        <w:rPr>
          <w:rFonts w:ascii="Book Antiqua" w:hAnsi="Book Antiqua"/>
          <w:b/>
          <w:sz w:val="24"/>
        </w:rPr>
        <w:t>AIM:</w:t>
      </w:r>
      <w:r w:rsidRPr="00010B85">
        <w:rPr>
          <w:rFonts w:ascii="Book Antiqua" w:hAnsi="Book Antiqua"/>
          <w:sz w:val="24"/>
        </w:rPr>
        <w:t xml:space="preserve"> To investigate the influence of chronic hepatitis B virus (HBV) infection (based on the status of HBeAg, HBV-DNA, and cirrhosis) on superimposed acute hepatitis E.</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010B85">
        <w:rPr>
          <w:rFonts w:ascii="Book Antiqua" w:hAnsi="Book Antiqua"/>
          <w:b/>
          <w:sz w:val="24"/>
        </w:rPr>
        <w:t>METHODS:</w:t>
      </w:r>
      <w:r w:rsidRPr="00010B85">
        <w:rPr>
          <w:rFonts w:ascii="Book Antiqua" w:hAnsi="Book Antiqua"/>
          <w:sz w:val="24"/>
        </w:rPr>
        <w:t xml:space="preserve"> A total of 294 patients were recruited from the Department of Infectious Diseases of the </w:t>
      </w:r>
      <w:smartTag w:uri="urn:schemas-microsoft-com:office:smarttags" w:element="PlaceName">
        <w:r w:rsidRPr="00010B85">
          <w:rPr>
            <w:rFonts w:ascii="Book Antiqua" w:hAnsi="Book Antiqua"/>
            <w:sz w:val="24"/>
          </w:rPr>
          <w:t>Third</w:t>
        </w:r>
      </w:smartTag>
      <w:r w:rsidRPr="00010B85">
        <w:rPr>
          <w:rFonts w:ascii="Book Antiqua" w:hAnsi="Book Antiqua"/>
          <w:sz w:val="24"/>
        </w:rPr>
        <w:t xml:space="preserve"> </w:t>
      </w:r>
      <w:smartTag w:uri="urn:schemas-microsoft-com:office:smarttags" w:element="PlaceName">
        <w:r w:rsidRPr="00010B85">
          <w:rPr>
            <w:rFonts w:ascii="Book Antiqua" w:hAnsi="Book Antiqua"/>
            <w:sz w:val="24"/>
          </w:rPr>
          <w:t>Affiliated</w:t>
        </w:r>
      </w:smartTag>
      <w:r w:rsidRPr="00010B85">
        <w:rPr>
          <w:rFonts w:ascii="Book Antiqua" w:hAnsi="Book Antiqua"/>
          <w:sz w:val="24"/>
        </w:rPr>
        <w:t xml:space="preserve"> </w:t>
      </w:r>
      <w:smartTag w:uri="urn:schemas-microsoft-com:office:smarttags" w:element="PlaceType">
        <w:r w:rsidRPr="00010B85">
          <w:rPr>
            <w:rFonts w:ascii="Book Antiqua" w:hAnsi="Book Antiqua"/>
            <w:sz w:val="24"/>
          </w:rPr>
          <w:t>Hospital</w:t>
        </w:r>
      </w:smartTag>
      <w:r w:rsidRPr="00010B85">
        <w:rPr>
          <w:rFonts w:ascii="Book Antiqua" w:hAnsi="Book Antiqua"/>
          <w:sz w:val="24"/>
        </w:rPr>
        <w:t xml:space="preserve">, </w:t>
      </w:r>
      <w:smartTag w:uri="urn:schemas-microsoft-com:office:smarttags" w:element="place">
        <w:smartTag w:uri="urn:schemas-microsoft-com:office:smarttags" w:element="PlaceName">
          <w:r w:rsidRPr="00010B85">
            <w:rPr>
              <w:rFonts w:ascii="Book Antiqua" w:hAnsi="Book Antiqua"/>
              <w:sz w:val="24"/>
            </w:rPr>
            <w:t>Sun</w:t>
          </w:r>
        </w:smartTag>
        <w:r w:rsidRPr="00010B85">
          <w:rPr>
            <w:rFonts w:ascii="Book Antiqua" w:hAnsi="Book Antiqua"/>
            <w:sz w:val="24"/>
          </w:rPr>
          <w:t xml:space="preserve"> </w:t>
        </w:r>
        <w:smartTag w:uri="urn:schemas-microsoft-com:office:smarttags" w:element="PlaceName">
          <w:r w:rsidRPr="00010B85">
            <w:rPr>
              <w:rFonts w:ascii="Book Antiqua" w:hAnsi="Book Antiqua"/>
              <w:sz w:val="24"/>
            </w:rPr>
            <w:t>Yat-sen</w:t>
          </w:r>
        </w:smartTag>
        <w:r w:rsidRPr="00010B85">
          <w:rPr>
            <w:rFonts w:ascii="Book Antiqua" w:hAnsi="Book Antiqua"/>
            <w:sz w:val="24"/>
          </w:rPr>
          <w:t xml:space="preserve"> </w:t>
        </w:r>
        <w:smartTag w:uri="urn:schemas-microsoft-com:office:smarttags" w:element="PlaceType">
          <w:r w:rsidRPr="00010B85">
            <w:rPr>
              <w:rFonts w:ascii="Book Antiqua" w:hAnsi="Book Antiqua"/>
              <w:sz w:val="24"/>
            </w:rPr>
            <w:t>University</w:t>
          </w:r>
        </w:smartTag>
      </w:smartTag>
      <w:r w:rsidRPr="00010B85">
        <w:rPr>
          <w:rFonts w:ascii="Book Antiqua" w:hAnsi="Book Antiqua"/>
          <w:sz w:val="24"/>
        </w:rPr>
        <w:t xml:space="preserve">, from January 2003 to January 2012. The patients were classified into two groups: an HBV+HEV group (a group with chronic HBV infection that was superinfected with acute hepatitis E, </w:t>
      </w:r>
      <w:r w:rsidRPr="00440878">
        <w:rPr>
          <w:rFonts w:ascii="Book Antiqua" w:hAnsi="Book Antiqua"/>
          <w:i/>
          <w:sz w:val="24"/>
        </w:rPr>
        <w:t xml:space="preserve">n = </w:t>
      </w:r>
      <w:r w:rsidRPr="00010B85">
        <w:rPr>
          <w:rFonts w:ascii="Book Antiqua" w:hAnsi="Book Antiqua"/>
          <w:sz w:val="24"/>
        </w:rPr>
        <w:t xml:space="preserve">118) and an HEV group (a group with acute hepatitis E, </w:t>
      </w:r>
      <w:r w:rsidRPr="00440878">
        <w:rPr>
          <w:rFonts w:ascii="Book Antiqua" w:hAnsi="Book Antiqua"/>
          <w:i/>
          <w:sz w:val="24"/>
        </w:rPr>
        <w:t xml:space="preserve">n = </w:t>
      </w:r>
      <w:r w:rsidRPr="00010B85">
        <w:rPr>
          <w:rFonts w:ascii="Book Antiqua" w:hAnsi="Book Antiqua"/>
          <w:sz w:val="24"/>
        </w:rPr>
        <w:t>176). We retrospectively analyzed and compared the clinical features of the two groups. Statistical analyses were performed using the χ</w:t>
      </w:r>
      <w:r w:rsidRPr="00010B85">
        <w:rPr>
          <w:rFonts w:ascii="Book Antiqua" w:hAnsi="Book Antiqua"/>
          <w:sz w:val="24"/>
          <w:vertAlign w:val="superscript"/>
        </w:rPr>
        <w:t>2</w:t>
      </w:r>
      <w:r w:rsidRPr="00010B85">
        <w:rPr>
          <w:rFonts w:ascii="Book Antiqua" w:hAnsi="Book Antiqua"/>
          <w:sz w:val="24"/>
        </w:rPr>
        <w:t xml:space="preserve"> test or Fisher’s exact test for categorical variables and the Student’s </w:t>
      </w:r>
      <w:r w:rsidRPr="00010B85">
        <w:rPr>
          <w:rFonts w:ascii="Book Antiqua" w:hAnsi="Book Antiqua"/>
          <w:i/>
          <w:sz w:val="24"/>
        </w:rPr>
        <w:t xml:space="preserve">t </w:t>
      </w:r>
      <w:r w:rsidRPr="00010B85">
        <w:rPr>
          <w:rFonts w:ascii="Book Antiqua" w:hAnsi="Book Antiqua"/>
          <w:sz w:val="24"/>
        </w:rPr>
        <w:t xml:space="preserve">test for continuous variables. A </w:t>
      </w:r>
      <w:r w:rsidRPr="00010B85">
        <w:rPr>
          <w:rFonts w:ascii="Book Antiqua" w:hAnsi="Book Antiqua"/>
          <w:i/>
          <w:sz w:val="24"/>
        </w:rPr>
        <w:t xml:space="preserve">P </w:t>
      </w:r>
      <w:r w:rsidRPr="00010B85">
        <w:rPr>
          <w:rFonts w:ascii="Book Antiqua" w:hAnsi="Book Antiqua"/>
          <w:sz w:val="24"/>
        </w:rPr>
        <w:t>value &lt;0.05 was considered statistically significant.</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010B85">
        <w:rPr>
          <w:rFonts w:ascii="Book Antiqua" w:hAnsi="Book Antiqua"/>
          <w:b/>
          <w:sz w:val="24"/>
        </w:rPr>
        <w:t>RESULTS:</w:t>
      </w:r>
      <w:r w:rsidRPr="00010B85">
        <w:rPr>
          <w:rFonts w:ascii="Book Antiqua" w:hAnsi="Book Antiqua"/>
          <w:sz w:val="24"/>
        </w:rPr>
        <w:t xml:space="preserve"> The peak values of prothrombin time, serum total bilirubin, and Model for End-Stage Liver Disease (MELD) scores were significantly higher in the HBV+HEV group. More patients in the HBV+HEV group had complications (39.8% </w:t>
      </w:r>
      <w:r w:rsidRPr="006E715D">
        <w:rPr>
          <w:rFonts w:ascii="Book Antiqua" w:hAnsi="Book Antiqua"/>
          <w:i/>
          <w:sz w:val="24"/>
        </w:rPr>
        <w:t>vs</w:t>
      </w:r>
      <w:r w:rsidRPr="00010B85">
        <w:rPr>
          <w:rFonts w:ascii="Book Antiqua" w:hAnsi="Book Antiqua"/>
          <w:sz w:val="24"/>
        </w:rPr>
        <w:t xml:space="preserve"> 16.5%, </w:t>
      </w:r>
      <w:r w:rsidRPr="00D607D4">
        <w:rPr>
          <w:rFonts w:ascii="Book Antiqua" w:hAnsi="Book Antiqua"/>
          <w:i/>
          <w:sz w:val="24"/>
        </w:rPr>
        <w:t xml:space="preserve">P = </w:t>
      </w:r>
      <w:r w:rsidRPr="00010B85">
        <w:rPr>
          <w:rFonts w:ascii="Book Antiqua" w:hAnsi="Book Antiqua"/>
          <w:sz w:val="24"/>
        </w:rPr>
        <w:t xml:space="preserve">0.000) and developed liver failure (35.6% </w:t>
      </w:r>
      <w:r w:rsidRPr="006E715D">
        <w:rPr>
          <w:rFonts w:ascii="Book Antiqua" w:hAnsi="Book Antiqua"/>
          <w:i/>
          <w:sz w:val="24"/>
        </w:rPr>
        <w:t>vs</w:t>
      </w:r>
      <w:r w:rsidRPr="00010B85">
        <w:rPr>
          <w:rFonts w:ascii="Book Antiqua" w:hAnsi="Book Antiqua"/>
          <w:sz w:val="24"/>
        </w:rPr>
        <w:t xml:space="preserve"> 8.5%, </w:t>
      </w:r>
      <w:r w:rsidRPr="00D607D4">
        <w:rPr>
          <w:rFonts w:ascii="Book Antiqua" w:hAnsi="Book Antiqua"/>
          <w:i/>
          <w:sz w:val="24"/>
        </w:rPr>
        <w:t>P =</w:t>
      </w:r>
      <w:r>
        <w:rPr>
          <w:rFonts w:ascii="Book Antiqua" w:hAnsi="Book Antiqua"/>
          <w:i/>
          <w:sz w:val="24"/>
        </w:rPr>
        <w:t xml:space="preserve"> </w:t>
      </w:r>
      <w:r w:rsidRPr="00010B85">
        <w:rPr>
          <w:rFonts w:ascii="Book Antiqua" w:hAnsi="Book Antiqua"/>
          <w:sz w:val="24"/>
        </w:rPr>
        <w:t xml:space="preserve">0.000). Additionally, the mortality of the HBV+HEV group was significantly higher (20.3% </w:t>
      </w:r>
      <w:r w:rsidRPr="006E715D">
        <w:rPr>
          <w:rFonts w:ascii="Book Antiqua" w:hAnsi="Book Antiqua"/>
          <w:i/>
          <w:sz w:val="24"/>
        </w:rPr>
        <w:t>vs</w:t>
      </w:r>
      <w:r w:rsidRPr="00010B85">
        <w:rPr>
          <w:rFonts w:ascii="Book Antiqua" w:hAnsi="Book Antiqua"/>
          <w:sz w:val="24"/>
        </w:rPr>
        <w:t xml:space="preserve"> 7.4%, </w:t>
      </w:r>
      <w:r w:rsidRPr="00D607D4">
        <w:rPr>
          <w:rFonts w:ascii="Book Antiqua" w:hAnsi="Book Antiqua"/>
          <w:i/>
          <w:sz w:val="24"/>
        </w:rPr>
        <w:t xml:space="preserve">P = </w:t>
      </w:r>
      <w:r w:rsidRPr="00010B85">
        <w:rPr>
          <w:rFonts w:ascii="Book Antiqua" w:hAnsi="Book Antiqua"/>
          <w:sz w:val="24"/>
        </w:rPr>
        <w:t>0.002). Further analysis of the HBV+HEV group showed that there were no significant differences in complication occurrence, liver failure incidence, or mortality between patients with different HBeAg and HBV-DNA statuses. However, in patients with underlying cirrhosis, complication occurrence and liver failure incidence significantly increased. In total, 12.7% of the patients in the HBV+HEV group received anti-HBV treatment, but this therapy failed to reduce mortality in patients who developed liver failure.</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010B85">
        <w:rPr>
          <w:rFonts w:ascii="Book Antiqua" w:hAnsi="Book Antiqua"/>
          <w:b/>
          <w:sz w:val="24"/>
        </w:rPr>
        <w:t>CONCLUSION:</w:t>
      </w:r>
      <w:r w:rsidRPr="00010B85">
        <w:rPr>
          <w:rFonts w:ascii="Book Antiqua" w:hAnsi="Book Antiqua"/>
          <w:sz w:val="24"/>
        </w:rPr>
        <w:t xml:space="preserve"> The presence of underlying cirrhosis in chronic HBV infection results in more severe clinical outcomes with superimposed acute hepatitis E. Anti-HBV treatment cannot improve the prognosis of liver failure caused by HBV-HEV superinfection.</w:t>
      </w:r>
    </w:p>
    <w:p w:rsidR="00282799" w:rsidRDefault="00282799" w:rsidP="00010B85">
      <w:pPr>
        <w:spacing w:line="360" w:lineRule="auto"/>
        <w:rPr>
          <w:rFonts w:ascii="Book Antiqua" w:hAnsi="Book Antiqua"/>
          <w:sz w:val="24"/>
        </w:rPr>
      </w:pPr>
    </w:p>
    <w:p w:rsidR="00282799" w:rsidRPr="005C6A5F" w:rsidRDefault="00282799" w:rsidP="00FF7B3E">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sz w:val="24"/>
        </w:rPr>
      </w:pPr>
      <w:r w:rsidRPr="00010B85">
        <w:rPr>
          <w:rFonts w:ascii="Book Antiqua" w:hAnsi="Book Antiqua"/>
          <w:b/>
          <w:sz w:val="24"/>
        </w:rPr>
        <w:t xml:space="preserve">Key words: </w:t>
      </w:r>
      <w:r w:rsidRPr="00010B85">
        <w:rPr>
          <w:rFonts w:ascii="Book Antiqua" w:hAnsi="Book Antiqua"/>
          <w:sz w:val="24"/>
        </w:rPr>
        <w:t>Chronic hepatitis B virusinfection; Acute hepatitis E; Superinfection; Clinical profile; Anti-hepatitis B virus treatment</w:t>
      </w:r>
      <w:bookmarkStart w:id="10" w:name="OLE_LINK101"/>
      <w:bookmarkStart w:id="11" w:name="OLE_LINK107"/>
    </w:p>
    <w:bookmarkEnd w:id="10"/>
    <w:bookmarkEnd w:id="11"/>
    <w:p w:rsidR="00282799" w:rsidRDefault="00282799" w:rsidP="00010B85">
      <w:pPr>
        <w:spacing w:line="360" w:lineRule="auto"/>
        <w:rPr>
          <w:rFonts w:ascii="Book Antiqua" w:hAnsi="Book Antiqua"/>
          <w:sz w:val="24"/>
        </w:rPr>
      </w:pPr>
    </w:p>
    <w:p w:rsidR="00282799" w:rsidRDefault="00282799" w:rsidP="00010B85">
      <w:pPr>
        <w:spacing w:line="360" w:lineRule="auto"/>
        <w:rPr>
          <w:rFonts w:ascii="Book Antiqua" w:hAnsi="Book Antiqua"/>
          <w:sz w:val="24"/>
        </w:rPr>
      </w:pPr>
      <w:r w:rsidRPr="00FF7B3E">
        <w:rPr>
          <w:rFonts w:ascii="Book Antiqua" w:hAnsi="Book Antiqua"/>
          <w:b/>
          <w:sz w:val="24"/>
        </w:rPr>
        <w:t>Core tip:</w:t>
      </w:r>
      <w:r w:rsidRPr="00FF7B3E">
        <w:rPr>
          <w:rFonts w:ascii="Book Antiqua" w:hAnsi="Book Antiqua"/>
          <w:sz w:val="24"/>
        </w:rPr>
        <w:t xml:space="preserve"> Previous studies have shown that chronic </w:t>
      </w:r>
      <w:r w:rsidRPr="00010B85">
        <w:rPr>
          <w:rFonts w:ascii="Book Antiqua" w:hAnsi="Book Antiqua"/>
          <w:sz w:val="24"/>
        </w:rPr>
        <w:t xml:space="preserve">hepatitis B virus (HBV) </w:t>
      </w:r>
      <w:r w:rsidRPr="00FF7B3E">
        <w:rPr>
          <w:rFonts w:ascii="Book Antiqua" w:hAnsi="Book Antiqua"/>
          <w:sz w:val="24"/>
        </w:rPr>
        <w:t>infection has a negative impact on superimposed acute hepatitis E. However, it remains unknown whether the disease severity of acute hepatitis E correlates with the underlying HBV replication status or with liver histological lesions. Our study showed that the disease severity of acute hepatitis E correlated not with the HBV replication status (based on the status of HBeAg and HBV-DNA), but rather with the presense of underlying cirrhosis. This finding raised the question of whether anti-HBV treatment improves the outcome of liver failure caused by HBV-HEV superinfection. We found that anti-HBV treatment could not improve the prognosis of such liver failure.</w:t>
      </w:r>
    </w:p>
    <w:p w:rsidR="00282799" w:rsidRDefault="00282799" w:rsidP="00010B85">
      <w:pPr>
        <w:spacing w:line="360" w:lineRule="auto"/>
        <w:rPr>
          <w:rFonts w:ascii="Book Antiqua" w:hAnsi="Book Antiqua"/>
          <w:sz w:val="24"/>
        </w:rPr>
      </w:pPr>
    </w:p>
    <w:p w:rsidR="00282799" w:rsidRDefault="00282799" w:rsidP="00480220">
      <w:pPr>
        <w:spacing w:line="360" w:lineRule="auto"/>
        <w:rPr>
          <w:rFonts w:ascii="Book Antiqua" w:hAnsi="Book Antiqua"/>
          <w:sz w:val="24"/>
        </w:rPr>
      </w:pPr>
      <w:r w:rsidRPr="00010B85">
        <w:rPr>
          <w:rFonts w:ascii="Book Antiqua" w:hAnsi="Book Antiqua"/>
          <w:sz w:val="24"/>
        </w:rPr>
        <w:t>Cheng</w:t>
      </w:r>
      <w:r>
        <w:rPr>
          <w:rFonts w:ascii="Book Antiqua" w:hAnsi="Book Antiqua"/>
          <w:sz w:val="24"/>
        </w:rPr>
        <w:t xml:space="preserve"> SH</w:t>
      </w:r>
      <w:r w:rsidRPr="00010B85">
        <w:rPr>
          <w:rFonts w:ascii="Book Antiqua" w:hAnsi="Book Antiqua"/>
          <w:sz w:val="24"/>
        </w:rPr>
        <w:t>, Mai</w:t>
      </w:r>
      <w:r>
        <w:rPr>
          <w:rFonts w:ascii="Book Antiqua" w:hAnsi="Book Antiqua"/>
          <w:sz w:val="24"/>
        </w:rPr>
        <w:t xml:space="preserve"> L</w:t>
      </w:r>
      <w:r w:rsidRPr="00010B85">
        <w:rPr>
          <w:rFonts w:ascii="Book Antiqua" w:hAnsi="Book Antiqua"/>
          <w:sz w:val="24"/>
        </w:rPr>
        <w:t>, Zhu</w:t>
      </w:r>
      <w:r>
        <w:rPr>
          <w:rFonts w:ascii="Book Antiqua" w:hAnsi="Book Antiqua"/>
          <w:sz w:val="24"/>
        </w:rPr>
        <w:t xml:space="preserve"> FQ</w:t>
      </w:r>
      <w:r w:rsidRPr="00010B85">
        <w:rPr>
          <w:rFonts w:ascii="Book Antiqua" w:hAnsi="Book Antiqua"/>
          <w:sz w:val="24"/>
        </w:rPr>
        <w:t>, Pan</w:t>
      </w:r>
      <w:r>
        <w:rPr>
          <w:rFonts w:ascii="Book Antiqua" w:hAnsi="Book Antiqua"/>
          <w:sz w:val="24"/>
        </w:rPr>
        <w:t xml:space="preserve"> XF</w:t>
      </w:r>
      <w:r w:rsidRPr="00010B85">
        <w:rPr>
          <w:rFonts w:ascii="Book Antiqua" w:hAnsi="Book Antiqua"/>
          <w:sz w:val="24"/>
        </w:rPr>
        <w:t>, Sun</w:t>
      </w:r>
      <w:r>
        <w:rPr>
          <w:rFonts w:ascii="Book Antiqua" w:hAnsi="Book Antiqua"/>
          <w:sz w:val="24"/>
        </w:rPr>
        <w:t xml:space="preserve"> HX</w:t>
      </w:r>
      <w:r w:rsidRPr="00010B85">
        <w:rPr>
          <w:rFonts w:ascii="Book Antiqua" w:hAnsi="Book Antiqua"/>
          <w:sz w:val="24"/>
        </w:rPr>
        <w:t>, Cao</w:t>
      </w:r>
      <w:r>
        <w:rPr>
          <w:rFonts w:ascii="Book Antiqua" w:hAnsi="Book Antiqua"/>
          <w:sz w:val="24"/>
        </w:rPr>
        <w:t xml:space="preserve"> H</w:t>
      </w:r>
      <w:r w:rsidRPr="00010B85">
        <w:rPr>
          <w:rFonts w:ascii="Book Antiqua" w:hAnsi="Book Antiqua"/>
          <w:sz w:val="24"/>
        </w:rPr>
        <w:t>, Shu</w:t>
      </w:r>
      <w:r>
        <w:rPr>
          <w:rFonts w:ascii="Book Antiqua" w:hAnsi="Book Antiqua"/>
          <w:sz w:val="24"/>
        </w:rPr>
        <w:t xml:space="preserve"> X</w:t>
      </w:r>
      <w:r w:rsidRPr="00010B85">
        <w:rPr>
          <w:rFonts w:ascii="Book Antiqua" w:hAnsi="Book Antiqua"/>
          <w:sz w:val="24"/>
        </w:rPr>
        <w:t>, Ke</w:t>
      </w:r>
      <w:r>
        <w:rPr>
          <w:rFonts w:ascii="Book Antiqua" w:hAnsi="Book Antiqua"/>
          <w:sz w:val="24"/>
        </w:rPr>
        <w:t xml:space="preserve"> WM</w:t>
      </w:r>
      <w:r w:rsidRPr="00010B85">
        <w:rPr>
          <w:rFonts w:ascii="Book Antiqua" w:hAnsi="Book Antiqua"/>
          <w:sz w:val="24"/>
        </w:rPr>
        <w:t>, Gang Li, Xu</w:t>
      </w:r>
      <w:r>
        <w:rPr>
          <w:rFonts w:ascii="Book Antiqua" w:hAnsi="Book Antiqua"/>
          <w:sz w:val="24"/>
        </w:rPr>
        <w:t xml:space="preserve"> QH. </w:t>
      </w:r>
      <w:r w:rsidRPr="00480220">
        <w:rPr>
          <w:rFonts w:ascii="Book Antiqua" w:hAnsi="Book Antiqua"/>
          <w:sz w:val="24"/>
        </w:rPr>
        <w:t>Influence of chronic HBV infection on superimposed acute hepatitis E</w:t>
      </w:r>
      <w:r>
        <w:rPr>
          <w:rFonts w:ascii="Book Antiqua" w:hAnsi="Book Antiqua"/>
          <w:sz w:val="24"/>
        </w:rPr>
        <w:t>.</w:t>
      </w:r>
    </w:p>
    <w:p w:rsidR="00282799" w:rsidRDefault="00282799" w:rsidP="00480220">
      <w:pPr>
        <w:spacing w:line="360" w:lineRule="auto"/>
        <w:rPr>
          <w:rFonts w:ascii="Book Antiqua" w:hAnsi="Book Antiqua"/>
          <w:sz w:val="24"/>
        </w:rPr>
      </w:pPr>
    </w:p>
    <w:p w:rsidR="00282799" w:rsidRPr="001A6525" w:rsidRDefault="00282799" w:rsidP="00480220">
      <w:pPr>
        <w:spacing w:line="360" w:lineRule="auto"/>
        <w:rPr>
          <w:rFonts w:ascii="Book Antiqua" w:hAnsi="Book Antiqua"/>
          <w:b/>
          <w:sz w:val="24"/>
        </w:rPr>
      </w:pPr>
      <w:bookmarkStart w:id="12" w:name="OLE_LINK46"/>
      <w:bookmarkStart w:id="13" w:name="OLE_LINK47"/>
      <w:bookmarkStart w:id="14" w:name="OLE_LINK61"/>
      <w:bookmarkStart w:id="15" w:name="OLE_LINK84"/>
      <w:bookmarkStart w:id="16" w:name="OLE_LINK90"/>
      <w:bookmarkStart w:id="17" w:name="OLE_LINK104"/>
      <w:r w:rsidRPr="001A6525">
        <w:rPr>
          <w:rFonts w:ascii="Book Antiqua" w:hAnsi="Book Antiqua"/>
          <w:b/>
          <w:sz w:val="24"/>
        </w:rPr>
        <w:t xml:space="preserve">Available from: URL: </w:t>
      </w:r>
    </w:p>
    <w:p w:rsidR="00282799" w:rsidRPr="001A6525" w:rsidRDefault="00282799" w:rsidP="00480220">
      <w:pPr>
        <w:spacing w:line="360" w:lineRule="auto"/>
        <w:rPr>
          <w:rFonts w:ascii="Book Antiqua" w:hAnsi="Book Antiqua"/>
          <w:b/>
          <w:sz w:val="24"/>
        </w:rPr>
      </w:pPr>
      <w:r w:rsidRPr="001A6525">
        <w:rPr>
          <w:rFonts w:ascii="Book Antiqua" w:hAnsi="Book Antiqua"/>
          <w:b/>
          <w:sz w:val="24"/>
        </w:rPr>
        <w:t>DOI:</w:t>
      </w:r>
    </w:p>
    <w:bookmarkEnd w:id="12"/>
    <w:bookmarkEnd w:id="13"/>
    <w:bookmarkEnd w:id="14"/>
    <w:bookmarkEnd w:id="15"/>
    <w:bookmarkEnd w:id="16"/>
    <w:bookmarkEnd w:id="17"/>
    <w:p w:rsidR="00282799" w:rsidRPr="00480220" w:rsidRDefault="00282799" w:rsidP="00480220">
      <w:pPr>
        <w:spacing w:line="360" w:lineRule="auto"/>
        <w:rPr>
          <w:rFonts w:ascii="Book Antiqua" w:hAnsi="Book Antiqua"/>
          <w:sz w:val="24"/>
        </w:rPr>
      </w:pPr>
      <w:r w:rsidRPr="00480220">
        <w:rPr>
          <w:rFonts w:ascii="Book Antiqua" w:hAnsi="Book Antiqua"/>
          <w:sz w:val="24"/>
        </w:rPr>
        <w:t xml:space="preserve"> </w:t>
      </w:r>
    </w:p>
    <w:p w:rsidR="00282799" w:rsidRPr="00480220" w:rsidRDefault="00282799" w:rsidP="00010B85">
      <w:pPr>
        <w:spacing w:line="360" w:lineRule="auto"/>
        <w:rPr>
          <w:rFonts w:ascii="Book Antiqua" w:hAnsi="Book Antiqua"/>
          <w:sz w:val="24"/>
        </w:rPr>
      </w:pPr>
    </w:p>
    <w:p w:rsidR="00282799" w:rsidRPr="00010B85" w:rsidRDefault="00282799" w:rsidP="00010B85">
      <w:pPr>
        <w:pageBreakBefore/>
        <w:spacing w:line="360" w:lineRule="auto"/>
        <w:rPr>
          <w:rFonts w:ascii="Book Antiqua" w:hAnsi="Book Antiqua"/>
          <w:b/>
          <w:sz w:val="24"/>
        </w:rPr>
      </w:pPr>
      <w:r w:rsidRPr="00010B85">
        <w:rPr>
          <w:rFonts w:ascii="Book Antiqua" w:hAnsi="Book Antiqua"/>
          <w:b/>
          <w:sz w:val="24"/>
        </w:rPr>
        <w:lastRenderedPageBreak/>
        <w:t>INTRODUCTION</w:t>
      </w:r>
    </w:p>
    <w:p w:rsidR="00282799" w:rsidRPr="00010B85" w:rsidRDefault="00282799" w:rsidP="00010B85">
      <w:pPr>
        <w:spacing w:line="360" w:lineRule="auto"/>
        <w:rPr>
          <w:rFonts w:ascii="Book Antiqua" w:hAnsi="Book Antiqua"/>
          <w:sz w:val="24"/>
        </w:rPr>
      </w:pPr>
      <w:r w:rsidRPr="00010B85">
        <w:rPr>
          <w:rFonts w:ascii="Book Antiqua" w:hAnsi="Book Antiqua"/>
          <w:sz w:val="24"/>
        </w:rPr>
        <w:t>Infection by hepatitis B virus (HBV) is a serious public health problem worldwide. Two billion people worldwide have been infected with HBV, including more than 240 million cases of chronic infection</w:t>
      </w:r>
      <w:r w:rsidRPr="00480220">
        <w:rPr>
          <w:rFonts w:ascii="Book Antiqua" w:hAnsi="Book Antiqua"/>
          <w:sz w:val="24"/>
          <w:vertAlign w:val="superscript"/>
        </w:rPr>
        <w:t>[</w:t>
      </w:r>
      <w:r w:rsidRPr="00010B85">
        <w:rPr>
          <w:rFonts w:ascii="Book Antiqua" w:hAnsi="Book Antiqua"/>
          <w:sz w:val="24"/>
          <w:vertAlign w:val="superscript"/>
        </w:rPr>
        <w:t>1-2]</w:t>
      </w:r>
      <w:r w:rsidRPr="00010B85">
        <w:rPr>
          <w:rFonts w:ascii="Book Antiqua" w:hAnsi="Book Antiqua"/>
          <w:sz w:val="24"/>
        </w:rPr>
        <w:t xml:space="preserve">. During the chronic course of HBV infection, there is a chance that patients may be sporadically superinfected with other viruses, such as hepatitis E virus (HEV). HEV is mainly endemic in tropical and subtropical developing countries, including </w:t>
      </w:r>
      <w:smartTag w:uri="urn:schemas-microsoft-com:office:smarttags" w:element="place">
        <w:smartTag w:uri="urn:schemas-microsoft-com:office:smarttags" w:element="country-region">
          <w:r w:rsidRPr="00010B85">
            <w:rPr>
              <w:rFonts w:ascii="Book Antiqua" w:hAnsi="Book Antiqua"/>
              <w:sz w:val="24"/>
            </w:rPr>
            <w:t>China</w:t>
          </w:r>
        </w:smartTag>
      </w:smartTag>
      <w:r w:rsidRPr="00010B85">
        <w:rPr>
          <w:rFonts w:ascii="Book Antiqua" w:hAnsi="Book Antiqua"/>
          <w:sz w:val="24"/>
        </w:rPr>
        <w:t xml:space="preserve">. Studies of serum epidemiology in </w:t>
      </w:r>
      <w:smartTag w:uri="urn:schemas-microsoft-com:office:smarttags" w:element="place">
        <w:smartTag w:uri="urn:schemas-microsoft-com:office:smarttags" w:element="country-region">
          <w:r w:rsidRPr="00010B85">
            <w:rPr>
              <w:rFonts w:ascii="Book Antiqua" w:hAnsi="Book Antiqua"/>
              <w:sz w:val="24"/>
            </w:rPr>
            <w:t>China</w:t>
          </w:r>
        </w:smartTag>
      </w:smartTag>
      <w:r w:rsidRPr="00010B85">
        <w:rPr>
          <w:rFonts w:ascii="Book Antiqua" w:hAnsi="Book Antiqua"/>
          <w:sz w:val="24"/>
        </w:rPr>
        <w:t xml:space="preserve"> showed that HEV superinfection in patients with chronic hepatitis B is present in 17.6% of these patients</w:t>
      </w:r>
      <w:r w:rsidRPr="00480220">
        <w:rPr>
          <w:rFonts w:ascii="Book Antiqua" w:hAnsi="Book Antiqua"/>
          <w:sz w:val="24"/>
          <w:vertAlign w:val="superscript"/>
        </w:rPr>
        <w:t>[</w:t>
      </w:r>
      <w:r w:rsidRPr="00010B85">
        <w:rPr>
          <w:rFonts w:ascii="Book Antiqua" w:hAnsi="Book Antiqua"/>
          <w:sz w:val="24"/>
          <w:vertAlign w:val="superscript"/>
        </w:rPr>
        <w:t>3]</w:t>
      </w:r>
      <w:r w:rsidRPr="00010B85">
        <w:rPr>
          <w:rFonts w:ascii="Book Antiqua" w:hAnsi="Book Antiqua"/>
          <w:sz w:val="24"/>
        </w:rPr>
        <w:t xml:space="preserve">. </w:t>
      </w:r>
    </w:p>
    <w:p w:rsidR="00282799" w:rsidRPr="00010B85" w:rsidRDefault="00282799" w:rsidP="00E23267">
      <w:pPr>
        <w:spacing w:line="360" w:lineRule="auto"/>
        <w:ind w:firstLineChars="250" w:firstLine="600"/>
        <w:rPr>
          <w:rFonts w:ascii="Book Antiqua" w:hAnsi="Book Antiqua"/>
          <w:sz w:val="24"/>
        </w:rPr>
      </w:pPr>
      <w:r w:rsidRPr="00010B85">
        <w:rPr>
          <w:rFonts w:ascii="Book Antiqua" w:hAnsi="Book Antiqua"/>
          <w:sz w:val="24"/>
        </w:rPr>
        <w:t>HEV generally causes an acute, self-limiting illness, followed by a complete recovery. Recent studies have shown that HEV can result in severe disease in patients with underlying chronic HBV infection and even liver failure</w:t>
      </w:r>
      <w:r w:rsidRPr="00480220">
        <w:rPr>
          <w:rFonts w:ascii="Book Antiqua" w:hAnsi="Book Antiqua"/>
          <w:sz w:val="24"/>
          <w:vertAlign w:val="superscript"/>
        </w:rPr>
        <w:t>[</w:t>
      </w:r>
      <w:r w:rsidRPr="00010B85">
        <w:rPr>
          <w:rFonts w:ascii="Book Antiqua" w:hAnsi="Book Antiqua"/>
          <w:sz w:val="24"/>
          <w:vertAlign w:val="superscript"/>
        </w:rPr>
        <w:t>4-7]</w:t>
      </w:r>
      <w:r w:rsidRPr="00010B85">
        <w:rPr>
          <w:rFonts w:ascii="Book Antiqua" w:hAnsi="Book Antiqua"/>
          <w:sz w:val="24"/>
        </w:rPr>
        <w:t>. In the chronic course of HBV infection, there are different statuses of HBeAg and HBV-DNA, and certain patients have a higher probability of developing cirrhosis. No previous studies are available regarding whether these different chronic statuses have different influences on the superinfection of HBV and HEV.</w:t>
      </w:r>
    </w:p>
    <w:p w:rsidR="00282799" w:rsidRPr="00010B85" w:rsidRDefault="00282799" w:rsidP="00E23267">
      <w:pPr>
        <w:spacing w:line="360" w:lineRule="auto"/>
        <w:ind w:firstLineChars="300" w:firstLine="720"/>
        <w:rPr>
          <w:rFonts w:ascii="Book Antiqua" w:hAnsi="Book Antiqua"/>
          <w:sz w:val="24"/>
        </w:rPr>
      </w:pPr>
      <w:r w:rsidRPr="00010B85">
        <w:rPr>
          <w:rFonts w:ascii="Book Antiqua" w:hAnsi="Book Antiqua"/>
          <w:sz w:val="24"/>
        </w:rPr>
        <w:t>Liver failure related to HBV activation remains a rapidly progressive and frequently fatal condition. Traditional treatment is generally supportive. International HBV treatment guidelines recommend initiating nucleos(t)ide analogs as early as possible in this patient population</w:t>
      </w:r>
      <w:r w:rsidRPr="00480220">
        <w:rPr>
          <w:rFonts w:ascii="Book Antiqua" w:hAnsi="Book Antiqua"/>
          <w:sz w:val="24"/>
          <w:vertAlign w:val="superscript"/>
        </w:rPr>
        <w:t>[</w:t>
      </w:r>
      <w:r w:rsidRPr="00010B85">
        <w:rPr>
          <w:rFonts w:ascii="Book Antiqua" w:hAnsi="Book Antiqua"/>
          <w:sz w:val="24"/>
          <w:vertAlign w:val="superscript"/>
        </w:rPr>
        <w:t>8-9]</w:t>
      </w:r>
      <w:r w:rsidRPr="00010B85">
        <w:rPr>
          <w:rFonts w:ascii="Book Antiqua" w:hAnsi="Book Antiqua"/>
          <w:sz w:val="24"/>
        </w:rPr>
        <w:t>. Studies on the efficacy of nucleoside analogs have been emerging in recent years. Recent studies have shown that anti-HBV treatment could improve the outcome of this patient population</w:t>
      </w:r>
      <w:r w:rsidRPr="00480220">
        <w:rPr>
          <w:rFonts w:ascii="Book Antiqua" w:hAnsi="Book Antiqua"/>
          <w:sz w:val="24"/>
          <w:vertAlign w:val="superscript"/>
        </w:rPr>
        <w:t>[</w:t>
      </w:r>
      <w:r w:rsidRPr="00010B85">
        <w:rPr>
          <w:rFonts w:ascii="Book Antiqua" w:hAnsi="Book Antiqua"/>
          <w:sz w:val="24"/>
          <w:vertAlign w:val="superscript"/>
        </w:rPr>
        <w:t>10-13]</w:t>
      </w:r>
      <w:r w:rsidRPr="00010B85">
        <w:rPr>
          <w:rFonts w:ascii="Book Antiqua" w:hAnsi="Book Antiqua"/>
          <w:sz w:val="24"/>
        </w:rPr>
        <w:t>. Superinfection with HEV is another common cause of liver failure in patients with chronic HBV infection, accounting for 20% of cases in regions endemic for HEV</w:t>
      </w:r>
      <w:r w:rsidRPr="00480220">
        <w:rPr>
          <w:rFonts w:ascii="Book Antiqua" w:hAnsi="Book Antiqua"/>
          <w:sz w:val="24"/>
          <w:vertAlign w:val="superscript"/>
        </w:rPr>
        <w:t>[</w:t>
      </w:r>
      <w:r w:rsidRPr="00010B85">
        <w:rPr>
          <w:rFonts w:ascii="Book Antiqua" w:hAnsi="Book Antiqua"/>
          <w:sz w:val="24"/>
          <w:vertAlign w:val="superscript"/>
        </w:rPr>
        <w:t>4]</w:t>
      </w:r>
      <w:r w:rsidRPr="00010B85">
        <w:rPr>
          <w:rFonts w:ascii="Book Antiqua" w:hAnsi="Book Antiqua"/>
          <w:sz w:val="24"/>
        </w:rPr>
        <w:t xml:space="preserve">. Importantly, such liver failure caused by HBV and HEV results in high mortality rates. However, there are still no data on anti-HBV treatment for liver failure caused by the superinfection of HBV and HEV, as previous studies did not consider patients with superinfection. </w:t>
      </w:r>
    </w:p>
    <w:p w:rsidR="00282799" w:rsidRDefault="00282799" w:rsidP="00EC3A7B">
      <w:pPr>
        <w:spacing w:line="360" w:lineRule="auto"/>
        <w:ind w:firstLineChars="300" w:firstLine="720"/>
        <w:rPr>
          <w:rFonts w:ascii="Book Antiqua" w:hAnsi="Book Antiqua"/>
          <w:sz w:val="24"/>
        </w:rPr>
      </w:pPr>
      <w:r w:rsidRPr="00010B85">
        <w:rPr>
          <w:rFonts w:ascii="Book Antiqua" w:hAnsi="Book Antiqua"/>
          <w:sz w:val="24"/>
        </w:rPr>
        <w:t xml:space="preserve">The aim of our study was to investigate the impact of chronic HBV infection on superimposed acute hepatitis E, particularly the influence of the status of HBeAg, HBV-DNA, and cirrhosis on disease severity. Furthermore, we evaluated the effect of anti-HBV treatment on HBV-HEV superinfection. The use of a single liver function index is </w:t>
      </w:r>
      <w:r w:rsidRPr="00010B85">
        <w:rPr>
          <w:rFonts w:ascii="Book Antiqua" w:hAnsi="Book Antiqua"/>
          <w:sz w:val="24"/>
        </w:rPr>
        <w:lastRenderedPageBreak/>
        <w:t>limited in assessing liver function, but the Model for End-Stage Liver Disease (MELD) score</w:t>
      </w:r>
      <w:r w:rsidRPr="00480220">
        <w:rPr>
          <w:rFonts w:ascii="Book Antiqua" w:hAnsi="Book Antiqua"/>
          <w:sz w:val="24"/>
          <w:vertAlign w:val="superscript"/>
        </w:rPr>
        <w:t>[</w:t>
      </w:r>
      <w:r w:rsidRPr="00010B85">
        <w:rPr>
          <w:rFonts w:ascii="Book Antiqua" w:hAnsi="Book Antiqua"/>
          <w:sz w:val="24"/>
          <w:vertAlign w:val="superscript"/>
        </w:rPr>
        <w:t>14]</w:t>
      </w:r>
      <w:r w:rsidRPr="00010B85">
        <w:rPr>
          <w:rFonts w:ascii="Book Antiqua" w:hAnsi="Book Antiqua"/>
          <w:sz w:val="24"/>
        </w:rPr>
        <w:t>, which combines multiple indices, can play a useful role in this assessment. The MELD score system has been used extensively for the allocation of donor livers worldwide</w:t>
      </w:r>
      <w:r w:rsidRPr="00480220">
        <w:rPr>
          <w:rFonts w:ascii="Book Antiqua" w:hAnsi="Book Antiqua"/>
          <w:sz w:val="24"/>
          <w:vertAlign w:val="superscript"/>
        </w:rPr>
        <w:t>[</w:t>
      </w:r>
      <w:r w:rsidRPr="00010B85">
        <w:rPr>
          <w:rFonts w:ascii="Book Antiqua" w:hAnsi="Book Antiqua"/>
          <w:sz w:val="24"/>
          <w:vertAlign w:val="superscript"/>
        </w:rPr>
        <w:t>15]</w:t>
      </w:r>
      <w:r w:rsidRPr="00010B85">
        <w:rPr>
          <w:rFonts w:ascii="Book Antiqua" w:hAnsi="Book Antiqua"/>
          <w:sz w:val="24"/>
        </w:rPr>
        <w:t xml:space="preserve"> and has been validated for use in CHB</w:t>
      </w:r>
      <w:r w:rsidRPr="00480220">
        <w:rPr>
          <w:rFonts w:ascii="Book Antiqua" w:hAnsi="Book Antiqua"/>
          <w:sz w:val="24"/>
          <w:vertAlign w:val="superscript"/>
        </w:rPr>
        <w:t>[</w:t>
      </w:r>
      <w:r w:rsidRPr="00010B85">
        <w:rPr>
          <w:rFonts w:ascii="Book Antiqua" w:hAnsi="Book Antiqua"/>
          <w:sz w:val="24"/>
          <w:vertAlign w:val="superscript"/>
        </w:rPr>
        <w:t>16]</w:t>
      </w:r>
      <w:r w:rsidRPr="00010B85">
        <w:rPr>
          <w:rFonts w:ascii="Book Antiqua" w:hAnsi="Book Antiqua"/>
          <w:sz w:val="24"/>
        </w:rPr>
        <w:t>. Thus, the MELD score was applied for a comprehensive analysis of liver function.</w:t>
      </w:r>
    </w:p>
    <w:p w:rsidR="00282799" w:rsidRDefault="00282799" w:rsidP="004D3094">
      <w:pPr>
        <w:spacing w:line="360" w:lineRule="auto"/>
        <w:rPr>
          <w:rFonts w:ascii="Book Antiqua" w:hAnsi="Book Antiqua"/>
          <w:sz w:val="24"/>
        </w:rPr>
      </w:pPr>
    </w:p>
    <w:p w:rsidR="00282799" w:rsidRPr="004D3094" w:rsidRDefault="00282799" w:rsidP="004D3094">
      <w:pPr>
        <w:spacing w:line="360" w:lineRule="auto"/>
        <w:rPr>
          <w:rFonts w:ascii="Book Antiqua" w:hAnsi="Book Antiqua"/>
          <w:b/>
          <w:sz w:val="24"/>
        </w:rPr>
      </w:pPr>
      <w:r w:rsidRPr="004D3094">
        <w:rPr>
          <w:rFonts w:ascii="Book Antiqua" w:hAnsi="Book Antiqua"/>
          <w:b/>
          <w:sz w:val="24"/>
        </w:rPr>
        <w:t>MATERIALS AND METHODS</w:t>
      </w:r>
    </w:p>
    <w:p w:rsidR="00282799" w:rsidRPr="00010B85" w:rsidRDefault="00282799" w:rsidP="00010B85">
      <w:pPr>
        <w:spacing w:line="360" w:lineRule="auto"/>
        <w:rPr>
          <w:rFonts w:ascii="Book Antiqua" w:hAnsi="Book Antiqua"/>
          <w:b/>
          <w:i/>
          <w:sz w:val="24"/>
        </w:rPr>
      </w:pPr>
      <w:r w:rsidRPr="00010B85">
        <w:rPr>
          <w:rFonts w:ascii="Book Antiqua" w:hAnsi="Book Antiqua"/>
          <w:b/>
          <w:i/>
          <w:sz w:val="24"/>
        </w:rPr>
        <w:t>Patients</w:t>
      </w:r>
    </w:p>
    <w:p w:rsidR="00282799" w:rsidRPr="00010B85" w:rsidRDefault="00282799" w:rsidP="00010B85">
      <w:pPr>
        <w:spacing w:line="360" w:lineRule="auto"/>
        <w:rPr>
          <w:rFonts w:ascii="Book Antiqua" w:hAnsi="Book Antiqua"/>
          <w:sz w:val="24"/>
        </w:rPr>
      </w:pPr>
      <w:r w:rsidRPr="00010B85">
        <w:rPr>
          <w:rFonts w:ascii="Book Antiqua" w:hAnsi="Book Antiqua"/>
          <w:sz w:val="24"/>
        </w:rPr>
        <w:t xml:space="preserve">This work was approved by the local ethics committee of our university. A total of 294 patients were recruited from the Department of Infectious Diseases of the </w:t>
      </w:r>
      <w:smartTag w:uri="urn:schemas-microsoft-com:office:smarttags" w:element="PlaceName">
        <w:r w:rsidRPr="00010B85">
          <w:rPr>
            <w:rFonts w:ascii="Book Antiqua" w:hAnsi="Book Antiqua"/>
            <w:sz w:val="24"/>
          </w:rPr>
          <w:t>Third</w:t>
        </w:r>
      </w:smartTag>
      <w:r w:rsidRPr="00010B85">
        <w:rPr>
          <w:rFonts w:ascii="Book Antiqua" w:hAnsi="Book Antiqua"/>
          <w:sz w:val="24"/>
        </w:rPr>
        <w:t xml:space="preserve"> </w:t>
      </w:r>
      <w:smartTag w:uri="urn:schemas-microsoft-com:office:smarttags" w:element="PlaceName">
        <w:r w:rsidRPr="00010B85">
          <w:rPr>
            <w:rFonts w:ascii="Book Antiqua" w:hAnsi="Book Antiqua"/>
            <w:sz w:val="24"/>
          </w:rPr>
          <w:t>Affiliated</w:t>
        </w:r>
      </w:smartTag>
      <w:r w:rsidRPr="00010B85">
        <w:rPr>
          <w:rFonts w:ascii="Book Antiqua" w:hAnsi="Book Antiqua"/>
          <w:sz w:val="24"/>
        </w:rPr>
        <w:t xml:space="preserve"> </w:t>
      </w:r>
      <w:smartTag w:uri="urn:schemas-microsoft-com:office:smarttags" w:element="PlaceType">
        <w:r w:rsidRPr="00010B85">
          <w:rPr>
            <w:rFonts w:ascii="Book Antiqua" w:hAnsi="Book Antiqua"/>
            <w:sz w:val="24"/>
          </w:rPr>
          <w:t>Hospital</w:t>
        </w:r>
      </w:smartTag>
      <w:r w:rsidRPr="00010B85">
        <w:rPr>
          <w:rFonts w:ascii="Book Antiqua" w:hAnsi="Book Antiqua"/>
          <w:sz w:val="24"/>
        </w:rPr>
        <w:t xml:space="preserve">, </w:t>
      </w:r>
      <w:smartTag w:uri="urn:schemas-microsoft-com:office:smarttags" w:element="place">
        <w:smartTag w:uri="urn:schemas-microsoft-com:office:smarttags" w:element="PlaceName">
          <w:r w:rsidRPr="00010B85">
            <w:rPr>
              <w:rFonts w:ascii="Book Antiqua" w:hAnsi="Book Antiqua"/>
              <w:sz w:val="24"/>
            </w:rPr>
            <w:t>Sun</w:t>
          </w:r>
        </w:smartTag>
        <w:r w:rsidRPr="00010B85">
          <w:rPr>
            <w:rFonts w:ascii="Book Antiqua" w:hAnsi="Book Antiqua"/>
            <w:sz w:val="24"/>
          </w:rPr>
          <w:t xml:space="preserve"> </w:t>
        </w:r>
        <w:smartTag w:uri="urn:schemas-microsoft-com:office:smarttags" w:element="PlaceName">
          <w:r w:rsidRPr="00010B85">
            <w:rPr>
              <w:rFonts w:ascii="Book Antiqua" w:hAnsi="Book Antiqua"/>
              <w:sz w:val="24"/>
            </w:rPr>
            <w:t>Yat-sen</w:t>
          </w:r>
        </w:smartTag>
        <w:r w:rsidRPr="00010B85">
          <w:rPr>
            <w:rFonts w:ascii="Book Antiqua" w:hAnsi="Book Antiqua"/>
            <w:sz w:val="24"/>
          </w:rPr>
          <w:t xml:space="preserve"> </w:t>
        </w:r>
        <w:smartTag w:uri="urn:schemas-microsoft-com:office:smarttags" w:element="PlaceType">
          <w:r w:rsidRPr="00010B85">
            <w:rPr>
              <w:rFonts w:ascii="Book Antiqua" w:hAnsi="Book Antiqua"/>
              <w:sz w:val="24"/>
            </w:rPr>
            <w:t>University</w:t>
          </w:r>
        </w:smartTag>
      </w:smartTag>
      <w:r w:rsidRPr="00010B85">
        <w:rPr>
          <w:rFonts w:ascii="Book Antiqua" w:hAnsi="Book Antiqua"/>
          <w:sz w:val="24"/>
        </w:rPr>
        <w:t>, from January 2003 to January 2012. Among these patients, 118 were diagnosed with acute hepatitis E and chronic HBV superinfection (HBV+HEV group), and 176 patients were diagnosed with acute hepatitis E alone (HEV group). Acute hepatitis E was diagnosed when patients were hospitalized with typical symptoms of acute viral hepatitis and the presence of anti-HEV</w:t>
      </w:r>
      <w:r w:rsidRPr="00010B85" w:rsidDel="00974938">
        <w:rPr>
          <w:rFonts w:ascii="Book Antiqua" w:hAnsi="Book Antiqua"/>
          <w:sz w:val="24"/>
        </w:rPr>
        <w:t xml:space="preserve"> </w:t>
      </w:r>
      <w:r w:rsidRPr="00010B85">
        <w:rPr>
          <w:rFonts w:ascii="Book Antiqua" w:hAnsi="Book Antiqua"/>
          <w:sz w:val="24"/>
        </w:rPr>
        <w:t>serum IgM and IgG. The presence of HBsAg and the absence of anti-HBc IgM established a diagnosis of chronic HBV infection. The diagnosis of liver failure was based on the Guidelines for Diagnosis of Liver Failure (2006)</w:t>
      </w:r>
      <w:r w:rsidRPr="00480220">
        <w:rPr>
          <w:rFonts w:ascii="Book Antiqua" w:hAnsi="Book Antiqua"/>
          <w:sz w:val="24"/>
          <w:vertAlign w:val="superscript"/>
        </w:rPr>
        <w:t>[</w:t>
      </w:r>
      <w:r w:rsidRPr="00010B85">
        <w:rPr>
          <w:rFonts w:ascii="Book Antiqua" w:hAnsi="Book Antiqua"/>
          <w:sz w:val="24"/>
          <w:vertAlign w:val="superscript"/>
        </w:rPr>
        <w:t>17]</w:t>
      </w:r>
      <w:r w:rsidRPr="00010B85">
        <w:rPr>
          <w:rFonts w:ascii="Book Antiqua" w:hAnsi="Book Antiqua"/>
          <w:sz w:val="24"/>
        </w:rPr>
        <w:t xml:space="preserve"> and included the presence of two or more of the following: an international normalized ratio (INR)  ≥</w:t>
      </w:r>
      <w:r>
        <w:rPr>
          <w:rFonts w:ascii="Book Antiqua" w:hAnsi="Book Antiqua"/>
          <w:sz w:val="24"/>
        </w:rPr>
        <w:t xml:space="preserve"> </w:t>
      </w:r>
      <w:r w:rsidRPr="00010B85">
        <w:rPr>
          <w:rFonts w:ascii="Book Antiqua" w:hAnsi="Book Antiqua"/>
          <w:sz w:val="24"/>
        </w:rPr>
        <w:t>1.5, serum total bilirubin (TBil) &gt;</w:t>
      </w:r>
      <w:r>
        <w:rPr>
          <w:rFonts w:ascii="Book Antiqua" w:hAnsi="Book Antiqua"/>
          <w:sz w:val="24"/>
        </w:rPr>
        <w:t xml:space="preserve"> </w:t>
      </w:r>
      <w:r w:rsidRPr="00010B85">
        <w:rPr>
          <w:rFonts w:ascii="Book Antiqua" w:hAnsi="Book Antiqua"/>
          <w:sz w:val="24"/>
        </w:rPr>
        <w:t>10 times the upper limit of normal, ascites, hepatic encephalopathy, decreased liver size, or hepatorenal syndrome. The complications that were observed were ascites, peritonitis, hepatic encephalopathy, gastrointestinal bleeding, and hepatorenal syndrome.</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b/>
          <w:i/>
          <w:sz w:val="24"/>
        </w:rPr>
      </w:pPr>
      <w:r w:rsidRPr="00010B85">
        <w:rPr>
          <w:rFonts w:ascii="Book Antiqua" w:hAnsi="Book Antiqua"/>
          <w:b/>
          <w:i/>
          <w:sz w:val="24"/>
        </w:rPr>
        <w:t>Detection</w:t>
      </w:r>
    </w:p>
    <w:p w:rsidR="00282799" w:rsidRDefault="00282799" w:rsidP="00010B85">
      <w:pPr>
        <w:spacing w:line="360" w:lineRule="auto"/>
        <w:rPr>
          <w:rFonts w:ascii="Book Antiqua" w:hAnsi="Book Antiqua"/>
          <w:sz w:val="24"/>
        </w:rPr>
      </w:pPr>
      <w:r w:rsidRPr="00010B85">
        <w:rPr>
          <w:rFonts w:ascii="Book Antiqua" w:hAnsi="Book Antiqua"/>
          <w:sz w:val="24"/>
        </w:rPr>
        <w:t xml:space="preserve">Anti-HEV serum IgM and IgG were detected with an enzyme-linked immunosorbent assay (Genelabs Technologies, Singapore). HBsAg, HBsAb, HBeAg, HBeAb, and HBcAb were detected with an automatic rapid immunoassay system (AxSYM; Abbott, </w:t>
      </w:r>
      <w:bookmarkStart w:id="18" w:name="OLE_LINK144"/>
      <w:bookmarkStart w:id="19" w:name="OLE_LINK145"/>
      <w:r w:rsidRPr="00506C76">
        <w:rPr>
          <w:rFonts w:ascii="Book Antiqua" w:hAnsi="Book Antiqua" w:cs="Garamond"/>
          <w:kern w:val="0"/>
          <w:sz w:val="24"/>
        </w:rPr>
        <w:t>United States</w:t>
      </w:r>
      <w:bookmarkEnd w:id="18"/>
      <w:bookmarkEnd w:id="19"/>
      <w:r w:rsidRPr="00010B85">
        <w:rPr>
          <w:rFonts w:ascii="Book Antiqua" w:hAnsi="Book Antiqua"/>
          <w:sz w:val="24"/>
        </w:rPr>
        <w:t xml:space="preserve">). HBV DNA levels were determined by real-time polymerase chain reactions using commercial diagnostic kits (Da-an GeneCo., Guangzhou, China) with a lower detection limit of 500 copies/mL. Liver function tests were performed using an automatic </w:t>
      </w:r>
      <w:r w:rsidRPr="00010B85">
        <w:rPr>
          <w:rFonts w:ascii="Book Antiqua" w:hAnsi="Book Antiqua"/>
          <w:sz w:val="24"/>
        </w:rPr>
        <w:lastRenderedPageBreak/>
        <w:t>biochemical analyzer (AU 640; Olympus, Japan). In this study, PT-INR (prothrombin time/reference prothrombin time) = ISI. The prothrombin time was measured using the detection reagent STA-Neoplastine(r) CI PLUS with an automatic coagulometer (STA-R) (Diagnostica Stago, France). A diagnosis of underlying cirrhosis was made based on clinical, biochemical, and ultrasonographic findings. Sample collection, transportation, preservation, and processing were performed according to the manufacturer’s instructions.</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b/>
          <w:i/>
          <w:sz w:val="24"/>
        </w:rPr>
      </w:pPr>
      <w:r w:rsidRPr="00010B85">
        <w:rPr>
          <w:rFonts w:ascii="Book Antiqua" w:hAnsi="Book Antiqua"/>
          <w:b/>
          <w:i/>
          <w:sz w:val="24"/>
        </w:rPr>
        <w:t>Calculation of MELD scores</w:t>
      </w:r>
    </w:p>
    <w:p w:rsidR="00282799" w:rsidRPr="00010B85" w:rsidRDefault="00282799" w:rsidP="00010B85">
      <w:pPr>
        <w:spacing w:line="360" w:lineRule="auto"/>
        <w:rPr>
          <w:rFonts w:ascii="Book Antiqua" w:hAnsi="Book Antiqua"/>
          <w:sz w:val="24"/>
        </w:rPr>
      </w:pPr>
      <w:r w:rsidRPr="00010B85">
        <w:rPr>
          <w:rFonts w:ascii="Book Antiqua" w:hAnsi="Book Antiqua"/>
          <w:sz w:val="24"/>
        </w:rPr>
        <w:t>MELD score = 3.8 × log</w:t>
      </w:r>
      <w:r w:rsidRPr="00010B85">
        <w:rPr>
          <w:rFonts w:ascii="Book Antiqua" w:hAnsi="Book Antiqua"/>
          <w:sz w:val="24"/>
          <w:vertAlign w:val="subscript"/>
        </w:rPr>
        <w:t>e</w:t>
      </w:r>
      <w:r w:rsidRPr="00480220">
        <w:rPr>
          <w:rFonts w:ascii="Book Antiqua" w:hAnsi="Book Antiqua"/>
          <w:sz w:val="24"/>
          <w:vertAlign w:val="superscript"/>
        </w:rPr>
        <w:t>[</w:t>
      </w:r>
      <w:r w:rsidRPr="00010B85">
        <w:rPr>
          <w:rFonts w:ascii="Book Antiqua" w:hAnsi="Book Antiqua"/>
          <w:sz w:val="24"/>
        </w:rPr>
        <w:t>serum bilirubin (μmol/L) × 0.058] + 11.2 × log</w:t>
      </w:r>
      <w:r w:rsidRPr="00010B85">
        <w:rPr>
          <w:rFonts w:ascii="Book Antiqua" w:hAnsi="Book Antiqua"/>
          <w:sz w:val="24"/>
          <w:vertAlign w:val="subscript"/>
        </w:rPr>
        <w:t>e</w:t>
      </w:r>
      <w:r w:rsidRPr="00010B85">
        <w:rPr>
          <w:rFonts w:ascii="Book Antiqua" w:hAnsi="Book Antiqua"/>
          <w:sz w:val="24"/>
        </w:rPr>
        <w:t xml:space="preserve"> (PT-INR) + 9.6 × log</w:t>
      </w:r>
      <w:r w:rsidRPr="00010B85">
        <w:rPr>
          <w:rFonts w:ascii="Book Antiqua" w:hAnsi="Book Antiqua"/>
          <w:sz w:val="24"/>
          <w:vertAlign w:val="subscript"/>
        </w:rPr>
        <w:t>e</w:t>
      </w:r>
      <w:r w:rsidRPr="00480220">
        <w:rPr>
          <w:rFonts w:ascii="Book Antiqua" w:hAnsi="Book Antiqua"/>
          <w:sz w:val="24"/>
          <w:vertAlign w:val="superscript"/>
        </w:rPr>
        <w:t>[</w:t>
      </w:r>
      <w:r w:rsidRPr="00010B85">
        <w:rPr>
          <w:rFonts w:ascii="Book Antiqua" w:hAnsi="Book Antiqua"/>
          <w:sz w:val="24"/>
        </w:rPr>
        <w:t>serum Cr (μmol/L) × 0.011] + 6.4 × (0 or 1) (cholestatic or alcoholic cirrhosis: 0; other liver diseases: 1)</w:t>
      </w:r>
      <w:r w:rsidRPr="00480220">
        <w:rPr>
          <w:rFonts w:ascii="Book Antiqua" w:hAnsi="Book Antiqua"/>
          <w:sz w:val="24"/>
          <w:vertAlign w:val="superscript"/>
        </w:rPr>
        <w:t>[</w:t>
      </w:r>
      <w:r w:rsidRPr="00010B85">
        <w:rPr>
          <w:rFonts w:ascii="Book Antiqua" w:hAnsi="Book Antiqua"/>
          <w:sz w:val="24"/>
          <w:vertAlign w:val="superscript"/>
        </w:rPr>
        <w:t>14]</w:t>
      </w:r>
      <w:r w:rsidRPr="00010B85">
        <w:rPr>
          <w:rFonts w:ascii="Book Antiqua" w:hAnsi="Book Antiqua"/>
          <w:sz w:val="24"/>
        </w:rPr>
        <w:t>.</w:t>
      </w:r>
    </w:p>
    <w:p w:rsidR="00282799" w:rsidRPr="00010B85" w:rsidRDefault="00282799" w:rsidP="00010B85">
      <w:pPr>
        <w:spacing w:line="360" w:lineRule="auto"/>
        <w:rPr>
          <w:rFonts w:ascii="Book Antiqua" w:hAnsi="Book Antiqua"/>
          <w:sz w:val="24"/>
        </w:rPr>
      </w:pPr>
    </w:p>
    <w:p w:rsidR="00282799" w:rsidRPr="00010B85" w:rsidRDefault="00282799" w:rsidP="00010B85">
      <w:pPr>
        <w:spacing w:line="360" w:lineRule="auto"/>
        <w:rPr>
          <w:rFonts w:ascii="Book Antiqua" w:hAnsi="Book Antiqua"/>
          <w:b/>
          <w:i/>
          <w:sz w:val="24"/>
        </w:rPr>
      </w:pPr>
      <w:r w:rsidRPr="00010B85">
        <w:rPr>
          <w:rFonts w:ascii="Book Antiqua" w:hAnsi="Book Antiqua"/>
          <w:b/>
          <w:i/>
          <w:sz w:val="24"/>
        </w:rPr>
        <w:t>Statistical analysis</w:t>
      </w:r>
    </w:p>
    <w:p w:rsidR="00282799" w:rsidRPr="00010B85" w:rsidRDefault="00282799" w:rsidP="00010B85">
      <w:pPr>
        <w:spacing w:line="360" w:lineRule="auto"/>
        <w:rPr>
          <w:rFonts w:ascii="Book Antiqua" w:hAnsi="Book Antiqua"/>
          <w:sz w:val="24"/>
        </w:rPr>
      </w:pPr>
      <w:r w:rsidRPr="00010B85">
        <w:rPr>
          <w:rFonts w:ascii="Book Antiqua" w:hAnsi="Book Antiqua"/>
          <w:sz w:val="24"/>
        </w:rPr>
        <w:t xml:space="preserve">Statistical analyses were performed using SPSS 19.0 software (SPSS Inc., Chicago, </w:t>
      </w:r>
      <w:r w:rsidRPr="00506C76">
        <w:rPr>
          <w:rFonts w:ascii="Book Antiqua" w:hAnsi="Book Antiqua" w:cs="Garamond"/>
          <w:kern w:val="0"/>
          <w:sz w:val="24"/>
        </w:rPr>
        <w:t>United States</w:t>
      </w:r>
      <w:r w:rsidRPr="00010B85">
        <w:rPr>
          <w:rFonts w:ascii="Book Antiqua" w:hAnsi="Book Antiqua"/>
          <w:sz w:val="24"/>
        </w:rPr>
        <w:t xml:space="preserve">). The </w:t>
      </w:r>
      <w:bookmarkStart w:id="20" w:name="OLE_LINK41"/>
      <w:bookmarkStart w:id="21" w:name="OLE_LINK42"/>
      <w:r w:rsidRPr="009A661B">
        <w:rPr>
          <w:rFonts w:ascii="Book Antiqua" w:hAnsi="Book Antiqua"/>
          <w:i/>
          <w:sz w:val="24"/>
        </w:rPr>
        <w:sym w:font="SymbolPS" w:char="F063"/>
      </w:r>
      <w:r w:rsidRPr="00CE4867">
        <w:rPr>
          <w:rFonts w:ascii="Book Antiqua" w:hAnsi="Book Antiqua"/>
          <w:sz w:val="24"/>
          <w:vertAlign w:val="superscript"/>
        </w:rPr>
        <w:t>2</w:t>
      </w:r>
      <w:bookmarkEnd w:id="20"/>
      <w:bookmarkEnd w:id="21"/>
      <w:r w:rsidRPr="00010B85">
        <w:rPr>
          <w:rFonts w:ascii="Book Antiqua" w:hAnsi="Book Antiqua"/>
          <w:sz w:val="24"/>
        </w:rPr>
        <w:t xml:space="preserve"> test or Fisher’s exact test were used for categorical variables, and the Student’s </w:t>
      </w:r>
      <w:r w:rsidRPr="00010B85">
        <w:rPr>
          <w:rFonts w:ascii="Book Antiqua" w:hAnsi="Book Antiqua"/>
          <w:i/>
          <w:sz w:val="24"/>
        </w:rPr>
        <w:t xml:space="preserve">t </w:t>
      </w:r>
      <w:r w:rsidRPr="00010B85">
        <w:rPr>
          <w:rFonts w:ascii="Book Antiqua" w:hAnsi="Book Antiqua"/>
          <w:sz w:val="24"/>
        </w:rPr>
        <w:t xml:space="preserve">test was used for continuous variables. Continuous variables are expressed as the mean ± SD, and categorical variables are expressed as the percentage (number). </w:t>
      </w:r>
      <w:r w:rsidRPr="00010B85">
        <w:rPr>
          <w:rFonts w:ascii="Book Antiqua" w:hAnsi="Book Antiqua"/>
          <w:i/>
          <w:sz w:val="24"/>
        </w:rPr>
        <w:t xml:space="preserve">P </w:t>
      </w:r>
      <w:r w:rsidRPr="00010B85">
        <w:rPr>
          <w:rFonts w:ascii="Book Antiqua" w:hAnsi="Book Antiqua"/>
          <w:sz w:val="24"/>
        </w:rPr>
        <w:t>values &lt;</w:t>
      </w:r>
      <w:r>
        <w:rPr>
          <w:rFonts w:ascii="Book Antiqua" w:hAnsi="Book Antiqua"/>
          <w:sz w:val="24"/>
        </w:rPr>
        <w:t xml:space="preserve"> </w:t>
      </w:r>
      <w:r w:rsidRPr="00010B85">
        <w:rPr>
          <w:rFonts w:ascii="Book Antiqua" w:hAnsi="Book Antiqua"/>
          <w:sz w:val="24"/>
        </w:rPr>
        <w:t xml:space="preserve">0.05 were considered statistically significant. </w:t>
      </w:r>
    </w:p>
    <w:p w:rsidR="00282799" w:rsidRDefault="00282799" w:rsidP="00010B85">
      <w:pPr>
        <w:spacing w:line="360" w:lineRule="auto"/>
        <w:rPr>
          <w:rFonts w:ascii="Book Antiqua" w:hAnsi="Book Antiqua"/>
          <w:sz w:val="24"/>
        </w:rPr>
      </w:pPr>
    </w:p>
    <w:p w:rsidR="00282799" w:rsidRPr="002458CB" w:rsidRDefault="00282799" w:rsidP="00010B85">
      <w:pPr>
        <w:spacing w:line="360" w:lineRule="auto"/>
        <w:rPr>
          <w:rFonts w:ascii="Book Antiqua" w:hAnsi="Book Antiqua"/>
          <w:b/>
          <w:sz w:val="24"/>
        </w:rPr>
      </w:pPr>
      <w:r w:rsidRPr="002458CB">
        <w:rPr>
          <w:rFonts w:ascii="Book Antiqua" w:hAnsi="Book Antiqua"/>
          <w:b/>
          <w:sz w:val="24"/>
        </w:rPr>
        <w:t>RESULTS</w:t>
      </w:r>
    </w:p>
    <w:p w:rsidR="00282799" w:rsidRPr="002458CB" w:rsidRDefault="00282799" w:rsidP="00010B85">
      <w:pPr>
        <w:spacing w:line="360" w:lineRule="auto"/>
        <w:rPr>
          <w:rFonts w:ascii="Book Antiqua" w:hAnsi="Book Antiqua"/>
          <w:b/>
          <w:i/>
          <w:sz w:val="24"/>
        </w:rPr>
      </w:pPr>
      <w:r w:rsidRPr="002458CB">
        <w:rPr>
          <w:rFonts w:ascii="Book Antiqua" w:hAnsi="Book Antiqua"/>
          <w:b/>
          <w:i/>
          <w:sz w:val="24"/>
        </w:rPr>
        <w:t>Demographic characteristics</w:t>
      </w:r>
    </w:p>
    <w:p w:rsidR="00282799" w:rsidRPr="00010B85" w:rsidRDefault="00282799" w:rsidP="00010B85">
      <w:pPr>
        <w:spacing w:line="360" w:lineRule="auto"/>
        <w:rPr>
          <w:rFonts w:ascii="Book Antiqua" w:hAnsi="Book Antiqua"/>
          <w:sz w:val="24"/>
        </w:rPr>
      </w:pPr>
      <w:r w:rsidRPr="00010B85">
        <w:rPr>
          <w:rFonts w:ascii="Book Antiqua" w:hAnsi="Book Antiqua"/>
          <w:sz w:val="24"/>
        </w:rPr>
        <w:t>The demographic characteristics of the 294 patients are shown in Table 1. The males outnumbered the females in both groups. The mean ages at admission were 44.5 and 54.1 years in the HBV+HEV and HEV groups, respectively.</w:t>
      </w:r>
    </w:p>
    <w:p w:rsidR="00282799" w:rsidRPr="00010B85" w:rsidRDefault="00282799" w:rsidP="00010B85">
      <w:pPr>
        <w:spacing w:line="360" w:lineRule="auto"/>
        <w:ind w:firstLineChars="100" w:firstLine="240"/>
        <w:rPr>
          <w:rFonts w:ascii="Book Antiqua" w:hAnsi="Book Antiqua"/>
          <w:sz w:val="24"/>
        </w:rPr>
      </w:pPr>
    </w:p>
    <w:p w:rsidR="00282799" w:rsidRPr="002458CB" w:rsidRDefault="00282799" w:rsidP="00010B85">
      <w:pPr>
        <w:spacing w:line="360" w:lineRule="auto"/>
        <w:rPr>
          <w:rFonts w:ascii="Book Antiqua" w:hAnsi="Book Antiqua"/>
          <w:b/>
          <w:i/>
          <w:sz w:val="24"/>
        </w:rPr>
      </w:pPr>
      <w:r w:rsidRPr="002458CB">
        <w:rPr>
          <w:rFonts w:ascii="Book Antiqua" w:hAnsi="Book Antiqua"/>
          <w:b/>
          <w:i/>
          <w:sz w:val="24"/>
        </w:rPr>
        <w:t xml:space="preserve">Laboratory findings </w:t>
      </w:r>
    </w:p>
    <w:p w:rsidR="00282799" w:rsidRPr="00010B85" w:rsidRDefault="00282799" w:rsidP="00010B85">
      <w:pPr>
        <w:spacing w:line="360" w:lineRule="auto"/>
        <w:rPr>
          <w:rFonts w:ascii="Book Antiqua" w:hAnsi="Book Antiqua"/>
          <w:sz w:val="24"/>
        </w:rPr>
      </w:pPr>
      <w:r w:rsidRPr="00010B85">
        <w:rPr>
          <w:rFonts w:ascii="Book Antiqua" w:hAnsi="Book Antiqua"/>
          <w:sz w:val="24"/>
        </w:rPr>
        <w:t xml:space="preserve">Liver function tests were performed at admission and regularly after admission. We compared the most severe laboratory abnormalities in the biochemical profile between the two groups (Table 1). The mean peak values of PT (22.1 </w:t>
      </w:r>
      <w:r w:rsidRPr="006E715D">
        <w:rPr>
          <w:rFonts w:ascii="Book Antiqua" w:hAnsi="Book Antiqua"/>
          <w:i/>
          <w:sz w:val="24"/>
        </w:rPr>
        <w:t>vs</w:t>
      </w:r>
      <w:r w:rsidRPr="00010B85">
        <w:rPr>
          <w:rFonts w:ascii="Book Antiqua" w:hAnsi="Book Antiqua"/>
          <w:sz w:val="24"/>
        </w:rPr>
        <w:t xml:space="preserve"> 16.8 s, </w:t>
      </w:r>
      <w:r w:rsidRPr="00D607D4">
        <w:rPr>
          <w:rFonts w:ascii="Book Antiqua" w:hAnsi="Book Antiqua"/>
          <w:i/>
          <w:sz w:val="24"/>
        </w:rPr>
        <w:t xml:space="preserve">P = </w:t>
      </w:r>
      <w:r w:rsidRPr="00010B85">
        <w:rPr>
          <w:rFonts w:ascii="Book Antiqua" w:hAnsi="Book Antiqua"/>
          <w:sz w:val="24"/>
        </w:rPr>
        <w:t>0.000) and TBil (334.7</w:t>
      </w:r>
      <w:r w:rsidRPr="00010B85">
        <w:rPr>
          <w:rFonts w:ascii="Book Antiqua" w:hAnsi="Book Antiqua"/>
          <w:i/>
          <w:sz w:val="24"/>
        </w:rPr>
        <w:t xml:space="preserve"> </w:t>
      </w:r>
      <w:r w:rsidRPr="006E715D">
        <w:rPr>
          <w:rFonts w:ascii="Book Antiqua" w:hAnsi="Book Antiqua"/>
          <w:i/>
          <w:sz w:val="24"/>
        </w:rPr>
        <w:t>vs</w:t>
      </w:r>
      <w:r w:rsidRPr="00010B85">
        <w:rPr>
          <w:rFonts w:ascii="Book Antiqua" w:hAnsi="Book Antiqua"/>
          <w:sz w:val="24"/>
        </w:rPr>
        <w:t xml:space="preserve"> 277.5 μmol/L, </w:t>
      </w:r>
      <w:r w:rsidRPr="00D607D4">
        <w:rPr>
          <w:rFonts w:ascii="Book Antiqua" w:hAnsi="Book Antiqua"/>
          <w:i/>
          <w:sz w:val="24"/>
        </w:rPr>
        <w:t xml:space="preserve">P = </w:t>
      </w:r>
      <w:r w:rsidRPr="00010B85">
        <w:rPr>
          <w:rFonts w:ascii="Book Antiqua" w:hAnsi="Book Antiqua"/>
          <w:sz w:val="24"/>
        </w:rPr>
        <w:t xml:space="preserve">0.031), as well as the mean MELD score (20.0 </w:t>
      </w:r>
      <w:r w:rsidRPr="006E715D">
        <w:rPr>
          <w:rFonts w:ascii="Book Antiqua" w:hAnsi="Book Antiqua"/>
          <w:i/>
          <w:sz w:val="24"/>
        </w:rPr>
        <w:t>vs</w:t>
      </w:r>
      <w:r w:rsidRPr="00010B85">
        <w:rPr>
          <w:rFonts w:ascii="Book Antiqua" w:hAnsi="Book Antiqua"/>
          <w:sz w:val="24"/>
        </w:rPr>
        <w:t xml:space="preserve"> 15.1, </w:t>
      </w:r>
      <w:r w:rsidRPr="00D607D4">
        <w:rPr>
          <w:rFonts w:ascii="Book Antiqua" w:hAnsi="Book Antiqua"/>
          <w:i/>
          <w:sz w:val="24"/>
        </w:rPr>
        <w:t xml:space="preserve">P = </w:t>
      </w:r>
      <w:r w:rsidRPr="00010B85">
        <w:rPr>
          <w:rFonts w:ascii="Book Antiqua" w:hAnsi="Book Antiqua"/>
          <w:sz w:val="24"/>
        </w:rPr>
        <w:t xml:space="preserve">0.000), were </w:t>
      </w:r>
      <w:r w:rsidRPr="00010B85">
        <w:rPr>
          <w:rFonts w:ascii="Book Antiqua" w:hAnsi="Book Antiqua"/>
          <w:sz w:val="24"/>
        </w:rPr>
        <w:lastRenderedPageBreak/>
        <w:t>significantly higher in the HBV+HEV group compared with the HEV group. In contrast, the mean values of aspartate aminotransferase (AST) and alanine aminotransferase (ALT) did not differ significantly between the two groups.</w:t>
      </w:r>
    </w:p>
    <w:p w:rsidR="00282799" w:rsidRPr="00010B85" w:rsidRDefault="00282799" w:rsidP="00010B85">
      <w:pPr>
        <w:spacing w:line="360" w:lineRule="auto"/>
        <w:ind w:firstLineChars="100" w:firstLine="240"/>
        <w:rPr>
          <w:rFonts w:ascii="Book Antiqua" w:hAnsi="Book Antiqua"/>
          <w:sz w:val="24"/>
        </w:rPr>
      </w:pPr>
    </w:p>
    <w:p w:rsidR="00282799" w:rsidRPr="002458CB" w:rsidRDefault="00282799" w:rsidP="00010B85">
      <w:pPr>
        <w:spacing w:line="360" w:lineRule="auto"/>
        <w:rPr>
          <w:rFonts w:ascii="Book Antiqua" w:hAnsi="Book Antiqua"/>
          <w:b/>
          <w:i/>
          <w:sz w:val="24"/>
        </w:rPr>
      </w:pPr>
      <w:r w:rsidRPr="002458CB">
        <w:rPr>
          <w:rFonts w:ascii="Book Antiqua" w:hAnsi="Book Antiqua"/>
          <w:b/>
          <w:i/>
          <w:sz w:val="24"/>
        </w:rPr>
        <w:t xml:space="preserve">Clinical outcomes </w:t>
      </w:r>
    </w:p>
    <w:p w:rsidR="00282799" w:rsidRPr="00010B85" w:rsidRDefault="00282799" w:rsidP="00010B85">
      <w:pPr>
        <w:spacing w:line="360" w:lineRule="auto"/>
        <w:rPr>
          <w:rFonts w:ascii="Book Antiqua" w:hAnsi="Book Antiqua"/>
          <w:sz w:val="24"/>
        </w:rPr>
      </w:pPr>
      <w:r w:rsidRPr="00010B85">
        <w:rPr>
          <w:rFonts w:ascii="Book Antiqua" w:hAnsi="Book Antiqua"/>
          <w:sz w:val="24"/>
        </w:rPr>
        <w:t>As shown in Table 1, the incidences of complications, liver failure, and death were compared between the two groups with respect to clinical outcomes. Complications were noted in 39.8% (47/118) and 16.5% (29/176) of the patients in the HBV+HEV and HEV groups, respectively, and the occurrence of complications in the HBV+HEV group was significantly higher than that in the HEV group (</w:t>
      </w:r>
      <w:r w:rsidRPr="00D607D4">
        <w:rPr>
          <w:rFonts w:ascii="Book Antiqua" w:hAnsi="Book Antiqua"/>
          <w:i/>
          <w:sz w:val="24"/>
        </w:rPr>
        <w:t xml:space="preserve">P = </w:t>
      </w:r>
      <w:r w:rsidRPr="00010B85">
        <w:rPr>
          <w:rFonts w:ascii="Book Antiqua" w:hAnsi="Book Antiqua"/>
          <w:sz w:val="24"/>
        </w:rPr>
        <w:t xml:space="preserve">0.000). The incidence of liver failure was significantly higher among patients with superinfection than among patients with acute hepatitis E alone (35.6% </w:t>
      </w:r>
      <w:r w:rsidRPr="006E715D">
        <w:rPr>
          <w:rFonts w:ascii="Book Antiqua" w:hAnsi="Book Antiqua"/>
          <w:i/>
          <w:sz w:val="24"/>
        </w:rPr>
        <w:t>vs</w:t>
      </w:r>
      <w:r w:rsidRPr="00010B85">
        <w:rPr>
          <w:rFonts w:ascii="Book Antiqua" w:hAnsi="Book Antiqua"/>
          <w:sz w:val="24"/>
        </w:rPr>
        <w:t xml:space="preserve"> 8.5%, </w:t>
      </w:r>
      <w:r w:rsidRPr="00D607D4">
        <w:rPr>
          <w:rFonts w:ascii="Book Antiqua" w:hAnsi="Book Antiqua"/>
          <w:i/>
          <w:sz w:val="24"/>
        </w:rPr>
        <w:t xml:space="preserve">P = </w:t>
      </w:r>
      <w:r w:rsidRPr="00010B85">
        <w:rPr>
          <w:rFonts w:ascii="Book Antiqua" w:hAnsi="Book Antiqua"/>
          <w:sz w:val="24"/>
        </w:rPr>
        <w:t xml:space="preserve">0.000). The mortality rates were also significantly different between the two groups (20.3% in the HBV+HEV group and 7.4% in the HEV group). </w:t>
      </w:r>
    </w:p>
    <w:p w:rsidR="00282799" w:rsidRPr="00010B85" w:rsidRDefault="00282799" w:rsidP="00010B85">
      <w:pPr>
        <w:spacing w:line="360" w:lineRule="auto"/>
        <w:rPr>
          <w:rFonts w:ascii="Book Antiqua" w:hAnsi="Book Antiqua"/>
          <w:sz w:val="24"/>
        </w:rPr>
      </w:pPr>
    </w:p>
    <w:p w:rsidR="00282799" w:rsidRPr="002458CB" w:rsidRDefault="00282799" w:rsidP="00010B85">
      <w:pPr>
        <w:spacing w:line="360" w:lineRule="auto"/>
        <w:rPr>
          <w:rFonts w:ascii="Book Antiqua" w:hAnsi="Book Antiqua"/>
          <w:b/>
          <w:i/>
          <w:sz w:val="24"/>
        </w:rPr>
      </w:pPr>
      <w:r w:rsidRPr="002458CB">
        <w:rPr>
          <w:rFonts w:ascii="Book Antiqua" w:hAnsi="Book Antiqua"/>
          <w:b/>
          <w:i/>
          <w:sz w:val="24"/>
        </w:rPr>
        <w:t>Influence of chronic status of HBV infection on acute hepatitis E</w:t>
      </w:r>
    </w:p>
    <w:p w:rsidR="00282799" w:rsidRPr="00010B85" w:rsidRDefault="00282799" w:rsidP="00010B85">
      <w:pPr>
        <w:spacing w:line="360" w:lineRule="auto"/>
        <w:rPr>
          <w:rFonts w:ascii="Book Antiqua" w:hAnsi="Book Antiqua"/>
          <w:sz w:val="24"/>
        </w:rPr>
      </w:pPr>
      <w:r w:rsidRPr="00010B85">
        <w:rPr>
          <w:rFonts w:ascii="Book Antiqua" w:hAnsi="Book Antiqua"/>
          <w:sz w:val="24"/>
        </w:rPr>
        <w:t>To evaluate the influence of chronic HBV infection (based on the status of HBeAg, HBV-DNA, and cirrhosis), we performed further analysis of the HBV+HEV group (Table 2). Of the 118 patients in the HBV+HEV group, 16.9% (20/118) were HBeAg-positive, 55.1% (65/118) were HBV-DNA-positive, and 14.4% (17/118) had underlying cirrhosis. The occurrence of complications, liver failure, and death did not differ significantly between the HBeAg (+/-) and HBV-DNA (+/-) subgroups. Patients with underlying cirrhosis had a significantly higher incidence of complications and liver failure. The mortality rate was 23.5% in the cirrhosis subgroup and 19.8% in the non-cirrhosis subgroup, which was not a significant difference.</w:t>
      </w:r>
    </w:p>
    <w:p w:rsidR="00282799" w:rsidRPr="00010B85" w:rsidRDefault="00282799" w:rsidP="00010B85">
      <w:pPr>
        <w:spacing w:line="360" w:lineRule="auto"/>
        <w:rPr>
          <w:rFonts w:ascii="Book Antiqua" w:hAnsi="Book Antiqua"/>
          <w:sz w:val="24"/>
        </w:rPr>
      </w:pPr>
    </w:p>
    <w:p w:rsidR="00282799" w:rsidRPr="002458CB" w:rsidRDefault="00282799" w:rsidP="00010B85">
      <w:pPr>
        <w:spacing w:line="360" w:lineRule="auto"/>
        <w:rPr>
          <w:rFonts w:ascii="Book Antiqua" w:hAnsi="Book Antiqua"/>
          <w:b/>
          <w:i/>
          <w:sz w:val="24"/>
        </w:rPr>
      </w:pPr>
      <w:r w:rsidRPr="002458CB">
        <w:rPr>
          <w:rFonts w:ascii="Book Antiqua" w:hAnsi="Book Antiqua"/>
          <w:b/>
          <w:i/>
          <w:sz w:val="24"/>
        </w:rPr>
        <w:t>Anti-HBV treatment in the HBV+HEV group</w:t>
      </w:r>
    </w:p>
    <w:p w:rsidR="00282799" w:rsidRPr="00010B85" w:rsidRDefault="00282799" w:rsidP="00010B85">
      <w:pPr>
        <w:spacing w:line="360" w:lineRule="auto"/>
        <w:rPr>
          <w:rFonts w:ascii="Book Antiqua" w:hAnsi="Book Antiqua"/>
          <w:sz w:val="24"/>
        </w:rPr>
      </w:pPr>
      <w:r w:rsidRPr="00010B85">
        <w:rPr>
          <w:rFonts w:ascii="Book Antiqua" w:hAnsi="Book Antiqua"/>
          <w:sz w:val="24"/>
        </w:rPr>
        <w:t xml:space="preserve">Of the 118 patients in the HBV+HEV group, only 15 (12.7%) patients took oral anti-HBV agents. Three of these patients received lamivudine, and the other 12 patients received entecavir. In the HBV+HEV group, 42 patients developed liver failure, and 28.6% received </w:t>
      </w:r>
      <w:r w:rsidRPr="00010B85">
        <w:rPr>
          <w:rFonts w:ascii="Book Antiqua" w:hAnsi="Book Antiqua"/>
          <w:sz w:val="24"/>
        </w:rPr>
        <w:lastRenderedPageBreak/>
        <w:t xml:space="preserve">anti-HBV treatment. Only 3.9% of patients without liver failure received anti-HBV treatment. </w:t>
      </w:r>
    </w:p>
    <w:p w:rsidR="00282799" w:rsidRPr="00010B85" w:rsidRDefault="00282799" w:rsidP="002458CB">
      <w:pPr>
        <w:spacing w:line="360" w:lineRule="auto"/>
        <w:ind w:firstLineChars="250" w:firstLine="600"/>
        <w:rPr>
          <w:rFonts w:ascii="Book Antiqua" w:hAnsi="Book Antiqua"/>
          <w:sz w:val="24"/>
        </w:rPr>
      </w:pPr>
      <w:r w:rsidRPr="00010B85">
        <w:rPr>
          <w:rFonts w:ascii="Book Antiqua" w:hAnsi="Book Antiqua"/>
          <w:sz w:val="24"/>
        </w:rPr>
        <w:t>The mean mortality rates among the 42 patients with liver failure were 66.7 and 53.3% for patients who were and were not receiving anti-HBV treatment, respectively, which were not significantly different (Table 3).</w:t>
      </w:r>
    </w:p>
    <w:p w:rsidR="00282799" w:rsidRPr="00010B85" w:rsidRDefault="00282799" w:rsidP="00010B85">
      <w:pPr>
        <w:spacing w:line="360" w:lineRule="auto"/>
        <w:rPr>
          <w:rFonts w:ascii="Book Antiqua" w:hAnsi="Book Antiqua"/>
          <w:sz w:val="24"/>
        </w:rPr>
      </w:pPr>
    </w:p>
    <w:p w:rsidR="00282799" w:rsidRPr="002458CB" w:rsidRDefault="00282799" w:rsidP="00010B85">
      <w:pPr>
        <w:spacing w:line="360" w:lineRule="auto"/>
        <w:rPr>
          <w:rFonts w:ascii="Book Antiqua" w:hAnsi="Book Antiqua"/>
          <w:b/>
          <w:sz w:val="24"/>
        </w:rPr>
      </w:pPr>
      <w:r w:rsidRPr="002458CB">
        <w:rPr>
          <w:rFonts w:ascii="Book Antiqua" w:hAnsi="Book Antiqua"/>
          <w:b/>
          <w:sz w:val="24"/>
        </w:rPr>
        <w:t>DISCUSSION</w:t>
      </w:r>
    </w:p>
    <w:p w:rsidR="00282799" w:rsidRPr="00010B85" w:rsidRDefault="00282799" w:rsidP="00010B85">
      <w:pPr>
        <w:spacing w:line="360" w:lineRule="auto"/>
        <w:rPr>
          <w:rFonts w:ascii="Book Antiqua" w:hAnsi="Book Antiqua"/>
          <w:sz w:val="24"/>
        </w:rPr>
      </w:pPr>
      <w:r w:rsidRPr="00010B85">
        <w:rPr>
          <w:rFonts w:ascii="Book Antiqua" w:hAnsi="Book Antiqua"/>
          <w:sz w:val="24"/>
        </w:rPr>
        <w:t>Due to the high prevalence of both HBV and HEV infection and the lack of cross-immunity between the two viruses, HBV-HEV superinfection is common</w:t>
      </w:r>
      <w:r w:rsidRPr="00480220">
        <w:rPr>
          <w:rFonts w:ascii="Book Antiqua" w:hAnsi="Book Antiqua"/>
          <w:sz w:val="24"/>
          <w:vertAlign w:val="superscript"/>
        </w:rPr>
        <w:t>[</w:t>
      </w:r>
      <w:r w:rsidRPr="00010B85">
        <w:rPr>
          <w:rFonts w:ascii="Book Antiqua" w:hAnsi="Book Antiqua"/>
          <w:sz w:val="24"/>
          <w:vertAlign w:val="superscript"/>
        </w:rPr>
        <w:t>3, 18]</w:t>
      </w:r>
      <w:r w:rsidRPr="00010B85">
        <w:rPr>
          <w:rFonts w:ascii="Book Antiqua" w:hAnsi="Book Antiqua"/>
          <w:sz w:val="24"/>
        </w:rPr>
        <w:t xml:space="preserve">. </w:t>
      </w:r>
    </w:p>
    <w:p w:rsidR="00282799" w:rsidRPr="00010B85" w:rsidRDefault="00282799" w:rsidP="000C1B1D">
      <w:pPr>
        <w:spacing w:line="360" w:lineRule="auto"/>
        <w:ind w:firstLineChars="200" w:firstLine="480"/>
        <w:rPr>
          <w:rFonts w:ascii="Book Antiqua" w:hAnsi="Book Antiqua"/>
          <w:sz w:val="24"/>
        </w:rPr>
      </w:pPr>
      <w:r w:rsidRPr="00010B85">
        <w:rPr>
          <w:rFonts w:ascii="Book Antiqua" w:hAnsi="Book Antiqua"/>
          <w:sz w:val="24"/>
        </w:rPr>
        <w:t>In our study, patients with acute hepatitis E superimposed on chronic HBV infection had higher peak laboratory abnormalities and poorer outcomes. There was also a higher prevalence of liver failure among those patients. The present study confirmed the previous finding that acute HEV infection can cause severe liver injury in patients with chronic HBV infection</w:t>
      </w:r>
      <w:r w:rsidRPr="00480220">
        <w:rPr>
          <w:rFonts w:ascii="Book Antiqua" w:hAnsi="Book Antiqua"/>
          <w:sz w:val="24"/>
          <w:vertAlign w:val="superscript"/>
        </w:rPr>
        <w:t>[</w:t>
      </w:r>
      <w:r w:rsidRPr="00010B85">
        <w:rPr>
          <w:rFonts w:ascii="Book Antiqua" w:hAnsi="Book Antiqua"/>
          <w:sz w:val="24"/>
          <w:vertAlign w:val="superscript"/>
        </w:rPr>
        <w:t>4-7]</w:t>
      </w:r>
      <w:r w:rsidRPr="00010B85">
        <w:rPr>
          <w:rFonts w:ascii="Book Antiqua" w:hAnsi="Book Antiqua"/>
          <w:sz w:val="24"/>
        </w:rPr>
        <w:t xml:space="preserve">. This result indicates that chronic HBV infection has a negative impact on the clinical features of acute hepatitis E. However, it remains unknown whether the disease severity of acute hepatitis E correlates with the underlying HBV replication status or liver histological lesions. Our further analysis of the superinfection group showed that the disease severity of superimposed acute hepatitis E correlated not with the HBV replication status (based on the status of HBeAg and HBV-DNA), but rather with the presense of underlying liver histological lesions (liver cirrhosis).  </w:t>
      </w:r>
    </w:p>
    <w:p w:rsidR="00282799" w:rsidRPr="00010B85" w:rsidRDefault="00282799" w:rsidP="000C1B1D">
      <w:pPr>
        <w:spacing w:line="360" w:lineRule="auto"/>
        <w:ind w:firstLineChars="250" w:firstLine="600"/>
        <w:rPr>
          <w:rFonts w:ascii="Book Antiqua" w:hAnsi="Book Antiqua"/>
          <w:sz w:val="24"/>
        </w:rPr>
      </w:pPr>
      <w:r w:rsidRPr="00010B85">
        <w:rPr>
          <w:rFonts w:ascii="Book Antiqua" w:hAnsi="Book Antiqua"/>
          <w:sz w:val="24"/>
        </w:rPr>
        <w:t>It has long been suggested that patients with chronic HBV infection are immunologically different from people without HBV infection. For instance, patients with chronic HBV infection have been reported to have impaired cell-mediated immunity</w:t>
      </w:r>
      <w:r w:rsidRPr="00480220">
        <w:rPr>
          <w:rFonts w:ascii="Book Antiqua" w:hAnsi="Book Antiqua"/>
          <w:sz w:val="24"/>
          <w:vertAlign w:val="superscript"/>
        </w:rPr>
        <w:t>[</w:t>
      </w:r>
      <w:r w:rsidRPr="00010B85">
        <w:rPr>
          <w:rFonts w:ascii="Book Antiqua" w:hAnsi="Book Antiqua"/>
          <w:sz w:val="24"/>
          <w:vertAlign w:val="superscript"/>
        </w:rPr>
        <w:t>19-22]</w:t>
      </w:r>
      <w:r w:rsidRPr="00010B85">
        <w:rPr>
          <w:rFonts w:ascii="Book Antiqua" w:hAnsi="Book Antiqua"/>
          <w:sz w:val="24"/>
        </w:rPr>
        <w:t>, decreased peripheral-blood T cell numbers</w:t>
      </w:r>
      <w:r w:rsidRPr="00480220">
        <w:rPr>
          <w:rFonts w:ascii="Book Antiqua" w:hAnsi="Book Antiqua"/>
          <w:sz w:val="24"/>
          <w:vertAlign w:val="superscript"/>
        </w:rPr>
        <w:t>[</w:t>
      </w:r>
      <w:r w:rsidRPr="00010B85">
        <w:rPr>
          <w:rFonts w:ascii="Book Antiqua" w:hAnsi="Book Antiqua"/>
          <w:sz w:val="24"/>
          <w:vertAlign w:val="superscript"/>
        </w:rPr>
        <w:t>23-24]</w:t>
      </w:r>
      <w:r w:rsidRPr="00010B85">
        <w:rPr>
          <w:rFonts w:ascii="Book Antiqua" w:hAnsi="Book Antiqua"/>
          <w:sz w:val="24"/>
        </w:rPr>
        <w:t>, impaired interferon production</w:t>
      </w:r>
      <w:r w:rsidRPr="00480220">
        <w:rPr>
          <w:rFonts w:ascii="Book Antiqua" w:hAnsi="Book Antiqua"/>
          <w:sz w:val="24"/>
          <w:vertAlign w:val="superscript"/>
        </w:rPr>
        <w:t>[</w:t>
      </w:r>
      <w:r w:rsidRPr="00010B85">
        <w:rPr>
          <w:rFonts w:ascii="Book Antiqua" w:hAnsi="Book Antiqua"/>
          <w:sz w:val="24"/>
          <w:vertAlign w:val="superscript"/>
        </w:rPr>
        <w:t>25-26]</w:t>
      </w:r>
      <w:r w:rsidRPr="00010B85">
        <w:rPr>
          <w:rFonts w:ascii="Book Antiqua" w:hAnsi="Book Antiqua"/>
          <w:sz w:val="24"/>
        </w:rPr>
        <w:t>, and imbalanced cytokine levels</w:t>
      </w:r>
      <w:r w:rsidRPr="00480220">
        <w:rPr>
          <w:rFonts w:ascii="Book Antiqua" w:hAnsi="Book Antiqua"/>
          <w:sz w:val="24"/>
          <w:vertAlign w:val="superscript"/>
        </w:rPr>
        <w:t>[</w:t>
      </w:r>
      <w:r w:rsidRPr="00010B85">
        <w:rPr>
          <w:rFonts w:ascii="Book Antiqua" w:hAnsi="Book Antiqua"/>
          <w:sz w:val="24"/>
          <w:vertAlign w:val="superscript"/>
        </w:rPr>
        <w:t>27-28]</w:t>
      </w:r>
      <w:r w:rsidRPr="00010B85">
        <w:rPr>
          <w:rFonts w:ascii="Book Antiqua" w:hAnsi="Book Antiqua"/>
          <w:sz w:val="24"/>
        </w:rPr>
        <w:t xml:space="preserve"> and may have other currently unrecognized differences. The severity of acute viral hepatitis has been suggested to be dependent on host immune factors rather than on the direct toxicity of the virus. Thus, with impaired and imbalanced immunity in chronic HBV infection, HEV may trigger an excessive immunological response and then induce severe damage in hepatocytes. Alternatively, hepatocyte impairment may accumulate during the chronic course of HBV infection. Thus, with preexisting liver lesions, </w:t>
      </w:r>
      <w:r w:rsidRPr="00010B85">
        <w:rPr>
          <w:rFonts w:ascii="Book Antiqua" w:hAnsi="Book Antiqua"/>
          <w:sz w:val="24"/>
        </w:rPr>
        <w:lastRenderedPageBreak/>
        <w:t>especially due to cirrhosis, hepatocytes may be limited in their ability to regenerate. This limitation contributes to more severe liver injury in patients with acute hepatitis E superimposed on chronic HBV infection.</w:t>
      </w:r>
    </w:p>
    <w:p w:rsidR="00282799" w:rsidRPr="00010B85" w:rsidRDefault="00282799" w:rsidP="000C1B1D">
      <w:pPr>
        <w:spacing w:line="360" w:lineRule="auto"/>
        <w:ind w:firstLineChars="250" w:firstLine="600"/>
        <w:rPr>
          <w:rFonts w:ascii="Book Antiqua" w:hAnsi="Book Antiqua"/>
          <w:sz w:val="24"/>
        </w:rPr>
      </w:pPr>
      <w:r w:rsidRPr="00010B85">
        <w:rPr>
          <w:rFonts w:ascii="Book Antiqua" w:hAnsi="Book Antiqua"/>
          <w:sz w:val="24"/>
        </w:rPr>
        <w:t xml:space="preserve">According to our data, most patients in the HBV+HEV group were HBeAg-negative, and nearly 50% were HBV-DNA-negative. Further analysis showed that the disease severity of acute hepatitis E did not correlate with the status of HBeAg or HBV-DNA. This finding indicates that in the superinfection of HBV and HEV, chronic HBV infection is inactive, and HEV is the main trigger factor for severe disease. Thus, the finding raises the question of whether anti-HBV treatment improves the outcome of HBV-HEV superinfection, which requires further investigation. </w:t>
      </w:r>
    </w:p>
    <w:p w:rsidR="00282799" w:rsidRPr="00010B85" w:rsidRDefault="00282799" w:rsidP="000C1B1D">
      <w:pPr>
        <w:spacing w:line="360" w:lineRule="auto"/>
        <w:ind w:firstLineChars="250" w:firstLine="600"/>
        <w:rPr>
          <w:rFonts w:ascii="Book Antiqua" w:hAnsi="Book Antiqua"/>
          <w:sz w:val="24"/>
        </w:rPr>
      </w:pPr>
      <w:r w:rsidRPr="00010B85">
        <w:rPr>
          <w:rFonts w:ascii="Book Antiqua" w:hAnsi="Book Antiqua"/>
          <w:sz w:val="24"/>
        </w:rPr>
        <w:t>Acute exacerbation frequently occurs in the natural course of chronic HBV infection. In the case of acute exacerbation caused by spontaneous HBV activation, anti-HBV treatment can strongly suppress HBV replication, and most patients can recover. However, certain patients may develop liver failure, which is named HBV-related acute-on-chronic liver failure (HBV-ACLF). HBV-ACLF remains a rapidly progressive and frequently fatal condition for which mortality reaches 25% to 35%. International guidelines recommend initiating nucleos(t)ide analogs as early as possible in this patient population</w:t>
      </w:r>
      <w:r w:rsidRPr="00480220">
        <w:rPr>
          <w:rFonts w:ascii="Book Antiqua" w:hAnsi="Book Antiqua"/>
          <w:sz w:val="24"/>
          <w:vertAlign w:val="superscript"/>
        </w:rPr>
        <w:t>[</w:t>
      </w:r>
      <w:r w:rsidRPr="00010B85">
        <w:rPr>
          <w:rFonts w:ascii="Book Antiqua" w:hAnsi="Book Antiqua"/>
          <w:sz w:val="24"/>
          <w:vertAlign w:val="superscript"/>
        </w:rPr>
        <w:t>8-9]</w:t>
      </w:r>
      <w:r w:rsidRPr="00010B85">
        <w:rPr>
          <w:rFonts w:ascii="Book Antiqua" w:hAnsi="Book Antiqua"/>
          <w:sz w:val="24"/>
        </w:rPr>
        <w:t>. Recent studies have shown that anti-HBV treatment can improve the outcome of HBV-ACLF</w:t>
      </w:r>
      <w:r w:rsidRPr="00480220">
        <w:rPr>
          <w:rFonts w:ascii="Book Antiqua" w:hAnsi="Book Antiqua"/>
          <w:sz w:val="24"/>
          <w:vertAlign w:val="superscript"/>
        </w:rPr>
        <w:t>[</w:t>
      </w:r>
      <w:r w:rsidRPr="00010B85">
        <w:rPr>
          <w:rFonts w:ascii="Book Antiqua" w:hAnsi="Book Antiqua"/>
          <w:sz w:val="24"/>
          <w:vertAlign w:val="superscript"/>
        </w:rPr>
        <w:t>10-13]</w:t>
      </w:r>
      <w:r w:rsidRPr="00010B85">
        <w:rPr>
          <w:rFonts w:ascii="Book Antiqua" w:hAnsi="Book Antiqua"/>
          <w:sz w:val="24"/>
        </w:rPr>
        <w:t>. Superinfection with HEV is another common cause of liver failure in chronic HBV infection and is present in 20% of cases in regions endemic for HEV</w:t>
      </w:r>
      <w:r w:rsidRPr="00480220">
        <w:rPr>
          <w:rFonts w:ascii="Book Antiqua" w:hAnsi="Book Antiqua"/>
          <w:sz w:val="24"/>
          <w:vertAlign w:val="superscript"/>
        </w:rPr>
        <w:t>[</w:t>
      </w:r>
      <w:r w:rsidRPr="00010B85">
        <w:rPr>
          <w:rFonts w:ascii="Book Antiqua" w:hAnsi="Book Antiqua"/>
          <w:sz w:val="24"/>
          <w:vertAlign w:val="superscript"/>
        </w:rPr>
        <w:t>4]</w:t>
      </w:r>
      <w:r w:rsidRPr="00010B85">
        <w:rPr>
          <w:rFonts w:ascii="Book Antiqua" w:hAnsi="Book Antiqua"/>
          <w:sz w:val="24"/>
        </w:rPr>
        <w:t xml:space="preserve">. Importantly, such liver failure caused by HBV and HEV results in high rates of mortality. However, for the liver failure caused by the superinfection of HBV and HEV, there are still no data on anti-HBV treatment. In our study, we evaluated the results of anti-HBV treatment administration to the HBV+HEV group. Of the 76 patients without liver failure, only 3.9% took anti-HBV drugs, but the prognosis of this patient population was good. This finding indicates that it is not necessary to administer anti-HBV treatment as soon as possible to patients with HBV-HEV superinfection in mild disease. The necessity of anti-HBV treatment for HBV infection should be re-evaluated by monitoring the HBV-DNA level and liver function tests after recovery from acute hepatitis E. </w:t>
      </w:r>
    </w:p>
    <w:p w:rsidR="00282799" w:rsidRPr="00010B85" w:rsidRDefault="00282799" w:rsidP="000C1B1D">
      <w:pPr>
        <w:spacing w:line="360" w:lineRule="auto"/>
        <w:ind w:firstLineChars="250" w:firstLine="600"/>
        <w:rPr>
          <w:rFonts w:ascii="Book Antiqua" w:hAnsi="Book Antiqua"/>
          <w:sz w:val="24"/>
        </w:rPr>
      </w:pPr>
      <w:r w:rsidRPr="00010B85">
        <w:rPr>
          <w:rFonts w:ascii="Book Antiqua" w:hAnsi="Book Antiqua"/>
          <w:sz w:val="24"/>
        </w:rPr>
        <w:t xml:space="preserve">As shown by our data, up to 28.6% of patients received anti-HBV treatment once </w:t>
      </w:r>
      <w:r w:rsidRPr="00010B85">
        <w:rPr>
          <w:rFonts w:ascii="Book Antiqua" w:hAnsi="Book Antiqua"/>
          <w:sz w:val="24"/>
        </w:rPr>
        <w:lastRenderedPageBreak/>
        <w:t xml:space="preserve">superinfection caused liver failure. The mortality rate among patients receiving anti-HBV treatment was 66.7%, which was not significantly different from the mortality rate of patients not receiving anti-HBV treatment. Thus, anti-HBV treatment was unable to improve the outcome of the liver failure caused by HBV-HEV superinfection. As mentioned previously, HEV infection plays the most important role in the disease. The infection triggers strong immunological injury in hepatocytes, which results in liver failure. Anti-HBV treatment can inhibit HBV replication but cannot stop the strong immune activity, so the therapy cannot improve the outcome of this patient population. </w:t>
      </w:r>
    </w:p>
    <w:p w:rsidR="00282799" w:rsidRPr="00010B85" w:rsidRDefault="00282799" w:rsidP="000C1B1D">
      <w:pPr>
        <w:spacing w:line="360" w:lineRule="auto"/>
        <w:ind w:firstLineChars="300" w:firstLine="720"/>
        <w:rPr>
          <w:rFonts w:ascii="Book Antiqua" w:hAnsi="Book Antiqua"/>
          <w:sz w:val="24"/>
        </w:rPr>
      </w:pPr>
      <w:r w:rsidRPr="00010B85">
        <w:rPr>
          <w:rFonts w:ascii="Book Antiqua" w:hAnsi="Book Antiqua"/>
          <w:sz w:val="24"/>
        </w:rPr>
        <w:t>In conclusion, our study indicates that acute hepatitis E is associated with more severe disease in patients with chronic HBV infection and that disease severity correlates with the underlying cirrhosis in chronic HBV infection. Anti-HBV treatment cannot improve the prognosis of liver failure caused by HBV-HEV superinfection. As HBV vaccination is being aggressively pursued worldwide, HEV vaccination should also be considered in endemic areas when a vaccine becomes available</w:t>
      </w:r>
      <w:r w:rsidRPr="00480220">
        <w:rPr>
          <w:rFonts w:ascii="Book Antiqua" w:hAnsi="Book Antiqua"/>
          <w:sz w:val="24"/>
          <w:vertAlign w:val="superscript"/>
        </w:rPr>
        <w:t>[</w:t>
      </w:r>
      <w:r w:rsidRPr="00010B85">
        <w:rPr>
          <w:rFonts w:ascii="Book Antiqua" w:hAnsi="Book Antiqua"/>
          <w:sz w:val="24"/>
          <w:vertAlign w:val="superscript"/>
        </w:rPr>
        <w:t>29]</w:t>
      </w:r>
      <w:r w:rsidRPr="00010B85">
        <w:rPr>
          <w:rFonts w:ascii="Book Antiqua" w:hAnsi="Book Antiqua"/>
          <w:sz w:val="24"/>
        </w:rPr>
        <w:t xml:space="preserve">. Additionally, preventive measures are important to the related morbidity and mortality, such as the consumption of boiled water and well-cooked food. </w:t>
      </w:r>
    </w:p>
    <w:p w:rsidR="00282799" w:rsidRPr="00010B85" w:rsidRDefault="00282799" w:rsidP="000C1B1D">
      <w:pPr>
        <w:spacing w:line="360" w:lineRule="auto"/>
        <w:ind w:firstLineChars="250" w:firstLine="600"/>
        <w:rPr>
          <w:rFonts w:ascii="Book Antiqua" w:hAnsi="Book Antiqua"/>
          <w:sz w:val="24"/>
        </w:rPr>
      </w:pPr>
      <w:r w:rsidRPr="00010B85">
        <w:rPr>
          <w:rFonts w:ascii="Book Antiqua" w:hAnsi="Book Antiqua"/>
          <w:sz w:val="24"/>
        </w:rPr>
        <w:t>The main limitation of the present study is its retrospective nature. HEV-RNA levels were not regularly checked, so we are not convinced that there is no substantial contribution of HEV load to the disease severity of HBV-HEV superinfection. Additionally, underlying cirrhosis was mainly assessed by ultrasonography. Thus, it is possible that early-stage underlying cirrhosis was missed. Despite these limitations, our study is significant because the work provides preliminary support for not administering anti-HBV treatment in HBV-HEV superinfection, as chronic HBV replication status (based on the status of HBeAg and HBV-DNA) does not determine the outcome of HBV-HEV superinfection.</w:t>
      </w:r>
    </w:p>
    <w:p w:rsidR="00282799" w:rsidRPr="00010B85" w:rsidRDefault="00282799" w:rsidP="00010B85">
      <w:pPr>
        <w:spacing w:line="360" w:lineRule="auto"/>
        <w:ind w:firstLineChars="100" w:firstLine="240"/>
        <w:rPr>
          <w:rFonts w:ascii="Book Antiqua" w:hAnsi="Book Antiqua"/>
          <w:sz w:val="24"/>
        </w:rPr>
      </w:pPr>
    </w:p>
    <w:p w:rsidR="00282799" w:rsidRPr="00010B85" w:rsidRDefault="00282799" w:rsidP="00010B85">
      <w:pPr>
        <w:pageBreakBefore/>
        <w:spacing w:line="360" w:lineRule="auto"/>
        <w:rPr>
          <w:rFonts w:ascii="Book Antiqua" w:hAnsi="Book Antiqua"/>
          <w:b/>
          <w:sz w:val="24"/>
        </w:rPr>
      </w:pPr>
      <w:bookmarkStart w:id="22" w:name="OLE_LINK14"/>
      <w:bookmarkStart w:id="23" w:name="OLE_LINK15"/>
      <w:bookmarkStart w:id="24" w:name="OLE_LINK23"/>
      <w:bookmarkStart w:id="25" w:name="OLE_LINK119"/>
      <w:bookmarkStart w:id="26" w:name="OLE_LINK180"/>
      <w:r w:rsidRPr="00010B85">
        <w:rPr>
          <w:rFonts w:ascii="Book Antiqua" w:hAnsi="Book Antiqua"/>
          <w:b/>
          <w:sz w:val="24"/>
        </w:rPr>
        <w:lastRenderedPageBreak/>
        <w:t>COMMENTS</w:t>
      </w:r>
    </w:p>
    <w:p w:rsidR="00282799" w:rsidRPr="000C1B1D" w:rsidRDefault="00282799" w:rsidP="00010B85">
      <w:pPr>
        <w:spacing w:line="360" w:lineRule="auto"/>
        <w:rPr>
          <w:rFonts w:ascii="Book Antiqua" w:hAnsi="Book Antiqua"/>
          <w:b/>
          <w:i/>
          <w:sz w:val="24"/>
        </w:rPr>
      </w:pPr>
      <w:r w:rsidRPr="000C1B1D">
        <w:rPr>
          <w:rFonts w:ascii="Book Antiqua" w:hAnsi="Book Antiqua"/>
          <w:b/>
          <w:i/>
          <w:sz w:val="24"/>
        </w:rPr>
        <w:t>Background</w:t>
      </w:r>
    </w:p>
    <w:p w:rsidR="00282799" w:rsidRPr="00010B85" w:rsidRDefault="00282799" w:rsidP="00010B85">
      <w:pPr>
        <w:spacing w:line="360" w:lineRule="auto"/>
        <w:rPr>
          <w:rFonts w:ascii="Book Antiqua" w:hAnsi="Book Antiqua"/>
          <w:sz w:val="24"/>
        </w:rPr>
      </w:pPr>
      <w:r w:rsidRPr="00010B85">
        <w:rPr>
          <w:rFonts w:ascii="Book Antiqua" w:hAnsi="Book Antiqua"/>
          <w:sz w:val="24"/>
        </w:rPr>
        <w:t xml:space="preserve">hepatitis B virus (HBV)-hepatitis </w:t>
      </w:r>
      <w:r>
        <w:rPr>
          <w:rFonts w:ascii="Book Antiqua" w:hAnsi="Book Antiqua"/>
          <w:sz w:val="24"/>
        </w:rPr>
        <w:t>E</w:t>
      </w:r>
      <w:r w:rsidRPr="00010B85">
        <w:rPr>
          <w:rFonts w:ascii="Book Antiqua" w:hAnsi="Book Antiqua"/>
          <w:sz w:val="24"/>
        </w:rPr>
        <w:t xml:space="preserve"> virus (H</w:t>
      </w:r>
      <w:r>
        <w:rPr>
          <w:rFonts w:ascii="Book Antiqua" w:hAnsi="Book Antiqua"/>
          <w:sz w:val="24"/>
        </w:rPr>
        <w:t>E</w:t>
      </w:r>
      <w:r w:rsidRPr="00010B85">
        <w:rPr>
          <w:rFonts w:ascii="Book Antiqua" w:hAnsi="Book Antiqua"/>
          <w:sz w:val="24"/>
        </w:rPr>
        <w:t>V) superinfection is common. Recent studies have shown that HEV can result in severe disease in patients with underlying chronic HBV infection and even liver failure. However, whether the disease severity of acute hepatitis E correlates with the underlying HBV replication status (based on the status of HBeAg and HBV-DNA) or liver histological lesions and whether anti-HBV treatment can improve the outcome of HBV-HEV superinfection are unknown.</w:t>
      </w:r>
    </w:p>
    <w:p w:rsidR="00282799" w:rsidRPr="00010B85" w:rsidRDefault="00282799" w:rsidP="00010B85">
      <w:pPr>
        <w:spacing w:line="360" w:lineRule="auto"/>
        <w:rPr>
          <w:rFonts w:ascii="Book Antiqua" w:hAnsi="Book Antiqua"/>
          <w:sz w:val="24"/>
        </w:rPr>
      </w:pPr>
    </w:p>
    <w:p w:rsidR="00282799" w:rsidRPr="000C1B1D" w:rsidRDefault="00282799" w:rsidP="00010B85">
      <w:pPr>
        <w:spacing w:line="360" w:lineRule="auto"/>
        <w:rPr>
          <w:rFonts w:ascii="Book Antiqua" w:hAnsi="Book Antiqua"/>
          <w:b/>
          <w:i/>
          <w:sz w:val="24"/>
        </w:rPr>
      </w:pPr>
      <w:r w:rsidRPr="000C1B1D">
        <w:rPr>
          <w:rFonts w:ascii="Book Antiqua" w:hAnsi="Book Antiqua"/>
          <w:b/>
          <w:i/>
          <w:sz w:val="24"/>
        </w:rPr>
        <w:t>Research frontiers</w:t>
      </w:r>
    </w:p>
    <w:p w:rsidR="00282799" w:rsidRPr="00010B85" w:rsidRDefault="00282799" w:rsidP="00010B85">
      <w:pPr>
        <w:spacing w:line="360" w:lineRule="auto"/>
        <w:rPr>
          <w:rFonts w:ascii="Book Antiqua" w:hAnsi="Book Antiqua"/>
          <w:sz w:val="24"/>
        </w:rPr>
      </w:pPr>
      <w:r w:rsidRPr="00010B85">
        <w:rPr>
          <w:rFonts w:ascii="Book Antiqua" w:hAnsi="Book Antiqua"/>
          <w:sz w:val="24"/>
        </w:rPr>
        <w:t>The present study investigated the influence of chronic HBV infection (based on the status of HBeAg, HBV-DNA, and cirrhosis) on superimposed acute hepatitis E. Furthermore, the study evaluated the effect of anti-HBV treatment on HBV+HEV superinfection.</w:t>
      </w:r>
    </w:p>
    <w:p w:rsidR="00282799" w:rsidRPr="00010B85" w:rsidRDefault="00282799" w:rsidP="00010B85">
      <w:pPr>
        <w:spacing w:line="360" w:lineRule="auto"/>
        <w:rPr>
          <w:rFonts w:ascii="Book Antiqua" w:hAnsi="Book Antiqua"/>
          <w:b/>
          <w:sz w:val="24"/>
        </w:rPr>
      </w:pPr>
    </w:p>
    <w:p w:rsidR="00282799" w:rsidRPr="000C1B1D" w:rsidRDefault="00282799" w:rsidP="00010B85">
      <w:pPr>
        <w:spacing w:line="360" w:lineRule="auto"/>
        <w:rPr>
          <w:rFonts w:ascii="Book Antiqua" w:hAnsi="Book Antiqua"/>
          <w:b/>
          <w:i/>
          <w:sz w:val="24"/>
        </w:rPr>
      </w:pPr>
      <w:r w:rsidRPr="000C1B1D">
        <w:rPr>
          <w:rFonts w:ascii="Book Antiqua" w:hAnsi="Book Antiqua"/>
          <w:b/>
          <w:i/>
          <w:sz w:val="24"/>
        </w:rPr>
        <w:t>Innovations and breakthroughs</w:t>
      </w:r>
    </w:p>
    <w:p w:rsidR="00282799" w:rsidRPr="00010B85" w:rsidRDefault="00282799" w:rsidP="00010B85">
      <w:pPr>
        <w:spacing w:line="360" w:lineRule="auto"/>
        <w:rPr>
          <w:rFonts w:ascii="Book Antiqua" w:hAnsi="Book Antiqua"/>
          <w:sz w:val="24"/>
        </w:rPr>
      </w:pPr>
      <w:r w:rsidRPr="00010B85">
        <w:rPr>
          <w:rFonts w:ascii="Book Antiqua" w:hAnsi="Book Antiqua"/>
          <w:sz w:val="24"/>
        </w:rPr>
        <w:t>The disease severity of superimposed acute hepatitis E correlated not with the HBV replication status (based on the status of HBeAg and HBV-DNA), but rather with the presence of underlying cirrhosis. Anti-HBV treatment did not improve the prognosis of liver failure caused by HBV-HEV superinfection.</w:t>
      </w:r>
    </w:p>
    <w:p w:rsidR="00282799" w:rsidRPr="00010B85" w:rsidRDefault="00282799" w:rsidP="00010B85">
      <w:pPr>
        <w:spacing w:line="360" w:lineRule="auto"/>
        <w:rPr>
          <w:rFonts w:ascii="Book Antiqua" w:hAnsi="Book Antiqua"/>
          <w:sz w:val="24"/>
        </w:rPr>
      </w:pPr>
    </w:p>
    <w:p w:rsidR="00282799" w:rsidRPr="000C1B1D" w:rsidRDefault="00282799" w:rsidP="00010B85">
      <w:pPr>
        <w:spacing w:line="360" w:lineRule="auto"/>
        <w:rPr>
          <w:rFonts w:ascii="Book Antiqua" w:hAnsi="Book Antiqua"/>
          <w:b/>
          <w:i/>
          <w:sz w:val="24"/>
        </w:rPr>
      </w:pPr>
      <w:r w:rsidRPr="000C1B1D">
        <w:rPr>
          <w:rFonts w:ascii="Book Antiqua" w:hAnsi="Book Antiqua"/>
          <w:b/>
          <w:i/>
          <w:sz w:val="24"/>
        </w:rPr>
        <w:t xml:space="preserve">Peer review </w:t>
      </w:r>
    </w:p>
    <w:p w:rsidR="00282799" w:rsidRDefault="00282799" w:rsidP="002F7AB5">
      <w:pPr>
        <w:spacing w:line="360" w:lineRule="auto"/>
        <w:rPr>
          <w:rFonts w:ascii="Book Antiqua" w:hAnsi="Book Antiqua"/>
          <w:sz w:val="24"/>
        </w:rPr>
      </w:pPr>
      <w:r w:rsidRPr="00010B85">
        <w:rPr>
          <w:rFonts w:ascii="Book Antiqua" w:hAnsi="Book Antiqua"/>
          <w:sz w:val="24"/>
        </w:rPr>
        <w:t>This study is of great interest and offers useful implications for the treatment of HBV-HEV superinfection.</w:t>
      </w:r>
      <w:bookmarkEnd w:id="22"/>
      <w:bookmarkEnd w:id="23"/>
      <w:bookmarkEnd w:id="24"/>
      <w:bookmarkEnd w:id="25"/>
      <w:bookmarkEnd w:id="26"/>
    </w:p>
    <w:p w:rsidR="00282799" w:rsidRDefault="00282799" w:rsidP="002F7AB5">
      <w:pPr>
        <w:spacing w:line="360" w:lineRule="auto"/>
        <w:rPr>
          <w:rFonts w:ascii="Book Antiqua" w:hAnsi="Book Antiqua"/>
          <w:sz w:val="24"/>
        </w:rPr>
      </w:pPr>
    </w:p>
    <w:p w:rsidR="00282799" w:rsidRPr="00010B85" w:rsidRDefault="00282799" w:rsidP="002F7AB5">
      <w:pPr>
        <w:spacing w:line="360" w:lineRule="auto"/>
        <w:rPr>
          <w:rFonts w:ascii="Book Antiqua" w:hAnsi="Book Antiqua"/>
          <w:b/>
          <w:sz w:val="24"/>
        </w:rPr>
      </w:pPr>
      <w:r w:rsidRPr="00010B85">
        <w:rPr>
          <w:rFonts w:ascii="Book Antiqua" w:hAnsi="Book Antiqua"/>
          <w:b/>
          <w:sz w:val="24"/>
        </w:rPr>
        <w:t>REFERENCES</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 xml:space="preserve">1 Fact sheet </w:t>
      </w:r>
      <w:r w:rsidRPr="00010B85">
        <w:rPr>
          <w:rFonts w:ascii="Book Antiqua" w:hAnsi="Book Antiqua"/>
          <w:sz w:val="24"/>
        </w:rPr>
        <w:t>N°204</w:t>
      </w:r>
      <w:r w:rsidRPr="00247EE6">
        <w:rPr>
          <w:rFonts w:ascii="Book Antiqua" w:hAnsi="Book Antiqua" w:cs="宋体"/>
          <w:kern w:val="0"/>
          <w:sz w:val="24"/>
        </w:rPr>
        <w:t xml:space="preserve"> of World Health Organization: available at http: //www.who.int/mediacentre/ factsheets/fs204/en/index.</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2 </w:t>
      </w:r>
      <w:r w:rsidRPr="00247EE6">
        <w:rPr>
          <w:rFonts w:ascii="Book Antiqua" w:hAnsi="Book Antiqua" w:cs="宋体"/>
          <w:b/>
          <w:bCs/>
          <w:kern w:val="0"/>
          <w:sz w:val="24"/>
        </w:rPr>
        <w:t>Lavanchy D</w:t>
      </w:r>
      <w:r w:rsidRPr="00247EE6">
        <w:rPr>
          <w:rFonts w:ascii="Book Antiqua" w:hAnsi="Book Antiqua" w:cs="宋体"/>
          <w:kern w:val="0"/>
          <w:sz w:val="24"/>
        </w:rPr>
        <w:t>. Hepatitis B virus epidemiology, disease burden, treatment, and current and emerging prevention and control measures. </w:t>
      </w:r>
      <w:r w:rsidRPr="00247EE6">
        <w:rPr>
          <w:rFonts w:ascii="Book Antiqua" w:hAnsi="Book Antiqua" w:cs="宋体"/>
          <w:i/>
          <w:iCs/>
          <w:kern w:val="0"/>
          <w:sz w:val="24"/>
        </w:rPr>
        <w:t>J Viral Hepat</w:t>
      </w:r>
      <w:r w:rsidRPr="00247EE6">
        <w:rPr>
          <w:rFonts w:ascii="Book Antiqua" w:hAnsi="Book Antiqua" w:cs="宋体"/>
          <w:kern w:val="0"/>
          <w:sz w:val="24"/>
        </w:rPr>
        <w:t> 2004; </w:t>
      </w:r>
      <w:r w:rsidRPr="00247EE6">
        <w:rPr>
          <w:rFonts w:ascii="Book Antiqua" w:hAnsi="Book Antiqua" w:cs="宋体"/>
          <w:b/>
          <w:bCs/>
          <w:kern w:val="0"/>
          <w:sz w:val="24"/>
        </w:rPr>
        <w:t>11</w:t>
      </w:r>
      <w:r w:rsidRPr="00247EE6">
        <w:rPr>
          <w:rFonts w:ascii="Book Antiqua" w:hAnsi="Book Antiqua" w:cs="宋体"/>
          <w:kern w:val="0"/>
          <w:sz w:val="24"/>
        </w:rPr>
        <w:t>: 97-107 [PMID: 14996343 DOI: 10.1046/j.1365-2893.2003.00487.x]</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lastRenderedPageBreak/>
        <w:t>3 </w:t>
      </w:r>
      <w:r w:rsidRPr="00247EE6">
        <w:rPr>
          <w:rFonts w:ascii="Book Antiqua" w:hAnsi="Book Antiqua" w:cs="宋体"/>
          <w:b/>
          <w:bCs/>
          <w:kern w:val="0"/>
          <w:sz w:val="24"/>
        </w:rPr>
        <w:t>Xiong LS</w:t>
      </w:r>
      <w:r w:rsidRPr="00247EE6">
        <w:rPr>
          <w:rFonts w:ascii="Book Antiqua" w:hAnsi="Book Antiqua" w:cs="宋体"/>
          <w:kern w:val="0"/>
          <w:sz w:val="24"/>
        </w:rPr>
        <w:t>, Cui SF, Zhou JG, Xing Y. [Detection and analysis of HAV-HEV, HGV infection in patients with viral hepatitis]. </w:t>
      </w:r>
      <w:r w:rsidRPr="00247EE6">
        <w:rPr>
          <w:rFonts w:ascii="Book Antiqua" w:hAnsi="Book Antiqua" w:cs="宋体"/>
          <w:i/>
          <w:iCs/>
          <w:kern w:val="0"/>
          <w:sz w:val="24"/>
        </w:rPr>
        <w:t>Zhonghua Gan Zang Bing Za Zhi</w:t>
      </w:r>
      <w:r w:rsidRPr="00247EE6">
        <w:rPr>
          <w:rFonts w:ascii="Book Antiqua" w:hAnsi="Book Antiqua" w:cs="宋体"/>
          <w:kern w:val="0"/>
          <w:sz w:val="24"/>
        </w:rPr>
        <w:t> 2004; </w:t>
      </w:r>
      <w:r w:rsidRPr="00247EE6">
        <w:rPr>
          <w:rFonts w:ascii="Book Antiqua" w:hAnsi="Book Antiqua" w:cs="宋体"/>
          <w:b/>
          <w:bCs/>
          <w:kern w:val="0"/>
          <w:sz w:val="24"/>
        </w:rPr>
        <w:t>12</w:t>
      </w:r>
      <w:r w:rsidRPr="00247EE6">
        <w:rPr>
          <w:rFonts w:ascii="Book Antiqua" w:hAnsi="Book Antiqua" w:cs="宋体"/>
          <w:kern w:val="0"/>
          <w:sz w:val="24"/>
        </w:rPr>
        <w:t>: 395-396 [PMID: 15268800 DOI: 10.3760/j.issn: 1007-3418.2004.07.004]</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4 </w:t>
      </w:r>
      <w:r w:rsidRPr="00247EE6">
        <w:rPr>
          <w:rFonts w:ascii="Book Antiqua" w:hAnsi="Book Antiqua" w:cs="宋体"/>
          <w:b/>
          <w:bCs/>
          <w:kern w:val="0"/>
          <w:sz w:val="24"/>
        </w:rPr>
        <w:t>Kumar M</w:t>
      </w:r>
      <w:r w:rsidRPr="00247EE6">
        <w:rPr>
          <w:rFonts w:ascii="Book Antiqua" w:hAnsi="Book Antiqua" w:cs="宋体"/>
          <w:kern w:val="0"/>
          <w:sz w:val="24"/>
        </w:rPr>
        <w:t>, Sharma BC, Sarin SK. Hepatitis E virus as an etiology of acute exacerbation of previously unrecognized asymptomatic patients with hepatitis B virus-related chronic liver disease. </w:t>
      </w:r>
      <w:r w:rsidRPr="00247EE6">
        <w:rPr>
          <w:rFonts w:ascii="Book Antiqua" w:hAnsi="Book Antiqua" w:cs="宋体"/>
          <w:i/>
          <w:iCs/>
          <w:kern w:val="0"/>
          <w:sz w:val="24"/>
        </w:rPr>
        <w:t>J Gastroenterol Hepatol</w:t>
      </w:r>
      <w:r w:rsidRPr="00247EE6">
        <w:rPr>
          <w:rFonts w:ascii="Book Antiqua" w:hAnsi="Book Antiqua" w:cs="宋体"/>
          <w:kern w:val="0"/>
          <w:sz w:val="24"/>
        </w:rPr>
        <w:t> 2008; </w:t>
      </w:r>
      <w:r w:rsidRPr="00247EE6">
        <w:rPr>
          <w:rFonts w:ascii="Book Antiqua" w:hAnsi="Book Antiqua" w:cs="宋体"/>
          <w:b/>
          <w:bCs/>
          <w:kern w:val="0"/>
          <w:sz w:val="24"/>
        </w:rPr>
        <w:t>23</w:t>
      </w:r>
      <w:r w:rsidRPr="00247EE6">
        <w:rPr>
          <w:rFonts w:ascii="Book Antiqua" w:hAnsi="Book Antiqua" w:cs="宋体"/>
          <w:kern w:val="0"/>
          <w:sz w:val="24"/>
        </w:rPr>
        <w:t>: 883-887 [PMID: 18070014 DOI: 10.1111/j.1440-1746.2007.05243.x]</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5 </w:t>
      </w:r>
      <w:r w:rsidRPr="00247EE6">
        <w:rPr>
          <w:rFonts w:ascii="Book Antiqua" w:hAnsi="Book Antiqua" w:cs="宋体"/>
          <w:b/>
          <w:bCs/>
          <w:kern w:val="0"/>
          <w:sz w:val="24"/>
        </w:rPr>
        <w:t>Ke WM</w:t>
      </w:r>
      <w:r w:rsidRPr="00247EE6">
        <w:rPr>
          <w:rFonts w:ascii="Book Antiqua" w:hAnsi="Book Antiqua" w:cs="宋体"/>
          <w:kern w:val="0"/>
          <w:sz w:val="24"/>
        </w:rPr>
        <w:t>, Li XJ, Yu LN, Lai J, Li XH, Gao ZL, Chen PJ. Etiological investigation of fatal liver failure during the course of chronic hepatitis B in southeast China. </w:t>
      </w:r>
      <w:r w:rsidRPr="00247EE6">
        <w:rPr>
          <w:rFonts w:ascii="Book Antiqua" w:hAnsi="Book Antiqua" w:cs="宋体"/>
          <w:i/>
          <w:iCs/>
          <w:kern w:val="0"/>
          <w:sz w:val="24"/>
        </w:rPr>
        <w:t>J Gastroenterol</w:t>
      </w:r>
      <w:r w:rsidRPr="00247EE6">
        <w:rPr>
          <w:rFonts w:ascii="Book Antiqua" w:hAnsi="Book Antiqua" w:cs="宋体"/>
          <w:kern w:val="0"/>
          <w:sz w:val="24"/>
        </w:rPr>
        <w:t> 2006; </w:t>
      </w:r>
      <w:r w:rsidRPr="00247EE6">
        <w:rPr>
          <w:rFonts w:ascii="Book Antiqua" w:hAnsi="Book Antiqua" w:cs="宋体"/>
          <w:b/>
          <w:bCs/>
          <w:kern w:val="0"/>
          <w:sz w:val="24"/>
        </w:rPr>
        <w:t>41</w:t>
      </w:r>
      <w:r w:rsidRPr="00247EE6">
        <w:rPr>
          <w:rFonts w:ascii="Book Antiqua" w:hAnsi="Book Antiqua" w:cs="宋体"/>
          <w:kern w:val="0"/>
          <w:sz w:val="24"/>
        </w:rPr>
        <w:t>: 347-351 [PMID: 16741614 DOI: 10.1007/s00535-005-1781-y]</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6 </w:t>
      </w:r>
      <w:r w:rsidRPr="00247EE6">
        <w:rPr>
          <w:rFonts w:ascii="Book Antiqua" w:hAnsi="Book Antiqua" w:cs="宋体"/>
          <w:b/>
          <w:bCs/>
          <w:kern w:val="0"/>
          <w:sz w:val="24"/>
        </w:rPr>
        <w:t>Zhang GS</w:t>
      </w:r>
      <w:r w:rsidRPr="00247EE6">
        <w:rPr>
          <w:rFonts w:ascii="Book Antiqua" w:hAnsi="Book Antiqua" w:cs="宋体"/>
          <w:kern w:val="0"/>
          <w:sz w:val="24"/>
        </w:rPr>
        <w:t>, Feng FM, Li YL, Yuan JX, Shang H. [A study of chronic hepatitis B infection superinfected with hepatitis E infection]. </w:t>
      </w:r>
      <w:r w:rsidRPr="00247EE6">
        <w:rPr>
          <w:rFonts w:ascii="Book Antiqua" w:hAnsi="Book Antiqua" w:cs="宋体"/>
          <w:i/>
          <w:iCs/>
          <w:kern w:val="0"/>
          <w:sz w:val="24"/>
        </w:rPr>
        <w:t>Zhonghua Gan Zang Bing Za Zhi</w:t>
      </w:r>
      <w:r w:rsidRPr="00247EE6">
        <w:rPr>
          <w:rFonts w:ascii="Book Antiqua" w:hAnsi="Book Antiqua" w:cs="宋体"/>
          <w:kern w:val="0"/>
          <w:sz w:val="24"/>
        </w:rPr>
        <w:t> 2006; </w:t>
      </w:r>
      <w:r w:rsidRPr="00247EE6">
        <w:rPr>
          <w:rFonts w:ascii="Book Antiqua" w:hAnsi="Book Antiqua" w:cs="宋体"/>
          <w:b/>
          <w:bCs/>
          <w:kern w:val="0"/>
          <w:sz w:val="24"/>
        </w:rPr>
        <w:t>14</w:t>
      </w:r>
      <w:r w:rsidRPr="00247EE6">
        <w:rPr>
          <w:rFonts w:ascii="Book Antiqua" w:hAnsi="Book Antiqua" w:cs="宋体"/>
          <w:kern w:val="0"/>
          <w:sz w:val="24"/>
        </w:rPr>
        <w:t>: 906-908 [PMID: 17196134 DOI: 10.3760/j.issn: 1007-3418.2006.12.008]</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7 </w:t>
      </w:r>
      <w:r w:rsidRPr="00247EE6">
        <w:rPr>
          <w:rFonts w:ascii="Book Antiqua" w:hAnsi="Book Antiqua" w:cs="宋体"/>
          <w:b/>
          <w:bCs/>
          <w:kern w:val="0"/>
          <w:sz w:val="24"/>
        </w:rPr>
        <w:t>Ramachandran J</w:t>
      </w:r>
      <w:r w:rsidRPr="00247EE6">
        <w:rPr>
          <w:rFonts w:ascii="Book Antiqua" w:hAnsi="Book Antiqua" w:cs="宋体"/>
          <w:kern w:val="0"/>
          <w:sz w:val="24"/>
        </w:rPr>
        <w:t>, Eapen CE, Kang G, Abraham P, Hubert DD, Kurian G, Hephzibah J, Mukhopadhya A, Chandy GM. Hepatitis E superinfection produces severe decompensation in patients with chronic liver disease. </w:t>
      </w:r>
      <w:r w:rsidRPr="00247EE6">
        <w:rPr>
          <w:rFonts w:ascii="Book Antiqua" w:hAnsi="Book Antiqua" w:cs="宋体"/>
          <w:i/>
          <w:iCs/>
          <w:kern w:val="0"/>
          <w:sz w:val="24"/>
        </w:rPr>
        <w:t>J Gastroenterol Hepatol</w:t>
      </w:r>
      <w:r w:rsidRPr="00247EE6">
        <w:rPr>
          <w:rFonts w:ascii="Book Antiqua" w:hAnsi="Book Antiqua" w:cs="宋体"/>
          <w:kern w:val="0"/>
          <w:sz w:val="24"/>
        </w:rPr>
        <w:t> 2004; </w:t>
      </w:r>
      <w:r w:rsidRPr="00247EE6">
        <w:rPr>
          <w:rFonts w:ascii="Book Antiqua" w:hAnsi="Book Antiqua" w:cs="宋体"/>
          <w:b/>
          <w:bCs/>
          <w:kern w:val="0"/>
          <w:sz w:val="24"/>
        </w:rPr>
        <w:t>19</w:t>
      </w:r>
      <w:r w:rsidRPr="00247EE6">
        <w:rPr>
          <w:rFonts w:ascii="Book Antiqua" w:hAnsi="Book Antiqua" w:cs="宋体"/>
          <w:kern w:val="0"/>
          <w:sz w:val="24"/>
        </w:rPr>
        <w:t>: 134-138 [PMID: 14731121 DOI: 10.1111/j.1440-1746.2004.03188.x]</w:t>
      </w:r>
    </w:p>
    <w:p w:rsidR="00282799" w:rsidRPr="00247EE6" w:rsidRDefault="00282799" w:rsidP="00F8282E">
      <w:pPr>
        <w:widowControl/>
        <w:spacing w:line="360" w:lineRule="auto"/>
        <w:rPr>
          <w:rFonts w:ascii="Book Antiqua" w:hAnsi="Book Antiqua" w:cs="宋体"/>
          <w:kern w:val="0"/>
          <w:sz w:val="24"/>
        </w:rPr>
      </w:pPr>
      <w:r>
        <w:rPr>
          <w:rFonts w:ascii="Book Antiqua" w:hAnsi="Book Antiqua" w:cs="宋体"/>
          <w:kern w:val="0"/>
          <w:sz w:val="24"/>
        </w:rPr>
        <w:t xml:space="preserve">8 </w:t>
      </w:r>
      <w:r w:rsidRPr="00247EE6">
        <w:rPr>
          <w:rFonts w:ascii="Book Antiqua" w:hAnsi="Book Antiqua" w:cs="宋体"/>
          <w:kern w:val="0"/>
          <w:sz w:val="24"/>
        </w:rPr>
        <w:t>EASL Clinical Practice Guidelines: management of chronic hepatitis B. </w:t>
      </w:r>
      <w:r w:rsidRPr="00247EE6">
        <w:rPr>
          <w:rFonts w:ascii="Book Antiqua" w:hAnsi="Book Antiqua" w:cs="宋体"/>
          <w:i/>
          <w:iCs/>
          <w:kern w:val="0"/>
          <w:sz w:val="24"/>
        </w:rPr>
        <w:t>J Hepatol</w:t>
      </w:r>
      <w:r w:rsidRPr="00247EE6">
        <w:rPr>
          <w:rFonts w:ascii="Book Antiqua" w:hAnsi="Book Antiqua" w:cs="宋体"/>
          <w:kern w:val="0"/>
          <w:sz w:val="24"/>
        </w:rPr>
        <w:t> 2009; </w:t>
      </w:r>
      <w:r w:rsidRPr="00247EE6">
        <w:rPr>
          <w:rFonts w:ascii="Book Antiqua" w:hAnsi="Book Antiqua" w:cs="宋体"/>
          <w:b/>
          <w:bCs/>
          <w:kern w:val="0"/>
          <w:sz w:val="24"/>
        </w:rPr>
        <w:t>50</w:t>
      </w:r>
      <w:r w:rsidRPr="00247EE6">
        <w:rPr>
          <w:rFonts w:ascii="Book Antiqua" w:hAnsi="Book Antiqua" w:cs="宋体"/>
          <w:kern w:val="0"/>
          <w:sz w:val="24"/>
        </w:rPr>
        <w:t>: 227-242 [PMID: 19054588 DOI: 10.1016/j.jhep.2008.10.001]</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9 </w:t>
      </w:r>
      <w:r w:rsidRPr="00247EE6">
        <w:rPr>
          <w:rFonts w:ascii="Book Antiqua" w:hAnsi="Book Antiqua" w:cs="宋体"/>
          <w:b/>
          <w:bCs/>
          <w:kern w:val="0"/>
          <w:sz w:val="24"/>
        </w:rPr>
        <w:t>Liaw YF</w:t>
      </w:r>
      <w:r w:rsidRPr="00247EE6">
        <w:rPr>
          <w:rFonts w:ascii="Book Antiqua" w:hAnsi="Book Antiqua" w:cs="宋体"/>
          <w:kern w:val="0"/>
          <w:sz w:val="24"/>
        </w:rPr>
        <w:t>, Leung N, Kao JH, Piratvisuth T, Gane E, Han KH, Guan R, Lau GK, Locarnini S. Asian-Pacific consensus statement on the management of chronic hepatitis B: a 2008 update. </w:t>
      </w:r>
      <w:r w:rsidRPr="00247EE6">
        <w:rPr>
          <w:rFonts w:ascii="Book Antiqua" w:hAnsi="Book Antiqua" w:cs="宋体"/>
          <w:i/>
          <w:iCs/>
          <w:kern w:val="0"/>
          <w:sz w:val="24"/>
        </w:rPr>
        <w:t>Hepatol Int</w:t>
      </w:r>
      <w:r w:rsidRPr="00247EE6">
        <w:rPr>
          <w:rFonts w:ascii="Book Antiqua" w:hAnsi="Book Antiqua" w:cs="宋体"/>
          <w:kern w:val="0"/>
          <w:sz w:val="24"/>
        </w:rPr>
        <w:t> 2008; </w:t>
      </w:r>
      <w:r w:rsidRPr="00247EE6">
        <w:rPr>
          <w:rFonts w:ascii="Book Antiqua" w:hAnsi="Book Antiqua" w:cs="宋体"/>
          <w:b/>
          <w:bCs/>
          <w:kern w:val="0"/>
          <w:sz w:val="24"/>
        </w:rPr>
        <w:t>2</w:t>
      </w:r>
      <w:r w:rsidRPr="00247EE6">
        <w:rPr>
          <w:rFonts w:ascii="Book Antiqua" w:hAnsi="Book Antiqua" w:cs="宋体"/>
          <w:kern w:val="0"/>
          <w:sz w:val="24"/>
        </w:rPr>
        <w:t>: 263-283 [PMID: 19669255 DOI: 10.1007/s12072-008-9080-3]</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10 </w:t>
      </w:r>
      <w:r w:rsidRPr="00247EE6">
        <w:rPr>
          <w:rFonts w:ascii="Book Antiqua" w:hAnsi="Book Antiqua" w:cs="宋体"/>
          <w:b/>
          <w:bCs/>
          <w:kern w:val="0"/>
          <w:sz w:val="24"/>
        </w:rPr>
        <w:t>Miyake Y</w:t>
      </w:r>
      <w:r w:rsidRPr="00247EE6">
        <w:rPr>
          <w:rFonts w:ascii="Book Antiqua" w:hAnsi="Book Antiqua" w:cs="宋体"/>
          <w:kern w:val="0"/>
          <w:sz w:val="24"/>
        </w:rPr>
        <w:t>, Iwasaki Y, Takaki A, Fujioka S, Takaguchi K, Ikeda H, Kobashi H, Sakaguchi K, Shiratori Y. Lamivudine treatment improves the prognosis of fulminant hepatitis B. </w:t>
      </w:r>
      <w:r w:rsidRPr="00247EE6">
        <w:rPr>
          <w:rFonts w:ascii="Book Antiqua" w:hAnsi="Book Antiqua" w:cs="宋体"/>
          <w:i/>
          <w:iCs/>
          <w:kern w:val="0"/>
          <w:sz w:val="24"/>
        </w:rPr>
        <w:t>Intern Med</w:t>
      </w:r>
      <w:r w:rsidRPr="00247EE6">
        <w:rPr>
          <w:rFonts w:ascii="Book Antiqua" w:hAnsi="Book Antiqua" w:cs="宋体"/>
          <w:kern w:val="0"/>
          <w:sz w:val="24"/>
        </w:rPr>
        <w:t> 2008; </w:t>
      </w:r>
      <w:r w:rsidRPr="00247EE6">
        <w:rPr>
          <w:rFonts w:ascii="Book Antiqua" w:hAnsi="Book Antiqua" w:cs="宋体"/>
          <w:b/>
          <w:bCs/>
          <w:kern w:val="0"/>
          <w:sz w:val="24"/>
        </w:rPr>
        <w:t>47</w:t>
      </w:r>
      <w:r w:rsidRPr="00247EE6">
        <w:rPr>
          <w:rFonts w:ascii="Book Antiqua" w:hAnsi="Book Antiqua" w:cs="宋体"/>
          <w:kern w:val="0"/>
          <w:sz w:val="24"/>
        </w:rPr>
        <w:t>: 1293-1299 [PMID: 18628576 DOI: 10.2169/internalmedicine.47.1061]</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11 </w:t>
      </w:r>
      <w:r w:rsidRPr="00247EE6">
        <w:rPr>
          <w:rFonts w:ascii="Book Antiqua" w:hAnsi="Book Antiqua" w:cs="宋体"/>
          <w:b/>
          <w:bCs/>
          <w:kern w:val="0"/>
          <w:sz w:val="24"/>
        </w:rPr>
        <w:t>Jochum C</w:t>
      </w:r>
      <w:r w:rsidRPr="00247EE6">
        <w:rPr>
          <w:rFonts w:ascii="Book Antiqua" w:hAnsi="Book Antiqua" w:cs="宋体"/>
          <w:kern w:val="0"/>
          <w:sz w:val="24"/>
        </w:rPr>
        <w:t>, Gieseler RK, Gawlista I, Fiedler A, Manka P, Saner FH, Roggendorf M, Gerken G, Canbay A. Hepatitis B-associated acute liver failure: immediate treatment with entecavir inhibits hepatitis B virus replication and potentially its sequelae. </w:t>
      </w:r>
      <w:r w:rsidRPr="00247EE6">
        <w:rPr>
          <w:rFonts w:ascii="Book Antiqua" w:hAnsi="Book Antiqua" w:cs="宋体"/>
          <w:i/>
          <w:iCs/>
          <w:kern w:val="0"/>
          <w:sz w:val="24"/>
        </w:rPr>
        <w:t>Digestion</w:t>
      </w:r>
      <w:r w:rsidRPr="00247EE6">
        <w:rPr>
          <w:rFonts w:ascii="Book Antiqua" w:hAnsi="Book Antiqua" w:cs="宋体"/>
          <w:kern w:val="0"/>
          <w:sz w:val="24"/>
        </w:rPr>
        <w:t> 2009; </w:t>
      </w:r>
      <w:r w:rsidRPr="00247EE6">
        <w:rPr>
          <w:rFonts w:ascii="Book Antiqua" w:hAnsi="Book Antiqua" w:cs="宋体"/>
          <w:b/>
          <w:bCs/>
          <w:kern w:val="0"/>
          <w:sz w:val="24"/>
        </w:rPr>
        <w:t>80</w:t>
      </w:r>
      <w:r w:rsidRPr="00247EE6">
        <w:rPr>
          <w:rFonts w:ascii="Book Antiqua" w:hAnsi="Book Antiqua" w:cs="宋体"/>
          <w:kern w:val="0"/>
          <w:sz w:val="24"/>
        </w:rPr>
        <w:t>: 235-240 [PMID: 19828954 DOI: 10.1159/000236009]</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lastRenderedPageBreak/>
        <w:t>12 </w:t>
      </w:r>
      <w:r w:rsidRPr="00247EE6">
        <w:rPr>
          <w:rFonts w:ascii="Book Antiqua" w:hAnsi="Book Antiqua" w:cs="宋体"/>
          <w:b/>
          <w:bCs/>
          <w:kern w:val="0"/>
          <w:sz w:val="24"/>
        </w:rPr>
        <w:t>Huang K</w:t>
      </w:r>
      <w:r w:rsidRPr="00247EE6">
        <w:rPr>
          <w:rFonts w:ascii="Book Antiqua" w:hAnsi="Book Antiqua" w:cs="宋体"/>
          <w:kern w:val="0"/>
          <w:sz w:val="24"/>
        </w:rPr>
        <w:t>, Hu JH, Wang HF, He WP, Chen J, Duan XZ, Zhang AM, Liu XY. Survival and prognostic factors in hepatitis B virus-related acute-on-chronic liver failure. </w:t>
      </w:r>
      <w:r w:rsidRPr="00247EE6">
        <w:rPr>
          <w:rFonts w:ascii="Book Antiqua" w:hAnsi="Book Antiqua" w:cs="宋体"/>
          <w:i/>
          <w:iCs/>
          <w:kern w:val="0"/>
          <w:sz w:val="24"/>
        </w:rPr>
        <w:t>World J Gastroenterol</w:t>
      </w:r>
      <w:r w:rsidRPr="00247EE6">
        <w:rPr>
          <w:rFonts w:ascii="Book Antiqua" w:hAnsi="Book Antiqua" w:cs="宋体"/>
          <w:kern w:val="0"/>
          <w:sz w:val="24"/>
        </w:rPr>
        <w:t> 2011; </w:t>
      </w:r>
      <w:r w:rsidRPr="00247EE6">
        <w:rPr>
          <w:rFonts w:ascii="Book Antiqua" w:hAnsi="Book Antiqua" w:cs="宋体"/>
          <w:b/>
          <w:bCs/>
          <w:kern w:val="0"/>
          <w:sz w:val="24"/>
        </w:rPr>
        <w:t>17</w:t>
      </w:r>
      <w:r w:rsidRPr="00247EE6">
        <w:rPr>
          <w:rFonts w:ascii="Book Antiqua" w:hAnsi="Book Antiqua" w:cs="宋体"/>
          <w:kern w:val="0"/>
          <w:sz w:val="24"/>
        </w:rPr>
        <w:t>: 3448-3452 [PMID: 21876637 DOI: 10.3748/wjg.v17.i29.3448]</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13 </w:t>
      </w:r>
      <w:r w:rsidRPr="00247EE6">
        <w:rPr>
          <w:rFonts w:ascii="Book Antiqua" w:hAnsi="Book Antiqua" w:cs="宋体"/>
          <w:b/>
          <w:bCs/>
          <w:kern w:val="0"/>
          <w:sz w:val="24"/>
        </w:rPr>
        <w:t>Garg H</w:t>
      </w:r>
      <w:r w:rsidRPr="00247EE6">
        <w:rPr>
          <w:rFonts w:ascii="Book Antiqua" w:hAnsi="Book Antiqua" w:cs="宋体"/>
          <w:kern w:val="0"/>
          <w:sz w:val="24"/>
        </w:rPr>
        <w:t>, Sarin SK, Kumar M, Garg V, Sharma BC, Kumar A. Tenofovir improves the outcome in patients with spontaneous reactivation of hepatitis B presenting as acute-on-chronic liver failure. </w:t>
      </w:r>
      <w:r w:rsidRPr="00247EE6">
        <w:rPr>
          <w:rFonts w:ascii="Book Antiqua" w:hAnsi="Book Antiqua" w:cs="宋体"/>
          <w:i/>
          <w:iCs/>
          <w:kern w:val="0"/>
          <w:sz w:val="24"/>
        </w:rPr>
        <w:t>Hepatology</w:t>
      </w:r>
      <w:r w:rsidRPr="00247EE6">
        <w:rPr>
          <w:rFonts w:ascii="Book Antiqua" w:hAnsi="Book Antiqua" w:cs="宋体"/>
          <w:kern w:val="0"/>
          <w:sz w:val="24"/>
        </w:rPr>
        <w:t> 2011; </w:t>
      </w:r>
      <w:r w:rsidRPr="00247EE6">
        <w:rPr>
          <w:rFonts w:ascii="Book Antiqua" w:hAnsi="Book Antiqua" w:cs="宋体"/>
          <w:b/>
          <w:bCs/>
          <w:kern w:val="0"/>
          <w:sz w:val="24"/>
        </w:rPr>
        <w:t>53</w:t>
      </w:r>
      <w:r w:rsidRPr="00247EE6">
        <w:rPr>
          <w:rFonts w:ascii="Book Antiqua" w:hAnsi="Book Antiqua" w:cs="宋体"/>
          <w:kern w:val="0"/>
          <w:sz w:val="24"/>
        </w:rPr>
        <w:t>: 774-780 [PMID: 21294143 DOI: 10.1002/hep.24109]</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14 </w:t>
      </w:r>
      <w:r w:rsidRPr="00247EE6">
        <w:rPr>
          <w:rFonts w:ascii="Book Antiqua" w:hAnsi="Book Antiqua" w:cs="宋体"/>
          <w:b/>
          <w:bCs/>
          <w:kern w:val="0"/>
          <w:sz w:val="24"/>
        </w:rPr>
        <w:t>Malinchoc M</w:t>
      </w:r>
      <w:r w:rsidRPr="00247EE6">
        <w:rPr>
          <w:rFonts w:ascii="Book Antiqua" w:hAnsi="Book Antiqua" w:cs="宋体"/>
          <w:kern w:val="0"/>
          <w:sz w:val="24"/>
        </w:rPr>
        <w:t>, Kamath PS, Gordon FD, Peine CJ, Rank J, ter Borg PC. A model to predict poor survival in patients undergoing transjugular intrahepatic portosystemic shunts. </w:t>
      </w:r>
      <w:r w:rsidRPr="00247EE6">
        <w:rPr>
          <w:rFonts w:ascii="Book Antiqua" w:hAnsi="Book Antiqua" w:cs="宋体"/>
          <w:i/>
          <w:iCs/>
          <w:kern w:val="0"/>
          <w:sz w:val="24"/>
        </w:rPr>
        <w:t>Hepatology</w:t>
      </w:r>
      <w:r w:rsidRPr="00247EE6">
        <w:rPr>
          <w:rFonts w:ascii="Book Antiqua" w:hAnsi="Book Antiqua" w:cs="宋体"/>
          <w:kern w:val="0"/>
          <w:sz w:val="24"/>
        </w:rPr>
        <w:t> 2000; </w:t>
      </w:r>
      <w:r w:rsidRPr="00247EE6">
        <w:rPr>
          <w:rFonts w:ascii="Book Antiqua" w:hAnsi="Book Antiqua" w:cs="宋体"/>
          <w:b/>
          <w:bCs/>
          <w:kern w:val="0"/>
          <w:sz w:val="24"/>
        </w:rPr>
        <w:t>31</w:t>
      </w:r>
      <w:r w:rsidRPr="00247EE6">
        <w:rPr>
          <w:rFonts w:ascii="Book Antiqua" w:hAnsi="Book Antiqua" w:cs="宋体"/>
          <w:kern w:val="0"/>
          <w:sz w:val="24"/>
        </w:rPr>
        <w:t>: 864-871 [PMID: 10733541 DOI: 10/S0270913900980704]</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15 </w:t>
      </w:r>
      <w:r w:rsidRPr="00247EE6">
        <w:rPr>
          <w:rFonts w:ascii="Book Antiqua" w:hAnsi="Book Antiqua" w:cs="宋体"/>
          <w:b/>
          <w:bCs/>
          <w:kern w:val="0"/>
          <w:sz w:val="24"/>
        </w:rPr>
        <w:t>Wiesner R</w:t>
      </w:r>
      <w:r w:rsidRPr="00247EE6">
        <w:rPr>
          <w:rFonts w:ascii="Book Antiqua" w:hAnsi="Book Antiqua" w:cs="宋体"/>
          <w:kern w:val="0"/>
          <w:sz w:val="24"/>
        </w:rPr>
        <w:t>, Edwards E, Freeman R, Harper A, Kim R, Kamath P, Kremers W, Lake J, Howard T, Merion RM, Wolfe RA, Krom R. Model for end-stage liver disease (MELD) and allocation of donor livers. </w:t>
      </w:r>
      <w:r w:rsidRPr="00247EE6">
        <w:rPr>
          <w:rFonts w:ascii="Book Antiqua" w:hAnsi="Book Antiqua" w:cs="宋体"/>
          <w:i/>
          <w:iCs/>
          <w:kern w:val="0"/>
          <w:sz w:val="24"/>
        </w:rPr>
        <w:t>Gastroenterology</w:t>
      </w:r>
      <w:r w:rsidRPr="00247EE6">
        <w:rPr>
          <w:rFonts w:ascii="Book Antiqua" w:hAnsi="Book Antiqua" w:cs="宋体"/>
          <w:kern w:val="0"/>
          <w:sz w:val="24"/>
        </w:rPr>
        <w:t> 2003; </w:t>
      </w:r>
      <w:r w:rsidRPr="00247EE6">
        <w:rPr>
          <w:rFonts w:ascii="Book Antiqua" w:hAnsi="Book Antiqua" w:cs="宋体"/>
          <w:b/>
          <w:bCs/>
          <w:kern w:val="0"/>
          <w:sz w:val="24"/>
        </w:rPr>
        <w:t>124</w:t>
      </w:r>
      <w:r w:rsidRPr="00247EE6">
        <w:rPr>
          <w:rFonts w:ascii="Book Antiqua" w:hAnsi="Book Antiqua" w:cs="宋体"/>
          <w:kern w:val="0"/>
          <w:sz w:val="24"/>
        </w:rPr>
        <w:t>: 91-96 [PMID: 12512033 DOI: 10.1053/gast.2003.50016]</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16 </w:t>
      </w:r>
      <w:r w:rsidRPr="00247EE6">
        <w:rPr>
          <w:rFonts w:ascii="Book Antiqua" w:hAnsi="Book Antiqua" w:cs="宋体"/>
          <w:b/>
          <w:bCs/>
          <w:kern w:val="0"/>
          <w:sz w:val="24"/>
        </w:rPr>
        <w:t>Chan HL</w:t>
      </w:r>
      <w:r w:rsidRPr="00247EE6">
        <w:rPr>
          <w:rFonts w:ascii="Book Antiqua" w:hAnsi="Book Antiqua" w:cs="宋体"/>
          <w:kern w:val="0"/>
          <w:sz w:val="24"/>
        </w:rPr>
        <w:t>, Chim AM, Lau JT, Hui AY, Wong VW, Sung JJ. Evaluation of model for end-stage liver disease for prediction of mortality in decompensated chronic hepatitis B. </w:t>
      </w:r>
      <w:r w:rsidRPr="00247EE6">
        <w:rPr>
          <w:rFonts w:ascii="Book Antiqua" w:hAnsi="Book Antiqua" w:cs="宋体"/>
          <w:i/>
          <w:iCs/>
          <w:kern w:val="0"/>
          <w:sz w:val="24"/>
        </w:rPr>
        <w:t>Am J Gastroenterol</w:t>
      </w:r>
      <w:r w:rsidRPr="00247EE6">
        <w:rPr>
          <w:rFonts w:ascii="Book Antiqua" w:hAnsi="Book Antiqua" w:cs="宋体"/>
          <w:kern w:val="0"/>
          <w:sz w:val="24"/>
        </w:rPr>
        <w:t> 2006; </w:t>
      </w:r>
      <w:r w:rsidRPr="00247EE6">
        <w:rPr>
          <w:rFonts w:ascii="Book Antiqua" w:hAnsi="Book Antiqua" w:cs="宋体"/>
          <w:b/>
          <w:bCs/>
          <w:kern w:val="0"/>
          <w:sz w:val="24"/>
        </w:rPr>
        <w:t>101</w:t>
      </w:r>
      <w:r w:rsidRPr="00247EE6">
        <w:rPr>
          <w:rFonts w:ascii="Book Antiqua" w:hAnsi="Book Antiqua" w:cs="宋体"/>
          <w:kern w:val="0"/>
          <w:sz w:val="24"/>
        </w:rPr>
        <w:t>: 1516-1523 [PMID: 16863555 DOI: 10.1111/j.1572-0241.2006.00659.x]</w:t>
      </w:r>
    </w:p>
    <w:p w:rsidR="00282799" w:rsidRPr="00247EE6" w:rsidRDefault="00282799" w:rsidP="00F8282E">
      <w:pPr>
        <w:spacing w:line="360" w:lineRule="auto"/>
        <w:rPr>
          <w:rFonts w:ascii="Book Antiqua" w:hAnsi="Book Antiqua"/>
          <w:sz w:val="24"/>
        </w:rPr>
      </w:pPr>
      <w:r w:rsidRPr="002F7AB5">
        <w:rPr>
          <w:rFonts w:ascii="Book Antiqua" w:hAnsi="Book Antiqua"/>
          <w:sz w:val="24"/>
        </w:rPr>
        <w:t xml:space="preserve">17 </w:t>
      </w:r>
      <w:r w:rsidRPr="00010B85">
        <w:rPr>
          <w:rFonts w:ascii="Book Antiqua" w:hAnsi="Book Antiqua"/>
          <w:sz w:val="24"/>
        </w:rPr>
        <w:t xml:space="preserve">Liver Failure and Artificial Liver Group, Chinese Society of Infectious Diseases, Chinese Medical Association, Severe Liver Diseases and Artificial Liver Group. Diagnostic and treatment guidelines for liver failure. </w:t>
      </w:r>
      <w:r w:rsidRPr="00010B85">
        <w:rPr>
          <w:rFonts w:ascii="Book Antiqua" w:hAnsi="Book Antiqua"/>
          <w:i/>
          <w:sz w:val="24"/>
        </w:rPr>
        <w:t>Zhonghua Chuan Ran Bing Zazhi</w:t>
      </w:r>
      <w:r w:rsidRPr="00010B85">
        <w:rPr>
          <w:rFonts w:ascii="Book Antiqua" w:hAnsi="Book Antiqua"/>
          <w:sz w:val="24"/>
        </w:rPr>
        <w:t xml:space="preserve"> 2006; </w:t>
      </w:r>
      <w:r w:rsidRPr="00247EE6">
        <w:rPr>
          <w:rFonts w:ascii="Book Antiqua" w:hAnsi="Book Antiqua"/>
          <w:b/>
          <w:sz w:val="24"/>
        </w:rPr>
        <w:t>24</w:t>
      </w:r>
      <w:r w:rsidRPr="00010B85">
        <w:rPr>
          <w:rFonts w:ascii="Book Antiqua" w:hAnsi="Book Antiqua"/>
          <w:sz w:val="24"/>
        </w:rPr>
        <w:t>: 422-425</w:t>
      </w:r>
      <w:r>
        <w:rPr>
          <w:rFonts w:ascii="Book Antiqua" w:hAnsi="Book Antiqua"/>
          <w:sz w:val="24"/>
        </w:rPr>
        <w:t xml:space="preserve"> </w:t>
      </w:r>
      <w:r w:rsidRPr="003044E2">
        <w:rPr>
          <w:rFonts w:ascii="Book Antiqua" w:hAnsi="Book Antiqua"/>
          <w:sz w:val="24"/>
        </w:rPr>
        <w:t>[</w:t>
      </w:r>
      <w:r w:rsidRPr="00010B85">
        <w:rPr>
          <w:rFonts w:ascii="Book Antiqua" w:hAnsi="Book Antiqua"/>
          <w:sz w:val="24"/>
        </w:rPr>
        <w:t>DOI: 10.3760/j.issn:1000-6680.2006.06.017]</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18 </w:t>
      </w:r>
      <w:r w:rsidRPr="00247EE6">
        <w:rPr>
          <w:rFonts w:ascii="Book Antiqua" w:hAnsi="Book Antiqua" w:cs="宋体"/>
          <w:b/>
          <w:bCs/>
          <w:kern w:val="0"/>
          <w:sz w:val="24"/>
        </w:rPr>
        <w:t>Coursaget P</w:t>
      </w:r>
      <w:r w:rsidRPr="00247EE6">
        <w:rPr>
          <w:rFonts w:ascii="Book Antiqua" w:hAnsi="Book Antiqua" w:cs="宋体"/>
          <w:kern w:val="0"/>
          <w:sz w:val="24"/>
        </w:rPr>
        <w:t>, Buisson Y, N'Gawara MN, Van Cuyck-Gandre H, Roue R. Role of hepatitis E virus in sporadic cases of acute and fulminant hepatitis in an endemic area (Chad). </w:t>
      </w:r>
      <w:r w:rsidRPr="00247EE6">
        <w:rPr>
          <w:rFonts w:ascii="Book Antiqua" w:hAnsi="Book Antiqua" w:cs="宋体"/>
          <w:i/>
          <w:iCs/>
          <w:kern w:val="0"/>
          <w:sz w:val="24"/>
        </w:rPr>
        <w:t>Am J Trop Med Hyg</w:t>
      </w:r>
      <w:r w:rsidRPr="00247EE6">
        <w:rPr>
          <w:rFonts w:ascii="Book Antiqua" w:hAnsi="Book Antiqua" w:cs="宋体"/>
          <w:kern w:val="0"/>
          <w:sz w:val="24"/>
        </w:rPr>
        <w:t> 1998; </w:t>
      </w:r>
      <w:r w:rsidRPr="00247EE6">
        <w:rPr>
          <w:rFonts w:ascii="Book Antiqua" w:hAnsi="Book Antiqua" w:cs="宋体"/>
          <w:b/>
          <w:bCs/>
          <w:kern w:val="0"/>
          <w:sz w:val="24"/>
        </w:rPr>
        <w:t>58</w:t>
      </w:r>
      <w:r w:rsidRPr="00247EE6">
        <w:rPr>
          <w:rFonts w:ascii="Book Antiqua" w:hAnsi="Book Antiqua" w:cs="宋体"/>
          <w:kern w:val="0"/>
          <w:sz w:val="24"/>
        </w:rPr>
        <w:t>: 330-334 [PMID: 9546413]</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19 </w:t>
      </w:r>
      <w:r w:rsidRPr="00247EE6">
        <w:rPr>
          <w:rFonts w:ascii="Book Antiqua" w:hAnsi="Book Antiqua" w:cs="宋体"/>
          <w:b/>
          <w:bCs/>
          <w:kern w:val="0"/>
          <w:sz w:val="24"/>
        </w:rPr>
        <w:t>Dudley FJ</w:t>
      </w:r>
      <w:r w:rsidRPr="00247EE6">
        <w:rPr>
          <w:rFonts w:ascii="Book Antiqua" w:hAnsi="Book Antiqua" w:cs="宋体"/>
          <w:kern w:val="0"/>
          <w:sz w:val="24"/>
        </w:rPr>
        <w:t>, Fox RA, Sherlock S. Cellular immunity and hepatitis-associated, Australia antigen liver disease. </w:t>
      </w:r>
      <w:r w:rsidRPr="00247EE6">
        <w:rPr>
          <w:rFonts w:ascii="Book Antiqua" w:hAnsi="Book Antiqua" w:cs="宋体"/>
          <w:i/>
          <w:iCs/>
          <w:kern w:val="0"/>
          <w:sz w:val="24"/>
        </w:rPr>
        <w:t>Lancet</w:t>
      </w:r>
      <w:r w:rsidRPr="00247EE6">
        <w:rPr>
          <w:rFonts w:ascii="Book Antiqua" w:hAnsi="Book Antiqua" w:cs="宋体"/>
          <w:kern w:val="0"/>
          <w:sz w:val="24"/>
        </w:rPr>
        <w:t> 1972; </w:t>
      </w:r>
      <w:r w:rsidRPr="00247EE6">
        <w:rPr>
          <w:rFonts w:ascii="Book Antiqua" w:hAnsi="Book Antiqua" w:cs="宋体"/>
          <w:b/>
          <w:bCs/>
          <w:kern w:val="0"/>
          <w:sz w:val="24"/>
        </w:rPr>
        <w:t>1</w:t>
      </w:r>
      <w:r w:rsidRPr="00247EE6">
        <w:rPr>
          <w:rFonts w:ascii="Book Antiqua" w:hAnsi="Book Antiqua" w:cs="宋体"/>
          <w:kern w:val="0"/>
          <w:sz w:val="24"/>
        </w:rPr>
        <w:t>: 723-726 [PMID: 4111197 DOI: 10.1016/S0140-6736(72)90234-6]</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20 </w:t>
      </w:r>
      <w:r w:rsidRPr="00247EE6">
        <w:rPr>
          <w:rFonts w:ascii="Book Antiqua" w:hAnsi="Book Antiqua" w:cs="宋体"/>
          <w:b/>
          <w:bCs/>
          <w:kern w:val="0"/>
          <w:sz w:val="24"/>
        </w:rPr>
        <w:t>Huang CF</w:t>
      </w:r>
      <w:r w:rsidRPr="00247EE6">
        <w:rPr>
          <w:rFonts w:ascii="Book Antiqua" w:hAnsi="Book Antiqua" w:cs="宋体"/>
          <w:kern w:val="0"/>
          <w:sz w:val="24"/>
        </w:rPr>
        <w:t>, Lin SS, Ho YC, Chen FL, Yang CC. The immune response induced by hepatitis B virus principal antigens. </w:t>
      </w:r>
      <w:r w:rsidRPr="00247EE6">
        <w:rPr>
          <w:rFonts w:ascii="Book Antiqua" w:hAnsi="Book Antiqua" w:cs="宋体"/>
          <w:i/>
          <w:iCs/>
          <w:kern w:val="0"/>
          <w:sz w:val="24"/>
        </w:rPr>
        <w:t>Cell Mol Immunol</w:t>
      </w:r>
      <w:r w:rsidRPr="00247EE6">
        <w:rPr>
          <w:rFonts w:ascii="Book Antiqua" w:hAnsi="Book Antiqua" w:cs="宋体"/>
          <w:kern w:val="0"/>
          <w:sz w:val="24"/>
        </w:rPr>
        <w:t> 2006; </w:t>
      </w:r>
      <w:r w:rsidRPr="00247EE6">
        <w:rPr>
          <w:rFonts w:ascii="Book Antiqua" w:hAnsi="Book Antiqua" w:cs="宋体"/>
          <w:b/>
          <w:bCs/>
          <w:kern w:val="0"/>
          <w:sz w:val="24"/>
        </w:rPr>
        <w:t>3</w:t>
      </w:r>
      <w:r w:rsidRPr="00247EE6">
        <w:rPr>
          <w:rFonts w:ascii="Book Antiqua" w:hAnsi="Book Antiqua" w:cs="宋体"/>
          <w:kern w:val="0"/>
          <w:sz w:val="24"/>
        </w:rPr>
        <w:t>: 97-106 [PMID: 16696896]</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lastRenderedPageBreak/>
        <w:t>21 </w:t>
      </w:r>
      <w:r w:rsidRPr="00247EE6">
        <w:rPr>
          <w:rFonts w:ascii="Book Antiqua" w:hAnsi="Book Antiqua" w:cs="宋体"/>
          <w:b/>
          <w:bCs/>
          <w:kern w:val="0"/>
          <w:sz w:val="24"/>
        </w:rPr>
        <w:t>Rehermann B</w:t>
      </w:r>
      <w:r w:rsidRPr="00247EE6">
        <w:rPr>
          <w:rFonts w:ascii="Book Antiqua" w:hAnsi="Book Antiqua" w:cs="宋体"/>
          <w:kern w:val="0"/>
          <w:sz w:val="24"/>
        </w:rPr>
        <w:t>. Chronic infections with hepatotropic viruses: mechanisms of impairment of cellular immune responses. </w:t>
      </w:r>
      <w:r w:rsidRPr="00247EE6">
        <w:rPr>
          <w:rFonts w:ascii="Book Antiqua" w:hAnsi="Book Antiqua" w:cs="宋体"/>
          <w:i/>
          <w:iCs/>
          <w:kern w:val="0"/>
          <w:sz w:val="24"/>
        </w:rPr>
        <w:t>Semin Liver Dis</w:t>
      </w:r>
      <w:r w:rsidRPr="00247EE6">
        <w:rPr>
          <w:rFonts w:ascii="Book Antiqua" w:hAnsi="Book Antiqua" w:cs="宋体"/>
          <w:kern w:val="0"/>
          <w:sz w:val="24"/>
        </w:rPr>
        <w:t> 2007; </w:t>
      </w:r>
      <w:r w:rsidRPr="00247EE6">
        <w:rPr>
          <w:rFonts w:ascii="Book Antiqua" w:hAnsi="Book Antiqua" w:cs="宋体"/>
          <w:b/>
          <w:bCs/>
          <w:kern w:val="0"/>
          <w:sz w:val="24"/>
        </w:rPr>
        <w:t>27</w:t>
      </w:r>
      <w:r w:rsidRPr="00247EE6">
        <w:rPr>
          <w:rFonts w:ascii="Book Antiqua" w:hAnsi="Book Antiqua" w:cs="宋体"/>
          <w:kern w:val="0"/>
          <w:sz w:val="24"/>
        </w:rPr>
        <w:t>: 152-160 [PMID: 17520515 DOI: 10.1055/s-2007-979468]</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22 </w:t>
      </w:r>
      <w:r w:rsidRPr="00247EE6">
        <w:rPr>
          <w:rFonts w:ascii="Book Antiqua" w:hAnsi="Book Antiqua" w:cs="宋体"/>
          <w:b/>
          <w:bCs/>
          <w:kern w:val="0"/>
          <w:sz w:val="24"/>
        </w:rPr>
        <w:t>Shimizu Y</w:t>
      </w:r>
      <w:r w:rsidRPr="00247EE6">
        <w:rPr>
          <w:rFonts w:ascii="Book Antiqua" w:hAnsi="Book Antiqua" w:cs="宋体"/>
          <w:kern w:val="0"/>
          <w:sz w:val="24"/>
        </w:rPr>
        <w:t>. T cell immunopathogenesis and immunotherapeutic strategies for chronic hepatitis B virus infection. </w:t>
      </w:r>
      <w:r w:rsidRPr="00247EE6">
        <w:rPr>
          <w:rFonts w:ascii="Book Antiqua" w:hAnsi="Book Antiqua" w:cs="宋体"/>
          <w:i/>
          <w:iCs/>
          <w:kern w:val="0"/>
          <w:sz w:val="24"/>
        </w:rPr>
        <w:t>World J Gastroenterol</w:t>
      </w:r>
      <w:r w:rsidRPr="00247EE6">
        <w:rPr>
          <w:rFonts w:ascii="Book Antiqua" w:hAnsi="Book Antiqua" w:cs="宋体"/>
          <w:kern w:val="0"/>
          <w:sz w:val="24"/>
        </w:rPr>
        <w:t> 2012; </w:t>
      </w:r>
      <w:r w:rsidRPr="00247EE6">
        <w:rPr>
          <w:rFonts w:ascii="Book Antiqua" w:hAnsi="Book Antiqua" w:cs="宋体"/>
          <w:b/>
          <w:bCs/>
          <w:kern w:val="0"/>
          <w:sz w:val="24"/>
        </w:rPr>
        <w:t>18</w:t>
      </w:r>
      <w:r w:rsidRPr="00247EE6">
        <w:rPr>
          <w:rFonts w:ascii="Book Antiqua" w:hAnsi="Book Antiqua" w:cs="宋体"/>
          <w:kern w:val="0"/>
          <w:sz w:val="24"/>
        </w:rPr>
        <w:t>: 2443-2451 [PMID: 22654441 DOI: 10.3748/wjg.v18.i20.2443]</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23 </w:t>
      </w:r>
      <w:r w:rsidRPr="00247EE6">
        <w:rPr>
          <w:rFonts w:ascii="Book Antiqua" w:hAnsi="Book Antiqua" w:cs="宋体"/>
          <w:b/>
          <w:bCs/>
          <w:kern w:val="0"/>
          <w:sz w:val="24"/>
        </w:rPr>
        <w:t>Chu CM</w:t>
      </w:r>
      <w:r w:rsidRPr="00247EE6">
        <w:rPr>
          <w:rFonts w:ascii="Book Antiqua" w:hAnsi="Book Antiqua" w:cs="宋体"/>
          <w:kern w:val="0"/>
          <w:sz w:val="24"/>
        </w:rPr>
        <w:t>, Liaw YF. Peripheral T-cell subsets in asymptomatic hepatitis B-virus carriers. </w:t>
      </w:r>
      <w:r w:rsidRPr="00247EE6">
        <w:rPr>
          <w:rFonts w:ascii="Book Antiqua" w:hAnsi="Book Antiqua" w:cs="宋体"/>
          <w:i/>
          <w:iCs/>
          <w:kern w:val="0"/>
          <w:sz w:val="24"/>
        </w:rPr>
        <w:t>Cell Immunol</w:t>
      </w:r>
      <w:r w:rsidRPr="00247EE6">
        <w:rPr>
          <w:rFonts w:ascii="Book Antiqua" w:hAnsi="Book Antiqua" w:cs="宋体"/>
          <w:kern w:val="0"/>
          <w:sz w:val="24"/>
        </w:rPr>
        <w:t> 1986; </w:t>
      </w:r>
      <w:r w:rsidRPr="00247EE6">
        <w:rPr>
          <w:rFonts w:ascii="Book Antiqua" w:hAnsi="Book Antiqua" w:cs="宋体"/>
          <w:b/>
          <w:bCs/>
          <w:kern w:val="0"/>
          <w:sz w:val="24"/>
        </w:rPr>
        <w:t>98</w:t>
      </w:r>
      <w:r w:rsidRPr="00247EE6">
        <w:rPr>
          <w:rFonts w:ascii="Book Antiqua" w:hAnsi="Book Antiqua" w:cs="宋体"/>
          <w:kern w:val="0"/>
          <w:sz w:val="24"/>
        </w:rPr>
        <w:t>: 533-537 [PMID: 3489555 DOI: 10.1016/0008-8749(86)90312-6]</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24 </w:t>
      </w:r>
      <w:r w:rsidRPr="00247EE6">
        <w:rPr>
          <w:rFonts w:ascii="Book Antiqua" w:hAnsi="Book Antiqua" w:cs="宋体"/>
          <w:b/>
          <w:bCs/>
          <w:kern w:val="0"/>
          <w:sz w:val="24"/>
        </w:rPr>
        <w:t>Tian Y</w:t>
      </w:r>
      <w:r w:rsidRPr="00247EE6">
        <w:rPr>
          <w:rFonts w:ascii="Book Antiqua" w:hAnsi="Book Antiqua" w:cs="宋体"/>
          <w:kern w:val="0"/>
          <w:sz w:val="24"/>
        </w:rPr>
        <w:t>, Qiu ZF, Li TS. [Difference and significance of peripheral blood T-lymphocyte subsets in patients with chronic hepatitis B and asymptomatic HBV carriers]. </w:t>
      </w:r>
      <w:r w:rsidRPr="00247EE6">
        <w:rPr>
          <w:rFonts w:ascii="Book Antiqua" w:hAnsi="Book Antiqua" w:cs="宋体"/>
          <w:i/>
          <w:iCs/>
          <w:kern w:val="0"/>
          <w:sz w:val="24"/>
        </w:rPr>
        <w:t>Zhonghua Yi Xue Za Zhi</w:t>
      </w:r>
      <w:r w:rsidRPr="00247EE6">
        <w:rPr>
          <w:rFonts w:ascii="Book Antiqua" w:hAnsi="Book Antiqua" w:cs="宋体"/>
          <w:kern w:val="0"/>
          <w:sz w:val="24"/>
        </w:rPr>
        <w:t> 2005; </w:t>
      </w:r>
      <w:r w:rsidRPr="00247EE6">
        <w:rPr>
          <w:rFonts w:ascii="Book Antiqua" w:hAnsi="Book Antiqua" w:cs="宋体"/>
          <w:b/>
          <w:bCs/>
          <w:kern w:val="0"/>
          <w:sz w:val="24"/>
        </w:rPr>
        <w:t>85</w:t>
      </w:r>
      <w:r w:rsidRPr="00247EE6">
        <w:rPr>
          <w:rFonts w:ascii="Book Antiqua" w:hAnsi="Book Antiqua" w:cs="宋体"/>
          <w:kern w:val="0"/>
          <w:sz w:val="24"/>
        </w:rPr>
        <w:t>: 3354-3358 [PMID: 16409844 DOI: 10.3760/j: issn: 0376-2491.2005.47.010]</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25 </w:t>
      </w:r>
      <w:r w:rsidRPr="00247EE6">
        <w:rPr>
          <w:rFonts w:ascii="Book Antiqua" w:hAnsi="Book Antiqua" w:cs="宋体"/>
          <w:b/>
          <w:bCs/>
          <w:kern w:val="0"/>
          <w:sz w:val="24"/>
        </w:rPr>
        <w:t>Ikeda T</w:t>
      </w:r>
      <w:r w:rsidRPr="00247EE6">
        <w:rPr>
          <w:rFonts w:ascii="Book Antiqua" w:hAnsi="Book Antiqua" w:cs="宋体"/>
          <w:kern w:val="0"/>
          <w:sz w:val="24"/>
        </w:rPr>
        <w:t>, Lever AM, Thomas HC. Evidence for a deficiency of interferon production in patients with chronic hepatitis B virus infection acquired in adult life. </w:t>
      </w:r>
      <w:r w:rsidRPr="00247EE6">
        <w:rPr>
          <w:rFonts w:ascii="Book Antiqua" w:hAnsi="Book Antiqua" w:cs="宋体"/>
          <w:i/>
          <w:iCs/>
          <w:kern w:val="0"/>
          <w:sz w:val="24"/>
        </w:rPr>
        <w:t>Hepatology</w:t>
      </w:r>
      <w:r w:rsidRPr="00247EE6">
        <w:rPr>
          <w:rFonts w:ascii="Book Antiqua" w:hAnsi="Book Antiqua" w:cs="宋体"/>
          <w:kern w:val="0"/>
          <w:sz w:val="24"/>
        </w:rPr>
        <w:t> </w:t>
      </w:r>
      <w:r>
        <w:rPr>
          <w:rFonts w:ascii="Book Antiqua" w:hAnsi="Book Antiqua" w:cs="宋体"/>
          <w:kern w:val="0"/>
          <w:sz w:val="24"/>
        </w:rPr>
        <w:t>1986</w:t>
      </w:r>
      <w:r w:rsidRPr="00247EE6">
        <w:rPr>
          <w:rFonts w:ascii="Book Antiqua" w:hAnsi="Book Antiqua" w:cs="宋体"/>
          <w:kern w:val="0"/>
          <w:sz w:val="24"/>
        </w:rPr>
        <w:t>; </w:t>
      </w:r>
      <w:r w:rsidRPr="00247EE6">
        <w:rPr>
          <w:rFonts w:ascii="Book Antiqua" w:hAnsi="Book Antiqua" w:cs="宋体"/>
          <w:b/>
          <w:bCs/>
          <w:kern w:val="0"/>
          <w:sz w:val="24"/>
        </w:rPr>
        <w:t>6</w:t>
      </w:r>
      <w:r w:rsidRPr="00247EE6">
        <w:rPr>
          <w:rFonts w:ascii="Book Antiqua" w:hAnsi="Book Antiqua" w:cs="宋体"/>
          <w:kern w:val="0"/>
          <w:sz w:val="24"/>
        </w:rPr>
        <w:t>: 962-965 [PMID: 2428724 DOI: 10.1002/hep.1840060525]</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26 </w:t>
      </w:r>
      <w:r w:rsidRPr="00247EE6">
        <w:rPr>
          <w:rFonts w:ascii="Book Antiqua" w:hAnsi="Book Antiqua" w:cs="宋体"/>
          <w:b/>
          <w:bCs/>
          <w:kern w:val="0"/>
          <w:sz w:val="24"/>
        </w:rPr>
        <w:t>Akpolat N</w:t>
      </w:r>
      <w:r w:rsidRPr="00247EE6">
        <w:rPr>
          <w:rFonts w:ascii="Book Antiqua" w:hAnsi="Book Antiqua" w:cs="宋体"/>
          <w:kern w:val="0"/>
          <w:sz w:val="24"/>
        </w:rPr>
        <w:t>, Yahsi S, Godekmerdan A, Demirbag K, Yalniz M. Relationship between serum cytokine levels and histopathological changes of liver in patients with hepatitis B. </w:t>
      </w:r>
      <w:r w:rsidRPr="00247EE6">
        <w:rPr>
          <w:rFonts w:ascii="Book Antiqua" w:hAnsi="Book Antiqua" w:cs="宋体"/>
          <w:i/>
          <w:iCs/>
          <w:kern w:val="0"/>
          <w:sz w:val="24"/>
        </w:rPr>
        <w:t>World J Gastroenterol</w:t>
      </w:r>
      <w:r w:rsidRPr="00247EE6">
        <w:rPr>
          <w:rFonts w:ascii="Book Antiqua" w:hAnsi="Book Antiqua" w:cs="宋体"/>
          <w:kern w:val="0"/>
          <w:sz w:val="24"/>
        </w:rPr>
        <w:t> 2005; </w:t>
      </w:r>
      <w:r w:rsidRPr="00247EE6">
        <w:rPr>
          <w:rFonts w:ascii="Book Antiqua" w:hAnsi="Book Antiqua" w:cs="宋体"/>
          <w:b/>
          <w:bCs/>
          <w:kern w:val="0"/>
          <w:sz w:val="24"/>
        </w:rPr>
        <w:t>11</w:t>
      </w:r>
      <w:r w:rsidRPr="00247EE6">
        <w:rPr>
          <w:rFonts w:ascii="Book Antiqua" w:hAnsi="Book Antiqua" w:cs="宋体"/>
          <w:kern w:val="0"/>
          <w:sz w:val="24"/>
        </w:rPr>
        <w:t>: 3260-3263 [PMID: 15929178]</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27 </w:t>
      </w:r>
      <w:r w:rsidRPr="00247EE6">
        <w:rPr>
          <w:rFonts w:ascii="Book Antiqua" w:hAnsi="Book Antiqua" w:cs="宋体"/>
          <w:b/>
          <w:bCs/>
          <w:kern w:val="0"/>
          <w:sz w:val="24"/>
        </w:rPr>
        <w:t>Dunn C</w:t>
      </w:r>
      <w:r w:rsidRPr="00247EE6">
        <w:rPr>
          <w:rFonts w:ascii="Book Antiqua" w:hAnsi="Book Antiqua" w:cs="宋体"/>
          <w:kern w:val="0"/>
          <w:sz w:val="24"/>
        </w:rPr>
        <w:t>, Brunetto M, Reynolds G, Christophides T, Kennedy PT, Lampertico P, Das A, Lopes AR, Borrow P, Williams K, Humphreys E, Afford S, Adams DH, Bertoletti A, Maini MK. Cytokines induced during chronic hepatitis B virus infection promote a pathway for NK cell-mediated liver damage. </w:t>
      </w:r>
      <w:r w:rsidRPr="00247EE6">
        <w:rPr>
          <w:rFonts w:ascii="Book Antiqua" w:hAnsi="Book Antiqua" w:cs="宋体"/>
          <w:i/>
          <w:iCs/>
          <w:kern w:val="0"/>
          <w:sz w:val="24"/>
        </w:rPr>
        <w:t>J Exp Med</w:t>
      </w:r>
      <w:r w:rsidRPr="00247EE6">
        <w:rPr>
          <w:rFonts w:ascii="Book Antiqua" w:hAnsi="Book Antiqua" w:cs="宋体"/>
          <w:kern w:val="0"/>
          <w:sz w:val="24"/>
        </w:rPr>
        <w:t> 2007; </w:t>
      </w:r>
      <w:r w:rsidRPr="00247EE6">
        <w:rPr>
          <w:rFonts w:ascii="Book Antiqua" w:hAnsi="Book Antiqua" w:cs="宋体"/>
          <w:b/>
          <w:bCs/>
          <w:kern w:val="0"/>
          <w:sz w:val="24"/>
        </w:rPr>
        <w:t>204</w:t>
      </w:r>
      <w:r w:rsidRPr="00247EE6">
        <w:rPr>
          <w:rFonts w:ascii="Book Antiqua" w:hAnsi="Book Antiqua" w:cs="宋体"/>
          <w:kern w:val="0"/>
          <w:sz w:val="24"/>
        </w:rPr>
        <w:t>: 667-680 [PMID: 17353365 DOI: 10.1084/jem.20061287]</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28 </w:t>
      </w:r>
      <w:r w:rsidRPr="00247EE6">
        <w:rPr>
          <w:rFonts w:ascii="Book Antiqua" w:hAnsi="Book Antiqua" w:cs="宋体"/>
          <w:b/>
          <w:bCs/>
          <w:kern w:val="0"/>
          <w:sz w:val="24"/>
        </w:rPr>
        <w:t>Akcam FZ</w:t>
      </w:r>
      <w:r w:rsidRPr="00247EE6">
        <w:rPr>
          <w:rFonts w:ascii="Book Antiqua" w:hAnsi="Book Antiqua" w:cs="宋体"/>
          <w:kern w:val="0"/>
          <w:sz w:val="24"/>
        </w:rPr>
        <w:t>, Tigli A, Kaya O, Ciris M, Vural H. Cytokine levels and histopathology in chronic hepatitis B and chronic hepatitis C. </w:t>
      </w:r>
      <w:r w:rsidRPr="00247EE6">
        <w:rPr>
          <w:rFonts w:ascii="Book Antiqua" w:hAnsi="Book Antiqua" w:cs="宋体"/>
          <w:i/>
          <w:iCs/>
          <w:kern w:val="0"/>
          <w:sz w:val="24"/>
        </w:rPr>
        <w:t>J Interferon Cytokine Res</w:t>
      </w:r>
      <w:r w:rsidRPr="00247EE6">
        <w:rPr>
          <w:rFonts w:ascii="Book Antiqua" w:hAnsi="Book Antiqua" w:cs="宋体"/>
          <w:kern w:val="0"/>
          <w:sz w:val="24"/>
        </w:rPr>
        <w:t> 2012; </w:t>
      </w:r>
      <w:r w:rsidRPr="00247EE6">
        <w:rPr>
          <w:rFonts w:ascii="Book Antiqua" w:hAnsi="Book Antiqua" w:cs="宋体"/>
          <w:b/>
          <w:bCs/>
          <w:kern w:val="0"/>
          <w:sz w:val="24"/>
        </w:rPr>
        <w:t>32</w:t>
      </w:r>
      <w:r w:rsidRPr="00247EE6">
        <w:rPr>
          <w:rFonts w:ascii="Book Antiqua" w:hAnsi="Book Antiqua" w:cs="宋体"/>
          <w:kern w:val="0"/>
          <w:sz w:val="24"/>
        </w:rPr>
        <w:t>: 570-574 [PMID: 23067363 DOI: 10.1089/jir.2012.0048]</w:t>
      </w:r>
    </w:p>
    <w:p w:rsidR="00282799" w:rsidRPr="00247EE6" w:rsidRDefault="00282799" w:rsidP="00F8282E">
      <w:pPr>
        <w:widowControl/>
        <w:spacing w:line="360" w:lineRule="auto"/>
        <w:rPr>
          <w:rFonts w:ascii="Book Antiqua" w:hAnsi="Book Antiqua" w:cs="宋体"/>
          <w:kern w:val="0"/>
          <w:sz w:val="24"/>
        </w:rPr>
      </w:pPr>
      <w:r w:rsidRPr="00247EE6">
        <w:rPr>
          <w:rFonts w:ascii="Book Antiqua" w:hAnsi="Book Antiqua" w:cs="宋体"/>
          <w:kern w:val="0"/>
          <w:sz w:val="24"/>
        </w:rPr>
        <w:t>29 </w:t>
      </w:r>
      <w:r w:rsidRPr="00247EE6">
        <w:rPr>
          <w:rFonts w:ascii="Book Antiqua" w:hAnsi="Book Antiqua" w:cs="宋体"/>
          <w:b/>
          <w:bCs/>
          <w:kern w:val="0"/>
          <w:sz w:val="24"/>
        </w:rPr>
        <w:t>Zhu FC</w:t>
      </w:r>
      <w:r w:rsidRPr="00247EE6">
        <w:rPr>
          <w:rFonts w:ascii="Book Antiqua" w:hAnsi="Book Antiqua" w:cs="宋体"/>
          <w:kern w:val="0"/>
          <w:sz w:val="24"/>
        </w:rPr>
        <w:t>,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247EE6">
        <w:rPr>
          <w:rFonts w:ascii="Book Antiqua" w:hAnsi="Book Antiqua" w:cs="宋体"/>
          <w:i/>
          <w:iCs/>
          <w:kern w:val="0"/>
          <w:sz w:val="24"/>
        </w:rPr>
        <w:t>Lancet</w:t>
      </w:r>
      <w:r w:rsidRPr="00247EE6">
        <w:rPr>
          <w:rFonts w:ascii="Book Antiqua" w:hAnsi="Book Antiqua" w:cs="宋体"/>
          <w:kern w:val="0"/>
          <w:sz w:val="24"/>
        </w:rPr>
        <w:t> 2010; </w:t>
      </w:r>
      <w:r w:rsidRPr="00247EE6">
        <w:rPr>
          <w:rFonts w:ascii="Book Antiqua" w:hAnsi="Book Antiqua" w:cs="宋体"/>
          <w:b/>
          <w:bCs/>
          <w:kern w:val="0"/>
          <w:sz w:val="24"/>
        </w:rPr>
        <w:t>376</w:t>
      </w:r>
      <w:r w:rsidRPr="00247EE6">
        <w:rPr>
          <w:rFonts w:ascii="Book Antiqua" w:hAnsi="Book Antiqua" w:cs="宋体"/>
          <w:kern w:val="0"/>
          <w:sz w:val="24"/>
        </w:rPr>
        <w:t>: 895-902 [PMID: 20728932 DOI: 10.1016/S0140-6736(10)61030-6]</w:t>
      </w:r>
    </w:p>
    <w:p w:rsidR="00282799" w:rsidRPr="00247EE6" w:rsidRDefault="00282799" w:rsidP="00F8282E">
      <w:pPr>
        <w:spacing w:line="360" w:lineRule="auto"/>
        <w:rPr>
          <w:rFonts w:ascii="Book Antiqua" w:hAnsi="Book Antiqua"/>
        </w:rPr>
      </w:pPr>
    </w:p>
    <w:p w:rsidR="00282799" w:rsidRPr="00CE4867" w:rsidRDefault="00282799" w:rsidP="00F8282E">
      <w:pPr>
        <w:spacing w:line="360" w:lineRule="auto"/>
        <w:rPr>
          <w:rFonts w:ascii="Book Antiqua" w:hAnsi="Book Antiqua"/>
          <w:b/>
          <w:bCs/>
          <w:color w:val="000000"/>
          <w:sz w:val="24"/>
        </w:rPr>
      </w:pPr>
      <w:bookmarkStart w:id="27" w:name="OLE_LINK11"/>
      <w:bookmarkStart w:id="28" w:name="OLE_LINK12"/>
      <w:bookmarkStart w:id="29" w:name="OLE_LINK36"/>
      <w:bookmarkStart w:id="30" w:name="OLE_LINK37"/>
      <w:bookmarkStart w:id="31" w:name="OLE_LINK20"/>
      <w:bookmarkStart w:id="32" w:name="OLE_LINK80"/>
      <w:bookmarkStart w:id="33" w:name="OLE_LINK85"/>
      <w:bookmarkStart w:id="34" w:name="OLE_LINK194"/>
      <w:bookmarkStart w:id="35" w:name="OLE_LINK118"/>
      <w:r w:rsidRPr="00CE4867">
        <w:rPr>
          <w:rStyle w:val="ad"/>
          <w:rFonts w:ascii="Book Antiqua" w:hAnsi="Book Antiqua"/>
          <w:bCs/>
          <w:noProof/>
          <w:color w:val="000000"/>
          <w:sz w:val="24"/>
        </w:rPr>
        <w:t>P-Reviewer</w:t>
      </w:r>
      <w:bookmarkEnd w:id="27"/>
      <w:bookmarkEnd w:id="28"/>
      <w:r>
        <w:rPr>
          <w:rStyle w:val="ad"/>
          <w:rFonts w:ascii="Book Antiqua" w:hAnsi="Book Antiqua"/>
          <w:bCs/>
          <w:noProof/>
          <w:color w:val="000000"/>
          <w:sz w:val="24"/>
        </w:rPr>
        <w:t>s</w:t>
      </w:r>
      <w:r w:rsidRPr="00CE4867">
        <w:rPr>
          <w:rFonts w:ascii="Book Antiqua" w:hAnsi="Book Antiqua"/>
          <w:b/>
          <w:bCs/>
          <w:color w:val="000000"/>
          <w:sz w:val="24"/>
        </w:rPr>
        <w:t xml:space="preserve"> </w:t>
      </w:r>
      <w:r w:rsidRPr="00F8282E">
        <w:rPr>
          <w:rFonts w:ascii="Book Antiqua" w:hAnsi="Book Antiqua"/>
          <w:bCs/>
          <w:color w:val="000000"/>
          <w:sz w:val="24"/>
        </w:rPr>
        <w:t>He JY,</w:t>
      </w:r>
      <w:r>
        <w:rPr>
          <w:rFonts w:ascii="Book Antiqua" w:hAnsi="Book Antiqua"/>
          <w:b/>
          <w:bCs/>
          <w:color w:val="000000"/>
          <w:sz w:val="24"/>
        </w:rPr>
        <w:t xml:space="preserve"> </w:t>
      </w:r>
      <w:r>
        <w:rPr>
          <w:rFonts w:ascii="Book Antiqua" w:hAnsi="Book Antiqua"/>
          <w:bCs/>
          <w:color w:val="000000"/>
          <w:sz w:val="24"/>
        </w:rPr>
        <w:t>Said</w:t>
      </w:r>
      <w:r w:rsidRPr="00F8282E">
        <w:rPr>
          <w:rFonts w:ascii="Book Antiqua" w:hAnsi="Book Antiqua"/>
          <w:bCs/>
          <w:color w:val="000000"/>
          <w:sz w:val="24"/>
        </w:rPr>
        <w:t xml:space="preserve"> ZNA</w:t>
      </w:r>
      <w:r>
        <w:rPr>
          <w:rFonts w:ascii="Book Antiqua" w:hAnsi="Book Antiqua"/>
          <w:bCs/>
          <w:color w:val="000000"/>
          <w:sz w:val="24"/>
        </w:rPr>
        <w:t xml:space="preserve">, Shimizu </w:t>
      </w:r>
      <w:r w:rsidRPr="00F8282E">
        <w:rPr>
          <w:rFonts w:ascii="Book Antiqua" w:hAnsi="Book Antiqua"/>
          <w:bCs/>
          <w:color w:val="000000"/>
          <w:sz w:val="24"/>
        </w:rPr>
        <w:t>Y</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9"/>
    <w:bookmarkEnd w:id="30"/>
    <w:bookmarkEnd w:id="31"/>
    <w:bookmarkEnd w:id="32"/>
    <w:bookmarkEnd w:id="33"/>
    <w:bookmarkEnd w:id="34"/>
    <w:bookmarkEnd w:id="35"/>
    <w:p w:rsidR="00282799" w:rsidRPr="00F8282E" w:rsidRDefault="00282799" w:rsidP="00010B85">
      <w:pPr>
        <w:spacing w:line="360" w:lineRule="auto"/>
        <w:rPr>
          <w:rFonts w:ascii="Book Antiqua" w:hAnsi="Book Antiqua"/>
          <w:sz w:val="24"/>
        </w:rPr>
      </w:pPr>
    </w:p>
    <w:p w:rsidR="00282799" w:rsidRPr="009B4905" w:rsidRDefault="00282799" w:rsidP="00010B85">
      <w:pPr>
        <w:pStyle w:val="a5"/>
        <w:pageBreakBefore/>
        <w:spacing w:line="360" w:lineRule="auto"/>
        <w:ind w:rightChars="56" w:right="118"/>
        <w:rPr>
          <w:rFonts w:ascii="Book Antiqua" w:eastAsia="宋体" w:hAnsi="Book Antiqua" w:cs="Times New Roman"/>
          <w:b/>
          <w:color w:val="000000"/>
          <w:sz w:val="24"/>
          <w:szCs w:val="24"/>
        </w:rPr>
      </w:pPr>
      <w:r w:rsidRPr="009B4905">
        <w:rPr>
          <w:rFonts w:ascii="Book Antiqua" w:eastAsia="宋体" w:hAnsi="Book Antiqua" w:cs="Times New Roman"/>
          <w:b/>
          <w:color w:val="000000"/>
          <w:sz w:val="24"/>
          <w:szCs w:val="24"/>
        </w:rPr>
        <w:lastRenderedPageBreak/>
        <w:t xml:space="preserve">Table </w:t>
      </w:r>
      <w:r w:rsidRPr="009B4905">
        <w:rPr>
          <w:rFonts w:ascii="Book Antiqua" w:eastAsia="宋体" w:hAnsi="Book Antiqua" w:cs="Times New Roman"/>
          <w:b/>
          <w:color w:val="000000"/>
          <w:sz w:val="24"/>
          <w:szCs w:val="24"/>
        </w:rPr>
        <w:fldChar w:fldCharType="begin"/>
      </w:r>
      <w:r w:rsidRPr="009B4905">
        <w:rPr>
          <w:rFonts w:ascii="Book Antiqua" w:eastAsia="宋体" w:hAnsi="Book Antiqua" w:cs="Times New Roman"/>
          <w:b/>
          <w:color w:val="000000"/>
          <w:sz w:val="24"/>
          <w:szCs w:val="24"/>
        </w:rPr>
        <w:instrText xml:space="preserve"> SEQ </w:instrText>
      </w:r>
      <w:r w:rsidRPr="009B4905">
        <w:rPr>
          <w:rFonts w:ascii="Book Antiqua" w:eastAsia="宋体" w:hAnsi="Book Antiqua" w:cs="Times New Roman" w:hint="eastAsia"/>
          <w:b/>
          <w:color w:val="000000"/>
          <w:sz w:val="24"/>
          <w:szCs w:val="24"/>
        </w:rPr>
        <w:instrText>表格</w:instrText>
      </w:r>
      <w:r w:rsidRPr="009B4905">
        <w:rPr>
          <w:rFonts w:ascii="Book Antiqua" w:eastAsia="宋体" w:hAnsi="Book Antiqua" w:cs="Times New Roman"/>
          <w:b/>
          <w:color w:val="000000"/>
          <w:sz w:val="24"/>
          <w:szCs w:val="24"/>
        </w:rPr>
        <w:instrText xml:space="preserve"> \* ARABIC </w:instrText>
      </w:r>
      <w:r w:rsidRPr="009B4905">
        <w:rPr>
          <w:rFonts w:ascii="Book Antiqua" w:eastAsia="宋体" w:hAnsi="Book Antiqua" w:cs="Times New Roman"/>
          <w:b/>
          <w:color w:val="000000"/>
          <w:sz w:val="24"/>
          <w:szCs w:val="24"/>
        </w:rPr>
        <w:fldChar w:fldCharType="separate"/>
      </w:r>
      <w:r w:rsidRPr="009B4905">
        <w:rPr>
          <w:rFonts w:ascii="Book Antiqua" w:eastAsia="宋体" w:hAnsi="Book Antiqua" w:cs="Times New Roman"/>
          <w:b/>
          <w:color w:val="000000"/>
          <w:sz w:val="24"/>
          <w:szCs w:val="24"/>
        </w:rPr>
        <w:t>1</w:t>
      </w:r>
      <w:r w:rsidRPr="009B4905">
        <w:rPr>
          <w:rFonts w:ascii="Book Antiqua" w:eastAsia="宋体" w:hAnsi="Book Antiqua" w:cs="Times New Roman"/>
          <w:b/>
          <w:color w:val="000000"/>
          <w:sz w:val="24"/>
          <w:szCs w:val="24"/>
        </w:rPr>
        <w:fldChar w:fldCharType="end"/>
      </w:r>
      <w:r w:rsidRPr="009B4905">
        <w:rPr>
          <w:rFonts w:ascii="Book Antiqua" w:eastAsia="宋体" w:hAnsi="Book Antiqua" w:cs="Times New Roman"/>
          <w:b/>
          <w:color w:val="000000"/>
          <w:sz w:val="24"/>
          <w:szCs w:val="24"/>
        </w:rPr>
        <w:t xml:space="preserve"> Demographic and clinical characteristics of the hepatitis B virus +</w:t>
      </w:r>
      <w:r w:rsidRPr="009B4905">
        <w:rPr>
          <w:b/>
        </w:rPr>
        <w:t xml:space="preserve"> </w:t>
      </w:r>
      <w:r w:rsidRPr="009B4905">
        <w:rPr>
          <w:rFonts w:ascii="Book Antiqua" w:eastAsia="宋体" w:hAnsi="Book Antiqua" w:cs="Times New Roman"/>
          <w:b/>
          <w:color w:val="000000"/>
          <w:sz w:val="24"/>
          <w:szCs w:val="24"/>
        </w:rPr>
        <w:t>hepatitis B virus and hepatitis B virus groups</w:t>
      </w:r>
      <w:r>
        <w:rPr>
          <w:rFonts w:ascii="Book Antiqua" w:eastAsia="宋体" w:hAnsi="Book Antiqua" w:cs="Times New Roman"/>
          <w:b/>
          <w:color w:val="000000"/>
          <w:sz w:val="24"/>
          <w:szCs w:val="24"/>
        </w:rPr>
        <w:t xml:space="preserve"> </w:t>
      </w:r>
      <w:r w:rsidRPr="009B4905">
        <w:rPr>
          <w:rFonts w:ascii="Book Antiqua" w:eastAsia="宋体" w:hAnsi="Book Antiqua" w:cs="Times New Roman"/>
          <w:b/>
          <w:i/>
          <w:color w:val="000000"/>
          <w:sz w:val="24"/>
          <w:szCs w:val="24"/>
        </w:rPr>
        <w:t>n</w:t>
      </w:r>
      <w:r>
        <w:rPr>
          <w:rFonts w:ascii="Book Antiqua" w:eastAsia="宋体" w:hAnsi="Book Antiqua" w:cs="Times New Roman"/>
          <w:b/>
          <w:color w:val="000000"/>
          <w:sz w:val="24"/>
          <w:szCs w:val="24"/>
        </w:rPr>
        <w:t xml:space="preserve"> (%)</w:t>
      </w:r>
    </w:p>
    <w:tbl>
      <w:tblPr>
        <w:tblW w:w="4918" w:type="pct"/>
        <w:tblBorders>
          <w:top w:val="single" w:sz="4" w:space="0" w:color="auto"/>
          <w:bottom w:val="single" w:sz="4" w:space="0" w:color="auto"/>
        </w:tblBorders>
        <w:tblLook w:val="00A0" w:firstRow="1" w:lastRow="0" w:firstColumn="1" w:lastColumn="0" w:noHBand="0" w:noVBand="0"/>
      </w:tblPr>
      <w:tblGrid>
        <w:gridCol w:w="2350"/>
        <w:gridCol w:w="3194"/>
        <w:gridCol w:w="2589"/>
        <w:gridCol w:w="1666"/>
      </w:tblGrid>
      <w:tr w:rsidR="00282799" w:rsidRPr="00054B83" w:rsidTr="003148A7">
        <w:trPr>
          <w:trHeight w:val="847"/>
        </w:trPr>
        <w:tc>
          <w:tcPr>
            <w:tcW w:w="1199" w:type="pct"/>
            <w:tcBorders>
              <w:top w:val="single" w:sz="12" w:space="0" w:color="auto"/>
              <w:bottom w:val="single" w:sz="4" w:space="0" w:color="auto"/>
            </w:tcBorders>
          </w:tcPr>
          <w:p w:rsidR="00282799" w:rsidRPr="00054B83" w:rsidRDefault="00282799" w:rsidP="00010B85">
            <w:pPr>
              <w:spacing w:line="360" w:lineRule="auto"/>
              <w:rPr>
                <w:rFonts w:ascii="Book Antiqua" w:hAnsi="Book Antiqua"/>
                <w:sz w:val="24"/>
              </w:rPr>
            </w:pPr>
          </w:p>
        </w:tc>
        <w:tc>
          <w:tcPr>
            <w:tcW w:w="1630" w:type="pct"/>
            <w:tcBorders>
              <w:top w:val="single" w:sz="12" w:space="0" w:color="auto"/>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HBV+HEV group</w:t>
            </w:r>
          </w:p>
          <w:p w:rsidR="00282799" w:rsidRPr="00054B83" w:rsidRDefault="00282799" w:rsidP="00010B85">
            <w:pPr>
              <w:spacing w:line="360" w:lineRule="auto"/>
              <w:rPr>
                <w:rFonts w:ascii="Book Antiqua" w:hAnsi="Book Antiqua"/>
                <w:sz w:val="24"/>
              </w:rPr>
            </w:pPr>
            <w:r w:rsidRPr="00054B83">
              <w:rPr>
                <w:rFonts w:ascii="Book Antiqua" w:hAnsi="Book Antiqua"/>
                <w:sz w:val="24"/>
              </w:rPr>
              <w:t>(</w:t>
            </w:r>
            <w:r w:rsidRPr="00054B83">
              <w:rPr>
                <w:rFonts w:ascii="Book Antiqua" w:hAnsi="Book Antiqua"/>
                <w:i/>
                <w:sz w:val="24"/>
              </w:rPr>
              <w:t xml:space="preserve">n = </w:t>
            </w:r>
            <w:r w:rsidRPr="00054B83">
              <w:rPr>
                <w:rFonts w:ascii="Book Antiqua" w:hAnsi="Book Antiqua"/>
                <w:sz w:val="24"/>
              </w:rPr>
              <w:t>118)</w:t>
            </w:r>
          </w:p>
        </w:tc>
        <w:tc>
          <w:tcPr>
            <w:tcW w:w="1321" w:type="pct"/>
            <w:tcBorders>
              <w:top w:val="single" w:sz="12" w:space="0" w:color="auto"/>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HEV group</w:t>
            </w:r>
          </w:p>
          <w:p w:rsidR="00282799" w:rsidRPr="00054B83" w:rsidRDefault="00282799" w:rsidP="00010B85">
            <w:pPr>
              <w:spacing w:line="360" w:lineRule="auto"/>
              <w:rPr>
                <w:rFonts w:ascii="Book Antiqua" w:hAnsi="Book Antiqua"/>
                <w:sz w:val="24"/>
              </w:rPr>
            </w:pPr>
            <w:r w:rsidRPr="00054B83">
              <w:rPr>
                <w:rFonts w:ascii="Book Antiqua" w:hAnsi="Book Antiqua"/>
                <w:sz w:val="24"/>
              </w:rPr>
              <w:t>(</w:t>
            </w:r>
            <w:r w:rsidRPr="00054B83">
              <w:rPr>
                <w:rFonts w:ascii="Book Antiqua" w:hAnsi="Book Antiqua"/>
                <w:i/>
                <w:sz w:val="24"/>
              </w:rPr>
              <w:t xml:space="preserve">n = </w:t>
            </w:r>
            <w:r w:rsidRPr="00054B83">
              <w:rPr>
                <w:rFonts w:ascii="Book Antiqua" w:hAnsi="Book Antiqua"/>
                <w:sz w:val="24"/>
              </w:rPr>
              <w:t>176)</w:t>
            </w:r>
          </w:p>
        </w:tc>
        <w:tc>
          <w:tcPr>
            <w:tcW w:w="850" w:type="pct"/>
            <w:tcBorders>
              <w:top w:val="single" w:sz="12" w:space="0" w:color="auto"/>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P values</w:t>
            </w:r>
          </w:p>
        </w:tc>
      </w:tr>
      <w:tr w:rsidR="00282799" w:rsidRPr="00054B83" w:rsidTr="003148A7">
        <w:trPr>
          <w:trHeight w:val="377"/>
        </w:trPr>
        <w:tc>
          <w:tcPr>
            <w:tcW w:w="1199" w:type="pct"/>
            <w:tcBorders>
              <w:top w:val="single" w:sz="4" w:space="0" w:color="auto"/>
            </w:tcBorders>
          </w:tcPr>
          <w:p w:rsidR="00282799" w:rsidRPr="00054B83" w:rsidRDefault="00282799" w:rsidP="00347898">
            <w:pPr>
              <w:spacing w:line="360" w:lineRule="auto"/>
              <w:rPr>
                <w:rFonts w:ascii="Book Antiqua" w:hAnsi="Book Antiqua"/>
                <w:sz w:val="24"/>
              </w:rPr>
            </w:pPr>
            <w:r w:rsidRPr="00054B83">
              <w:rPr>
                <w:rFonts w:ascii="Book Antiqua" w:hAnsi="Book Antiqua"/>
                <w:sz w:val="24"/>
              </w:rPr>
              <w:t>Age (yr)</w:t>
            </w:r>
          </w:p>
        </w:tc>
        <w:tc>
          <w:tcPr>
            <w:tcW w:w="1630" w:type="pct"/>
            <w:tcBorders>
              <w:top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44.5±13.8</w:t>
            </w:r>
          </w:p>
        </w:tc>
        <w:tc>
          <w:tcPr>
            <w:tcW w:w="1321" w:type="pct"/>
            <w:tcBorders>
              <w:top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54.1±15.8</w:t>
            </w:r>
          </w:p>
        </w:tc>
        <w:tc>
          <w:tcPr>
            <w:tcW w:w="850" w:type="pct"/>
            <w:tcBorders>
              <w:top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0.000</w:t>
            </w:r>
            <w:r w:rsidRPr="00054B83">
              <w:rPr>
                <w:rFonts w:ascii="Book Antiqua" w:hAnsi="Book Antiqua"/>
                <w:sz w:val="24"/>
                <w:vertAlign w:val="superscript"/>
              </w:rPr>
              <w:t>1</w:t>
            </w:r>
          </w:p>
        </w:tc>
      </w:tr>
      <w:tr w:rsidR="00282799" w:rsidRPr="00054B83" w:rsidTr="003148A7">
        <w:trPr>
          <w:trHeight w:val="377"/>
        </w:trPr>
        <w:tc>
          <w:tcPr>
            <w:tcW w:w="1199"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Sex</w:t>
            </w:r>
          </w:p>
        </w:tc>
        <w:tc>
          <w:tcPr>
            <w:tcW w:w="1630" w:type="pct"/>
          </w:tcPr>
          <w:p w:rsidR="00282799" w:rsidRPr="00054B83" w:rsidRDefault="00282799" w:rsidP="00010B85">
            <w:pPr>
              <w:spacing w:line="360" w:lineRule="auto"/>
              <w:rPr>
                <w:rFonts w:ascii="Book Antiqua" w:hAnsi="Book Antiqua"/>
                <w:sz w:val="24"/>
              </w:rPr>
            </w:pPr>
          </w:p>
        </w:tc>
        <w:tc>
          <w:tcPr>
            <w:tcW w:w="1321" w:type="pct"/>
          </w:tcPr>
          <w:p w:rsidR="00282799" w:rsidRPr="00054B83" w:rsidRDefault="00282799" w:rsidP="00010B85">
            <w:pPr>
              <w:spacing w:line="360" w:lineRule="auto"/>
              <w:rPr>
                <w:rFonts w:ascii="Book Antiqua" w:hAnsi="Book Antiqua"/>
                <w:sz w:val="24"/>
              </w:rPr>
            </w:pP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0.000</w:t>
            </w:r>
            <w:r w:rsidRPr="00054B83">
              <w:rPr>
                <w:rFonts w:ascii="Book Antiqua" w:hAnsi="Book Antiqua"/>
                <w:sz w:val="24"/>
                <w:vertAlign w:val="superscript"/>
              </w:rPr>
              <w:t>1</w:t>
            </w:r>
          </w:p>
        </w:tc>
      </w:tr>
      <w:tr w:rsidR="00282799" w:rsidRPr="00054B83" w:rsidTr="003148A7">
        <w:trPr>
          <w:trHeight w:val="377"/>
        </w:trPr>
        <w:tc>
          <w:tcPr>
            <w:tcW w:w="1199"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 Male </w:t>
            </w:r>
          </w:p>
        </w:tc>
        <w:tc>
          <w:tcPr>
            <w:tcW w:w="1630"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109 (92.4) </w:t>
            </w:r>
          </w:p>
        </w:tc>
        <w:tc>
          <w:tcPr>
            <w:tcW w:w="1321"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140 (79.5)</w:t>
            </w:r>
          </w:p>
        </w:tc>
        <w:tc>
          <w:tcPr>
            <w:tcW w:w="850" w:type="pct"/>
          </w:tcPr>
          <w:p w:rsidR="00282799" w:rsidRPr="00054B83" w:rsidRDefault="00282799" w:rsidP="00010B85">
            <w:pPr>
              <w:spacing w:line="360" w:lineRule="auto"/>
              <w:rPr>
                <w:rFonts w:ascii="Book Antiqua" w:hAnsi="Book Antiqua"/>
                <w:sz w:val="24"/>
              </w:rPr>
            </w:pPr>
          </w:p>
        </w:tc>
      </w:tr>
      <w:tr w:rsidR="00282799" w:rsidRPr="00054B83" w:rsidTr="003148A7">
        <w:trPr>
          <w:trHeight w:val="377"/>
        </w:trPr>
        <w:tc>
          <w:tcPr>
            <w:tcW w:w="1199"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 Female </w:t>
            </w:r>
          </w:p>
        </w:tc>
        <w:tc>
          <w:tcPr>
            <w:tcW w:w="1630"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9 (7.6)</w:t>
            </w:r>
          </w:p>
        </w:tc>
        <w:tc>
          <w:tcPr>
            <w:tcW w:w="1321"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36 (20.5)</w:t>
            </w:r>
          </w:p>
        </w:tc>
        <w:tc>
          <w:tcPr>
            <w:tcW w:w="850" w:type="pct"/>
          </w:tcPr>
          <w:p w:rsidR="00282799" w:rsidRPr="00054B83" w:rsidRDefault="00282799" w:rsidP="00010B85">
            <w:pPr>
              <w:spacing w:line="360" w:lineRule="auto"/>
              <w:rPr>
                <w:rFonts w:ascii="Book Antiqua" w:hAnsi="Book Antiqua"/>
                <w:sz w:val="24"/>
              </w:rPr>
            </w:pPr>
          </w:p>
        </w:tc>
      </w:tr>
      <w:tr w:rsidR="00282799" w:rsidRPr="00054B83" w:rsidTr="003148A7">
        <w:trPr>
          <w:trHeight w:val="377"/>
        </w:trPr>
        <w:tc>
          <w:tcPr>
            <w:tcW w:w="1199"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ALT (U/L)</w:t>
            </w:r>
          </w:p>
        </w:tc>
        <w:tc>
          <w:tcPr>
            <w:tcW w:w="163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266.0±227.3</w:t>
            </w:r>
          </w:p>
        </w:tc>
        <w:tc>
          <w:tcPr>
            <w:tcW w:w="1321"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262.9±212.9</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0.905</w:t>
            </w:r>
          </w:p>
        </w:tc>
      </w:tr>
      <w:tr w:rsidR="00282799" w:rsidRPr="00054B83" w:rsidTr="003148A7">
        <w:trPr>
          <w:trHeight w:val="377"/>
        </w:trPr>
        <w:tc>
          <w:tcPr>
            <w:tcW w:w="1199"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AST (U/L)</w:t>
            </w:r>
          </w:p>
        </w:tc>
        <w:tc>
          <w:tcPr>
            <w:tcW w:w="163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228.9±207.1</w:t>
            </w:r>
          </w:p>
        </w:tc>
        <w:tc>
          <w:tcPr>
            <w:tcW w:w="1321"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228.4±213.1</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0.986</w:t>
            </w:r>
          </w:p>
        </w:tc>
      </w:tr>
      <w:tr w:rsidR="00282799" w:rsidRPr="00054B83" w:rsidTr="003148A7">
        <w:trPr>
          <w:trHeight w:val="377"/>
        </w:trPr>
        <w:tc>
          <w:tcPr>
            <w:tcW w:w="1199"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PT (s)</w:t>
            </w:r>
          </w:p>
        </w:tc>
        <w:tc>
          <w:tcPr>
            <w:tcW w:w="163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22.1±11.3</w:t>
            </w:r>
          </w:p>
        </w:tc>
        <w:tc>
          <w:tcPr>
            <w:tcW w:w="1321"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16.8±7.9</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0.000</w:t>
            </w:r>
            <w:r w:rsidRPr="00054B83">
              <w:rPr>
                <w:rFonts w:ascii="Book Antiqua" w:hAnsi="Book Antiqua"/>
                <w:sz w:val="24"/>
                <w:vertAlign w:val="superscript"/>
              </w:rPr>
              <w:t>1</w:t>
            </w:r>
          </w:p>
        </w:tc>
      </w:tr>
      <w:tr w:rsidR="00282799" w:rsidRPr="00054B83" w:rsidTr="003148A7">
        <w:trPr>
          <w:trHeight w:val="377"/>
        </w:trPr>
        <w:tc>
          <w:tcPr>
            <w:tcW w:w="1199" w:type="pct"/>
          </w:tcPr>
          <w:p w:rsidR="00282799" w:rsidRPr="00054B83" w:rsidRDefault="00282799" w:rsidP="00D4394B">
            <w:pPr>
              <w:spacing w:line="360" w:lineRule="auto"/>
              <w:rPr>
                <w:rFonts w:ascii="Book Antiqua" w:hAnsi="Book Antiqua"/>
                <w:sz w:val="24"/>
              </w:rPr>
            </w:pPr>
            <w:r w:rsidRPr="00054B83">
              <w:rPr>
                <w:rFonts w:ascii="Book Antiqua" w:hAnsi="Book Antiqua"/>
                <w:sz w:val="24"/>
              </w:rPr>
              <w:t>PTA</w:t>
            </w:r>
          </w:p>
        </w:tc>
        <w:tc>
          <w:tcPr>
            <w:tcW w:w="163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57.3%±26.6%</w:t>
            </w:r>
          </w:p>
        </w:tc>
        <w:tc>
          <w:tcPr>
            <w:tcW w:w="1321"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77.2%±24.9%</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0.000</w:t>
            </w:r>
            <w:r w:rsidRPr="00054B83">
              <w:rPr>
                <w:rFonts w:ascii="Book Antiqua" w:hAnsi="Book Antiqua"/>
                <w:sz w:val="24"/>
                <w:vertAlign w:val="superscript"/>
              </w:rPr>
              <w:t>1</w:t>
            </w:r>
          </w:p>
        </w:tc>
      </w:tr>
      <w:tr w:rsidR="00282799" w:rsidRPr="00054B83" w:rsidTr="003148A7">
        <w:trPr>
          <w:trHeight w:val="362"/>
        </w:trPr>
        <w:tc>
          <w:tcPr>
            <w:tcW w:w="1199"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TBil (μmol/L)</w:t>
            </w:r>
          </w:p>
        </w:tc>
        <w:tc>
          <w:tcPr>
            <w:tcW w:w="163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334.7±228.0</w:t>
            </w:r>
          </w:p>
        </w:tc>
        <w:tc>
          <w:tcPr>
            <w:tcW w:w="1321"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277.5±217.4</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0.031</w:t>
            </w:r>
            <w:r w:rsidRPr="00054B83">
              <w:rPr>
                <w:rFonts w:ascii="Book Antiqua" w:hAnsi="Book Antiqua"/>
                <w:sz w:val="24"/>
                <w:vertAlign w:val="superscript"/>
              </w:rPr>
              <w:t>1</w:t>
            </w:r>
          </w:p>
        </w:tc>
      </w:tr>
      <w:tr w:rsidR="00282799" w:rsidRPr="00054B83" w:rsidTr="003148A7">
        <w:trPr>
          <w:trHeight w:val="377"/>
        </w:trPr>
        <w:tc>
          <w:tcPr>
            <w:tcW w:w="1199"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MELD score</w:t>
            </w:r>
          </w:p>
        </w:tc>
        <w:tc>
          <w:tcPr>
            <w:tcW w:w="163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20.0±9.7</w:t>
            </w:r>
          </w:p>
        </w:tc>
        <w:tc>
          <w:tcPr>
            <w:tcW w:w="1321"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15.1±8.6</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0.000</w:t>
            </w:r>
            <w:r w:rsidRPr="00054B83">
              <w:rPr>
                <w:rFonts w:ascii="Book Antiqua" w:hAnsi="Book Antiqua"/>
                <w:sz w:val="24"/>
                <w:vertAlign w:val="superscript"/>
              </w:rPr>
              <w:t>1</w:t>
            </w:r>
          </w:p>
        </w:tc>
      </w:tr>
      <w:tr w:rsidR="00282799" w:rsidRPr="00054B83" w:rsidTr="003148A7">
        <w:trPr>
          <w:trHeight w:val="377"/>
        </w:trPr>
        <w:tc>
          <w:tcPr>
            <w:tcW w:w="1199" w:type="pct"/>
          </w:tcPr>
          <w:p w:rsidR="00282799" w:rsidRPr="00054B83" w:rsidRDefault="00282799" w:rsidP="00D4394B">
            <w:pPr>
              <w:spacing w:line="360" w:lineRule="auto"/>
              <w:rPr>
                <w:rFonts w:ascii="Book Antiqua" w:hAnsi="Book Antiqua"/>
                <w:sz w:val="24"/>
              </w:rPr>
            </w:pPr>
            <w:r w:rsidRPr="00054B83">
              <w:rPr>
                <w:rFonts w:ascii="Book Antiqua" w:hAnsi="Book Antiqua"/>
                <w:sz w:val="24"/>
              </w:rPr>
              <w:t>Complications</w:t>
            </w:r>
          </w:p>
        </w:tc>
        <w:tc>
          <w:tcPr>
            <w:tcW w:w="1630"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47 (39.8) </w:t>
            </w:r>
          </w:p>
        </w:tc>
        <w:tc>
          <w:tcPr>
            <w:tcW w:w="1321"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29 (16.5)</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0.000</w:t>
            </w:r>
            <w:r w:rsidRPr="00054B83">
              <w:rPr>
                <w:rFonts w:ascii="Book Antiqua" w:hAnsi="Book Antiqua"/>
                <w:sz w:val="24"/>
                <w:vertAlign w:val="superscript"/>
              </w:rPr>
              <w:t>1</w:t>
            </w:r>
          </w:p>
        </w:tc>
      </w:tr>
      <w:tr w:rsidR="00282799" w:rsidRPr="00054B83" w:rsidTr="003148A7">
        <w:trPr>
          <w:trHeight w:val="377"/>
        </w:trPr>
        <w:tc>
          <w:tcPr>
            <w:tcW w:w="1199" w:type="pct"/>
          </w:tcPr>
          <w:p w:rsidR="00282799" w:rsidRPr="00054B83" w:rsidRDefault="00282799" w:rsidP="00D4394B">
            <w:pPr>
              <w:spacing w:line="360" w:lineRule="auto"/>
              <w:rPr>
                <w:rFonts w:ascii="Book Antiqua" w:hAnsi="Book Antiqua"/>
                <w:sz w:val="24"/>
              </w:rPr>
            </w:pPr>
            <w:r w:rsidRPr="00054B83">
              <w:rPr>
                <w:rFonts w:ascii="Book Antiqua" w:hAnsi="Book Antiqua"/>
                <w:sz w:val="24"/>
              </w:rPr>
              <w:t xml:space="preserve">Liver failure </w:t>
            </w:r>
          </w:p>
        </w:tc>
        <w:tc>
          <w:tcPr>
            <w:tcW w:w="1630"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42 (35.6) </w:t>
            </w:r>
          </w:p>
        </w:tc>
        <w:tc>
          <w:tcPr>
            <w:tcW w:w="1321" w:type="pct"/>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15 (8.5) </w:t>
            </w:r>
          </w:p>
        </w:tc>
        <w:tc>
          <w:tcPr>
            <w:tcW w:w="85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0.000</w:t>
            </w:r>
            <w:r w:rsidRPr="00054B83">
              <w:rPr>
                <w:rFonts w:ascii="Book Antiqua" w:hAnsi="Book Antiqua"/>
                <w:sz w:val="24"/>
                <w:vertAlign w:val="superscript"/>
              </w:rPr>
              <w:t>1</w:t>
            </w:r>
          </w:p>
        </w:tc>
      </w:tr>
      <w:tr w:rsidR="00282799" w:rsidRPr="00054B83" w:rsidTr="003148A7">
        <w:trPr>
          <w:trHeight w:val="377"/>
        </w:trPr>
        <w:tc>
          <w:tcPr>
            <w:tcW w:w="1199" w:type="pct"/>
            <w:tcBorders>
              <w:bottom w:val="single" w:sz="4" w:space="0" w:color="auto"/>
            </w:tcBorders>
          </w:tcPr>
          <w:p w:rsidR="00282799" w:rsidRPr="00054B83" w:rsidRDefault="00282799" w:rsidP="00D4394B">
            <w:pPr>
              <w:spacing w:line="360" w:lineRule="auto"/>
              <w:rPr>
                <w:rFonts w:ascii="Book Antiqua" w:hAnsi="Book Antiqua"/>
                <w:sz w:val="24"/>
              </w:rPr>
            </w:pPr>
            <w:r w:rsidRPr="00054B83">
              <w:rPr>
                <w:rFonts w:ascii="Book Antiqua" w:hAnsi="Book Antiqua"/>
                <w:sz w:val="24"/>
              </w:rPr>
              <w:t xml:space="preserve">Death </w:t>
            </w:r>
          </w:p>
        </w:tc>
        <w:tc>
          <w:tcPr>
            <w:tcW w:w="1630" w:type="pct"/>
            <w:tcBorders>
              <w:bottom w:val="single" w:sz="4" w:space="0" w:color="auto"/>
            </w:tcBorders>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24 (20.3) </w:t>
            </w:r>
          </w:p>
        </w:tc>
        <w:tc>
          <w:tcPr>
            <w:tcW w:w="1321" w:type="pct"/>
            <w:tcBorders>
              <w:bottom w:val="single" w:sz="4" w:space="0" w:color="auto"/>
            </w:tcBorders>
          </w:tcPr>
          <w:p w:rsidR="00282799" w:rsidRPr="00054B83" w:rsidRDefault="00282799" w:rsidP="009B4905">
            <w:pPr>
              <w:spacing w:line="360" w:lineRule="auto"/>
              <w:rPr>
                <w:rFonts w:ascii="Book Antiqua" w:hAnsi="Book Antiqua"/>
                <w:sz w:val="24"/>
              </w:rPr>
            </w:pPr>
            <w:r w:rsidRPr="00054B83">
              <w:rPr>
                <w:rFonts w:ascii="Book Antiqua" w:hAnsi="Book Antiqua"/>
                <w:sz w:val="24"/>
              </w:rPr>
              <w:t xml:space="preserve">13 (7.4) </w:t>
            </w:r>
          </w:p>
        </w:tc>
        <w:tc>
          <w:tcPr>
            <w:tcW w:w="850" w:type="pct"/>
            <w:tcBorders>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0.002</w:t>
            </w:r>
            <w:r w:rsidRPr="00054B83">
              <w:rPr>
                <w:rFonts w:ascii="Book Antiqua" w:hAnsi="Book Antiqua"/>
                <w:sz w:val="24"/>
                <w:vertAlign w:val="superscript"/>
              </w:rPr>
              <w:t>1</w:t>
            </w:r>
          </w:p>
        </w:tc>
      </w:tr>
    </w:tbl>
    <w:p w:rsidR="00282799" w:rsidRPr="00010B85" w:rsidRDefault="00282799" w:rsidP="00010B85">
      <w:pPr>
        <w:spacing w:line="360" w:lineRule="auto"/>
        <w:rPr>
          <w:rFonts w:ascii="Book Antiqua" w:hAnsi="Book Antiqua"/>
          <w:sz w:val="24"/>
        </w:rPr>
      </w:pPr>
      <w:r w:rsidRPr="009B4905">
        <w:rPr>
          <w:rFonts w:ascii="Book Antiqua" w:hAnsi="Book Antiqua"/>
          <w:sz w:val="24"/>
          <w:vertAlign w:val="superscript"/>
        </w:rPr>
        <w:t>1</w:t>
      </w:r>
      <w:r w:rsidRPr="00010B85">
        <w:rPr>
          <w:rFonts w:ascii="Book Antiqua" w:hAnsi="Book Antiqua"/>
          <w:sz w:val="24"/>
        </w:rPr>
        <w:t xml:space="preserve">Denotes significant </w:t>
      </w:r>
      <w:r w:rsidRPr="00704FE2">
        <w:rPr>
          <w:rFonts w:ascii="Book Antiqua" w:hAnsi="Book Antiqua"/>
          <w:i/>
          <w:sz w:val="24"/>
        </w:rPr>
        <w:t>P</w:t>
      </w:r>
      <w:r w:rsidRPr="00010B85">
        <w:rPr>
          <w:rFonts w:ascii="Book Antiqua" w:hAnsi="Book Antiqua"/>
          <w:sz w:val="24"/>
        </w:rPr>
        <w:t xml:space="preserve"> value. HBV</w:t>
      </w:r>
      <w:r>
        <w:rPr>
          <w:rFonts w:ascii="Book Antiqua" w:hAnsi="Book Antiqua"/>
          <w:sz w:val="24"/>
        </w:rPr>
        <w:t>:</w:t>
      </w:r>
      <w:r w:rsidRPr="00010B85">
        <w:rPr>
          <w:rFonts w:ascii="Book Antiqua" w:hAnsi="Book Antiqua"/>
          <w:sz w:val="24"/>
        </w:rPr>
        <w:t xml:space="preserve"> Hepatitis B virus; HEV</w:t>
      </w:r>
      <w:r>
        <w:rPr>
          <w:rFonts w:ascii="Book Antiqua" w:hAnsi="Book Antiqua"/>
          <w:sz w:val="24"/>
        </w:rPr>
        <w:t>:</w:t>
      </w:r>
      <w:r w:rsidRPr="00010B85">
        <w:rPr>
          <w:rFonts w:ascii="Book Antiqua" w:hAnsi="Book Antiqua"/>
          <w:sz w:val="24"/>
        </w:rPr>
        <w:t xml:space="preserve"> </w:t>
      </w:r>
      <w:r w:rsidRPr="009B4905">
        <w:rPr>
          <w:rFonts w:ascii="Book Antiqua" w:hAnsi="Book Antiqua"/>
          <w:sz w:val="24"/>
        </w:rPr>
        <w:t>Hepatitis B virus</w:t>
      </w:r>
      <w:r w:rsidRPr="00010B85">
        <w:rPr>
          <w:rFonts w:ascii="Book Antiqua" w:hAnsi="Book Antiqua"/>
          <w:sz w:val="24"/>
        </w:rPr>
        <w:t>; ALT</w:t>
      </w:r>
      <w:r>
        <w:rPr>
          <w:rFonts w:ascii="Book Antiqua" w:hAnsi="Book Antiqua"/>
          <w:sz w:val="24"/>
        </w:rPr>
        <w:t>:</w:t>
      </w:r>
      <w:r w:rsidRPr="00010B85">
        <w:rPr>
          <w:rFonts w:ascii="Book Antiqua" w:hAnsi="Book Antiqua"/>
          <w:sz w:val="24"/>
        </w:rPr>
        <w:t xml:space="preserve"> Alanine aminotransferase; AST</w:t>
      </w:r>
      <w:r>
        <w:rPr>
          <w:rFonts w:ascii="Book Antiqua" w:hAnsi="Book Antiqua"/>
          <w:sz w:val="24"/>
        </w:rPr>
        <w:t>:</w:t>
      </w:r>
      <w:r w:rsidRPr="00010B85">
        <w:rPr>
          <w:rFonts w:ascii="Book Antiqua" w:hAnsi="Book Antiqua"/>
          <w:sz w:val="24"/>
        </w:rPr>
        <w:t xml:space="preserve"> Aspartate aminotransferase; PT</w:t>
      </w:r>
      <w:r>
        <w:rPr>
          <w:rFonts w:ascii="Book Antiqua" w:hAnsi="Book Antiqua"/>
          <w:sz w:val="24"/>
        </w:rPr>
        <w:t>:</w:t>
      </w:r>
      <w:r w:rsidRPr="00010B85">
        <w:rPr>
          <w:rFonts w:ascii="Book Antiqua" w:hAnsi="Book Antiqua"/>
          <w:sz w:val="24"/>
        </w:rPr>
        <w:t xml:space="preserve"> Prothrombin time; PTA</w:t>
      </w:r>
      <w:r>
        <w:rPr>
          <w:rFonts w:ascii="Book Antiqua" w:hAnsi="Book Antiqua"/>
          <w:sz w:val="24"/>
        </w:rPr>
        <w:t>:</w:t>
      </w:r>
      <w:r w:rsidRPr="00010B85">
        <w:rPr>
          <w:rFonts w:ascii="Book Antiqua" w:hAnsi="Book Antiqua"/>
          <w:sz w:val="24"/>
        </w:rPr>
        <w:t xml:space="preserve"> Prothrombin activity; TBil</w:t>
      </w:r>
      <w:r>
        <w:rPr>
          <w:rFonts w:ascii="Book Antiqua" w:hAnsi="Book Antiqua"/>
          <w:sz w:val="24"/>
        </w:rPr>
        <w:t>:</w:t>
      </w:r>
      <w:r w:rsidRPr="00010B85">
        <w:rPr>
          <w:rFonts w:ascii="Book Antiqua" w:hAnsi="Book Antiqua"/>
          <w:sz w:val="24"/>
        </w:rPr>
        <w:t xml:space="preserve"> Serum total bilirubin; MELD score</w:t>
      </w:r>
      <w:r>
        <w:rPr>
          <w:rFonts w:ascii="Book Antiqua" w:hAnsi="Book Antiqua"/>
          <w:sz w:val="24"/>
        </w:rPr>
        <w:t>:</w:t>
      </w:r>
      <w:r w:rsidRPr="00010B85">
        <w:rPr>
          <w:rFonts w:ascii="Book Antiqua" w:hAnsi="Book Antiqua"/>
          <w:sz w:val="24"/>
        </w:rPr>
        <w:t xml:space="preserve"> Model for End-Stage Liver Disease score.</w:t>
      </w:r>
    </w:p>
    <w:p w:rsidR="00282799" w:rsidRPr="00010B85" w:rsidRDefault="00282799" w:rsidP="00010B85">
      <w:pPr>
        <w:spacing w:line="360" w:lineRule="auto"/>
        <w:rPr>
          <w:rFonts w:ascii="Book Antiqua" w:hAnsi="Book Antiqua"/>
          <w:sz w:val="24"/>
        </w:rPr>
      </w:pPr>
    </w:p>
    <w:p w:rsidR="00282799" w:rsidRPr="004F42B8" w:rsidRDefault="00282799" w:rsidP="00010B85">
      <w:pPr>
        <w:pageBreakBefore/>
        <w:spacing w:line="360" w:lineRule="auto"/>
        <w:rPr>
          <w:rFonts w:ascii="Book Antiqua" w:hAnsi="Book Antiqua"/>
          <w:b/>
          <w:color w:val="000000"/>
          <w:sz w:val="24"/>
        </w:rPr>
      </w:pPr>
      <w:r w:rsidRPr="004F42B8">
        <w:rPr>
          <w:rFonts w:ascii="Book Antiqua" w:hAnsi="Book Antiqua"/>
          <w:b/>
          <w:color w:val="000000"/>
          <w:sz w:val="24"/>
        </w:rPr>
        <w:lastRenderedPageBreak/>
        <w:t xml:space="preserve">Table </w:t>
      </w:r>
      <w:r w:rsidRPr="004F42B8">
        <w:rPr>
          <w:rFonts w:ascii="Book Antiqua" w:hAnsi="Book Antiqua"/>
          <w:b/>
          <w:color w:val="000000"/>
          <w:sz w:val="24"/>
        </w:rPr>
        <w:fldChar w:fldCharType="begin"/>
      </w:r>
      <w:r w:rsidRPr="004F42B8">
        <w:rPr>
          <w:rFonts w:ascii="Book Antiqua" w:hAnsi="Book Antiqua"/>
          <w:b/>
          <w:color w:val="000000"/>
          <w:sz w:val="24"/>
        </w:rPr>
        <w:instrText xml:space="preserve"> SEQ </w:instrText>
      </w:r>
      <w:r w:rsidRPr="004F42B8">
        <w:rPr>
          <w:rFonts w:ascii="Book Antiqua" w:hAnsi="Book Antiqua" w:hint="eastAsia"/>
          <w:b/>
          <w:color w:val="000000"/>
          <w:sz w:val="24"/>
        </w:rPr>
        <w:instrText>表格</w:instrText>
      </w:r>
      <w:r w:rsidRPr="004F42B8">
        <w:rPr>
          <w:rFonts w:ascii="Book Antiqua" w:hAnsi="Book Antiqua"/>
          <w:b/>
          <w:color w:val="000000"/>
          <w:sz w:val="24"/>
        </w:rPr>
        <w:instrText xml:space="preserve"> \* ARABIC </w:instrText>
      </w:r>
      <w:r w:rsidRPr="004F42B8">
        <w:rPr>
          <w:rFonts w:ascii="Book Antiqua" w:hAnsi="Book Antiqua"/>
          <w:b/>
          <w:color w:val="000000"/>
          <w:sz w:val="24"/>
        </w:rPr>
        <w:fldChar w:fldCharType="separate"/>
      </w:r>
      <w:r w:rsidRPr="004F42B8">
        <w:rPr>
          <w:rFonts w:ascii="Book Antiqua" w:hAnsi="Book Antiqua"/>
          <w:b/>
          <w:color w:val="000000"/>
          <w:sz w:val="24"/>
        </w:rPr>
        <w:t>2</w:t>
      </w:r>
      <w:r w:rsidRPr="004F42B8">
        <w:rPr>
          <w:rFonts w:ascii="Book Antiqua" w:hAnsi="Book Antiqua"/>
          <w:b/>
          <w:color w:val="000000"/>
          <w:sz w:val="24"/>
        </w:rPr>
        <w:fldChar w:fldCharType="end"/>
      </w:r>
      <w:r w:rsidRPr="004F42B8">
        <w:rPr>
          <w:rFonts w:ascii="Book Antiqua" w:hAnsi="Book Antiqua"/>
          <w:b/>
          <w:color w:val="000000"/>
          <w:sz w:val="24"/>
        </w:rPr>
        <w:t xml:space="preserve"> Influence of chronic </w:t>
      </w:r>
      <w:r w:rsidRPr="004F42B8">
        <w:rPr>
          <w:rFonts w:ascii="Book Antiqua" w:hAnsi="Book Antiqua"/>
          <w:b/>
          <w:sz w:val="24"/>
        </w:rPr>
        <w:t>hepatitis B virus</w:t>
      </w:r>
      <w:r w:rsidRPr="004F42B8">
        <w:rPr>
          <w:rFonts w:ascii="Book Antiqua" w:hAnsi="Book Antiqua"/>
          <w:b/>
          <w:color w:val="000000"/>
          <w:sz w:val="24"/>
        </w:rPr>
        <w:t xml:space="preserve"> infection on acute hepatitis E</w:t>
      </w:r>
      <w:r>
        <w:rPr>
          <w:rFonts w:ascii="Book Antiqua" w:hAnsi="Book Antiqua"/>
          <w:b/>
          <w:color w:val="000000"/>
          <w:sz w:val="24"/>
        </w:rPr>
        <w:t xml:space="preserve"> </w:t>
      </w:r>
      <w:r w:rsidRPr="009B4905">
        <w:rPr>
          <w:rFonts w:ascii="Book Antiqua" w:hAnsi="Book Antiqua"/>
          <w:b/>
          <w:i/>
          <w:color w:val="000000"/>
          <w:sz w:val="24"/>
        </w:rPr>
        <w:t>n</w:t>
      </w:r>
      <w:r>
        <w:rPr>
          <w:rFonts w:ascii="Book Antiqua" w:hAnsi="Book Antiqua"/>
          <w:b/>
          <w:color w:val="000000"/>
          <w:sz w:val="24"/>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583"/>
        <w:gridCol w:w="970"/>
        <w:gridCol w:w="1076"/>
        <w:gridCol w:w="747"/>
        <w:gridCol w:w="1076"/>
        <w:gridCol w:w="970"/>
        <w:gridCol w:w="747"/>
        <w:gridCol w:w="1076"/>
        <w:gridCol w:w="970"/>
        <w:gridCol w:w="747"/>
      </w:tblGrid>
      <w:tr w:rsidR="00282799" w:rsidRPr="00054B83" w:rsidTr="003148A7">
        <w:tc>
          <w:tcPr>
            <w:tcW w:w="1526" w:type="dxa"/>
            <w:vMerge w:val="restart"/>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p>
        </w:tc>
        <w:tc>
          <w:tcPr>
            <w:tcW w:w="8436" w:type="dxa"/>
            <w:gridSpan w:val="9"/>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HBV+HEV group</w:t>
            </w:r>
          </w:p>
        </w:tc>
      </w:tr>
      <w:tr w:rsidR="00282799" w:rsidRPr="00054B83" w:rsidTr="003148A7">
        <w:tc>
          <w:tcPr>
            <w:tcW w:w="1526" w:type="dxa"/>
            <w:vMerge/>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p>
        </w:tc>
        <w:tc>
          <w:tcPr>
            <w:tcW w:w="2710" w:type="dxa"/>
            <w:gridSpan w:val="3"/>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Status of HBeAg</w:t>
            </w:r>
          </w:p>
        </w:tc>
        <w:tc>
          <w:tcPr>
            <w:tcW w:w="0" w:type="auto"/>
            <w:gridSpan w:val="3"/>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 xml:space="preserve">Status of HBV-DNA </w:t>
            </w:r>
          </w:p>
        </w:tc>
        <w:tc>
          <w:tcPr>
            <w:tcW w:w="0" w:type="auto"/>
            <w:gridSpan w:val="3"/>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Status of cirrhosis</w:t>
            </w:r>
          </w:p>
        </w:tc>
      </w:tr>
      <w:tr w:rsidR="00282799" w:rsidRPr="00054B83" w:rsidTr="003148A7">
        <w:tc>
          <w:tcPr>
            <w:tcW w:w="1526" w:type="dxa"/>
            <w:vMerge/>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p>
        </w:tc>
        <w:tc>
          <w:tcPr>
            <w:tcW w:w="924" w:type="dxa"/>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p>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r w:rsidRPr="00054B83">
              <w:rPr>
                <w:rFonts w:ascii="Book Antiqua" w:hAnsi="Book Antiqua"/>
                <w:b/>
                <w:i/>
                <w:sz w:val="24"/>
              </w:rPr>
              <w:t xml:space="preserve">n = </w:t>
            </w:r>
            <w:r w:rsidRPr="00054B83">
              <w:rPr>
                <w:rFonts w:ascii="Book Antiqua" w:hAnsi="Book Antiqua"/>
                <w:b/>
                <w:sz w:val="24"/>
              </w:rPr>
              <w:t>20)</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p>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r w:rsidRPr="00054B83">
              <w:rPr>
                <w:rFonts w:ascii="Book Antiqua" w:hAnsi="Book Antiqua"/>
                <w:b/>
                <w:i/>
                <w:sz w:val="24"/>
              </w:rPr>
              <w:t xml:space="preserve">n = </w:t>
            </w:r>
            <w:r w:rsidRPr="00054B83">
              <w:rPr>
                <w:rFonts w:ascii="Book Antiqua" w:hAnsi="Book Antiqua"/>
                <w:b/>
                <w:sz w:val="24"/>
              </w:rPr>
              <w:t>98)</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i/>
                <w:sz w:val="24"/>
              </w:rPr>
              <w:t>P</w:t>
            </w:r>
            <w:r w:rsidRPr="00054B83">
              <w:rPr>
                <w:rFonts w:ascii="Book Antiqua" w:hAnsi="Book Antiqua"/>
                <w:b/>
                <w:sz w:val="24"/>
              </w:rPr>
              <w:t xml:space="preserve"> value</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p>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r w:rsidRPr="00054B83">
              <w:rPr>
                <w:rFonts w:ascii="Book Antiqua" w:hAnsi="Book Antiqua"/>
                <w:b/>
                <w:i/>
                <w:sz w:val="24"/>
              </w:rPr>
              <w:t xml:space="preserve">n = </w:t>
            </w:r>
            <w:r w:rsidRPr="00054B83">
              <w:rPr>
                <w:rFonts w:ascii="Book Antiqua" w:hAnsi="Book Antiqua"/>
                <w:b/>
                <w:sz w:val="24"/>
              </w:rPr>
              <w:t>65)</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p>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r w:rsidRPr="00054B83">
              <w:rPr>
                <w:rFonts w:ascii="Book Antiqua" w:hAnsi="Book Antiqua"/>
                <w:b/>
                <w:i/>
                <w:sz w:val="24"/>
              </w:rPr>
              <w:t xml:space="preserve">n = </w:t>
            </w:r>
            <w:r w:rsidRPr="00054B83">
              <w:rPr>
                <w:rFonts w:ascii="Book Antiqua" w:hAnsi="Book Antiqua"/>
                <w:b/>
                <w:sz w:val="24"/>
              </w:rPr>
              <w:t>53)</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i/>
                <w:sz w:val="24"/>
              </w:rPr>
              <w:t>P</w:t>
            </w:r>
            <w:r w:rsidRPr="00054B83">
              <w:rPr>
                <w:rFonts w:ascii="Book Antiqua" w:hAnsi="Book Antiqua"/>
                <w:b/>
                <w:sz w:val="24"/>
              </w:rPr>
              <w:t xml:space="preserve"> value</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p>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r w:rsidRPr="00054B83">
              <w:rPr>
                <w:rFonts w:ascii="Book Antiqua" w:hAnsi="Book Antiqua"/>
                <w:b/>
                <w:i/>
                <w:sz w:val="24"/>
              </w:rPr>
              <w:t xml:space="preserve">n = </w:t>
            </w:r>
            <w:r w:rsidRPr="00054B83">
              <w:rPr>
                <w:rFonts w:ascii="Book Antiqua" w:hAnsi="Book Antiqua"/>
                <w:b/>
                <w:sz w:val="24"/>
              </w:rPr>
              <w:t>17)</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p>
          <w:p w:rsidR="00282799" w:rsidRPr="00054B83" w:rsidRDefault="00282799" w:rsidP="00010B85">
            <w:pPr>
              <w:spacing w:line="360" w:lineRule="auto"/>
              <w:rPr>
                <w:rFonts w:ascii="Book Antiqua" w:hAnsi="Book Antiqua"/>
                <w:b/>
                <w:sz w:val="24"/>
              </w:rPr>
            </w:pPr>
            <w:r w:rsidRPr="00054B83">
              <w:rPr>
                <w:rFonts w:ascii="Book Antiqua" w:hAnsi="Book Antiqua"/>
                <w:b/>
                <w:sz w:val="24"/>
              </w:rPr>
              <w:t>(</w:t>
            </w:r>
            <w:r w:rsidRPr="00054B83">
              <w:rPr>
                <w:rFonts w:ascii="Book Antiqua" w:hAnsi="Book Antiqua"/>
                <w:b/>
                <w:i/>
                <w:sz w:val="24"/>
              </w:rPr>
              <w:t xml:space="preserve">n = </w:t>
            </w:r>
            <w:r w:rsidRPr="00054B83">
              <w:rPr>
                <w:rFonts w:ascii="Book Antiqua" w:hAnsi="Book Antiqua"/>
                <w:b/>
                <w:sz w:val="24"/>
              </w:rPr>
              <w:t>101)</w:t>
            </w:r>
          </w:p>
        </w:tc>
        <w:tc>
          <w:tcPr>
            <w:tcW w:w="0" w:type="auto"/>
            <w:tcBorders>
              <w:top w:val="single" w:sz="4" w:space="0" w:color="auto"/>
              <w:bottom w:val="single" w:sz="4" w:space="0" w:color="auto"/>
            </w:tcBorders>
          </w:tcPr>
          <w:p w:rsidR="00282799" w:rsidRPr="00054B83" w:rsidRDefault="00282799" w:rsidP="00010B85">
            <w:pPr>
              <w:spacing w:line="360" w:lineRule="auto"/>
              <w:rPr>
                <w:rFonts w:ascii="Book Antiqua" w:hAnsi="Book Antiqua"/>
                <w:b/>
                <w:sz w:val="24"/>
              </w:rPr>
            </w:pPr>
            <w:r w:rsidRPr="00054B83">
              <w:rPr>
                <w:rFonts w:ascii="Book Antiqua" w:hAnsi="Book Antiqua"/>
                <w:b/>
                <w:i/>
                <w:sz w:val="24"/>
              </w:rPr>
              <w:t xml:space="preserve">P </w:t>
            </w:r>
            <w:r w:rsidRPr="00054B83">
              <w:rPr>
                <w:rFonts w:ascii="Book Antiqua" w:hAnsi="Book Antiqua"/>
                <w:b/>
                <w:sz w:val="24"/>
              </w:rPr>
              <w:t>value</w:t>
            </w:r>
          </w:p>
        </w:tc>
      </w:tr>
      <w:tr w:rsidR="00282799" w:rsidRPr="00054B83" w:rsidTr="003148A7">
        <w:tc>
          <w:tcPr>
            <w:tcW w:w="1526" w:type="dxa"/>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MELD score</w:t>
            </w:r>
          </w:p>
        </w:tc>
        <w:tc>
          <w:tcPr>
            <w:tcW w:w="924" w:type="dxa"/>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17.0±7.0</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20.6±10.1</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0.131</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21.5±10.6</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18.3±8.3</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0.074</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24.7±12.2</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19.2±9.1</w:t>
            </w:r>
          </w:p>
        </w:tc>
        <w:tc>
          <w:tcPr>
            <w:tcW w:w="0" w:type="auto"/>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0.03</w:t>
            </w:r>
            <w:r w:rsidRPr="00054B83">
              <w:rPr>
                <w:rFonts w:ascii="Book Antiqua" w:hAnsi="Book Antiqua"/>
                <w:sz w:val="24"/>
                <w:vertAlign w:val="superscript"/>
              </w:rPr>
              <w:t>1</w:t>
            </w:r>
          </w:p>
        </w:tc>
      </w:tr>
      <w:tr w:rsidR="00282799" w:rsidRPr="00054B83" w:rsidTr="003148A7">
        <w:tc>
          <w:tcPr>
            <w:tcW w:w="1526" w:type="dxa"/>
            <w:tcBorders>
              <w:top w:val="nil"/>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Liver failure </w:t>
            </w:r>
          </w:p>
        </w:tc>
        <w:tc>
          <w:tcPr>
            <w:tcW w:w="924" w:type="dxa"/>
            <w:tcBorders>
              <w:top w:val="nil"/>
            </w:tcBorders>
          </w:tcPr>
          <w:p w:rsidR="00282799" w:rsidRPr="00054B83" w:rsidRDefault="00282799" w:rsidP="006D6BC3">
            <w:pPr>
              <w:spacing w:line="360" w:lineRule="auto"/>
              <w:rPr>
                <w:rFonts w:ascii="Book Antiqua" w:hAnsi="Book Antiqua"/>
                <w:sz w:val="24"/>
              </w:rPr>
            </w:pPr>
            <w:r w:rsidRPr="00054B83">
              <w:rPr>
                <w:rFonts w:ascii="Book Antiqua" w:hAnsi="Book Antiqua"/>
                <w:sz w:val="24"/>
              </w:rPr>
              <w:t xml:space="preserve">5 (25) </w:t>
            </w:r>
          </w:p>
        </w:tc>
        <w:tc>
          <w:tcPr>
            <w:tcW w:w="0" w:type="auto"/>
            <w:tcBorders>
              <w:top w:val="nil"/>
            </w:tcBorders>
          </w:tcPr>
          <w:p w:rsidR="00282799" w:rsidRPr="00054B83" w:rsidRDefault="00282799" w:rsidP="006D6BC3">
            <w:pPr>
              <w:spacing w:line="360" w:lineRule="auto"/>
              <w:rPr>
                <w:rFonts w:ascii="Book Antiqua" w:hAnsi="Book Antiqua"/>
                <w:sz w:val="24"/>
              </w:rPr>
            </w:pPr>
            <w:r w:rsidRPr="00054B83">
              <w:rPr>
                <w:rFonts w:ascii="Book Antiqua" w:hAnsi="Book Antiqua"/>
                <w:sz w:val="24"/>
              </w:rPr>
              <w:t xml:space="preserve">37 (37.8) </w:t>
            </w:r>
          </w:p>
        </w:tc>
        <w:tc>
          <w:tcPr>
            <w:tcW w:w="0" w:type="auto"/>
            <w:tcBorders>
              <w:top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0.317</w:t>
            </w:r>
          </w:p>
        </w:tc>
        <w:tc>
          <w:tcPr>
            <w:tcW w:w="0" w:type="auto"/>
            <w:tcBorders>
              <w:top w:val="nil"/>
            </w:tcBorders>
          </w:tcPr>
          <w:p w:rsidR="00282799" w:rsidRPr="00054B83" w:rsidRDefault="00282799" w:rsidP="006D781D">
            <w:pPr>
              <w:spacing w:line="360" w:lineRule="auto"/>
              <w:rPr>
                <w:rFonts w:ascii="Book Antiqua" w:hAnsi="Book Antiqua"/>
                <w:sz w:val="24"/>
              </w:rPr>
            </w:pPr>
            <w:r w:rsidRPr="00054B83">
              <w:rPr>
                <w:rFonts w:ascii="Book Antiqua" w:hAnsi="Book Antiqua"/>
                <w:sz w:val="24"/>
              </w:rPr>
              <w:t xml:space="preserve">25 (38.5) </w:t>
            </w:r>
          </w:p>
        </w:tc>
        <w:tc>
          <w:tcPr>
            <w:tcW w:w="0" w:type="auto"/>
            <w:tcBorders>
              <w:top w:val="nil"/>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17 (32.1) </w:t>
            </w:r>
          </w:p>
        </w:tc>
        <w:tc>
          <w:tcPr>
            <w:tcW w:w="0" w:type="auto"/>
            <w:tcBorders>
              <w:top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0.563</w:t>
            </w:r>
          </w:p>
        </w:tc>
        <w:tc>
          <w:tcPr>
            <w:tcW w:w="0" w:type="auto"/>
            <w:tcBorders>
              <w:top w:val="nil"/>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11 (64.7) </w:t>
            </w:r>
          </w:p>
        </w:tc>
        <w:tc>
          <w:tcPr>
            <w:tcW w:w="0" w:type="auto"/>
            <w:tcBorders>
              <w:top w:val="nil"/>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31 (30.7) </w:t>
            </w:r>
          </w:p>
        </w:tc>
        <w:tc>
          <w:tcPr>
            <w:tcW w:w="0" w:type="auto"/>
            <w:tcBorders>
              <w:top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0.01</w:t>
            </w:r>
            <w:r w:rsidRPr="00054B83">
              <w:rPr>
                <w:rFonts w:ascii="Book Antiqua" w:hAnsi="Book Antiqua"/>
                <w:sz w:val="24"/>
                <w:vertAlign w:val="superscript"/>
              </w:rPr>
              <w:t>1</w:t>
            </w:r>
          </w:p>
        </w:tc>
      </w:tr>
      <w:tr w:rsidR="00282799" w:rsidRPr="00054B83" w:rsidTr="003148A7">
        <w:tc>
          <w:tcPr>
            <w:tcW w:w="1526" w:type="dxa"/>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Complications </w:t>
            </w:r>
          </w:p>
        </w:tc>
        <w:tc>
          <w:tcPr>
            <w:tcW w:w="924" w:type="dxa"/>
          </w:tcPr>
          <w:p w:rsidR="00282799" w:rsidRPr="00054B83" w:rsidRDefault="00282799" w:rsidP="006D6BC3">
            <w:pPr>
              <w:spacing w:line="360" w:lineRule="auto"/>
              <w:rPr>
                <w:rFonts w:ascii="Book Antiqua" w:hAnsi="Book Antiqua"/>
                <w:sz w:val="24"/>
              </w:rPr>
            </w:pPr>
            <w:r w:rsidRPr="00054B83">
              <w:rPr>
                <w:rFonts w:ascii="Book Antiqua" w:hAnsi="Book Antiqua"/>
                <w:sz w:val="24"/>
              </w:rPr>
              <w:t xml:space="preserve">7 (35) </w:t>
            </w:r>
          </w:p>
        </w:tc>
        <w:tc>
          <w:tcPr>
            <w:tcW w:w="0" w:type="auto"/>
          </w:tcPr>
          <w:p w:rsidR="00282799" w:rsidRPr="00054B83" w:rsidRDefault="00282799" w:rsidP="006D6BC3">
            <w:pPr>
              <w:spacing w:line="360" w:lineRule="auto"/>
              <w:rPr>
                <w:rFonts w:ascii="Book Antiqua" w:hAnsi="Book Antiqua"/>
                <w:sz w:val="24"/>
              </w:rPr>
            </w:pPr>
            <w:r w:rsidRPr="00054B83">
              <w:rPr>
                <w:rFonts w:ascii="Book Antiqua" w:hAnsi="Book Antiqua"/>
                <w:sz w:val="24"/>
              </w:rPr>
              <w:t xml:space="preserve">40 (40.8) </w:t>
            </w:r>
          </w:p>
        </w:tc>
        <w:tc>
          <w:tcPr>
            <w:tcW w:w="0" w:type="auto"/>
          </w:tcPr>
          <w:p w:rsidR="00282799" w:rsidRPr="00054B83" w:rsidRDefault="00282799" w:rsidP="00010B85">
            <w:pPr>
              <w:spacing w:line="360" w:lineRule="auto"/>
              <w:rPr>
                <w:rFonts w:ascii="Book Antiqua" w:hAnsi="Book Antiqua"/>
                <w:sz w:val="24"/>
              </w:rPr>
            </w:pPr>
            <w:r w:rsidRPr="00054B83">
              <w:rPr>
                <w:rFonts w:ascii="Book Antiqua" w:hAnsi="Book Antiqua"/>
                <w:sz w:val="24"/>
              </w:rPr>
              <w:t>0.803</w:t>
            </w:r>
          </w:p>
        </w:tc>
        <w:tc>
          <w:tcPr>
            <w:tcW w:w="0" w:type="auto"/>
          </w:tcPr>
          <w:p w:rsidR="00282799" w:rsidRPr="00054B83" w:rsidRDefault="00282799" w:rsidP="006D781D">
            <w:pPr>
              <w:spacing w:line="360" w:lineRule="auto"/>
              <w:rPr>
                <w:rFonts w:ascii="Book Antiqua" w:hAnsi="Book Antiqua"/>
                <w:sz w:val="24"/>
              </w:rPr>
            </w:pPr>
            <w:r w:rsidRPr="00054B83">
              <w:rPr>
                <w:rFonts w:ascii="Book Antiqua" w:hAnsi="Book Antiqua"/>
                <w:sz w:val="24"/>
              </w:rPr>
              <w:t xml:space="preserve">25 (38.5) </w:t>
            </w:r>
          </w:p>
        </w:tc>
        <w:tc>
          <w:tcPr>
            <w:tcW w:w="0" w:type="auto"/>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22 (41.5) </w:t>
            </w:r>
          </w:p>
        </w:tc>
        <w:tc>
          <w:tcPr>
            <w:tcW w:w="0" w:type="auto"/>
          </w:tcPr>
          <w:p w:rsidR="00282799" w:rsidRPr="00054B83" w:rsidRDefault="00282799" w:rsidP="00010B85">
            <w:pPr>
              <w:spacing w:line="360" w:lineRule="auto"/>
              <w:rPr>
                <w:rFonts w:ascii="Book Antiqua" w:hAnsi="Book Antiqua"/>
                <w:sz w:val="24"/>
              </w:rPr>
            </w:pPr>
            <w:r w:rsidRPr="00054B83">
              <w:rPr>
                <w:rFonts w:ascii="Book Antiqua" w:hAnsi="Book Antiqua"/>
                <w:sz w:val="24"/>
              </w:rPr>
              <w:t>0.850</w:t>
            </w:r>
          </w:p>
        </w:tc>
        <w:tc>
          <w:tcPr>
            <w:tcW w:w="0" w:type="auto"/>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16 (94.1) </w:t>
            </w:r>
          </w:p>
        </w:tc>
        <w:tc>
          <w:tcPr>
            <w:tcW w:w="0" w:type="auto"/>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31 (30.7) </w:t>
            </w:r>
          </w:p>
        </w:tc>
        <w:tc>
          <w:tcPr>
            <w:tcW w:w="0" w:type="auto"/>
          </w:tcPr>
          <w:p w:rsidR="00282799" w:rsidRPr="00054B83" w:rsidRDefault="00282799" w:rsidP="00010B85">
            <w:pPr>
              <w:spacing w:line="360" w:lineRule="auto"/>
              <w:rPr>
                <w:rFonts w:ascii="Book Antiqua" w:hAnsi="Book Antiqua"/>
                <w:sz w:val="24"/>
              </w:rPr>
            </w:pPr>
            <w:r w:rsidRPr="00054B83">
              <w:rPr>
                <w:rFonts w:ascii="Book Antiqua" w:hAnsi="Book Antiqua"/>
                <w:sz w:val="24"/>
              </w:rPr>
              <w:t>0.00</w:t>
            </w:r>
            <w:r w:rsidRPr="00054B83">
              <w:rPr>
                <w:rFonts w:ascii="Book Antiqua" w:hAnsi="Book Antiqua"/>
                <w:sz w:val="24"/>
                <w:vertAlign w:val="superscript"/>
              </w:rPr>
              <w:t>1</w:t>
            </w:r>
          </w:p>
        </w:tc>
      </w:tr>
      <w:tr w:rsidR="00282799" w:rsidRPr="00054B83" w:rsidTr="003148A7">
        <w:tc>
          <w:tcPr>
            <w:tcW w:w="1526" w:type="dxa"/>
            <w:tcBorders>
              <w:bottom w:val="single" w:sz="4" w:space="0" w:color="auto"/>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Death </w:t>
            </w:r>
          </w:p>
        </w:tc>
        <w:tc>
          <w:tcPr>
            <w:tcW w:w="924" w:type="dxa"/>
            <w:tcBorders>
              <w:bottom w:val="single" w:sz="4" w:space="0" w:color="auto"/>
            </w:tcBorders>
          </w:tcPr>
          <w:p w:rsidR="00282799" w:rsidRPr="00054B83" w:rsidRDefault="00282799" w:rsidP="006D6BC3">
            <w:pPr>
              <w:spacing w:line="360" w:lineRule="auto"/>
              <w:rPr>
                <w:rFonts w:ascii="Book Antiqua" w:hAnsi="Book Antiqua"/>
                <w:sz w:val="24"/>
              </w:rPr>
            </w:pPr>
            <w:r w:rsidRPr="00054B83">
              <w:rPr>
                <w:rFonts w:ascii="Book Antiqua" w:hAnsi="Book Antiqua"/>
                <w:sz w:val="24"/>
              </w:rPr>
              <w:t xml:space="preserve">2 (10) </w:t>
            </w:r>
          </w:p>
        </w:tc>
        <w:tc>
          <w:tcPr>
            <w:tcW w:w="0" w:type="auto"/>
            <w:tcBorders>
              <w:bottom w:val="single" w:sz="4" w:space="0" w:color="auto"/>
            </w:tcBorders>
          </w:tcPr>
          <w:p w:rsidR="00282799" w:rsidRPr="00054B83" w:rsidRDefault="00282799" w:rsidP="006D6BC3">
            <w:pPr>
              <w:spacing w:line="360" w:lineRule="auto"/>
              <w:rPr>
                <w:rFonts w:ascii="Book Antiqua" w:hAnsi="Book Antiqua"/>
                <w:sz w:val="24"/>
              </w:rPr>
            </w:pPr>
            <w:r w:rsidRPr="00054B83">
              <w:rPr>
                <w:rFonts w:ascii="Book Antiqua" w:hAnsi="Book Antiqua"/>
                <w:sz w:val="24"/>
              </w:rPr>
              <w:t xml:space="preserve">22 (22.4) </w:t>
            </w:r>
          </w:p>
        </w:tc>
        <w:tc>
          <w:tcPr>
            <w:tcW w:w="0" w:type="auto"/>
            <w:tcBorders>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0.359</w:t>
            </w:r>
          </w:p>
        </w:tc>
        <w:tc>
          <w:tcPr>
            <w:tcW w:w="0" w:type="auto"/>
            <w:tcBorders>
              <w:bottom w:val="single" w:sz="4" w:space="0" w:color="auto"/>
            </w:tcBorders>
          </w:tcPr>
          <w:p w:rsidR="00282799" w:rsidRPr="00054B83" w:rsidRDefault="00282799" w:rsidP="006D781D">
            <w:pPr>
              <w:spacing w:line="360" w:lineRule="auto"/>
              <w:rPr>
                <w:rFonts w:ascii="Book Antiqua" w:hAnsi="Book Antiqua"/>
                <w:sz w:val="24"/>
              </w:rPr>
            </w:pPr>
            <w:r w:rsidRPr="00054B83">
              <w:rPr>
                <w:rFonts w:ascii="Book Antiqua" w:hAnsi="Book Antiqua"/>
                <w:sz w:val="24"/>
              </w:rPr>
              <w:t xml:space="preserve">14 (21.5) </w:t>
            </w:r>
          </w:p>
        </w:tc>
        <w:tc>
          <w:tcPr>
            <w:tcW w:w="0" w:type="auto"/>
            <w:tcBorders>
              <w:bottom w:val="single" w:sz="4" w:space="0" w:color="auto"/>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10 (19.9) </w:t>
            </w:r>
          </w:p>
        </w:tc>
        <w:tc>
          <w:tcPr>
            <w:tcW w:w="0" w:type="auto"/>
            <w:tcBorders>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0.820</w:t>
            </w:r>
          </w:p>
        </w:tc>
        <w:tc>
          <w:tcPr>
            <w:tcW w:w="0" w:type="auto"/>
            <w:tcBorders>
              <w:bottom w:val="single" w:sz="4" w:space="0" w:color="auto"/>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4 (23.5) </w:t>
            </w:r>
          </w:p>
        </w:tc>
        <w:tc>
          <w:tcPr>
            <w:tcW w:w="0" w:type="auto"/>
            <w:tcBorders>
              <w:bottom w:val="single" w:sz="4" w:space="0" w:color="auto"/>
            </w:tcBorders>
          </w:tcPr>
          <w:p w:rsidR="00282799" w:rsidRPr="00054B83" w:rsidRDefault="00282799" w:rsidP="007B6CF4">
            <w:pPr>
              <w:spacing w:line="360" w:lineRule="auto"/>
              <w:rPr>
                <w:rFonts w:ascii="Book Antiqua" w:hAnsi="Book Antiqua"/>
                <w:sz w:val="24"/>
              </w:rPr>
            </w:pPr>
            <w:r w:rsidRPr="00054B83">
              <w:rPr>
                <w:rFonts w:ascii="Book Antiqua" w:hAnsi="Book Antiqua"/>
                <w:sz w:val="24"/>
              </w:rPr>
              <w:t xml:space="preserve">20 (19.8) </w:t>
            </w:r>
          </w:p>
        </w:tc>
        <w:tc>
          <w:tcPr>
            <w:tcW w:w="0" w:type="auto"/>
            <w:tcBorders>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0.748</w:t>
            </w:r>
          </w:p>
        </w:tc>
      </w:tr>
    </w:tbl>
    <w:p w:rsidR="00282799" w:rsidRPr="00010B85" w:rsidRDefault="00282799" w:rsidP="00010B85">
      <w:pPr>
        <w:spacing w:line="360" w:lineRule="auto"/>
        <w:rPr>
          <w:rFonts w:ascii="Book Antiqua" w:hAnsi="Book Antiqua"/>
          <w:sz w:val="24"/>
        </w:rPr>
      </w:pPr>
      <w:r w:rsidRPr="009B4905">
        <w:rPr>
          <w:rFonts w:ascii="Book Antiqua" w:hAnsi="Book Antiqua"/>
          <w:sz w:val="24"/>
          <w:vertAlign w:val="superscript"/>
        </w:rPr>
        <w:t>1</w:t>
      </w:r>
      <w:r w:rsidRPr="00010B85">
        <w:rPr>
          <w:rFonts w:ascii="Book Antiqua" w:hAnsi="Book Antiqua"/>
          <w:sz w:val="24"/>
        </w:rPr>
        <w:t xml:space="preserve">Denotes significant </w:t>
      </w:r>
      <w:r w:rsidRPr="00704FE2">
        <w:rPr>
          <w:rFonts w:ascii="Book Antiqua" w:hAnsi="Book Antiqua"/>
          <w:i/>
          <w:sz w:val="24"/>
        </w:rPr>
        <w:t>P</w:t>
      </w:r>
      <w:r w:rsidRPr="00010B85">
        <w:rPr>
          <w:rFonts w:ascii="Book Antiqua" w:hAnsi="Book Antiqua"/>
          <w:sz w:val="24"/>
        </w:rPr>
        <w:t xml:space="preserve"> value. HBV</w:t>
      </w:r>
      <w:r>
        <w:rPr>
          <w:rFonts w:ascii="Book Antiqua" w:hAnsi="Book Antiqua"/>
          <w:sz w:val="24"/>
        </w:rPr>
        <w:t>:</w:t>
      </w:r>
      <w:r w:rsidRPr="00010B85">
        <w:rPr>
          <w:rFonts w:ascii="Book Antiqua" w:hAnsi="Book Antiqua"/>
          <w:sz w:val="24"/>
        </w:rPr>
        <w:t xml:space="preserve"> </w:t>
      </w:r>
      <w:bookmarkStart w:id="36" w:name="OLE_LINK179"/>
      <w:bookmarkStart w:id="37" w:name="OLE_LINK181"/>
      <w:r w:rsidRPr="00010B85">
        <w:rPr>
          <w:rFonts w:ascii="Book Antiqua" w:hAnsi="Book Antiqua"/>
          <w:sz w:val="24"/>
        </w:rPr>
        <w:t>Hepatitis B virus</w:t>
      </w:r>
      <w:bookmarkEnd w:id="36"/>
      <w:bookmarkEnd w:id="37"/>
      <w:r w:rsidRPr="00010B85">
        <w:rPr>
          <w:rFonts w:ascii="Book Antiqua" w:hAnsi="Book Antiqua"/>
          <w:sz w:val="24"/>
        </w:rPr>
        <w:t>; HEV</w:t>
      </w:r>
      <w:r>
        <w:rPr>
          <w:rFonts w:ascii="Book Antiqua" w:hAnsi="Book Antiqua"/>
          <w:sz w:val="24"/>
        </w:rPr>
        <w:t xml:space="preserve">: </w:t>
      </w:r>
      <w:r w:rsidRPr="00010B85">
        <w:rPr>
          <w:rFonts w:ascii="Book Antiqua" w:hAnsi="Book Antiqua"/>
          <w:sz w:val="24"/>
        </w:rPr>
        <w:t>Hepatitis E virus; HBeAg</w:t>
      </w:r>
      <w:r>
        <w:rPr>
          <w:rFonts w:ascii="Book Antiqua" w:hAnsi="Book Antiqua"/>
          <w:sz w:val="24"/>
        </w:rPr>
        <w:t xml:space="preserve">: </w:t>
      </w:r>
      <w:r w:rsidRPr="00010B85">
        <w:rPr>
          <w:rFonts w:ascii="Book Antiqua" w:hAnsi="Book Antiqua"/>
          <w:sz w:val="24"/>
        </w:rPr>
        <w:t>Hepatitis B e antigen; MELD score</w:t>
      </w:r>
      <w:r>
        <w:rPr>
          <w:rFonts w:ascii="Book Antiqua" w:hAnsi="Book Antiqua"/>
          <w:sz w:val="24"/>
        </w:rPr>
        <w:t>:</w:t>
      </w:r>
      <w:r w:rsidRPr="00010B85">
        <w:rPr>
          <w:rFonts w:ascii="Book Antiqua" w:hAnsi="Book Antiqua"/>
          <w:sz w:val="24"/>
        </w:rPr>
        <w:t xml:space="preserve"> Model for End-Stage Liver Disease score.</w:t>
      </w:r>
    </w:p>
    <w:p w:rsidR="00282799" w:rsidRPr="00010B85" w:rsidRDefault="00282799" w:rsidP="00010B85">
      <w:pPr>
        <w:spacing w:line="360" w:lineRule="auto"/>
        <w:ind w:left="360" w:hangingChars="150" w:hanging="360"/>
        <w:rPr>
          <w:rFonts w:ascii="Book Antiqua" w:hAnsi="Book Antiqua"/>
          <w:sz w:val="24"/>
        </w:rPr>
      </w:pPr>
    </w:p>
    <w:p w:rsidR="00282799" w:rsidRPr="00010B85" w:rsidRDefault="00282799" w:rsidP="00010B85">
      <w:pPr>
        <w:spacing w:line="360" w:lineRule="auto"/>
        <w:rPr>
          <w:rFonts w:ascii="Book Antiqua" w:hAnsi="Book Antiqua"/>
          <w:sz w:val="24"/>
        </w:rPr>
      </w:pPr>
    </w:p>
    <w:p w:rsidR="00282799" w:rsidRPr="00341B59" w:rsidRDefault="00282799" w:rsidP="00010B85">
      <w:pPr>
        <w:pageBreakBefore/>
        <w:spacing w:line="360" w:lineRule="auto"/>
        <w:ind w:rightChars="56" w:right="118"/>
        <w:rPr>
          <w:rFonts w:ascii="Book Antiqua" w:hAnsi="Book Antiqua"/>
          <w:b/>
          <w:color w:val="000000"/>
          <w:sz w:val="24"/>
        </w:rPr>
      </w:pPr>
      <w:r w:rsidRPr="00341B59">
        <w:rPr>
          <w:rFonts w:ascii="Book Antiqua" w:hAnsi="Book Antiqua"/>
          <w:b/>
          <w:color w:val="000000"/>
          <w:sz w:val="24"/>
        </w:rPr>
        <w:lastRenderedPageBreak/>
        <w:t xml:space="preserve">Table </w:t>
      </w:r>
      <w:r w:rsidRPr="00341B59">
        <w:rPr>
          <w:rFonts w:ascii="Book Antiqua" w:hAnsi="Book Antiqua"/>
          <w:b/>
          <w:color w:val="000000"/>
          <w:sz w:val="24"/>
        </w:rPr>
        <w:fldChar w:fldCharType="begin"/>
      </w:r>
      <w:r w:rsidRPr="00341B59">
        <w:rPr>
          <w:rFonts w:ascii="Book Antiqua" w:hAnsi="Book Antiqua"/>
          <w:b/>
          <w:color w:val="000000"/>
          <w:sz w:val="24"/>
        </w:rPr>
        <w:instrText xml:space="preserve"> SEQ </w:instrText>
      </w:r>
      <w:r w:rsidRPr="00341B59">
        <w:rPr>
          <w:rFonts w:ascii="Book Antiqua" w:hAnsi="Book Antiqua" w:hint="eastAsia"/>
          <w:b/>
          <w:color w:val="000000"/>
          <w:sz w:val="24"/>
        </w:rPr>
        <w:instrText>表格</w:instrText>
      </w:r>
      <w:r w:rsidRPr="00341B59">
        <w:rPr>
          <w:rFonts w:ascii="Book Antiqua" w:hAnsi="Book Antiqua"/>
          <w:b/>
          <w:color w:val="000000"/>
          <w:sz w:val="24"/>
        </w:rPr>
        <w:instrText xml:space="preserve"> \* ARABIC </w:instrText>
      </w:r>
      <w:r w:rsidRPr="00341B59">
        <w:rPr>
          <w:rFonts w:ascii="Book Antiqua" w:hAnsi="Book Antiqua"/>
          <w:b/>
          <w:color w:val="000000"/>
          <w:sz w:val="24"/>
        </w:rPr>
        <w:fldChar w:fldCharType="separate"/>
      </w:r>
      <w:r w:rsidRPr="00341B59">
        <w:rPr>
          <w:rFonts w:ascii="Book Antiqua" w:hAnsi="Book Antiqua"/>
          <w:b/>
          <w:color w:val="000000"/>
          <w:sz w:val="24"/>
        </w:rPr>
        <w:t>3</w:t>
      </w:r>
      <w:r w:rsidRPr="00341B59">
        <w:rPr>
          <w:rFonts w:ascii="Book Antiqua" w:hAnsi="Book Antiqua"/>
          <w:b/>
          <w:color w:val="000000"/>
          <w:sz w:val="24"/>
        </w:rPr>
        <w:fldChar w:fldCharType="end"/>
      </w:r>
      <w:r w:rsidRPr="00341B59">
        <w:rPr>
          <w:rFonts w:ascii="Book Antiqua" w:hAnsi="Book Antiqua"/>
          <w:b/>
          <w:color w:val="000000"/>
          <w:sz w:val="24"/>
        </w:rPr>
        <w:t xml:space="preserve"> Anti-hepatitis B virus treatment in patients with liver failure in the </w:t>
      </w:r>
      <w:r w:rsidRPr="00341B59">
        <w:rPr>
          <w:rFonts w:ascii="Book Antiqua" w:hAnsi="Book Antiqua"/>
          <w:b/>
          <w:sz w:val="24"/>
        </w:rPr>
        <w:t>hepatitis B virus</w:t>
      </w:r>
      <w:r w:rsidRPr="00341B59">
        <w:rPr>
          <w:rFonts w:ascii="Book Antiqua" w:hAnsi="Book Antiqua"/>
          <w:b/>
          <w:color w:val="000000"/>
          <w:sz w:val="24"/>
        </w:rPr>
        <w:t xml:space="preserve"> +</w:t>
      </w:r>
      <w:r w:rsidRPr="00341B59">
        <w:rPr>
          <w:rFonts w:ascii="Book Antiqua" w:hAnsi="Book Antiqua"/>
          <w:b/>
          <w:sz w:val="24"/>
        </w:rPr>
        <w:t xml:space="preserve"> hepatitis E virus</w:t>
      </w:r>
      <w:r w:rsidRPr="00341B59">
        <w:rPr>
          <w:rFonts w:ascii="Book Antiqua" w:hAnsi="Book Antiqua"/>
          <w:b/>
          <w:color w:val="000000"/>
          <w:sz w:val="24"/>
        </w:rPr>
        <w:t xml:space="preserve"> group </w:t>
      </w:r>
      <w:r w:rsidRPr="00341B59">
        <w:rPr>
          <w:rFonts w:ascii="Book Antiqua" w:hAnsi="Book Antiqua"/>
          <w:b/>
          <w:i/>
          <w:color w:val="000000"/>
          <w:sz w:val="24"/>
        </w:rPr>
        <w:t>n</w:t>
      </w:r>
      <w:r w:rsidRPr="00341B59">
        <w:rPr>
          <w:rFonts w:ascii="Book Antiqua" w:hAnsi="Book Antiqua"/>
          <w:b/>
          <w:color w:val="000000"/>
          <w:sz w:val="24"/>
        </w:rPr>
        <w:t xml:space="preserve"> (%)</w:t>
      </w:r>
    </w:p>
    <w:tbl>
      <w:tblPr>
        <w:tblW w:w="5000" w:type="pct"/>
        <w:tblBorders>
          <w:top w:val="single" w:sz="4" w:space="0" w:color="auto"/>
          <w:bottom w:val="single" w:sz="4" w:space="0" w:color="auto"/>
        </w:tblBorders>
        <w:tblLook w:val="00A0" w:firstRow="1" w:lastRow="0" w:firstColumn="1" w:lastColumn="0" w:noHBand="0" w:noVBand="0"/>
      </w:tblPr>
      <w:tblGrid>
        <w:gridCol w:w="1669"/>
        <w:gridCol w:w="3684"/>
        <w:gridCol w:w="3726"/>
        <w:gridCol w:w="883"/>
      </w:tblGrid>
      <w:tr w:rsidR="00282799" w:rsidRPr="00054B83" w:rsidTr="00662EED">
        <w:tc>
          <w:tcPr>
            <w:tcW w:w="838" w:type="pct"/>
            <w:tcBorders>
              <w:top w:val="single" w:sz="4" w:space="0" w:color="auto"/>
              <w:bottom w:val="single" w:sz="4" w:space="0" w:color="auto"/>
            </w:tcBorders>
          </w:tcPr>
          <w:p w:rsidR="00282799" w:rsidRPr="00054B83" w:rsidRDefault="00282799" w:rsidP="00010B85">
            <w:pPr>
              <w:spacing w:line="360" w:lineRule="auto"/>
              <w:rPr>
                <w:rFonts w:ascii="Book Antiqua" w:hAnsi="Book Antiqua"/>
                <w:sz w:val="24"/>
              </w:rPr>
            </w:pPr>
          </w:p>
        </w:tc>
        <w:tc>
          <w:tcPr>
            <w:tcW w:w="1849" w:type="pct"/>
            <w:tcBorders>
              <w:top w:val="single" w:sz="4" w:space="0" w:color="auto"/>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 xml:space="preserve">Patients receiving anti-HBV treatment </w:t>
            </w:r>
          </w:p>
          <w:p w:rsidR="00282799" w:rsidRPr="00054B83" w:rsidRDefault="00282799" w:rsidP="00010B85">
            <w:pPr>
              <w:spacing w:line="360" w:lineRule="auto"/>
              <w:rPr>
                <w:rFonts w:ascii="Book Antiqua" w:hAnsi="Book Antiqua"/>
                <w:sz w:val="24"/>
              </w:rPr>
            </w:pPr>
            <w:r w:rsidRPr="00054B83">
              <w:rPr>
                <w:rFonts w:ascii="Book Antiqua" w:hAnsi="Book Antiqua"/>
                <w:sz w:val="24"/>
              </w:rPr>
              <w:t>(</w:t>
            </w:r>
            <w:r w:rsidRPr="00054B83">
              <w:rPr>
                <w:rFonts w:ascii="Book Antiqua" w:hAnsi="Book Antiqua"/>
                <w:i/>
                <w:sz w:val="24"/>
              </w:rPr>
              <w:t xml:space="preserve">n = </w:t>
            </w:r>
            <w:r w:rsidRPr="00054B83">
              <w:rPr>
                <w:rFonts w:ascii="Book Antiqua" w:hAnsi="Book Antiqua"/>
                <w:sz w:val="24"/>
              </w:rPr>
              <w:t>12)</w:t>
            </w:r>
          </w:p>
        </w:tc>
        <w:tc>
          <w:tcPr>
            <w:tcW w:w="1870" w:type="pct"/>
            <w:tcBorders>
              <w:top w:val="single" w:sz="4" w:space="0" w:color="auto"/>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Patients not receiving anti-HBV treatment</w:t>
            </w:r>
          </w:p>
          <w:p w:rsidR="00282799" w:rsidRPr="00054B83" w:rsidRDefault="00282799" w:rsidP="00010B85">
            <w:pPr>
              <w:spacing w:line="360" w:lineRule="auto"/>
              <w:rPr>
                <w:rFonts w:ascii="Book Antiqua" w:hAnsi="Book Antiqua"/>
                <w:sz w:val="24"/>
              </w:rPr>
            </w:pPr>
            <w:r w:rsidRPr="00054B83">
              <w:rPr>
                <w:rFonts w:ascii="Book Antiqua" w:hAnsi="Book Antiqua"/>
                <w:sz w:val="24"/>
              </w:rPr>
              <w:t>(</w:t>
            </w:r>
            <w:r w:rsidRPr="00054B83">
              <w:rPr>
                <w:rFonts w:ascii="Book Antiqua" w:hAnsi="Book Antiqua"/>
                <w:i/>
                <w:sz w:val="24"/>
              </w:rPr>
              <w:t xml:space="preserve">n = </w:t>
            </w:r>
            <w:r w:rsidRPr="00054B83">
              <w:rPr>
                <w:rFonts w:ascii="Book Antiqua" w:hAnsi="Book Antiqua"/>
                <w:sz w:val="24"/>
              </w:rPr>
              <w:t>30)</w:t>
            </w:r>
          </w:p>
        </w:tc>
        <w:tc>
          <w:tcPr>
            <w:tcW w:w="443" w:type="pct"/>
            <w:tcBorders>
              <w:top w:val="single" w:sz="4" w:space="0" w:color="auto"/>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i/>
                <w:sz w:val="24"/>
              </w:rPr>
              <w:t>P</w:t>
            </w:r>
            <w:r w:rsidRPr="00054B83">
              <w:rPr>
                <w:rFonts w:ascii="Book Antiqua" w:hAnsi="Book Antiqua"/>
                <w:sz w:val="24"/>
              </w:rPr>
              <w:t xml:space="preserve"> value</w:t>
            </w:r>
          </w:p>
        </w:tc>
      </w:tr>
      <w:tr w:rsidR="00282799" w:rsidRPr="00054B83" w:rsidTr="00662EED">
        <w:tc>
          <w:tcPr>
            <w:tcW w:w="838" w:type="pct"/>
            <w:tcBorders>
              <w:top w:val="single" w:sz="4" w:space="0" w:color="auto"/>
              <w:bottom w:val="nil"/>
            </w:tcBorders>
          </w:tcPr>
          <w:p w:rsidR="00282799" w:rsidRPr="002F7AB5" w:rsidRDefault="00282799" w:rsidP="00010B85">
            <w:pPr>
              <w:spacing w:line="360" w:lineRule="auto"/>
              <w:rPr>
                <w:rFonts w:ascii="Book Antiqua" w:hAnsi="Book Antiqua"/>
                <w:sz w:val="24"/>
                <w:lang w:val="es-ES"/>
              </w:rPr>
            </w:pPr>
            <w:r w:rsidRPr="002F7AB5">
              <w:rPr>
                <w:rFonts w:ascii="Book Antiqua" w:hAnsi="Book Antiqua"/>
                <w:sz w:val="24"/>
                <w:lang w:val="es-ES"/>
              </w:rPr>
              <w:t xml:space="preserve">HBV-DNA         (log </w:t>
            </w:r>
            <w:r w:rsidRPr="002F7AB5">
              <w:rPr>
                <w:rFonts w:ascii="Book Antiqua" w:hAnsi="Book Antiqua"/>
                <w:sz w:val="24"/>
                <w:vertAlign w:val="subscript"/>
                <w:lang w:val="es-ES"/>
              </w:rPr>
              <w:t>10</w:t>
            </w:r>
            <w:r w:rsidRPr="002F7AB5">
              <w:rPr>
                <w:rFonts w:ascii="Book Antiqua" w:hAnsi="Book Antiqua"/>
                <w:sz w:val="24"/>
                <w:lang w:val="es-ES"/>
              </w:rPr>
              <w:t xml:space="preserve"> copies/mL)</w:t>
            </w:r>
          </w:p>
        </w:tc>
        <w:tc>
          <w:tcPr>
            <w:tcW w:w="1849" w:type="pct"/>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4.99e7±9.82e7</w:t>
            </w:r>
          </w:p>
        </w:tc>
        <w:tc>
          <w:tcPr>
            <w:tcW w:w="1870" w:type="pct"/>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2.35e8 ±9.20e8</w:t>
            </w:r>
          </w:p>
        </w:tc>
        <w:tc>
          <w:tcPr>
            <w:tcW w:w="443" w:type="pct"/>
            <w:tcBorders>
              <w:top w:val="single" w:sz="4" w:space="0" w:color="auto"/>
              <w:bottom w:val="nil"/>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0.495</w:t>
            </w:r>
          </w:p>
        </w:tc>
      </w:tr>
      <w:tr w:rsidR="00282799" w:rsidRPr="00054B83" w:rsidTr="00662EED">
        <w:tc>
          <w:tcPr>
            <w:tcW w:w="838"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MELD score</w:t>
            </w:r>
          </w:p>
        </w:tc>
        <w:tc>
          <w:tcPr>
            <w:tcW w:w="1849"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 xml:space="preserve">33.2±9.4 </w:t>
            </w:r>
          </w:p>
        </w:tc>
        <w:tc>
          <w:tcPr>
            <w:tcW w:w="1870"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28.3±9.2</w:t>
            </w:r>
          </w:p>
        </w:tc>
        <w:tc>
          <w:tcPr>
            <w:tcW w:w="443" w:type="pct"/>
          </w:tcPr>
          <w:p w:rsidR="00282799" w:rsidRPr="00054B83" w:rsidRDefault="00282799" w:rsidP="00010B85">
            <w:pPr>
              <w:spacing w:line="360" w:lineRule="auto"/>
              <w:rPr>
                <w:rFonts w:ascii="Book Antiqua" w:hAnsi="Book Antiqua"/>
                <w:sz w:val="24"/>
              </w:rPr>
            </w:pPr>
            <w:r w:rsidRPr="00054B83">
              <w:rPr>
                <w:rFonts w:ascii="Book Antiqua" w:hAnsi="Book Antiqua"/>
                <w:sz w:val="24"/>
              </w:rPr>
              <w:t>0.129</w:t>
            </w:r>
          </w:p>
        </w:tc>
      </w:tr>
      <w:tr w:rsidR="00282799" w:rsidRPr="00054B83" w:rsidTr="00662EED">
        <w:tc>
          <w:tcPr>
            <w:tcW w:w="838" w:type="pct"/>
            <w:tcBorders>
              <w:bottom w:val="single" w:sz="4" w:space="0" w:color="auto"/>
            </w:tcBorders>
          </w:tcPr>
          <w:p w:rsidR="00282799" w:rsidRPr="00054B83" w:rsidRDefault="00282799" w:rsidP="00341B59">
            <w:pPr>
              <w:spacing w:line="360" w:lineRule="auto"/>
              <w:rPr>
                <w:rFonts w:ascii="Book Antiqua" w:hAnsi="Book Antiqua"/>
                <w:sz w:val="24"/>
              </w:rPr>
            </w:pPr>
            <w:r w:rsidRPr="00054B83">
              <w:rPr>
                <w:rFonts w:ascii="Book Antiqua" w:hAnsi="Book Antiqua"/>
                <w:sz w:val="24"/>
              </w:rPr>
              <w:t xml:space="preserve">Mortality </w:t>
            </w:r>
          </w:p>
        </w:tc>
        <w:tc>
          <w:tcPr>
            <w:tcW w:w="1849" w:type="pct"/>
            <w:tcBorders>
              <w:bottom w:val="single" w:sz="4" w:space="0" w:color="auto"/>
            </w:tcBorders>
          </w:tcPr>
          <w:p w:rsidR="00282799" w:rsidRPr="00054B83" w:rsidRDefault="00282799" w:rsidP="00341B59">
            <w:pPr>
              <w:spacing w:line="360" w:lineRule="auto"/>
              <w:rPr>
                <w:rFonts w:ascii="Book Antiqua" w:hAnsi="Book Antiqua"/>
                <w:sz w:val="24"/>
              </w:rPr>
            </w:pPr>
            <w:r w:rsidRPr="00054B83">
              <w:rPr>
                <w:rFonts w:ascii="Book Antiqua" w:hAnsi="Book Antiqua"/>
                <w:sz w:val="24"/>
              </w:rPr>
              <w:t xml:space="preserve">8 (66.7) </w:t>
            </w:r>
          </w:p>
        </w:tc>
        <w:tc>
          <w:tcPr>
            <w:tcW w:w="1870" w:type="pct"/>
            <w:tcBorders>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53.3 (16/30)</w:t>
            </w:r>
          </w:p>
        </w:tc>
        <w:tc>
          <w:tcPr>
            <w:tcW w:w="443" w:type="pct"/>
            <w:tcBorders>
              <w:bottom w:val="single" w:sz="4" w:space="0" w:color="auto"/>
            </w:tcBorders>
          </w:tcPr>
          <w:p w:rsidR="00282799" w:rsidRPr="00054B83" w:rsidRDefault="00282799" w:rsidP="00010B85">
            <w:pPr>
              <w:spacing w:line="360" w:lineRule="auto"/>
              <w:rPr>
                <w:rFonts w:ascii="Book Antiqua" w:hAnsi="Book Antiqua"/>
                <w:sz w:val="24"/>
              </w:rPr>
            </w:pPr>
            <w:r w:rsidRPr="00054B83">
              <w:rPr>
                <w:rFonts w:ascii="Book Antiqua" w:hAnsi="Book Antiqua"/>
                <w:sz w:val="24"/>
              </w:rPr>
              <w:t>0.506</w:t>
            </w:r>
          </w:p>
        </w:tc>
      </w:tr>
    </w:tbl>
    <w:p w:rsidR="00282799" w:rsidRPr="00010B85" w:rsidRDefault="00282799" w:rsidP="00010B85">
      <w:pPr>
        <w:spacing w:line="360" w:lineRule="auto"/>
        <w:rPr>
          <w:rFonts w:ascii="Book Antiqua" w:hAnsi="Book Antiqua"/>
          <w:sz w:val="24"/>
        </w:rPr>
      </w:pPr>
      <w:r w:rsidRPr="00010B85">
        <w:rPr>
          <w:rFonts w:ascii="Book Antiqua" w:hAnsi="Book Antiqua"/>
          <w:sz w:val="24"/>
        </w:rPr>
        <w:t>HBV</w:t>
      </w:r>
      <w:r>
        <w:rPr>
          <w:rFonts w:ascii="Book Antiqua" w:hAnsi="Book Antiqua"/>
          <w:sz w:val="24"/>
        </w:rPr>
        <w:t>:</w:t>
      </w:r>
      <w:r w:rsidRPr="00010B85">
        <w:rPr>
          <w:rFonts w:ascii="Book Antiqua" w:hAnsi="Book Antiqua"/>
          <w:sz w:val="24"/>
        </w:rPr>
        <w:t xml:space="preserve"> Hepatitis B virus; HEV</w:t>
      </w:r>
      <w:r>
        <w:rPr>
          <w:rFonts w:ascii="Book Antiqua" w:hAnsi="Book Antiqua"/>
          <w:sz w:val="24"/>
        </w:rPr>
        <w:t>:</w:t>
      </w:r>
      <w:r w:rsidRPr="00010B85">
        <w:rPr>
          <w:rFonts w:ascii="Book Antiqua" w:hAnsi="Book Antiqua"/>
          <w:sz w:val="24"/>
        </w:rPr>
        <w:t xml:space="preserve"> Hepatitis E virus; MELD score</w:t>
      </w:r>
      <w:r>
        <w:rPr>
          <w:rFonts w:ascii="Book Antiqua" w:hAnsi="Book Antiqua"/>
          <w:sz w:val="24"/>
        </w:rPr>
        <w:t>:</w:t>
      </w:r>
      <w:r w:rsidRPr="00010B85">
        <w:rPr>
          <w:rFonts w:ascii="Book Antiqua" w:hAnsi="Book Antiqua"/>
          <w:sz w:val="24"/>
        </w:rPr>
        <w:t xml:space="preserve"> Model for End-Stage Liver Disease score.</w:t>
      </w:r>
    </w:p>
    <w:p w:rsidR="00282799" w:rsidRPr="00010B85" w:rsidRDefault="00282799" w:rsidP="00010B85">
      <w:pPr>
        <w:spacing w:line="360" w:lineRule="auto"/>
        <w:ind w:left="360" w:hangingChars="150" w:hanging="360"/>
        <w:rPr>
          <w:rFonts w:ascii="Book Antiqua" w:hAnsi="Book Antiqua"/>
          <w:sz w:val="24"/>
        </w:rPr>
      </w:pPr>
    </w:p>
    <w:sectPr w:rsidR="00282799" w:rsidRPr="00010B85" w:rsidSect="00D917C4">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A1" w:rsidRDefault="00DC49A1" w:rsidP="007F69E3">
      <w:r>
        <w:separator/>
      </w:r>
    </w:p>
  </w:endnote>
  <w:endnote w:type="continuationSeparator" w:id="0">
    <w:p w:rsidR="00DC49A1" w:rsidRDefault="00DC49A1" w:rsidP="007F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PS">
    <w:altName w:val="Symbol"/>
    <w:panose1 w:val="00000000000000000000"/>
    <w:charset w:val="02"/>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99" w:rsidRDefault="00DC49A1">
    <w:pPr>
      <w:pStyle w:val="a4"/>
      <w:jc w:val="center"/>
    </w:pPr>
    <w:r>
      <w:fldChar w:fldCharType="begin"/>
    </w:r>
    <w:r>
      <w:instrText xml:space="preserve"> PAGE   \* MERGEFORMAT </w:instrText>
    </w:r>
    <w:r>
      <w:fldChar w:fldCharType="separate"/>
    </w:r>
    <w:r w:rsidR="00416E31" w:rsidRPr="00416E31">
      <w:rPr>
        <w:noProof/>
        <w:lang w:val="zh-CN"/>
      </w:rPr>
      <w:t>19</w:t>
    </w:r>
    <w:r>
      <w:rPr>
        <w:noProof/>
        <w:lang w:val="zh-CN"/>
      </w:rPr>
      <w:fldChar w:fldCharType="end"/>
    </w:r>
  </w:p>
  <w:p w:rsidR="00282799" w:rsidRDefault="002827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A1" w:rsidRDefault="00DC49A1" w:rsidP="007F69E3">
      <w:r>
        <w:separator/>
      </w:r>
    </w:p>
  </w:footnote>
  <w:footnote w:type="continuationSeparator" w:id="0">
    <w:p w:rsidR="00DC49A1" w:rsidRDefault="00DC49A1" w:rsidP="007F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99" w:rsidRDefault="00282799" w:rsidP="00FF1557">
    <w:pPr>
      <w:pStyle w:val="a3"/>
      <w:jc w:val="both"/>
    </w:pPr>
    <w:r w:rsidRPr="00FF1557">
      <w:t>Cheng SH,</w:t>
    </w:r>
    <w:r w:rsidRPr="00FF1557">
      <w:rPr>
        <w:i/>
      </w:rPr>
      <w:t xml:space="preserve"> et al</w:t>
    </w:r>
    <w:r>
      <w:t>. Superinfection of HBV and HEV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57C4"/>
    <w:multiLevelType w:val="hybridMultilevel"/>
    <w:tmpl w:val="816C8CDA"/>
    <w:lvl w:ilvl="0" w:tplc="7B40A7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FC02534"/>
    <w:multiLevelType w:val="hybridMultilevel"/>
    <w:tmpl w:val="1E98F150"/>
    <w:lvl w:ilvl="0" w:tplc="CEA8A4C8">
      <w:numFmt w:val="bullet"/>
      <w:lvlText w:val=""/>
      <w:lvlJc w:val="left"/>
      <w:pPr>
        <w:ind w:left="435" w:hanging="360"/>
      </w:pPr>
      <w:rPr>
        <w:rFonts w:ascii="Wingdings" w:eastAsia="宋体" w:hAnsi="Wingdings" w:hint="default"/>
      </w:rPr>
    </w:lvl>
    <w:lvl w:ilvl="1" w:tplc="04090003" w:tentative="1">
      <w:start w:val="1"/>
      <w:numFmt w:val="bullet"/>
      <w:lvlText w:val=""/>
      <w:lvlJc w:val="left"/>
      <w:pPr>
        <w:ind w:left="915" w:hanging="420"/>
      </w:pPr>
      <w:rPr>
        <w:rFonts w:ascii="Wingdings" w:hAnsi="Wingdings" w:hint="default"/>
      </w:rPr>
    </w:lvl>
    <w:lvl w:ilvl="2" w:tplc="04090005"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3" w:tentative="1">
      <w:start w:val="1"/>
      <w:numFmt w:val="bullet"/>
      <w:lvlText w:val=""/>
      <w:lvlJc w:val="left"/>
      <w:pPr>
        <w:ind w:left="2175" w:hanging="420"/>
      </w:pPr>
      <w:rPr>
        <w:rFonts w:ascii="Wingdings" w:hAnsi="Wingdings" w:hint="default"/>
      </w:rPr>
    </w:lvl>
    <w:lvl w:ilvl="5" w:tplc="04090005"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3" w:tentative="1">
      <w:start w:val="1"/>
      <w:numFmt w:val="bullet"/>
      <w:lvlText w:val=""/>
      <w:lvlJc w:val="left"/>
      <w:pPr>
        <w:ind w:left="3435" w:hanging="420"/>
      </w:pPr>
      <w:rPr>
        <w:rFonts w:ascii="Wingdings" w:hAnsi="Wingdings" w:hint="default"/>
      </w:rPr>
    </w:lvl>
    <w:lvl w:ilvl="8" w:tplc="04090005" w:tentative="1">
      <w:start w:val="1"/>
      <w:numFmt w:val="bullet"/>
      <w:lvlText w:val=""/>
      <w:lvlJc w:val="left"/>
      <w:pPr>
        <w:ind w:left="38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21"/>
    <w:rsid w:val="00003CF8"/>
    <w:rsid w:val="00004077"/>
    <w:rsid w:val="0000561F"/>
    <w:rsid w:val="00005776"/>
    <w:rsid w:val="00010B85"/>
    <w:rsid w:val="00010E1A"/>
    <w:rsid w:val="00017A81"/>
    <w:rsid w:val="00017E92"/>
    <w:rsid w:val="00024951"/>
    <w:rsid w:val="00025673"/>
    <w:rsid w:val="00026786"/>
    <w:rsid w:val="00026E0F"/>
    <w:rsid w:val="0003105B"/>
    <w:rsid w:val="000335C1"/>
    <w:rsid w:val="0003402E"/>
    <w:rsid w:val="00034BE7"/>
    <w:rsid w:val="00034F5B"/>
    <w:rsid w:val="00037CBE"/>
    <w:rsid w:val="00040A6C"/>
    <w:rsid w:val="000417DC"/>
    <w:rsid w:val="00045334"/>
    <w:rsid w:val="00047282"/>
    <w:rsid w:val="00047F51"/>
    <w:rsid w:val="00054B83"/>
    <w:rsid w:val="000550F8"/>
    <w:rsid w:val="00055D8C"/>
    <w:rsid w:val="000611D5"/>
    <w:rsid w:val="00061D8C"/>
    <w:rsid w:val="00062AA7"/>
    <w:rsid w:val="00063047"/>
    <w:rsid w:val="00070E6C"/>
    <w:rsid w:val="00072233"/>
    <w:rsid w:val="00073945"/>
    <w:rsid w:val="00074B07"/>
    <w:rsid w:val="0007555B"/>
    <w:rsid w:val="00076495"/>
    <w:rsid w:val="00082007"/>
    <w:rsid w:val="00085378"/>
    <w:rsid w:val="000875A4"/>
    <w:rsid w:val="0008769F"/>
    <w:rsid w:val="0008783B"/>
    <w:rsid w:val="00090B28"/>
    <w:rsid w:val="00092190"/>
    <w:rsid w:val="000977ED"/>
    <w:rsid w:val="000A08DB"/>
    <w:rsid w:val="000A3272"/>
    <w:rsid w:val="000A5D86"/>
    <w:rsid w:val="000A6CC0"/>
    <w:rsid w:val="000B1FEE"/>
    <w:rsid w:val="000B62C2"/>
    <w:rsid w:val="000B7C90"/>
    <w:rsid w:val="000C0119"/>
    <w:rsid w:val="000C1B1D"/>
    <w:rsid w:val="000C1EB0"/>
    <w:rsid w:val="000C5204"/>
    <w:rsid w:val="000C79A8"/>
    <w:rsid w:val="000D1BEA"/>
    <w:rsid w:val="000D2D4A"/>
    <w:rsid w:val="000E4770"/>
    <w:rsid w:val="000E7F6C"/>
    <w:rsid w:val="000F114D"/>
    <w:rsid w:val="000F40F3"/>
    <w:rsid w:val="00100FF0"/>
    <w:rsid w:val="00101CA2"/>
    <w:rsid w:val="00104160"/>
    <w:rsid w:val="001104E6"/>
    <w:rsid w:val="00111BBE"/>
    <w:rsid w:val="001126FC"/>
    <w:rsid w:val="0011323E"/>
    <w:rsid w:val="0011777C"/>
    <w:rsid w:val="001178BF"/>
    <w:rsid w:val="00123221"/>
    <w:rsid w:val="00141BCA"/>
    <w:rsid w:val="001435DD"/>
    <w:rsid w:val="00143E25"/>
    <w:rsid w:val="00144002"/>
    <w:rsid w:val="00144EDC"/>
    <w:rsid w:val="001452F7"/>
    <w:rsid w:val="001461FA"/>
    <w:rsid w:val="00152FE1"/>
    <w:rsid w:val="00155F91"/>
    <w:rsid w:val="00157184"/>
    <w:rsid w:val="0016118F"/>
    <w:rsid w:val="00165E29"/>
    <w:rsid w:val="001676E4"/>
    <w:rsid w:val="00171FA5"/>
    <w:rsid w:val="00173339"/>
    <w:rsid w:val="00176627"/>
    <w:rsid w:val="00177D88"/>
    <w:rsid w:val="00181841"/>
    <w:rsid w:val="001832DC"/>
    <w:rsid w:val="00185197"/>
    <w:rsid w:val="00190965"/>
    <w:rsid w:val="00191289"/>
    <w:rsid w:val="001A1CE7"/>
    <w:rsid w:val="001A43B4"/>
    <w:rsid w:val="001A4B90"/>
    <w:rsid w:val="001A6454"/>
    <w:rsid w:val="001A6525"/>
    <w:rsid w:val="001B1C43"/>
    <w:rsid w:val="001B2877"/>
    <w:rsid w:val="001B3912"/>
    <w:rsid w:val="001C0078"/>
    <w:rsid w:val="001C467F"/>
    <w:rsid w:val="001D1CE0"/>
    <w:rsid w:val="001E081F"/>
    <w:rsid w:val="001E2AF9"/>
    <w:rsid w:val="001E2D4D"/>
    <w:rsid w:val="001E2DC9"/>
    <w:rsid w:val="001E52FD"/>
    <w:rsid w:val="001E5792"/>
    <w:rsid w:val="001E78F2"/>
    <w:rsid w:val="001E7D56"/>
    <w:rsid w:val="001E7DD9"/>
    <w:rsid w:val="001F55E2"/>
    <w:rsid w:val="001F5A1A"/>
    <w:rsid w:val="001F5B87"/>
    <w:rsid w:val="00202CB3"/>
    <w:rsid w:val="00203B57"/>
    <w:rsid w:val="00204CDD"/>
    <w:rsid w:val="00205234"/>
    <w:rsid w:val="0020531C"/>
    <w:rsid w:val="0020552F"/>
    <w:rsid w:val="002058E7"/>
    <w:rsid w:val="0021130B"/>
    <w:rsid w:val="00213295"/>
    <w:rsid w:val="00213A2C"/>
    <w:rsid w:val="00214076"/>
    <w:rsid w:val="002154E3"/>
    <w:rsid w:val="002159A5"/>
    <w:rsid w:val="002167E6"/>
    <w:rsid w:val="00217DE5"/>
    <w:rsid w:val="002216C4"/>
    <w:rsid w:val="00222FD1"/>
    <w:rsid w:val="00224931"/>
    <w:rsid w:val="00224D49"/>
    <w:rsid w:val="00225DBC"/>
    <w:rsid w:val="002269B7"/>
    <w:rsid w:val="00230226"/>
    <w:rsid w:val="00230DB1"/>
    <w:rsid w:val="00231F7C"/>
    <w:rsid w:val="0023220B"/>
    <w:rsid w:val="002363AD"/>
    <w:rsid w:val="0023732C"/>
    <w:rsid w:val="002401BF"/>
    <w:rsid w:val="00242782"/>
    <w:rsid w:val="002431B5"/>
    <w:rsid w:val="002458CB"/>
    <w:rsid w:val="00246B59"/>
    <w:rsid w:val="0024792B"/>
    <w:rsid w:val="00247EE6"/>
    <w:rsid w:val="0025051F"/>
    <w:rsid w:val="002546F7"/>
    <w:rsid w:val="0025531B"/>
    <w:rsid w:val="0025654D"/>
    <w:rsid w:val="002606CF"/>
    <w:rsid w:val="002615AA"/>
    <w:rsid w:val="00262011"/>
    <w:rsid w:val="0026762A"/>
    <w:rsid w:val="00270A48"/>
    <w:rsid w:val="0027587E"/>
    <w:rsid w:val="002801AB"/>
    <w:rsid w:val="00282799"/>
    <w:rsid w:val="00282A18"/>
    <w:rsid w:val="002830B0"/>
    <w:rsid w:val="002837E2"/>
    <w:rsid w:val="002855DA"/>
    <w:rsid w:val="002929F3"/>
    <w:rsid w:val="002A3878"/>
    <w:rsid w:val="002A4724"/>
    <w:rsid w:val="002A5635"/>
    <w:rsid w:val="002A58C0"/>
    <w:rsid w:val="002B1823"/>
    <w:rsid w:val="002B419C"/>
    <w:rsid w:val="002B5B5C"/>
    <w:rsid w:val="002B6A4D"/>
    <w:rsid w:val="002B6C49"/>
    <w:rsid w:val="002B7054"/>
    <w:rsid w:val="002C00D2"/>
    <w:rsid w:val="002C0B56"/>
    <w:rsid w:val="002C282F"/>
    <w:rsid w:val="002C2FE2"/>
    <w:rsid w:val="002C3F77"/>
    <w:rsid w:val="002D1F2C"/>
    <w:rsid w:val="002D2318"/>
    <w:rsid w:val="002D2A73"/>
    <w:rsid w:val="002D6490"/>
    <w:rsid w:val="002E069D"/>
    <w:rsid w:val="002E2074"/>
    <w:rsid w:val="002F0390"/>
    <w:rsid w:val="002F08F1"/>
    <w:rsid w:val="002F1EB2"/>
    <w:rsid w:val="002F318F"/>
    <w:rsid w:val="002F7AB5"/>
    <w:rsid w:val="00300A09"/>
    <w:rsid w:val="00303A3A"/>
    <w:rsid w:val="003044E2"/>
    <w:rsid w:val="00304EB8"/>
    <w:rsid w:val="003077E3"/>
    <w:rsid w:val="00310A5D"/>
    <w:rsid w:val="003135B5"/>
    <w:rsid w:val="003148A7"/>
    <w:rsid w:val="003151AE"/>
    <w:rsid w:val="003155BF"/>
    <w:rsid w:val="00316009"/>
    <w:rsid w:val="003164AD"/>
    <w:rsid w:val="003173A9"/>
    <w:rsid w:val="00320D3E"/>
    <w:rsid w:val="00320E95"/>
    <w:rsid w:val="0032115D"/>
    <w:rsid w:val="00322857"/>
    <w:rsid w:val="00323723"/>
    <w:rsid w:val="003263CA"/>
    <w:rsid w:val="00327B59"/>
    <w:rsid w:val="0033072A"/>
    <w:rsid w:val="003308C0"/>
    <w:rsid w:val="00335D78"/>
    <w:rsid w:val="00336ACC"/>
    <w:rsid w:val="00337532"/>
    <w:rsid w:val="003408E1"/>
    <w:rsid w:val="00341B59"/>
    <w:rsid w:val="0034257B"/>
    <w:rsid w:val="003441BF"/>
    <w:rsid w:val="00347898"/>
    <w:rsid w:val="00350033"/>
    <w:rsid w:val="00350685"/>
    <w:rsid w:val="0035393C"/>
    <w:rsid w:val="0035476F"/>
    <w:rsid w:val="00355154"/>
    <w:rsid w:val="00355271"/>
    <w:rsid w:val="00360CC7"/>
    <w:rsid w:val="003665B4"/>
    <w:rsid w:val="003709CE"/>
    <w:rsid w:val="00372E3E"/>
    <w:rsid w:val="00375864"/>
    <w:rsid w:val="0037653A"/>
    <w:rsid w:val="00381AE6"/>
    <w:rsid w:val="00384276"/>
    <w:rsid w:val="00385376"/>
    <w:rsid w:val="00386D9A"/>
    <w:rsid w:val="00390D6D"/>
    <w:rsid w:val="0039287E"/>
    <w:rsid w:val="00392A4D"/>
    <w:rsid w:val="00393421"/>
    <w:rsid w:val="00393A9C"/>
    <w:rsid w:val="003A1E5B"/>
    <w:rsid w:val="003A2D9F"/>
    <w:rsid w:val="003A6133"/>
    <w:rsid w:val="003A716D"/>
    <w:rsid w:val="003B381D"/>
    <w:rsid w:val="003B46EE"/>
    <w:rsid w:val="003B4F05"/>
    <w:rsid w:val="003C001D"/>
    <w:rsid w:val="003C5A0E"/>
    <w:rsid w:val="003D2843"/>
    <w:rsid w:val="003D2946"/>
    <w:rsid w:val="003D3906"/>
    <w:rsid w:val="003D49C0"/>
    <w:rsid w:val="003E0BB9"/>
    <w:rsid w:val="003E1E96"/>
    <w:rsid w:val="003E266E"/>
    <w:rsid w:val="003E332C"/>
    <w:rsid w:val="003F480C"/>
    <w:rsid w:val="003F508B"/>
    <w:rsid w:val="00401DAB"/>
    <w:rsid w:val="00404039"/>
    <w:rsid w:val="004107B5"/>
    <w:rsid w:val="00414BC7"/>
    <w:rsid w:val="00416243"/>
    <w:rsid w:val="00416E31"/>
    <w:rsid w:val="0042005B"/>
    <w:rsid w:val="00420347"/>
    <w:rsid w:val="00420C0F"/>
    <w:rsid w:val="00420D56"/>
    <w:rsid w:val="00420DDC"/>
    <w:rsid w:val="004219AC"/>
    <w:rsid w:val="00421E83"/>
    <w:rsid w:val="00422B9E"/>
    <w:rsid w:val="00430E56"/>
    <w:rsid w:val="004318DF"/>
    <w:rsid w:val="0043784C"/>
    <w:rsid w:val="00440878"/>
    <w:rsid w:val="00442DDC"/>
    <w:rsid w:val="00445EDE"/>
    <w:rsid w:val="00454DFE"/>
    <w:rsid w:val="00456FFE"/>
    <w:rsid w:val="00466A9A"/>
    <w:rsid w:val="00466FE2"/>
    <w:rsid w:val="00467964"/>
    <w:rsid w:val="00471A32"/>
    <w:rsid w:val="00472396"/>
    <w:rsid w:val="004764EA"/>
    <w:rsid w:val="00476F5A"/>
    <w:rsid w:val="00480220"/>
    <w:rsid w:val="004839FD"/>
    <w:rsid w:val="004851D7"/>
    <w:rsid w:val="004856BF"/>
    <w:rsid w:val="00485BAF"/>
    <w:rsid w:val="004937D2"/>
    <w:rsid w:val="00495C0C"/>
    <w:rsid w:val="004A0039"/>
    <w:rsid w:val="004A257D"/>
    <w:rsid w:val="004A4513"/>
    <w:rsid w:val="004A4CCC"/>
    <w:rsid w:val="004A5415"/>
    <w:rsid w:val="004A648E"/>
    <w:rsid w:val="004A653E"/>
    <w:rsid w:val="004A7E4B"/>
    <w:rsid w:val="004B0175"/>
    <w:rsid w:val="004B581B"/>
    <w:rsid w:val="004C37F1"/>
    <w:rsid w:val="004C4EAF"/>
    <w:rsid w:val="004C5EED"/>
    <w:rsid w:val="004D1AD8"/>
    <w:rsid w:val="004D3094"/>
    <w:rsid w:val="004D32C8"/>
    <w:rsid w:val="004D33DE"/>
    <w:rsid w:val="004F42B8"/>
    <w:rsid w:val="004F4930"/>
    <w:rsid w:val="004F5411"/>
    <w:rsid w:val="004F59D1"/>
    <w:rsid w:val="004F76DB"/>
    <w:rsid w:val="004F7EA1"/>
    <w:rsid w:val="00506C76"/>
    <w:rsid w:val="005078FF"/>
    <w:rsid w:val="00511497"/>
    <w:rsid w:val="00513321"/>
    <w:rsid w:val="00515B6E"/>
    <w:rsid w:val="005176E8"/>
    <w:rsid w:val="00520B91"/>
    <w:rsid w:val="00521081"/>
    <w:rsid w:val="00526D2E"/>
    <w:rsid w:val="00531CC6"/>
    <w:rsid w:val="0053246A"/>
    <w:rsid w:val="00533389"/>
    <w:rsid w:val="00533E1F"/>
    <w:rsid w:val="005438C6"/>
    <w:rsid w:val="00545C76"/>
    <w:rsid w:val="0054769B"/>
    <w:rsid w:val="00551981"/>
    <w:rsid w:val="00556574"/>
    <w:rsid w:val="00561449"/>
    <w:rsid w:val="00567405"/>
    <w:rsid w:val="0057030A"/>
    <w:rsid w:val="0057168E"/>
    <w:rsid w:val="00574E82"/>
    <w:rsid w:val="00577812"/>
    <w:rsid w:val="00583D9E"/>
    <w:rsid w:val="0058555D"/>
    <w:rsid w:val="00586460"/>
    <w:rsid w:val="00590757"/>
    <w:rsid w:val="00590C79"/>
    <w:rsid w:val="00592B09"/>
    <w:rsid w:val="00596A41"/>
    <w:rsid w:val="00597955"/>
    <w:rsid w:val="005A2796"/>
    <w:rsid w:val="005A5A68"/>
    <w:rsid w:val="005A5BD6"/>
    <w:rsid w:val="005A6E58"/>
    <w:rsid w:val="005A7416"/>
    <w:rsid w:val="005A7BE1"/>
    <w:rsid w:val="005B3B57"/>
    <w:rsid w:val="005B4273"/>
    <w:rsid w:val="005B4E7A"/>
    <w:rsid w:val="005B6BDB"/>
    <w:rsid w:val="005B7C39"/>
    <w:rsid w:val="005C1173"/>
    <w:rsid w:val="005C130F"/>
    <w:rsid w:val="005C198B"/>
    <w:rsid w:val="005C2770"/>
    <w:rsid w:val="005C5C4B"/>
    <w:rsid w:val="005C612D"/>
    <w:rsid w:val="005C67DC"/>
    <w:rsid w:val="005C6A5F"/>
    <w:rsid w:val="005D0782"/>
    <w:rsid w:val="005D472E"/>
    <w:rsid w:val="005D5A9C"/>
    <w:rsid w:val="005D7565"/>
    <w:rsid w:val="005D7595"/>
    <w:rsid w:val="005E047B"/>
    <w:rsid w:val="005E2CB9"/>
    <w:rsid w:val="005E34FB"/>
    <w:rsid w:val="005E59C8"/>
    <w:rsid w:val="005E68C6"/>
    <w:rsid w:val="005F3EAC"/>
    <w:rsid w:val="005F5D36"/>
    <w:rsid w:val="00600968"/>
    <w:rsid w:val="00601B58"/>
    <w:rsid w:val="00604196"/>
    <w:rsid w:val="00604405"/>
    <w:rsid w:val="00604FA8"/>
    <w:rsid w:val="00606047"/>
    <w:rsid w:val="00613A37"/>
    <w:rsid w:val="00614B7B"/>
    <w:rsid w:val="00615451"/>
    <w:rsid w:val="0062312F"/>
    <w:rsid w:val="006302D8"/>
    <w:rsid w:val="00630D18"/>
    <w:rsid w:val="006310C0"/>
    <w:rsid w:val="006334FE"/>
    <w:rsid w:val="00635EC7"/>
    <w:rsid w:val="00635FC5"/>
    <w:rsid w:val="00640CE1"/>
    <w:rsid w:val="0064279E"/>
    <w:rsid w:val="0064335F"/>
    <w:rsid w:val="00646D4E"/>
    <w:rsid w:val="00650779"/>
    <w:rsid w:val="00657299"/>
    <w:rsid w:val="0066162B"/>
    <w:rsid w:val="0066275B"/>
    <w:rsid w:val="00662EED"/>
    <w:rsid w:val="00663201"/>
    <w:rsid w:val="0066471E"/>
    <w:rsid w:val="00665492"/>
    <w:rsid w:val="0066703D"/>
    <w:rsid w:val="00667501"/>
    <w:rsid w:val="006729FC"/>
    <w:rsid w:val="00676484"/>
    <w:rsid w:val="00682C44"/>
    <w:rsid w:val="00684FF6"/>
    <w:rsid w:val="0068537F"/>
    <w:rsid w:val="00686486"/>
    <w:rsid w:val="00686DE5"/>
    <w:rsid w:val="00687A5D"/>
    <w:rsid w:val="00687ABA"/>
    <w:rsid w:val="006913FB"/>
    <w:rsid w:val="00691A7B"/>
    <w:rsid w:val="00692CC0"/>
    <w:rsid w:val="00693BA3"/>
    <w:rsid w:val="006A340D"/>
    <w:rsid w:val="006A398D"/>
    <w:rsid w:val="006A5B55"/>
    <w:rsid w:val="006B480C"/>
    <w:rsid w:val="006B6CFD"/>
    <w:rsid w:val="006C4344"/>
    <w:rsid w:val="006C5B33"/>
    <w:rsid w:val="006C6B8F"/>
    <w:rsid w:val="006C73B1"/>
    <w:rsid w:val="006D4AA4"/>
    <w:rsid w:val="006D6BC3"/>
    <w:rsid w:val="006D781D"/>
    <w:rsid w:val="006E14BF"/>
    <w:rsid w:val="006E19AF"/>
    <w:rsid w:val="006E4674"/>
    <w:rsid w:val="006E715D"/>
    <w:rsid w:val="006E745C"/>
    <w:rsid w:val="006F0811"/>
    <w:rsid w:val="006F1DFF"/>
    <w:rsid w:val="006F1F98"/>
    <w:rsid w:val="006F36F8"/>
    <w:rsid w:val="006F7FA3"/>
    <w:rsid w:val="00704FE2"/>
    <w:rsid w:val="00705417"/>
    <w:rsid w:val="00712347"/>
    <w:rsid w:val="00714C23"/>
    <w:rsid w:val="00715529"/>
    <w:rsid w:val="00715CCC"/>
    <w:rsid w:val="007160C6"/>
    <w:rsid w:val="00722E2C"/>
    <w:rsid w:val="00722EA0"/>
    <w:rsid w:val="00726851"/>
    <w:rsid w:val="00734EBB"/>
    <w:rsid w:val="007370A4"/>
    <w:rsid w:val="007407C8"/>
    <w:rsid w:val="00740DD4"/>
    <w:rsid w:val="007431EF"/>
    <w:rsid w:val="007437F6"/>
    <w:rsid w:val="00750E41"/>
    <w:rsid w:val="00755F6E"/>
    <w:rsid w:val="00762278"/>
    <w:rsid w:val="0076230F"/>
    <w:rsid w:val="00763820"/>
    <w:rsid w:val="007674CE"/>
    <w:rsid w:val="0077001F"/>
    <w:rsid w:val="007705DC"/>
    <w:rsid w:val="00770DD7"/>
    <w:rsid w:val="00771670"/>
    <w:rsid w:val="007727A6"/>
    <w:rsid w:val="007729EB"/>
    <w:rsid w:val="00774426"/>
    <w:rsid w:val="00775BB9"/>
    <w:rsid w:val="007762EF"/>
    <w:rsid w:val="007768DA"/>
    <w:rsid w:val="00776C53"/>
    <w:rsid w:val="00780C14"/>
    <w:rsid w:val="00780FB4"/>
    <w:rsid w:val="00781ADA"/>
    <w:rsid w:val="00781E38"/>
    <w:rsid w:val="00786D9E"/>
    <w:rsid w:val="00791504"/>
    <w:rsid w:val="00793F17"/>
    <w:rsid w:val="00794022"/>
    <w:rsid w:val="007971B3"/>
    <w:rsid w:val="007972C8"/>
    <w:rsid w:val="007A1E65"/>
    <w:rsid w:val="007A230E"/>
    <w:rsid w:val="007A4241"/>
    <w:rsid w:val="007A57EB"/>
    <w:rsid w:val="007A59C5"/>
    <w:rsid w:val="007B0CA3"/>
    <w:rsid w:val="007B170F"/>
    <w:rsid w:val="007B18D5"/>
    <w:rsid w:val="007B2D03"/>
    <w:rsid w:val="007B402B"/>
    <w:rsid w:val="007B6CF4"/>
    <w:rsid w:val="007C00D7"/>
    <w:rsid w:val="007C0670"/>
    <w:rsid w:val="007C0F5A"/>
    <w:rsid w:val="007C26DD"/>
    <w:rsid w:val="007D22FD"/>
    <w:rsid w:val="007D4935"/>
    <w:rsid w:val="007E12CA"/>
    <w:rsid w:val="007E2511"/>
    <w:rsid w:val="007E2823"/>
    <w:rsid w:val="007E7CB8"/>
    <w:rsid w:val="007F4F61"/>
    <w:rsid w:val="007F69E3"/>
    <w:rsid w:val="008002F5"/>
    <w:rsid w:val="008034F5"/>
    <w:rsid w:val="00803BA1"/>
    <w:rsid w:val="008052BD"/>
    <w:rsid w:val="00810468"/>
    <w:rsid w:val="0081512D"/>
    <w:rsid w:val="00815C44"/>
    <w:rsid w:val="008227AE"/>
    <w:rsid w:val="00823B74"/>
    <w:rsid w:val="00825475"/>
    <w:rsid w:val="008327D1"/>
    <w:rsid w:val="0083596E"/>
    <w:rsid w:val="00837E5A"/>
    <w:rsid w:val="0084663B"/>
    <w:rsid w:val="008472B9"/>
    <w:rsid w:val="00850005"/>
    <w:rsid w:val="008513CE"/>
    <w:rsid w:val="008516DE"/>
    <w:rsid w:val="00852B5C"/>
    <w:rsid w:val="0085406D"/>
    <w:rsid w:val="00860AAA"/>
    <w:rsid w:val="008621F0"/>
    <w:rsid w:val="008660BE"/>
    <w:rsid w:val="00871679"/>
    <w:rsid w:val="00874898"/>
    <w:rsid w:val="0087640A"/>
    <w:rsid w:val="008805A2"/>
    <w:rsid w:val="00882181"/>
    <w:rsid w:val="008823B2"/>
    <w:rsid w:val="00882625"/>
    <w:rsid w:val="00886B19"/>
    <w:rsid w:val="00886F89"/>
    <w:rsid w:val="00892DEC"/>
    <w:rsid w:val="008A0BEF"/>
    <w:rsid w:val="008A139E"/>
    <w:rsid w:val="008A6A7C"/>
    <w:rsid w:val="008A6B46"/>
    <w:rsid w:val="008A79AA"/>
    <w:rsid w:val="008B21AF"/>
    <w:rsid w:val="008B5A9C"/>
    <w:rsid w:val="008B62A6"/>
    <w:rsid w:val="008C0800"/>
    <w:rsid w:val="008C4405"/>
    <w:rsid w:val="008C4E40"/>
    <w:rsid w:val="008C5FB9"/>
    <w:rsid w:val="008D290D"/>
    <w:rsid w:val="008D3A1B"/>
    <w:rsid w:val="008D6376"/>
    <w:rsid w:val="008D6C18"/>
    <w:rsid w:val="008D7448"/>
    <w:rsid w:val="008D78AC"/>
    <w:rsid w:val="008E140E"/>
    <w:rsid w:val="008E2776"/>
    <w:rsid w:val="008E3112"/>
    <w:rsid w:val="008E70F0"/>
    <w:rsid w:val="008F0002"/>
    <w:rsid w:val="008F1FCB"/>
    <w:rsid w:val="008F459B"/>
    <w:rsid w:val="009003EF"/>
    <w:rsid w:val="00900E4C"/>
    <w:rsid w:val="009028FE"/>
    <w:rsid w:val="00905223"/>
    <w:rsid w:val="009105FA"/>
    <w:rsid w:val="00910E67"/>
    <w:rsid w:val="00910E6F"/>
    <w:rsid w:val="00916615"/>
    <w:rsid w:val="0091687C"/>
    <w:rsid w:val="00921707"/>
    <w:rsid w:val="009222E3"/>
    <w:rsid w:val="00922B86"/>
    <w:rsid w:val="00922F52"/>
    <w:rsid w:val="009234E1"/>
    <w:rsid w:val="00923A13"/>
    <w:rsid w:val="00923A97"/>
    <w:rsid w:val="00926483"/>
    <w:rsid w:val="00927A9B"/>
    <w:rsid w:val="009306EC"/>
    <w:rsid w:val="0093169C"/>
    <w:rsid w:val="0093561A"/>
    <w:rsid w:val="009375A3"/>
    <w:rsid w:val="009443C6"/>
    <w:rsid w:val="0094622B"/>
    <w:rsid w:val="00947AD9"/>
    <w:rsid w:val="00952F8E"/>
    <w:rsid w:val="009539D9"/>
    <w:rsid w:val="009551C4"/>
    <w:rsid w:val="00955C4A"/>
    <w:rsid w:val="0095759A"/>
    <w:rsid w:val="00960441"/>
    <w:rsid w:val="009620FA"/>
    <w:rsid w:val="00965552"/>
    <w:rsid w:val="0096775F"/>
    <w:rsid w:val="00972ADE"/>
    <w:rsid w:val="00972F17"/>
    <w:rsid w:val="00973323"/>
    <w:rsid w:val="00974938"/>
    <w:rsid w:val="009808F5"/>
    <w:rsid w:val="00984D2F"/>
    <w:rsid w:val="009946D1"/>
    <w:rsid w:val="009950C4"/>
    <w:rsid w:val="009956D6"/>
    <w:rsid w:val="00997CC8"/>
    <w:rsid w:val="009A0840"/>
    <w:rsid w:val="009A3136"/>
    <w:rsid w:val="009A4CB7"/>
    <w:rsid w:val="009A5A8A"/>
    <w:rsid w:val="009A661B"/>
    <w:rsid w:val="009B0CA9"/>
    <w:rsid w:val="009B18A9"/>
    <w:rsid w:val="009B1CC1"/>
    <w:rsid w:val="009B2730"/>
    <w:rsid w:val="009B42CB"/>
    <w:rsid w:val="009B4905"/>
    <w:rsid w:val="009B4CA6"/>
    <w:rsid w:val="009B62E8"/>
    <w:rsid w:val="009B6984"/>
    <w:rsid w:val="009C1821"/>
    <w:rsid w:val="009C1C65"/>
    <w:rsid w:val="009C3914"/>
    <w:rsid w:val="009C6029"/>
    <w:rsid w:val="009C750B"/>
    <w:rsid w:val="009D1AD7"/>
    <w:rsid w:val="009D1F12"/>
    <w:rsid w:val="009D26EF"/>
    <w:rsid w:val="009D369A"/>
    <w:rsid w:val="009D3CC5"/>
    <w:rsid w:val="009D4636"/>
    <w:rsid w:val="009D7788"/>
    <w:rsid w:val="009E27F5"/>
    <w:rsid w:val="009E653E"/>
    <w:rsid w:val="009E75CB"/>
    <w:rsid w:val="009F2C80"/>
    <w:rsid w:val="009F3C3F"/>
    <w:rsid w:val="009F48A8"/>
    <w:rsid w:val="009F645A"/>
    <w:rsid w:val="00A0181D"/>
    <w:rsid w:val="00A01C33"/>
    <w:rsid w:val="00A0368A"/>
    <w:rsid w:val="00A071B1"/>
    <w:rsid w:val="00A0789C"/>
    <w:rsid w:val="00A10DAF"/>
    <w:rsid w:val="00A1154D"/>
    <w:rsid w:val="00A16E9E"/>
    <w:rsid w:val="00A1786C"/>
    <w:rsid w:val="00A2020A"/>
    <w:rsid w:val="00A2188E"/>
    <w:rsid w:val="00A33116"/>
    <w:rsid w:val="00A3383F"/>
    <w:rsid w:val="00A37503"/>
    <w:rsid w:val="00A40590"/>
    <w:rsid w:val="00A41A0B"/>
    <w:rsid w:val="00A42C12"/>
    <w:rsid w:val="00A4600B"/>
    <w:rsid w:val="00A500F1"/>
    <w:rsid w:val="00A5399F"/>
    <w:rsid w:val="00A54380"/>
    <w:rsid w:val="00A55B85"/>
    <w:rsid w:val="00A60C4B"/>
    <w:rsid w:val="00A64283"/>
    <w:rsid w:val="00A643A6"/>
    <w:rsid w:val="00A70E1D"/>
    <w:rsid w:val="00A7128A"/>
    <w:rsid w:val="00A74AB2"/>
    <w:rsid w:val="00A77434"/>
    <w:rsid w:val="00A80173"/>
    <w:rsid w:val="00A8029E"/>
    <w:rsid w:val="00A804B1"/>
    <w:rsid w:val="00A81AFE"/>
    <w:rsid w:val="00A86611"/>
    <w:rsid w:val="00A87D15"/>
    <w:rsid w:val="00A919AF"/>
    <w:rsid w:val="00A96EEE"/>
    <w:rsid w:val="00A9756C"/>
    <w:rsid w:val="00A976A4"/>
    <w:rsid w:val="00AA4154"/>
    <w:rsid w:val="00AA73A1"/>
    <w:rsid w:val="00AA7C6E"/>
    <w:rsid w:val="00AB25A0"/>
    <w:rsid w:val="00AB3885"/>
    <w:rsid w:val="00AB41C9"/>
    <w:rsid w:val="00AB50F9"/>
    <w:rsid w:val="00AB5117"/>
    <w:rsid w:val="00AB5B1B"/>
    <w:rsid w:val="00AB5F17"/>
    <w:rsid w:val="00AB68B6"/>
    <w:rsid w:val="00AB7673"/>
    <w:rsid w:val="00AC608B"/>
    <w:rsid w:val="00AC6618"/>
    <w:rsid w:val="00AC73ED"/>
    <w:rsid w:val="00AC7F44"/>
    <w:rsid w:val="00AD018D"/>
    <w:rsid w:val="00AD04D7"/>
    <w:rsid w:val="00AD12FC"/>
    <w:rsid w:val="00AD4445"/>
    <w:rsid w:val="00AD57D8"/>
    <w:rsid w:val="00AE0D76"/>
    <w:rsid w:val="00AE136A"/>
    <w:rsid w:val="00AE277D"/>
    <w:rsid w:val="00AE39AE"/>
    <w:rsid w:val="00AE454E"/>
    <w:rsid w:val="00AF0A20"/>
    <w:rsid w:val="00AF26EB"/>
    <w:rsid w:val="00AF2CF1"/>
    <w:rsid w:val="00AF3900"/>
    <w:rsid w:val="00AF4C01"/>
    <w:rsid w:val="00AF4ED5"/>
    <w:rsid w:val="00B008FA"/>
    <w:rsid w:val="00B01A20"/>
    <w:rsid w:val="00B02173"/>
    <w:rsid w:val="00B02EF3"/>
    <w:rsid w:val="00B04D4A"/>
    <w:rsid w:val="00B056E7"/>
    <w:rsid w:val="00B06ACB"/>
    <w:rsid w:val="00B06BE0"/>
    <w:rsid w:val="00B075D8"/>
    <w:rsid w:val="00B12716"/>
    <w:rsid w:val="00B12E30"/>
    <w:rsid w:val="00B1326C"/>
    <w:rsid w:val="00B176A6"/>
    <w:rsid w:val="00B20855"/>
    <w:rsid w:val="00B21729"/>
    <w:rsid w:val="00B2241B"/>
    <w:rsid w:val="00B252D3"/>
    <w:rsid w:val="00B26CCF"/>
    <w:rsid w:val="00B34729"/>
    <w:rsid w:val="00B35449"/>
    <w:rsid w:val="00B365F0"/>
    <w:rsid w:val="00B41786"/>
    <w:rsid w:val="00B42584"/>
    <w:rsid w:val="00B4526C"/>
    <w:rsid w:val="00B466B0"/>
    <w:rsid w:val="00B47A93"/>
    <w:rsid w:val="00B53C26"/>
    <w:rsid w:val="00B56A7D"/>
    <w:rsid w:val="00B61492"/>
    <w:rsid w:val="00B62B20"/>
    <w:rsid w:val="00B63213"/>
    <w:rsid w:val="00B647C2"/>
    <w:rsid w:val="00B66E87"/>
    <w:rsid w:val="00B67F14"/>
    <w:rsid w:val="00B73249"/>
    <w:rsid w:val="00B742CC"/>
    <w:rsid w:val="00B76530"/>
    <w:rsid w:val="00B77EF0"/>
    <w:rsid w:val="00B81A6B"/>
    <w:rsid w:val="00B83906"/>
    <w:rsid w:val="00B8409E"/>
    <w:rsid w:val="00B84D93"/>
    <w:rsid w:val="00B85355"/>
    <w:rsid w:val="00B86827"/>
    <w:rsid w:val="00B91A33"/>
    <w:rsid w:val="00B91A83"/>
    <w:rsid w:val="00B91C09"/>
    <w:rsid w:val="00B9440A"/>
    <w:rsid w:val="00B949DB"/>
    <w:rsid w:val="00B973FC"/>
    <w:rsid w:val="00BA06A8"/>
    <w:rsid w:val="00BA3E2B"/>
    <w:rsid w:val="00BA428B"/>
    <w:rsid w:val="00BA57E4"/>
    <w:rsid w:val="00BB2FFB"/>
    <w:rsid w:val="00BB41E0"/>
    <w:rsid w:val="00BB4421"/>
    <w:rsid w:val="00BC3622"/>
    <w:rsid w:val="00BC3D59"/>
    <w:rsid w:val="00BC577A"/>
    <w:rsid w:val="00BD016F"/>
    <w:rsid w:val="00BD3B71"/>
    <w:rsid w:val="00BE14E6"/>
    <w:rsid w:val="00BE34F5"/>
    <w:rsid w:val="00BE6013"/>
    <w:rsid w:val="00BE71CB"/>
    <w:rsid w:val="00BE7965"/>
    <w:rsid w:val="00BF4FD3"/>
    <w:rsid w:val="00BF5DB1"/>
    <w:rsid w:val="00BF7967"/>
    <w:rsid w:val="00C01A4F"/>
    <w:rsid w:val="00C0226F"/>
    <w:rsid w:val="00C142A0"/>
    <w:rsid w:val="00C17321"/>
    <w:rsid w:val="00C174C3"/>
    <w:rsid w:val="00C176D4"/>
    <w:rsid w:val="00C20FDD"/>
    <w:rsid w:val="00C2306C"/>
    <w:rsid w:val="00C24D0B"/>
    <w:rsid w:val="00C253B2"/>
    <w:rsid w:val="00C26229"/>
    <w:rsid w:val="00C33D4C"/>
    <w:rsid w:val="00C36A36"/>
    <w:rsid w:val="00C37180"/>
    <w:rsid w:val="00C37A10"/>
    <w:rsid w:val="00C37E97"/>
    <w:rsid w:val="00C443AA"/>
    <w:rsid w:val="00C446CA"/>
    <w:rsid w:val="00C4696E"/>
    <w:rsid w:val="00C50CEF"/>
    <w:rsid w:val="00C52720"/>
    <w:rsid w:val="00C6120A"/>
    <w:rsid w:val="00C634A7"/>
    <w:rsid w:val="00C65BBB"/>
    <w:rsid w:val="00C71FF6"/>
    <w:rsid w:val="00C74139"/>
    <w:rsid w:val="00C7522D"/>
    <w:rsid w:val="00C76577"/>
    <w:rsid w:val="00C80075"/>
    <w:rsid w:val="00C80536"/>
    <w:rsid w:val="00C805C1"/>
    <w:rsid w:val="00C80FD0"/>
    <w:rsid w:val="00C82BCE"/>
    <w:rsid w:val="00C85288"/>
    <w:rsid w:val="00C90F51"/>
    <w:rsid w:val="00CA100F"/>
    <w:rsid w:val="00CA44C4"/>
    <w:rsid w:val="00CB02D9"/>
    <w:rsid w:val="00CB10CF"/>
    <w:rsid w:val="00CB13D7"/>
    <w:rsid w:val="00CC456D"/>
    <w:rsid w:val="00CC5ACF"/>
    <w:rsid w:val="00CC66DD"/>
    <w:rsid w:val="00CC79F3"/>
    <w:rsid w:val="00CD10E6"/>
    <w:rsid w:val="00CD18CE"/>
    <w:rsid w:val="00CD462D"/>
    <w:rsid w:val="00CD5322"/>
    <w:rsid w:val="00CD68E9"/>
    <w:rsid w:val="00CE2A9F"/>
    <w:rsid w:val="00CE3632"/>
    <w:rsid w:val="00CE36A9"/>
    <w:rsid w:val="00CE4867"/>
    <w:rsid w:val="00CE6C91"/>
    <w:rsid w:val="00CE7243"/>
    <w:rsid w:val="00CF1DF3"/>
    <w:rsid w:val="00CF48C7"/>
    <w:rsid w:val="00CF48D2"/>
    <w:rsid w:val="00CF694A"/>
    <w:rsid w:val="00CF76B1"/>
    <w:rsid w:val="00D04C7A"/>
    <w:rsid w:val="00D14F1B"/>
    <w:rsid w:val="00D163F9"/>
    <w:rsid w:val="00D16878"/>
    <w:rsid w:val="00D16BF6"/>
    <w:rsid w:val="00D1741C"/>
    <w:rsid w:val="00D20905"/>
    <w:rsid w:val="00D22F61"/>
    <w:rsid w:val="00D242E3"/>
    <w:rsid w:val="00D249A4"/>
    <w:rsid w:val="00D26D55"/>
    <w:rsid w:val="00D27676"/>
    <w:rsid w:val="00D31E48"/>
    <w:rsid w:val="00D40422"/>
    <w:rsid w:val="00D4331E"/>
    <w:rsid w:val="00D4394B"/>
    <w:rsid w:val="00D445FC"/>
    <w:rsid w:val="00D4642D"/>
    <w:rsid w:val="00D466F8"/>
    <w:rsid w:val="00D50335"/>
    <w:rsid w:val="00D517C1"/>
    <w:rsid w:val="00D5287A"/>
    <w:rsid w:val="00D52ED7"/>
    <w:rsid w:val="00D52F54"/>
    <w:rsid w:val="00D55E32"/>
    <w:rsid w:val="00D607D4"/>
    <w:rsid w:val="00D62A20"/>
    <w:rsid w:val="00D62FE9"/>
    <w:rsid w:val="00D630FE"/>
    <w:rsid w:val="00D66237"/>
    <w:rsid w:val="00D67E3E"/>
    <w:rsid w:val="00D73BBB"/>
    <w:rsid w:val="00D744F5"/>
    <w:rsid w:val="00D7550F"/>
    <w:rsid w:val="00D77B07"/>
    <w:rsid w:val="00D81F1E"/>
    <w:rsid w:val="00D8208D"/>
    <w:rsid w:val="00D83D57"/>
    <w:rsid w:val="00D85EE1"/>
    <w:rsid w:val="00D87D12"/>
    <w:rsid w:val="00D917C4"/>
    <w:rsid w:val="00D932C9"/>
    <w:rsid w:val="00D946D4"/>
    <w:rsid w:val="00D9625E"/>
    <w:rsid w:val="00DA11C1"/>
    <w:rsid w:val="00DA158B"/>
    <w:rsid w:val="00DA30B0"/>
    <w:rsid w:val="00DA517F"/>
    <w:rsid w:val="00DA5A70"/>
    <w:rsid w:val="00DA5AA3"/>
    <w:rsid w:val="00DA5FD6"/>
    <w:rsid w:val="00DB3444"/>
    <w:rsid w:val="00DB5047"/>
    <w:rsid w:val="00DC3FE3"/>
    <w:rsid w:val="00DC49A1"/>
    <w:rsid w:val="00DC555C"/>
    <w:rsid w:val="00DD24B5"/>
    <w:rsid w:val="00DD33AB"/>
    <w:rsid w:val="00DD4011"/>
    <w:rsid w:val="00DD6029"/>
    <w:rsid w:val="00DD7BB1"/>
    <w:rsid w:val="00DE14C5"/>
    <w:rsid w:val="00DE30B0"/>
    <w:rsid w:val="00DE31E8"/>
    <w:rsid w:val="00DE3A48"/>
    <w:rsid w:val="00DE3F82"/>
    <w:rsid w:val="00DF1300"/>
    <w:rsid w:val="00DF2FD9"/>
    <w:rsid w:val="00DF4BD4"/>
    <w:rsid w:val="00DF6BFA"/>
    <w:rsid w:val="00E00931"/>
    <w:rsid w:val="00E02586"/>
    <w:rsid w:val="00E03D91"/>
    <w:rsid w:val="00E03F33"/>
    <w:rsid w:val="00E12013"/>
    <w:rsid w:val="00E17689"/>
    <w:rsid w:val="00E17853"/>
    <w:rsid w:val="00E209C1"/>
    <w:rsid w:val="00E213A4"/>
    <w:rsid w:val="00E22010"/>
    <w:rsid w:val="00E23267"/>
    <w:rsid w:val="00E236D0"/>
    <w:rsid w:val="00E24F9D"/>
    <w:rsid w:val="00E367B6"/>
    <w:rsid w:val="00E4024D"/>
    <w:rsid w:val="00E424FD"/>
    <w:rsid w:val="00E467E1"/>
    <w:rsid w:val="00E46B56"/>
    <w:rsid w:val="00E50A49"/>
    <w:rsid w:val="00E52EE3"/>
    <w:rsid w:val="00E53C8E"/>
    <w:rsid w:val="00E541EE"/>
    <w:rsid w:val="00E549B0"/>
    <w:rsid w:val="00E54BAB"/>
    <w:rsid w:val="00E560CC"/>
    <w:rsid w:val="00E60BDF"/>
    <w:rsid w:val="00E61AB6"/>
    <w:rsid w:val="00E62F62"/>
    <w:rsid w:val="00E651CE"/>
    <w:rsid w:val="00E677EB"/>
    <w:rsid w:val="00E67EE3"/>
    <w:rsid w:val="00E71C4D"/>
    <w:rsid w:val="00E74335"/>
    <w:rsid w:val="00E74765"/>
    <w:rsid w:val="00E74E87"/>
    <w:rsid w:val="00E751E9"/>
    <w:rsid w:val="00E81568"/>
    <w:rsid w:val="00E81A1B"/>
    <w:rsid w:val="00E92C73"/>
    <w:rsid w:val="00E94CEC"/>
    <w:rsid w:val="00E96850"/>
    <w:rsid w:val="00E970C3"/>
    <w:rsid w:val="00EA00C0"/>
    <w:rsid w:val="00EA071F"/>
    <w:rsid w:val="00EA4FD0"/>
    <w:rsid w:val="00EA53FB"/>
    <w:rsid w:val="00EA5635"/>
    <w:rsid w:val="00EA5636"/>
    <w:rsid w:val="00EA7F0A"/>
    <w:rsid w:val="00EB3AA3"/>
    <w:rsid w:val="00EB44AE"/>
    <w:rsid w:val="00EB458E"/>
    <w:rsid w:val="00EB4A57"/>
    <w:rsid w:val="00EB5EB6"/>
    <w:rsid w:val="00EB6D71"/>
    <w:rsid w:val="00EB778A"/>
    <w:rsid w:val="00EC1DFD"/>
    <w:rsid w:val="00EC3A7B"/>
    <w:rsid w:val="00EC5DBA"/>
    <w:rsid w:val="00EC6E17"/>
    <w:rsid w:val="00EC7D62"/>
    <w:rsid w:val="00ED0497"/>
    <w:rsid w:val="00ED0D88"/>
    <w:rsid w:val="00ED34E9"/>
    <w:rsid w:val="00ED4A2F"/>
    <w:rsid w:val="00ED69B4"/>
    <w:rsid w:val="00EE2677"/>
    <w:rsid w:val="00EE3D93"/>
    <w:rsid w:val="00EE471A"/>
    <w:rsid w:val="00EE6FD4"/>
    <w:rsid w:val="00EE7253"/>
    <w:rsid w:val="00EF2521"/>
    <w:rsid w:val="00EF4911"/>
    <w:rsid w:val="00EF7162"/>
    <w:rsid w:val="00F02FC8"/>
    <w:rsid w:val="00F06B98"/>
    <w:rsid w:val="00F14253"/>
    <w:rsid w:val="00F144C2"/>
    <w:rsid w:val="00F14520"/>
    <w:rsid w:val="00F16192"/>
    <w:rsid w:val="00F17B7E"/>
    <w:rsid w:val="00F2014B"/>
    <w:rsid w:val="00F224DA"/>
    <w:rsid w:val="00F22E21"/>
    <w:rsid w:val="00F2317E"/>
    <w:rsid w:val="00F256DF"/>
    <w:rsid w:val="00F27343"/>
    <w:rsid w:val="00F27941"/>
    <w:rsid w:val="00F30362"/>
    <w:rsid w:val="00F31172"/>
    <w:rsid w:val="00F31FFB"/>
    <w:rsid w:val="00F35092"/>
    <w:rsid w:val="00F3540C"/>
    <w:rsid w:val="00F410F5"/>
    <w:rsid w:val="00F41A57"/>
    <w:rsid w:val="00F43069"/>
    <w:rsid w:val="00F43ABD"/>
    <w:rsid w:val="00F4577B"/>
    <w:rsid w:val="00F50067"/>
    <w:rsid w:val="00F545CC"/>
    <w:rsid w:val="00F55ECC"/>
    <w:rsid w:val="00F56D11"/>
    <w:rsid w:val="00F5799A"/>
    <w:rsid w:val="00F61EAE"/>
    <w:rsid w:val="00F62056"/>
    <w:rsid w:val="00F6374A"/>
    <w:rsid w:val="00F67338"/>
    <w:rsid w:val="00F75B49"/>
    <w:rsid w:val="00F76494"/>
    <w:rsid w:val="00F76E76"/>
    <w:rsid w:val="00F772CC"/>
    <w:rsid w:val="00F81741"/>
    <w:rsid w:val="00F81AE5"/>
    <w:rsid w:val="00F8282E"/>
    <w:rsid w:val="00F83616"/>
    <w:rsid w:val="00F90417"/>
    <w:rsid w:val="00F91981"/>
    <w:rsid w:val="00F92078"/>
    <w:rsid w:val="00F944E9"/>
    <w:rsid w:val="00FA0CCB"/>
    <w:rsid w:val="00FA2056"/>
    <w:rsid w:val="00FB194E"/>
    <w:rsid w:val="00FB1C18"/>
    <w:rsid w:val="00FB3F94"/>
    <w:rsid w:val="00FC15A6"/>
    <w:rsid w:val="00FC471A"/>
    <w:rsid w:val="00FC60D6"/>
    <w:rsid w:val="00FD2014"/>
    <w:rsid w:val="00FD59E1"/>
    <w:rsid w:val="00FD7B5E"/>
    <w:rsid w:val="00FD7C5E"/>
    <w:rsid w:val="00FE0065"/>
    <w:rsid w:val="00FE1ED5"/>
    <w:rsid w:val="00FE21F2"/>
    <w:rsid w:val="00FE2392"/>
    <w:rsid w:val="00FE345C"/>
    <w:rsid w:val="00FE55F7"/>
    <w:rsid w:val="00FE693A"/>
    <w:rsid w:val="00FE7D39"/>
    <w:rsid w:val="00FE7FDB"/>
    <w:rsid w:val="00FF1557"/>
    <w:rsid w:val="00FF4267"/>
    <w:rsid w:val="00FF452B"/>
    <w:rsid w:val="00FF482D"/>
    <w:rsid w:val="00FF6088"/>
    <w:rsid w:val="00FF7872"/>
    <w:rsid w:val="00FF7A92"/>
    <w:rsid w:val="00FF7B3E"/>
    <w:rsid w:val="00F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2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F6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F69E3"/>
    <w:rPr>
      <w:kern w:val="2"/>
      <w:sz w:val="18"/>
    </w:rPr>
  </w:style>
  <w:style w:type="paragraph" w:styleId="a4">
    <w:name w:val="footer"/>
    <w:basedOn w:val="a"/>
    <w:link w:val="Char0"/>
    <w:uiPriority w:val="99"/>
    <w:rsid w:val="007F69E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F69E3"/>
    <w:rPr>
      <w:kern w:val="2"/>
      <w:sz w:val="18"/>
    </w:rPr>
  </w:style>
  <w:style w:type="paragraph" w:styleId="a5">
    <w:name w:val="caption"/>
    <w:basedOn w:val="a"/>
    <w:next w:val="a"/>
    <w:uiPriority w:val="99"/>
    <w:qFormat/>
    <w:rsid w:val="00B252D3"/>
    <w:rPr>
      <w:rFonts w:ascii="Arial" w:eastAsia="黑体" w:hAnsi="Arial" w:cs="Arial"/>
      <w:sz w:val="20"/>
      <w:szCs w:val="20"/>
    </w:rPr>
  </w:style>
  <w:style w:type="paragraph" w:styleId="a6">
    <w:name w:val="Balloon Text"/>
    <w:basedOn w:val="a"/>
    <w:link w:val="Char1"/>
    <w:uiPriority w:val="99"/>
    <w:semiHidden/>
    <w:rsid w:val="00224931"/>
    <w:pPr>
      <w:jc w:val="left"/>
    </w:pPr>
    <w:rPr>
      <w:rFonts w:ascii="Tahoma" w:hAnsi="Tahoma" w:cs="Tahoma"/>
      <w:sz w:val="16"/>
      <w:szCs w:val="18"/>
    </w:rPr>
  </w:style>
  <w:style w:type="character" w:customStyle="1" w:styleId="Char1">
    <w:name w:val="批注框文本 Char"/>
    <w:basedOn w:val="a0"/>
    <w:link w:val="a6"/>
    <w:uiPriority w:val="99"/>
    <w:semiHidden/>
    <w:rsid w:val="00E90319"/>
    <w:rPr>
      <w:sz w:val="0"/>
      <w:szCs w:val="0"/>
    </w:rPr>
  </w:style>
  <w:style w:type="character" w:customStyle="1" w:styleId="apple-style-span">
    <w:name w:val="apple-style-span"/>
    <w:basedOn w:val="a0"/>
    <w:uiPriority w:val="99"/>
    <w:rsid w:val="00D83D57"/>
    <w:rPr>
      <w:rFonts w:cs="Times New Roman"/>
    </w:rPr>
  </w:style>
  <w:style w:type="character" w:styleId="a7">
    <w:name w:val="annotation reference"/>
    <w:basedOn w:val="a0"/>
    <w:uiPriority w:val="99"/>
    <w:rsid w:val="005D5A9C"/>
    <w:rPr>
      <w:rFonts w:cs="Times New Roman"/>
      <w:sz w:val="21"/>
    </w:rPr>
  </w:style>
  <w:style w:type="paragraph" w:styleId="a8">
    <w:name w:val="annotation text"/>
    <w:basedOn w:val="a"/>
    <w:link w:val="Char2"/>
    <w:uiPriority w:val="99"/>
    <w:rsid w:val="005D5A9C"/>
    <w:pPr>
      <w:widowControl/>
      <w:jc w:val="left"/>
    </w:pPr>
    <w:rPr>
      <w:kern w:val="0"/>
      <w:sz w:val="24"/>
      <w:lang w:eastAsia="en-US"/>
    </w:rPr>
  </w:style>
  <w:style w:type="character" w:customStyle="1" w:styleId="Char2">
    <w:name w:val="批注文字 Char"/>
    <w:basedOn w:val="a0"/>
    <w:link w:val="a8"/>
    <w:uiPriority w:val="99"/>
    <w:locked/>
    <w:rsid w:val="005D5A9C"/>
    <w:rPr>
      <w:sz w:val="24"/>
      <w:lang w:eastAsia="en-US"/>
    </w:rPr>
  </w:style>
  <w:style w:type="paragraph" w:styleId="a9">
    <w:name w:val="annotation subject"/>
    <w:basedOn w:val="a8"/>
    <w:next w:val="a8"/>
    <w:link w:val="Char3"/>
    <w:uiPriority w:val="99"/>
    <w:rsid w:val="009F2C80"/>
    <w:pPr>
      <w:widowControl w:val="0"/>
    </w:pPr>
    <w:rPr>
      <w:b/>
      <w:bCs/>
      <w:kern w:val="2"/>
      <w:sz w:val="21"/>
    </w:rPr>
  </w:style>
  <w:style w:type="character" w:customStyle="1" w:styleId="Char3">
    <w:name w:val="批注主题 Char"/>
    <w:basedOn w:val="Char2"/>
    <w:link w:val="a9"/>
    <w:uiPriority w:val="99"/>
    <w:locked/>
    <w:rsid w:val="009F2C80"/>
    <w:rPr>
      <w:b/>
      <w:kern w:val="2"/>
      <w:sz w:val="24"/>
      <w:lang w:eastAsia="en-US"/>
    </w:rPr>
  </w:style>
  <w:style w:type="character" w:styleId="aa">
    <w:name w:val="Hyperlink"/>
    <w:basedOn w:val="a0"/>
    <w:uiPriority w:val="99"/>
    <w:rsid w:val="009F2C80"/>
    <w:rPr>
      <w:rFonts w:cs="Times New Roman"/>
      <w:color w:val="0000FF"/>
      <w:u w:val="single"/>
    </w:rPr>
  </w:style>
  <w:style w:type="paragraph" w:styleId="ab">
    <w:name w:val="Revision"/>
    <w:hidden/>
    <w:uiPriority w:val="99"/>
    <w:semiHidden/>
    <w:rsid w:val="0064335F"/>
    <w:rPr>
      <w:szCs w:val="24"/>
    </w:rPr>
  </w:style>
  <w:style w:type="paragraph" w:styleId="ac">
    <w:name w:val="List Paragraph"/>
    <w:basedOn w:val="a"/>
    <w:uiPriority w:val="99"/>
    <w:qFormat/>
    <w:rsid w:val="003148A7"/>
    <w:pPr>
      <w:ind w:firstLineChars="200" w:firstLine="420"/>
    </w:pPr>
  </w:style>
  <w:style w:type="character" w:styleId="ad">
    <w:name w:val="Strong"/>
    <w:basedOn w:val="a0"/>
    <w:uiPriority w:val="99"/>
    <w:qFormat/>
    <w:rsid w:val="00F8282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2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F6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F69E3"/>
    <w:rPr>
      <w:kern w:val="2"/>
      <w:sz w:val="18"/>
    </w:rPr>
  </w:style>
  <w:style w:type="paragraph" w:styleId="a4">
    <w:name w:val="footer"/>
    <w:basedOn w:val="a"/>
    <w:link w:val="Char0"/>
    <w:uiPriority w:val="99"/>
    <w:rsid w:val="007F69E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F69E3"/>
    <w:rPr>
      <w:kern w:val="2"/>
      <w:sz w:val="18"/>
    </w:rPr>
  </w:style>
  <w:style w:type="paragraph" w:styleId="a5">
    <w:name w:val="caption"/>
    <w:basedOn w:val="a"/>
    <w:next w:val="a"/>
    <w:uiPriority w:val="99"/>
    <w:qFormat/>
    <w:rsid w:val="00B252D3"/>
    <w:rPr>
      <w:rFonts w:ascii="Arial" w:eastAsia="黑体" w:hAnsi="Arial" w:cs="Arial"/>
      <w:sz w:val="20"/>
      <w:szCs w:val="20"/>
    </w:rPr>
  </w:style>
  <w:style w:type="paragraph" w:styleId="a6">
    <w:name w:val="Balloon Text"/>
    <w:basedOn w:val="a"/>
    <w:link w:val="Char1"/>
    <w:uiPriority w:val="99"/>
    <w:semiHidden/>
    <w:rsid w:val="00224931"/>
    <w:pPr>
      <w:jc w:val="left"/>
    </w:pPr>
    <w:rPr>
      <w:rFonts w:ascii="Tahoma" w:hAnsi="Tahoma" w:cs="Tahoma"/>
      <w:sz w:val="16"/>
      <w:szCs w:val="18"/>
    </w:rPr>
  </w:style>
  <w:style w:type="character" w:customStyle="1" w:styleId="Char1">
    <w:name w:val="批注框文本 Char"/>
    <w:basedOn w:val="a0"/>
    <w:link w:val="a6"/>
    <w:uiPriority w:val="99"/>
    <w:semiHidden/>
    <w:rsid w:val="00E90319"/>
    <w:rPr>
      <w:sz w:val="0"/>
      <w:szCs w:val="0"/>
    </w:rPr>
  </w:style>
  <w:style w:type="character" w:customStyle="1" w:styleId="apple-style-span">
    <w:name w:val="apple-style-span"/>
    <w:basedOn w:val="a0"/>
    <w:uiPriority w:val="99"/>
    <w:rsid w:val="00D83D57"/>
    <w:rPr>
      <w:rFonts w:cs="Times New Roman"/>
    </w:rPr>
  </w:style>
  <w:style w:type="character" w:styleId="a7">
    <w:name w:val="annotation reference"/>
    <w:basedOn w:val="a0"/>
    <w:uiPriority w:val="99"/>
    <w:rsid w:val="005D5A9C"/>
    <w:rPr>
      <w:rFonts w:cs="Times New Roman"/>
      <w:sz w:val="21"/>
    </w:rPr>
  </w:style>
  <w:style w:type="paragraph" w:styleId="a8">
    <w:name w:val="annotation text"/>
    <w:basedOn w:val="a"/>
    <w:link w:val="Char2"/>
    <w:uiPriority w:val="99"/>
    <w:rsid w:val="005D5A9C"/>
    <w:pPr>
      <w:widowControl/>
      <w:jc w:val="left"/>
    </w:pPr>
    <w:rPr>
      <w:kern w:val="0"/>
      <w:sz w:val="24"/>
      <w:lang w:eastAsia="en-US"/>
    </w:rPr>
  </w:style>
  <w:style w:type="character" w:customStyle="1" w:styleId="Char2">
    <w:name w:val="批注文字 Char"/>
    <w:basedOn w:val="a0"/>
    <w:link w:val="a8"/>
    <w:uiPriority w:val="99"/>
    <w:locked/>
    <w:rsid w:val="005D5A9C"/>
    <w:rPr>
      <w:sz w:val="24"/>
      <w:lang w:eastAsia="en-US"/>
    </w:rPr>
  </w:style>
  <w:style w:type="paragraph" w:styleId="a9">
    <w:name w:val="annotation subject"/>
    <w:basedOn w:val="a8"/>
    <w:next w:val="a8"/>
    <w:link w:val="Char3"/>
    <w:uiPriority w:val="99"/>
    <w:rsid w:val="009F2C80"/>
    <w:pPr>
      <w:widowControl w:val="0"/>
    </w:pPr>
    <w:rPr>
      <w:b/>
      <w:bCs/>
      <w:kern w:val="2"/>
      <w:sz w:val="21"/>
    </w:rPr>
  </w:style>
  <w:style w:type="character" w:customStyle="1" w:styleId="Char3">
    <w:name w:val="批注主题 Char"/>
    <w:basedOn w:val="Char2"/>
    <w:link w:val="a9"/>
    <w:uiPriority w:val="99"/>
    <w:locked/>
    <w:rsid w:val="009F2C80"/>
    <w:rPr>
      <w:b/>
      <w:kern w:val="2"/>
      <w:sz w:val="24"/>
      <w:lang w:eastAsia="en-US"/>
    </w:rPr>
  </w:style>
  <w:style w:type="character" w:styleId="aa">
    <w:name w:val="Hyperlink"/>
    <w:basedOn w:val="a0"/>
    <w:uiPriority w:val="99"/>
    <w:rsid w:val="009F2C80"/>
    <w:rPr>
      <w:rFonts w:cs="Times New Roman"/>
      <w:color w:val="0000FF"/>
      <w:u w:val="single"/>
    </w:rPr>
  </w:style>
  <w:style w:type="paragraph" w:styleId="ab">
    <w:name w:val="Revision"/>
    <w:hidden/>
    <w:uiPriority w:val="99"/>
    <w:semiHidden/>
    <w:rsid w:val="0064335F"/>
    <w:rPr>
      <w:szCs w:val="24"/>
    </w:rPr>
  </w:style>
  <w:style w:type="paragraph" w:styleId="ac">
    <w:name w:val="List Paragraph"/>
    <w:basedOn w:val="a"/>
    <w:uiPriority w:val="99"/>
    <w:qFormat/>
    <w:rsid w:val="003148A7"/>
    <w:pPr>
      <w:ind w:firstLineChars="200" w:firstLine="420"/>
    </w:pPr>
  </w:style>
  <w:style w:type="character" w:styleId="ad">
    <w:name w:val="Strong"/>
    <w:basedOn w:val="a0"/>
    <w:uiPriority w:val="99"/>
    <w:qFormat/>
    <w:rsid w:val="00F8282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0991">
      <w:marLeft w:val="0"/>
      <w:marRight w:val="0"/>
      <w:marTop w:val="0"/>
      <w:marBottom w:val="0"/>
      <w:divBdr>
        <w:top w:val="none" w:sz="0" w:space="0" w:color="auto"/>
        <w:left w:val="none" w:sz="0" w:space="0" w:color="auto"/>
        <w:bottom w:val="none" w:sz="0" w:space="0" w:color="auto"/>
        <w:right w:val="none" w:sz="0" w:space="0" w:color="auto"/>
      </w:divBdr>
    </w:div>
    <w:div w:id="268660992">
      <w:marLeft w:val="0"/>
      <w:marRight w:val="0"/>
      <w:marTop w:val="0"/>
      <w:marBottom w:val="0"/>
      <w:divBdr>
        <w:top w:val="none" w:sz="0" w:space="0" w:color="auto"/>
        <w:left w:val="none" w:sz="0" w:space="0" w:color="auto"/>
        <w:bottom w:val="none" w:sz="0" w:space="0" w:color="auto"/>
        <w:right w:val="none" w:sz="0" w:space="0" w:color="auto"/>
      </w:divBdr>
    </w:div>
    <w:div w:id="268660993">
      <w:marLeft w:val="0"/>
      <w:marRight w:val="0"/>
      <w:marTop w:val="0"/>
      <w:marBottom w:val="0"/>
      <w:divBdr>
        <w:top w:val="none" w:sz="0" w:space="0" w:color="auto"/>
        <w:left w:val="none" w:sz="0" w:space="0" w:color="auto"/>
        <w:bottom w:val="none" w:sz="0" w:space="0" w:color="auto"/>
        <w:right w:val="none" w:sz="0" w:space="0" w:color="auto"/>
      </w:divBdr>
    </w:div>
    <w:div w:id="268660994">
      <w:marLeft w:val="0"/>
      <w:marRight w:val="0"/>
      <w:marTop w:val="0"/>
      <w:marBottom w:val="0"/>
      <w:divBdr>
        <w:top w:val="none" w:sz="0" w:space="0" w:color="auto"/>
        <w:left w:val="none" w:sz="0" w:space="0" w:color="auto"/>
        <w:bottom w:val="none" w:sz="0" w:space="0" w:color="auto"/>
        <w:right w:val="none" w:sz="0" w:space="0" w:color="auto"/>
      </w:divBdr>
    </w:div>
    <w:div w:id="268660995">
      <w:marLeft w:val="0"/>
      <w:marRight w:val="0"/>
      <w:marTop w:val="0"/>
      <w:marBottom w:val="0"/>
      <w:divBdr>
        <w:top w:val="none" w:sz="0" w:space="0" w:color="auto"/>
        <w:left w:val="none" w:sz="0" w:space="0" w:color="auto"/>
        <w:bottom w:val="none" w:sz="0" w:space="0" w:color="auto"/>
        <w:right w:val="none" w:sz="0" w:space="0" w:color="auto"/>
      </w:divBdr>
    </w:div>
    <w:div w:id="268660996">
      <w:marLeft w:val="0"/>
      <w:marRight w:val="0"/>
      <w:marTop w:val="0"/>
      <w:marBottom w:val="0"/>
      <w:divBdr>
        <w:top w:val="none" w:sz="0" w:space="0" w:color="auto"/>
        <w:left w:val="none" w:sz="0" w:space="0" w:color="auto"/>
        <w:bottom w:val="none" w:sz="0" w:space="0" w:color="auto"/>
        <w:right w:val="none" w:sz="0" w:space="0" w:color="auto"/>
      </w:divBdr>
    </w:div>
    <w:div w:id="268660997">
      <w:marLeft w:val="0"/>
      <w:marRight w:val="0"/>
      <w:marTop w:val="0"/>
      <w:marBottom w:val="0"/>
      <w:divBdr>
        <w:top w:val="none" w:sz="0" w:space="0" w:color="auto"/>
        <w:left w:val="none" w:sz="0" w:space="0" w:color="auto"/>
        <w:bottom w:val="none" w:sz="0" w:space="0" w:color="auto"/>
        <w:right w:val="none" w:sz="0" w:space="0" w:color="auto"/>
      </w:divBdr>
    </w:div>
    <w:div w:id="268660998">
      <w:marLeft w:val="0"/>
      <w:marRight w:val="0"/>
      <w:marTop w:val="0"/>
      <w:marBottom w:val="0"/>
      <w:divBdr>
        <w:top w:val="none" w:sz="0" w:space="0" w:color="auto"/>
        <w:left w:val="none" w:sz="0" w:space="0" w:color="auto"/>
        <w:bottom w:val="none" w:sz="0" w:space="0" w:color="auto"/>
        <w:right w:val="none" w:sz="0" w:space="0" w:color="auto"/>
      </w:divBdr>
    </w:div>
    <w:div w:id="268660999">
      <w:marLeft w:val="0"/>
      <w:marRight w:val="0"/>
      <w:marTop w:val="0"/>
      <w:marBottom w:val="0"/>
      <w:divBdr>
        <w:top w:val="none" w:sz="0" w:space="0" w:color="auto"/>
        <w:left w:val="none" w:sz="0" w:space="0" w:color="auto"/>
        <w:bottom w:val="none" w:sz="0" w:space="0" w:color="auto"/>
        <w:right w:val="none" w:sz="0" w:space="0" w:color="auto"/>
      </w:divBdr>
    </w:div>
    <w:div w:id="268661000">
      <w:marLeft w:val="0"/>
      <w:marRight w:val="0"/>
      <w:marTop w:val="0"/>
      <w:marBottom w:val="0"/>
      <w:divBdr>
        <w:top w:val="none" w:sz="0" w:space="0" w:color="auto"/>
        <w:left w:val="none" w:sz="0" w:space="0" w:color="auto"/>
        <w:bottom w:val="none" w:sz="0" w:space="0" w:color="auto"/>
        <w:right w:val="none" w:sz="0" w:space="0" w:color="auto"/>
      </w:divBdr>
    </w:div>
    <w:div w:id="268661001">
      <w:marLeft w:val="0"/>
      <w:marRight w:val="0"/>
      <w:marTop w:val="0"/>
      <w:marBottom w:val="0"/>
      <w:divBdr>
        <w:top w:val="none" w:sz="0" w:space="0" w:color="auto"/>
        <w:left w:val="none" w:sz="0" w:space="0" w:color="auto"/>
        <w:bottom w:val="none" w:sz="0" w:space="0" w:color="auto"/>
        <w:right w:val="none" w:sz="0" w:space="0" w:color="auto"/>
      </w:divBdr>
    </w:div>
    <w:div w:id="268661002">
      <w:marLeft w:val="0"/>
      <w:marRight w:val="0"/>
      <w:marTop w:val="0"/>
      <w:marBottom w:val="0"/>
      <w:divBdr>
        <w:top w:val="none" w:sz="0" w:space="0" w:color="auto"/>
        <w:left w:val="none" w:sz="0" w:space="0" w:color="auto"/>
        <w:bottom w:val="none" w:sz="0" w:space="0" w:color="auto"/>
        <w:right w:val="none" w:sz="0" w:space="0" w:color="auto"/>
      </w:divBdr>
    </w:div>
    <w:div w:id="268661003">
      <w:marLeft w:val="0"/>
      <w:marRight w:val="0"/>
      <w:marTop w:val="0"/>
      <w:marBottom w:val="0"/>
      <w:divBdr>
        <w:top w:val="none" w:sz="0" w:space="0" w:color="auto"/>
        <w:left w:val="none" w:sz="0" w:space="0" w:color="auto"/>
        <w:bottom w:val="none" w:sz="0" w:space="0" w:color="auto"/>
        <w:right w:val="none" w:sz="0" w:space="0" w:color="auto"/>
      </w:divBdr>
    </w:div>
    <w:div w:id="268661004">
      <w:marLeft w:val="0"/>
      <w:marRight w:val="0"/>
      <w:marTop w:val="0"/>
      <w:marBottom w:val="0"/>
      <w:divBdr>
        <w:top w:val="none" w:sz="0" w:space="0" w:color="auto"/>
        <w:left w:val="none" w:sz="0" w:space="0" w:color="auto"/>
        <w:bottom w:val="none" w:sz="0" w:space="0" w:color="auto"/>
        <w:right w:val="none" w:sz="0" w:space="0" w:color="auto"/>
      </w:divBdr>
    </w:div>
    <w:div w:id="268661005">
      <w:marLeft w:val="0"/>
      <w:marRight w:val="0"/>
      <w:marTop w:val="0"/>
      <w:marBottom w:val="0"/>
      <w:divBdr>
        <w:top w:val="none" w:sz="0" w:space="0" w:color="auto"/>
        <w:left w:val="none" w:sz="0" w:space="0" w:color="auto"/>
        <w:bottom w:val="none" w:sz="0" w:space="0" w:color="auto"/>
        <w:right w:val="none" w:sz="0" w:space="0" w:color="auto"/>
      </w:divBdr>
    </w:div>
    <w:div w:id="268661006">
      <w:marLeft w:val="0"/>
      <w:marRight w:val="0"/>
      <w:marTop w:val="0"/>
      <w:marBottom w:val="0"/>
      <w:divBdr>
        <w:top w:val="none" w:sz="0" w:space="0" w:color="auto"/>
        <w:left w:val="none" w:sz="0" w:space="0" w:color="auto"/>
        <w:bottom w:val="none" w:sz="0" w:space="0" w:color="auto"/>
        <w:right w:val="none" w:sz="0" w:space="0" w:color="auto"/>
      </w:divBdr>
    </w:div>
    <w:div w:id="268661007">
      <w:marLeft w:val="0"/>
      <w:marRight w:val="0"/>
      <w:marTop w:val="0"/>
      <w:marBottom w:val="0"/>
      <w:divBdr>
        <w:top w:val="none" w:sz="0" w:space="0" w:color="auto"/>
        <w:left w:val="none" w:sz="0" w:space="0" w:color="auto"/>
        <w:bottom w:val="none" w:sz="0" w:space="0" w:color="auto"/>
        <w:right w:val="none" w:sz="0" w:space="0" w:color="auto"/>
      </w:divBdr>
    </w:div>
    <w:div w:id="268661008">
      <w:marLeft w:val="0"/>
      <w:marRight w:val="0"/>
      <w:marTop w:val="0"/>
      <w:marBottom w:val="0"/>
      <w:divBdr>
        <w:top w:val="none" w:sz="0" w:space="0" w:color="auto"/>
        <w:left w:val="none" w:sz="0" w:space="0" w:color="auto"/>
        <w:bottom w:val="none" w:sz="0" w:space="0" w:color="auto"/>
        <w:right w:val="none" w:sz="0" w:space="0" w:color="auto"/>
      </w:divBdr>
    </w:div>
    <w:div w:id="268661009">
      <w:marLeft w:val="0"/>
      <w:marRight w:val="0"/>
      <w:marTop w:val="0"/>
      <w:marBottom w:val="0"/>
      <w:divBdr>
        <w:top w:val="none" w:sz="0" w:space="0" w:color="auto"/>
        <w:left w:val="none" w:sz="0" w:space="0" w:color="auto"/>
        <w:bottom w:val="none" w:sz="0" w:space="0" w:color="auto"/>
        <w:right w:val="none" w:sz="0" w:space="0" w:color="auto"/>
      </w:divBdr>
    </w:div>
    <w:div w:id="268661010">
      <w:marLeft w:val="0"/>
      <w:marRight w:val="0"/>
      <w:marTop w:val="0"/>
      <w:marBottom w:val="0"/>
      <w:divBdr>
        <w:top w:val="none" w:sz="0" w:space="0" w:color="auto"/>
        <w:left w:val="none" w:sz="0" w:space="0" w:color="auto"/>
        <w:bottom w:val="none" w:sz="0" w:space="0" w:color="auto"/>
        <w:right w:val="none" w:sz="0" w:space="0" w:color="auto"/>
      </w:divBdr>
    </w:div>
    <w:div w:id="268661011">
      <w:marLeft w:val="0"/>
      <w:marRight w:val="0"/>
      <w:marTop w:val="0"/>
      <w:marBottom w:val="0"/>
      <w:divBdr>
        <w:top w:val="none" w:sz="0" w:space="0" w:color="auto"/>
        <w:left w:val="none" w:sz="0" w:space="0" w:color="auto"/>
        <w:bottom w:val="none" w:sz="0" w:space="0" w:color="auto"/>
        <w:right w:val="none" w:sz="0" w:space="0" w:color="auto"/>
      </w:divBdr>
    </w:div>
    <w:div w:id="268661012">
      <w:marLeft w:val="0"/>
      <w:marRight w:val="0"/>
      <w:marTop w:val="0"/>
      <w:marBottom w:val="0"/>
      <w:divBdr>
        <w:top w:val="none" w:sz="0" w:space="0" w:color="auto"/>
        <w:left w:val="none" w:sz="0" w:space="0" w:color="auto"/>
        <w:bottom w:val="none" w:sz="0" w:space="0" w:color="auto"/>
        <w:right w:val="none" w:sz="0" w:space="0" w:color="auto"/>
      </w:divBdr>
    </w:div>
    <w:div w:id="268661013">
      <w:marLeft w:val="0"/>
      <w:marRight w:val="0"/>
      <w:marTop w:val="0"/>
      <w:marBottom w:val="0"/>
      <w:divBdr>
        <w:top w:val="none" w:sz="0" w:space="0" w:color="auto"/>
        <w:left w:val="none" w:sz="0" w:space="0" w:color="auto"/>
        <w:bottom w:val="none" w:sz="0" w:space="0" w:color="auto"/>
        <w:right w:val="none" w:sz="0" w:space="0" w:color="auto"/>
      </w:divBdr>
    </w:div>
    <w:div w:id="268661014">
      <w:marLeft w:val="0"/>
      <w:marRight w:val="0"/>
      <w:marTop w:val="0"/>
      <w:marBottom w:val="0"/>
      <w:divBdr>
        <w:top w:val="none" w:sz="0" w:space="0" w:color="auto"/>
        <w:left w:val="none" w:sz="0" w:space="0" w:color="auto"/>
        <w:bottom w:val="none" w:sz="0" w:space="0" w:color="auto"/>
        <w:right w:val="none" w:sz="0" w:space="0" w:color="auto"/>
      </w:divBdr>
    </w:div>
    <w:div w:id="268661015">
      <w:marLeft w:val="0"/>
      <w:marRight w:val="0"/>
      <w:marTop w:val="0"/>
      <w:marBottom w:val="0"/>
      <w:divBdr>
        <w:top w:val="none" w:sz="0" w:space="0" w:color="auto"/>
        <w:left w:val="none" w:sz="0" w:space="0" w:color="auto"/>
        <w:bottom w:val="none" w:sz="0" w:space="0" w:color="auto"/>
        <w:right w:val="none" w:sz="0" w:space="0" w:color="auto"/>
      </w:divBdr>
    </w:div>
    <w:div w:id="268661016">
      <w:marLeft w:val="0"/>
      <w:marRight w:val="0"/>
      <w:marTop w:val="0"/>
      <w:marBottom w:val="0"/>
      <w:divBdr>
        <w:top w:val="none" w:sz="0" w:space="0" w:color="auto"/>
        <w:left w:val="none" w:sz="0" w:space="0" w:color="auto"/>
        <w:bottom w:val="none" w:sz="0" w:space="0" w:color="auto"/>
        <w:right w:val="none" w:sz="0" w:space="0" w:color="auto"/>
      </w:divBdr>
    </w:div>
    <w:div w:id="268661017">
      <w:marLeft w:val="0"/>
      <w:marRight w:val="0"/>
      <w:marTop w:val="0"/>
      <w:marBottom w:val="0"/>
      <w:divBdr>
        <w:top w:val="none" w:sz="0" w:space="0" w:color="auto"/>
        <w:left w:val="none" w:sz="0" w:space="0" w:color="auto"/>
        <w:bottom w:val="none" w:sz="0" w:space="0" w:color="auto"/>
        <w:right w:val="none" w:sz="0" w:space="0" w:color="auto"/>
      </w:divBdr>
    </w:div>
    <w:div w:id="268661018">
      <w:marLeft w:val="0"/>
      <w:marRight w:val="0"/>
      <w:marTop w:val="0"/>
      <w:marBottom w:val="0"/>
      <w:divBdr>
        <w:top w:val="none" w:sz="0" w:space="0" w:color="auto"/>
        <w:left w:val="none" w:sz="0" w:space="0" w:color="auto"/>
        <w:bottom w:val="none" w:sz="0" w:space="0" w:color="auto"/>
        <w:right w:val="none" w:sz="0" w:space="0" w:color="auto"/>
      </w:divBdr>
    </w:div>
    <w:div w:id="268661019">
      <w:marLeft w:val="0"/>
      <w:marRight w:val="0"/>
      <w:marTop w:val="0"/>
      <w:marBottom w:val="0"/>
      <w:divBdr>
        <w:top w:val="none" w:sz="0" w:space="0" w:color="auto"/>
        <w:left w:val="none" w:sz="0" w:space="0" w:color="auto"/>
        <w:bottom w:val="none" w:sz="0" w:space="0" w:color="auto"/>
        <w:right w:val="none" w:sz="0" w:space="0" w:color="auto"/>
      </w:divBdr>
    </w:div>
    <w:div w:id="268661020">
      <w:marLeft w:val="0"/>
      <w:marRight w:val="0"/>
      <w:marTop w:val="0"/>
      <w:marBottom w:val="0"/>
      <w:divBdr>
        <w:top w:val="none" w:sz="0" w:space="0" w:color="auto"/>
        <w:left w:val="none" w:sz="0" w:space="0" w:color="auto"/>
        <w:bottom w:val="none" w:sz="0" w:space="0" w:color="auto"/>
        <w:right w:val="none" w:sz="0" w:space="0" w:color="auto"/>
      </w:divBdr>
    </w:div>
    <w:div w:id="268661021">
      <w:marLeft w:val="0"/>
      <w:marRight w:val="0"/>
      <w:marTop w:val="0"/>
      <w:marBottom w:val="0"/>
      <w:divBdr>
        <w:top w:val="none" w:sz="0" w:space="0" w:color="auto"/>
        <w:left w:val="none" w:sz="0" w:space="0" w:color="auto"/>
        <w:bottom w:val="none" w:sz="0" w:space="0" w:color="auto"/>
        <w:right w:val="none" w:sz="0" w:space="0" w:color="auto"/>
      </w:divBdr>
    </w:div>
    <w:div w:id="268661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4531</Words>
  <Characters>25831</Characters>
  <Application>Microsoft Office Word</Application>
  <DocSecurity>0</DocSecurity>
  <Lines>215</Lines>
  <Paragraphs>60</Paragraphs>
  <ScaleCrop>false</ScaleCrop>
  <Company>Microsoft</Company>
  <LinksUpToDate>false</LinksUpToDate>
  <CharactersWithSpaces>30302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test</dc:creator>
  <cp:lastModifiedBy>LS Ma</cp:lastModifiedBy>
  <cp:revision>2</cp:revision>
  <cp:lastPrinted>2013-02-20T05:56:00Z</cp:lastPrinted>
  <dcterms:created xsi:type="dcterms:W3CDTF">2013-08-04T05:49:00Z</dcterms:created>
  <dcterms:modified xsi:type="dcterms:W3CDTF">2013-08-04T05:49:00Z</dcterms:modified>
</cp:coreProperties>
</file>