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B" w:rsidRDefault="00932BDB" w:rsidP="00932BDB">
      <w:pPr>
        <w:spacing w:line="360" w:lineRule="auto"/>
        <w:rPr>
          <w:rFonts w:ascii="Book Antiqua" w:eastAsia="宋体" w:hAnsi="Book Antiqua" w:cs="Times New Roman"/>
          <w:b/>
          <w:sz w:val="30"/>
          <w:szCs w:val="30"/>
        </w:rPr>
      </w:pPr>
      <w:r w:rsidRPr="008A2F9B">
        <w:rPr>
          <w:rFonts w:ascii="Book Antiqua" w:eastAsia="宋体" w:hAnsi="Book Antiqua" w:cs="Times New Roman"/>
          <w:b/>
          <w:sz w:val="30"/>
          <w:szCs w:val="30"/>
        </w:rPr>
        <w:t>Scientific Research Process</w:t>
      </w:r>
    </w:p>
    <w:p w:rsidR="00932BDB" w:rsidRDefault="00932BDB" w:rsidP="00932BDB">
      <w:pPr>
        <w:spacing w:line="360" w:lineRule="auto"/>
        <w:rPr>
          <w:rFonts w:ascii="Book Antiqua" w:eastAsia="宋体" w:hAnsi="Book Antiqua" w:cs="Times New Roman"/>
          <w:bCs/>
          <w:sz w:val="24"/>
          <w:szCs w:val="24"/>
        </w:rPr>
      </w:pPr>
      <w:r w:rsidRPr="008A2F9B">
        <w:rPr>
          <w:rFonts w:ascii="Book Antiqua" w:eastAsia="宋体" w:hAnsi="Book Antiqua" w:cs="Times New Roman"/>
          <w:bCs/>
          <w:sz w:val="24"/>
          <w:szCs w:val="24"/>
        </w:rPr>
        <w:t>Name of Journal: World Journal of Gastroenterology</w:t>
      </w:r>
    </w:p>
    <w:p w:rsidR="00932BDB" w:rsidRPr="008A2F9B" w:rsidRDefault="00932BDB" w:rsidP="00932BDB">
      <w:pPr>
        <w:spacing w:line="360" w:lineRule="auto"/>
        <w:rPr>
          <w:rFonts w:ascii="Book Antiqua" w:eastAsia="宋体" w:hAnsi="Book Antiqua" w:cs="Times New Roman"/>
          <w:bCs/>
          <w:sz w:val="24"/>
          <w:szCs w:val="24"/>
        </w:rPr>
      </w:pPr>
      <w:r w:rsidRPr="008A2F9B">
        <w:rPr>
          <w:rFonts w:ascii="Book Antiqua" w:eastAsia="宋体" w:hAnsi="Book Antiqua" w:cs="Times New Roman"/>
          <w:bCs/>
          <w:sz w:val="24"/>
          <w:szCs w:val="24"/>
        </w:rPr>
        <w:t>Manuscript NO: 35483</w:t>
      </w:r>
    </w:p>
    <w:p w:rsidR="00932BDB" w:rsidRPr="008A2F9B" w:rsidRDefault="00932BDB" w:rsidP="00932BDB">
      <w:pPr>
        <w:spacing w:line="360" w:lineRule="auto"/>
        <w:rPr>
          <w:rFonts w:ascii="Book Antiqua" w:eastAsia="宋体" w:hAnsi="Book Antiqua" w:cs="Times New Roman"/>
          <w:bCs/>
          <w:sz w:val="24"/>
          <w:szCs w:val="24"/>
        </w:rPr>
      </w:pPr>
      <w:r w:rsidRPr="008A2F9B">
        <w:rPr>
          <w:rFonts w:ascii="Book Antiqua" w:eastAsia="宋体" w:hAnsi="Book Antiqua" w:cs="Times New Roman"/>
          <w:bCs/>
          <w:sz w:val="24"/>
          <w:szCs w:val="24"/>
        </w:rPr>
        <w:t>Manuscript Type: BASIC STUDY</w:t>
      </w:r>
    </w:p>
    <w:p w:rsidR="00932BDB" w:rsidRPr="008A2F9B" w:rsidRDefault="00932BDB" w:rsidP="00932BDB">
      <w:pPr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</w:rPr>
      </w:pPr>
      <w:r w:rsidRPr="008A2F9B">
        <w:rPr>
          <w:rFonts w:ascii="Book Antiqua" w:eastAsia="宋体" w:hAnsi="Book Antiqua" w:cs="Times New Roman"/>
          <w:bCs/>
          <w:sz w:val="24"/>
          <w:szCs w:val="24"/>
        </w:rPr>
        <w:t xml:space="preserve">Title: Astragaloside IV inhibits </w:t>
      </w:r>
      <w:bookmarkStart w:id="0" w:name="OLE_LINK94"/>
      <w:bookmarkStart w:id="1" w:name="OLE_LINK93"/>
      <w:r w:rsidRPr="008A2F9B">
        <w:rPr>
          <w:rFonts w:ascii="Book Antiqua" w:eastAsia="宋体" w:hAnsi="Book Antiqua" w:cs="Times New Roman"/>
          <w:bCs/>
          <w:sz w:val="24"/>
          <w:szCs w:val="24"/>
        </w:rPr>
        <w:t>pathological function</w:t>
      </w:r>
      <w:bookmarkEnd w:id="0"/>
      <w:bookmarkEnd w:id="1"/>
      <w:r w:rsidRPr="008A2F9B">
        <w:rPr>
          <w:rFonts w:ascii="Book Antiqua" w:eastAsia="宋体" w:hAnsi="Book Antiqua" w:cs="Times New Roman"/>
          <w:bCs/>
          <w:sz w:val="24"/>
          <w:szCs w:val="24"/>
        </w:rPr>
        <w:t>s of gastric cancer-associated fibroblasts</w:t>
      </w:r>
    </w:p>
    <w:p w:rsidR="00932BDB" w:rsidRDefault="00932BDB" w:rsidP="00932BDB">
      <w:pPr>
        <w:spacing w:line="360" w:lineRule="auto"/>
        <w:rPr>
          <w:rFonts w:ascii="Book Antiqua" w:eastAsia="宋体" w:hAnsi="Book Antiqua" w:cs="Times New Roman"/>
          <w:bCs/>
          <w:sz w:val="24"/>
          <w:szCs w:val="24"/>
        </w:rPr>
      </w:pPr>
      <w:r w:rsidRPr="008A2F9B">
        <w:rPr>
          <w:rFonts w:ascii="Book Antiqua" w:eastAsia="宋体" w:hAnsi="Book Antiqua" w:cs="Times New Roman"/>
          <w:bCs/>
          <w:sz w:val="24"/>
          <w:szCs w:val="24"/>
        </w:rPr>
        <w:t>Authors: Zhen-Fei Wang</w:t>
      </w:r>
      <w:r w:rsidR="00E8684B" w:rsidRPr="008A2F9B">
        <w:rPr>
          <w:rFonts w:ascii="Book Antiqua" w:eastAsia="宋体" w:hAnsi="Book Antiqua" w:cs="Times New Roman"/>
          <w:bCs/>
          <w:sz w:val="24"/>
          <w:szCs w:val="24"/>
        </w:rPr>
        <w:t>, Da-Guang Ma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>, Zhe Zhu, Yong-Ping Mu, Yong-Yan Yang, Li Feng, Hao Yang, Jun-Qing Liang, Yong-Yan Liu, Li Liu, Hai-Wen Lu</w:t>
      </w:r>
    </w:p>
    <w:p w:rsidR="00932BDB" w:rsidRDefault="00932BDB" w:rsidP="00932BDB">
      <w:pPr>
        <w:spacing w:line="360" w:lineRule="auto"/>
        <w:rPr>
          <w:rFonts w:ascii="Book Antiqua" w:eastAsia="宋体" w:hAnsi="Book Antiqua" w:cs="Times New Roman"/>
          <w:bCs/>
          <w:sz w:val="24"/>
          <w:szCs w:val="24"/>
        </w:rPr>
      </w:pPr>
      <w:r w:rsidRPr="008A2F9B">
        <w:rPr>
          <w:rFonts w:ascii="Book Antiqua" w:eastAsia="宋体" w:hAnsi="Book Antiqua" w:cs="Times New Roman"/>
          <w:bCs/>
          <w:sz w:val="24"/>
          <w:szCs w:val="24"/>
        </w:rPr>
        <w:t xml:space="preserve">Correspondence to: Hai-Wen Lu, </w:t>
      </w:r>
      <w:r w:rsidRPr="00932BDB">
        <w:rPr>
          <w:rFonts w:ascii="Book Antiqua" w:eastAsia="宋体" w:hAnsi="Book Antiqua" w:cs="Times New Roman"/>
          <w:bCs/>
          <w:sz w:val="24"/>
          <w:szCs w:val="24"/>
        </w:rPr>
        <w:t>Affiliated People’s Hospital of Inner Mongolia Medical University, 42 Zhaowuda Road, Huhhot 01002</w:t>
      </w:r>
      <w:r>
        <w:rPr>
          <w:rFonts w:ascii="Book Antiqua" w:eastAsia="宋体" w:hAnsi="Book Antiqua" w:cs="Times New Roman" w:hint="eastAsia"/>
          <w:bCs/>
          <w:sz w:val="24"/>
          <w:szCs w:val="24"/>
        </w:rPr>
        <w:t>0</w:t>
      </w:r>
      <w:r w:rsidRPr="00932BDB">
        <w:rPr>
          <w:rFonts w:ascii="Book Antiqua" w:eastAsia="宋体" w:hAnsi="Book Antiqua" w:cs="Times New Roman"/>
          <w:bCs/>
          <w:sz w:val="24"/>
          <w:szCs w:val="24"/>
        </w:rPr>
        <w:t>, China.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 xml:space="preserve"> E-mail:</w:t>
      </w:r>
      <w:r w:rsidRPr="008A2F9B">
        <w:t xml:space="preserve"> </w:t>
      </w:r>
      <w:bookmarkStart w:id="2" w:name="OLE_LINK536"/>
      <w:bookmarkStart w:id="3" w:name="OLE_LINK537"/>
      <w:r w:rsidRPr="008A2F9B">
        <w:rPr>
          <w:rFonts w:ascii="Book Antiqua" w:eastAsia="宋体" w:hAnsi="Book Antiqua" w:cs="Times New Roman"/>
          <w:bCs/>
          <w:sz w:val="24"/>
          <w:szCs w:val="24"/>
        </w:rPr>
        <w:t>haiwen_l@yeah.net</w:t>
      </w:r>
      <w:bookmarkEnd w:id="2"/>
      <w:bookmarkEnd w:id="3"/>
      <w:r w:rsidRPr="008A2F9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</w:p>
    <w:p w:rsidR="00932BDB" w:rsidRDefault="00932BDB" w:rsidP="00932BDB">
      <w:pPr>
        <w:spacing w:line="360" w:lineRule="auto"/>
        <w:rPr>
          <w:rFonts w:ascii="Book Antiqua" w:eastAsia="宋体" w:hAnsi="Book Antiqua" w:cs="Times New Roman"/>
          <w:bCs/>
          <w:sz w:val="24"/>
          <w:szCs w:val="24"/>
        </w:rPr>
      </w:pPr>
    </w:p>
    <w:p w:rsidR="00932BDB" w:rsidRDefault="00932BDB" w:rsidP="00932BDB">
      <w:pPr>
        <w:spacing w:line="360" w:lineRule="auto"/>
        <w:ind w:firstLineChars="175" w:firstLine="420"/>
        <w:rPr>
          <w:rFonts w:ascii="Book Antiqua" w:eastAsia="宋体" w:hAnsi="Book Antiqua" w:cs="Times New Roman"/>
          <w:bCs/>
          <w:sz w:val="24"/>
          <w:szCs w:val="24"/>
        </w:rPr>
      </w:pPr>
      <w:r w:rsidRPr="008A2F9B">
        <w:rPr>
          <w:rFonts w:ascii="Book Antiqua" w:eastAsia="宋体" w:hAnsi="Book Antiqua" w:cs="Times New Roman"/>
          <w:bCs/>
          <w:sz w:val="24"/>
          <w:szCs w:val="24"/>
        </w:rPr>
        <w:t>1 What did this study explore?</w:t>
      </w:r>
    </w:p>
    <w:p w:rsidR="00932BDB" w:rsidRDefault="00932BDB" w:rsidP="00932BDB">
      <w:pPr>
        <w:spacing w:line="360" w:lineRule="auto"/>
        <w:ind w:firstLineChars="175" w:firstLine="420"/>
        <w:rPr>
          <w:rFonts w:ascii="Book Antiqua" w:eastAsia="宋体" w:hAnsi="Book Antiqua" w:cs="Times New Roman"/>
          <w:bCs/>
          <w:sz w:val="24"/>
          <w:szCs w:val="24"/>
        </w:rPr>
      </w:pPr>
      <w:r w:rsidRPr="008A2F9B">
        <w:rPr>
          <w:rFonts w:ascii="Book Antiqua" w:eastAsia="宋体" w:hAnsi="Book Antiqua" w:cs="Times New Roman"/>
          <w:bCs/>
          <w:sz w:val="24"/>
          <w:szCs w:val="24"/>
        </w:rPr>
        <w:t xml:space="preserve">To investigate the inhibitory effects of astragaloside IV on </w:t>
      </w:r>
      <w:r>
        <w:rPr>
          <w:rFonts w:ascii="Book Antiqua" w:eastAsia="宋体" w:hAnsi="Book Antiqua" w:cs="Times New Roman" w:hint="eastAsia"/>
          <w:bCs/>
          <w:sz w:val="24"/>
          <w:szCs w:val="24"/>
        </w:rPr>
        <w:t xml:space="preserve">the 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>pathological functions of cancer-associated fibroblasts, and to explore the underlying mechanism.</w:t>
      </w:r>
    </w:p>
    <w:p w:rsidR="00932BDB" w:rsidRDefault="00932BDB" w:rsidP="00932BDB">
      <w:pPr>
        <w:spacing w:line="360" w:lineRule="auto"/>
        <w:ind w:firstLine="420"/>
        <w:rPr>
          <w:rFonts w:ascii="Book Antiqua" w:eastAsia="宋体" w:hAnsi="Book Antiqua" w:cs="Times New Roman"/>
          <w:bCs/>
          <w:sz w:val="24"/>
          <w:szCs w:val="24"/>
        </w:rPr>
      </w:pPr>
      <w:r w:rsidRPr="008A2F9B">
        <w:rPr>
          <w:rFonts w:ascii="Book Antiqua" w:eastAsia="宋体" w:hAnsi="Book Antiqua" w:cs="Times New Roman"/>
          <w:bCs/>
          <w:sz w:val="24"/>
          <w:szCs w:val="24"/>
        </w:rPr>
        <w:t>2 How did the authors perform all experiments?</w:t>
      </w:r>
    </w:p>
    <w:p w:rsidR="00932BDB" w:rsidRPr="008A2F9B" w:rsidRDefault="00932BDB" w:rsidP="00932BDB">
      <w:pPr>
        <w:spacing w:line="360" w:lineRule="auto"/>
        <w:ind w:firstLine="420"/>
        <w:rPr>
          <w:rFonts w:ascii="Book Antiqua" w:eastAsia="宋体" w:hAnsi="Book Antiqua" w:cs="Times New Roman"/>
          <w:b/>
          <w:bCs/>
          <w:sz w:val="24"/>
          <w:szCs w:val="24"/>
        </w:rPr>
      </w:pPr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 xml:space="preserve">Paired gastric normal fibroblast (GNF) and gastric cancer-associated fibroblast (GCAF) cultures were established from resected tissues. The GCAFs were treated with 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>vehicle control</w:t>
      </w:r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 xml:space="preserve"> or different concentrations of astragaloside IV. </w:t>
      </w:r>
      <w:bookmarkStart w:id="4" w:name="OLE_LINK517"/>
      <w:bookmarkStart w:id="5" w:name="OLE_LINK518"/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 xml:space="preserve">Conditioned media were prepared from the GNFs, GCAFs, control-treated GCAFs and astragaloside IV-treated GCAFs, and used to culture BGC-823 human gastric cancer cells. 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 xml:space="preserve">Proliferation, migration and invasion capacities of the BGC-823 cells were determined with MTT, wound healing and transwell invasion assays, respectively. The expression of microRNAs in the GCAFs was detected by </w:t>
      </w:r>
      <w:bookmarkStart w:id="6" w:name="OLE_LINK409"/>
      <w:bookmarkStart w:id="7" w:name="OLE_LINK445"/>
      <w:r w:rsidRPr="008A2F9B">
        <w:rPr>
          <w:rFonts w:ascii="Book Antiqua" w:eastAsia="宋体" w:hAnsi="Book Antiqua" w:cs="Times New Roman"/>
          <w:bCs/>
          <w:sz w:val="24"/>
          <w:szCs w:val="24"/>
        </w:rPr>
        <w:t>RT-qPCR</w:t>
      </w:r>
      <w:bookmarkEnd w:id="6"/>
      <w:bookmarkEnd w:id="7"/>
      <w:r w:rsidRPr="008A2F9B">
        <w:rPr>
          <w:rFonts w:ascii="Book Antiqua" w:eastAsia="宋体" w:hAnsi="Book Antiqua" w:cs="Times New Roman"/>
          <w:bCs/>
          <w:sz w:val="24"/>
          <w:szCs w:val="24"/>
        </w:rPr>
        <w:t xml:space="preserve">. The expression and secretion of the oncogenic factor M-CSF and the tumor suppressive factor </w:t>
      </w:r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 xml:space="preserve">TIMP2 in the different groups of GCAFs were determined by </w:t>
      </w:r>
      <w:bookmarkStart w:id="8" w:name="OLE_LINK452"/>
      <w:bookmarkStart w:id="9" w:name="OLE_LINK455"/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 xml:space="preserve">western blot </w:t>
      </w:r>
      <w:bookmarkEnd w:id="8"/>
      <w:bookmarkEnd w:id="9"/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 xml:space="preserve">and ELISA </w:t>
      </w:r>
      <w:bookmarkStart w:id="10" w:name="OLE_LINK456"/>
      <w:bookmarkStart w:id="11" w:name="OLE_LINK457"/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>analysis</w:t>
      </w:r>
      <w:bookmarkEnd w:id="10"/>
      <w:bookmarkEnd w:id="11"/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 xml:space="preserve">, respectively. The expression of 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>the oncogenic pluripotency factors SOX2 and NANOG in the BGC-823 cells cultured with different conditioned media</w:t>
      </w:r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 xml:space="preserve"> was also examined with 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 xml:space="preserve">RT-qPCR and </w:t>
      </w:r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>western blot analysis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>.</w:t>
      </w:r>
    </w:p>
    <w:bookmarkEnd w:id="4"/>
    <w:bookmarkEnd w:id="5"/>
    <w:p w:rsidR="00932BDB" w:rsidRDefault="00932BDB" w:rsidP="00932BDB">
      <w:pPr>
        <w:spacing w:line="360" w:lineRule="auto"/>
        <w:ind w:firstLine="420"/>
        <w:rPr>
          <w:rFonts w:ascii="Book Antiqua" w:eastAsia="宋体" w:hAnsi="Book Antiqua" w:cs="Times New Roman"/>
          <w:bCs/>
          <w:sz w:val="24"/>
          <w:szCs w:val="24"/>
        </w:rPr>
      </w:pPr>
      <w:r w:rsidRPr="008A2F9B">
        <w:rPr>
          <w:rFonts w:ascii="Book Antiqua" w:eastAsia="宋体" w:hAnsi="Book Antiqua" w:cs="Times New Roman"/>
          <w:bCs/>
          <w:sz w:val="24"/>
          <w:szCs w:val="24"/>
        </w:rPr>
        <w:t>3 How did the authors process all experimental data?</w:t>
      </w:r>
    </w:p>
    <w:p w:rsidR="00932BDB" w:rsidRDefault="00932BDB" w:rsidP="00932BDB">
      <w:pPr>
        <w:spacing w:line="360" w:lineRule="auto"/>
        <w:ind w:firstLine="420"/>
        <w:rPr>
          <w:rFonts w:ascii="Book Antiqua" w:eastAsia="宋体" w:hAnsi="Book Antiqua" w:cs="Times New Roman"/>
          <w:bCs/>
          <w:sz w:val="24"/>
          <w:szCs w:val="24"/>
        </w:rPr>
      </w:pPr>
      <w:r w:rsidRPr="008A2F9B">
        <w:rPr>
          <w:rFonts w:ascii="Book Antiqua" w:eastAsia="宋体" w:hAnsi="Book Antiqua" w:cs="Times New Roman"/>
          <w:bCs/>
          <w:sz w:val="24"/>
          <w:szCs w:val="24"/>
        </w:rPr>
        <w:t xml:space="preserve">All statistical analyses were performed with </w:t>
      </w:r>
      <w:r>
        <w:rPr>
          <w:rFonts w:ascii="Book Antiqua" w:eastAsia="宋体" w:hAnsi="Book Antiqua" w:cs="Times New Roman"/>
          <w:bCs/>
          <w:kern w:val="0"/>
          <w:sz w:val="24"/>
          <w:szCs w:val="24"/>
        </w:rPr>
        <w:t>SPSS 17.0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 xml:space="preserve"> for Windows (SPSS Inc., USA). </w:t>
      </w:r>
      <w:bookmarkStart w:id="12" w:name="OLE_LINK513"/>
      <w:bookmarkStart w:id="13" w:name="OLE_LINK514"/>
      <w:r>
        <w:rPr>
          <w:rFonts w:ascii="Book Antiqua" w:eastAsia="宋体" w:hAnsi="Book Antiqua" w:cs="Times New Roman" w:hint="eastAsia"/>
          <w:bCs/>
          <w:kern w:val="0"/>
          <w:sz w:val="24"/>
          <w:szCs w:val="24"/>
        </w:rPr>
        <w:t xml:space="preserve">To 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 xml:space="preserve">determine the statistical differences between two groups, we used the </w:t>
      </w:r>
      <w:r>
        <w:rPr>
          <w:rFonts w:ascii="Book Antiqua" w:eastAsia="宋体" w:hAnsi="Book Antiqua" w:cs="Times New Roman"/>
          <w:bCs/>
          <w:kern w:val="0"/>
          <w:sz w:val="24"/>
          <w:szCs w:val="24"/>
        </w:rPr>
        <w:t xml:space="preserve">Student’s </w:t>
      </w:r>
      <w:r>
        <w:rPr>
          <w:rFonts w:ascii="Book Antiqua" w:eastAsia="宋体" w:hAnsi="Book Antiqua" w:cs="Times New Roman"/>
          <w:bCs/>
          <w:i/>
          <w:kern w:val="0"/>
          <w:sz w:val="24"/>
          <w:szCs w:val="24"/>
        </w:rPr>
        <w:t>t</w:t>
      </w:r>
      <w:r>
        <w:rPr>
          <w:rFonts w:ascii="Book Antiqua" w:eastAsia="宋体" w:hAnsi="Book Antiqua" w:cs="Times New Roman"/>
          <w:bCs/>
          <w:kern w:val="0"/>
          <w:sz w:val="24"/>
          <w:szCs w:val="24"/>
        </w:rPr>
        <w:t>-test</w:t>
      </w:r>
      <w:r>
        <w:rPr>
          <w:rFonts w:ascii="Book Antiqua" w:eastAsia="宋体" w:hAnsi="Book Antiqua" w:cs="Times New Roman" w:hint="eastAsia"/>
          <w:bCs/>
          <w:kern w:val="0"/>
          <w:sz w:val="24"/>
          <w:szCs w:val="24"/>
        </w:rPr>
        <w:t>.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bookmarkStart w:id="14" w:name="OLE_LINK511"/>
      <w:bookmarkStart w:id="15" w:name="OLE_LINK512"/>
      <w:bookmarkEnd w:id="12"/>
      <w:bookmarkEnd w:id="13"/>
      <w:r>
        <w:rPr>
          <w:rFonts w:ascii="Book Antiqua" w:eastAsia="宋体" w:hAnsi="Book Antiqua" w:cs="Times New Roman"/>
          <w:bCs/>
          <w:kern w:val="0"/>
          <w:sz w:val="24"/>
          <w:szCs w:val="24"/>
        </w:rPr>
        <w:t xml:space="preserve">To determine the statistical differences between </w:t>
      </w:r>
      <w:r>
        <w:rPr>
          <w:rFonts w:ascii="Book Antiqua" w:eastAsia="宋体" w:hAnsi="Book Antiqua" w:cs="Times New Roman" w:hint="eastAsia"/>
          <w:bCs/>
          <w:kern w:val="0"/>
          <w:sz w:val="24"/>
          <w:szCs w:val="24"/>
        </w:rPr>
        <w:t>multiple</w:t>
      </w:r>
      <w:r>
        <w:rPr>
          <w:rFonts w:ascii="Book Antiqua" w:eastAsia="宋体" w:hAnsi="Book Antiqua" w:cs="Times New Roman"/>
          <w:bCs/>
          <w:kern w:val="0"/>
          <w:sz w:val="24"/>
          <w:szCs w:val="24"/>
        </w:rPr>
        <w:t xml:space="preserve"> groups, we used the </w:t>
      </w:r>
      <w:bookmarkStart w:id="16" w:name="OLE_LINK515"/>
      <w:bookmarkStart w:id="17" w:name="OLE_LINK516"/>
      <w:bookmarkEnd w:id="14"/>
      <w:bookmarkEnd w:id="15"/>
      <w:r w:rsidRPr="008A2F9B">
        <w:rPr>
          <w:rFonts w:ascii="Book Antiqua" w:eastAsia="宋体" w:hAnsi="Book Antiqua" w:cs="Times New Roman"/>
          <w:bCs/>
          <w:sz w:val="24"/>
          <w:szCs w:val="24"/>
        </w:rPr>
        <w:t>one-way analysis of variance</w:t>
      </w:r>
      <w:bookmarkEnd w:id="16"/>
      <w:bookmarkEnd w:id="17"/>
      <w:r>
        <w:rPr>
          <w:rFonts w:ascii="Book Antiqua" w:eastAsia="宋体" w:hAnsi="Book Antiqua" w:cs="Times New Roman" w:hint="eastAsia"/>
          <w:bCs/>
          <w:sz w:val="24"/>
          <w:szCs w:val="24"/>
        </w:rPr>
        <w:t>.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>
        <w:rPr>
          <w:rFonts w:ascii="Book Antiqua" w:eastAsia="宋体" w:hAnsi="Book Antiqua" w:cs="Times New Roman" w:hint="eastAsia"/>
          <w:bCs/>
          <w:sz w:val="24"/>
          <w:szCs w:val="24"/>
        </w:rPr>
        <w:t>T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 xml:space="preserve">he significance level was set at </w:t>
      </w:r>
      <w:r w:rsidRPr="008A2F9B">
        <w:rPr>
          <w:rFonts w:ascii="Book Antiqua" w:eastAsia="宋体" w:hAnsi="Book Antiqua" w:cs="Times New Roman"/>
          <w:bCs/>
          <w:i/>
          <w:sz w:val="24"/>
          <w:szCs w:val="24"/>
        </w:rPr>
        <w:t xml:space="preserve">P 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 xml:space="preserve">&lt;0.05. </w:t>
      </w:r>
    </w:p>
    <w:p w:rsidR="00932BDB" w:rsidRDefault="00932BDB" w:rsidP="00932BDB">
      <w:pPr>
        <w:spacing w:line="360" w:lineRule="auto"/>
        <w:ind w:firstLine="420"/>
        <w:rPr>
          <w:rFonts w:ascii="Book Antiqua" w:eastAsia="宋体" w:hAnsi="Book Antiqua" w:cs="Times New Roman"/>
          <w:bCs/>
          <w:sz w:val="24"/>
          <w:szCs w:val="24"/>
        </w:rPr>
      </w:pPr>
      <w:r w:rsidRPr="008A2F9B">
        <w:rPr>
          <w:rFonts w:ascii="Book Antiqua" w:eastAsia="宋体" w:hAnsi="Book Antiqua" w:cs="Times New Roman"/>
          <w:bCs/>
          <w:sz w:val="24"/>
          <w:szCs w:val="24"/>
        </w:rPr>
        <w:t>4 How did the authors deal with the pre-study hypothesis?</w:t>
      </w:r>
    </w:p>
    <w:p w:rsidR="00932BDB" w:rsidRDefault="00932BDB" w:rsidP="00932BDB">
      <w:pPr>
        <w:spacing w:line="360" w:lineRule="auto"/>
        <w:ind w:firstLine="420"/>
        <w:rPr>
          <w:rFonts w:ascii="Book Antiqua" w:eastAsia="宋体" w:hAnsi="Book Antiqua" w:cs="Times New Roman"/>
          <w:bCs/>
          <w:sz w:val="24"/>
          <w:szCs w:val="24"/>
        </w:rPr>
      </w:pPr>
      <w:r>
        <w:rPr>
          <w:rFonts w:ascii="Book Antiqua" w:eastAsia="宋体" w:hAnsi="Book Antiqua" w:cs="Times New Roman" w:hint="eastAsia"/>
          <w:bCs/>
          <w:sz w:val="24"/>
          <w:szCs w:val="24"/>
        </w:rPr>
        <w:lastRenderedPageBreak/>
        <w:t xml:space="preserve">To 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>determine</w:t>
      </w:r>
      <w:r>
        <w:rPr>
          <w:rFonts w:ascii="Book Antiqua" w:eastAsia="宋体" w:hAnsi="Book Antiqua" w:cs="Times New Roman" w:hint="eastAsia"/>
          <w:bCs/>
          <w:sz w:val="24"/>
          <w:szCs w:val="24"/>
        </w:rPr>
        <w:t xml:space="preserve"> </w:t>
      </w:r>
      <w:r>
        <w:rPr>
          <w:rFonts w:ascii="Book Antiqua" w:eastAsia="宋体" w:hAnsi="Book Antiqua" w:cs="Times New Roman"/>
          <w:bCs/>
          <w:sz w:val="24"/>
          <w:szCs w:val="24"/>
        </w:rPr>
        <w:t>whether</w:t>
      </w:r>
      <w:r>
        <w:rPr>
          <w:rFonts w:ascii="Book Antiqua" w:eastAsia="宋体" w:hAnsi="Book Antiqua" w:cs="Times New Roman" w:hint="eastAsia"/>
          <w:bCs/>
          <w:sz w:val="24"/>
          <w:szCs w:val="24"/>
        </w:rPr>
        <w:t xml:space="preserve"> </w:t>
      </w:r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>astragaloside IV</w:t>
      </w:r>
      <w:r>
        <w:rPr>
          <w:rFonts w:ascii="Book Antiqua" w:eastAsia="宋体" w:hAnsi="Book Antiqua" w:cs="Times New Roman" w:hint="eastAsia"/>
          <w:bCs/>
          <w:iCs/>
          <w:sz w:val="24"/>
          <w:szCs w:val="24"/>
        </w:rPr>
        <w:t xml:space="preserve"> can inhibit the malignancy-promoting capacities of </w:t>
      </w:r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>GCAFs</w:t>
      </w:r>
      <w:r>
        <w:rPr>
          <w:rFonts w:ascii="Book Antiqua" w:eastAsia="宋体" w:hAnsi="Book Antiqua" w:cs="Times New Roman" w:hint="eastAsia"/>
          <w:bCs/>
          <w:iCs/>
          <w:sz w:val="24"/>
          <w:szCs w:val="24"/>
        </w:rPr>
        <w:t>, c</w:t>
      </w:r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 xml:space="preserve">onditioned media from the GNFs, GCAFs, control-treated GCAFs and </w:t>
      </w:r>
      <w:bookmarkStart w:id="18" w:name="OLE_LINK519"/>
      <w:bookmarkStart w:id="19" w:name="OLE_LINK520"/>
      <w:bookmarkStart w:id="20" w:name="OLE_LINK527"/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>astragaloside IV</w:t>
      </w:r>
      <w:bookmarkEnd w:id="18"/>
      <w:bookmarkEnd w:id="19"/>
      <w:bookmarkEnd w:id="20"/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 xml:space="preserve">-treated </w:t>
      </w:r>
      <w:bookmarkStart w:id="21" w:name="OLE_LINK521"/>
      <w:bookmarkStart w:id="22" w:name="OLE_LINK522"/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>GCAFs</w:t>
      </w:r>
      <w:bookmarkEnd w:id="21"/>
      <w:bookmarkEnd w:id="22"/>
      <w:r>
        <w:rPr>
          <w:rFonts w:ascii="Book Antiqua" w:eastAsia="宋体" w:hAnsi="Book Antiqua" w:cs="Times New Roman" w:hint="eastAsia"/>
          <w:bCs/>
          <w:iCs/>
          <w:sz w:val="24"/>
          <w:szCs w:val="24"/>
        </w:rPr>
        <w:t xml:space="preserve"> were</w:t>
      </w:r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 xml:space="preserve"> use</w:t>
      </w:r>
      <w:r>
        <w:rPr>
          <w:rFonts w:ascii="Book Antiqua" w:eastAsia="宋体" w:hAnsi="Book Antiqua" w:cs="Times New Roman" w:hint="eastAsia"/>
          <w:bCs/>
          <w:iCs/>
          <w:sz w:val="24"/>
          <w:szCs w:val="24"/>
        </w:rPr>
        <w:t xml:space="preserve">d </w:t>
      </w:r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>to culture BGC-823 cells</w:t>
      </w:r>
      <w:r>
        <w:rPr>
          <w:rFonts w:ascii="Book Antiqua" w:eastAsia="宋体" w:hAnsi="Book Antiqua" w:cs="Times New Roman" w:hint="eastAsia"/>
          <w:bCs/>
          <w:iCs/>
          <w:sz w:val="24"/>
          <w:szCs w:val="24"/>
        </w:rPr>
        <w:t xml:space="preserve">, and </w:t>
      </w:r>
      <w:r>
        <w:rPr>
          <w:rFonts w:ascii="Book Antiqua" w:eastAsia="宋体" w:hAnsi="Book Antiqua" w:cs="Times New Roman" w:hint="eastAsia"/>
          <w:bCs/>
          <w:sz w:val="24"/>
          <w:szCs w:val="24"/>
        </w:rPr>
        <w:t>p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 xml:space="preserve">roliferation, migration and invasion capacities of the BGC-823 cells were </w:t>
      </w:r>
      <w:r>
        <w:rPr>
          <w:rFonts w:ascii="Book Antiqua" w:eastAsia="宋体" w:hAnsi="Book Antiqua" w:cs="Times New Roman" w:hint="eastAsia"/>
          <w:bCs/>
          <w:sz w:val="24"/>
          <w:szCs w:val="24"/>
        </w:rPr>
        <w:t>measured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>.</w:t>
      </w:r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 xml:space="preserve"> </w:t>
      </w:r>
      <w:r>
        <w:rPr>
          <w:rFonts w:ascii="Book Antiqua" w:eastAsia="宋体" w:hAnsi="Book Antiqua" w:cs="Times New Roman"/>
          <w:bCs/>
          <w:iCs/>
          <w:sz w:val="24"/>
          <w:szCs w:val="24"/>
        </w:rPr>
        <w:t>T</w:t>
      </w:r>
      <w:r>
        <w:rPr>
          <w:rFonts w:ascii="Book Antiqua" w:eastAsia="宋体" w:hAnsi="Book Antiqua" w:cs="Times New Roman" w:hint="eastAsia"/>
          <w:bCs/>
          <w:iCs/>
          <w:sz w:val="24"/>
          <w:szCs w:val="24"/>
        </w:rPr>
        <w:t xml:space="preserve">o explore the action mechanism of </w:t>
      </w:r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>astragaloside IV</w:t>
      </w:r>
      <w:r>
        <w:rPr>
          <w:rFonts w:ascii="Book Antiqua" w:eastAsia="宋体" w:hAnsi="Book Antiqua" w:cs="Times New Roman" w:hint="eastAsia"/>
          <w:bCs/>
          <w:iCs/>
          <w:sz w:val="24"/>
          <w:szCs w:val="24"/>
        </w:rPr>
        <w:t>,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>
        <w:rPr>
          <w:rFonts w:ascii="Book Antiqua" w:eastAsia="宋体" w:hAnsi="Book Antiqua" w:cs="Times New Roman" w:hint="eastAsia"/>
          <w:bCs/>
          <w:sz w:val="24"/>
          <w:szCs w:val="24"/>
        </w:rPr>
        <w:t>t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 xml:space="preserve">he expression of </w:t>
      </w:r>
      <w:r w:rsidRPr="00A33DDA">
        <w:rPr>
          <w:rFonts w:ascii="Book Antiqua" w:eastAsia="宋体" w:hAnsi="Book Antiqua" w:cs="Times New Roman"/>
          <w:bCs/>
          <w:sz w:val="24"/>
          <w:szCs w:val="24"/>
        </w:rPr>
        <w:t>microRNA-214</w:t>
      </w:r>
      <w:r>
        <w:rPr>
          <w:rFonts w:ascii="Book Antiqua" w:eastAsia="宋体" w:hAnsi="Book Antiqua" w:cs="Times New Roman" w:hint="eastAsia"/>
          <w:bCs/>
          <w:sz w:val="24"/>
          <w:szCs w:val="24"/>
        </w:rPr>
        <w:t>,</w:t>
      </w:r>
      <w:r w:rsidRPr="00A33DDA">
        <w:rPr>
          <w:rFonts w:ascii="Book Antiqua" w:eastAsia="宋体" w:hAnsi="Book Antiqua" w:cs="Times New Roman"/>
          <w:bCs/>
          <w:sz w:val="24"/>
          <w:szCs w:val="24"/>
        </w:rPr>
        <w:t xml:space="preserve"> microRNA-301a</w:t>
      </w:r>
      <w:r>
        <w:rPr>
          <w:rFonts w:ascii="Book Antiqua" w:eastAsia="宋体" w:hAnsi="Book Antiqua" w:cs="Times New Roman" w:hint="eastAsia"/>
          <w:bCs/>
          <w:sz w:val="24"/>
          <w:szCs w:val="24"/>
        </w:rPr>
        <w:t>,</w:t>
      </w:r>
      <w:r w:rsidRPr="00A33DDA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 xml:space="preserve">M-CSF and </w:t>
      </w:r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>TIMP2</w:t>
      </w:r>
      <w:r>
        <w:rPr>
          <w:rFonts w:ascii="Book Antiqua" w:eastAsia="宋体" w:hAnsi="Book Antiqua" w:cs="Times New Roman" w:hint="eastAsia"/>
          <w:bCs/>
          <w:iCs/>
          <w:sz w:val="24"/>
          <w:szCs w:val="24"/>
        </w:rPr>
        <w:t xml:space="preserve"> 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>in the GCAFs was detected</w:t>
      </w:r>
      <w:r>
        <w:rPr>
          <w:rFonts w:ascii="Book Antiqua" w:eastAsia="宋体" w:hAnsi="Book Antiqua" w:cs="Times New Roman" w:hint="eastAsia"/>
          <w:bCs/>
          <w:sz w:val="24"/>
          <w:szCs w:val="24"/>
        </w:rPr>
        <w:t xml:space="preserve">, and the </w:t>
      </w:r>
      <w:r w:rsidRPr="008A2F9B">
        <w:rPr>
          <w:rFonts w:ascii="Book Antiqua" w:eastAsia="宋体" w:hAnsi="Book Antiqua" w:cs="Times New Roman"/>
          <w:bCs/>
          <w:iCs/>
          <w:sz w:val="24"/>
          <w:szCs w:val="24"/>
        </w:rPr>
        <w:t xml:space="preserve">expression of 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>SOX2 and NANOG in the BGC-823 cells</w:t>
      </w:r>
      <w:r>
        <w:rPr>
          <w:rFonts w:ascii="Book Antiqua" w:eastAsia="宋体" w:hAnsi="Book Antiqua" w:cs="Times New Roman" w:hint="eastAsia"/>
          <w:bCs/>
          <w:sz w:val="24"/>
          <w:szCs w:val="24"/>
        </w:rPr>
        <w:t xml:space="preserve"> was also detected.</w:t>
      </w:r>
      <w:r w:rsidRPr="008A2F9B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</w:p>
    <w:p w:rsidR="00932BDB" w:rsidRDefault="00932BDB" w:rsidP="00932BDB">
      <w:pPr>
        <w:spacing w:line="360" w:lineRule="auto"/>
        <w:ind w:firstLineChars="175" w:firstLine="420"/>
        <w:rPr>
          <w:rFonts w:ascii="Book Antiqua" w:eastAsia="宋体" w:hAnsi="Book Antiqua" w:cs="Times New Roman"/>
          <w:bCs/>
          <w:sz w:val="24"/>
          <w:szCs w:val="24"/>
        </w:rPr>
      </w:pPr>
      <w:r w:rsidRPr="008A2F9B">
        <w:rPr>
          <w:rFonts w:ascii="Book Antiqua" w:eastAsia="宋体" w:hAnsi="Book Antiqua" w:cs="Times New Roman"/>
          <w:bCs/>
          <w:sz w:val="24"/>
          <w:szCs w:val="24"/>
        </w:rPr>
        <w:t>5 What are the novel findings of this study?</w:t>
      </w:r>
    </w:p>
    <w:p w:rsidR="00932BDB" w:rsidRPr="002A7F6F" w:rsidRDefault="00932BDB" w:rsidP="00932BDB">
      <w:pPr>
        <w:spacing w:line="360" w:lineRule="auto"/>
        <w:ind w:firstLineChars="175" w:firstLine="420"/>
        <w:rPr>
          <w:rFonts w:ascii="Book Antiqua" w:eastAsia="宋体" w:hAnsi="Book Antiqua" w:cs="Times New Roman"/>
          <w:bCs/>
          <w:sz w:val="24"/>
          <w:szCs w:val="24"/>
        </w:rPr>
      </w:pPr>
      <w:r w:rsidRPr="002A7F6F">
        <w:rPr>
          <w:rFonts w:ascii="Book Antiqua" w:eastAsia="宋体" w:hAnsi="Book Antiqua" w:cs="Times New Roman"/>
          <w:bCs/>
          <w:sz w:val="24"/>
          <w:szCs w:val="24"/>
        </w:rPr>
        <w:t xml:space="preserve">Astragaloside IV can inhibit the pathological functions of </w:t>
      </w:r>
      <w:bookmarkStart w:id="23" w:name="OLE_LINK448"/>
      <w:bookmarkStart w:id="24" w:name="OLE_LINK449"/>
      <w:r w:rsidRPr="002A7F6F">
        <w:rPr>
          <w:rFonts w:ascii="Book Antiqua" w:eastAsia="宋体" w:hAnsi="Book Antiqua" w:cs="Times New Roman"/>
          <w:bCs/>
          <w:sz w:val="24"/>
          <w:szCs w:val="24"/>
        </w:rPr>
        <w:t>GCAFs</w:t>
      </w:r>
      <w:bookmarkEnd w:id="23"/>
      <w:bookmarkEnd w:id="24"/>
      <w:r w:rsidRPr="002A7F6F">
        <w:rPr>
          <w:rFonts w:ascii="Book Antiqua" w:eastAsia="宋体" w:hAnsi="Book Antiqua" w:cs="Times New Roman"/>
          <w:bCs/>
          <w:sz w:val="24"/>
          <w:szCs w:val="24"/>
        </w:rPr>
        <w:t xml:space="preserve"> through correcting their dysregulation of microRNA expression</w:t>
      </w:r>
      <w:bookmarkStart w:id="25" w:name="OLE_LINK382"/>
      <w:bookmarkStart w:id="26" w:name="OLE_LINK383"/>
      <w:r w:rsidRPr="002A7F6F">
        <w:rPr>
          <w:rFonts w:ascii="Book Antiqua" w:eastAsia="宋体" w:hAnsi="Book Antiqua" w:cs="Times New Roman"/>
          <w:bCs/>
          <w:sz w:val="24"/>
          <w:szCs w:val="24"/>
        </w:rPr>
        <w:t xml:space="preserve">; it is promisingly a potent therapeutic agent </w:t>
      </w:r>
      <w:bookmarkEnd w:id="25"/>
      <w:bookmarkEnd w:id="26"/>
      <w:r>
        <w:rPr>
          <w:rFonts w:ascii="Book Antiqua" w:eastAsia="宋体" w:hAnsi="Book Antiqua" w:cs="Times New Roman" w:hint="eastAsia"/>
          <w:bCs/>
          <w:sz w:val="24"/>
          <w:szCs w:val="24"/>
        </w:rPr>
        <w:t>for gastric cancer patients</w:t>
      </w:r>
      <w:r w:rsidRPr="002A7F6F">
        <w:rPr>
          <w:rFonts w:ascii="Book Antiqua" w:eastAsia="宋体" w:hAnsi="Book Antiqua" w:cs="Times New Roman"/>
          <w:bCs/>
          <w:sz w:val="24"/>
          <w:szCs w:val="24"/>
        </w:rPr>
        <w:t>.</w:t>
      </w:r>
    </w:p>
    <w:p w:rsidR="00932BDB" w:rsidRPr="002A7F6F" w:rsidRDefault="00932BDB" w:rsidP="00932BDB">
      <w:pPr>
        <w:spacing w:line="360" w:lineRule="auto"/>
        <w:ind w:firstLine="420"/>
        <w:rPr>
          <w:rFonts w:ascii="Book Antiqua" w:eastAsia="宋体" w:hAnsi="Book Antiqua" w:cs="Times New Roman"/>
          <w:bCs/>
          <w:sz w:val="24"/>
          <w:szCs w:val="24"/>
        </w:rPr>
      </w:pPr>
    </w:p>
    <w:p w:rsidR="00192070" w:rsidRPr="00932BDB" w:rsidRDefault="00192070"/>
    <w:sectPr w:rsidR="00192070" w:rsidRPr="00932BDB" w:rsidSect="002E2464">
      <w:pgSz w:w="11906" w:h="16838"/>
      <w:pgMar w:top="720" w:right="720" w:bottom="72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F5" w:rsidRDefault="00887AF5" w:rsidP="00E8684B">
      <w:r>
        <w:separator/>
      </w:r>
    </w:p>
  </w:endnote>
  <w:endnote w:type="continuationSeparator" w:id="1">
    <w:p w:rsidR="00887AF5" w:rsidRDefault="00887AF5" w:rsidP="00E8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F5" w:rsidRDefault="00887AF5" w:rsidP="00E8684B">
      <w:r>
        <w:separator/>
      </w:r>
    </w:p>
  </w:footnote>
  <w:footnote w:type="continuationSeparator" w:id="1">
    <w:p w:rsidR="00887AF5" w:rsidRDefault="00887AF5" w:rsidP="00E86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BDB"/>
    <w:rsid w:val="000231F5"/>
    <w:rsid w:val="00192070"/>
    <w:rsid w:val="002E2464"/>
    <w:rsid w:val="00887AF5"/>
    <w:rsid w:val="00932BDB"/>
    <w:rsid w:val="00B4075F"/>
    <w:rsid w:val="00E8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8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8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2559</Characters>
  <Application>Microsoft Office Word</Application>
  <DocSecurity>0</DocSecurity>
  <Lines>21</Lines>
  <Paragraphs>6</Paragraphs>
  <ScaleCrop>false</ScaleCrop>
  <Company>Sky123.Org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2017-09-27T14:02:00Z</dcterms:created>
  <dcterms:modified xsi:type="dcterms:W3CDTF">2017-09-29T04:34:00Z</dcterms:modified>
</cp:coreProperties>
</file>