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F9" w:rsidRDefault="00B657F9" w:rsidP="00B657F9">
      <w:pPr>
        <w:rPr>
          <w:rFonts w:ascii="Book Antiqua" w:hAnsi="Book Antiqua"/>
          <w:b/>
          <w:noProof/>
          <w:color w:val="0000FF"/>
          <w:sz w:val="28"/>
          <w:szCs w:val="28"/>
          <w:shd w:val="clear" w:color="auto" w:fill="FFFFFF"/>
        </w:rPr>
      </w:pPr>
    </w:p>
    <w:p w:rsidR="00B657F9" w:rsidRPr="00C846FE" w:rsidRDefault="00B657F9" w:rsidP="00B657F9">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B657F9" w:rsidRPr="000B0D85" w:rsidTr="003B7833">
        <w:trPr>
          <w:trHeight w:val="720"/>
        </w:trPr>
        <w:tc>
          <w:tcPr>
            <w:tcW w:w="2808" w:type="dxa"/>
            <w:vAlign w:val="center"/>
          </w:tcPr>
          <w:p w:rsidR="00B657F9" w:rsidRPr="00CB42A6" w:rsidRDefault="00B657F9" w:rsidP="003B7833">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4F5C5B" w:rsidRDefault="00737F2A">
            <w:pPr>
              <w:spacing w:line="360" w:lineRule="auto"/>
              <w:rPr>
                <w:rFonts w:ascii="Book Antiqua" w:hAnsi="Book Antiqua"/>
                <w:color w:val="000000"/>
                <w:sz w:val="24"/>
                <w:szCs w:val="24"/>
              </w:rPr>
            </w:pPr>
            <w:r w:rsidRPr="00737F2A">
              <w:rPr>
                <w:rFonts w:ascii="Book Antiqua" w:hAnsi="Book Antiqua"/>
                <w:color w:val="000000"/>
                <w:sz w:val="24"/>
                <w:szCs w:val="24"/>
              </w:rPr>
              <w:t xml:space="preserve">First-week clinical responses to </w:t>
            </w:r>
            <w:proofErr w:type="spellStart"/>
            <w:r w:rsidRPr="00737F2A">
              <w:rPr>
                <w:rFonts w:ascii="Book Antiqua" w:hAnsi="Book Antiqua"/>
                <w:color w:val="000000"/>
                <w:sz w:val="24"/>
                <w:szCs w:val="24"/>
              </w:rPr>
              <w:t>dexlansoprazole</w:t>
            </w:r>
            <w:proofErr w:type="spellEnd"/>
            <w:r w:rsidRPr="00737F2A">
              <w:rPr>
                <w:rFonts w:ascii="Book Antiqua" w:hAnsi="Book Antiqua"/>
                <w:color w:val="000000"/>
                <w:sz w:val="24"/>
                <w:szCs w:val="24"/>
              </w:rPr>
              <w:t xml:space="preserve"> 60 mg and esomeprazole 40 mg for the treatment of grades A and B </w:t>
            </w:r>
            <w:proofErr w:type="spellStart"/>
            <w:r w:rsidRPr="00737F2A">
              <w:rPr>
                <w:rFonts w:ascii="Book Antiqua" w:hAnsi="Book Antiqua"/>
                <w:color w:val="000000"/>
                <w:sz w:val="24"/>
                <w:szCs w:val="24"/>
              </w:rPr>
              <w:t>gastroesophageal</w:t>
            </w:r>
            <w:proofErr w:type="spellEnd"/>
            <w:r w:rsidRPr="00737F2A">
              <w:rPr>
                <w:rFonts w:ascii="Book Antiqua" w:hAnsi="Book Antiqua"/>
                <w:color w:val="000000"/>
                <w:sz w:val="24"/>
                <w:szCs w:val="24"/>
              </w:rPr>
              <w:t xml:space="preserve"> reflux disease</w:t>
            </w:r>
          </w:p>
        </w:tc>
      </w:tr>
      <w:tr w:rsidR="00B657F9" w:rsidRPr="000B0D85" w:rsidTr="003B7833">
        <w:trPr>
          <w:trHeight w:val="720"/>
        </w:trPr>
        <w:tc>
          <w:tcPr>
            <w:tcW w:w="2808" w:type="dxa"/>
            <w:vAlign w:val="center"/>
          </w:tcPr>
          <w:p w:rsidR="00B657F9" w:rsidRPr="00CB42A6" w:rsidRDefault="00B657F9" w:rsidP="003B7833">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4F5C5B" w:rsidRDefault="00737F2A">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proofErr w:type="spellStart"/>
            <w:r w:rsidRPr="00737F2A">
              <w:rPr>
                <w:rFonts w:ascii="Book Antiqua" w:hAnsi="Book Antiqua" w:cs="Book Antiqua"/>
                <w:color w:val="000000"/>
                <w:sz w:val="24"/>
                <w:szCs w:val="24"/>
              </w:rPr>
              <w:t>Chih</w:t>
            </w:r>
            <w:proofErr w:type="spellEnd"/>
            <w:r w:rsidRPr="00737F2A">
              <w:rPr>
                <w:rFonts w:ascii="Book Antiqua" w:hAnsi="Book Antiqua" w:cs="Book Antiqua"/>
                <w:color w:val="000000"/>
                <w:sz w:val="24"/>
                <w:szCs w:val="24"/>
              </w:rPr>
              <w:t>-Ming Liang, Ming-</w:t>
            </w:r>
            <w:proofErr w:type="spellStart"/>
            <w:r w:rsidRPr="00737F2A">
              <w:rPr>
                <w:rFonts w:ascii="Book Antiqua" w:hAnsi="Book Antiqua" w:cs="Book Antiqua"/>
                <w:color w:val="000000"/>
                <w:sz w:val="24"/>
                <w:szCs w:val="24"/>
              </w:rPr>
              <w:t>Te</w:t>
            </w:r>
            <w:proofErr w:type="spellEnd"/>
            <w:r w:rsidRPr="00737F2A">
              <w:rPr>
                <w:rFonts w:ascii="Book Antiqua" w:hAnsi="Book Antiqua" w:cs="Book Antiqua"/>
                <w:color w:val="000000"/>
                <w:sz w:val="24"/>
                <w:szCs w:val="24"/>
              </w:rPr>
              <w:t xml:space="preserve"> </w:t>
            </w:r>
            <w:proofErr w:type="spellStart"/>
            <w:r w:rsidRPr="00737F2A">
              <w:rPr>
                <w:rFonts w:ascii="Book Antiqua" w:hAnsi="Book Antiqua" w:cs="Book Antiqua"/>
                <w:color w:val="000000"/>
                <w:sz w:val="24"/>
                <w:szCs w:val="24"/>
              </w:rPr>
              <w:t>Kuo</w:t>
            </w:r>
            <w:proofErr w:type="spellEnd"/>
            <w:r w:rsidRPr="00737F2A">
              <w:rPr>
                <w:rFonts w:ascii="Book Antiqua" w:hAnsi="Book Antiqua" w:cs="Book Antiqua"/>
                <w:color w:val="000000"/>
                <w:sz w:val="24"/>
                <w:szCs w:val="24"/>
              </w:rPr>
              <w:t xml:space="preserve">, Pin-I Hsu, Chao-Hung </w:t>
            </w:r>
            <w:proofErr w:type="spellStart"/>
            <w:r w:rsidRPr="00737F2A">
              <w:rPr>
                <w:rFonts w:ascii="Book Antiqua" w:hAnsi="Book Antiqua" w:cs="Book Antiqua"/>
                <w:color w:val="000000"/>
                <w:sz w:val="24"/>
                <w:szCs w:val="24"/>
              </w:rPr>
              <w:t>Kuo</w:t>
            </w:r>
            <w:proofErr w:type="spellEnd"/>
            <w:r w:rsidRPr="00737F2A">
              <w:rPr>
                <w:rFonts w:ascii="Book Antiqua" w:hAnsi="Book Antiqua" w:cs="Book Antiqua"/>
                <w:color w:val="000000"/>
                <w:sz w:val="24"/>
                <w:szCs w:val="24"/>
              </w:rPr>
              <w:t xml:space="preserve">, Wei-Chen Tai, Shih-Cheng Yang, </w:t>
            </w:r>
            <w:proofErr w:type="spellStart"/>
            <w:r w:rsidRPr="00737F2A">
              <w:rPr>
                <w:rFonts w:ascii="Book Antiqua" w:hAnsi="Book Antiqua" w:cs="Book Antiqua"/>
                <w:color w:val="000000"/>
                <w:sz w:val="24"/>
                <w:szCs w:val="24"/>
              </w:rPr>
              <w:t>Keng</w:t>
            </w:r>
            <w:proofErr w:type="spellEnd"/>
            <w:r w:rsidRPr="00737F2A">
              <w:rPr>
                <w:rFonts w:ascii="Book Antiqua" w:hAnsi="Book Antiqua" w:cs="Book Antiqua"/>
                <w:color w:val="000000"/>
                <w:sz w:val="24"/>
                <w:szCs w:val="24"/>
              </w:rPr>
              <w:t xml:space="preserve">-Liang Wu, </w:t>
            </w:r>
            <w:proofErr w:type="spellStart"/>
            <w:r w:rsidRPr="00737F2A">
              <w:rPr>
                <w:rFonts w:ascii="Book Antiqua" w:hAnsi="Book Antiqua" w:cs="Book Antiqua"/>
                <w:color w:val="000000"/>
                <w:sz w:val="24"/>
                <w:szCs w:val="24"/>
              </w:rPr>
              <w:t>Hsing</w:t>
            </w:r>
            <w:proofErr w:type="spellEnd"/>
            <w:r w:rsidRPr="00737F2A">
              <w:rPr>
                <w:rFonts w:ascii="Book Antiqua" w:hAnsi="Book Antiqua" w:cs="Book Antiqua"/>
                <w:color w:val="000000"/>
                <w:sz w:val="24"/>
                <w:szCs w:val="24"/>
              </w:rPr>
              <w:t xml:space="preserve">-Ming Wang, </w:t>
            </w:r>
            <w:proofErr w:type="spellStart"/>
            <w:r w:rsidRPr="00737F2A">
              <w:rPr>
                <w:rFonts w:ascii="Book Antiqua" w:hAnsi="Book Antiqua" w:cs="Book Antiqua"/>
                <w:color w:val="000000"/>
                <w:sz w:val="24"/>
                <w:szCs w:val="24"/>
              </w:rPr>
              <w:t>Chih-Chien</w:t>
            </w:r>
            <w:proofErr w:type="spellEnd"/>
            <w:r w:rsidRPr="00737F2A">
              <w:rPr>
                <w:rFonts w:ascii="Book Antiqua" w:hAnsi="Book Antiqua" w:cs="Book Antiqua"/>
                <w:color w:val="000000"/>
                <w:sz w:val="24"/>
                <w:szCs w:val="24"/>
              </w:rPr>
              <w:t xml:space="preserve"> Yao, Cheng-En Tsai, Yao-</w:t>
            </w:r>
            <w:proofErr w:type="spellStart"/>
            <w:r w:rsidRPr="00737F2A">
              <w:rPr>
                <w:rFonts w:ascii="Book Antiqua" w:hAnsi="Book Antiqua" w:cs="Book Antiqua"/>
                <w:color w:val="000000"/>
                <w:sz w:val="24"/>
                <w:szCs w:val="24"/>
              </w:rPr>
              <w:t>Kuang</w:t>
            </w:r>
            <w:proofErr w:type="spellEnd"/>
            <w:r w:rsidRPr="00737F2A">
              <w:rPr>
                <w:rFonts w:ascii="Book Antiqua" w:hAnsi="Book Antiqua" w:cs="Book Antiqua"/>
                <w:color w:val="000000"/>
                <w:sz w:val="24"/>
                <w:szCs w:val="24"/>
              </w:rPr>
              <w:t xml:space="preserve"> Wang, </w:t>
            </w:r>
            <w:proofErr w:type="spellStart"/>
            <w:r w:rsidRPr="00737F2A">
              <w:rPr>
                <w:rFonts w:ascii="Book Antiqua" w:hAnsi="Book Antiqua" w:cs="Book Antiqua"/>
                <w:color w:val="000000"/>
                <w:sz w:val="24"/>
                <w:szCs w:val="24"/>
              </w:rPr>
              <w:t>Jiunn</w:t>
            </w:r>
            <w:proofErr w:type="spellEnd"/>
            <w:r w:rsidRPr="00737F2A">
              <w:rPr>
                <w:rFonts w:ascii="Book Antiqua" w:hAnsi="Book Antiqua" w:cs="Book Antiqua"/>
                <w:color w:val="000000"/>
                <w:sz w:val="24"/>
                <w:szCs w:val="24"/>
              </w:rPr>
              <w:t xml:space="preserve">-Wei Wang, </w:t>
            </w:r>
            <w:proofErr w:type="spellStart"/>
            <w:r w:rsidRPr="00737F2A">
              <w:rPr>
                <w:rFonts w:ascii="Book Antiqua" w:hAnsi="Book Antiqua" w:cs="Book Antiqua"/>
                <w:color w:val="000000"/>
                <w:sz w:val="24"/>
                <w:szCs w:val="24"/>
              </w:rPr>
              <w:t>Chih</w:t>
            </w:r>
            <w:proofErr w:type="spellEnd"/>
            <w:r w:rsidRPr="00737F2A">
              <w:rPr>
                <w:rFonts w:ascii="Book Antiqua" w:hAnsi="Book Antiqua" w:cs="Book Antiqua"/>
                <w:color w:val="000000"/>
                <w:sz w:val="24"/>
                <w:szCs w:val="24"/>
              </w:rPr>
              <w:t>-Fang Huang, Deng-</w:t>
            </w:r>
            <w:proofErr w:type="spellStart"/>
            <w:r w:rsidRPr="00737F2A">
              <w:rPr>
                <w:rFonts w:ascii="Book Antiqua" w:hAnsi="Book Antiqua" w:cs="Book Antiqua"/>
                <w:color w:val="000000"/>
                <w:sz w:val="24"/>
                <w:szCs w:val="24"/>
              </w:rPr>
              <w:t>Chyang</w:t>
            </w:r>
            <w:proofErr w:type="spellEnd"/>
            <w:r w:rsidRPr="00737F2A">
              <w:rPr>
                <w:rFonts w:ascii="Book Antiqua" w:hAnsi="Book Antiqua" w:cs="Book Antiqua"/>
                <w:color w:val="000000"/>
                <w:sz w:val="24"/>
                <w:szCs w:val="24"/>
              </w:rPr>
              <w:t xml:space="preserve"> Wu, </w:t>
            </w:r>
            <w:proofErr w:type="spellStart"/>
            <w:r w:rsidRPr="00737F2A">
              <w:rPr>
                <w:rFonts w:ascii="Book Antiqua" w:hAnsi="Book Antiqua" w:cs="Book Antiqua"/>
                <w:color w:val="000000"/>
                <w:sz w:val="24"/>
                <w:szCs w:val="24"/>
              </w:rPr>
              <w:t>Seng-Kee</w:t>
            </w:r>
            <w:proofErr w:type="spellEnd"/>
            <w:r w:rsidRPr="00737F2A">
              <w:rPr>
                <w:rFonts w:ascii="Book Antiqua" w:hAnsi="Book Antiqua" w:cs="Book Antiqua"/>
                <w:color w:val="000000"/>
                <w:sz w:val="24"/>
                <w:szCs w:val="24"/>
              </w:rPr>
              <w:t xml:space="preserve"> </w:t>
            </w:r>
            <w:proofErr w:type="spellStart"/>
            <w:r w:rsidRPr="00737F2A">
              <w:rPr>
                <w:rFonts w:ascii="Book Antiqua" w:hAnsi="Book Antiqua" w:cs="Book Antiqua"/>
                <w:color w:val="000000"/>
                <w:sz w:val="24"/>
                <w:szCs w:val="24"/>
              </w:rPr>
              <w:t>Chuah</w:t>
            </w:r>
            <w:proofErr w:type="spellEnd"/>
            <w:r w:rsidRPr="00737F2A">
              <w:rPr>
                <w:rFonts w:ascii="Book Antiqua" w:hAnsi="Book Antiqua" w:cs="Book Antiqua"/>
                <w:color w:val="000000"/>
                <w:sz w:val="24"/>
                <w:szCs w:val="24"/>
              </w:rPr>
              <w:t>; Taiwan Acid-Related Disease Study Group</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4F5C5B" w:rsidRDefault="00B357CF">
            <w:pPr>
              <w:pStyle w:val="af4"/>
              <w:spacing w:line="360" w:lineRule="auto"/>
              <w:rPr>
                <w:rFonts w:ascii="Book Antiqua" w:hAnsi="Book Antiqua"/>
                <w:sz w:val="24"/>
                <w:szCs w:val="24"/>
                <w:lang w:val="zh-CN"/>
              </w:rPr>
            </w:pPr>
            <w:r w:rsidRPr="00737F2A">
              <w:rPr>
                <w:rFonts w:ascii="Book Antiqua" w:hAnsi="Book Antiqua"/>
                <w:sz w:val="24"/>
                <w:szCs w:val="24"/>
              </w:rPr>
              <w:t xml:space="preserve">Liang CM, </w:t>
            </w:r>
            <w:proofErr w:type="spellStart"/>
            <w:r w:rsidRPr="00737F2A">
              <w:rPr>
                <w:rFonts w:ascii="Book Antiqua" w:hAnsi="Book Antiqua"/>
                <w:sz w:val="24"/>
                <w:szCs w:val="24"/>
              </w:rPr>
              <w:t>Kuo</w:t>
            </w:r>
            <w:proofErr w:type="spellEnd"/>
            <w:r w:rsidRPr="00737F2A">
              <w:rPr>
                <w:rFonts w:ascii="Book Antiqua" w:hAnsi="Book Antiqua"/>
                <w:sz w:val="24"/>
                <w:szCs w:val="24"/>
              </w:rPr>
              <w:t xml:space="preserve"> MT, Hsu PI, </w:t>
            </w:r>
            <w:proofErr w:type="spellStart"/>
            <w:r w:rsidRPr="00737F2A">
              <w:rPr>
                <w:rFonts w:ascii="Book Antiqua" w:hAnsi="Book Antiqua"/>
                <w:sz w:val="24"/>
                <w:szCs w:val="24"/>
              </w:rPr>
              <w:t>Kuo</w:t>
            </w:r>
            <w:proofErr w:type="spellEnd"/>
            <w:r w:rsidRPr="00737F2A">
              <w:rPr>
                <w:rFonts w:ascii="Book Antiqua" w:hAnsi="Book Antiqua"/>
                <w:sz w:val="24"/>
                <w:szCs w:val="24"/>
              </w:rPr>
              <w:t xml:space="preserve"> CH, Tai WC, Yang SC, Wu KL, Wang HM, Yao CC, Tsai CE, Wang YK, Wang JW, Huang CF, Wu DC, </w:t>
            </w:r>
            <w:proofErr w:type="spellStart"/>
            <w:r w:rsidRPr="00737F2A">
              <w:rPr>
                <w:rFonts w:ascii="Book Antiqua" w:hAnsi="Book Antiqua"/>
                <w:sz w:val="24"/>
                <w:szCs w:val="24"/>
              </w:rPr>
              <w:t>Chuah</w:t>
            </w:r>
            <w:proofErr w:type="spellEnd"/>
            <w:r w:rsidRPr="00737F2A">
              <w:rPr>
                <w:rFonts w:ascii="Book Antiqua" w:hAnsi="Book Antiqua"/>
                <w:sz w:val="24"/>
                <w:szCs w:val="24"/>
              </w:rPr>
              <w:t xml:space="preserve"> SK; Taiwan Acid-Related Disease Study Group. First-week clinical responses to </w:t>
            </w:r>
            <w:proofErr w:type="spellStart"/>
            <w:r w:rsidRPr="00737F2A">
              <w:rPr>
                <w:rFonts w:ascii="Book Antiqua" w:hAnsi="Book Antiqua"/>
                <w:sz w:val="24"/>
                <w:szCs w:val="24"/>
              </w:rPr>
              <w:t>dexlansoprazole</w:t>
            </w:r>
            <w:proofErr w:type="spellEnd"/>
            <w:r w:rsidRPr="00737F2A">
              <w:rPr>
                <w:rFonts w:ascii="Book Antiqua" w:hAnsi="Book Antiqua"/>
                <w:sz w:val="24"/>
                <w:szCs w:val="24"/>
              </w:rPr>
              <w:t xml:space="preserve"> 60 mg </w:t>
            </w:r>
            <w:r w:rsidRPr="00737F2A">
              <w:rPr>
                <w:rFonts w:ascii="Book Antiqua" w:hAnsi="Book Antiqua"/>
                <w:sz w:val="24"/>
                <w:szCs w:val="24"/>
              </w:rPr>
              <w:t xml:space="preserve">and esomeprazole 40 mg for the treatment of grades A and B </w:t>
            </w:r>
            <w:proofErr w:type="spellStart"/>
            <w:r w:rsidRPr="00737F2A">
              <w:rPr>
                <w:rFonts w:ascii="Book Antiqua" w:hAnsi="Book Antiqua"/>
                <w:sz w:val="24"/>
                <w:szCs w:val="24"/>
              </w:rPr>
              <w:t>gastroesophageal</w:t>
            </w:r>
            <w:proofErr w:type="spellEnd"/>
            <w:r w:rsidRPr="00737F2A">
              <w:rPr>
                <w:rFonts w:ascii="Book Antiqua" w:hAnsi="Book Antiqua"/>
                <w:sz w:val="24"/>
                <w:szCs w:val="24"/>
              </w:rPr>
              <w:t xml:space="preserve"> reflux disease. </w:t>
            </w:r>
            <w:r>
              <w:rPr>
                <w:rFonts w:ascii="Book Antiqua" w:hAnsi="Book Antiqua"/>
                <w:sz w:val="24"/>
                <w:szCs w:val="24"/>
                <w:lang w:val="zh-CN"/>
              </w:rPr>
              <w:t>World J Gastroenterol 2017; 23(47): 8395-8404</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4F5C5B" w:rsidRDefault="00B357CF">
            <w:pPr>
              <w:pStyle w:val="af3"/>
              <w:spacing w:line="360" w:lineRule="auto"/>
              <w:rPr>
                <w:rFonts w:ascii="Book Antiqua" w:hAnsi="Book Antiqua"/>
                <w:b w:val="0"/>
                <w:bCs w:val="0"/>
                <w:sz w:val="24"/>
                <w:szCs w:val="24"/>
                <w:lang w:val="en-US"/>
              </w:rPr>
            </w:pPr>
            <w:r w:rsidRPr="00737F2A">
              <w:rPr>
                <w:rFonts w:ascii="Book Antiqua" w:hAnsi="Book Antiqua"/>
                <w:b w:val="0"/>
                <w:sz w:val="24"/>
                <w:szCs w:val="24"/>
                <w:lang w:val="en-US"/>
              </w:rPr>
              <w:t>http://www.wjgnet.com/1007-9327/full/v23/i47/8395.htm</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4F5C5B" w:rsidRDefault="00B357CF">
            <w:pPr>
              <w:pStyle w:val="af3"/>
              <w:spacing w:line="360" w:lineRule="auto"/>
              <w:rPr>
                <w:rFonts w:ascii="Book Antiqua" w:hAnsi="Book Antiqua"/>
                <w:b w:val="0"/>
                <w:bCs w:val="0"/>
                <w:sz w:val="24"/>
                <w:szCs w:val="24"/>
                <w:lang w:val="en-US"/>
              </w:rPr>
            </w:pPr>
            <w:r w:rsidRPr="00737F2A">
              <w:rPr>
                <w:rFonts w:ascii="Book Antiqua" w:hAnsi="Book Antiqua"/>
                <w:b w:val="0"/>
                <w:sz w:val="24"/>
                <w:szCs w:val="24"/>
                <w:lang w:val="en-US"/>
              </w:rPr>
              <w:t>http://dx.doi.org/10.3748/wjg.v23.i47.8395</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4F5C5B" w:rsidRDefault="00B357CF">
            <w:pPr>
              <w:pStyle w:val="ad"/>
              <w:spacing w:line="360" w:lineRule="auto"/>
              <w:rPr>
                <w:rFonts w:ascii="Book Antiqua" w:hAnsi="Book Antiqua"/>
                <w:color w:val="000000"/>
                <w:sz w:val="24"/>
                <w:szCs w:val="24"/>
                <w:lang w:val="zh-CN"/>
              </w:rPr>
            </w:pPr>
            <w:r w:rsidRPr="00737F2A">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w:t>
            </w:r>
            <w:r w:rsidRPr="00737F2A">
              <w:rPr>
                <w:rFonts w:ascii="Book Antiqua" w:hAnsi="Book Antiqua"/>
                <w:color w:val="000000"/>
                <w:sz w:val="24"/>
                <w:szCs w:val="24"/>
              </w:rPr>
              <w:lastRenderedPageBreak/>
              <w:t>Commons Attribution Non Commercial (CC BY-NC 4.0) license, which permits</w:t>
            </w:r>
            <w:r w:rsidRPr="00737F2A">
              <w:rPr>
                <w:rFonts w:ascii="Book Antiqua" w:hAnsi="Book Antiqua"/>
                <w:color w:val="000000"/>
                <w:sz w:val="24"/>
                <w:szCs w:val="24"/>
              </w:rPr>
              <w:t xml:space="preserve"> others to distribute, remix, adapt, build upon this work non-commercially, and license their derivative works on different terms, provided the original work is properly cited and the use is non-commercial. </w:t>
            </w:r>
            <w:r>
              <w:rPr>
                <w:rFonts w:ascii="Book Antiqua" w:hAnsi="Book Antiqua"/>
                <w:color w:val="000000"/>
                <w:sz w:val="24"/>
                <w:szCs w:val="24"/>
                <w:lang w:val="zh-CN"/>
              </w:rPr>
              <w:t>See: http://creativecommons.org/licenses/by-nc/4.</w:t>
            </w:r>
            <w:r>
              <w:rPr>
                <w:rFonts w:ascii="Book Antiqua" w:hAnsi="Book Antiqua"/>
                <w:color w:val="000000"/>
                <w:sz w:val="24"/>
                <w:szCs w:val="24"/>
                <w:lang w:val="zh-CN"/>
              </w:rPr>
              <w:t>0/</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 New Roman"/>
                <w:bCs w:val="0"/>
                <w:spacing w:val="-3"/>
                <w:sz w:val="24"/>
                <w:szCs w:val="24"/>
              </w:rPr>
              <w:lastRenderedPageBreak/>
              <w:t>CORE TIP</w:t>
            </w:r>
          </w:p>
        </w:tc>
        <w:tc>
          <w:tcPr>
            <w:tcW w:w="6750" w:type="dxa"/>
            <w:vAlign w:val="center"/>
          </w:tcPr>
          <w:p w:rsidR="004F5C5B" w:rsidRDefault="00737F2A">
            <w:pPr>
              <w:pStyle w:val="E-1"/>
              <w:spacing w:line="360" w:lineRule="auto"/>
              <w:rPr>
                <w:rFonts w:ascii="Book Antiqua" w:hAnsi="Book Antiqua"/>
                <w:bCs/>
                <w:sz w:val="24"/>
                <w:szCs w:val="24"/>
              </w:rPr>
            </w:pPr>
            <w:r w:rsidRPr="00737F2A">
              <w:rPr>
                <w:rFonts w:ascii="Book Antiqua" w:hAnsi="Book Antiqua"/>
                <w:sz w:val="24"/>
                <w:szCs w:val="24"/>
              </w:rPr>
              <w:t xml:space="preserve">No existing report has investigated the short-term clinical effects of </w:t>
            </w:r>
            <w:proofErr w:type="spellStart"/>
            <w:r w:rsidRPr="00737F2A">
              <w:rPr>
                <w:rFonts w:ascii="Book Antiqua" w:hAnsi="Book Antiqua"/>
                <w:sz w:val="24"/>
                <w:szCs w:val="24"/>
              </w:rPr>
              <w:t>dexlansoprazole</w:t>
            </w:r>
            <w:proofErr w:type="spellEnd"/>
            <w:r w:rsidRPr="00737F2A">
              <w:rPr>
                <w:rFonts w:ascii="Book Antiqua" w:hAnsi="Book Antiqua"/>
                <w:sz w:val="24"/>
                <w:szCs w:val="24"/>
              </w:rPr>
              <w:t xml:space="preserve"> 60 mg </w:t>
            </w:r>
            <w:proofErr w:type="spellStart"/>
            <w:r w:rsidRPr="00737F2A">
              <w:rPr>
                <w:rFonts w:ascii="Book Antiqua" w:hAnsi="Book Antiqua"/>
                <w:sz w:val="24"/>
                <w:szCs w:val="24"/>
              </w:rPr>
              <w:t>vs</w:t>
            </w:r>
            <w:proofErr w:type="spellEnd"/>
            <w:r w:rsidRPr="00737F2A">
              <w:rPr>
                <w:rFonts w:ascii="Book Antiqua" w:hAnsi="Book Antiqua"/>
                <w:sz w:val="24"/>
                <w:szCs w:val="24"/>
              </w:rPr>
              <w:t xml:space="preserve"> esomeprazole 40 mg. This study compared the one-week clinical effects of a single dose of the two drugs for grades A and B erosive esophagitis. We enrolled 175 adult patients with </w:t>
            </w:r>
            <w:proofErr w:type="spellStart"/>
            <w:r w:rsidRPr="00737F2A">
              <w:rPr>
                <w:rFonts w:ascii="Book Antiqua" w:hAnsi="Book Antiqua"/>
                <w:sz w:val="24"/>
                <w:szCs w:val="24"/>
              </w:rPr>
              <w:t>gastroesophageal</w:t>
            </w:r>
            <w:proofErr w:type="spellEnd"/>
            <w:r w:rsidRPr="00737F2A">
              <w:rPr>
                <w:rFonts w:ascii="Book Antiqua" w:hAnsi="Book Antiqua"/>
                <w:sz w:val="24"/>
                <w:szCs w:val="24"/>
              </w:rPr>
              <w:t xml:space="preserve"> reflux disease (GERD) and randomized them in a 1:1 ratio into a </w:t>
            </w:r>
            <w:proofErr w:type="spellStart"/>
            <w:r w:rsidRPr="00737F2A">
              <w:rPr>
                <w:rFonts w:ascii="Book Antiqua" w:hAnsi="Book Antiqua"/>
                <w:sz w:val="24"/>
                <w:szCs w:val="24"/>
              </w:rPr>
              <w:t>dexlansoprazole</w:t>
            </w:r>
            <w:proofErr w:type="spellEnd"/>
            <w:r w:rsidRPr="00737F2A">
              <w:rPr>
                <w:rFonts w:ascii="Book Antiqua" w:hAnsi="Book Antiqua"/>
                <w:sz w:val="24"/>
                <w:szCs w:val="24"/>
              </w:rPr>
              <w:t xml:space="preserve"> (n = 88) or esomeprazole group (n = 87) for an intention-to-treat analysis (ITT). The primary end-points were the complete symptom resolution (CSR) rates at days 1, 3, and 7. The CSRs for both groups were similar at days 1, 3 and 7. In the subgroup analysis, female patients achieved higher CSRs in the </w:t>
            </w:r>
            <w:proofErr w:type="spellStart"/>
            <w:r w:rsidRPr="00737F2A">
              <w:rPr>
                <w:rFonts w:ascii="Book Antiqua" w:hAnsi="Book Antiqua"/>
                <w:sz w:val="24"/>
                <w:szCs w:val="24"/>
              </w:rPr>
              <w:t>dexlansoprazole</w:t>
            </w:r>
            <w:proofErr w:type="spellEnd"/>
            <w:r w:rsidRPr="00737F2A">
              <w:rPr>
                <w:rFonts w:ascii="Book Antiqua" w:hAnsi="Book Antiqua"/>
                <w:sz w:val="24"/>
                <w:szCs w:val="24"/>
              </w:rPr>
              <w:t xml:space="preserve"> group than in the esomeprazole group at day 3 (38.3% </w:t>
            </w:r>
            <w:proofErr w:type="spellStart"/>
            <w:r w:rsidRPr="00737F2A">
              <w:rPr>
                <w:rFonts w:ascii="Book Antiqua" w:hAnsi="Book Antiqua"/>
                <w:sz w:val="24"/>
                <w:szCs w:val="24"/>
              </w:rPr>
              <w:t>vs</w:t>
            </w:r>
            <w:proofErr w:type="spellEnd"/>
            <w:r w:rsidRPr="00737F2A">
              <w:rPr>
                <w:rFonts w:ascii="Book Antiqua" w:hAnsi="Book Antiqua"/>
                <w:sz w:val="24"/>
                <w:szCs w:val="24"/>
              </w:rPr>
              <w:t xml:space="preserve"> 18.4%, p = 0.046). In the esomeprazole group, female sex was a negative predictive factor for CSR at post-dose day 1 [OR = -1.249 ± 0.543; 95%CI: 0.287 (0.099-0.832), p = 0.022] and day 3 [OR = -1.254 ± 0.519; 95%CI: 0.285 (0.103-0.789), p = 0.016]. This pilot study suggested that the overall CSR rates for GERD patients were similar at days 1 through 7 for both the </w:t>
            </w:r>
            <w:proofErr w:type="spellStart"/>
            <w:r w:rsidRPr="00737F2A">
              <w:rPr>
                <w:rFonts w:ascii="Book Antiqua" w:hAnsi="Book Antiqua"/>
                <w:sz w:val="24"/>
                <w:szCs w:val="24"/>
              </w:rPr>
              <w:t>dexlansoprazole</w:t>
            </w:r>
            <w:proofErr w:type="spellEnd"/>
            <w:r w:rsidRPr="00737F2A">
              <w:rPr>
                <w:rFonts w:ascii="Book Antiqua" w:hAnsi="Book Antiqua"/>
                <w:sz w:val="24"/>
                <w:szCs w:val="24"/>
              </w:rPr>
              <w:t xml:space="preserve"> and </w:t>
            </w:r>
            <w:r w:rsidRPr="00737F2A">
              <w:rPr>
                <w:rFonts w:ascii="Book Antiqua" w:hAnsi="Book Antiqua"/>
                <w:sz w:val="24"/>
                <w:szCs w:val="24"/>
              </w:rPr>
              <w:lastRenderedPageBreak/>
              <w:t xml:space="preserve">esomeprazole groups, although a higher CSR was observed at day 3 in female patients who received a single dose of </w:t>
            </w:r>
            <w:proofErr w:type="spellStart"/>
            <w:r w:rsidRPr="00737F2A">
              <w:rPr>
                <w:rFonts w:ascii="Book Antiqua" w:hAnsi="Book Antiqua"/>
                <w:sz w:val="24"/>
                <w:szCs w:val="24"/>
              </w:rPr>
              <w:t>dexlansoprazole</w:t>
            </w:r>
            <w:proofErr w:type="spellEnd"/>
            <w:r w:rsidRPr="00737F2A">
              <w:rPr>
                <w:rFonts w:ascii="Book Antiqua" w:hAnsi="Book Antiqua"/>
                <w:sz w:val="24"/>
                <w:szCs w:val="24"/>
              </w:rPr>
              <w:t>.</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4F5C5B" w:rsidRDefault="00737F2A">
            <w:pPr>
              <w:pStyle w:val="E-1"/>
              <w:spacing w:line="360" w:lineRule="auto"/>
              <w:rPr>
                <w:rFonts w:ascii="Book Antiqua" w:hAnsi="Book Antiqua"/>
                <w:spacing w:val="-4"/>
                <w:sz w:val="24"/>
                <w:szCs w:val="24"/>
              </w:rPr>
            </w:pPr>
            <w:proofErr w:type="spellStart"/>
            <w:r w:rsidRPr="00737F2A">
              <w:rPr>
                <w:rFonts w:ascii="Book Antiqua" w:hAnsi="Book Antiqua"/>
                <w:sz w:val="24"/>
                <w:szCs w:val="24"/>
              </w:rPr>
              <w:t>Dexlansoprazole</w:t>
            </w:r>
            <w:proofErr w:type="spellEnd"/>
            <w:r w:rsidRPr="00737F2A">
              <w:rPr>
                <w:rFonts w:ascii="Book Antiqua" w:hAnsi="Book Antiqua"/>
                <w:sz w:val="24"/>
                <w:szCs w:val="24"/>
              </w:rPr>
              <w:t xml:space="preserve">; Esomeprazole; One-week response; Complete symptom resolution rate; </w:t>
            </w:r>
            <w:proofErr w:type="spellStart"/>
            <w:r w:rsidRPr="00737F2A">
              <w:rPr>
                <w:rFonts w:ascii="Book Antiqua" w:hAnsi="Book Antiqua"/>
                <w:sz w:val="24"/>
                <w:szCs w:val="24"/>
              </w:rPr>
              <w:t>Gastroesophageal</w:t>
            </w:r>
            <w:proofErr w:type="spellEnd"/>
            <w:r w:rsidRPr="00737F2A">
              <w:rPr>
                <w:rFonts w:ascii="Book Antiqua" w:hAnsi="Book Antiqua"/>
                <w:sz w:val="24"/>
                <w:szCs w:val="24"/>
              </w:rPr>
              <w:t xml:space="preserve"> reflux disease</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4F5C5B" w:rsidRDefault="00B357CF">
            <w:pPr>
              <w:pStyle w:val="af3"/>
              <w:spacing w:line="360" w:lineRule="auto"/>
              <w:rPr>
                <w:rFonts w:ascii="Book Antiqua" w:hAnsi="Book Antiqua"/>
                <w:b w:val="0"/>
                <w:sz w:val="24"/>
                <w:szCs w:val="24"/>
                <w:lang w:val="en-US"/>
              </w:rPr>
            </w:pPr>
            <w:r>
              <w:rPr>
                <w:rFonts w:ascii="Book Antiqua" w:hAnsi="Book Antiqua"/>
                <w:b w:val="0"/>
                <w:sz w:val="24"/>
                <w:szCs w:val="24"/>
                <w:lang w:val="en-US"/>
              </w:rPr>
              <w:t xml:space="preserve">© The Author(s) 2017. Published by </w:t>
            </w:r>
            <w:proofErr w:type="spellStart"/>
            <w:r>
              <w:rPr>
                <w:rFonts w:ascii="Book Antiqua" w:hAnsi="Book Antiqua"/>
                <w:b w:val="0"/>
                <w:sz w:val="24"/>
                <w:szCs w:val="24"/>
                <w:lang w:val="en-US"/>
              </w:rPr>
              <w:t>Baishideng</w:t>
            </w:r>
            <w:proofErr w:type="spellEnd"/>
            <w:r>
              <w:rPr>
                <w:rFonts w:ascii="Book Antiqua" w:hAnsi="Book Antiqua"/>
                <w:b w:val="0"/>
                <w:sz w:val="24"/>
                <w:szCs w:val="24"/>
                <w:lang w:val="en-US"/>
              </w:rPr>
              <w:t xml:space="preserve"> Publishing Group Inc. All rights reserved.</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4F5C5B" w:rsidRDefault="00B357CF">
            <w:pPr>
              <w:pStyle w:val="af3"/>
              <w:spacing w:line="360" w:lineRule="auto"/>
              <w:rPr>
                <w:rFonts w:ascii="Book Antiqua" w:hAnsi="Book Antiqua"/>
                <w:b w:val="0"/>
                <w:i/>
                <w:sz w:val="24"/>
                <w:szCs w:val="24"/>
                <w:lang w:val="en-US"/>
              </w:rPr>
            </w:pPr>
            <w:r>
              <w:rPr>
                <w:rFonts w:ascii="Book Antiqua" w:hAnsi="Book Antiqua"/>
                <w:b w:val="0"/>
                <w:sz w:val="24"/>
                <w:szCs w:val="24"/>
              </w:rPr>
              <w:t xml:space="preserve">World </w:t>
            </w:r>
            <w:r>
              <w:rPr>
                <w:rFonts w:ascii="Book Antiqua" w:hAnsi="Book Antiqua"/>
                <w:b w:val="0"/>
                <w:sz w:val="24"/>
                <w:szCs w:val="24"/>
              </w:rPr>
              <w:t>Journal of Gastroenterology</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4F5C5B" w:rsidRDefault="00B357CF">
            <w:pPr>
              <w:pStyle w:val="af3"/>
              <w:spacing w:line="360" w:lineRule="auto"/>
              <w:rPr>
                <w:rFonts w:ascii="Book Antiqua" w:hAnsi="Book Antiqua"/>
                <w:b w:val="0"/>
                <w:sz w:val="24"/>
                <w:szCs w:val="24"/>
                <w:lang w:val="en-US"/>
              </w:rPr>
            </w:pPr>
            <w:r>
              <w:rPr>
                <w:rFonts w:ascii="Book Antiqua" w:hAnsi="Book Antiqua"/>
                <w:b w:val="0"/>
                <w:sz w:val="24"/>
                <w:szCs w:val="24"/>
              </w:rPr>
              <w:t>1007-9327</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4F5C5B" w:rsidRDefault="00B357CF">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xml:space="preserve">, 7901 </w:t>
            </w:r>
            <w:proofErr w:type="spellStart"/>
            <w:r>
              <w:rPr>
                <w:rFonts w:ascii="Book Antiqua" w:hAnsi="Book Antiqua"/>
                <w:color w:val="000000"/>
                <w:sz w:val="24"/>
                <w:szCs w:val="24"/>
              </w:rPr>
              <w:t>Stoneridge</w:t>
            </w:r>
            <w:proofErr w:type="spellEnd"/>
            <w:r>
              <w:rPr>
                <w:rFonts w:ascii="Book Antiqua" w:hAnsi="Book Antiqua"/>
                <w:color w:val="000000"/>
                <w:sz w:val="24"/>
                <w:szCs w:val="24"/>
              </w:rPr>
              <w:t xml:space="preserve"> Drive, Suite 501, Pleasanton, CA 94588, USA</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4F5C5B" w:rsidRDefault="00B357CF">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B657F9" w:rsidRPr="000B0D85" w:rsidRDefault="00B657F9" w:rsidP="00B657F9"/>
    <w:p w:rsidR="00EE48DE" w:rsidRDefault="00EE48DE" w:rsidP="00B657F9">
      <w:pPr>
        <w:rPr>
          <w:rFonts w:hint="eastAsia"/>
        </w:rPr>
      </w:pPr>
    </w:p>
    <w:p w:rsidR="00737F2A" w:rsidRDefault="00737F2A" w:rsidP="00B657F9">
      <w:pPr>
        <w:rPr>
          <w:rFonts w:hint="eastAsia"/>
        </w:rPr>
      </w:pPr>
    </w:p>
    <w:p w:rsidR="00737F2A" w:rsidRDefault="00737F2A" w:rsidP="00B657F9">
      <w:pPr>
        <w:rPr>
          <w:rFonts w:hint="eastAsia"/>
        </w:rPr>
      </w:pPr>
    </w:p>
    <w:p w:rsidR="00737F2A" w:rsidRDefault="00737F2A" w:rsidP="00B657F9">
      <w:pPr>
        <w:rPr>
          <w:rFonts w:hint="eastAsia"/>
        </w:rPr>
      </w:pPr>
    </w:p>
    <w:p w:rsidR="00737F2A" w:rsidRDefault="00737F2A" w:rsidP="00B657F9">
      <w:pPr>
        <w:rPr>
          <w:rFonts w:hint="eastAsia"/>
        </w:rPr>
      </w:pPr>
    </w:p>
    <w:p w:rsidR="00737F2A" w:rsidRDefault="00737F2A" w:rsidP="00B657F9">
      <w:pPr>
        <w:rPr>
          <w:rFonts w:hint="eastAsia"/>
        </w:rPr>
      </w:pPr>
    </w:p>
    <w:p w:rsidR="00737F2A" w:rsidRDefault="00737F2A" w:rsidP="00B657F9">
      <w:pPr>
        <w:rPr>
          <w:rFonts w:hint="eastAsia"/>
        </w:rPr>
      </w:pPr>
    </w:p>
    <w:p w:rsidR="00737F2A" w:rsidRDefault="00737F2A" w:rsidP="00B657F9">
      <w:pPr>
        <w:rPr>
          <w:rFonts w:hint="eastAsia"/>
        </w:rPr>
      </w:pPr>
    </w:p>
    <w:p w:rsidR="00737F2A" w:rsidRDefault="00737F2A" w:rsidP="00B657F9">
      <w:pPr>
        <w:rPr>
          <w:rFonts w:hint="eastAsia"/>
        </w:rPr>
      </w:pPr>
    </w:p>
    <w:p w:rsidR="00737F2A" w:rsidRDefault="00737F2A" w:rsidP="00B657F9">
      <w:pPr>
        <w:rPr>
          <w:rFonts w:hint="eastAsia"/>
        </w:rPr>
      </w:pPr>
    </w:p>
    <w:p w:rsidR="00737F2A" w:rsidRDefault="00737F2A" w:rsidP="00B657F9">
      <w:pPr>
        <w:rPr>
          <w:rFonts w:hint="eastAsia"/>
        </w:rPr>
      </w:pPr>
    </w:p>
    <w:p w:rsidR="00737F2A" w:rsidRDefault="00737F2A" w:rsidP="00B657F9">
      <w:pPr>
        <w:rPr>
          <w:rFonts w:hint="eastAsia"/>
        </w:rPr>
      </w:pPr>
    </w:p>
    <w:p w:rsidR="00737F2A" w:rsidRDefault="00737F2A" w:rsidP="00B657F9">
      <w:pPr>
        <w:rPr>
          <w:rFonts w:hint="eastAsia"/>
        </w:rPr>
      </w:pPr>
    </w:p>
    <w:p w:rsidR="00737F2A" w:rsidRDefault="00737F2A" w:rsidP="00B657F9">
      <w:pPr>
        <w:rPr>
          <w:rFonts w:hint="eastAsia"/>
        </w:rPr>
      </w:pPr>
    </w:p>
    <w:p w:rsidR="00737F2A" w:rsidRDefault="00737F2A" w:rsidP="00B657F9">
      <w:pPr>
        <w:rPr>
          <w:rFonts w:hint="eastAsia"/>
        </w:rPr>
      </w:pPr>
    </w:p>
    <w:p w:rsidR="00737F2A" w:rsidRPr="00737F2A" w:rsidRDefault="00737F2A" w:rsidP="00737F2A">
      <w:pPr>
        <w:pStyle w:val="NormalParagraphStyle"/>
        <w:ind w:firstLineChars="900" w:firstLine="2160"/>
        <w:rPr>
          <w:rFonts w:ascii="Monotype Corsiva" w:cs="Monotype Corsiva"/>
          <w:b/>
          <w:bCs/>
          <w:outline/>
          <w:sz w:val="22"/>
          <w:szCs w:val="22"/>
          <w:lang w:val="en-US"/>
          <w14:textOutline w14:w="9525" w14:cap="flat" w14:cmpd="sng" w14:algn="ctr">
            <w14:solidFill>
              <w14:srgbClr w14:val="000000"/>
            </w14:solidFill>
            <w14:prstDash w14:val="solid"/>
            <w14:round/>
          </w14:textOutline>
          <w14:textFill>
            <w14:noFill/>
          </w14:textFill>
        </w:rPr>
      </w:pPr>
      <w:r>
        <w:rPr>
          <w:rFonts w:hint="eastAsia"/>
          <w:lang w:val="en-US"/>
        </w:rPr>
        <w:lastRenderedPageBreak/>
        <w:t xml:space="preserve">                                            </w:t>
      </w:r>
      <w:r w:rsidRPr="00737F2A">
        <w:rPr>
          <w:rFonts w:ascii="Monotype Corsiva" w:cs="Monotype Corsiva"/>
          <w:b/>
          <w:bCs/>
          <w:outline/>
          <w:sz w:val="22"/>
          <w:szCs w:val="22"/>
          <w:lang w:val="en-US"/>
          <w14:textOutline w14:w="9525" w14:cap="flat" w14:cmpd="sng" w14:algn="ctr">
            <w14:solidFill>
              <w14:srgbClr w14:val="000000"/>
            </w14:solidFill>
            <w14:prstDash w14:val="solid"/>
            <w14:round/>
          </w14:textOutline>
          <w14:textFill>
            <w14:noFill/>
          </w14:textFill>
        </w:rPr>
        <w:t>Clinical Trials Study</w:t>
      </w:r>
    </w:p>
    <w:p w:rsidR="00737F2A" w:rsidRPr="00737F2A" w:rsidRDefault="00737F2A" w:rsidP="00737F2A">
      <w:pPr>
        <w:pStyle w:val="NormalParagraphStyle"/>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pPr>
    </w:p>
    <w:p w:rsidR="00737F2A" w:rsidRPr="008C639B" w:rsidRDefault="00737F2A" w:rsidP="00737F2A">
      <w:pPr>
        <w:pStyle w:val="af3"/>
        <w:rPr>
          <w:lang w:val="en-US"/>
        </w:rPr>
      </w:pPr>
      <w:r w:rsidRPr="008C639B">
        <w:rPr>
          <w:lang w:val="en-US"/>
        </w:rPr>
        <w:t xml:space="preserve">First-week clinical responses to </w:t>
      </w:r>
      <w:proofErr w:type="spellStart"/>
      <w:r w:rsidRPr="008C639B">
        <w:rPr>
          <w:lang w:val="en-US"/>
        </w:rPr>
        <w:t>dexlansoprazole</w:t>
      </w:r>
      <w:proofErr w:type="spellEnd"/>
      <w:r w:rsidRPr="008C639B">
        <w:rPr>
          <w:lang w:val="en-US"/>
        </w:rPr>
        <w:t xml:space="preserve"> 60 mg and esomeprazole 40 mg for the treatment of grades A and B </w:t>
      </w:r>
      <w:proofErr w:type="spellStart"/>
      <w:r w:rsidRPr="008C639B">
        <w:rPr>
          <w:lang w:val="en-US"/>
        </w:rPr>
        <w:t>gastroesophageal</w:t>
      </w:r>
      <w:proofErr w:type="spellEnd"/>
      <w:r w:rsidRPr="008C639B">
        <w:rPr>
          <w:lang w:val="en-US"/>
        </w:rPr>
        <w:t xml:space="preserve"> reflux disease</w:t>
      </w:r>
    </w:p>
    <w:p w:rsidR="00737F2A" w:rsidRDefault="00737F2A" w:rsidP="00737F2A">
      <w:pPr>
        <w:rPr>
          <w:rFonts w:hint="eastAsia"/>
        </w:rPr>
      </w:pPr>
    </w:p>
    <w:p w:rsidR="00737F2A" w:rsidRPr="008C639B" w:rsidRDefault="00737F2A" w:rsidP="00737F2A">
      <w:pPr>
        <w:pStyle w:val="af5"/>
        <w:rPr>
          <w:lang w:val="en-US"/>
        </w:rPr>
      </w:pPr>
      <w:proofErr w:type="spellStart"/>
      <w:r w:rsidRPr="008C639B">
        <w:rPr>
          <w:lang w:val="en-US"/>
        </w:rPr>
        <w:t>Chih</w:t>
      </w:r>
      <w:proofErr w:type="spellEnd"/>
      <w:r w:rsidRPr="008C639B">
        <w:rPr>
          <w:lang w:val="en-US"/>
        </w:rPr>
        <w:t>-Ming Liang, Ming-</w:t>
      </w:r>
      <w:proofErr w:type="spellStart"/>
      <w:r w:rsidRPr="008C639B">
        <w:rPr>
          <w:lang w:val="en-US"/>
        </w:rPr>
        <w:t>Te</w:t>
      </w:r>
      <w:proofErr w:type="spellEnd"/>
      <w:r w:rsidRPr="008C639B">
        <w:rPr>
          <w:lang w:val="en-US"/>
        </w:rPr>
        <w:t xml:space="preserve"> </w:t>
      </w:r>
      <w:proofErr w:type="spellStart"/>
      <w:r w:rsidRPr="008C639B">
        <w:rPr>
          <w:lang w:val="en-US"/>
        </w:rPr>
        <w:t>Kuo</w:t>
      </w:r>
      <w:proofErr w:type="spellEnd"/>
      <w:r w:rsidRPr="008C639B">
        <w:rPr>
          <w:lang w:val="en-US"/>
        </w:rPr>
        <w:t xml:space="preserve">, Pin-I Hsu, Chao-Hung </w:t>
      </w:r>
      <w:proofErr w:type="spellStart"/>
      <w:r w:rsidRPr="008C639B">
        <w:rPr>
          <w:lang w:val="en-US"/>
        </w:rPr>
        <w:t>Kuo</w:t>
      </w:r>
      <w:proofErr w:type="spellEnd"/>
      <w:r w:rsidRPr="008C639B">
        <w:rPr>
          <w:lang w:val="en-US"/>
        </w:rPr>
        <w:t xml:space="preserve">, Wei-Chen Tai, Shih-Cheng Yang, </w:t>
      </w:r>
      <w:proofErr w:type="spellStart"/>
      <w:r w:rsidRPr="008C639B">
        <w:rPr>
          <w:lang w:val="en-US"/>
        </w:rPr>
        <w:t>Keng</w:t>
      </w:r>
      <w:proofErr w:type="spellEnd"/>
      <w:r w:rsidRPr="008C639B">
        <w:rPr>
          <w:lang w:val="en-US"/>
        </w:rPr>
        <w:t xml:space="preserve">-Liang Wu, </w:t>
      </w:r>
      <w:proofErr w:type="spellStart"/>
      <w:r w:rsidRPr="008C639B">
        <w:rPr>
          <w:lang w:val="en-US"/>
        </w:rPr>
        <w:t>Hsing</w:t>
      </w:r>
      <w:proofErr w:type="spellEnd"/>
      <w:r w:rsidRPr="008C639B">
        <w:rPr>
          <w:lang w:val="en-US"/>
        </w:rPr>
        <w:t xml:space="preserve">-Ming Wang, </w:t>
      </w:r>
      <w:proofErr w:type="spellStart"/>
      <w:r w:rsidRPr="008C639B">
        <w:rPr>
          <w:lang w:val="en-US"/>
        </w:rPr>
        <w:t>Chih-Chien</w:t>
      </w:r>
      <w:proofErr w:type="spellEnd"/>
      <w:r w:rsidRPr="008C639B">
        <w:rPr>
          <w:lang w:val="en-US"/>
        </w:rPr>
        <w:t xml:space="preserve"> Yao, Cheng-En Tsai, Yao-</w:t>
      </w:r>
      <w:proofErr w:type="spellStart"/>
      <w:r w:rsidRPr="008C639B">
        <w:rPr>
          <w:lang w:val="en-US"/>
        </w:rPr>
        <w:t>Kuang</w:t>
      </w:r>
      <w:proofErr w:type="spellEnd"/>
      <w:r w:rsidRPr="008C639B">
        <w:rPr>
          <w:lang w:val="en-US"/>
        </w:rPr>
        <w:t xml:space="preserve"> Wang, </w:t>
      </w:r>
      <w:proofErr w:type="spellStart"/>
      <w:r w:rsidRPr="008C639B">
        <w:rPr>
          <w:lang w:val="en-US"/>
        </w:rPr>
        <w:t>Jiunn</w:t>
      </w:r>
      <w:proofErr w:type="spellEnd"/>
      <w:r w:rsidRPr="008C639B">
        <w:rPr>
          <w:lang w:val="en-US"/>
        </w:rPr>
        <w:t xml:space="preserve">-Wei Wang, </w:t>
      </w:r>
      <w:proofErr w:type="spellStart"/>
      <w:r w:rsidRPr="008C639B">
        <w:rPr>
          <w:lang w:val="en-US"/>
        </w:rPr>
        <w:t>Chih</w:t>
      </w:r>
      <w:proofErr w:type="spellEnd"/>
      <w:r w:rsidRPr="008C639B">
        <w:rPr>
          <w:lang w:val="en-US"/>
        </w:rPr>
        <w:t>-Fang Huang, Deng-</w:t>
      </w:r>
      <w:proofErr w:type="spellStart"/>
      <w:r w:rsidRPr="008C639B">
        <w:rPr>
          <w:lang w:val="en-US"/>
        </w:rPr>
        <w:t>Chyang</w:t>
      </w:r>
      <w:proofErr w:type="spellEnd"/>
      <w:r w:rsidRPr="008C639B">
        <w:rPr>
          <w:lang w:val="en-US"/>
        </w:rPr>
        <w:t xml:space="preserve"> Wu, </w:t>
      </w:r>
      <w:proofErr w:type="spellStart"/>
      <w:r w:rsidRPr="008C639B">
        <w:rPr>
          <w:lang w:val="en-US"/>
        </w:rPr>
        <w:t>Seng-Kee</w:t>
      </w:r>
      <w:proofErr w:type="spellEnd"/>
      <w:r w:rsidRPr="008C639B">
        <w:rPr>
          <w:lang w:val="en-US"/>
        </w:rPr>
        <w:t xml:space="preserve"> </w:t>
      </w:r>
      <w:proofErr w:type="spellStart"/>
      <w:r w:rsidRPr="008C639B">
        <w:rPr>
          <w:lang w:val="en-US"/>
        </w:rPr>
        <w:t>Chuah</w:t>
      </w:r>
      <w:proofErr w:type="spellEnd"/>
      <w:r w:rsidRPr="008C639B">
        <w:rPr>
          <w:lang w:val="en-US"/>
        </w:rPr>
        <w:t>; Taiwan Acid-Related Disease Study Group</w:t>
      </w:r>
    </w:p>
    <w:p w:rsidR="00737F2A" w:rsidRDefault="00737F2A" w:rsidP="00737F2A">
      <w:pPr>
        <w:rPr>
          <w:rFonts w:hint="eastAsia"/>
        </w:rPr>
      </w:pPr>
    </w:p>
    <w:p w:rsidR="00737F2A" w:rsidRPr="008C639B" w:rsidRDefault="00737F2A" w:rsidP="00737F2A">
      <w:pPr>
        <w:suppressAutoHyphens/>
        <w:autoSpaceDE w:val="0"/>
        <w:autoSpaceDN w:val="0"/>
        <w:adjustRightInd w:val="0"/>
        <w:spacing w:line="210" w:lineRule="atLeast"/>
        <w:textAlignment w:val="center"/>
        <w:rPr>
          <w:color w:val="000000"/>
          <w:spacing w:val="-2"/>
          <w:kern w:val="0"/>
          <w:sz w:val="18"/>
          <w:szCs w:val="18"/>
        </w:rPr>
      </w:pPr>
      <w:proofErr w:type="spellStart"/>
      <w:r w:rsidRPr="008C639B">
        <w:rPr>
          <w:rFonts w:ascii="Tahoma" w:hAnsi="Tahoma" w:cs="Tahoma"/>
          <w:color w:val="000000"/>
          <w:spacing w:val="-2"/>
          <w:kern w:val="0"/>
          <w:sz w:val="18"/>
          <w:szCs w:val="18"/>
        </w:rPr>
        <w:t>Chih</w:t>
      </w:r>
      <w:proofErr w:type="spellEnd"/>
      <w:r w:rsidRPr="008C639B">
        <w:rPr>
          <w:rFonts w:ascii="Tahoma" w:hAnsi="Tahoma" w:cs="Tahoma"/>
          <w:color w:val="000000"/>
          <w:spacing w:val="-2"/>
          <w:kern w:val="0"/>
          <w:sz w:val="18"/>
          <w:szCs w:val="18"/>
        </w:rPr>
        <w:t>-Ming Liang, Ming-</w:t>
      </w:r>
      <w:proofErr w:type="spellStart"/>
      <w:r w:rsidRPr="008C639B">
        <w:rPr>
          <w:rFonts w:ascii="Tahoma" w:hAnsi="Tahoma" w:cs="Tahoma"/>
          <w:color w:val="000000"/>
          <w:spacing w:val="-2"/>
          <w:kern w:val="0"/>
          <w:sz w:val="18"/>
          <w:szCs w:val="18"/>
        </w:rPr>
        <w:t>Te</w:t>
      </w:r>
      <w:proofErr w:type="spellEnd"/>
      <w:r w:rsidRPr="008C639B">
        <w:rPr>
          <w:rFonts w:ascii="Tahoma" w:hAnsi="Tahoma" w:cs="Tahoma"/>
          <w:color w:val="000000"/>
          <w:spacing w:val="-2"/>
          <w:kern w:val="0"/>
          <w:sz w:val="18"/>
          <w:szCs w:val="18"/>
        </w:rPr>
        <w:t xml:space="preserve"> </w:t>
      </w:r>
      <w:proofErr w:type="spellStart"/>
      <w:r w:rsidRPr="008C639B">
        <w:rPr>
          <w:rFonts w:ascii="Tahoma" w:hAnsi="Tahoma" w:cs="Tahoma"/>
          <w:color w:val="000000"/>
          <w:spacing w:val="-2"/>
          <w:kern w:val="0"/>
          <w:sz w:val="18"/>
          <w:szCs w:val="18"/>
        </w:rPr>
        <w:t>Kuo</w:t>
      </w:r>
      <w:proofErr w:type="spellEnd"/>
      <w:r w:rsidRPr="008C639B">
        <w:rPr>
          <w:rFonts w:ascii="Tahoma" w:hAnsi="Tahoma" w:cs="Tahoma"/>
          <w:color w:val="000000"/>
          <w:spacing w:val="-2"/>
          <w:kern w:val="0"/>
          <w:sz w:val="18"/>
          <w:szCs w:val="18"/>
        </w:rPr>
        <w:t xml:space="preserve">, Wei-Chen Tai, Shih-Cheng Yang, </w:t>
      </w:r>
      <w:proofErr w:type="spellStart"/>
      <w:r w:rsidRPr="008C639B">
        <w:rPr>
          <w:rFonts w:ascii="Tahoma" w:hAnsi="Tahoma" w:cs="Tahoma"/>
          <w:color w:val="000000"/>
          <w:spacing w:val="-2"/>
          <w:kern w:val="0"/>
          <w:sz w:val="18"/>
          <w:szCs w:val="18"/>
        </w:rPr>
        <w:t>Keng</w:t>
      </w:r>
      <w:proofErr w:type="spellEnd"/>
      <w:r w:rsidRPr="008C639B">
        <w:rPr>
          <w:rFonts w:ascii="Tahoma" w:hAnsi="Tahoma" w:cs="Tahoma"/>
          <w:color w:val="000000"/>
          <w:spacing w:val="-2"/>
          <w:kern w:val="0"/>
          <w:sz w:val="18"/>
          <w:szCs w:val="18"/>
        </w:rPr>
        <w:t xml:space="preserve">-Liang Wu, </w:t>
      </w:r>
      <w:proofErr w:type="spellStart"/>
      <w:r w:rsidRPr="008C639B">
        <w:rPr>
          <w:rFonts w:ascii="Tahoma" w:hAnsi="Tahoma" w:cs="Tahoma"/>
          <w:color w:val="000000"/>
          <w:spacing w:val="-2"/>
          <w:kern w:val="0"/>
          <w:sz w:val="18"/>
          <w:szCs w:val="18"/>
        </w:rPr>
        <w:t>Hsing</w:t>
      </w:r>
      <w:proofErr w:type="spellEnd"/>
      <w:r w:rsidRPr="008C639B">
        <w:rPr>
          <w:rFonts w:ascii="Tahoma" w:hAnsi="Tahoma" w:cs="Tahoma"/>
          <w:color w:val="000000"/>
          <w:spacing w:val="-2"/>
          <w:kern w:val="0"/>
          <w:sz w:val="18"/>
          <w:szCs w:val="18"/>
        </w:rPr>
        <w:t xml:space="preserve">-Ming Wang, </w:t>
      </w:r>
      <w:proofErr w:type="spellStart"/>
      <w:r w:rsidRPr="008C639B">
        <w:rPr>
          <w:rFonts w:ascii="Tahoma" w:hAnsi="Tahoma" w:cs="Tahoma"/>
          <w:color w:val="000000"/>
          <w:spacing w:val="-2"/>
          <w:kern w:val="0"/>
          <w:sz w:val="18"/>
          <w:szCs w:val="18"/>
        </w:rPr>
        <w:t>Chih-Chien</w:t>
      </w:r>
      <w:proofErr w:type="spellEnd"/>
      <w:r w:rsidRPr="008C639B">
        <w:rPr>
          <w:rFonts w:ascii="Tahoma" w:hAnsi="Tahoma" w:cs="Tahoma"/>
          <w:color w:val="000000"/>
          <w:spacing w:val="-2"/>
          <w:kern w:val="0"/>
          <w:sz w:val="18"/>
          <w:szCs w:val="18"/>
        </w:rPr>
        <w:t xml:space="preserve"> Yao, Cheng-En Tsai, </w:t>
      </w:r>
      <w:proofErr w:type="spellStart"/>
      <w:r w:rsidRPr="008C639B">
        <w:rPr>
          <w:rFonts w:ascii="Tahoma" w:hAnsi="Tahoma" w:cs="Tahoma"/>
          <w:color w:val="000000"/>
          <w:spacing w:val="-2"/>
          <w:kern w:val="0"/>
          <w:sz w:val="18"/>
          <w:szCs w:val="18"/>
        </w:rPr>
        <w:t>Seng-Kee</w:t>
      </w:r>
      <w:proofErr w:type="spellEnd"/>
      <w:r w:rsidRPr="008C639B">
        <w:rPr>
          <w:rFonts w:ascii="Tahoma" w:hAnsi="Tahoma" w:cs="Tahoma"/>
          <w:color w:val="000000"/>
          <w:spacing w:val="-2"/>
          <w:kern w:val="0"/>
          <w:sz w:val="18"/>
          <w:szCs w:val="18"/>
        </w:rPr>
        <w:t xml:space="preserve"> </w:t>
      </w:r>
      <w:proofErr w:type="spellStart"/>
      <w:r w:rsidRPr="008C639B">
        <w:rPr>
          <w:rFonts w:ascii="Tahoma" w:hAnsi="Tahoma" w:cs="Tahoma"/>
          <w:color w:val="000000"/>
          <w:spacing w:val="-2"/>
          <w:kern w:val="0"/>
          <w:sz w:val="18"/>
          <w:szCs w:val="18"/>
        </w:rPr>
        <w:t>Chuah</w:t>
      </w:r>
      <w:proofErr w:type="spellEnd"/>
      <w:r w:rsidRPr="008C639B">
        <w:rPr>
          <w:rFonts w:ascii="Tahoma" w:hAnsi="Tahoma" w:cs="Tahoma"/>
          <w:color w:val="000000"/>
          <w:spacing w:val="-2"/>
          <w:kern w:val="0"/>
          <w:sz w:val="18"/>
          <w:szCs w:val="18"/>
        </w:rPr>
        <w:t>,</w:t>
      </w:r>
      <w:r w:rsidRPr="008C639B">
        <w:rPr>
          <w:color w:val="000000"/>
          <w:spacing w:val="-2"/>
          <w:kern w:val="0"/>
          <w:sz w:val="18"/>
          <w:szCs w:val="18"/>
        </w:rPr>
        <w:t xml:space="preserve"> Division of </w:t>
      </w:r>
      <w:proofErr w:type="spellStart"/>
      <w:r w:rsidRPr="008C639B">
        <w:rPr>
          <w:color w:val="000000"/>
          <w:spacing w:val="-2"/>
          <w:kern w:val="0"/>
          <w:sz w:val="18"/>
          <w:szCs w:val="18"/>
        </w:rPr>
        <w:t>Hepato</w:t>
      </w:r>
      <w:proofErr w:type="spellEnd"/>
      <w:r w:rsidRPr="008C639B">
        <w:rPr>
          <w:color w:val="000000"/>
          <w:spacing w:val="-2"/>
          <w:kern w:val="0"/>
          <w:sz w:val="18"/>
          <w:szCs w:val="18"/>
        </w:rPr>
        <w:t>-Gastroenterology, Department of Internal Medicine, Kaohsiung Chang Gung Memorial Hospital and Chang Gung University College of Medicine, Kaohsiung 833, Taiwan</w:t>
      </w:r>
    </w:p>
    <w:p w:rsidR="00737F2A" w:rsidRPr="008C639B" w:rsidRDefault="00737F2A" w:rsidP="00737F2A">
      <w:pPr>
        <w:suppressAutoHyphens/>
        <w:autoSpaceDE w:val="0"/>
        <w:autoSpaceDN w:val="0"/>
        <w:adjustRightInd w:val="0"/>
        <w:spacing w:line="210" w:lineRule="atLeast"/>
        <w:textAlignment w:val="center"/>
        <w:rPr>
          <w:color w:val="000000"/>
          <w:spacing w:val="-2"/>
          <w:kern w:val="0"/>
          <w:sz w:val="18"/>
          <w:szCs w:val="18"/>
          <w:vertAlign w:val="superscript"/>
        </w:rPr>
      </w:pPr>
      <w:r w:rsidRPr="008C639B">
        <w:rPr>
          <w:rFonts w:ascii="Tahoma" w:hAnsi="Tahoma" w:cs="Tahoma"/>
          <w:color w:val="000000"/>
          <w:spacing w:val="-2"/>
          <w:kern w:val="0"/>
          <w:sz w:val="18"/>
          <w:szCs w:val="18"/>
        </w:rPr>
        <w:t>Pin-I Hsu,</w:t>
      </w:r>
      <w:r w:rsidRPr="008C639B">
        <w:rPr>
          <w:color w:val="000000"/>
          <w:spacing w:val="-2"/>
          <w:kern w:val="0"/>
          <w:sz w:val="18"/>
          <w:szCs w:val="18"/>
        </w:rPr>
        <w:t xml:space="preserve"> Division of Gastroenterology, Department of Internal Medicine, Kaohsiung Veterans General Hospital, National Yang-Ming University, Kaohsiung 833, Taiwan</w:t>
      </w:r>
    </w:p>
    <w:p w:rsidR="00737F2A" w:rsidRPr="008C639B" w:rsidRDefault="00737F2A" w:rsidP="00737F2A">
      <w:pPr>
        <w:suppressAutoHyphens/>
        <w:autoSpaceDE w:val="0"/>
        <w:autoSpaceDN w:val="0"/>
        <w:adjustRightInd w:val="0"/>
        <w:spacing w:line="210" w:lineRule="atLeast"/>
        <w:textAlignment w:val="center"/>
        <w:rPr>
          <w:color w:val="000000"/>
          <w:spacing w:val="-2"/>
          <w:kern w:val="0"/>
          <w:sz w:val="18"/>
          <w:szCs w:val="18"/>
        </w:rPr>
      </w:pPr>
      <w:r w:rsidRPr="008C639B">
        <w:rPr>
          <w:rFonts w:ascii="Tahoma" w:hAnsi="Tahoma" w:cs="Tahoma"/>
          <w:color w:val="000000"/>
          <w:spacing w:val="-2"/>
          <w:kern w:val="0"/>
          <w:sz w:val="18"/>
          <w:szCs w:val="18"/>
        </w:rPr>
        <w:t xml:space="preserve">Chao-Hung </w:t>
      </w:r>
      <w:proofErr w:type="spellStart"/>
      <w:r w:rsidRPr="008C639B">
        <w:rPr>
          <w:rFonts w:ascii="Tahoma" w:hAnsi="Tahoma" w:cs="Tahoma"/>
          <w:color w:val="000000"/>
          <w:spacing w:val="-2"/>
          <w:kern w:val="0"/>
          <w:sz w:val="18"/>
          <w:szCs w:val="18"/>
        </w:rPr>
        <w:t>Kuo</w:t>
      </w:r>
      <w:proofErr w:type="spellEnd"/>
      <w:r w:rsidRPr="008C639B">
        <w:rPr>
          <w:rFonts w:ascii="Tahoma" w:hAnsi="Tahoma" w:cs="Tahoma"/>
          <w:color w:val="000000"/>
          <w:spacing w:val="-2"/>
          <w:kern w:val="0"/>
          <w:sz w:val="18"/>
          <w:szCs w:val="18"/>
        </w:rPr>
        <w:t>, Yao-</w:t>
      </w:r>
      <w:proofErr w:type="spellStart"/>
      <w:r w:rsidRPr="008C639B">
        <w:rPr>
          <w:rFonts w:ascii="Tahoma" w:hAnsi="Tahoma" w:cs="Tahoma"/>
          <w:color w:val="000000"/>
          <w:spacing w:val="-2"/>
          <w:kern w:val="0"/>
          <w:sz w:val="18"/>
          <w:szCs w:val="18"/>
        </w:rPr>
        <w:t>Kuang</w:t>
      </w:r>
      <w:proofErr w:type="spellEnd"/>
      <w:r w:rsidRPr="008C639B">
        <w:rPr>
          <w:rFonts w:ascii="Tahoma" w:hAnsi="Tahoma" w:cs="Tahoma"/>
          <w:color w:val="000000"/>
          <w:spacing w:val="-2"/>
          <w:kern w:val="0"/>
          <w:sz w:val="18"/>
          <w:szCs w:val="18"/>
        </w:rPr>
        <w:t xml:space="preserve"> Wang, </w:t>
      </w:r>
      <w:proofErr w:type="spellStart"/>
      <w:r w:rsidRPr="008C639B">
        <w:rPr>
          <w:rFonts w:ascii="Tahoma" w:hAnsi="Tahoma" w:cs="Tahoma"/>
          <w:color w:val="000000"/>
          <w:spacing w:val="-2"/>
          <w:kern w:val="0"/>
          <w:sz w:val="18"/>
          <w:szCs w:val="18"/>
        </w:rPr>
        <w:t>Jiunn</w:t>
      </w:r>
      <w:proofErr w:type="spellEnd"/>
      <w:r w:rsidRPr="008C639B">
        <w:rPr>
          <w:rFonts w:ascii="Tahoma" w:hAnsi="Tahoma" w:cs="Tahoma"/>
          <w:color w:val="000000"/>
          <w:spacing w:val="-2"/>
          <w:kern w:val="0"/>
          <w:sz w:val="18"/>
          <w:szCs w:val="18"/>
        </w:rPr>
        <w:t>-Wei Wang, Deng-</w:t>
      </w:r>
      <w:proofErr w:type="spellStart"/>
      <w:r w:rsidRPr="008C639B">
        <w:rPr>
          <w:rFonts w:ascii="Tahoma" w:hAnsi="Tahoma" w:cs="Tahoma"/>
          <w:color w:val="000000"/>
          <w:spacing w:val="-2"/>
          <w:kern w:val="0"/>
          <w:sz w:val="18"/>
          <w:szCs w:val="18"/>
        </w:rPr>
        <w:t>Chyang</w:t>
      </w:r>
      <w:proofErr w:type="spellEnd"/>
      <w:r w:rsidRPr="008C639B">
        <w:rPr>
          <w:rFonts w:ascii="Tahoma" w:hAnsi="Tahoma" w:cs="Tahoma"/>
          <w:color w:val="000000"/>
          <w:spacing w:val="-2"/>
          <w:kern w:val="0"/>
          <w:sz w:val="18"/>
          <w:szCs w:val="18"/>
        </w:rPr>
        <w:t xml:space="preserve"> Wu,</w:t>
      </w:r>
      <w:r w:rsidRPr="008C639B">
        <w:rPr>
          <w:color w:val="000000"/>
          <w:spacing w:val="-2"/>
          <w:kern w:val="0"/>
          <w:sz w:val="18"/>
          <w:szCs w:val="18"/>
        </w:rPr>
        <w:t xml:space="preserve"> Division of Gastroenterology, Department of Internal Medicine, Kaohsiung Medical University Hospital and Kaohsiung Medical University, Kaohsiung 833, Taiwan</w:t>
      </w:r>
    </w:p>
    <w:p w:rsidR="00737F2A" w:rsidRPr="008C639B" w:rsidRDefault="00737F2A" w:rsidP="00737F2A">
      <w:pPr>
        <w:suppressAutoHyphens/>
        <w:autoSpaceDE w:val="0"/>
        <w:autoSpaceDN w:val="0"/>
        <w:adjustRightInd w:val="0"/>
        <w:spacing w:line="210" w:lineRule="atLeast"/>
        <w:textAlignment w:val="center"/>
        <w:rPr>
          <w:rFonts w:hint="eastAsia"/>
          <w:color w:val="000000"/>
          <w:spacing w:val="-2"/>
          <w:kern w:val="0"/>
          <w:sz w:val="18"/>
          <w:szCs w:val="18"/>
        </w:rPr>
      </w:pPr>
      <w:proofErr w:type="spellStart"/>
      <w:r w:rsidRPr="008C639B">
        <w:rPr>
          <w:rFonts w:ascii="Tahoma" w:hAnsi="Tahoma" w:cs="Tahoma"/>
          <w:color w:val="000000"/>
          <w:spacing w:val="-2"/>
          <w:kern w:val="0"/>
          <w:sz w:val="18"/>
          <w:szCs w:val="18"/>
        </w:rPr>
        <w:t>Chih</w:t>
      </w:r>
      <w:proofErr w:type="spellEnd"/>
      <w:r w:rsidRPr="008C639B">
        <w:rPr>
          <w:rFonts w:ascii="Tahoma" w:hAnsi="Tahoma" w:cs="Tahoma"/>
          <w:color w:val="000000"/>
          <w:spacing w:val="-2"/>
          <w:kern w:val="0"/>
          <w:sz w:val="18"/>
          <w:szCs w:val="18"/>
        </w:rPr>
        <w:t>-Fang Huang,</w:t>
      </w:r>
      <w:r w:rsidRPr="008C639B">
        <w:rPr>
          <w:color w:val="000000"/>
          <w:spacing w:val="-2"/>
          <w:kern w:val="0"/>
          <w:sz w:val="18"/>
          <w:szCs w:val="18"/>
        </w:rPr>
        <w:t xml:space="preserve"> Division of Family Physicians, Kaohsiung Chang Gung Memorial Hospital and Chang Gung University College of Medicine, Kaohsiung 833, Taiwan</w:t>
      </w:r>
    </w:p>
    <w:p w:rsidR="00737F2A" w:rsidRPr="008C639B" w:rsidRDefault="00737F2A" w:rsidP="00737F2A">
      <w:pPr>
        <w:suppressAutoHyphens/>
        <w:autoSpaceDE w:val="0"/>
        <w:autoSpaceDN w:val="0"/>
        <w:adjustRightInd w:val="0"/>
        <w:spacing w:line="210" w:lineRule="atLeast"/>
        <w:textAlignment w:val="center"/>
        <w:rPr>
          <w:rFonts w:hint="eastAsia"/>
          <w:color w:val="000000"/>
          <w:spacing w:val="-2"/>
          <w:kern w:val="0"/>
          <w:sz w:val="18"/>
          <w:szCs w:val="18"/>
        </w:rPr>
      </w:pPr>
      <w:r w:rsidRPr="008C639B">
        <w:rPr>
          <w:rFonts w:ascii="Tahoma" w:hAnsi="Tahoma" w:cs="Tahoma"/>
          <w:color w:val="000000"/>
          <w:kern w:val="0"/>
          <w:sz w:val="18"/>
          <w:szCs w:val="18"/>
        </w:rPr>
        <w:t>Author contributions:</w:t>
      </w:r>
      <w:r w:rsidRPr="008C639B">
        <w:rPr>
          <w:color w:val="000000"/>
          <w:spacing w:val="-2"/>
          <w:kern w:val="0"/>
          <w:sz w:val="18"/>
          <w:szCs w:val="18"/>
        </w:rPr>
        <w:t xml:space="preserve"> Liang CM and </w:t>
      </w:r>
      <w:proofErr w:type="spellStart"/>
      <w:r w:rsidRPr="008C639B">
        <w:rPr>
          <w:color w:val="000000"/>
          <w:spacing w:val="-2"/>
          <w:kern w:val="0"/>
          <w:sz w:val="18"/>
          <w:szCs w:val="18"/>
        </w:rPr>
        <w:t>Kuo</w:t>
      </w:r>
      <w:proofErr w:type="spellEnd"/>
      <w:r w:rsidRPr="008C639B">
        <w:rPr>
          <w:color w:val="000000"/>
          <w:spacing w:val="-2"/>
          <w:kern w:val="0"/>
          <w:sz w:val="18"/>
          <w:szCs w:val="18"/>
        </w:rPr>
        <w:t xml:space="preserve"> MT contributed equally to this work; </w:t>
      </w:r>
      <w:proofErr w:type="spellStart"/>
      <w:r w:rsidRPr="008C639B">
        <w:rPr>
          <w:color w:val="000000"/>
          <w:spacing w:val="-2"/>
          <w:kern w:val="0"/>
          <w:sz w:val="18"/>
          <w:szCs w:val="18"/>
        </w:rPr>
        <w:t>Chuah</w:t>
      </w:r>
      <w:proofErr w:type="spellEnd"/>
      <w:r w:rsidRPr="008C639B">
        <w:rPr>
          <w:color w:val="000000"/>
          <w:spacing w:val="-2"/>
          <w:kern w:val="0"/>
          <w:sz w:val="18"/>
          <w:szCs w:val="18"/>
        </w:rPr>
        <w:t xml:space="preserve"> SK contributed to the research design and critical revision of the manuscript for important intellectual content; Hsu PI, </w:t>
      </w:r>
      <w:proofErr w:type="spellStart"/>
      <w:r w:rsidRPr="008C639B">
        <w:rPr>
          <w:color w:val="000000"/>
          <w:spacing w:val="-2"/>
          <w:kern w:val="0"/>
          <w:sz w:val="18"/>
          <w:szCs w:val="18"/>
        </w:rPr>
        <w:t>Kuo</w:t>
      </w:r>
      <w:proofErr w:type="spellEnd"/>
      <w:r w:rsidRPr="008C639B">
        <w:rPr>
          <w:color w:val="000000"/>
          <w:spacing w:val="-2"/>
          <w:kern w:val="0"/>
          <w:sz w:val="18"/>
          <w:szCs w:val="18"/>
        </w:rPr>
        <w:t xml:space="preserve"> CH, Tai WC, Yang SC, Wu KL, Wang HM, Yao CC, Tsai CE, Wang YK, Wang JW, Huang CF, Wu DC and </w:t>
      </w:r>
      <w:proofErr w:type="spellStart"/>
      <w:r w:rsidRPr="008C639B">
        <w:rPr>
          <w:color w:val="000000"/>
          <w:spacing w:val="-2"/>
          <w:kern w:val="0"/>
          <w:sz w:val="18"/>
          <w:szCs w:val="18"/>
        </w:rPr>
        <w:t>Chuah</w:t>
      </w:r>
      <w:proofErr w:type="spellEnd"/>
      <w:r w:rsidRPr="008C639B">
        <w:rPr>
          <w:color w:val="000000"/>
          <w:spacing w:val="-2"/>
          <w:kern w:val="0"/>
          <w:sz w:val="18"/>
          <w:szCs w:val="18"/>
        </w:rPr>
        <w:t xml:space="preserve"> SK performed the research; Liang CM and </w:t>
      </w:r>
      <w:proofErr w:type="spellStart"/>
      <w:r w:rsidRPr="008C639B">
        <w:rPr>
          <w:color w:val="000000"/>
          <w:spacing w:val="-2"/>
          <w:kern w:val="0"/>
          <w:sz w:val="18"/>
          <w:szCs w:val="18"/>
        </w:rPr>
        <w:t>Kuo</w:t>
      </w:r>
      <w:proofErr w:type="spellEnd"/>
      <w:r w:rsidRPr="008C639B">
        <w:rPr>
          <w:color w:val="000000"/>
          <w:spacing w:val="-2"/>
          <w:kern w:val="0"/>
          <w:sz w:val="18"/>
          <w:szCs w:val="18"/>
        </w:rPr>
        <w:t xml:space="preserve"> MT analyzed the data and wrote the manuscript; all authors approved the final version of the manuscript.</w:t>
      </w:r>
    </w:p>
    <w:p w:rsidR="00737F2A" w:rsidRPr="008C639B" w:rsidRDefault="00737F2A" w:rsidP="00737F2A">
      <w:pPr>
        <w:suppressAutoHyphens/>
        <w:autoSpaceDE w:val="0"/>
        <w:autoSpaceDN w:val="0"/>
        <w:adjustRightInd w:val="0"/>
        <w:spacing w:line="210" w:lineRule="atLeast"/>
        <w:textAlignment w:val="center"/>
        <w:rPr>
          <w:color w:val="000000"/>
          <w:spacing w:val="-2"/>
          <w:kern w:val="0"/>
          <w:sz w:val="18"/>
          <w:szCs w:val="18"/>
        </w:rPr>
      </w:pPr>
      <w:r w:rsidRPr="008C639B">
        <w:rPr>
          <w:rFonts w:ascii="Tahoma" w:hAnsi="Tahoma" w:cs="Tahoma"/>
          <w:color w:val="000000"/>
          <w:kern w:val="0"/>
          <w:sz w:val="18"/>
          <w:szCs w:val="18"/>
        </w:rPr>
        <w:t>Correspondence to:</w:t>
      </w:r>
      <w:r w:rsidRPr="008C639B">
        <w:rPr>
          <w:color w:val="000000"/>
          <w:spacing w:val="-2"/>
          <w:kern w:val="0"/>
          <w:sz w:val="18"/>
          <w:szCs w:val="18"/>
        </w:rPr>
        <w:t xml:space="preserve"> </w:t>
      </w:r>
      <w:proofErr w:type="spellStart"/>
      <w:r w:rsidRPr="008C639B">
        <w:rPr>
          <w:rFonts w:ascii="Tahoma" w:hAnsi="Tahoma" w:cs="Tahoma"/>
          <w:color w:val="000000"/>
          <w:spacing w:val="-2"/>
          <w:kern w:val="0"/>
          <w:sz w:val="18"/>
          <w:szCs w:val="18"/>
        </w:rPr>
        <w:t>Seng-Kee</w:t>
      </w:r>
      <w:proofErr w:type="spellEnd"/>
      <w:r w:rsidRPr="008C639B">
        <w:rPr>
          <w:rFonts w:ascii="Tahoma" w:hAnsi="Tahoma" w:cs="Tahoma"/>
          <w:color w:val="000000"/>
          <w:spacing w:val="-2"/>
          <w:kern w:val="0"/>
          <w:sz w:val="18"/>
          <w:szCs w:val="18"/>
        </w:rPr>
        <w:t xml:space="preserve"> </w:t>
      </w:r>
      <w:proofErr w:type="spellStart"/>
      <w:r w:rsidRPr="008C639B">
        <w:rPr>
          <w:rFonts w:ascii="Tahoma" w:hAnsi="Tahoma" w:cs="Tahoma"/>
          <w:color w:val="000000"/>
          <w:spacing w:val="-2"/>
          <w:kern w:val="0"/>
          <w:sz w:val="18"/>
          <w:szCs w:val="18"/>
        </w:rPr>
        <w:t>Chuah</w:t>
      </w:r>
      <w:proofErr w:type="spellEnd"/>
      <w:r w:rsidRPr="008C639B">
        <w:rPr>
          <w:rFonts w:ascii="Tahoma" w:hAnsi="Tahoma" w:cs="Tahoma"/>
          <w:color w:val="000000"/>
          <w:spacing w:val="-2"/>
          <w:kern w:val="0"/>
          <w:sz w:val="18"/>
          <w:szCs w:val="18"/>
        </w:rPr>
        <w:t>, MD, Chief Doctor, Professor,</w:t>
      </w:r>
      <w:r w:rsidRPr="008C639B">
        <w:rPr>
          <w:color w:val="000000"/>
          <w:spacing w:val="-2"/>
          <w:kern w:val="0"/>
          <w:sz w:val="18"/>
          <w:szCs w:val="18"/>
        </w:rPr>
        <w:t xml:space="preserve"> Division of </w:t>
      </w:r>
      <w:proofErr w:type="spellStart"/>
      <w:r w:rsidRPr="008C639B">
        <w:rPr>
          <w:color w:val="000000"/>
          <w:spacing w:val="-2"/>
          <w:kern w:val="0"/>
          <w:sz w:val="18"/>
          <w:szCs w:val="18"/>
        </w:rPr>
        <w:t>Hepatogastroenterology</w:t>
      </w:r>
      <w:proofErr w:type="spellEnd"/>
      <w:r w:rsidRPr="008C639B">
        <w:rPr>
          <w:color w:val="000000"/>
          <w:spacing w:val="-2"/>
          <w:kern w:val="0"/>
          <w:sz w:val="18"/>
          <w:szCs w:val="18"/>
        </w:rPr>
        <w:t xml:space="preserve">, Department of Internal Medicine, Kaohsiung Chang Gung Memorial Hospital and Chang Gung University College of Medicine, 123 Ta Pei Road, </w:t>
      </w:r>
      <w:proofErr w:type="spellStart"/>
      <w:r w:rsidRPr="008C639B">
        <w:rPr>
          <w:color w:val="000000"/>
          <w:spacing w:val="-2"/>
          <w:kern w:val="0"/>
          <w:sz w:val="18"/>
          <w:szCs w:val="18"/>
        </w:rPr>
        <w:t>Niao</w:t>
      </w:r>
      <w:proofErr w:type="spellEnd"/>
      <w:r w:rsidRPr="008C639B">
        <w:rPr>
          <w:color w:val="000000"/>
          <w:spacing w:val="-2"/>
          <w:kern w:val="0"/>
          <w:sz w:val="18"/>
          <w:szCs w:val="18"/>
        </w:rPr>
        <w:t>-Sung District, Kaohsiung 833, Taiwan. chuahsk@cgmh.org.tw</w:t>
      </w:r>
    </w:p>
    <w:p w:rsidR="00737F2A" w:rsidRPr="008C639B" w:rsidRDefault="00737F2A" w:rsidP="00737F2A">
      <w:pPr>
        <w:suppressAutoHyphens/>
        <w:autoSpaceDE w:val="0"/>
        <w:autoSpaceDN w:val="0"/>
        <w:adjustRightInd w:val="0"/>
        <w:spacing w:line="210" w:lineRule="atLeast"/>
        <w:textAlignment w:val="center"/>
        <w:rPr>
          <w:color w:val="000000"/>
          <w:spacing w:val="-2"/>
          <w:kern w:val="0"/>
          <w:sz w:val="18"/>
          <w:szCs w:val="18"/>
          <w:lang w:val="zh-TW"/>
        </w:rPr>
      </w:pPr>
      <w:r w:rsidRPr="008C639B">
        <w:rPr>
          <w:rFonts w:ascii="Tahoma" w:hAnsi="Tahoma" w:cs="Tahoma"/>
          <w:color w:val="000000"/>
          <w:kern w:val="0"/>
          <w:sz w:val="18"/>
          <w:szCs w:val="18"/>
        </w:rPr>
        <w:t>Telephone:</w:t>
      </w:r>
      <w:r w:rsidRPr="008C639B">
        <w:rPr>
          <w:color w:val="000000"/>
          <w:spacing w:val="-2"/>
          <w:kern w:val="0"/>
          <w:sz w:val="18"/>
          <w:szCs w:val="18"/>
        </w:rPr>
        <w:t xml:space="preserve"> +886-7-7317123-2360</w:t>
      </w:r>
      <w:r w:rsidRPr="008C639B">
        <w:rPr>
          <w:color w:val="000000"/>
          <w:spacing w:val="-2"/>
          <w:kern w:val="0"/>
          <w:sz w:val="18"/>
          <w:szCs w:val="18"/>
          <w:lang w:val="zh-TW"/>
        </w:rPr>
        <w:t xml:space="preserve"> </w:t>
      </w:r>
      <w:r>
        <w:rPr>
          <w:rFonts w:hint="eastAsia"/>
          <w:color w:val="000000"/>
          <w:spacing w:val="-2"/>
          <w:kern w:val="0"/>
          <w:sz w:val="18"/>
          <w:szCs w:val="18"/>
          <w:lang w:val="zh-TW"/>
        </w:rPr>
        <w:t xml:space="preserve">   </w:t>
      </w:r>
      <w:r w:rsidRPr="008C639B">
        <w:rPr>
          <w:rFonts w:ascii="Tahoma" w:hAnsi="Tahoma" w:cs="Tahoma"/>
          <w:color w:val="000000"/>
          <w:kern w:val="0"/>
          <w:sz w:val="18"/>
          <w:szCs w:val="18"/>
        </w:rPr>
        <w:t>Fax:</w:t>
      </w:r>
      <w:r w:rsidRPr="008C639B">
        <w:rPr>
          <w:color w:val="000000"/>
          <w:spacing w:val="-2"/>
          <w:kern w:val="0"/>
          <w:sz w:val="18"/>
          <w:szCs w:val="18"/>
        </w:rPr>
        <w:t xml:space="preserve"> +886-7-7322402</w:t>
      </w:r>
    </w:p>
    <w:p w:rsidR="00737F2A" w:rsidRPr="008C639B" w:rsidRDefault="00737F2A" w:rsidP="00737F2A">
      <w:pPr>
        <w:suppressAutoHyphens/>
        <w:autoSpaceDE w:val="0"/>
        <w:autoSpaceDN w:val="0"/>
        <w:adjustRightInd w:val="0"/>
        <w:spacing w:line="210" w:lineRule="atLeast"/>
        <w:textAlignment w:val="center"/>
        <w:rPr>
          <w:color w:val="000000"/>
          <w:spacing w:val="-2"/>
          <w:kern w:val="0"/>
          <w:sz w:val="18"/>
          <w:szCs w:val="18"/>
        </w:rPr>
      </w:pPr>
      <w:r w:rsidRPr="008C639B">
        <w:rPr>
          <w:rFonts w:ascii="Tahoma" w:hAnsi="Tahoma" w:cs="Tahoma"/>
          <w:color w:val="000000"/>
          <w:spacing w:val="-2"/>
          <w:kern w:val="0"/>
          <w:sz w:val="18"/>
          <w:szCs w:val="18"/>
        </w:rPr>
        <w:t>Received:</w:t>
      </w:r>
      <w:r w:rsidRPr="008C639B">
        <w:rPr>
          <w:color w:val="000000"/>
          <w:spacing w:val="-2"/>
          <w:kern w:val="0"/>
          <w:sz w:val="18"/>
          <w:szCs w:val="18"/>
        </w:rPr>
        <w:t xml:space="preserve"> July 28, 2017</w:t>
      </w:r>
      <w:r>
        <w:rPr>
          <w:rFonts w:hint="eastAsia"/>
          <w:color w:val="000000"/>
          <w:spacing w:val="-2"/>
          <w:kern w:val="0"/>
          <w:sz w:val="18"/>
          <w:szCs w:val="18"/>
        </w:rPr>
        <w:t xml:space="preserve">   </w:t>
      </w:r>
      <w:r w:rsidRPr="008C639B">
        <w:rPr>
          <w:rFonts w:ascii="Tahoma" w:hAnsi="Tahoma" w:cs="Tahoma"/>
          <w:color w:val="000000"/>
          <w:spacing w:val="-2"/>
          <w:kern w:val="0"/>
          <w:sz w:val="18"/>
          <w:szCs w:val="18"/>
        </w:rPr>
        <w:t>Revised:</w:t>
      </w:r>
      <w:r w:rsidRPr="008C639B">
        <w:rPr>
          <w:color w:val="000000"/>
          <w:spacing w:val="-2"/>
          <w:kern w:val="0"/>
          <w:sz w:val="18"/>
          <w:szCs w:val="18"/>
        </w:rPr>
        <w:t xml:space="preserve"> September 19, 2017</w:t>
      </w:r>
      <w:r>
        <w:rPr>
          <w:rFonts w:hint="eastAsia"/>
          <w:color w:val="000000"/>
          <w:spacing w:val="-2"/>
          <w:kern w:val="0"/>
          <w:sz w:val="18"/>
          <w:szCs w:val="18"/>
        </w:rPr>
        <w:t xml:space="preserve">   </w:t>
      </w:r>
      <w:r w:rsidRPr="008C639B">
        <w:rPr>
          <w:rFonts w:ascii="Tahoma" w:hAnsi="Tahoma" w:cs="Tahoma"/>
          <w:color w:val="000000"/>
          <w:spacing w:val="-2"/>
          <w:kern w:val="0"/>
          <w:sz w:val="18"/>
          <w:szCs w:val="18"/>
        </w:rPr>
        <w:t>Accepted:</w:t>
      </w:r>
      <w:r w:rsidRPr="008C639B">
        <w:rPr>
          <w:color w:val="000000"/>
          <w:spacing w:val="-2"/>
          <w:kern w:val="0"/>
          <w:sz w:val="18"/>
          <w:szCs w:val="18"/>
        </w:rPr>
        <w:t xml:space="preserve"> September 26, 2017</w:t>
      </w:r>
      <w:r w:rsidRPr="008C639B">
        <w:rPr>
          <w:caps/>
          <w:color w:val="000000"/>
          <w:spacing w:val="-2"/>
          <w:kern w:val="0"/>
          <w:sz w:val="18"/>
          <w:szCs w:val="18"/>
        </w:rPr>
        <w:t xml:space="preserve"> </w:t>
      </w:r>
    </w:p>
    <w:p w:rsidR="00737F2A" w:rsidRPr="008C639B" w:rsidRDefault="00737F2A" w:rsidP="00737F2A">
      <w:pPr>
        <w:suppressAutoHyphens/>
        <w:autoSpaceDE w:val="0"/>
        <w:autoSpaceDN w:val="0"/>
        <w:adjustRightInd w:val="0"/>
        <w:spacing w:line="288" w:lineRule="auto"/>
        <w:textAlignment w:val="center"/>
        <w:rPr>
          <w:rFonts w:ascii="宋体" w:hAnsi="Tahoma Italic" w:cs="宋体"/>
          <w:color w:val="000000"/>
          <w:kern w:val="0"/>
          <w:sz w:val="24"/>
        </w:rPr>
      </w:pPr>
      <w:r w:rsidRPr="008C639B">
        <w:rPr>
          <w:rFonts w:ascii="Tahoma" w:hAnsi="Tahoma" w:cs="Tahoma"/>
          <w:color w:val="000000"/>
          <w:kern w:val="0"/>
          <w:sz w:val="18"/>
          <w:szCs w:val="18"/>
        </w:rPr>
        <w:t xml:space="preserve">Published online: </w:t>
      </w:r>
      <w:r w:rsidRPr="008C639B">
        <w:rPr>
          <w:color w:val="000000"/>
          <w:kern w:val="0"/>
          <w:sz w:val="18"/>
          <w:szCs w:val="18"/>
        </w:rPr>
        <w:t xml:space="preserve">December 21, 2017 </w:t>
      </w:r>
    </w:p>
    <w:p w:rsidR="00737F2A" w:rsidRPr="008C639B" w:rsidRDefault="00737F2A" w:rsidP="00737F2A">
      <w:pPr>
        <w:autoSpaceDE w:val="0"/>
        <w:autoSpaceDN w:val="0"/>
        <w:adjustRightInd w:val="0"/>
        <w:spacing w:line="288" w:lineRule="auto"/>
        <w:textAlignment w:val="center"/>
        <w:rPr>
          <w:rFonts w:ascii="Century Gothic" w:hAnsi="Century Gothic" w:cs="Century Gothic" w:hint="eastAsia"/>
          <w:b/>
          <w:bCs/>
          <w:color w:val="000000"/>
          <w:spacing w:val="12"/>
          <w:kern w:val="0"/>
          <w:sz w:val="24"/>
        </w:rPr>
      </w:pPr>
    </w:p>
    <w:p w:rsidR="00737F2A" w:rsidRPr="008C639B" w:rsidRDefault="00737F2A" w:rsidP="00737F2A">
      <w:pPr>
        <w:autoSpaceDE w:val="0"/>
        <w:autoSpaceDN w:val="0"/>
        <w:adjustRightInd w:val="0"/>
        <w:spacing w:line="288" w:lineRule="auto"/>
        <w:textAlignment w:val="center"/>
        <w:rPr>
          <w:rFonts w:ascii="Century Gothic" w:hAnsi="Century Gothic" w:cs="Century Gothic"/>
          <w:b/>
          <w:bCs/>
          <w:color w:val="000000"/>
          <w:spacing w:val="12"/>
          <w:kern w:val="0"/>
          <w:sz w:val="24"/>
        </w:rPr>
      </w:pPr>
      <w:r w:rsidRPr="008C639B">
        <w:rPr>
          <w:rFonts w:ascii="Century Gothic" w:hAnsi="Century Gothic" w:cs="Century Gothic"/>
          <w:b/>
          <w:bCs/>
          <w:color w:val="000000"/>
          <w:spacing w:val="12"/>
          <w:kern w:val="0"/>
          <w:sz w:val="24"/>
        </w:rPr>
        <w:t>Abstract</w:t>
      </w:r>
    </w:p>
    <w:p w:rsidR="00737F2A" w:rsidRPr="008C639B" w:rsidRDefault="00737F2A" w:rsidP="00737F2A">
      <w:pPr>
        <w:suppressAutoHyphens/>
        <w:autoSpaceDE w:val="0"/>
        <w:autoSpaceDN w:val="0"/>
        <w:adjustRightInd w:val="0"/>
        <w:spacing w:line="230" w:lineRule="atLeast"/>
        <w:textAlignment w:val="center"/>
        <w:rPr>
          <w:b/>
          <w:bCs/>
          <w:iCs/>
          <w:color w:val="000000"/>
          <w:spacing w:val="-1"/>
          <w:kern w:val="0"/>
          <w:sz w:val="19"/>
          <w:szCs w:val="19"/>
        </w:rPr>
      </w:pPr>
      <w:r w:rsidRPr="008C639B">
        <w:rPr>
          <w:b/>
          <w:bCs/>
          <w:iCs/>
          <w:color w:val="000000"/>
          <w:spacing w:val="-1"/>
          <w:kern w:val="0"/>
          <w:sz w:val="19"/>
          <w:szCs w:val="19"/>
        </w:rPr>
        <w:t>AIM</w:t>
      </w:r>
    </w:p>
    <w:p w:rsidR="00737F2A" w:rsidRPr="008C639B" w:rsidRDefault="00737F2A" w:rsidP="00737F2A">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8C639B">
        <w:rPr>
          <w:rFonts w:ascii="Tahoma" w:hAnsi="Tahoma" w:cs="Tahoma"/>
          <w:color w:val="000000"/>
          <w:spacing w:val="-1"/>
          <w:kern w:val="0"/>
          <w:sz w:val="19"/>
          <w:szCs w:val="19"/>
        </w:rPr>
        <w:t xml:space="preserve">To compare the one-week clinical </w:t>
      </w:r>
      <w:proofErr w:type="gramStart"/>
      <w:r w:rsidRPr="008C639B">
        <w:rPr>
          <w:rFonts w:ascii="Tahoma" w:hAnsi="Tahoma" w:cs="Tahoma"/>
          <w:color w:val="000000"/>
          <w:spacing w:val="-1"/>
          <w:kern w:val="0"/>
          <w:sz w:val="19"/>
          <w:szCs w:val="19"/>
        </w:rPr>
        <w:t>effects</w:t>
      </w:r>
      <w:proofErr w:type="gramEnd"/>
      <w:r w:rsidRPr="008C639B">
        <w:rPr>
          <w:rFonts w:ascii="Tahoma" w:hAnsi="Tahoma" w:cs="Tahoma"/>
          <w:color w:val="000000"/>
          <w:spacing w:val="-1"/>
          <w:kern w:val="0"/>
          <w:sz w:val="19"/>
          <w:szCs w:val="19"/>
        </w:rPr>
        <w:t xml:space="preserve"> of single doses of </w:t>
      </w:r>
      <w:proofErr w:type="spellStart"/>
      <w:r w:rsidRPr="008C639B">
        <w:rPr>
          <w:rFonts w:ascii="Tahoma" w:hAnsi="Tahoma" w:cs="Tahoma"/>
          <w:color w:val="000000"/>
          <w:spacing w:val="-1"/>
          <w:kern w:val="0"/>
          <w:sz w:val="19"/>
          <w:szCs w:val="19"/>
        </w:rPr>
        <w:t>dexlansoprazole</w:t>
      </w:r>
      <w:proofErr w:type="spellEnd"/>
      <w:r w:rsidRPr="008C639B">
        <w:rPr>
          <w:rFonts w:ascii="Tahoma" w:hAnsi="Tahoma" w:cs="Tahoma"/>
          <w:color w:val="000000"/>
          <w:spacing w:val="-1"/>
          <w:kern w:val="0"/>
          <w:sz w:val="19"/>
          <w:szCs w:val="19"/>
        </w:rPr>
        <w:t xml:space="preserve"> and esomeprazole on grades A and B erosive esophagitis.</w:t>
      </w:r>
    </w:p>
    <w:p w:rsidR="00737F2A" w:rsidRPr="008C639B" w:rsidRDefault="00737F2A" w:rsidP="00737F2A">
      <w:pPr>
        <w:suppressAutoHyphens/>
        <w:autoSpaceDE w:val="0"/>
        <w:autoSpaceDN w:val="0"/>
        <w:adjustRightInd w:val="0"/>
        <w:spacing w:line="230" w:lineRule="atLeast"/>
        <w:textAlignment w:val="center"/>
        <w:rPr>
          <w:b/>
          <w:bCs/>
          <w:iCs/>
          <w:color w:val="000000"/>
          <w:spacing w:val="-1"/>
          <w:kern w:val="0"/>
          <w:sz w:val="19"/>
          <w:szCs w:val="19"/>
        </w:rPr>
      </w:pPr>
      <w:r w:rsidRPr="008C639B">
        <w:rPr>
          <w:b/>
          <w:bCs/>
          <w:iCs/>
          <w:color w:val="000000"/>
          <w:spacing w:val="-1"/>
          <w:kern w:val="0"/>
          <w:sz w:val="19"/>
          <w:szCs w:val="19"/>
        </w:rPr>
        <w:t>METHODS</w:t>
      </w:r>
    </w:p>
    <w:p w:rsidR="00737F2A" w:rsidRPr="008C639B" w:rsidRDefault="00737F2A" w:rsidP="00737F2A">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8C639B">
        <w:rPr>
          <w:rFonts w:ascii="Tahoma" w:hAnsi="Tahoma" w:cs="Tahoma"/>
          <w:color w:val="000000"/>
          <w:spacing w:val="-1"/>
          <w:kern w:val="0"/>
          <w:sz w:val="19"/>
          <w:szCs w:val="19"/>
        </w:rPr>
        <w:lastRenderedPageBreak/>
        <w:t xml:space="preserve">We enrolled 175 adult patients with </w:t>
      </w:r>
      <w:proofErr w:type="spellStart"/>
      <w:r w:rsidRPr="008C639B">
        <w:rPr>
          <w:rFonts w:ascii="Tahoma" w:hAnsi="Tahoma" w:cs="Tahoma"/>
          <w:color w:val="000000"/>
          <w:spacing w:val="-1"/>
          <w:kern w:val="0"/>
          <w:sz w:val="19"/>
          <w:szCs w:val="19"/>
        </w:rPr>
        <w:t>gastroesophageal</w:t>
      </w:r>
      <w:proofErr w:type="spellEnd"/>
      <w:r w:rsidRPr="008C639B">
        <w:rPr>
          <w:rFonts w:ascii="Tahoma" w:hAnsi="Tahoma" w:cs="Tahoma"/>
          <w:color w:val="000000"/>
          <w:spacing w:val="-1"/>
          <w:kern w:val="0"/>
          <w:sz w:val="19"/>
          <w:szCs w:val="19"/>
        </w:rPr>
        <w:t xml:space="preserve"> reflux disease (GERD). The patients were randomized in a 1:1 ratio into two sequence groups to define the order in which they received single doses of </w:t>
      </w:r>
      <w:proofErr w:type="spellStart"/>
      <w:r w:rsidRPr="008C639B">
        <w:rPr>
          <w:rFonts w:ascii="Tahoma" w:hAnsi="Tahoma" w:cs="Tahoma"/>
          <w:color w:val="000000"/>
          <w:spacing w:val="-1"/>
          <w:kern w:val="0"/>
          <w:sz w:val="19"/>
          <w:szCs w:val="19"/>
        </w:rPr>
        <w:t>dexlansoprazole</w:t>
      </w:r>
      <w:proofErr w:type="spellEnd"/>
      <w:r w:rsidRPr="008C639B">
        <w:rPr>
          <w:rFonts w:ascii="Tahoma" w:hAnsi="Tahoma" w:cs="Tahoma"/>
          <w:color w:val="000000"/>
          <w:spacing w:val="-1"/>
          <w:kern w:val="0"/>
          <w:sz w:val="19"/>
          <w:szCs w:val="19"/>
        </w:rPr>
        <w:t xml:space="preserve"> (</w:t>
      </w:r>
      <w:r w:rsidRPr="008C639B">
        <w:rPr>
          <w:rFonts w:ascii="Tahoma Italic" w:hAnsi="Tahoma Italic" w:cs="Tahoma Italic"/>
          <w:i/>
          <w:iCs/>
          <w:color w:val="000000"/>
          <w:spacing w:val="-1"/>
          <w:kern w:val="0"/>
          <w:sz w:val="19"/>
          <w:szCs w:val="19"/>
        </w:rPr>
        <w:t>n</w:t>
      </w:r>
      <w:r w:rsidRPr="008C639B">
        <w:rPr>
          <w:rFonts w:ascii="Tahoma" w:hAnsi="Tahoma" w:cs="Tahoma"/>
          <w:color w:val="000000"/>
          <w:spacing w:val="-1"/>
          <w:kern w:val="0"/>
          <w:sz w:val="19"/>
          <w:szCs w:val="19"/>
        </w:rPr>
        <w:t xml:space="preserve"> = 88) and esomeprazole (</w:t>
      </w:r>
      <w:r w:rsidRPr="008C639B">
        <w:rPr>
          <w:rFonts w:ascii="Tahoma Italic" w:hAnsi="Tahoma Italic" w:cs="Tahoma Italic"/>
          <w:i/>
          <w:iCs/>
          <w:color w:val="000000"/>
          <w:spacing w:val="-1"/>
          <w:kern w:val="0"/>
          <w:sz w:val="19"/>
          <w:szCs w:val="19"/>
        </w:rPr>
        <w:t>n</w:t>
      </w:r>
      <w:r w:rsidRPr="008C639B">
        <w:rPr>
          <w:rFonts w:ascii="Tahoma" w:hAnsi="Tahoma" w:cs="Tahoma"/>
          <w:color w:val="000000"/>
          <w:spacing w:val="-1"/>
          <w:kern w:val="0"/>
          <w:sz w:val="19"/>
          <w:szCs w:val="19"/>
        </w:rPr>
        <w:t xml:space="preserve"> = 87) for an intention-to-treat analysis. The primary end-points were the complete symptom resolution (CSR) rates at days 1, 3, and 7 after drug administration.</w:t>
      </w:r>
    </w:p>
    <w:p w:rsidR="00737F2A" w:rsidRPr="008C639B" w:rsidRDefault="00737F2A" w:rsidP="00737F2A">
      <w:pPr>
        <w:suppressAutoHyphens/>
        <w:autoSpaceDE w:val="0"/>
        <w:autoSpaceDN w:val="0"/>
        <w:adjustRightInd w:val="0"/>
        <w:spacing w:line="230" w:lineRule="atLeast"/>
        <w:textAlignment w:val="center"/>
        <w:rPr>
          <w:b/>
          <w:bCs/>
          <w:iCs/>
          <w:color w:val="000000"/>
          <w:spacing w:val="-1"/>
          <w:kern w:val="0"/>
          <w:sz w:val="19"/>
          <w:szCs w:val="19"/>
        </w:rPr>
      </w:pPr>
      <w:r w:rsidRPr="008C639B">
        <w:rPr>
          <w:b/>
          <w:bCs/>
          <w:iCs/>
          <w:color w:val="000000"/>
          <w:spacing w:val="-1"/>
          <w:kern w:val="0"/>
          <w:sz w:val="19"/>
          <w:szCs w:val="19"/>
        </w:rPr>
        <w:t>RESULTS</w:t>
      </w:r>
    </w:p>
    <w:p w:rsidR="00737F2A" w:rsidRPr="008C639B" w:rsidRDefault="00737F2A" w:rsidP="00737F2A">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8C639B">
        <w:rPr>
          <w:rFonts w:ascii="Tahoma" w:hAnsi="Tahoma" w:cs="Tahoma"/>
          <w:color w:val="000000"/>
          <w:spacing w:val="-1"/>
          <w:kern w:val="0"/>
          <w:sz w:val="19"/>
          <w:szCs w:val="19"/>
        </w:rPr>
        <w:t xml:space="preserve">Thirteen patients were lost to follow-up, resulting in 81 patients in each group for the per-protocol analysis. The CSRs for both groups were similar at days 1, 3 and 7. In the subgroup analysis, the female patients achieved higher CSRs in the </w:t>
      </w:r>
      <w:proofErr w:type="spellStart"/>
      <w:r w:rsidRPr="008C639B">
        <w:rPr>
          <w:rFonts w:ascii="Tahoma" w:hAnsi="Tahoma" w:cs="Tahoma"/>
          <w:color w:val="000000"/>
          <w:spacing w:val="-1"/>
          <w:kern w:val="0"/>
          <w:sz w:val="19"/>
          <w:szCs w:val="19"/>
        </w:rPr>
        <w:t>dexlansoprazole</w:t>
      </w:r>
      <w:proofErr w:type="spellEnd"/>
      <w:r w:rsidRPr="008C639B">
        <w:rPr>
          <w:rFonts w:ascii="Tahoma" w:hAnsi="Tahoma" w:cs="Tahoma"/>
          <w:color w:val="000000"/>
          <w:spacing w:val="-1"/>
          <w:kern w:val="0"/>
          <w:sz w:val="19"/>
          <w:szCs w:val="19"/>
        </w:rPr>
        <w:t xml:space="preserve"> group than in the esomeprazole group at day 3 (38.3% </w:t>
      </w:r>
      <w:proofErr w:type="spellStart"/>
      <w:r w:rsidRPr="008C639B">
        <w:rPr>
          <w:rFonts w:ascii="Tahoma Italic" w:hAnsi="Tahoma Italic" w:cs="Tahoma Italic"/>
          <w:i/>
          <w:iCs/>
          <w:color w:val="000000"/>
          <w:spacing w:val="-1"/>
          <w:kern w:val="0"/>
          <w:sz w:val="19"/>
          <w:szCs w:val="19"/>
        </w:rPr>
        <w:t>vs</w:t>
      </w:r>
      <w:proofErr w:type="spellEnd"/>
      <w:r w:rsidRPr="008C639B">
        <w:rPr>
          <w:rFonts w:ascii="Tahoma" w:hAnsi="Tahoma" w:cs="Tahoma"/>
          <w:color w:val="000000"/>
          <w:spacing w:val="-1"/>
          <w:kern w:val="0"/>
          <w:sz w:val="19"/>
          <w:szCs w:val="19"/>
        </w:rPr>
        <w:t xml:space="preserve"> 18.4%, </w:t>
      </w:r>
      <w:r w:rsidRPr="008C639B">
        <w:rPr>
          <w:rFonts w:ascii="Tahoma Italic" w:hAnsi="Tahoma Italic" w:cs="Tahoma Italic"/>
          <w:i/>
          <w:iCs/>
          <w:caps/>
          <w:color w:val="000000"/>
          <w:spacing w:val="-1"/>
          <w:kern w:val="0"/>
          <w:sz w:val="19"/>
          <w:szCs w:val="19"/>
        </w:rPr>
        <w:t>p</w:t>
      </w:r>
      <w:r w:rsidRPr="008C639B">
        <w:rPr>
          <w:rFonts w:ascii="Tahoma" w:hAnsi="Tahoma" w:cs="Tahoma"/>
          <w:caps/>
          <w:color w:val="000000"/>
          <w:spacing w:val="-1"/>
          <w:kern w:val="0"/>
          <w:sz w:val="19"/>
          <w:szCs w:val="19"/>
        </w:rPr>
        <w:t xml:space="preserve"> = </w:t>
      </w:r>
      <w:r w:rsidRPr="008C639B">
        <w:rPr>
          <w:rFonts w:ascii="Tahoma" w:hAnsi="Tahoma" w:cs="Tahoma"/>
          <w:color w:val="000000"/>
          <w:spacing w:val="-1"/>
          <w:kern w:val="0"/>
          <w:sz w:val="19"/>
          <w:szCs w:val="19"/>
        </w:rPr>
        <w:t>0.046). An increasing trend toward</w:t>
      </w:r>
      <w:r w:rsidRPr="008C639B">
        <w:rPr>
          <w:rFonts w:ascii="Tahoma" w:hAnsi="Tahoma" w:cs="Tahoma"/>
          <w:color w:val="000000"/>
          <w:spacing w:val="-1"/>
          <w:kern w:val="0"/>
          <w:sz w:val="19"/>
          <w:szCs w:val="19"/>
          <w:lang w:val="zh-TW"/>
        </w:rPr>
        <w:t xml:space="preserve"> </w:t>
      </w:r>
      <w:r w:rsidRPr="008C639B">
        <w:rPr>
          <w:rFonts w:ascii="Tahoma" w:hAnsi="Tahoma" w:cs="Tahoma"/>
          <w:color w:val="000000"/>
          <w:spacing w:val="-1"/>
          <w:kern w:val="0"/>
          <w:sz w:val="19"/>
          <w:szCs w:val="19"/>
        </w:rPr>
        <w:t xml:space="preserve">a </w:t>
      </w:r>
      <w:r w:rsidRPr="008C639B">
        <w:rPr>
          <w:rFonts w:ascii="Tahoma" w:hAnsi="Tahoma" w:cs="Tahoma"/>
          <w:color w:val="000000"/>
          <w:spacing w:val="-1"/>
          <w:kern w:val="0"/>
          <w:sz w:val="19"/>
          <w:szCs w:val="19"/>
          <w:lang w:val="zh-TW"/>
        </w:rPr>
        <w:t xml:space="preserve">higher CSR </w:t>
      </w:r>
      <w:r w:rsidRPr="008C639B">
        <w:rPr>
          <w:rFonts w:ascii="Tahoma" w:hAnsi="Tahoma" w:cs="Tahoma"/>
          <w:color w:val="000000"/>
          <w:spacing w:val="-1"/>
          <w:kern w:val="0"/>
          <w:sz w:val="19"/>
          <w:szCs w:val="19"/>
        </w:rPr>
        <w:t>was observed</w:t>
      </w:r>
      <w:r w:rsidRPr="008C639B">
        <w:rPr>
          <w:rFonts w:ascii="Tahoma" w:hAnsi="Tahoma" w:cs="Tahoma"/>
          <w:color w:val="000000"/>
          <w:spacing w:val="-1"/>
          <w:kern w:val="0"/>
          <w:sz w:val="19"/>
          <w:szCs w:val="19"/>
          <w:lang w:val="zh-TW"/>
        </w:rPr>
        <w:t xml:space="preserve"> in </w:t>
      </w:r>
      <w:r w:rsidRPr="008C639B">
        <w:rPr>
          <w:rFonts w:ascii="Tahoma" w:hAnsi="Tahoma" w:cs="Tahoma"/>
          <w:color w:val="000000"/>
          <w:spacing w:val="-1"/>
          <w:kern w:val="0"/>
          <w:sz w:val="19"/>
          <w:szCs w:val="19"/>
        </w:rPr>
        <w:t xml:space="preserve">the </w:t>
      </w:r>
      <w:r w:rsidRPr="008C639B">
        <w:rPr>
          <w:rFonts w:ascii="Tahoma" w:hAnsi="Tahoma" w:cs="Tahoma"/>
          <w:color w:val="000000"/>
          <w:spacing w:val="-1"/>
          <w:kern w:val="0"/>
          <w:sz w:val="19"/>
          <w:szCs w:val="19"/>
          <w:lang w:val="zh-TW"/>
        </w:rPr>
        <w:t>dexlansoprazole group</w:t>
      </w:r>
      <w:r w:rsidRPr="008C639B">
        <w:rPr>
          <w:rFonts w:ascii="Tahoma" w:hAnsi="Tahoma" w:cs="Tahoma"/>
          <w:color w:val="000000"/>
          <w:spacing w:val="-1"/>
          <w:kern w:val="0"/>
          <w:sz w:val="19"/>
          <w:szCs w:val="19"/>
        </w:rPr>
        <w:t xml:space="preserve"> at day 7 (55.3% </w:t>
      </w:r>
      <w:proofErr w:type="spellStart"/>
      <w:r w:rsidRPr="008C639B">
        <w:rPr>
          <w:rFonts w:ascii="Tahoma Italic" w:hAnsi="Tahoma Italic" w:cs="Tahoma Italic"/>
          <w:i/>
          <w:iCs/>
          <w:color w:val="000000"/>
          <w:spacing w:val="-1"/>
          <w:kern w:val="0"/>
          <w:sz w:val="19"/>
          <w:szCs w:val="19"/>
        </w:rPr>
        <w:t>vs</w:t>
      </w:r>
      <w:proofErr w:type="spellEnd"/>
      <w:r w:rsidRPr="008C639B">
        <w:rPr>
          <w:rFonts w:ascii="Tahoma" w:hAnsi="Tahoma" w:cs="Tahoma"/>
          <w:color w:val="000000"/>
          <w:spacing w:val="-1"/>
          <w:kern w:val="0"/>
          <w:sz w:val="19"/>
          <w:szCs w:val="19"/>
        </w:rPr>
        <w:t xml:space="preserve"> 36.8%, </w:t>
      </w:r>
      <w:r w:rsidRPr="008C639B">
        <w:rPr>
          <w:rFonts w:ascii="Tahoma Italic" w:hAnsi="Tahoma Italic" w:cs="Tahoma Italic"/>
          <w:i/>
          <w:iCs/>
          <w:caps/>
          <w:color w:val="000000"/>
          <w:spacing w:val="-1"/>
          <w:kern w:val="0"/>
          <w:sz w:val="19"/>
          <w:szCs w:val="19"/>
        </w:rPr>
        <w:t>p</w:t>
      </w:r>
      <w:r w:rsidRPr="008C639B">
        <w:rPr>
          <w:rFonts w:ascii="Tahoma" w:hAnsi="Tahoma" w:cs="Tahoma"/>
          <w:caps/>
          <w:color w:val="000000"/>
          <w:spacing w:val="-1"/>
          <w:kern w:val="0"/>
          <w:sz w:val="19"/>
          <w:szCs w:val="19"/>
        </w:rPr>
        <w:t xml:space="preserve"> = </w:t>
      </w:r>
      <w:r w:rsidRPr="008C639B">
        <w:rPr>
          <w:rFonts w:ascii="Tahoma" w:hAnsi="Tahoma" w:cs="Tahoma"/>
          <w:color w:val="000000"/>
          <w:spacing w:val="-1"/>
          <w:kern w:val="0"/>
          <w:sz w:val="19"/>
          <w:szCs w:val="19"/>
        </w:rPr>
        <w:t xml:space="preserve">0.09). In the esomeprazole group, female sex was a negative predictive factor for CSR on post-administration day 1 [OR = -1.249 ± 0.543; 95%CI: 0.287 (0.099-0.832), </w:t>
      </w:r>
      <w:r w:rsidRPr="008C639B">
        <w:rPr>
          <w:rFonts w:ascii="Tahoma Italic" w:hAnsi="Tahoma Italic" w:cs="Tahoma Italic"/>
          <w:i/>
          <w:iCs/>
          <w:caps/>
          <w:color w:val="000000"/>
          <w:spacing w:val="-1"/>
          <w:kern w:val="0"/>
          <w:sz w:val="19"/>
          <w:szCs w:val="19"/>
        </w:rPr>
        <w:t>p</w:t>
      </w:r>
      <w:r w:rsidRPr="008C639B">
        <w:rPr>
          <w:rFonts w:ascii="Tahoma" w:hAnsi="Tahoma" w:cs="Tahoma"/>
          <w:caps/>
          <w:color w:val="000000"/>
          <w:spacing w:val="-1"/>
          <w:kern w:val="0"/>
          <w:sz w:val="19"/>
          <w:szCs w:val="19"/>
        </w:rPr>
        <w:t xml:space="preserve"> = </w:t>
      </w:r>
      <w:r w:rsidRPr="008C639B">
        <w:rPr>
          <w:rFonts w:ascii="Tahoma" w:hAnsi="Tahoma" w:cs="Tahoma"/>
          <w:color w:val="000000"/>
          <w:spacing w:val="-1"/>
          <w:kern w:val="0"/>
          <w:sz w:val="19"/>
          <w:szCs w:val="19"/>
        </w:rPr>
        <w:t xml:space="preserve">0.022] and day 3 [OR = -1.254 ± 0.519; 95%CI: 0.285 (0.103-0.789), </w:t>
      </w:r>
      <w:r w:rsidRPr="008C639B">
        <w:rPr>
          <w:rFonts w:ascii="Tahoma Italic" w:hAnsi="Tahoma Italic" w:cs="Tahoma Italic"/>
          <w:i/>
          <w:iCs/>
          <w:caps/>
          <w:color w:val="000000"/>
          <w:spacing w:val="-1"/>
          <w:kern w:val="0"/>
          <w:sz w:val="19"/>
          <w:szCs w:val="19"/>
        </w:rPr>
        <w:t>p</w:t>
      </w:r>
      <w:r w:rsidRPr="008C639B">
        <w:rPr>
          <w:rFonts w:ascii="Tahoma" w:hAnsi="Tahoma" w:cs="Tahoma"/>
          <w:caps/>
          <w:color w:val="000000"/>
          <w:spacing w:val="-1"/>
          <w:kern w:val="0"/>
          <w:sz w:val="19"/>
          <w:szCs w:val="19"/>
        </w:rPr>
        <w:t xml:space="preserve"> = </w:t>
      </w:r>
      <w:r w:rsidRPr="008C639B">
        <w:rPr>
          <w:rFonts w:ascii="Tahoma" w:hAnsi="Tahoma" w:cs="Tahoma"/>
          <w:color w:val="000000"/>
          <w:spacing w:val="-1"/>
          <w:kern w:val="0"/>
          <w:sz w:val="19"/>
          <w:szCs w:val="19"/>
        </w:rPr>
        <w:t xml:space="preserve">0.016]. Patients with spicy food eating habits achieved lower CSRs on day 1 [37.3% </w:t>
      </w:r>
      <w:proofErr w:type="spellStart"/>
      <w:r w:rsidRPr="008C639B">
        <w:rPr>
          <w:rFonts w:ascii="Tahoma Italic" w:hAnsi="Tahoma Italic" w:cs="Tahoma Italic"/>
          <w:i/>
          <w:iCs/>
          <w:color w:val="000000"/>
          <w:spacing w:val="-1"/>
          <w:kern w:val="0"/>
          <w:sz w:val="19"/>
          <w:szCs w:val="19"/>
        </w:rPr>
        <w:t>vs</w:t>
      </w:r>
      <w:proofErr w:type="spellEnd"/>
      <w:r w:rsidRPr="008C639B">
        <w:rPr>
          <w:rFonts w:ascii="Tahoma" w:hAnsi="Tahoma" w:cs="Tahoma"/>
          <w:color w:val="000000"/>
          <w:spacing w:val="-1"/>
          <w:kern w:val="0"/>
          <w:sz w:val="19"/>
          <w:szCs w:val="19"/>
        </w:rPr>
        <w:t xml:space="preserve"> 21.4%, OR = -0.969 ± 0.438; 95%CI: 0.380 (0.161-0.896), </w:t>
      </w:r>
      <w:r w:rsidRPr="008C639B">
        <w:rPr>
          <w:rFonts w:ascii="Tahoma Italic" w:hAnsi="Tahoma Italic" w:cs="Tahoma Italic"/>
          <w:i/>
          <w:iCs/>
          <w:caps/>
          <w:color w:val="000000"/>
          <w:spacing w:val="-1"/>
          <w:kern w:val="0"/>
          <w:sz w:val="19"/>
          <w:szCs w:val="19"/>
        </w:rPr>
        <w:t>p</w:t>
      </w:r>
      <w:r w:rsidRPr="008C639B">
        <w:rPr>
          <w:rFonts w:ascii="Tahoma" w:hAnsi="Tahoma" w:cs="Tahoma"/>
          <w:caps/>
          <w:color w:val="000000"/>
          <w:spacing w:val="-1"/>
          <w:kern w:val="0"/>
          <w:sz w:val="19"/>
          <w:szCs w:val="19"/>
        </w:rPr>
        <w:t xml:space="preserve"> = </w:t>
      </w:r>
      <w:r w:rsidRPr="008C639B">
        <w:rPr>
          <w:rFonts w:ascii="Tahoma" w:hAnsi="Tahoma" w:cs="Tahoma"/>
          <w:color w:val="000000"/>
          <w:spacing w:val="-1"/>
          <w:kern w:val="0"/>
          <w:sz w:val="19"/>
          <w:szCs w:val="19"/>
        </w:rPr>
        <w:t xml:space="preserve">0.027]. </w:t>
      </w:r>
    </w:p>
    <w:p w:rsidR="00737F2A" w:rsidRPr="008C639B" w:rsidRDefault="00737F2A" w:rsidP="00737F2A">
      <w:pPr>
        <w:suppressAutoHyphens/>
        <w:autoSpaceDE w:val="0"/>
        <w:autoSpaceDN w:val="0"/>
        <w:adjustRightInd w:val="0"/>
        <w:spacing w:line="230" w:lineRule="atLeast"/>
        <w:textAlignment w:val="center"/>
        <w:rPr>
          <w:b/>
          <w:bCs/>
          <w:iCs/>
          <w:color w:val="000000"/>
          <w:spacing w:val="-1"/>
          <w:kern w:val="0"/>
          <w:sz w:val="19"/>
          <w:szCs w:val="19"/>
        </w:rPr>
      </w:pPr>
      <w:r w:rsidRPr="008C639B">
        <w:rPr>
          <w:b/>
          <w:bCs/>
          <w:iCs/>
          <w:color w:val="000000"/>
          <w:spacing w:val="-1"/>
          <w:kern w:val="0"/>
          <w:sz w:val="19"/>
          <w:szCs w:val="19"/>
        </w:rPr>
        <w:t>CONCLUSION</w:t>
      </w:r>
    </w:p>
    <w:p w:rsidR="00737F2A" w:rsidRPr="008C639B" w:rsidRDefault="00737F2A" w:rsidP="00737F2A">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8C639B">
        <w:rPr>
          <w:rFonts w:ascii="Tahoma" w:hAnsi="Tahoma" w:cs="Tahoma"/>
          <w:color w:val="000000"/>
          <w:spacing w:val="-1"/>
          <w:kern w:val="0"/>
          <w:sz w:val="19"/>
          <w:szCs w:val="19"/>
        </w:rPr>
        <w:t xml:space="preserve">The overall CSR for GERD patients was similar at days 1-7 for both the </w:t>
      </w:r>
      <w:proofErr w:type="spellStart"/>
      <w:r w:rsidRPr="008C639B">
        <w:rPr>
          <w:rFonts w:ascii="Tahoma" w:hAnsi="Tahoma" w:cs="Tahoma"/>
          <w:color w:val="000000"/>
          <w:spacing w:val="-1"/>
          <w:kern w:val="0"/>
          <w:sz w:val="19"/>
          <w:szCs w:val="19"/>
        </w:rPr>
        <w:t>dexlansoprazole</w:t>
      </w:r>
      <w:proofErr w:type="spellEnd"/>
      <w:r w:rsidRPr="008C639B">
        <w:rPr>
          <w:rFonts w:ascii="Tahoma" w:hAnsi="Tahoma" w:cs="Tahoma"/>
          <w:color w:val="000000"/>
          <w:spacing w:val="-1"/>
          <w:kern w:val="0"/>
          <w:sz w:val="19"/>
          <w:szCs w:val="19"/>
        </w:rPr>
        <w:t xml:space="preserve"> and esomepra</w:t>
      </w:r>
      <w:r w:rsidRPr="008C639B">
        <w:rPr>
          <w:rFonts w:ascii="Tahoma" w:hAnsi="Tahoma" w:cs="Tahoma"/>
          <w:color w:val="000000"/>
          <w:spacing w:val="-1"/>
          <w:kern w:val="0"/>
          <w:sz w:val="19"/>
          <w:szCs w:val="19"/>
        </w:rPr>
        <w:softHyphen/>
        <w:t xml:space="preserve">zole groups, although a higher incidence </w:t>
      </w:r>
      <w:r w:rsidRPr="008C639B">
        <w:rPr>
          <w:rFonts w:ascii="Tahoma" w:hAnsi="Tahoma" w:cs="Tahoma"/>
          <w:color w:val="000000"/>
          <w:spacing w:val="-1"/>
          <w:kern w:val="0"/>
          <w:sz w:val="19"/>
          <w:szCs w:val="19"/>
          <w:lang w:val="zh-TW"/>
        </w:rPr>
        <w:t xml:space="preserve">of CSR </w:t>
      </w:r>
      <w:r w:rsidRPr="008C639B">
        <w:rPr>
          <w:rFonts w:ascii="Tahoma" w:hAnsi="Tahoma" w:cs="Tahoma"/>
          <w:color w:val="000000"/>
          <w:spacing w:val="-1"/>
          <w:kern w:val="0"/>
          <w:sz w:val="19"/>
          <w:szCs w:val="19"/>
        </w:rPr>
        <w:t xml:space="preserve">was observed on day 3 in female patients who received a single dose of </w:t>
      </w:r>
      <w:proofErr w:type="spellStart"/>
      <w:r w:rsidRPr="008C639B">
        <w:rPr>
          <w:rFonts w:ascii="Tahoma" w:hAnsi="Tahoma" w:cs="Tahoma"/>
          <w:color w:val="000000"/>
          <w:spacing w:val="-1"/>
          <w:kern w:val="0"/>
          <w:sz w:val="19"/>
          <w:szCs w:val="19"/>
        </w:rPr>
        <w:t>dexlansoprazole</w:t>
      </w:r>
      <w:proofErr w:type="spellEnd"/>
      <w:r w:rsidRPr="008C639B">
        <w:rPr>
          <w:rFonts w:ascii="Tahoma" w:hAnsi="Tahoma" w:cs="Tahoma"/>
          <w:color w:val="000000"/>
          <w:spacing w:val="-1"/>
          <w:kern w:val="0"/>
          <w:sz w:val="19"/>
          <w:szCs w:val="19"/>
        </w:rPr>
        <w:t xml:space="preserve">. </w:t>
      </w:r>
    </w:p>
    <w:p w:rsidR="00737F2A" w:rsidRPr="008C639B" w:rsidRDefault="00737F2A" w:rsidP="00737F2A">
      <w:pPr>
        <w:suppressAutoHyphens/>
        <w:autoSpaceDE w:val="0"/>
        <w:autoSpaceDN w:val="0"/>
        <w:adjustRightInd w:val="0"/>
        <w:spacing w:line="230" w:lineRule="atLeast"/>
        <w:textAlignment w:val="center"/>
        <w:rPr>
          <w:b/>
          <w:bCs/>
          <w:color w:val="000000"/>
          <w:spacing w:val="-1"/>
          <w:kern w:val="0"/>
          <w:sz w:val="19"/>
          <w:szCs w:val="19"/>
        </w:rPr>
      </w:pPr>
    </w:p>
    <w:p w:rsidR="00737F2A" w:rsidRPr="008C639B" w:rsidRDefault="00737F2A" w:rsidP="00737F2A">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8C639B">
        <w:rPr>
          <w:b/>
          <w:bCs/>
          <w:color w:val="000000"/>
          <w:spacing w:val="-1"/>
          <w:kern w:val="0"/>
          <w:sz w:val="19"/>
          <w:szCs w:val="19"/>
        </w:rPr>
        <w:t>Key words:</w:t>
      </w:r>
      <w:r w:rsidRPr="008C639B">
        <w:rPr>
          <w:rFonts w:ascii="Tahoma" w:hAnsi="Tahoma" w:cs="Tahoma"/>
          <w:b/>
          <w:bCs/>
          <w:color w:val="000000"/>
          <w:spacing w:val="-1"/>
          <w:kern w:val="0"/>
          <w:sz w:val="19"/>
          <w:szCs w:val="19"/>
        </w:rPr>
        <w:t xml:space="preserve"> </w:t>
      </w:r>
      <w:proofErr w:type="spellStart"/>
      <w:r w:rsidRPr="008C639B">
        <w:rPr>
          <w:rFonts w:ascii="Tahoma" w:hAnsi="Tahoma" w:cs="Tahoma"/>
          <w:color w:val="000000"/>
          <w:spacing w:val="-1"/>
          <w:kern w:val="0"/>
          <w:sz w:val="19"/>
          <w:szCs w:val="19"/>
        </w:rPr>
        <w:t>Dexlansoprazole</w:t>
      </w:r>
      <w:proofErr w:type="spellEnd"/>
      <w:r w:rsidRPr="008C639B">
        <w:rPr>
          <w:rFonts w:ascii="Tahoma" w:hAnsi="Tahoma" w:cs="Tahoma"/>
          <w:color w:val="000000"/>
          <w:spacing w:val="-1"/>
          <w:kern w:val="0"/>
          <w:sz w:val="19"/>
          <w:szCs w:val="19"/>
        </w:rPr>
        <w:t xml:space="preserve">; Esomeprazole; One-week response; </w:t>
      </w:r>
      <w:proofErr w:type="gramStart"/>
      <w:r w:rsidRPr="008C639B">
        <w:rPr>
          <w:rFonts w:ascii="Tahoma" w:hAnsi="Tahoma" w:cs="Tahoma"/>
          <w:color w:val="000000"/>
          <w:spacing w:val="-1"/>
          <w:kern w:val="0"/>
          <w:sz w:val="19"/>
          <w:szCs w:val="19"/>
        </w:rPr>
        <w:t>Complete</w:t>
      </w:r>
      <w:proofErr w:type="gramEnd"/>
      <w:r w:rsidRPr="008C639B">
        <w:rPr>
          <w:rFonts w:ascii="Tahoma" w:hAnsi="Tahoma" w:cs="Tahoma"/>
          <w:color w:val="000000"/>
          <w:spacing w:val="-1"/>
          <w:kern w:val="0"/>
          <w:sz w:val="19"/>
          <w:szCs w:val="19"/>
        </w:rPr>
        <w:t xml:space="preserve"> symptom resolution rate; </w:t>
      </w:r>
      <w:proofErr w:type="spellStart"/>
      <w:r w:rsidRPr="008C639B">
        <w:rPr>
          <w:rFonts w:ascii="Tahoma" w:hAnsi="Tahoma" w:cs="Tahoma"/>
          <w:color w:val="000000"/>
          <w:spacing w:val="-1"/>
          <w:kern w:val="0"/>
          <w:sz w:val="19"/>
          <w:szCs w:val="19"/>
        </w:rPr>
        <w:t>Gastroesophageal</w:t>
      </w:r>
      <w:proofErr w:type="spellEnd"/>
      <w:r w:rsidRPr="008C639B">
        <w:rPr>
          <w:rFonts w:ascii="Tahoma" w:hAnsi="Tahoma" w:cs="Tahoma"/>
          <w:color w:val="000000"/>
          <w:spacing w:val="-1"/>
          <w:kern w:val="0"/>
          <w:sz w:val="19"/>
          <w:szCs w:val="19"/>
        </w:rPr>
        <w:t xml:space="preserve"> reflux disease</w:t>
      </w:r>
    </w:p>
    <w:p w:rsidR="00737F2A" w:rsidRPr="008C639B" w:rsidRDefault="00737F2A" w:rsidP="00737F2A">
      <w:pPr>
        <w:suppressAutoHyphens/>
        <w:autoSpaceDE w:val="0"/>
        <w:autoSpaceDN w:val="0"/>
        <w:adjustRightInd w:val="0"/>
        <w:spacing w:line="230" w:lineRule="atLeast"/>
        <w:textAlignment w:val="center"/>
        <w:rPr>
          <w:rFonts w:ascii="Tahoma" w:hAnsi="Tahoma" w:cs="Tahoma"/>
          <w:b/>
          <w:bCs/>
          <w:color w:val="000000"/>
          <w:spacing w:val="-1"/>
          <w:kern w:val="0"/>
          <w:sz w:val="17"/>
          <w:szCs w:val="17"/>
        </w:rPr>
      </w:pPr>
    </w:p>
    <w:p w:rsidR="00737F2A" w:rsidRPr="008C639B" w:rsidRDefault="00737F2A" w:rsidP="00737F2A">
      <w:pPr>
        <w:suppressAutoHyphens/>
        <w:autoSpaceDE w:val="0"/>
        <w:autoSpaceDN w:val="0"/>
        <w:adjustRightInd w:val="0"/>
        <w:spacing w:line="230" w:lineRule="atLeast"/>
        <w:textAlignment w:val="center"/>
        <w:rPr>
          <w:color w:val="000000"/>
          <w:spacing w:val="-2"/>
          <w:kern w:val="0"/>
          <w:sz w:val="18"/>
          <w:szCs w:val="18"/>
        </w:rPr>
      </w:pPr>
      <w:r w:rsidRPr="008C639B">
        <w:rPr>
          <w:color w:val="000000"/>
          <w:spacing w:val="-2"/>
          <w:kern w:val="0"/>
          <w:sz w:val="18"/>
          <w:szCs w:val="18"/>
        </w:rPr>
        <w:t xml:space="preserve">Liang CM, </w:t>
      </w:r>
      <w:proofErr w:type="spellStart"/>
      <w:r w:rsidRPr="008C639B">
        <w:rPr>
          <w:color w:val="000000"/>
          <w:spacing w:val="-2"/>
          <w:kern w:val="0"/>
          <w:sz w:val="18"/>
          <w:szCs w:val="18"/>
        </w:rPr>
        <w:t>Kuo</w:t>
      </w:r>
      <w:proofErr w:type="spellEnd"/>
      <w:r w:rsidRPr="008C639B">
        <w:rPr>
          <w:color w:val="000000"/>
          <w:spacing w:val="-2"/>
          <w:kern w:val="0"/>
          <w:sz w:val="18"/>
          <w:szCs w:val="18"/>
        </w:rPr>
        <w:t xml:space="preserve"> MT, Hsu PI, </w:t>
      </w:r>
      <w:proofErr w:type="spellStart"/>
      <w:r w:rsidRPr="008C639B">
        <w:rPr>
          <w:color w:val="000000"/>
          <w:spacing w:val="-2"/>
          <w:kern w:val="0"/>
          <w:sz w:val="18"/>
          <w:szCs w:val="18"/>
        </w:rPr>
        <w:t>Kuo</w:t>
      </w:r>
      <w:proofErr w:type="spellEnd"/>
      <w:r w:rsidRPr="008C639B">
        <w:rPr>
          <w:color w:val="000000"/>
          <w:spacing w:val="-2"/>
          <w:kern w:val="0"/>
          <w:sz w:val="18"/>
          <w:szCs w:val="18"/>
        </w:rPr>
        <w:t xml:space="preserve"> CH, Tai WC, Yang SC, Wu KL, Wang HM, Yao CC, Tsai CE, Wang YK, Wang JW, Huang CF, Wu DC, </w:t>
      </w:r>
      <w:proofErr w:type="spellStart"/>
      <w:r w:rsidRPr="008C639B">
        <w:rPr>
          <w:color w:val="000000"/>
          <w:spacing w:val="-2"/>
          <w:kern w:val="0"/>
          <w:sz w:val="18"/>
          <w:szCs w:val="18"/>
        </w:rPr>
        <w:t>Chuah</w:t>
      </w:r>
      <w:proofErr w:type="spellEnd"/>
      <w:r w:rsidRPr="008C639B">
        <w:rPr>
          <w:color w:val="000000"/>
          <w:spacing w:val="-2"/>
          <w:kern w:val="0"/>
          <w:sz w:val="18"/>
          <w:szCs w:val="18"/>
        </w:rPr>
        <w:t xml:space="preserve"> SK; Taiwan Acid-Related Disease Study Group. First-week clinical responses to </w:t>
      </w:r>
      <w:proofErr w:type="spellStart"/>
      <w:r w:rsidRPr="008C639B">
        <w:rPr>
          <w:color w:val="000000"/>
          <w:spacing w:val="-2"/>
          <w:kern w:val="0"/>
          <w:sz w:val="18"/>
          <w:szCs w:val="18"/>
        </w:rPr>
        <w:t>dexlansoprazole</w:t>
      </w:r>
      <w:proofErr w:type="spellEnd"/>
      <w:r w:rsidRPr="008C639B">
        <w:rPr>
          <w:color w:val="000000"/>
          <w:spacing w:val="-2"/>
          <w:kern w:val="0"/>
          <w:sz w:val="18"/>
          <w:szCs w:val="18"/>
        </w:rPr>
        <w:t xml:space="preserve"> 60 mg and esomeprazole 40 mg for the treatment of grades A and B </w:t>
      </w:r>
      <w:proofErr w:type="spellStart"/>
      <w:r w:rsidRPr="008C639B">
        <w:rPr>
          <w:color w:val="000000"/>
          <w:spacing w:val="-2"/>
          <w:kern w:val="0"/>
          <w:sz w:val="18"/>
          <w:szCs w:val="18"/>
        </w:rPr>
        <w:t>gastroesophageal</w:t>
      </w:r>
      <w:proofErr w:type="spellEnd"/>
      <w:r w:rsidRPr="008C639B">
        <w:rPr>
          <w:color w:val="000000"/>
          <w:spacing w:val="-2"/>
          <w:kern w:val="0"/>
          <w:sz w:val="18"/>
          <w:szCs w:val="18"/>
        </w:rPr>
        <w:t xml:space="preserve"> reflux disease. </w:t>
      </w:r>
      <w:r w:rsidRPr="008C639B">
        <w:rPr>
          <w:i/>
          <w:iCs/>
          <w:color w:val="000000"/>
          <w:spacing w:val="-2"/>
          <w:kern w:val="0"/>
          <w:sz w:val="18"/>
          <w:szCs w:val="18"/>
        </w:rPr>
        <w:t xml:space="preserve">World J </w:t>
      </w:r>
      <w:proofErr w:type="spellStart"/>
      <w:r w:rsidRPr="008C639B">
        <w:rPr>
          <w:i/>
          <w:iCs/>
          <w:color w:val="000000"/>
          <w:spacing w:val="-2"/>
          <w:kern w:val="0"/>
          <w:sz w:val="18"/>
          <w:szCs w:val="18"/>
        </w:rPr>
        <w:t>Gastroenterol</w:t>
      </w:r>
      <w:proofErr w:type="spellEnd"/>
      <w:r w:rsidRPr="008C639B">
        <w:rPr>
          <w:color w:val="000000"/>
          <w:spacing w:val="-2"/>
          <w:kern w:val="0"/>
          <w:sz w:val="18"/>
          <w:szCs w:val="18"/>
        </w:rPr>
        <w:t xml:space="preserve"> 2017; 23(47): 8395-</w:t>
      </w:r>
      <w:proofErr w:type="gramStart"/>
      <w:r w:rsidRPr="008C639B">
        <w:rPr>
          <w:color w:val="000000"/>
          <w:spacing w:val="-2"/>
          <w:kern w:val="0"/>
          <w:sz w:val="18"/>
          <w:szCs w:val="18"/>
        </w:rPr>
        <w:t>8404  Available</w:t>
      </w:r>
      <w:proofErr w:type="gramEnd"/>
      <w:r w:rsidRPr="008C639B">
        <w:rPr>
          <w:color w:val="000000"/>
          <w:spacing w:val="-2"/>
          <w:kern w:val="0"/>
          <w:sz w:val="18"/>
          <w:szCs w:val="18"/>
        </w:rPr>
        <w:t xml:space="preserve"> from: URL: http://www.wjgnet.com/1007-9327/full/v23/i47/8395.htm  DOI: http://dx.doi.org/10.3748/wjg.v23.i47.8395</w:t>
      </w:r>
    </w:p>
    <w:p w:rsidR="00737F2A" w:rsidRPr="008C639B" w:rsidRDefault="00737F2A" w:rsidP="00737F2A">
      <w:pPr>
        <w:suppressAutoHyphens/>
        <w:autoSpaceDE w:val="0"/>
        <w:autoSpaceDN w:val="0"/>
        <w:adjustRightInd w:val="0"/>
        <w:spacing w:line="230" w:lineRule="atLeast"/>
        <w:textAlignment w:val="center"/>
        <w:rPr>
          <w:b/>
          <w:bCs/>
          <w:color w:val="000000"/>
          <w:spacing w:val="-3"/>
          <w:kern w:val="0"/>
          <w:sz w:val="19"/>
          <w:szCs w:val="19"/>
        </w:rPr>
      </w:pPr>
    </w:p>
    <w:p w:rsidR="00737F2A" w:rsidRPr="008C639B" w:rsidRDefault="00737F2A" w:rsidP="00737F2A">
      <w:pPr>
        <w:suppressAutoHyphens/>
        <w:autoSpaceDE w:val="0"/>
        <w:autoSpaceDN w:val="0"/>
        <w:adjustRightInd w:val="0"/>
        <w:spacing w:line="230" w:lineRule="atLeast"/>
        <w:textAlignment w:val="center"/>
        <w:rPr>
          <w:rFonts w:ascii="Tahoma" w:hAnsi="Tahoma" w:cs="Tahoma"/>
          <w:b/>
          <w:bCs/>
          <w:color w:val="000000"/>
          <w:spacing w:val="-1"/>
          <w:kern w:val="0"/>
          <w:sz w:val="19"/>
          <w:szCs w:val="19"/>
        </w:rPr>
      </w:pPr>
      <w:r w:rsidRPr="008C639B">
        <w:rPr>
          <w:b/>
          <w:bCs/>
          <w:color w:val="000000"/>
          <w:spacing w:val="-3"/>
          <w:kern w:val="0"/>
          <w:sz w:val="19"/>
          <w:szCs w:val="19"/>
        </w:rPr>
        <w:t>Core tip:</w:t>
      </w:r>
      <w:r w:rsidRPr="008C639B">
        <w:rPr>
          <w:rFonts w:ascii="Tahoma" w:hAnsi="Tahoma" w:cs="Tahoma"/>
          <w:b/>
          <w:bCs/>
          <w:color w:val="000000"/>
          <w:spacing w:val="-1"/>
          <w:kern w:val="0"/>
          <w:sz w:val="19"/>
          <w:szCs w:val="19"/>
        </w:rPr>
        <w:t xml:space="preserve"> </w:t>
      </w:r>
      <w:r w:rsidRPr="008C639B">
        <w:rPr>
          <w:rFonts w:ascii="Tahoma" w:hAnsi="Tahoma" w:cs="Tahoma"/>
          <w:color w:val="000000"/>
          <w:spacing w:val="-1"/>
          <w:kern w:val="0"/>
          <w:sz w:val="19"/>
          <w:szCs w:val="19"/>
        </w:rPr>
        <w:t xml:space="preserve">No existing report has investigated the short-term clinical effects of </w:t>
      </w:r>
      <w:proofErr w:type="spellStart"/>
      <w:r w:rsidRPr="008C639B">
        <w:rPr>
          <w:rFonts w:ascii="Tahoma" w:hAnsi="Tahoma" w:cs="Tahoma"/>
          <w:color w:val="000000"/>
          <w:spacing w:val="-1"/>
          <w:kern w:val="0"/>
          <w:sz w:val="19"/>
          <w:szCs w:val="19"/>
        </w:rPr>
        <w:t>dexlansoprazole</w:t>
      </w:r>
      <w:proofErr w:type="spellEnd"/>
      <w:r w:rsidRPr="008C639B">
        <w:rPr>
          <w:rFonts w:ascii="Tahoma" w:hAnsi="Tahoma" w:cs="Tahoma"/>
          <w:color w:val="000000"/>
          <w:spacing w:val="-1"/>
          <w:kern w:val="0"/>
          <w:sz w:val="19"/>
          <w:szCs w:val="19"/>
        </w:rPr>
        <w:t xml:space="preserve"> 60 mg </w:t>
      </w:r>
      <w:proofErr w:type="spellStart"/>
      <w:r w:rsidRPr="008C639B">
        <w:rPr>
          <w:rFonts w:ascii="Tahoma Italic" w:hAnsi="Tahoma Italic" w:cs="Tahoma Italic"/>
          <w:i/>
          <w:iCs/>
          <w:color w:val="000000"/>
          <w:spacing w:val="-1"/>
          <w:kern w:val="0"/>
          <w:sz w:val="19"/>
          <w:szCs w:val="19"/>
        </w:rPr>
        <w:t>vs</w:t>
      </w:r>
      <w:proofErr w:type="spellEnd"/>
      <w:r w:rsidRPr="008C639B">
        <w:rPr>
          <w:rFonts w:ascii="Tahoma Italic" w:hAnsi="Tahoma Italic" w:cs="Tahoma Italic"/>
          <w:i/>
          <w:iCs/>
          <w:color w:val="000000"/>
          <w:spacing w:val="-1"/>
          <w:kern w:val="0"/>
          <w:sz w:val="19"/>
          <w:szCs w:val="19"/>
        </w:rPr>
        <w:t xml:space="preserve"> </w:t>
      </w:r>
      <w:r w:rsidRPr="008C639B">
        <w:rPr>
          <w:rFonts w:ascii="Tahoma" w:hAnsi="Tahoma" w:cs="Tahoma"/>
          <w:color w:val="000000"/>
          <w:spacing w:val="-1"/>
          <w:kern w:val="0"/>
          <w:sz w:val="19"/>
          <w:szCs w:val="19"/>
        </w:rPr>
        <w:t xml:space="preserve">esomeprazole 40 mg. This study compared the one-week clinical effects of a single dose of the two drugs for grades A and B erosive esophagitis. We enrolled 175 adult patients with </w:t>
      </w:r>
      <w:proofErr w:type="spellStart"/>
      <w:r w:rsidRPr="008C639B">
        <w:rPr>
          <w:rFonts w:ascii="Tahoma" w:hAnsi="Tahoma" w:cs="Tahoma"/>
          <w:color w:val="000000"/>
          <w:spacing w:val="-1"/>
          <w:kern w:val="0"/>
          <w:sz w:val="19"/>
          <w:szCs w:val="19"/>
        </w:rPr>
        <w:t>gastroesophageal</w:t>
      </w:r>
      <w:proofErr w:type="spellEnd"/>
      <w:r w:rsidRPr="008C639B">
        <w:rPr>
          <w:rFonts w:ascii="Tahoma" w:hAnsi="Tahoma" w:cs="Tahoma"/>
          <w:color w:val="000000"/>
          <w:spacing w:val="-1"/>
          <w:kern w:val="0"/>
          <w:sz w:val="19"/>
          <w:szCs w:val="19"/>
        </w:rPr>
        <w:t xml:space="preserve"> reflux disease (GERD) and randomized them in a 1:1 ratio into a </w:t>
      </w:r>
      <w:proofErr w:type="spellStart"/>
      <w:r w:rsidRPr="008C639B">
        <w:rPr>
          <w:rFonts w:ascii="Tahoma" w:hAnsi="Tahoma" w:cs="Tahoma"/>
          <w:color w:val="000000"/>
          <w:spacing w:val="-1"/>
          <w:kern w:val="0"/>
          <w:sz w:val="19"/>
          <w:szCs w:val="19"/>
        </w:rPr>
        <w:t>dexlansoprazole</w:t>
      </w:r>
      <w:proofErr w:type="spellEnd"/>
      <w:r w:rsidRPr="008C639B">
        <w:rPr>
          <w:rFonts w:ascii="Tahoma" w:hAnsi="Tahoma" w:cs="Tahoma"/>
          <w:color w:val="000000"/>
          <w:spacing w:val="-1"/>
          <w:kern w:val="0"/>
          <w:sz w:val="19"/>
          <w:szCs w:val="19"/>
        </w:rPr>
        <w:t xml:space="preserve"> (</w:t>
      </w:r>
      <w:r w:rsidRPr="008C639B">
        <w:rPr>
          <w:rFonts w:ascii="Tahoma Italic" w:hAnsi="Tahoma Italic" w:cs="Tahoma Italic"/>
          <w:i/>
          <w:iCs/>
          <w:color w:val="000000"/>
          <w:spacing w:val="-1"/>
          <w:kern w:val="0"/>
          <w:sz w:val="19"/>
          <w:szCs w:val="19"/>
        </w:rPr>
        <w:t>n</w:t>
      </w:r>
      <w:r w:rsidRPr="008C639B">
        <w:rPr>
          <w:rFonts w:ascii="Tahoma" w:hAnsi="Tahoma" w:cs="Tahoma"/>
          <w:color w:val="000000"/>
          <w:spacing w:val="-1"/>
          <w:kern w:val="0"/>
          <w:sz w:val="19"/>
          <w:szCs w:val="19"/>
        </w:rPr>
        <w:t xml:space="preserve"> = 88) or esomeprazole group (</w:t>
      </w:r>
      <w:r w:rsidRPr="008C639B">
        <w:rPr>
          <w:rFonts w:ascii="Tahoma Italic" w:hAnsi="Tahoma Italic" w:cs="Tahoma Italic"/>
          <w:i/>
          <w:iCs/>
          <w:color w:val="000000"/>
          <w:spacing w:val="-1"/>
          <w:kern w:val="0"/>
          <w:sz w:val="19"/>
          <w:szCs w:val="19"/>
        </w:rPr>
        <w:t>n</w:t>
      </w:r>
      <w:r w:rsidRPr="008C639B">
        <w:rPr>
          <w:rFonts w:ascii="Tahoma" w:hAnsi="Tahoma" w:cs="Tahoma"/>
          <w:color w:val="000000"/>
          <w:spacing w:val="-1"/>
          <w:kern w:val="0"/>
          <w:sz w:val="19"/>
          <w:szCs w:val="19"/>
        </w:rPr>
        <w:t xml:space="preserve"> = 87) for an intention-to-treat analysis (ITT). The primary end-points were the complete symptom resolution (CSR) rates at days 1, 3, and 7. The CSRs for both groups were similar at days 1, 3 and 7. In the subgroup analysis, female patients achieved higher CSRs in the </w:t>
      </w:r>
      <w:proofErr w:type="spellStart"/>
      <w:r w:rsidRPr="008C639B">
        <w:rPr>
          <w:rFonts w:ascii="Tahoma" w:hAnsi="Tahoma" w:cs="Tahoma"/>
          <w:color w:val="000000"/>
          <w:spacing w:val="-1"/>
          <w:kern w:val="0"/>
          <w:sz w:val="19"/>
          <w:szCs w:val="19"/>
        </w:rPr>
        <w:t>dexlansoprazole</w:t>
      </w:r>
      <w:proofErr w:type="spellEnd"/>
      <w:r w:rsidRPr="008C639B">
        <w:rPr>
          <w:rFonts w:ascii="Tahoma" w:hAnsi="Tahoma" w:cs="Tahoma"/>
          <w:color w:val="000000"/>
          <w:spacing w:val="-1"/>
          <w:kern w:val="0"/>
          <w:sz w:val="19"/>
          <w:szCs w:val="19"/>
        </w:rPr>
        <w:t xml:space="preserve"> group than in the esomeprazole group at day 3 (38.3% </w:t>
      </w:r>
      <w:proofErr w:type="spellStart"/>
      <w:r w:rsidRPr="008C639B">
        <w:rPr>
          <w:rFonts w:ascii="Tahoma Italic" w:hAnsi="Tahoma Italic" w:cs="Tahoma Italic"/>
          <w:i/>
          <w:iCs/>
          <w:color w:val="000000"/>
          <w:spacing w:val="-1"/>
          <w:kern w:val="0"/>
          <w:sz w:val="19"/>
          <w:szCs w:val="19"/>
        </w:rPr>
        <w:t>vs</w:t>
      </w:r>
      <w:proofErr w:type="spellEnd"/>
      <w:r w:rsidRPr="008C639B">
        <w:rPr>
          <w:rFonts w:ascii="Tahoma" w:hAnsi="Tahoma" w:cs="Tahoma"/>
          <w:color w:val="000000"/>
          <w:spacing w:val="-1"/>
          <w:kern w:val="0"/>
          <w:sz w:val="19"/>
          <w:szCs w:val="19"/>
        </w:rPr>
        <w:t xml:space="preserve"> 18.4%, </w:t>
      </w:r>
      <w:r w:rsidRPr="008C639B">
        <w:rPr>
          <w:rFonts w:ascii="Tahoma Italic" w:hAnsi="Tahoma Italic" w:cs="Tahoma Italic"/>
          <w:i/>
          <w:iCs/>
          <w:caps/>
          <w:color w:val="000000"/>
          <w:spacing w:val="-1"/>
          <w:kern w:val="0"/>
          <w:sz w:val="19"/>
          <w:szCs w:val="19"/>
        </w:rPr>
        <w:t>p</w:t>
      </w:r>
      <w:r w:rsidRPr="008C639B">
        <w:rPr>
          <w:rFonts w:ascii="Tahoma" w:hAnsi="Tahoma" w:cs="Tahoma"/>
          <w:caps/>
          <w:color w:val="000000"/>
          <w:spacing w:val="-1"/>
          <w:kern w:val="0"/>
          <w:sz w:val="19"/>
          <w:szCs w:val="19"/>
        </w:rPr>
        <w:t xml:space="preserve"> = </w:t>
      </w:r>
      <w:r w:rsidRPr="008C639B">
        <w:rPr>
          <w:rFonts w:ascii="Tahoma" w:hAnsi="Tahoma" w:cs="Tahoma"/>
          <w:color w:val="000000"/>
          <w:spacing w:val="-1"/>
          <w:kern w:val="0"/>
          <w:sz w:val="19"/>
          <w:szCs w:val="19"/>
        </w:rPr>
        <w:t xml:space="preserve">0.046). In the esomeprazole group, female sex was a negative predictive factor for CSR at post-dose day 1 [OR = -1.249 ± 0.543; 95%CI: 0.287 (0.099-0.832), </w:t>
      </w:r>
      <w:r w:rsidRPr="008C639B">
        <w:rPr>
          <w:rFonts w:ascii="Tahoma Italic" w:hAnsi="Tahoma Italic" w:cs="Tahoma Italic"/>
          <w:i/>
          <w:iCs/>
          <w:caps/>
          <w:color w:val="000000"/>
          <w:spacing w:val="-1"/>
          <w:kern w:val="0"/>
          <w:sz w:val="19"/>
          <w:szCs w:val="19"/>
        </w:rPr>
        <w:t>p</w:t>
      </w:r>
      <w:r w:rsidRPr="008C639B">
        <w:rPr>
          <w:rFonts w:ascii="Tahoma" w:hAnsi="Tahoma" w:cs="Tahoma"/>
          <w:caps/>
          <w:color w:val="000000"/>
          <w:spacing w:val="-1"/>
          <w:kern w:val="0"/>
          <w:sz w:val="19"/>
          <w:szCs w:val="19"/>
        </w:rPr>
        <w:t xml:space="preserve"> = </w:t>
      </w:r>
      <w:r w:rsidRPr="008C639B">
        <w:rPr>
          <w:rFonts w:ascii="Tahoma" w:hAnsi="Tahoma" w:cs="Tahoma"/>
          <w:color w:val="000000"/>
          <w:spacing w:val="-1"/>
          <w:kern w:val="0"/>
          <w:sz w:val="19"/>
          <w:szCs w:val="19"/>
        </w:rPr>
        <w:t xml:space="preserve">0.022] and day 3 [OR = -1.254 ± 0.519; 95%CI: 0.285 (0.103-0.789), </w:t>
      </w:r>
      <w:r w:rsidRPr="008C639B">
        <w:rPr>
          <w:rFonts w:ascii="Tahoma Italic" w:hAnsi="Tahoma Italic" w:cs="Tahoma Italic"/>
          <w:i/>
          <w:iCs/>
          <w:caps/>
          <w:color w:val="000000"/>
          <w:spacing w:val="-1"/>
          <w:kern w:val="0"/>
          <w:sz w:val="19"/>
          <w:szCs w:val="19"/>
        </w:rPr>
        <w:t>p</w:t>
      </w:r>
      <w:r w:rsidRPr="008C639B">
        <w:rPr>
          <w:rFonts w:ascii="Tahoma" w:hAnsi="Tahoma" w:cs="Tahoma"/>
          <w:caps/>
          <w:color w:val="000000"/>
          <w:spacing w:val="-1"/>
          <w:kern w:val="0"/>
          <w:sz w:val="19"/>
          <w:szCs w:val="19"/>
        </w:rPr>
        <w:t xml:space="preserve"> = </w:t>
      </w:r>
      <w:r w:rsidRPr="008C639B">
        <w:rPr>
          <w:rFonts w:ascii="Tahoma" w:hAnsi="Tahoma" w:cs="Tahoma"/>
          <w:color w:val="000000"/>
          <w:spacing w:val="-1"/>
          <w:kern w:val="0"/>
          <w:sz w:val="19"/>
          <w:szCs w:val="19"/>
        </w:rPr>
        <w:t xml:space="preserve">0.016]. This pilot study suggested that the overall CSR rates for GERD patients were similar at days 1 through 7 for both the </w:t>
      </w:r>
      <w:proofErr w:type="spellStart"/>
      <w:r w:rsidRPr="008C639B">
        <w:rPr>
          <w:rFonts w:ascii="Tahoma" w:hAnsi="Tahoma" w:cs="Tahoma"/>
          <w:color w:val="000000"/>
          <w:spacing w:val="-1"/>
          <w:kern w:val="0"/>
          <w:sz w:val="19"/>
          <w:szCs w:val="19"/>
        </w:rPr>
        <w:t>dexlansoprazole</w:t>
      </w:r>
      <w:proofErr w:type="spellEnd"/>
      <w:r w:rsidRPr="008C639B">
        <w:rPr>
          <w:rFonts w:ascii="Tahoma" w:hAnsi="Tahoma" w:cs="Tahoma"/>
          <w:color w:val="000000"/>
          <w:spacing w:val="-1"/>
          <w:kern w:val="0"/>
          <w:sz w:val="19"/>
          <w:szCs w:val="19"/>
        </w:rPr>
        <w:t xml:space="preserve"> and esomeprazole groups, although a higher </w:t>
      </w:r>
      <w:r w:rsidRPr="008C639B">
        <w:rPr>
          <w:rFonts w:ascii="Tahoma" w:hAnsi="Tahoma" w:cs="Tahoma"/>
          <w:color w:val="000000"/>
          <w:spacing w:val="-1"/>
          <w:kern w:val="0"/>
          <w:sz w:val="19"/>
          <w:szCs w:val="19"/>
          <w:lang w:val="zh-TW"/>
        </w:rPr>
        <w:t>CSR</w:t>
      </w:r>
      <w:r w:rsidRPr="008C639B">
        <w:rPr>
          <w:rFonts w:ascii="Tahoma" w:hAnsi="Tahoma" w:cs="Tahoma"/>
          <w:color w:val="000000"/>
          <w:spacing w:val="-1"/>
          <w:kern w:val="0"/>
          <w:sz w:val="19"/>
          <w:szCs w:val="19"/>
        </w:rPr>
        <w:t xml:space="preserve"> was observed at day 3 in female patients who received a single dose of </w:t>
      </w:r>
      <w:proofErr w:type="spellStart"/>
      <w:r w:rsidRPr="008C639B">
        <w:rPr>
          <w:rFonts w:ascii="Tahoma" w:hAnsi="Tahoma" w:cs="Tahoma"/>
          <w:color w:val="000000"/>
          <w:spacing w:val="-1"/>
          <w:kern w:val="0"/>
          <w:sz w:val="19"/>
          <w:szCs w:val="19"/>
        </w:rPr>
        <w:t>dexlansoprazole</w:t>
      </w:r>
      <w:proofErr w:type="spellEnd"/>
      <w:r w:rsidRPr="008C639B">
        <w:rPr>
          <w:rFonts w:ascii="Tahoma" w:hAnsi="Tahoma" w:cs="Tahoma"/>
          <w:color w:val="000000"/>
          <w:spacing w:val="-1"/>
          <w:kern w:val="0"/>
          <w:sz w:val="19"/>
          <w:szCs w:val="19"/>
        </w:rPr>
        <w:t>.</w:t>
      </w:r>
    </w:p>
    <w:p w:rsidR="00737F2A" w:rsidRPr="008C639B" w:rsidRDefault="00737F2A" w:rsidP="00737F2A">
      <w:pPr>
        <w:suppressAutoHyphens/>
        <w:autoSpaceDE w:val="0"/>
        <w:autoSpaceDN w:val="0"/>
        <w:adjustRightInd w:val="0"/>
        <w:spacing w:line="360" w:lineRule="atLeast"/>
        <w:jc w:val="left"/>
        <w:textAlignment w:val="center"/>
        <w:rPr>
          <w:rFonts w:ascii="Univers" w:hAnsi="Univers" w:cs="Univers" w:hint="eastAsia"/>
          <w:b/>
          <w:bCs/>
          <w:color w:val="000000"/>
          <w:spacing w:val="-2"/>
          <w:kern w:val="0"/>
          <w:sz w:val="24"/>
        </w:rPr>
      </w:pPr>
    </w:p>
    <w:p w:rsidR="00737F2A" w:rsidRPr="008C639B" w:rsidRDefault="00737F2A" w:rsidP="00737F2A">
      <w:pPr>
        <w:suppressAutoHyphens/>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8C639B">
        <w:rPr>
          <w:rFonts w:ascii="Univers" w:hAnsi="Univers" w:cs="Univers"/>
          <w:b/>
          <w:bCs/>
          <w:color w:val="000000"/>
          <w:spacing w:val="-2"/>
          <w:kern w:val="0"/>
          <w:sz w:val="24"/>
          <w:u w:val="single"/>
        </w:rPr>
        <w:t>INTRODUCTION</w:t>
      </w:r>
    </w:p>
    <w:p w:rsidR="00737F2A" w:rsidRPr="008C639B" w:rsidRDefault="00737F2A" w:rsidP="00737F2A">
      <w:pPr>
        <w:suppressAutoHyphens/>
        <w:autoSpaceDE w:val="0"/>
        <w:autoSpaceDN w:val="0"/>
        <w:adjustRightInd w:val="0"/>
        <w:spacing w:line="288" w:lineRule="auto"/>
        <w:textAlignment w:val="center"/>
        <w:rPr>
          <w:rFonts w:ascii="Verdana" w:hAnsi="Verdana" w:cs="Verdana"/>
          <w:color w:val="000000"/>
          <w:spacing w:val="-7"/>
          <w:kern w:val="0"/>
          <w:sz w:val="18"/>
          <w:szCs w:val="18"/>
        </w:rPr>
      </w:pPr>
      <w:proofErr w:type="spellStart"/>
      <w:r w:rsidRPr="008C639B">
        <w:rPr>
          <w:rFonts w:ascii="Verdana" w:hAnsi="Verdana" w:cs="Verdana"/>
          <w:color w:val="000000"/>
          <w:spacing w:val="-7"/>
          <w:kern w:val="0"/>
          <w:sz w:val="18"/>
          <w:szCs w:val="18"/>
        </w:rPr>
        <w:t>Gastroesophageal</w:t>
      </w:r>
      <w:proofErr w:type="spellEnd"/>
      <w:r w:rsidRPr="008C639B">
        <w:rPr>
          <w:rFonts w:ascii="Verdana" w:hAnsi="Verdana" w:cs="Verdana"/>
          <w:color w:val="000000"/>
          <w:spacing w:val="-7"/>
          <w:kern w:val="0"/>
          <w:sz w:val="18"/>
          <w:szCs w:val="18"/>
        </w:rPr>
        <w:t xml:space="preserve"> reflux disease (GERD) is a common gastrointestinal disorder worldwide. GERD continues to increase in incidence with the aging population and the obesity </w:t>
      </w:r>
      <w:proofErr w:type="gramStart"/>
      <w:r w:rsidRPr="008C639B">
        <w:rPr>
          <w:rFonts w:ascii="Verdana" w:hAnsi="Verdana" w:cs="Verdana"/>
          <w:color w:val="000000"/>
          <w:spacing w:val="-7"/>
          <w:kern w:val="0"/>
          <w:sz w:val="18"/>
          <w:szCs w:val="18"/>
        </w:rPr>
        <w:t>epidemic</w:t>
      </w:r>
      <w:r>
        <w:rPr>
          <w:rFonts w:ascii="Verdana" w:hAnsi="Verdana" w:cs="Verdana"/>
          <w:color w:val="000000"/>
          <w:spacing w:val="-7"/>
          <w:kern w:val="0"/>
          <w:sz w:val="18"/>
          <w:szCs w:val="18"/>
          <w:vertAlign w:val="superscript"/>
        </w:rPr>
        <w:t>[</w:t>
      </w:r>
      <w:proofErr w:type="gramEnd"/>
      <w:r>
        <w:rPr>
          <w:rFonts w:ascii="Verdana" w:hAnsi="Verdana" w:cs="Verdana" w:hint="eastAsia"/>
          <w:color w:val="000000"/>
          <w:spacing w:val="-7"/>
          <w:kern w:val="0"/>
          <w:sz w:val="18"/>
          <w:szCs w:val="18"/>
          <w:vertAlign w:val="superscript"/>
        </w:rPr>
        <w:t>1,2</w:t>
      </w:r>
      <w:r w:rsidRPr="008C639B">
        <w:rPr>
          <w:rFonts w:ascii="Verdana" w:hAnsi="Verdana" w:cs="Verdana"/>
          <w:color w:val="000000"/>
          <w:spacing w:val="-7"/>
          <w:kern w:val="0"/>
          <w:sz w:val="18"/>
          <w:szCs w:val="18"/>
          <w:vertAlign w:val="superscript"/>
        </w:rPr>
        <w:t>]</w:t>
      </w:r>
      <w:r w:rsidRPr="008C639B">
        <w:rPr>
          <w:rFonts w:ascii="Verdana" w:hAnsi="Verdana" w:cs="Verdana"/>
          <w:color w:val="000000"/>
          <w:spacing w:val="-7"/>
          <w:kern w:val="0"/>
          <w:sz w:val="18"/>
          <w:szCs w:val="18"/>
        </w:rPr>
        <w:t xml:space="preserve">. Based on the Montreal definition, GERD is diagnosed when the reflux of stomach contents causes troublesome </w:t>
      </w:r>
      <w:proofErr w:type="gramStart"/>
      <w:r w:rsidRPr="008C639B">
        <w:rPr>
          <w:rFonts w:ascii="Verdana" w:hAnsi="Verdana" w:cs="Verdana"/>
          <w:color w:val="000000"/>
          <w:spacing w:val="-7"/>
          <w:kern w:val="0"/>
          <w:sz w:val="18"/>
          <w:szCs w:val="18"/>
        </w:rPr>
        <w:t>symptoms</w:t>
      </w:r>
      <w:r w:rsidRPr="008C639B">
        <w:rPr>
          <w:rFonts w:ascii="Verdana" w:hAnsi="Verdana" w:cs="Verdana"/>
          <w:color w:val="000000"/>
          <w:spacing w:val="-7"/>
          <w:kern w:val="0"/>
          <w:sz w:val="18"/>
          <w:szCs w:val="18"/>
          <w:vertAlign w:val="superscript"/>
        </w:rPr>
        <w:t>[</w:t>
      </w:r>
      <w:proofErr w:type="gramEnd"/>
      <w:r w:rsidRPr="008C639B">
        <w:rPr>
          <w:rFonts w:ascii="Verdana" w:hAnsi="Verdana" w:cs="Verdana"/>
          <w:color w:val="000000"/>
          <w:spacing w:val="-7"/>
          <w:kern w:val="0"/>
          <w:sz w:val="18"/>
          <w:szCs w:val="18"/>
          <w:vertAlign w:val="superscript"/>
        </w:rPr>
        <w:t>3]</w:t>
      </w:r>
      <w:r w:rsidRPr="008C639B">
        <w:rPr>
          <w:rFonts w:ascii="Verdana" w:hAnsi="Verdana" w:cs="Verdana"/>
          <w:color w:val="000000"/>
          <w:spacing w:val="-7"/>
          <w:kern w:val="0"/>
          <w:sz w:val="18"/>
          <w:szCs w:val="18"/>
        </w:rPr>
        <w:t xml:space="preserve">, such as heartburn and regurgitation, as well as other atypical or </w:t>
      </w:r>
      <w:proofErr w:type="spellStart"/>
      <w:r w:rsidRPr="008C639B">
        <w:rPr>
          <w:rFonts w:ascii="Verdana" w:hAnsi="Verdana" w:cs="Verdana"/>
          <w:color w:val="000000"/>
          <w:spacing w:val="-7"/>
          <w:kern w:val="0"/>
          <w:sz w:val="18"/>
          <w:szCs w:val="18"/>
        </w:rPr>
        <w:t>extraesophageal</w:t>
      </w:r>
      <w:proofErr w:type="spellEnd"/>
      <w:r w:rsidRPr="008C639B">
        <w:rPr>
          <w:rFonts w:ascii="Verdana" w:hAnsi="Verdana" w:cs="Verdana"/>
          <w:color w:val="000000"/>
          <w:spacing w:val="-7"/>
          <w:kern w:val="0"/>
          <w:sz w:val="18"/>
          <w:szCs w:val="18"/>
        </w:rPr>
        <w:t xml:space="preserve"> symptoms, such as chest pain, asthma, voice hoarseness, and sleep disturbance</w:t>
      </w:r>
      <w:r>
        <w:rPr>
          <w:rFonts w:ascii="Verdana" w:hAnsi="Verdana" w:cs="Verdana"/>
          <w:color w:val="000000"/>
          <w:spacing w:val="-7"/>
          <w:kern w:val="0"/>
          <w:sz w:val="18"/>
          <w:szCs w:val="18"/>
          <w:vertAlign w:val="superscript"/>
        </w:rPr>
        <w:t>[</w:t>
      </w:r>
      <w:r>
        <w:rPr>
          <w:rFonts w:ascii="Verdana" w:hAnsi="Verdana" w:cs="Verdana" w:hint="eastAsia"/>
          <w:color w:val="000000"/>
          <w:spacing w:val="-7"/>
          <w:kern w:val="0"/>
          <w:sz w:val="18"/>
          <w:szCs w:val="18"/>
          <w:vertAlign w:val="superscript"/>
        </w:rPr>
        <w:t>4</w:t>
      </w:r>
      <w:r w:rsidRPr="008C639B">
        <w:rPr>
          <w:rFonts w:ascii="Verdana" w:hAnsi="Verdana" w:cs="Verdana"/>
          <w:color w:val="000000"/>
          <w:spacing w:val="-7"/>
          <w:kern w:val="0"/>
          <w:sz w:val="18"/>
          <w:szCs w:val="18"/>
          <w:vertAlign w:val="superscript"/>
        </w:rPr>
        <w:t>]</w:t>
      </w:r>
      <w:r w:rsidRPr="008C639B">
        <w:rPr>
          <w:rFonts w:ascii="Verdana" w:hAnsi="Verdana" w:cs="Verdana"/>
          <w:color w:val="000000"/>
          <w:spacing w:val="-7"/>
          <w:kern w:val="0"/>
          <w:sz w:val="18"/>
          <w:szCs w:val="18"/>
        </w:rPr>
        <w:t xml:space="preserve">. Proton pump inhibitors (PPIs) are widely recognized as superior to other </w:t>
      </w:r>
      <w:proofErr w:type="spellStart"/>
      <w:r w:rsidRPr="008C639B">
        <w:rPr>
          <w:rFonts w:ascii="Verdana" w:hAnsi="Verdana" w:cs="Verdana"/>
          <w:color w:val="000000"/>
          <w:spacing w:val="-7"/>
          <w:kern w:val="0"/>
          <w:sz w:val="18"/>
          <w:szCs w:val="18"/>
        </w:rPr>
        <w:t>antisecretory</w:t>
      </w:r>
      <w:proofErr w:type="spellEnd"/>
      <w:r w:rsidRPr="008C639B">
        <w:rPr>
          <w:rFonts w:ascii="Verdana" w:hAnsi="Verdana" w:cs="Verdana"/>
          <w:color w:val="000000"/>
          <w:spacing w:val="-7"/>
          <w:kern w:val="0"/>
          <w:sz w:val="18"/>
          <w:szCs w:val="18"/>
        </w:rPr>
        <w:t xml:space="preserve"> therapies, including histamine-2 receptor antagonists (H</w:t>
      </w:r>
      <w:r w:rsidRPr="008C639B">
        <w:rPr>
          <w:rFonts w:ascii="Verdana" w:hAnsi="Verdana" w:cs="Verdana"/>
          <w:color w:val="000000"/>
          <w:spacing w:val="-7"/>
          <w:kern w:val="0"/>
          <w:sz w:val="18"/>
          <w:szCs w:val="18"/>
          <w:vertAlign w:val="subscript"/>
        </w:rPr>
        <w:t>2</w:t>
      </w:r>
      <w:r w:rsidRPr="008C639B">
        <w:rPr>
          <w:rFonts w:ascii="Verdana" w:hAnsi="Verdana" w:cs="Verdana"/>
          <w:color w:val="000000"/>
          <w:spacing w:val="-7"/>
          <w:kern w:val="0"/>
          <w:sz w:val="18"/>
          <w:szCs w:val="18"/>
        </w:rPr>
        <w:t xml:space="preserve">RA), and thus play a critical role in pharmacological therapy for the treatment of </w:t>
      </w:r>
      <w:proofErr w:type="gramStart"/>
      <w:r w:rsidRPr="008C639B">
        <w:rPr>
          <w:rFonts w:ascii="Verdana" w:hAnsi="Verdana" w:cs="Verdana"/>
          <w:color w:val="000000"/>
          <w:spacing w:val="-7"/>
          <w:kern w:val="0"/>
          <w:sz w:val="18"/>
          <w:szCs w:val="18"/>
        </w:rPr>
        <w:t>GERD</w:t>
      </w:r>
      <w:r w:rsidRPr="008C639B">
        <w:rPr>
          <w:rFonts w:ascii="Verdana" w:hAnsi="Verdana" w:cs="Verdana"/>
          <w:color w:val="000000"/>
          <w:spacing w:val="-7"/>
          <w:kern w:val="0"/>
          <w:sz w:val="18"/>
          <w:szCs w:val="18"/>
          <w:vertAlign w:val="superscript"/>
        </w:rPr>
        <w:t>[</w:t>
      </w:r>
      <w:proofErr w:type="gramEnd"/>
      <w:r w:rsidRPr="008C639B">
        <w:rPr>
          <w:rFonts w:ascii="Verdana" w:hAnsi="Verdana" w:cs="Verdana"/>
          <w:color w:val="000000"/>
          <w:spacing w:val="-7"/>
          <w:kern w:val="0"/>
          <w:sz w:val="18"/>
          <w:szCs w:val="18"/>
          <w:vertAlign w:val="superscript"/>
        </w:rPr>
        <w:t>5]</w:t>
      </w:r>
      <w:r w:rsidRPr="008C639B">
        <w:rPr>
          <w:rFonts w:ascii="Verdana" w:hAnsi="Verdana" w:cs="Verdana"/>
          <w:color w:val="000000"/>
          <w:spacing w:val="-7"/>
          <w:kern w:val="0"/>
          <w:sz w:val="18"/>
          <w:szCs w:val="18"/>
        </w:rPr>
        <w:t xml:space="preserve">. Although PPIs represent the mainstay of treatment for healing erosive esophagitis, symptom relief, and preventing complications, several studies have shown that up to 40% of GERD patients report either a partial or a complete lack of response of their symptoms after taking a standard once-daily PPI </w:t>
      </w:r>
      <w:proofErr w:type="gramStart"/>
      <w:r w:rsidRPr="008C639B">
        <w:rPr>
          <w:rFonts w:ascii="Verdana" w:hAnsi="Verdana" w:cs="Verdana"/>
          <w:color w:val="000000"/>
          <w:spacing w:val="-7"/>
          <w:kern w:val="0"/>
          <w:sz w:val="18"/>
          <w:szCs w:val="18"/>
        </w:rPr>
        <w:t>dose</w:t>
      </w:r>
      <w:r w:rsidRPr="008C639B">
        <w:rPr>
          <w:rFonts w:ascii="Verdana" w:hAnsi="Verdana" w:cs="Verdana"/>
          <w:color w:val="000000"/>
          <w:spacing w:val="-7"/>
          <w:kern w:val="0"/>
          <w:sz w:val="18"/>
          <w:szCs w:val="18"/>
          <w:vertAlign w:val="superscript"/>
        </w:rPr>
        <w:t>[</w:t>
      </w:r>
      <w:proofErr w:type="gramEnd"/>
      <w:r w:rsidRPr="008C639B">
        <w:rPr>
          <w:rFonts w:ascii="Verdana" w:hAnsi="Verdana" w:cs="Verdana"/>
          <w:color w:val="000000"/>
          <w:spacing w:val="-7"/>
          <w:kern w:val="0"/>
          <w:sz w:val="18"/>
          <w:szCs w:val="18"/>
          <w:vertAlign w:val="superscript"/>
        </w:rPr>
        <w:t>6-8]</w:t>
      </w:r>
      <w:r w:rsidRPr="008C639B">
        <w:rPr>
          <w:rFonts w:ascii="Verdana" w:hAnsi="Verdana" w:cs="Verdana"/>
          <w:color w:val="000000"/>
          <w:spacing w:val="-7"/>
          <w:kern w:val="0"/>
          <w:sz w:val="18"/>
          <w:szCs w:val="18"/>
        </w:rPr>
        <w:t>.</w:t>
      </w:r>
    </w:p>
    <w:p w:rsidR="00737F2A" w:rsidRPr="008C639B" w:rsidRDefault="00737F2A" w:rsidP="00737F2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8C639B">
        <w:rPr>
          <w:rFonts w:ascii="Verdana" w:hAnsi="Verdana" w:cs="Verdana"/>
          <w:color w:val="000000"/>
          <w:spacing w:val="-7"/>
          <w:kern w:val="0"/>
          <w:sz w:val="18"/>
          <w:szCs w:val="18"/>
        </w:rPr>
        <w:t xml:space="preserve">A study comparing the pharmacokinetic effects of different PPIs 12-24 h post-dose showed that the mean percentage of time with a pH &gt; 4 and the average of the pH mean were greater for </w:t>
      </w:r>
      <w:proofErr w:type="spellStart"/>
      <w:r w:rsidRPr="008C639B">
        <w:rPr>
          <w:rFonts w:ascii="Verdana" w:hAnsi="Verdana" w:cs="Verdana"/>
          <w:color w:val="000000"/>
          <w:spacing w:val="-7"/>
          <w:kern w:val="0"/>
          <w:sz w:val="18"/>
          <w:szCs w:val="18"/>
        </w:rPr>
        <w:t>dexlansoprazole</w:t>
      </w:r>
      <w:proofErr w:type="spellEnd"/>
      <w:r w:rsidRPr="008C639B">
        <w:rPr>
          <w:rFonts w:ascii="Verdana" w:hAnsi="Verdana" w:cs="Verdana"/>
          <w:color w:val="000000"/>
          <w:spacing w:val="-7"/>
          <w:kern w:val="0"/>
          <w:sz w:val="18"/>
          <w:szCs w:val="18"/>
        </w:rPr>
        <w:t xml:space="preserve"> than for esomeprazole (60% </w:t>
      </w:r>
      <w:proofErr w:type="spellStart"/>
      <w:r w:rsidRPr="008C639B">
        <w:rPr>
          <w:rFonts w:ascii="Verdana" w:hAnsi="Verdana" w:cs="Verdana"/>
          <w:i/>
          <w:iCs/>
          <w:color w:val="000000"/>
          <w:spacing w:val="-7"/>
          <w:kern w:val="0"/>
          <w:sz w:val="18"/>
          <w:szCs w:val="18"/>
        </w:rPr>
        <w:t>vs</w:t>
      </w:r>
      <w:proofErr w:type="spellEnd"/>
      <w:r w:rsidRPr="008C639B">
        <w:rPr>
          <w:rFonts w:ascii="Verdana" w:hAnsi="Verdana" w:cs="Verdana"/>
          <w:color w:val="000000"/>
          <w:spacing w:val="-7"/>
          <w:kern w:val="0"/>
          <w:sz w:val="18"/>
          <w:szCs w:val="18"/>
        </w:rPr>
        <w:t xml:space="preserve"> 42%, </w:t>
      </w:r>
      <w:r w:rsidRPr="008C639B">
        <w:rPr>
          <w:rFonts w:ascii="Verdana" w:hAnsi="Verdana" w:cs="Verdana"/>
          <w:i/>
          <w:iCs/>
          <w:caps/>
          <w:color w:val="000000"/>
          <w:spacing w:val="-7"/>
          <w:kern w:val="0"/>
          <w:sz w:val="18"/>
          <w:szCs w:val="18"/>
        </w:rPr>
        <w:t xml:space="preserve">p </w:t>
      </w:r>
      <w:r w:rsidRPr="009F654E">
        <w:rPr>
          <w:rFonts w:ascii="Verdana" w:hAnsi="Verdana" w:cs="Verdana"/>
          <w:iCs/>
          <w:color w:val="000000"/>
          <w:spacing w:val="-7"/>
          <w:kern w:val="0"/>
          <w:sz w:val="18"/>
          <w:szCs w:val="18"/>
        </w:rPr>
        <w:t>&lt;</w:t>
      </w:r>
      <w:r w:rsidRPr="008C639B">
        <w:rPr>
          <w:rFonts w:ascii="Verdana" w:hAnsi="Verdana" w:cs="Verdana"/>
          <w:color w:val="000000"/>
          <w:spacing w:val="-7"/>
          <w:kern w:val="0"/>
          <w:sz w:val="18"/>
          <w:szCs w:val="18"/>
        </w:rPr>
        <w:t xml:space="preserve"> 0.001 and pH 4.5 </w:t>
      </w:r>
      <w:proofErr w:type="spellStart"/>
      <w:r w:rsidRPr="008C639B">
        <w:rPr>
          <w:rFonts w:ascii="Verdana" w:hAnsi="Verdana" w:cs="Verdana"/>
          <w:i/>
          <w:iCs/>
          <w:color w:val="000000"/>
          <w:spacing w:val="-7"/>
          <w:kern w:val="0"/>
          <w:sz w:val="18"/>
          <w:szCs w:val="18"/>
        </w:rPr>
        <w:t>vs</w:t>
      </w:r>
      <w:proofErr w:type="spellEnd"/>
      <w:r w:rsidRPr="008C639B">
        <w:rPr>
          <w:rFonts w:ascii="Verdana" w:hAnsi="Verdana" w:cs="Verdana"/>
          <w:color w:val="000000"/>
          <w:spacing w:val="-7"/>
          <w:kern w:val="0"/>
          <w:sz w:val="18"/>
          <w:szCs w:val="18"/>
        </w:rPr>
        <w:t xml:space="preserve"> 3.5, </w:t>
      </w:r>
      <w:r w:rsidRPr="008C639B">
        <w:rPr>
          <w:rFonts w:ascii="Verdana" w:hAnsi="Verdana" w:cs="Verdana"/>
          <w:i/>
          <w:iCs/>
          <w:caps/>
          <w:color w:val="000000"/>
          <w:spacing w:val="-7"/>
          <w:kern w:val="0"/>
          <w:sz w:val="18"/>
          <w:szCs w:val="18"/>
        </w:rPr>
        <w:t xml:space="preserve">p </w:t>
      </w:r>
      <w:r w:rsidRPr="009F654E">
        <w:rPr>
          <w:rFonts w:ascii="Verdana" w:hAnsi="Verdana" w:cs="Verdana"/>
          <w:iCs/>
          <w:color w:val="000000"/>
          <w:spacing w:val="-7"/>
          <w:kern w:val="0"/>
          <w:sz w:val="18"/>
          <w:szCs w:val="18"/>
        </w:rPr>
        <w:t>&lt;</w:t>
      </w:r>
      <w:r w:rsidRPr="008C639B">
        <w:rPr>
          <w:rFonts w:ascii="Verdana" w:hAnsi="Verdana" w:cs="Verdana"/>
          <w:color w:val="000000"/>
          <w:spacing w:val="-7"/>
          <w:kern w:val="0"/>
          <w:sz w:val="18"/>
          <w:szCs w:val="18"/>
        </w:rPr>
        <w:t xml:space="preserve"> 0.001). However, this study did not report the clinical effects after the use of </w:t>
      </w:r>
      <w:proofErr w:type="gramStart"/>
      <w:r w:rsidRPr="008C639B">
        <w:rPr>
          <w:rFonts w:ascii="Verdana" w:hAnsi="Verdana" w:cs="Verdana"/>
          <w:color w:val="000000"/>
          <w:spacing w:val="-7"/>
          <w:kern w:val="0"/>
          <w:sz w:val="18"/>
          <w:szCs w:val="18"/>
        </w:rPr>
        <w:t>tablets</w:t>
      </w:r>
      <w:r w:rsidRPr="008C639B">
        <w:rPr>
          <w:rFonts w:ascii="Verdana" w:hAnsi="Verdana" w:cs="Verdana"/>
          <w:color w:val="000000"/>
          <w:spacing w:val="-7"/>
          <w:kern w:val="0"/>
          <w:sz w:val="18"/>
          <w:szCs w:val="18"/>
          <w:vertAlign w:val="superscript"/>
        </w:rPr>
        <w:t>[</w:t>
      </w:r>
      <w:proofErr w:type="gramEnd"/>
      <w:r w:rsidRPr="008C639B">
        <w:rPr>
          <w:rFonts w:ascii="Verdana" w:hAnsi="Verdana" w:cs="Verdana"/>
          <w:color w:val="000000"/>
          <w:spacing w:val="-7"/>
          <w:kern w:val="0"/>
          <w:sz w:val="18"/>
          <w:szCs w:val="18"/>
          <w:vertAlign w:val="superscript"/>
        </w:rPr>
        <w:t>9]</w:t>
      </w:r>
      <w:r w:rsidRPr="008C639B">
        <w:rPr>
          <w:rFonts w:ascii="Verdana" w:hAnsi="Verdana" w:cs="Verdana"/>
          <w:color w:val="000000"/>
          <w:spacing w:val="-7"/>
          <w:kern w:val="0"/>
          <w:sz w:val="18"/>
          <w:szCs w:val="18"/>
        </w:rPr>
        <w:t>.</w:t>
      </w:r>
      <w:r w:rsidRPr="008C639B">
        <w:rPr>
          <w:rFonts w:ascii="Verdana" w:hAnsi="Verdana" w:cs="Verdana"/>
          <w:i/>
          <w:iCs/>
          <w:caps/>
          <w:color w:val="000000"/>
          <w:spacing w:val="-7"/>
          <w:kern w:val="0"/>
          <w:sz w:val="18"/>
          <w:szCs w:val="18"/>
        </w:rPr>
        <w:t xml:space="preserve"> </w:t>
      </w:r>
      <w:r w:rsidRPr="008C639B">
        <w:rPr>
          <w:rFonts w:ascii="Verdana" w:hAnsi="Verdana" w:cs="Verdana"/>
          <w:color w:val="000000"/>
          <w:spacing w:val="-7"/>
          <w:kern w:val="0"/>
          <w:sz w:val="18"/>
          <w:szCs w:val="18"/>
        </w:rPr>
        <w:t xml:space="preserve">Rapid onset PPIs for fast symptom </w:t>
      </w:r>
      <w:proofErr w:type="spellStart"/>
      <w:r w:rsidRPr="008C639B">
        <w:rPr>
          <w:rFonts w:ascii="Verdana" w:hAnsi="Verdana" w:cs="Verdana"/>
          <w:color w:val="000000"/>
          <w:spacing w:val="-7"/>
          <w:kern w:val="0"/>
          <w:sz w:val="18"/>
          <w:szCs w:val="18"/>
        </w:rPr>
        <w:t>rel</w:t>
      </w:r>
      <w:proofErr w:type="spellEnd"/>
      <w:r w:rsidRPr="008C639B">
        <w:rPr>
          <w:rFonts w:ascii="Verdana" w:hAnsi="Verdana" w:cs="Verdana"/>
          <w:color w:val="000000"/>
          <w:spacing w:val="-7"/>
          <w:kern w:val="0"/>
          <w:sz w:val="18"/>
          <w:szCs w:val="18"/>
          <w:lang w:val="zh-TW"/>
        </w:rPr>
        <w:t>ief</w:t>
      </w:r>
      <w:r w:rsidRPr="008C639B">
        <w:rPr>
          <w:rFonts w:ascii="Verdana" w:hAnsi="Verdana" w:cs="Verdana"/>
          <w:color w:val="000000"/>
          <w:spacing w:val="-7"/>
          <w:kern w:val="0"/>
          <w:sz w:val="18"/>
          <w:szCs w:val="18"/>
        </w:rPr>
        <w:t xml:space="preserve"> is an unmet need in GERD treatment. To date, no reports have investigated the differences in short-term clinical effects and timing to symptom relief of GERD between </w:t>
      </w:r>
      <w:proofErr w:type="spellStart"/>
      <w:r w:rsidRPr="008C639B">
        <w:rPr>
          <w:rFonts w:ascii="Verdana" w:hAnsi="Verdana" w:cs="Verdana"/>
          <w:color w:val="000000"/>
          <w:spacing w:val="-7"/>
          <w:kern w:val="0"/>
          <w:sz w:val="18"/>
          <w:szCs w:val="18"/>
        </w:rPr>
        <w:t>dexlansoprazole</w:t>
      </w:r>
      <w:proofErr w:type="spellEnd"/>
      <w:r w:rsidRPr="008C639B">
        <w:rPr>
          <w:rFonts w:ascii="Verdana" w:hAnsi="Verdana" w:cs="Verdana"/>
          <w:color w:val="000000"/>
          <w:spacing w:val="-7"/>
          <w:kern w:val="0"/>
          <w:sz w:val="18"/>
          <w:szCs w:val="18"/>
        </w:rPr>
        <w:t xml:space="preserve"> 60 mg and esomeprazole 40 mg. Therefore, we conducted a randomized, controlled, open-label study to compare the 7-d clinical effects of single doses of </w:t>
      </w:r>
      <w:proofErr w:type="spellStart"/>
      <w:r w:rsidRPr="008C639B">
        <w:rPr>
          <w:rFonts w:ascii="Verdana" w:hAnsi="Verdana" w:cs="Verdana"/>
          <w:color w:val="000000"/>
          <w:spacing w:val="-7"/>
          <w:kern w:val="0"/>
          <w:sz w:val="18"/>
          <w:szCs w:val="18"/>
        </w:rPr>
        <w:t>dexlansoprazole</w:t>
      </w:r>
      <w:proofErr w:type="spellEnd"/>
      <w:r w:rsidRPr="008C639B">
        <w:rPr>
          <w:rFonts w:ascii="Verdana" w:hAnsi="Verdana" w:cs="Verdana"/>
          <w:color w:val="000000"/>
          <w:spacing w:val="-7"/>
          <w:kern w:val="0"/>
          <w:sz w:val="18"/>
          <w:szCs w:val="18"/>
        </w:rPr>
        <w:t xml:space="preserve"> (60 mg) and esomeprazole (40 mg) in patients with Los Angeles (LA) grades A and B erosive esophagitis.</w:t>
      </w:r>
    </w:p>
    <w:p w:rsidR="00737F2A" w:rsidRPr="008C639B" w:rsidRDefault="00737F2A" w:rsidP="00737F2A">
      <w:pPr>
        <w:suppressAutoHyphens/>
        <w:autoSpaceDE w:val="0"/>
        <w:autoSpaceDN w:val="0"/>
        <w:adjustRightInd w:val="0"/>
        <w:spacing w:line="360" w:lineRule="atLeast"/>
        <w:jc w:val="left"/>
        <w:textAlignment w:val="center"/>
        <w:rPr>
          <w:rFonts w:ascii="Univers" w:hAnsi="Univers" w:cs="Univers"/>
          <w:b/>
          <w:bCs/>
          <w:color w:val="000000"/>
          <w:spacing w:val="-2"/>
          <w:kern w:val="0"/>
          <w:sz w:val="24"/>
        </w:rPr>
      </w:pPr>
    </w:p>
    <w:p w:rsidR="00737F2A" w:rsidRPr="008C639B" w:rsidRDefault="00737F2A" w:rsidP="00737F2A">
      <w:pPr>
        <w:suppressAutoHyphens/>
        <w:autoSpaceDE w:val="0"/>
        <w:autoSpaceDN w:val="0"/>
        <w:adjustRightInd w:val="0"/>
        <w:spacing w:line="360" w:lineRule="atLeast"/>
        <w:jc w:val="left"/>
        <w:textAlignment w:val="center"/>
        <w:rPr>
          <w:rFonts w:ascii="Univers" w:hAnsi="Univers" w:cs="Univers"/>
          <w:b/>
          <w:bCs/>
          <w:color w:val="000000"/>
          <w:spacing w:val="-2"/>
          <w:w w:val="90"/>
          <w:kern w:val="0"/>
          <w:sz w:val="24"/>
          <w:u w:val="single"/>
        </w:rPr>
      </w:pPr>
      <w:r w:rsidRPr="008C639B">
        <w:rPr>
          <w:rFonts w:ascii="Univers" w:hAnsi="Univers" w:cs="Univers"/>
          <w:b/>
          <w:bCs/>
          <w:color w:val="000000"/>
          <w:spacing w:val="-2"/>
          <w:kern w:val="0"/>
          <w:sz w:val="24"/>
          <w:u w:val="single"/>
        </w:rPr>
        <w:t>MATERIALS AND METHODS</w:t>
      </w:r>
    </w:p>
    <w:p w:rsidR="00737F2A" w:rsidRPr="008C639B" w:rsidRDefault="00737F2A" w:rsidP="00737F2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8C639B">
        <w:rPr>
          <w:rFonts w:ascii="Arial Narrow" w:hAnsi="Arial Narrow" w:cs="Arial Narrow"/>
          <w:b/>
          <w:bCs/>
          <w:i/>
          <w:iCs/>
          <w:color w:val="000000"/>
          <w:kern w:val="0"/>
          <w:szCs w:val="21"/>
        </w:rPr>
        <w:t>Ethics statement</w:t>
      </w:r>
    </w:p>
    <w:p w:rsidR="00737F2A" w:rsidRPr="008C639B" w:rsidRDefault="00737F2A" w:rsidP="00737F2A">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8C639B">
        <w:rPr>
          <w:rFonts w:ascii="Verdana" w:hAnsi="Verdana" w:cs="Verdana"/>
          <w:color w:val="000000"/>
          <w:spacing w:val="-9"/>
          <w:kern w:val="0"/>
          <w:sz w:val="18"/>
          <w:szCs w:val="18"/>
        </w:rPr>
        <w:t>This study was funded by the Research Founda</w:t>
      </w:r>
      <w:r w:rsidRPr="008C639B">
        <w:rPr>
          <w:rFonts w:ascii="Verdana" w:hAnsi="Verdana" w:cs="Verdana"/>
          <w:color w:val="000000"/>
          <w:spacing w:val="-9"/>
          <w:kern w:val="0"/>
          <w:sz w:val="18"/>
          <w:szCs w:val="18"/>
        </w:rPr>
        <w:softHyphen/>
        <w:t>tion of the Chang Gung Memorial Hospital, Taiwan (CMRPG8D1441). This open-labeled trial was conducted at Kaohsiung Chang Gung Memorial Hospital, Kaohsiung Medical University Hospital, and Kaohsiung Veterans General Hospital in Taiwan. The study protocol was approved by the Ethics Committees of the above three hospitals. All patients provided written informed consent prior to participation. This clinical trial has been registered in a publicly accessible registry (ClinicalTrials.gov number: NCT03128736).</w:t>
      </w:r>
    </w:p>
    <w:p w:rsidR="00737F2A" w:rsidRPr="008C639B" w:rsidRDefault="00737F2A" w:rsidP="00737F2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737F2A" w:rsidRPr="008C639B" w:rsidRDefault="00737F2A" w:rsidP="00737F2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8C639B">
        <w:rPr>
          <w:rFonts w:ascii="Arial Narrow" w:hAnsi="Arial Narrow" w:cs="Arial Narrow"/>
          <w:b/>
          <w:bCs/>
          <w:i/>
          <w:iCs/>
          <w:color w:val="000000"/>
          <w:kern w:val="0"/>
          <w:szCs w:val="21"/>
        </w:rPr>
        <w:t>Study population</w:t>
      </w:r>
    </w:p>
    <w:p w:rsidR="00737F2A" w:rsidRPr="008C639B" w:rsidRDefault="00737F2A" w:rsidP="00737F2A">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8C639B">
        <w:rPr>
          <w:rFonts w:ascii="Verdana" w:hAnsi="Verdana" w:cs="Verdana"/>
          <w:color w:val="000000"/>
          <w:spacing w:val="-9"/>
          <w:kern w:val="0"/>
          <w:sz w:val="18"/>
          <w:szCs w:val="18"/>
        </w:rPr>
        <w:t xml:space="preserve">We invited 243 eligible outpatients to join our </w:t>
      </w:r>
      <w:r w:rsidRPr="008C639B">
        <w:rPr>
          <w:rFonts w:ascii="Verdana" w:hAnsi="Verdana" w:cs="Verdana"/>
          <w:color w:val="000000"/>
          <w:spacing w:val="-7"/>
          <w:kern w:val="0"/>
          <w:sz w:val="18"/>
          <w:szCs w:val="18"/>
        </w:rPr>
        <w:t>study. The outpatients were at least 18 years old, presented with clinical symptoms of acid regurgitation, heart</w:t>
      </w:r>
      <w:r w:rsidRPr="008C639B">
        <w:rPr>
          <w:rFonts w:ascii="Verdana" w:hAnsi="Verdana" w:cs="Verdana"/>
          <w:color w:val="000000"/>
          <w:spacing w:val="-7"/>
          <w:kern w:val="0"/>
          <w:sz w:val="18"/>
          <w:szCs w:val="18"/>
        </w:rPr>
        <w:softHyphen/>
        <w:t>burn, and a feeling of acidity in the stomach</w:t>
      </w:r>
      <w:r w:rsidRPr="008C639B">
        <w:rPr>
          <w:rFonts w:ascii="Verdana" w:hAnsi="Verdana" w:cs="Verdana"/>
          <w:color w:val="000000"/>
          <w:spacing w:val="-7"/>
          <w:kern w:val="0"/>
          <w:sz w:val="18"/>
          <w:szCs w:val="18"/>
          <w:vertAlign w:val="superscript"/>
        </w:rPr>
        <w:t>[10]</w:t>
      </w:r>
      <w:r w:rsidRPr="008C639B">
        <w:rPr>
          <w:rFonts w:ascii="Verdana" w:hAnsi="Verdana" w:cs="Verdana"/>
          <w:color w:val="000000"/>
          <w:spacing w:val="-7"/>
          <w:kern w:val="0"/>
          <w:sz w:val="18"/>
          <w:szCs w:val="18"/>
        </w:rPr>
        <w:t>, and had endoscopy-confirmed LA grade A or B erosive esophagitis</w:t>
      </w:r>
      <w:r w:rsidRPr="008C639B">
        <w:rPr>
          <w:rFonts w:ascii="Verdana" w:hAnsi="Verdana" w:cs="Verdana"/>
          <w:color w:val="000000"/>
          <w:spacing w:val="-7"/>
          <w:kern w:val="0"/>
          <w:sz w:val="18"/>
          <w:szCs w:val="18"/>
          <w:vertAlign w:val="superscript"/>
        </w:rPr>
        <w:t>[11,12]</w:t>
      </w:r>
      <w:r w:rsidRPr="008C639B">
        <w:rPr>
          <w:rFonts w:ascii="Verdana" w:hAnsi="Verdana" w:cs="Verdana"/>
          <w:color w:val="000000"/>
          <w:spacing w:val="-7"/>
          <w:kern w:val="0"/>
          <w:sz w:val="18"/>
          <w:szCs w:val="18"/>
        </w:rPr>
        <w:t xml:space="preserve">. We enrolled a total of 175 patients using </w:t>
      </w:r>
      <w:r w:rsidRPr="008C639B">
        <w:rPr>
          <w:rFonts w:ascii="Verdana" w:hAnsi="Verdana" w:cs="Verdana"/>
          <w:color w:val="000000"/>
          <w:spacing w:val="-7"/>
          <w:kern w:val="0"/>
          <w:sz w:val="18"/>
          <w:szCs w:val="18"/>
          <w:lang w:val="zh-TW"/>
        </w:rPr>
        <w:t>strict</w:t>
      </w:r>
      <w:r w:rsidRPr="008C639B">
        <w:rPr>
          <w:rFonts w:ascii="Verdana" w:hAnsi="Verdana" w:cs="Verdana"/>
          <w:color w:val="000000"/>
          <w:spacing w:val="-7"/>
          <w:kern w:val="0"/>
          <w:sz w:val="18"/>
          <w:szCs w:val="18"/>
        </w:rPr>
        <w:t xml:space="preserve"> </w:t>
      </w:r>
      <w:r w:rsidRPr="008C639B">
        <w:rPr>
          <w:rFonts w:ascii="Verdana" w:hAnsi="Verdana" w:cs="Verdana"/>
          <w:color w:val="000000"/>
          <w:spacing w:val="-7"/>
          <w:kern w:val="0"/>
          <w:sz w:val="18"/>
          <w:szCs w:val="18"/>
        </w:rPr>
        <w:lastRenderedPageBreak/>
        <w:t xml:space="preserve">inclusion </w:t>
      </w:r>
      <w:r w:rsidRPr="008C639B">
        <w:rPr>
          <w:rFonts w:ascii="Verdana" w:hAnsi="Verdana" w:cs="Verdana"/>
          <w:color w:val="000000"/>
          <w:spacing w:val="-7"/>
          <w:kern w:val="0"/>
          <w:sz w:val="18"/>
          <w:szCs w:val="18"/>
          <w:lang w:val="zh-TW"/>
        </w:rPr>
        <w:t>criteria. The</w:t>
      </w:r>
      <w:r w:rsidRPr="008C639B">
        <w:rPr>
          <w:rFonts w:ascii="Verdana" w:hAnsi="Verdana" w:cs="Verdana"/>
          <w:color w:val="000000"/>
          <w:spacing w:val="-7"/>
          <w:kern w:val="0"/>
          <w:sz w:val="18"/>
          <w:szCs w:val="18"/>
        </w:rPr>
        <w:t xml:space="preserve"> exclusion criteria </w:t>
      </w:r>
      <w:r w:rsidRPr="008C639B">
        <w:rPr>
          <w:rFonts w:ascii="Verdana" w:hAnsi="Verdana" w:cs="Verdana"/>
          <w:color w:val="000000"/>
          <w:spacing w:val="-7"/>
          <w:kern w:val="0"/>
          <w:sz w:val="18"/>
          <w:szCs w:val="18"/>
          <w:lang w:val="zh-TW"/>
        </w:rPr>
        <w:t xml:space="preserve">included (1) </w:t>
      </w:r>
      <w:r w:rsidRPr="008C639B">
        <w:rPr>
          <w:rFonts w:ascii="Verdana" w:hAnsi="Verdana" w:cs="Verdana"/>
          <w:color w:val="000000"/>
          <w:spacing w:val="-7"/>
          <w:kern w:val="0"/>
          <w:sz w:val="18"/>
          <w:szCs w:val="18"/>
        </w:rPr>
        <w:t xml:space="preserve">those who had been taking </w:t>
      </w:r>
      <w:proofErr w:type="spellStart"/>
      <w:r w:rsidRPr="008C639B">
        <w:rPr>
          <w:rFonts w:ascii="Verdana" w:hAnsi="Verdana" w:cs="Verdana"/>
          <w:color w:val="000000"/>
          <w:spacing w:val="-7"/>
          <w:kern w:val="0"/>
          <w:sz w:val="18"/>
          <w:szCs w:val="18"/>
        </w:rPr>
        <w:t>antisecretory</w:t>
      </w:r>
      <w:proofErr w:type="spellEnd"/>
      <w:r w:rsidRPr="008C639B">
        <w:rPr>
          <w:rFonts w:ascii="Verdana" w:hAnsi="Verdana" w:cs="Verdana"/>
          <w:color w:val="000000"/>
          <w:spacing w:val="-7"/>
          <w:kern w:val="0"/>
          <w:sz w:val="18"/>
          <w:szCs w:val="18"/>
        </w:rPr>
        <w:t xml:space="preserve"> agents, such as PPIs and H</w:t>
      </w:r>
      <w:r w:rsidRPr="008C639B">
        <w:rPr>
          <w:rFonts w:ascii="Verdana" w:hAnsi="Verdana" w:cs="Verdana"/>
          <w:color w:val="000000"/>
          <w:spacing w:val="-7"/>
          <w:kern w:val="0"/>
          <w:sz w:val="18"/>
          <w:szCs w:val="18"/>
          <w:vertAlign w:val="subscript"/>
        </w:rPr>
        <w:t>2</w:t>
      </w:r>
      <w:r w:rsidRPr="008C639B">
        <w:rPr>
          <w:rFonts w:ascii="Verdana" w:hAnsi="Verdana" w:cs="Verdana"/>
          <w:color w:val="000000"/>
          <w:spacing w:val="-7"/>
          <w:kern w:val="0"/>
          <w:sz w:val="18"/>
          <w:szCs w:val="18"/>
        </w:rPr>
        <w:t xml:space="preserve">RA, within 2 </w:t>
      </w:r>
      <w:proofErr w:type="spellStart"/>
      <w:r w:rsidRPr="008C639B">
        <w:rPr>
          <w:rFonts w:ascii="Verdana" w:hAnsi="Verdana" w:cs="Verdana"/>
          <w:color w:val="000000"/>
          <w:spacing w:val="-7"/>
          <w:kern w:val="0"/>
          <w:sz w:val="18"/>
          <w:szCs w:val="18"/>
        </w:rPr>
        <w:t>wk</w:t>
      </w:r>
      <w:proofErr w:type="spellEnd"/>
      <w:r w:rsidRPr="008C639B">
        <w:rPr>
          <w:rFonts w:ascii="Verdana" w:hAnsi="Verdana" w:cs="Verdana"/>
          <w:color w:val="000000"/>
          <w:spacing w:val="-7"/>
          <w:kern w:val="0"/>
          <w:sz w:val="18"/>
          <w:szCs w:val="18"/>
        </w:rPr>
        <w:t xml:space="preserve"> prior to the endoscopy; (2) those who had coexistence of a peptic ulcer or gastrointestinal malignancies, and were pregnant; (3) those who had coexistence of a serious concomitant illness (</w:t>
      </w:r>
      <w:r w:rsidRPr="008C639B">
        <w:rPr>
          <w:rFonts w:ascii="Verdana" w:hAnsi="Verdana" w:cs="Verdana"/>
          <w:i/>
          <w:iCs/>
          <w:color w:val="000000"/>
          <w:spacing w:val="-7"/>
          <w:kern w:val="0"/>
          <w:sz w:val="18"/>
          <w:szCs w:val="18"/>
        </w:rPr>
        <w:t>e.g.</w:t>
      </w:r>
      <w:r w:rsidRPr="008C639B">
        <w:rPr>
          <w:rFonts w:ascii="Verdana" w:hAnsi="Verdana" w:cs="Verdana"/>
          <w:color w:val="000000"/>
          <w:spacing w:val="-7"/>
          <w:kern w:val="0"/>
          <w:sz w:val="18"/>
          <w:szCs w:val="18"/>
        </w:rPr>
        <w:t xml:space="preserve">, decompensated liver cirrhosis and uremia); (4) those who underwent previous gastric surgery; (5) those who were allergic to </w:t>
      </w:r>
      <w:proofErr w:type="spellStart"/>
      <w:r w:rsidRPr="008C639B">
        <w:rPr>
          <w:rFonts w:ascii="Verdana" w:hAnsi="Verdana" w:cs="Verdana"/>
          <w:color w:val="000000"/>
          <w:spacing w:val="-7"/>
          <w:kern w:val="0"/>
          <w:sz w:val="18"/>
          <w:szCs w:val="18"/>
        </w:rPr>
        <w:t>dexlansoprazole</w:t>
      </w:r>
      <w:proofErr w:type="spellEnd"/>
      <w:r w:rsidRPr="008C639B">
        <w:rPr>
          <w:rFonts w:ascii="Verdana" w:hAnsi="Verdana" w:cs="Verdana"/>
          <w:color w:val="000000"/>
          <w:spacing w:val="-7"/>
          <w:kern w:val="0"/>
          <w:sz w:val="18"/>
          <w:szCs w:val="18"/>
        </w:rPr>
        <w:t xml:space="preserve"> or esomeprazole; and (6) those who had a symptom score less than 12 on a validated questionnaire (Chinese GERDQ)</w:t>
      </w:r>
      <w:r w:rsidRPr="008C639B">
        <w:rPr>
          <w:rFonts w:ascii="Verdana" w:hAnsi="Verdana" w:cs="Verdana"/>
          <w:color w:val="000000"/>
          <w:spacing w:val="-7"/>
          <w:kern w:val="0"/>
          <w:sz w:val="18"/>
          <w:szCs w:val="18"/>
          <w:vertAlign w:val="superscript"/>
        </w:rPr>
        <w:t>[10]</w:t>
      </w:r>
      <w:r w:rsidRPr="008C639B">
        <w:rPr>
          <w:rFonts w:ascii="Verdana" w:hAnsi="Verdana" w:cs="Verdana"/>
          <w:color w:val="000000"/>
          <w:spacing w:val="-7"/>
          <w:kern w:val="0"/>
          <w:sz w:val="18"/>
          <w:szCs w:val="18"/>
        </w:rPr>
        <w:t>.</w:t>
      </w:r>
    </w:p>
    <w:p w:rsidR="00737F2A" w:rsidRPr="008C639B" w:rsidRDefault="00737F2A" w:rsidP="00737F2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737F2A" w:rsidRPr="008C639B" w:rsidRDefault="00737F2A" w:rsidP="00737F2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8C639B">
        <w:rPr>
          <w:rFonts w:ascii="Arial Narrow" w:hAnsi="Arial Narrow" w:cs="Arial Narrow"/>
          <w:b/>
          <w:bCs/>
          <w:i/>
          <w:iCs/>
          <w:color w:val="000000"/>
          <w:kern w:val="0"/>
          <w:szCs w:val="21"/>
        </w:rPr>
        <w:t>Study protocol</w:t>
      </w:r>
    </w:p>
    <w:p w:rsidR="00737F2A" w:rsidRPr="008C639B" w:rsidRDefault="00737F2A" w:rsidP="00737F2A">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8C639B">
        <w:rPr>
          <w:rFonts w:ascii="Verdana" w:hAnsi="Verdana" w:cs="Verdana"/>
          <w:color w:val="000000"/>
          <w:spacing w:val="-7"/>
          <w:kern w:val="0"/>
          <w:sz w:val="18"/>
          <w:szCs w:val="18"/>
        </w:rPr>
        <w:t xml:space="preserve">Figure 1 shows the schematic flowchart of the study design. Eligible patients were randomly assigned to receive either </w:t>
      </w:r>
      <w:proofErr w:type="spellStart"/>
      <w:r w:rsidRPr="008C639B">
        <w:rPr>
          <w:rFonts w:ascii="Verdana" w:hAnsi="Verdana" w:cs="Verdana"/>
          <w:color w:val="000000"/>
          <w:spacing w:val="-7"/>
          <w:kern w:val="0"/>
          <w:sz w:val="18"/>
          <w:szCs w:val="18"/>
        </w:rPr>
        <w:t>dexlansoprazole</w:t>
      </w:r>
      <w:proofErr w:type="spellEnd"/>
      <w:r w:rsidRPr="008C639B">
        <w:rPr>
          <w:rFonts w:ascii="Verdana" w:hAnsi="Verdana" w:cs="Verdana"/>
          <w:color w:val="000000"/>
          <w:spacing w:val="-7"/>
          <w:kern w:val="0"/>
          <w:sz w:val="18"/>
          <w:szCs w:val="18"/>
        </w:rPr>
        <w:t xml:space="preserve"> 60 mg </w:t>
      </w:r>
      <w:proofErr w:type="spellStart"/>
      <w:r w:rsidRPr="008C639B">
        <w:rPr>
          <w:rFonts w:ascii="Verdana" w:hAnsi="Verdana" w:cs="Verdana"/>
          <w:color w:val="000000"/>
          <w:spacing w:val="-7"/>
          <w:kern w:val="0"/>
          <w:sz w:val="18"/>
          <w:szCs w:val="18"/>
        </w:rPr>
        <w:t>q.d</w:t>
      </w:r>
      <w:proofErr w:type="spellEnd"/>
      <w:r w:rsidRPr="008C639B">
        <w:rPr>
          <w:rFonts w:ascii="Verdana" w:hAnsi="Verdana" w:cs="Verdana"/>
          <w:color w:val="000000"/>
          <w:spacing w:val="-7"/>
          <w:kern w:val="0"/>
          <w:sz w:val="18"/>
          <w:szCs w:val="18"/>
        </w:rPr>
        <w:t>. or esome</w:t>
      </w:r>
      <w:r w:rsidRPr="008C639B">
        <w:rPr>
          <w:rFonts w:ascii="Verdana" w:hAnsi="Verdana" w:cs="Verdana"/>
          <w:color w:val="000000"/>
          <w:spacing w:val="-7"/>
          <w:kern w:val="0"/>
          <w:sz w:val="18"/>
          <w:szCs w:val="18"/>
        </w:rPr>
        <w:softHyphen/>
        <w:t xml:space="preserve">prazole 40 mg </w:t>
      </w:r>
      <w:proofErr w:type="spellStart"/>
      <w:r w:rsidRPr="008C639B">
        <w:rPr>
          <w:rFonts w:ascii="Verdana" w:hAnsi="Verdana" w:cs="Verdana"/>
          <w:color w:val="000000"/>
          <w:spacing w:val="-7"/>
          <w:kern w:val="0"/>
          <w:sz w:val="18"/>
          <w:szCs w:val="18"/>
        </w:rPr>
        <w:t>q.d</w:t>
      </w:r>
      <w:proofErr w:type="spellEnd"/>
      <w:r w:rsidRPr="008C639B">
        <w:rPr>
          <w:rFonts w:ascii="Verdana" w:hAnsi="Verdana" w:cs="Verdana"/>
          <w:color w:val="000000"/>
          <w:spacing w:val="-7"/>
          <w:kern w:val="0"/>
          <w:sz w:val="18"/>
          <w:szCs w:val="18"/>
        </w:rPr>
        <w:t xml:space="preserve">. for 8 </w:t>
      </w:r>
      <w:proofErr w:type="spellStart"/>
      <w:r w:rsidRPr="008C639B">
        <w:rPr>
          <w:rFonts w:ascii="Verdana" w:hAnsi="Verdana" w:cs="Verdana"/>
          <w:color w:val="000000"/>
          <w:spacing w:val="-7"/>
          <w:kern w:val="0"/>
          <w:sz w:val="18"/>
          <w:szCs w:val="18"/>
        </w:rPr>
        <w:t>wk</w:t>
      </w:r>
      <w:proofErr w:type="spellEnd"/>
      <w:r w:rsidRPr="008C639B">
        <w:rPr>
          <w:rFonts w:ascii="Verdana" w:hAnsi="Verdana" w:cs="Verdana"/>
          <w:color w:val="000000"/>
          <w:spacing w:val="-7"/>
          <w:kern w:val="0"/>
          <w:sz w:val="18"/>
          <w:szCs w:val="18"/>
        </w:rPr>
        <w:t xml:space="preserve"> as an initial treatment. Randomization was conducted using a computer-generated list of random numbers in a 1:1 ratio into two sequence groups that defined the order in which the patients received a single dose of </w:t>
      </w:r>
      <w:proofErr w:type="spellStart"/>
      <w:r w:rsidRPr="008C639B">
        <w:rPr>
          <w:rFonts w:ascii="Verdana" w:hAnsi="Verdana" w:cs="Verdana"/>
          <w:color w:val="000000"/>
          <w:spacing w:val="-7"/>
          <w:kern w:val="0"/>
          <w:sz w:val="18"/>
          <w:szCs w:val="18"/>
        </w:rPr>
        <w:t>dexlansoprazole</w:t>
      </w:r>
      <w:proofErr w:type="spellEnd"/>
      <w:r w:rsidRPr="008C639B">
        <w:rPr>
          <w:rFonts w:ascii="Verdana" w:hAnsi="Verdana" w:cs="Verdana"/>
          <w:color w:val="000000"/>
          <w:spacing w:val="-7"/>
          <w:kern w:val="0"/>
          <w:sz w:val="18"/>
          <w:szCs w:val="18"/>
        </w:rPr>
        <w:t xml:space="preserve"> or esomeprazole for an intention-to-treat analysis. An independent staff member assigned the treatments according to consecutive numbers kept in sealed envelopes. Written informed consent was obtained from each patient.</w:t>
      </w:r>
    </w:p>
    <w:p w:rsidR="00737F2A" w:rsidRPr="008C639B" w:rsidRDefault="00737F2A" w:rsidP="00737F2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8C639B">
        <w:rPr>
          <w:rFonts w:ascii="Verdana" w:hAnsi="Verdana" w:cs="Verdana"/>
          <w:color w:val="000000"/>
          <w:spacing w:val="-7"/>
          <w:kern w:val="0"/>
          <w:sz w:val="18"/>
          <w:szCs w:val="18"/>
        </w:rPr>
        <w:t xml:space="preserve">Each patient completed diary cards during the study period. Complete symptom resolution (CSR) was defined as no reflux symptoms leading to troublesome feelings in the 7 d of initial treatment. The patients were asked to complete the Chinese GERDQ upon </w:t>
      </w:r>
      <w:proofErr w:type="gramStart"/>
      <w:r w:rsidRPr="008C639B">
        <w:rPr>
          <w:rFonts w:ascii="Verdana" w:hAnsi="Verdana" w:cs="Verdana"/>
          <w:color w:val="000000"/>
          <w:spacing w:val="-7"/>
          <w:kern w:val="0"/>
          <w:sz w:val="18"/>
          <w:szCs w:val="18"/>
        </w:rPr>
        <w:t>recruitment</w:t>
      </w:r>
      <w:r w:rsidRPr="008C639B">
        <w:rPr>
          <w:rFonts w:ascii="Verdana" w:hAnsi="Verdana" w:cs="Verdana"/>
          <w:color w:val="000000"/>
          <w:spacing w:val="-7"/>
          <w:kern w:val="0"/>
          <w:sz w:val="18"/>
          <w:szCs w:val="18"/>
          <w:vertAlign w:val="superscript"/>
        </w:rPr>
        <w:t>[</w:t>
      </w:r>
      <w:proofErr w:type="gramEnd"/>
      <w:r w:rsidRPr="008C639B">
        <w:rPr>
          <w:rFonts w:ascii="Verdana" w:hAnsi="Verdana" w:cs="Verdana"/>
          <w:color w:val="000000"/>
          <w:spacing w:val="-7"/>
          <w:kern w:val="0"/>
          <w:sz w:val="18"/>
          <w:szCs w:val="18"/>
          <w:vertAlign w:val="superscript"/>
        </w:rPr>
        <w:t>10]</w:t>
      </w:r>
      <w:r w:rsidRPr="008C639B">
        <w:rPr>
          <w:rFonts w:ascii="Verdana" w:hAnsi="Verdana" w:cs="Verdana"/>
          <w:color w:val="000000"/>
          <w:spacing w:val="-7"/>
          <w:kern w:val="0"/>
          <w:sz w:val="18"/>
          <w:szCs w:val="18"/>
        </w:rPr>
        <w:t xml:space="preserve">. The selected symptoms that best accounted for the differences between the patients with GERD and the controls included acid regurgitation, heartburn, and a feeling of acidity in the stomach. The severity and frequency of symptoms in the questionnaire were graded on a five-point </w:t>
      </w:r>
      <w:proofErr w:type="spellStart"/>
      <w:r w:rsidRPr="008C639B">
        <w:rPr>
          <w:rFonts w:ascii="Verdana" w:hAnsi="Verdana" w:cs="Verdana"/>
          <w:color w:val="000000"/>
          <w:spacing w:val="-7"/>
          <w:kern w:val="0"/>
          <w:sz w:val="18"/>
          <w:szCs w:val="18"/>
        </w:rPr>
        <w:t>Likert</w:t>
      </w:r>
      <w:proofErr w:type="spellEnd"/>
      <w:r w:rsidRPr="008C639B">
        <w:rPr>
          <w:rFonts w:ascii="Verdana" w:hAnsi="Verdana" w:cs="Verdana"/>
          <w:color w:val="000000"/>
          <w:spacing w:val="-7"/>
          <w:kern w:val="0"/>
          <w:sz w:val="18"/>
          <w:szCs w:val="18"/>
        </w:rPr>
        <w:t xml:space="preserve"> scale as follows: (1) (none: no symptoms/none in the last month); (2) (mild: symptoms could be easily ignored/less than once per month); (3) (moderate: awareness of symptoms but easily tolerated/</w:t>
      </w:r>
      <w:r w:rsidRPr="008C639B">
        <w:rPr>
          <w:rFonts w:ascii="宋体" w:hAnsi="Verdana" w:cs="宋体" w:hint="eastAsia"/>
          <w:color w:val="000000"/>
          <w:kern w:val="0"/>
          <w:sz w:val="18"/>
          <w:szCs w:val="18"/>
        </w:rPr>
        <w:t>≥</w:t>
      </w:r>
      <w:r w:rsidRPr="008C639B">
        <w:rPr>
          <w:rFonts w:ascii="Verdana" w:hAnsi="Verdana" w:cs="Verdana"/>
          <w:color w:val="000000"/>
          <w:spacing w:val="-7"/>
          <w:kern w:val="0"/>
          <w:sz w:val="18"/>
          <w:szCs w:val="18"/>
        </w:rPr>
        <w:t xml:space="preserve"> once per month); (4) (severe: symptoms sufficient to interfere with normal activities/</w:t>
      </w:r>
      <w:r w:rsidRPr="008C639B">
        <w:rPr>
          <w:rFonts w:ascii="宋体" w:hAnsi="Verdana" w:cs="宋体" w:hint="eastAsia"/>
          <w:color w:val="000000"/>
          <w:kern w:val="0"/>
          <w:sz w:val="18"/>
          <w:szCs w:val="18"/>
        </w:rPr>
        <w:t>≥</w:t>
      </w:r>
      <w:r w:rsidRPr="008C639B">
        <w:rPr>
          <w:rFonts w:ascii="Verdana" w:hAnsi="Verdana" w:cs="Verdana"/>
          <w:color w:val="000000"/>
          <w:spacing w:val="-7"/>
          <w:kern w:val="0"/>
          <w:sz w:val="18"/>
          <w:szCs w:val="18"/>
        </w:rPr>
        <w:t xml:space="preserve"> once per week); and (5) (incapacitating: incapacitating symptoms with an inability to perform daily activities or requiring a day off work/</w:t>
      </w:r>
      <w:r w:rsidRPr="008C639B">
        <w:rPr>
          <w:rFonts w:ascii="宋体" w:hAnsi="Verdana" w:cs="宋体" w:hint="eastAsia"/>
          <w:color w:val="000000"/>
          <w:kern w:val="0"/>
          <w:sz w:val="18"/>
          <w:szCs w:val="18"/>
        </w:rPr>
        <w:t>≥</w:t>
      </w:r>
      <w:r w:rsidRPr="008C639B">
        <w:rPr>
          <w:rFonts w:ascii="Verdana" w:hAnsi="Verdana" w:cs="Verdana"/>
          <w:color w:val="000000"/>
          <w:spacing w:val="-7"/>
          <w:kern w:val="0"/>
          <w:sz w:val="18"/>
          <w:szCs w:val="18"/>
        </w:rPr>
        <w:t xml:space="preserve"> once daily)</w:t>
      </w:r>
      <w:r w:rsidRPr="008C639B">
        <w:rPr>
          <w:rFonts w:ascii="Verdana" w:hAnsi="Verdana" w:cs="Verdana"/>
          <w:color w:val="000000"/>
          <w:spacing w:val="-7"/>
          <w:kern w:val="0"/>
          <w:sz w:val="18"/>
          <w:szCs w:val="18"/>
          <w:vertAlign w:val="superscript"/>
        </w:rPr>
        <w:t>[10]</w:t>
      </w:r>
      <w:r w:rsidRPr="008C639B">
        <w:rPr>
          <w:rFonts w:ascii="Verdana" w:hAnsi="Verdana" w:cs="Verdana"/>
          <w:color w:val="000000"/>
          <w:spacing w:val="-7"/>
          <w:kern w:val="0"/>
          <w:sz w:val="18"/>
          <w:szCs w:val="18"/>
        </w:rPr>
        <w:t xml:space="preserve">. Blood samples were collected to measure the fasting blood sugar, serum cholesterol, and triglyceride levels. In addition, the body mass index (BMI) was calculated. Upon initial endoscopy, specimens taken from the greater curvature within 5 cm from the pylorus and from the greater curvature of the middle body were subjected to a microscopic examination for </w:t>
      </w:r>
      <w:r w:rsidRPr="008C639B">
        <w:rPr>
          <w:rFonts w:ascii="Verdana" w:hAnsi="Verdana" w:cs="Verdana"/>
          <w:i/>
          <w:iCs/>
          <w:color w:val="000000"/>
          <w:spacing w:val="-7"/>
          <w:kern w:val="0"/>
          <w:sz w:val="18"/>
          <w:szCs w:val="18"/>
        </w:rPr>
        <w:t xml:space="preserve">Helicobacter pylori </w:t>
      </w:r>
      <w:r w:rsidRPr="008C639B">
        <w:rPr>
          <w:rFonts w:ascii="Verdana" w:hAnsi="Verdana" w:cs="Verdana"/>
          <w:color w:val="000000"/>
          <w:spacing w:val="-7"/>
          <w:kern w:val="0"/>
          <w:sz w:val="18"/>
          <w:szCs w:val="18"/>
        </w:rPr>
        <w:t>(</w:t>
      </w:r>
      <w:r w:rsidRPr="008C639B">
        <w:rPr>
          <w:rFonts w:ascii="Verdana" w:hAnsi="Verdana" w:cs="Verdana"/>
          <w:i/>
          <w:iCs/>
          <w:color w:val="000000"/>
          <w:spacing w:val="-7"/>
          <w:kern w:val="0"/>
          <w:sz w:val="18"/>
          <w:szCs w:val="18"/>
        </w:rPr>
        <w:t>H. pylori</w:t>
      </w:r>
      <w:r w:rsidRPr="008C639B">
        <w:rPr>
          <w:rFonts w:ascii="Verdana" w:hAnsi="Verdana" w:cs="Verdana"/>
          <w:color w:val="000000"/>
          <w:spacing w:val="-7"/>
          <w:kern w:val="0"/>
          <w:sz w:val="18"/>
          <w:szCs w:val="18"/>
        </w:rPr>
        <w:t xml:space="preserve">) using a </w:t>
      </w:r>
      <w:proofErr w:type="spellStart"/>
      <w:r w:rsidRPr="008C639B">
        <w:rPr>
          <w:rFonts w:ascii="Verdana" w:hAnsi="Verdana" w:cs="Verdana"/>
          <w:color w:val="000000"/>
          <w:spacing w:val="-7"/>
          <w:kern w:val="0"/>
          <w:sz w:val="18"/>
          <w:szCs w:val="18"/>
        </w:rPr>
        <w:t>hematoxylin</w:t>
      </w:r>
      <w:proofErr w:type="spellEnd"/>
      <w:r w:rsidRPr="008C639B">
        <w:rPr>
          <w:rFonts w:ascii="Verdana" w:hAnsi="Verdana" w:cs="Verdana"/>
          <w:color w:val="000000"/>
          <w:spacing w:val="-7"/>
          <w:kern w:val="0"/>
          <w:sz w:val="18"/>
          <w:szCs w:val="18"/>
        </w:rPr>
        <w:t xml:space="preserve"> and eosin stain. No eradication therapy was administered during the study period.</w:t>
      </w:r>
    </w:p>
    <w:p w:rsidR="00737F2A" w:rsidRPr="008C639B" w:rsidRDefault="00737F2A" w:rsidP="00737F2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737F2A" w:rsidRPr="008C639B" w:rsidRDefault="00737F2A" w:rsidP="00737F2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8C639B">
        <w:rPr>
          <w:rFonts w:ascii="Arial Narrow" w:hAnsi="Arial Narrow" w:cs="Arial Narrow"/>
          <w:b/>
          <w:bCs/>
          <w:i/>
          <w:iCs/>
          <w:color w:val="000000"/>
          <w:kern w:val="0"/>
          <w:szCs w:val="21"/>
        </w:rPr>
        <w:t>Patient demographic data and follow-up</w:t>
      </w:r>
    </w:p>
    <w:p w:rsidR="00737F2A" w:rsidRPr="008C639B" w:rsidRDefault="00737F2A" w:rsidP="00737F2A">
      <w:pPr>
        <w:suppressAutoHyphens/>
        <w:autoSpaceDE w:val="0"/>
        <w:autoSpaceDN w:val="0"/>
        <w:adjustRightInd w:val="0"/>
        <w:spacing w:line="288" w:lineRule="auto"/>
        <w:textAlignment w:val="center"/>
        <w:rPr>
          <w:rFonts w:ascii="Verdana" w:hAnsi="Verdana" w:cs="Verdana"/>
          <w:color w:val="000000"/>
          <w:spacing w:val="-8"/>
          <w:kern w:val="0"/>
          <w:sz w:val="18"/>
          <w:szCs w:val="18"/>
        </w:rPr>
      </w:pPr>
      <w:r w:rsidRPr="008C639B">
        <w:rPr>
          <w:rFonts w:ascii="Verdana" w:hAnsi="Verdana" w:cs="Verdana"/>
          <w:color w:val="000000"/>
          <w:spacing w:val="-8"/>
          <w:kern w:val="0"/>
          <w:sz w:val="18"/>
          <w:szCs w:val="18"/>
        </w:rPr>
        <w:t xml:space="preserve">A complete medical history and demographic data were obtained from each patient. The collected variables included age (&lt; 60 or </w:t>
      </w:r>
      <w:r w:rsidRPr="008C639B">
        <w:rPr>
          <w:rFonts w:ascii="宋体" w:hAnsi="Verdana" w:cs="宋体" w:hint="eastAsia"/>
          <w:color w:val="000000"/>
          <w:spacing w:val="-8"/>
          <w:kern w:val="0"/>
          <w:sz w:val="18"/>
          <w:szCs w:val="18"/>
        </w:rPr>
        <w:t>≥</w:t>
      </w:r>
      <w:r w:rsidRPr="008C639B">
        <w:rPr>
          <w:rFonts w:ascii="Verdana" w:hAnsi="Verdana" w:cs="Verdana"/>
          <w:color w:val="000000"/>
          <w:spacing w:val="-8"/>
          <w:kern w:val="0"/>
          <w:sz w:val="18"/>
          <w:szCs w:val="18"/>
        </w:rPr>
        <w:t xml:space="preserve"> 60 years), sex, history of smoking, history of alcohol consumption (&lt; 80 g/d or </w:t>
      </w:r>
      <w:r w:rsidRPr="008C639B">
        <w:rPr>
          <w:rFonts w:ascii="宋体" w:hAnsi="Verdana" w:cs="宋体" w:hint="eastAsia"/>
          <w:color w:val="000000"/>
          <w:spacing w:val="-8"/>
          <w:kern w:val="0"/>
          <w:sz w:val="18"/>
          <w:szCs w:val="18"/>
        </w:rPr>
        <w:t>≥</w:t>
      </w:r>
      <w:r w:rsidRPr="008C639B">
        <w:rPr>
          <w:rFonts w:ascii="Verdana" w:hAnsi="Verdana" w:cs="Verdana"/>
          <w:color w:val="000000"/>
          <w:spacing w:val="-8"/>
          <w:kern w:val="0"/>
          <w:sz w:val="18"/>
          <w:szCs w:val="18"/>
        </w:rPr>
        <w:t xml:space="preserve"> 80 g/d), coffee ingestion (&lt; 1 cup/d or </w:t>
      </w:r>
      <w:r w:rsidRPr="008C639B">
        <w:rPr>
          <w:rFonts w:ascii="宋体" w:hAnsi="Verdana" w:cs="宋体" w:hint="eastAsia"/>
          <w:color w:val="000000"/>
          <w:spacing w:val="-8"/>
          <w:kern w:val="0"/>
          <w:sz w:val="18"/>
          <w:szCs w:val="18"/>
        </w:rPr>
        <w:t>≥</w:t>
      </w:r>
      <w:r w:rsidRPr="008C639B">
        <w:rPr>
          <w:rFonts w:ascii="Verdana" w:hAnsi="Verdana" w:cs="Verdana"/>
          <w:color w:val="000000"/>
          <w:spacing w:val="-8"/>
          <w:kern w:val="0"/>
          <w:sz w:val="18"/>
          <w:szCs w:val="18"/>
        </w:rPr>
        <w:t xml:space="preserve"> 1 cup/d), tea ingestion (&lt; 1 cup/d or </w:t>
      </w:r>
      <w:r w:rsidRPr="008C639B">
        <w:rPr>
          <w:rFonts w:ascii="宋体" w:hAnsi="Verdana" w:cs="宋体" w:hint="eastAsia"/>
          <w:color w:val="000000"/>
          <w:spacing w:val="-8"/>
          <w:kern w:val="0"/>
          <w:sz w:val="18"/>
          <w:szCs w:val="18"/>
        </w:rPr>
        <w:t>≥</w:t>
      </w:r>
      <w:r w:rsidRPr="008C639B">
        <w:rPr>
          <w:rFonts w:ascii="Verdana" w:hAnsi="Verdana" w:cs="Verdana"/>
          <w:color w:val="000000"/>
          <w:spacing w:val="-8"/>
          <w:kern w:val="0"/>
          <w:sz w:val="18"/>
          <w:szCs w:val="18"/>
        </w:rPr>
        <w:t xml:space="preserve"> 1 cup/d), coexistence of a systemic </w:t>
      </w:r>
      <w:r w:rsidRPr="008C639B">
        <w:rPr>
          <w:rFonts w:ascii="Verdana" w:hAnsi="Verdana" w:cs="Verdana"/>
          <w:color w:val="000000"/>
          <w:spacing w:val="-8"/>
          <w:kern w:val="0"/>
          <w:sz w:val="18"/>
          <w:szCs w:val="18"/>
        </w:rPr>
        <w:lastRenderedPageBreak/>
        <w:t xml:space="preserve">disease (yes or no), severity of erosive esophagitis, and BMI. A gastric biopsy for histology and an </w:t>
      </w:r>
      <w:r w:rsidRPr="008C639B">
        <w:rPr>
          <w:rFonts w:ascii="Verdana" w:hAnsi="Verdana" w:cs="Verdana"/>
          <w:i/>
          <w:iCs/>
          <w:color w:val="000000"/>
          <w:spacing w:val="-8"/>
          <w:kern w:val="0"/>
          <w:sz w:val="18"/>
          <w:szCs w:val="18"/>
        </w:rPr>
        <w:t>H. pylori</w:t>
      </w:r>
      <w:r w:rsidRPr="008C639B">
        <w:rPr>
          <w:rFonts w:ascii="Verdana" w:hAnsi="Verdana" w:cs="Verdana"/>
          <w:color w:val="000000"/>
          <w:spacing w:val="-8"/>
          <w:kern w:val="0"/>
          <w:sz w:val="18"/>
          <w:szCs w:val="18"/>
        </w:rPr>
        <w:t xml:space="preserve"> examination were also performed. The patients returned to the clinics for drug refills and evaluation of reflux symptoms after one week. Adverse events were prospectively evaluated. The adverse events were assessed according to a 4-point scale system as follows: none; mild (discomfort, annoying but not interfering with daily work); moderate (discomfort sufficient to interfere with daily work); and severe (discomfort resulting in discontinuation of PPI therapy). Compliance was checked by counting the unused medication at the completion of 7 d of treatment. </w:t>
      </w:r>
    </w:p>
    <w:p w:rsidR="00737F2A" w:rsidRPr="008C639B" w:rsidRDefault="00737F2A" w:rsidP="00737F2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737F2A" w:rsidRPr="008C639B" w:rsidRDefault="00737F2A" w:rsidP="00737F2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8C639B">
        <w:rPr>
          <w:rFonts w:ascii="Arial Narrow" w:hAnsi="Arial Narrow" w:cs="Arial Narrow"/>
          <w:b/>
          <w:bCs/>
          <w:i/>
          <w:iCs/>
          <w:color w:val="000000"/>
          <w:kern w:val="0"/>
          <w:szCs w:val="21"/>
        </w:rPr>
        <w:t>End points</w:t>
      </w:r>
    </w:p>
    <w:p w:rsidR="00737F2A" w:rsidRPr="008C639B" w:rsidRDefault="00737F2A" w:rsidP="00737F2A">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8C639B">
        <w:rPr>
          <w:rFonts w:ascii="Verdana" w:hAnsi="Verdana" w:cs="Verdana"/>
          <w:color w:val="000000"/>
          <w:spacing w:val="-7"/>
          <w:kern w:val="0"/>
          <w:sz w:val="18"/>
          <w:szCs w:val="18"/>
        </w:rPr>
        <w:t xml:space="preserve">CSR was defined as no reflux symptoms sufficient to impair the quality of life before the end of the initial treatment phase. The main outcome measures were the CSR rates at days 1, 3 and 7 of the initial treatment period. All patients who started esomeprazole or </w:t>
      </w:r>
      <w:proofErr w:type="spellStart"/>
      <w:r w:rsidRPr="008C639B">
        <w:rPr>
          <w:rFonts w:ascii="Verdana" w:hAnsi="Verdana" w:cs="Verdana"/>
          <w:color w:val="000000"/>
          <w:spacing w:val="-7"/>
          <w:kern w:val="0"/>
          <w:sz w:val="18"/>
          <w:szCs w:val="18"/>
        </w:rPr>
        <w:t>dexlansoprazole</w:t>
      </w:r>
      <w:proofErr w:type="spellEnd"/>
      <w:r w:rsidRPr="008C639B">
        <w:rPr>
          <w:rFonts w:ascii="Verdana" w:hAnsi="Verdana" w:cs="Verdana"/>
          <w:color w:val="000000"/>
          <w:spacing w:val="-7"/>
          <w:kern w:val="0"/>
          <w:sz w:val="18"/>
          <w:szCs w:val="18"/>
        </w:rPr>
        <w:t xml:space="preserve"> as their initial treatment were included in the intent-to-treat (ITT) analysis. Patients with poor drug compliance were excluded from the per-protocol (PP) analysis. Poor compliance was defined as taking less than 80% of the total medication during the initial treatment phase.</w:t>
      </w:r>
    </w:p>
    <w:p w:rsidR="00737F2A" w:rsidRPr="008C639B" w:rsidRDefault="00737F2A" w:rsidP="00737F2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737F2A" w:rsidRPr="008C639B" w:rsidRDefault="00737F2A" w:rsidP="00737F2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8C639B">
        <w:rPr>
          <w:rFonts w:ascii="Arial Narrow" w:hAnsi="Arial Narrow" w:cs="Arial Narrow"/>
          <w:b/>
          <w:bCs/>
          <w:i/>
          <w:iCs/>
          <w:color w:val="000000"/>
          <w:kern w:val="0"/>
          <w:szCs w:val="21"/>
        </w:rPr>
        <w:t xml:space="preserve">Statistical analysis </w:t>
      </w:r>
    </w:p>
    <w:p w:rsidR="00737F2A" w:rsidRPr="008C639B" w:rsidRDefault="00737F2A" w:rsidP="00737F2A">
      <w:pPr>
        <w:suppressAutoHyphens/>
        <w:autoSpaceDE w:val="0"/>
        <w:autoSpaceDN w:val="0"/>
        <w:adjustRightInd w:val="0"/>
        <w:spacing w:line="288" w:lineRule="auto"/>
        <w:textAlignment w:val="center"/>
        <w:rPr>
          <w:rFonts w:ascii="Verdana" w:hAnsi="Verdana" w:cs="Verdana"/>
          <w:color w:val="000000"/>
          <w:spacing w:val="-8"/>
          <w:kern w:val="0"/>
          <w:sz w:val="18"/>
          <w:szCs w:val="18"/>
        </w:rPr>
      </w:pPr>
      <w:r w:rsidRPr="008C639B">
        <w:rPr>
          <w:rFonts w:ascii="Verdana" w:hAnsi="Verdana" w:cs="Verdana"/>
          <w:color w:val="000000"/>
          <w:spacing w:val="-8"/>
          <w:kern w:val="0"/>
          <w:sz w:val="18"/>
          <w:szCs w:val="18"/>
        </w:rPr>
        <w:t>According to the observations in this study, the CSR rate after a once-daily PPI therapy was approximately 50% at day 7. Assuming that the two types of PPIs provided similar effects on the CSR rates with a standard deviation of less than 10%</w:t>
      </w:r>
      <w:r w:rsidRPr="008C639B">
        <w:rPr>
          <w:rFonts w:ascii="Verdana" w:hAnsi="Verdana" w:cs="Verdana"/>
          <w:color w:val="000000"/>
          <w:spacing w:val="-8"/>
          <w:kern w:val="0"/>
          <w:sz w:val="18"/>
          <w:szCs w:val="18"/>
          <w:vertAlign w:val="superscript"/>
        </w:rPr>
        <w:t>[13]</w:t>
      </w:r>
      <w:r w:rsidRPr="008C639B">
        <w:rPr>
          <w:rFonts w:ascii="Verdana" w:hAnsi="Verdana" w:cs="Verdana"/>
          <w:color w:val="000000"/>
          <w:spacing w:val="-8"/>
          <w:kern w:val="0"/>
          <w:sz w:val="18"/>
          <w:szCs w:val="18"/>
        </w:rPr>
        <w:t xml:space="preserve"> , we estimated that we required at least 196 patients in each treatment group to demonstrate a 10% absolute difference in the CSR with a type</w:t>
      </w:r>
      <w:r w:rsidRPr="008C639B">
        <w:rPr>
          <w:rFonts w:ascii="MS Gothic" w:eastAsia="MS Gothic" w:hAnsi="MS Gothic" w:cs="MS Gothic"/>
          <w:color w:val="000000"/>
          <w:spacing w:val="-8"/>
          <w:kern w:val="0"/>
          <w:sz w:val="18"/>
          <w:szCs w:val="18"/>
        </w:rPr>
        <w:t> </w:t>
      </w:r>
      <w:r w:rsidRPr="008C639B">
        <w:rPr>
          <w:rFonts w:ascii="KozMinPro-Regular" w:eastAsia="KozMinPro-Regular" w:hAnsi="Verdana" w:cs="KozMinPro-Regular" w:hint="eastAsia"/>
          <w:color w:val="000000"/>
          <w:spacing w:val="-8"/>
          <w:kern w:val="0"/>
          <w:sz w:val="18"/>
          <w:szCs w:val="18"/>
        </w:rPr>
        <w:t>Ⅰ</w:t>
      </w:r>
      <w:r w:rsidRPr="008C639B">
        <w:rPr>
          <w:rFonts w:ascii="MS Gothic" w:eastAsia="MS Gothic" w:hAnsi="MS Gothic" w:cs="MS Gothic"/>
          <w:color w:val="000000"/>
          <w:spacing w:val="-8"/>
          <w:kern w:val="0"/>
          <w:sz w:val="18"/>
          <w:szCs w:val="18"/>
        </w:rPr>
        <w:t> </w:t>
      </w:r>
      <w:r w:rsidRPr="008C639B">
        <w:rPr>
          <w:rFonts w:ascii="Verdana" w:hAnsi="Verdana" w:cs="Verdana"/>
          <w:color w:val="000000"/>
          <w:spacing w:val="-8"/>
          <w:kern w:val="0"/>
          <w:sz w:val="18"/>
          <w:szCs w:val="18"/>
        </w:rPr>
        <w:t>error of 0.05 and a statistical power of 80% and assuming a 10% loss to follow-up. As a consequence of not achieving the target number, our study was a pilot study.</w:t>
      </w:r>
    </w:p>
    <w:p w:rsidR="00737F2A" w:rsidRPr="008C639B" w:rsidRDefault="00737F2A" w:rsidP="00737F2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8C639B">
        <w:rPr>
          <w:rFonts w:ascii="Verdana" w:hAnsi="Verdana" w:cs="Verdana"/>
          <w:color w:val="000000"/>
          <w:spacing w:val="-7"/>
          <w:kern w:val="0"/>
          <w:sz w:val="18"/>
          <w:szCs w:val="18"/>
        </w:rPr>
        <w:t xml:space="preserve">In this pilot study, the </w:t>
      </w:r>
      <w:r w:rsidRPr="008C639B">
        <w:rPr>
          <w:rFonts w:ascii="Symbol" w:hAnsi="Symbol" w:cs="Symbol"/>
          <w:color w:val="000000"/>
          <w:spacing w:val="-7"/>
          <w:kern w:val="0"/>
          <w:sz w:val="18"/>
          <w:szCs w:val="18"/>
        </w:rPr>
        <w:t></w:t>
      </w:r>
      <w:r w:rsidRPr="008C639B">
        <w:rPr>
          <w:rFonts w:ascii="Verdana" w:hAnsi="Verdana" w:cs="Verdana"/>
          <w:color w:val="000000"/>
          <w:spacing w:val="-7"/>
          <w:kern w:val="0"/>
          <w:sz w:val="18"/>
          <w:szCs w:val="18"/>
          <w:vertAlign w:val="superscript"/>
          <w:lang w:val="zh-TW"/>
        </w:rPr>
        <w:t>2</w:t>
      </w:r>
      <w:r w:rsidRPr="008C639B">
        <w:rPr>
          <w:rFonts w:ascii="Verdana" w:hAnsi="Verdana" w:cs="Verdana"/>
          <w:color w:val="000000"/>
          <w:spacing w:val="-7"/>
          <w:kern w:val="0"/>
          <w:sz w:val="18"/>
          <w:szCs w:val="18"/>
        </w:rPr>
        <w:t xml:space="preserve"> test with or without Yates correction for continuity and Fisher’s exact test were used when appropriate to compare the rates of CSR, symptom relapse, and esophagitis relapse between the groups. The mean reflux symptom scores between groups were compared using the Wilcoxon rank sum test. All statistical analyses were performed using the SPSS program (version 10.1, Chicago, IL, United States). A </w:t>
      </w:r>
      <w:r w:rsidRPr="008C639B">
        <w:rPr>
          <w:rFonts w:ascii="Verdana" w:hAnsi="Verdana" w:cs="Verdana"/>
          <w:i/>
          <w:iCs/>
          <w:caps/>
          <w:color w:val="000000"/>
          <w:spacing w:val="-7"/>
          <w:kern w:val="0"/>
          <w:sz w:val="18"/>
          <w:szCs w:val="18"/>
        </w:rPr>
        <w:t>p</w:t>
      </w:r>
      <w:r w:rsidRPr="008C639B">
        <w:rPr>
          <w:rFonts w:ascii="Verdana" w:hAnsi="Verdana" w:cs="Verdana"/>
          <w:color w:val="000000"/>
          <w:spacing w:val="-7"/>
          <w:kern w:val="0"/>
          <w:sz w:val="18"/>
          <w:szCs w:val="18"/>
        </w:rPr>
        <w:t xml:space="preserve"> value less than 0.05 </w:t>
      </w:r>
      <w:proofErr w:type="gramStart"/>
      <w:r w:rsidRPr="008C639B">
        <w:rPr>
          <w:rFonts w:ascii="Verdana" w:hAnsi="Verdana" w:cs="Verdana"/>
          <w:color w:val="000000"/>
          <w:spacing w:val="-7"/>
          <w:kern w:val="0"/>
          <w:sz w:val="18"/>
          <w:szCs w:val="18"/>
        </w:rPr>
        <w:t>was</w:t>
      </w:r>
      <w:proofErr w:type="gramEnd"/>
      <w:r w:rsidRPr="008C639B">
        <w:rPr>
          <w:rFonts w:ascii="Verdana" w:hAnsi="Verdana" w:cs="Verdana"/>
          <w:color w:val="000000"/>
          <w:spacing w:val="-7"/>
          <w:kern w:val="0"/>
          <w:sz w:val="18"/>
          <w:szCs w:val="18"/>
        </w:rPr>
        <w:t xml:space="preserve"> considered significant.</w:t>
      </w:r>
    </w:p>
    <w:p w:rsidR="00737F2A" w:rsidRPr="008C639B" w:rsidRDefault="00737F2A" w:rsidP="00737F2A">
      <w:pPr>
        <w:suppressAutoHyphens/>
        <w:autoSpaceDE w:val="0"/>
        <w:autoSpaceDN w:val="0"/>
        <w:adjustRightInd w:val="0"/>
        <w:spacing w:line="360" w:lineRule="atLeast"/>
        <w:jc w:val="left"/>
        <w:textAlignment w:val="center"/>
        <w:rPr>
          <w:rFonts w:ascii="Univers" w:hAnsi="Univers" w:cs="Univers"/>
          <w:b/>
          <w:bCs/>
          <w:color w:val="000000"/>
          <w:spacing w:val="-2"/>
          <w:kern w:val="0"/>
          <w:sz w:val="24"/>
        </w:rPr>
      </w:pPr>
    </w:p>
    <w:p w:rsidR="00737F2A" w:rsidRPr="008C639B" w:rsidRDefault="00737F2A" w:rsidP="00737F2A">
      <w:pPr>
        <w:suppressAutoHyphens/>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8C639B">
        <w:rPr>
          <w:rFonts w:ascii="Univers" w:hAnsi="Univers" w:cs="Univers"/>
          <w:b/>
          <w:bCs/>
          <w:color w:val="000000"/>
          <w:spacing w:val="-2"/>
          <w:kern w:val="0"/>
          <w:sz w:val="24"/>
          <w:u w:val="single"/>
        </w:rPr>
        <w:t>RESULTS</w:t>
      </w:r>
    </w:p>
    <w:p w:rsidR="00737F2A" w:rsidRPr="008C639B" w:rsidRDefault="00737F2A" w:rsidP="00737F2A">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8C639B">
        <w:rPr>
          <w:rFonts w:ascii="Verdana" w:hAnsi="Verdana" w:cs="Verdana"/>
          <w:color w:val="000000"/>
          <w:spacing w:val="-7"/>
          <w:kern w:val="0"/>
          <w:sz w:val="18"/>
          <w:szCs w:val="18"/>
        </w:rPr>
        <w:t>From April 2014 to March 2016, two hundred and forty-three eligible symptomatic patients who had endoscopy-confirmed Los Angeles grade A or B erosive esophagitis were assessed. A total of 175 of these patients were recruited for randomization after excluding 68 patients who refused enrollment (</w:t>
      </w:r>
      <w:r w:rsidRPr="008C639B">
        <w:rPr>
          <w:rFonts w:ascii="Verdana" w:hAnsi="Verdana" w:cs="Verdana"/>
          <w:i/>
          <w:iCs/>
          <w:color w:val="000000"/>
          <w:spacing w:val="-7"/>
          <w:kern w:val="0"/>
          <w:sz w:val="18"/>
          <w:szCs w:val="18"/>
        </w:rPr>
        <w:t xml:space="preserve">n = </w:t>
      </w:r>
      <w:r w:rsidRPr="008C639B">
        <w:rPr>
          <w:rFonts w:ascii="Verdana" w:hAnsi="Verdana" w:cs="Verdana"/>
          <w:color w:val="000000"/>
          <w:spacing w:val="-7"/>
          <w:kern w:val="0"/>
          <w:sz w:val="18"/>
          <w:szCs w:val="18"/>
        </w:rPr>
        <w:t>40), cancer patients (</w:t>
      </w:r>
      <w:r w:rsidRPr="008C639B">
        <w:rPr>
          <w:rFonts w:ascii="Verdana" w:hAnsi="Verdana" w:cs="Verdana"/>
          <w:i/>
          <w:iCs/>
          <w:color w:val="000000"/>
          <w:spacing w:val="-7"/>
          <w:kern w:val="0"/>
          <w:sz w:val="18"/>
          <w:szCs w:val="18"/>
        </w:rPr>
        <w:t xml:space="preserve">n = </w:t>
      </w:r>
      <w:r w:rsidRPr="008C639B">
        <w:rPr>
          <w:rFonts w:ascii="Verdana" w:hAnsi="Verdana" w:cs="Verdana"/>
          <w:color w:val="000000"/>
          <w:spacing w:val="-7"/>
          <w:kern w:val="0"/>
          <w:sz w:val="18"/>
          <w:szCs w:val="18"/>
        </w:rPr>
        <w:t>19), and patients with advanced liver disease (</w:t>
      </w:r>
      <w:r w:rsidRPr="008C639B">
        <w:rPr>
          <w:rFonts w:ascii="Verdana" w:hAnsi="Verdana" w:cs="Verdana"/>
          <w:i/>
          <w:iCs/>
          <w:color w:val="000000"/>
          <w:spacing w:val="-7"/>
          <w:kern w:val="0"/>
          <w:sz w:val="18"/>
          <w:szCs w:val="18"/>
        </w:rPr>
        <w:t xml:space="preserve">n = </w:t>
      </w:r>
      <w:r w:rsidRPr="008C639B">
        <w:rPr>
          <w:rFonts w:ascii="Verdana" w:hAnsi="Verdana" w:cs="Verdana"/>
          <w:color w:val="000000"/>
          <w:spacing w:val="-7"/>
          <w:kern w:val="0"/>
          <w:sz w:val="18"/>
          <w:szCs w:val="18"/>
        </w:rPr>
        <w:t>3), end-stage renal disease (</w:t>
      </w:r>
      <w:r w:rsidRPr="008C639B">
        <w:rPr>
          <w:rFonts w:ascii="Verdana" w:hAnsi="Verdana" w:cs="Verdana"/>
          <w:i/>
          <w:iCs/>
          <w:color w:val="000000"/>
          <w:spacing w:val="-7"/>
          <w:kern w:val="0"/>
          <w:sz w:val="18"/>
          <w:szCs w:val="18"/>
        </w:rPr>
        <w:t xml:space="preserve">n = </w:t>
      </w:r>
      <w:r w:rsidRPr="008C639B">
        <w:rPr>
          <w:rFonts w:ascii="Verdana" w:hAnsi="Verdana" w:cs="Verdana"/>
          <w:color w:val="000000"/>
          <w:spacing w:val="-7"/>
          <w:kern w:val="0"/>
          <w:sz w:val="18"/>
          <w:szCs w:val="18"/>
        </w:rPr>
        <w:t>4), and coronary heart disease (</w:t>
      </w:r>
      <w:r w:rsidRPr="008C639B">
        <w:rPr>
          <w:rFonts w:ascii="Verdana" w:hAnsi="Verdana" w:cs="Verdana"/>
          <w:i/>
          <w:iCs/>
          <w:color w:val="000000"/>
          <w:spacing w:val="-7"/>
          <w:kern w:val="0"/>
          <w:sz w:val="18"/>
          <w:szCs w:val="18"/>
        </w:rPr>
        <w:t xml:space="preserve">n = </w:t>
      </w:r>
      <w:r w:rsidRPr="008C639B">
        <w:rPr>
          <w:rFonts w:ascii="Verdana" w:hAnsi="Verdana" w:cs="Verdana"/>
          <w:color w:val="000000"/>
          <w:spacing w:val="-7"/>
          <w:kern w:val="0"/>
          <w:sz w:val="18"/>
          <w:szCs w:val="18"/>
        </w:rPr>
        <w:t xml:space="preserve">2). A total of 88 patients received the </w:t>
      </w:r>
      <w:proofErr w:type="spellStart"/>
      <w:r w:rsidRPr="008C639B">
        <w:rPr>
          <w:rFonts w:ascii="Verdana" w:hAnsi="Verdana" w:cs="Verdana"/>
          <w:color w:val="000000"/>
          <w:spacing w:val="-7"/>
          <w:kern w:val="0"/>
          <w:sz w:val="18"/>
          <w:szCs w:val="18"/>
        </w:rPr>
        <w:t>dexlansoprazole</w:t>
      </w:r>
      <w:proofErr w:type="spellEnd"/>
      <w:r w:rsidRPr="008C639B">
        <w:rPr>
          <w:rFonts w:ascii="Verdana" w:hAnsi="Verdana" w:cs="Verdana"/>
          <w:color w:val="000000"/>
          <w:spacing w:val="-7"/>
          <w:kern w:val="0"/>
          <w:sz w:val="18"/>
          <w:szCs w:val="18"/>
        </w:rPr>
        <w:t xml:space="preserve"> treatment, and 87 patients received the </w:t>
      </w:r>
      <w:r w:rsidRPr="008C639B">
        <w:rPr>
          <w:rFonts w:ascii="Verdana" w:hAnsi="Verdana" w:cs="Verdana"/>
          <w:color w:val="000000"/>
          <w:spacing w:val="-7"/>
          <w:kern w:val="0"/>
          <w:sz w:val="18"/>
          <w:szCs w:val="18"/>
        </w:rPr>
        <w:lastRenderedPageBreak/>
        <w:t xml:space="preserve">esomeprazole treatment. A total of 13 patients were lost during the follow-up period (seven in the </w:t>
      </w:r>
      <w:proofErr w:type="spellStart"/>
      <w:r w:rsidRPr="008C639B">
        <w:rPr>
          <w:rFonts w:ascii="Verdana" w:hAnsi="Verdana" w:cs="Verdana"/>
          <w:color w:val="000000"/>
          <w:spacing w:val="-7"/>
          <w:kern w:val="0"/>
          <w:sz w:val="18"/>
          <w:szCs w:val="18"/>
        </w:rPr>
        <w:t>dexlansoprazole</w:t>
      </w:r>
      <w:proofErr w:type="spellEnd"/>
      <w:r w:rsidRPr="008C639B">
        <w:rPr>
          <w:rFonts w:ascii="Verdana" w:hAnsi="Verdana" w:cs="Verdana"/>
          <w:color w:val="000000"/>
          <w:spacing w:val="-7"/>
          <w:kern w:val="0"/>
          <w:sz w:val="18"/>
          <w:szCs w:val="18"/>
        </w:rPr>
        <w:t xml:space="preserve"> group and 6 in the esomeprazole group) (Figure 1). The baseline characteristics of the two groups were similar in age, sex, diet habits, body mass index, and symptom scores (GERDQ) (Table 1). At days 1, 3, and 7 post-dose, the CSR rates for the </w:t>
      </w:r>
      <w:proofErr w:type="spellStart"/>
      <w:r w:rsidRPr="008C639B">
        <w:rPr>
          <w:rFonts w:ascii="Verdana" w:hAnsi="Verdana" w:cs="Verdana"/>
          <w:color w:val="000000"/>
          <w:spacing w:val="-7"/>
          <w:kern w:val="0"/>
          <w:sz w:val="18"/>
          <w:szCs w:val="18"/>
        </w:rPr>
        <w:t>dexlansoprazole</w:t>
      </w:r>
      <w:proofErr w:type="spellEnd"/>
      <w:r w:rsidRPr="008C639B">
        <w:rPr>
          <w:rFonts w:ascii="Verdana" w:hAnsi="Verdana" w:cs="Verdana"/>
          <w:color w:val="000000"/>
          <w:spacing w:val="-7"/>
          <w:kern w:val="0"/>
          <w:sz w:val="18"/>
          <w:szCs w:val="18"/>
        </w:rPr>
        <w:t xml:space="preserve"> </w:t>
      </w:r>
      <w:proofErr w:type="spellStart"/>
      <w:r w:rsidRPr="008C639B">
        <w:rPr>
          <w:rFonts w:ascii="Verdana" w:hAnsi="Verdana" w:cs="Verdana"/>
          <w:i/>
          <w:iCs/>
          <w:color w:val="000000"/>
          <w:spacing w:val="-7"/>
          <w:kern w:val="0"/>
          <w:sz w:val="18"/>
          <w:szCs w:val="18"/>
        </w:rPr>
        <w:t>vs</w:t>
      </w:r>
      <w:proofErr w:type="spellEnd"/>
      <w:r w:rsidRPr="008C639B">
        <w:rPr>
          <w:rFonts w:ascii="Verdana" w:hAnsi="Verdana" w:cs="Verdana"/>
          <w:color w:val="000000"/>
          <w:spacing w:val="-7"/>
          <w:kern w:val="0"/>
          <w:sz w:val="18"/>
          <w:szCs w:val="18"/>
        </w:rPr>
        <w:t xml:space="preserve"> esomeprazole groups were 25.9% </w:t>
      </w:r>
      <w:proofErr w:type="spellStart"/>
      <w:r w:rsidRPr="008C639B">
        <w:rPr>
          <w:rFonts w:ascii="Verdana" w:hAnsi="Verdana" w:cs="Verdana"/>
          <w:i/>
          <w:iCs/>
          <w:color w:val="000000"/>
          <w:spacing w:val="-7"/>
          <w:kern w:val="0"/>
          <w:sz w:val="18"/>
          <w:szCs w:val="18"/>
        </w:rPr>
        <w:t>vs</w:t>
      </w:r>
      <w:proofErr w:type="spellEnd"/>
      <w:r w:rsidRPr="008C639B">
        <w:rPr>
          <w:rFonts w:ascii="Verdana" w:hAnsi="Verdana" w:cs="Verdana"/>
          <w:color w:val="000000"/>
          <w:spacing w:val="-7"/>
          <w:kern w:val="0"/>
          <w:sz w:val="18"/>
          <w:szCs w:val="18"/>
        </w:rPr>
        <w:t xml:space="preserve"> 28.4% (</w:t>
      </w:r>
      <w:r w:rsidRPr="008C639B">
        <w:rPr>
          <w:rFonts w:ascii="Verdana" w:hAnsi="Verdana" w:cs="Verdana"/>
          <w:i/>
          <w:iCs/>
          <w:caps/>
          <w:color w:val="000000"/>
          <w:spacing w:val="-7"/>
          <w:kern w:val="0"/>
          <w:sz w:val="18"/>
          <w:szCs w:val="18"/>
        </w:rPr>
        <w:t>p =</w:t>
      </w:r>
      <w:r w:rsidRPr="008C639B">
        <w:rPr>
          <w:rFonts w:ascii="Verdana" w:hAnsi="Verdana" w:cs="Verdana"/>
          <w:color w:val="000000"/>
          <w:spacing w:val="-7"/>
          <w:kern w:val="0"/>
          <w:sz w:val="18"/>
          <w:szCs w:val="18"/>
        </w:rPr>
        <w:t xml:space="preserve"> 0.724), 33.3% </w:t>
      </w:r>
      <w:proofErr w:type="spellStart"/>
      <w:r w:rsidRPr="008C639B">
        <w:rPr>
          <w:rFonts w:ascii="Verdana" w:hAnsi="Verdana" w:cs="Verdana"/>
          <w:i/>
          <w:iCs/>
          <w:color w:val="000000"/>
          <w:spacing w:val="-7"/>
          <w:kern w:val="0"/>
          <w:sz w:val="18"/>
          <w:szCs w:val="18"/>
        </w:rPr>
        <w:t>vs</w:t>
      </w:r>
      <w:proofErr w:type="spellEnd"/>
      <w:r w:rsidRPr="008C639B">
        <w:rPr>
          <w:rFonts w:ascii="Verdana" w:hAnsi="Verdana" w:cs="Verdana"/>
          <w:i/>
          <w:iCs/>
          <w:color w:val="000000"/>
          <w:spacing w:val="-7"/>
          <w:kern w:val="0"/>
          <w:sz w:val="18"/>
          <w:szCs w:val="18"/>
        </w:rPr>
        <w:t xml:space="preserve"> </w:t>
      </w:r>
      <w:r w:rsidRPr="008C639B">
        <w:rPr>
          <w:rFonts w:ascii="Verdana" w:hAnsi="Verdana" w:cs="Verdana"/>
          <w:color w:val="000000"/>
          <w:spacing w:val="-7"/>
          <w:kern w:val="0"/>
          <w:sz w:val="18"/>
          <w:szCs w:val="18"/>
        </w:rPr>
        <w:t>32.1%</w:t>
      </w:r>
      <w:r w:rsidRPr="008C639B">
        <w:rPr>
          <w:rFonts w:ascii="Verdana" w:hAnsi="Verdana" w:cs="Verdana"/>
          <w:i/>
          <w:iCs/>
          <w:color w:val="000000"/>
          <w:spacing w:val="-7"/>
          <w:kern w:val="0"/>
          <w:sz w:val="18"/>
          <w:szCs w:val="18"/>
        </w:rPr>
        <w:t xml:space="preserve"> </w:t>
      </w:r>
      <w:r w:rsidRPr="008C639B">
        <w:rPr>
          <w:rFonts w:ascii="Verdana" w:hAnsi="Verdana" w:cs="Verdana"/>
          <w:color w:val="000000"/>
          <w:spacing w:val="-7"/>
          <w:kern w:val="0"/>
          <w:sz w:val="18"/>
          <w:szCs w:val="18"/>
        </w:rPr>
        <w:t>(</w:t>
      </w:r>
      <w:r w:rsidRPr="008C639B">
        <w:rPr>
          <w:rFonts w:ascii="Verdana" w:hAnsi="Verdana" w:cs="Verdana"/>
          <w:i/>
          <w:iCs/>
          <w:caps/>
          <w:color w:val="000000"/>
          <w:spacing w:val="-7"/>
          <w:kern w:val="0"/>
          <w:sz w:val="18"/>
          <w:szCs w:val="18"/>
        </w:rPr>
        <w:t>p =</w:t>
      </w:r>
      <w:r w:rsidRPr="008C639B">
        <w:rPr>
          <w:rFonts w:ascii="Verdana" w:hAnsi="Verdana" w:cs="Verdana"/>
          <w:color w:val="000000"/>
          <w:spacing w:val="-7"/>
          <w:kern w:val="0"/>
          <w:sz w:val="18"/>
          <w:szCs w:val="18"/>
        </w:rPr>
        <w:t xml:space="preserve"> 0.867), and 51.9% </w:t>
      </w:r>
      <w:proofErr w:type="spellStart"/>
      <w:r w:rsidRPr="008C639B">
        <w:rPr>
          <w:rFonts w:ascii="Verdana" w:hAnsi="Verdana" w:cs="Verdana"/>
          <w:i/>
          <w:iCs/>
          <w:color w:val="000000"/>
          <w:spacing w:val="-7"/>
          <w:kern w:val="0"/>
          <w:sz w:val="18"/>
          <w:szCs w:val="18"/>
        </w:rPr>
        <w:t>vs</w:t>
      </w:r>
      <w:proofErr w:type="spellEnd"/>
      <w:r w:rsidRPr="008C639B">
        <w:rPr>
          <w:rFonts w:ascii="Verdana" w:hAnsi="Verdana" w:cs="Verdana"/>
          <w:color w:val="000000"/>
          <w:spacing w:val="-7"/>
          <w:kern w:val="0"/>
          <w:sz w:val="18"/>
          <w:szCs w:val="18"/>
        </w:rPr>
        <w:t xml:space="preserve"> 48.1% (</w:t>
      </w:r>
      <w:r w:rsidRPr="008C639B">
        <w:rPr>
          <w:rFonts w:ascii="Verdana" w:hAnsi="Verdana" w:cs="Verdana"/>
          <w:i/>
          <w:iCs/>
          <w:caps/>
          <w:color w:val="000000"/>
          <w:spacing w:val="-7"/>
          <w:kern w:val="0"/>
          <w:sz w:val="18"/>
          <w:szCs w:val="18"/>
        </w:rPr>
        <w:t>p =</w:t>
      </w:r>
      <w:r w:rsidRPr="008C639B">
        <w:rPr>
          <w:rFonts w:ascii="Verdana" w:hAnsi="Verdana" w:cs="Verdana"/>
          <w:color w:val="000000"/>
          <w:spacing w:val="-7"/>
          <w:kern w:val="0"/>
          <w:sz w:val="18"/>
          <w:szCs w:val="18"/>
        </w:rPr>
        <w:t xml:space="preserve"> 0.637), respectively. The symptoms and frequencies of nighttime reflux were similar in both groups (Table 2). In the subgroup analysis based on sex, females had higher CSR rates in the </w:t>
      </w:r>
      <w:proofErr w:type="spellStart"/>
      <w:r w:rsidRPr="008C639B">
        <w:rPr>
          <w:rFonts w:ascii="Verdana" w:hAnsi="Verdana" w:cs="Verdana"/>
          <w:color w:val="000000"/>
          <w:spacing w:val="-7"/>
          <w:kern w:val="0"/>
          <w:sz w:val="18"/>
          <w:szCs w:val="18"/>
        </w:rPr>
        <w:t>dexlansoprazole</w:t>
      </w:r>
      <w:proofErr w:type="spellEnd"/>
      <w:r w:rsidRPr="008C639B">
        <w:rPr>
          <w:rFonts w:ascii="Verdana" w:hAnsi="Verdana" w:cs="Verdana"/>
          <w:color w:val="000000"/>
          <w:spacing w:val="-7"/>
          <w:kern w:val="0"/>
          <w:sz w:val="18"/>
          <w:szCs w:val="18"/>
        </w:rPr>
        <w:t xml:space="preserve"> group at day 3 (38.3% </w:t>
      </w:r>
      <w:proofErr w:type="spellStart"/>
      <w:r w:rsidRPr="008C639B">
        <w:rPr>
          <w:rFonts w:ascii="Verdana" w:hAnsi="Verdana" w:cs="Verdana"/>
          <w:i/>
          <w:iCs/>
          <w:color w:val="000000"/>
          <w:spacing w:val="-7"/>
          <w:kern w:val="0"/>
          <w:sz w:val="18"/>
          <w:szCs w:val="18"/>
        </w:rPr>
        <w:t>vs</w:t>
      </w:r>
      <w:proofErr w:type="spellEnd"/>
      <w:r w:rsidRPr="008C639B">
        <w:rPr>
          <w:rFonts w:ascii="Verdana" w:hAnsi="Verdana" w:cs="Verdana"/>
          <w:color w:val="000000"/>
          <w:spacing w:val="-7"/>
          <w:kern w:val="0"/>
          <w:sz w:val="18"/>
          <w:szCs w:val="18"/>
        </w:rPr>
        <w:t xml:space="preserve"> 18.4%, </w:t>
      </w:r>
      <w:r w:rsidRPr="008C639B">
        <w:rPr>
          <w:rFonts w:ascii="Verdana" w:hAnsi="Verdana" w:cs="Verdana"/>
          <w:i/>
          <w:iCs/>
          <w:caps/>
          <w:color w:val="000000"/>
          <w:spacing w:val="-7"/>
          <w:kern w:val="0"/>
          <w:sz w:val="18"/>
          <w:szCs w:val="18"/>
        </w:rPr>
        <w:t xml:space="preserve">p = </w:t>
      </w:r>
      <w:r w:rsidRPr="008C639B">
        <w:rPr>
          <w:rFonts w:ascii="Verdana" w:hAnsi="Verdana" w:cs="Verdana"/>
          <w:color w:val="000000"/>
          <w:spacing w:val="-7"/>
          <w:kern w:val="0"/>
          <w:sz w:val="18"/>
          <w:szCs w:val="18"/>
        </w:rPr>
        <w:t xml:space="preserve">0.046), and an increasing trend was observed at day 7 (55.3% </w:t>
      </w:r>
      <w:proofErr w:type="spellStart"/>
      <w:r w:rsidRPr="008C639B">
        <w:rPr>
          <w:rFonts w:ascii="Verdana" w:hAnsi="Verdana" w:cs="Verdana"/>
          <w:i/>
          <w:iCs/>
          <w:color w:val="000000"/>
          <w:spacing w:val="-7"/>
          <w:kern w:val="0"/>
          <w:sz w:val="18"/>
          <w:szCs w:val="18"/>
        </w:rPr>
        <w:t>vs</w:t>
      </w:r>
      <w:proofErr w:type="spellEnd"/>
      <w:r w:rsidRPr="008C639B">
        <w:rPr>
          <w:rFonts w:ascii="Verdana" w:hAnsi="Verdana" w:cs="Verdana"/>
          <w:color w:val="000000"/>
          <w:spacing w:val="-7"/>
          <w:kern w:val="0"/>
          <w:sz w:val="18"/>
          <w:szCs w:val="18"/>
        </w:rPr>
        <w:t xml:space="preserve"> 36.8%, </w:t>
      </w:r>
      <w:r w:rsidRPr="008C639B">
        <w:rPr>
          <w:rFonts w:ascii="Verdana" w:hAnsi="Verdana" w:cs="Verdana"/>
          <w:i/>
          <w:iCs/>
          <w:caps/>
          <w:color w:val="000000"/>
          <w:spacing w:val="-7"/>
          <w:kern w:val="0"/>
          <w:sz w:val="18"/>
          <w:szCs w:val="18"/>
        </w:rPr>
        <w:t xml:space="preserve">p = </w:t>
      </w:r>
      <w:r w:rsidRPr="008C639B">
        <w:rPr>
          <w:rFonts w:ascii="Verdana" w:hAnsi="Verdana" w:cs="Verdana"/>
          <w:color w:val="000000"/>
          <w:spacing w:val="-7"/>
          <w:kern w:val="0"/>
          <w:sz w:val="18"/>
          <w:szCs w:val="18"/>
        </w:rPr>
        <w:t xml:space="preserve">0.09) (Table 3). However, no significant differences were observed in the subgroup analyses based on age and body weight. After splitting the data from the two PPI groups in the multivariate analysis, no dependent factor for CSR was found in the </w:t>
      </w:r>
      <w:proofErr w:type="spellStart"/>
      <w:r w:rsidRPr="008C639B">
        <w:rPr>
          <w:rFonts w:ascii="Verdana" w:hAnsi="Verdana" w:cs="Verdana"/>
          <w:color w:val="000000"/>
          <w:spacing w:val="-7"/>
          <w:kern w:val="0"/>
          <w:sz w:val="18"/>
          <w:szCs w:val="18"/>
        </w:rPr>
        <w:t>dexlansoprazole</w:t>
      </w:r>
      <w:proofErr w:type="spellEnd"/>
      <w:r w:rsidRPr="008C639B">
        <w:rPr>
          <w:rFonts w:ascii="Verdana" w:hAnsi="Verdana" w:cs="Verdana"/>
          <w:color w:val="000000"/>
          <w:spacing w:val="-7"/>
          <w:kern w:val="0"/>
          <w:sz w:val="18"/>
          <w:szCs w:val="18"/>
        </w:rPr>
        <w:t xml:space="preserve"> group (Table 4). In the esomeprazole group, female sex was a negative predictive factor for CSR at post-dose days 1 [OR = -1.249 ± 0.543; 95%CI: 0.287 (0.099-0.832), </w:t>
      </w:r>
      <w:r w:rsidRPr="008C639B">
        <w:rPr>
          <w:rFonts w:ascii="Verdana" w:hAnsi="Verdana" w:cs="Verdana"/>
          <w:i/>
          <w:iCs/>
          <w:caps/>
          <w:color w:val="000000"/>
          <w:spacing w:val="-7"/>
          <w:kern w:val="0"/>
          <w:sz w:val="18"/>
          <w:szCs w:val="18"/>
        </w:rPr>
        <w:t xml:space="preserve">p = </w:t>
      </w:r>
      <w:r w:rsidRPr="008C639B">
        <w:rPr>
          <w:rFonts w:ascii="Verdana" w:hAnsi="Verdana" w:cs="Verdana"/>
          <w:color w:val="000000"/>
          <w:spacing w:val="-7"/>
          <w:kern w:val="0"/>
          <w:sz w:val="18"/>
          <w:szCs w:val="18"/>
        </w:rPr>
        <w:t xml:space="preserve">0.022] and 3 [OR = -1.254 ± 0.519; 95%CI: 0.285 (0.103-0.789), </w:t>
      </w:r>
      <w:r w:rsidRPr="008C639B">
        <w:rPr>
          <w:rFonts w:ascii="Verdana" w:hAnsi="Verdana" w:cs="Verdana"/>
          <w:i/>
          <w:iCs/>
          <w:caps/>
          <w:color w:val="000000"/>
          <w:spacing w:val="-7"/>
          <w:kern w:val="0"/>
          <w:sz w:val="18"/>
          <w:szCs w:val="18"/>
        </w:rPr>
        <w:t xml:space="preserve">p = </w:t>
      </w:r>
      <w:r w:rsidRPr="008C639B">
        <w:rPr>
          <w:rFonts w:ascii="Verdana" w:hAnsi="Verdana" w:cs="Verdana"/>
          <w:color w:val="000000"/>
          <w:spacing w:val="-7"/>
          <w:kern w:val="0"/>
          <w:sz w:val="18"/>
          <w:szCs w:val="18"/>
        </w:rPr>
        <w:t xml:space="preserve">0.016]. In addition, patients with a habit of consuming spicy foods had lower CSR rates (37.3% </w:t>
      </w:r>
      <w:proofErr w:type="spellStart"/>
      <w:r w:rsidRPr="008C639B">
        <w:rPr>
          <w:rFonts w:ascii="Verdana" w:hAnsi="Verdana" w:cs="Verdana"/>
          <w:i/>
          <w:iCs/>
          <w:color w:val="000000"/>
          <w:spacing w:val="-7"/>
          <w:kern w:val="0"/>
          <w:sz w:val="18"/>
          <w:szCs w:val="18"/>
        </w:rPr>
        <w:t>vs</w:t>
      </w:r>
      <w:proofErr w:type="spellEnd"/>
      <w:r w:rsidRPr="008C639B">
        <w:rPr>
          <w:rFonts w:ascii="Verdana" w:hAnsi="Verdana" w:cs="Verdana"/>
          <w:color w:val="000000"/>
          <w:spacing w:val="-7"/>
          <w:kern w:val="0"/>
          <w:sz w:val="18"/>
          <w:szCs w:val="18"/>
        </w:rPr>
        <w:t xml:space="preserve"> 21.4%) on day 1 after the multivariate analysis [OR = -0.969 ± 0.438; 95%CI: 0.380 (0.161-0.896), </w:t>
      </w:r>
      <w:r w:rsidRPr="008C639B">
        <w:rPr>
          <w:rFonts w:ascii="Verdana" w:hAnsi="Verdana" w:cs="Verdana"/>
          <w:i/>
          <w:iCs/>
          <w:caps/>
          <w:color w:val="000000"/>
          <w:spacing w:val="-7"/>
          <w:kern w:val="0"/>
          <w:sz w:val="18"/>
          <w:szCs w:val="18"/>
        </w:rPr>
        <w:t xml:space="preserve">p = </w:t>
      </w:r>
      <w:r w:rsidRPr="008C639B">
        <w:rPr>
          <w:rFonts w:ascii="Verdana" w:hAnsi="Verdana" w:cs="Verdana"/>
          <w:color w:val="000000"/>
          <w:spacing w:val="-7"/>
          <w:kern w:val="0"/>
          <w:sz w:val="18"/>
          <w:szCs w:val="18"/>
        </w:rPr>
        <w:t>0.027] (Table 5). No dependent factor was found on days 3 and 7.</w:t>
      </w:r>
    </w:p>
    <w:p w:rsidR="00737F2A" w:rsidRPr="008C639B" w:rsidRDefault="00737F2A" w:rsidP="00737F2A">
      <w:pPr>
        <w:suppressAutoHyphens/>
        <w:autoSpaceDE w:val="0"/>
        <w:autoSpaceDN w:val="0"/>
        <w:adjustRightInd w:val="0"/>
        <w:spacing w:line="360" w:lineRule="atLeast"/>
        <w:jc w:val="left"/>
        <w:textAlignment w:val="center"/>
        <w:rPr>
          <w:rFonts w:ascii="Univers" w:hAnsi="Univers" w:cs="Univers"/>
          <w:b/>
          <w:bCs/>
          <w:color w:val="000000"/>
          <w:spacing w:val="-2"/>
          <w:kern w:val="0"/>
          <w:sz w:val="24"/>
        </w:rPr>
      </w:pPr>
    </w:p>
    <w:p w:rsidR="00737F2A" w:rsidRPr="008C639B" w:rsidRDefault="00737F2A" w:rsidP="00737F2A">
      <w:pPr>
        <w:suppressAutoHyphens/>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8C639B">
        <w:rPr>
          <w:rFonts w:ascii="Univers" w:hAnsi="Univers" w:cs="Univers"/>
          <w:b/>
          <w:bCs/>
          <w:color w:val="000000"/>
          <w:spacing w:val="-2"/>
          <w:kern w:val="0"/>
          <w:sz w:val="24"/>
          <w:u w:val="single"/>
        </w:rPr>
        <w:t>DISCUSSION</w:t>
      </w:r>
    </w:p>
    <w:p w:rsidR="00737F2A" w:rsidRPr="008C639B" w:rsidRDefault="00737F2A" w:rsidP="00737F2A">
      <w:pPr>
        <w:suppressAutoHyphens/>
        <w:autoSpaceDE w:val="0"/>
        <w:autoSpaceDN w:val="0"/>
        <w:adjustRightInd w:val="0"/>
        <w:spacing w:line="288" w:lineRule="auto"/>
        <w:textAlignment w:val="center"/>
        <w:rPr>
          <w:rFonts w:ascii="Verdana" w:hAnsi="Verdana" w:cs="Verdana"/>
          <w:b/>
          <w:bCs/>
          <w:color w:val="000000"/>
          <w:spacing w:val="-7"/>
          <w:kern w:val="0"/>
          <w:sz w:val="18"/>
          <w:szCs w:val="18"/>
        </w:rPr>
      </w:pPr>
      <w:r w:rsidRPr="008C639B">
        <w:rPr>
          <w:rFonts w:ascii="Verdana" w:hAnsi="Verdana" w:cs="Verdana"/>
          <w:color w:val="000000"/>
          <w:spacing w:val="-7"/>
          <w:kern w:val="0"/>
          <w:sz w:val="18"/>
          <w:szCs w:val="18"/>
        </w:rPr>
        <w:t xml:space="preserve">We conducted a randomized, </w:t>
      </w:r>
      <w:proofErr w:type="gramStart"/>
      <w:r w:rsidRPr="008C639B">
        <w:rPr>
          <w:rFonts w:ascii="Verdana" w:hAnsi="Verdana" w:cs="Verdana"/>
          <w:color w:val="000000"/>
          <w:spacing w:val="-7"/>
          <w:kern w:val="0"/>
          <w:sz w:val="18"/>
          <w:szCs w:val="18"/>
        </w:rPr>
        <w:t>controlled,</w:t>
      </w:r>
      <w:proofErr w:type="gramEnd"/>
      <w:r w:rsidRPr="008C639B">
        <w:rPr>
          <w:rFonts w:ascii="Verdana" w:hAnsi="Verdana" w:cs="Verdana"/>
          <w:color w:val="000000"/>
          <w:spacing w:val="-7"/>
          <w:kern w:val="0"/>
          <w:sz w:val="18"/>
          <w:szCs w:val="18"/>
        </w:rPr>
        <w:t xml:space="preserve"> open-label study to compare the 7-d clinical effects of single doses of </w:t>
      </w:r>
      <w:proofErr w:type="spellStart"/>
      <w:r w:rsidRPr="008C639B">
        <w:rPr>
          <w:rFonts w:ascii="Verdana" w:hAnsi="Verdana" w:cs="Verdana"/>
          <w:color w:val="000000"/>
          <w:spacing w:val="-7"/>
          <w:kern w:val="0"/>
          <w:sz w:val="18"/>
          <w:szCs w:val="18"/>
        </w:rPr>
        <w:t>dexlansoprazole</w:t>
      </w:r>
      <w:proofErr w:type="spellEnd"/>
      <w:r w:rsidRPr="008C639B">
        <w:rPr>
          <w:rFonts w:ascii="Verdana" w:hAnsi="Verdana" w:cs="Verdana"/>
          <w:color w:val="000000"/>
          <w:spacing w:val="-7"/>
          <w:kern w:val="0"/>
          <w:sz w:val="18"/>
          <w:szCs w:val="18"/>
        </w:rPr>
        <w:t xml:space="preserve"> 60 mg and esomeprazole 40 mg for GERD patients. We observed that the overall CSR rates for GERD patients were similar at days 1 through 7 of treatment for both the </w:t>
      </w:r>
      <w:proofErr w:type="spellStart"/>
      <w:r w:rsidRPr="008C639B">
        <w:rPr>
          <w:rFonts w:ascii="Verdana" w:hAnsi="Verdana" w:cs="Verdana"/>
          <w:color w:val="000000"/>
          <w:spacing w:val="-7"/>
          <w:kern w:val="0"/>
          <w:sz w:val="18"/>
          <w:szCs w:val="18"/>
        </w:rPr>
        <w:t>dexlansoprazole</w:t>
      </w:r>
      <w:proofErr w:type="spellEnd"/>
      <w:r w:rsidRPr="008C639B">
        <w:rPr>
          <w:rFonts w:ascii="Verdana" w:hAnsi="Verdana" w:cs="Verdana"/>
          <w:color w:val="000000"/>
          <w:spacing w:val="-7"/>
          <w:kern w:val="0"/>
          <w:sz w:val="18"/>
          <w:szCs w:val="18"/>
        </w:rPr>
        <w:t xml:space="preserve"> and esomeprazole groups. However, in our subgroup analysis based on sex, we observed that females had higher CSR rates in the </w:t>
      </w:r>
      <w:proofErr w:type="spellStart"/>
      <w:r w:rsidRPr="008C639B">
        <w:rPr>
          <w:rFonts w:ascii="Verdana" w:hAnsi="Verdana" w:cs="Verdana"/>
          <w:color w:val="000000"/>
          <w:spacing w:val="-7"/>
          <w:kern w:val="0"/>
          <w:sz w:val="18"/>
          <w:szCs w:val="18"/>
        </w:rPr>
        <w:t>dexlansoprazole</w:t>
      </w:r>
      <w:proofErr w:type="spellEnd"/>
      <w:r w:rsidRPr="008C639B">
        <w:rPr>
          <w:rFonts w:ascii="Verdana" w:hAnsi="Verdana" w:cs="Verdana"/>
          <w:color w:val="000000"/>
          <w:spacing w:val="-7"/>
          <w:kern w:val="0"/>
          <w:sz w:val="18"/>
          <w:szCs w:val="18"/>
        </w:rPr>
        <w:t xml:space="preserve"> group at day 3 (38.3% </w:t>
      </w:r>
      <w:proofErr w:type="spellStart"/>
      <w:r w:rsidRPr="008C639B">
        <w:rPr>
          <w:rFonts w:ascii="Verdana" w:hAnsi="Verdana" w:cs="Verdana"/>
          <w:i/>
          <w:iCs/>
          <w:color w:val="000000"/>
          <w:spacing w:val="-7"/>
          <w:kern w:val="0"/>
          <w:sz w:val="18"/>
          <w:szCs w:val="18"/>
        </w:rPr>
        <w:t>vs</w:t>
      </w:r>
      <w:proofErr w:type="spellEnd"/>
      <w:r w:rsidRPr="008C639B">
        <w:rPr>
          <w:rFonts w:ascii="Verdana" w:hAnsi="Verdana" w:cs="Verdana"/>
          <w:color w:val="000000"/>
          <w:spacing w:val="-7"/>
          <w:kern w:val="0"/>
          <w:sz w:val="18"/>
          <w:szCs w:val="18"/>
        </w:rPr>
        <w:t xml:space="preserve"> 18.4%, </w:t>
      </w:r>
      <w:r w:rsidRPr="008C639B">
        <w:rPr>
          <w:rFonts w:ascii="Verdana" w:hAnsi="Verdana" w:cs="Verdana"/>
          <w:i/>
          <w:iCs/>
          <w:caps/>
          <w:color w:val="000000"/>
          <w:spacing w:val="-7"/>
          <w:kern w:val="0"/>
          <w:sz w:val="18"/>
          <w:szCs w:val="18"/>
        </w:rPr>
        <w:t xml:space="preserve">p = </w:t>
      </w:r>
      <w:r w:rsidRPr="008C639B">
        <w:rPr>
          <w:rFonts w:ascii="Verdana" w:hAnsi="Verdana" w:cs="Verdana"/>
          <w:color w:val="000000"/>
          <w:spacing w:val="-7"/>
          <w:kern w:val="0"/>
          <w:sz w:val="18"/>
          <w:szCs w:val="18"/>
        </w:rPr>
        <w:t xml:space="preserve">0.046), and an increasing trend was observed at day 7 (55.3% </w:t>
      </w:r>
      <w:proofErr w:type="spellStart"/>
      <w:r w:rsidRPr="008C639B">
        <w:rPr>
          <w:rFonts w:ascii="Verdana" w:hAnsi="Verdana" w:cs="Verdana"/>
          <w:i/>
          <w:iCs/>
          <w:color w:val="000000"/>
          <w:spacing w:val="-7"/>
          <w:kern w:val="0"/>
          <w:sz w:val="18"/>
          <w:szCs w:val="18"/>
        </w:rPr>
        <w:t>vs</w:t>
      </w:r>
      <w:proofErr w:type="spellEnd"/>
      <w:r w:rsidRPr="008C639B">
        <w:rPr>
          <w:rFonts w:ascii="Verdana" w:hAnsi="Verdana" w:cs="Verdana"/>
          <w:color w:val="000000"/>
          <w:spacing w:val="-7"/>
          <w:kern w:val="0"/>
          <w:sz w:val="18"/>
          <w:szCs w:val="18"/>
        </w:rPr>
        <w:t xml:space="preserve"> 36.8%, </w:t>
      </w:r>
      <w:r w:rsidRPr="008C639B">
        <w:rPr>
          <w:rFonts w:ascii="Verdana" w:hAnsi="Verdana" w:cs="Verdana"/>
          <w:i/>
          <w:iCs/>
          <w:caps/>
          <w:color w:val="000000"/>
          <w:spacing w:val="-7"/>
          <w:kern w:val="0"/>
          <w:sz w:val="18"/>
          <w:szCs w:val="18"/>
        </w:rPr>
        <w:t xml:space="preserve">p = </w:t>
      </w:r>
      <w:r w:rsidRPr="008C639B">
        <w:rPr>
          <w:rFonts w:ascii="Verdana" w:hAnsi="Verdana" w:cs="Verdana"/>
          <w:color w:val="000000"/>
          <w:spacing w:val="-7"/>
          <w:kern w:val="0"/>
          <w:sz w:val="18"/>
          <w:szCs w:val="18"/>
        </w:rPr>
        <w:t xml:space="preserve">0.09). The logistic regression analysis showed that female sex was a negative predictive factor for CSR on post-dose days 1 [OR = -1.249 ± 0.543; 95%CI: 0.287 (0.099-0.832), </w:t>
      </w:r>
      <w:r w:rsidRPr="008C639B">
        <w:rPr>
          <w:rFonts w:ascii="Verdana" w:hAnsi="Verdana" w:cs="Verdana"/>
          <w:i/>
          <w:iCs/>
          <w:caps/>
          <w:color w:val="000000"/>
          <w:spacing w:val="-7"/>
          <w:kern w:val="0"/>
          <w:sz w:val="18"/>
          <w:szCs w:val="18"/>
        </w:rPr>
        <w:t xml:space="preserve">p = </w:t>
      </w:r>
      <w:r w:rsidRPr="008C639B">
        <w:rPr>
          <w:rFonts w:ascii="Verdana" w:hAnsi="Verdana" w:cs="Verdana"/>
          <w:color w:val="000000"/>
          <w:spacing w:val="-7"/>
          <w:kern w:val="0"/>
          <w:sz w:val="18"/>
          <w:szCs w:val="18"/>
        </w:rPr>
        <w:t xml:space="preserve">0.022] and 3 [OR = -1.254 ± 0.519; 95%CI: 0.285 (0.103-0.789), </w:t>
      </w:r>
      <w:r w:rsidRPr="008C639B">
        <w:rPr>
          <w:rFonts w:ascii="Verdana" w:hAnsi="Verdana" w:cs="Verdana"/>
          <w:i/>
          <w:iCs/>
          <w:caps/>
          <w:color w:val="000000"/>
          <w:spacing w:val="-7"/>
          <w:kern w:val="0"/>
          <w:sz w:val="18"/>
          <w:szCs w:val="18"/>
        </w:rPr>
        <w:t xml:space="preserve">p = </w:t>
      </w:r>
      <w:r w:rsidRPr="008C639B">
        <w:rPr>
          <w:rFonts w:ascii="Verdana" w:hAnsi="Verdana" w:cs="Verdana"/>
          <w:color w:val="000000"/>
          <w:spacing w:val="-7"/>
          <w:kern w:val="0"/>
          <w:sz w:val="18"/>
          <w:szCs w:val="18"/>
        </w:rPr>
        <w:t xml:space="preserve">0.016] in the esomeprazole group. We also found that patients with the habit of eating spicy foods had lower CSR rates (37.3% </w:t>
      </w:r>
      <w:proofErr w:type="spellStart"/>
      <w:r w:rsidRPr="008C639B">
        <w:rPr>
          <w:rFonts w:ascii="Verdana" w:hAnsi="Verdana" w:cs="Verdana"/>
          <w:i/>
          <w:iCs/>
          <w:color w:val="000000"/>
          <w:spacing w:val="-7"/>
          <w:kern w:val="0"/>
          <w:sz w:val="18"/>
          <w:szCs w:val="18"/>
        </w:rPr>
        <w:t>vs</w:t>
      </w:r>
      <w:proofErr w:type="spellEnd"/>
      <w:r w:rsidRPr="008C639B">
        <w:rPr>
          <w:rFonts w:ascii="Verdana" w:hAnsi="Verdana" w:cs="Verdana"/>
          <w:color w:val="000000"/>
          <w:spacing w:val="-7"/>
          <w:kern w:val="0"/>
          <w:sz w:val="18"/>
          <w:szCs w:val="18"/>
        </w:rPr>
        <w:t xml:space="preserve"> 21.4%) on day 1 after the multivariate analysis [OR = -0.969 ± 0.438; 95%CI: 0.380 (0.161-0.896), </w:t>
      </w:r>
      <w:r w:rsidRPr="008C639B">
        <w:rPr>
          <w:rFonts w:ascii="Verdana" w:hAnsi="Verdana" w:cs="Verdana"/>
          <w:i/>
          <w:iCs/>
          <w:caps/>
          <w:color w:val="000000"/>
          <w:spacing w:val="-7"/>
          <w:kern w:val="0"/>
          <w:sz w:val="18"/>
          <w:szCs w:val="18"/>
        </w:rPr>
        <w:t xml:space="preserve">p = </w:t>
      </w:r>
      <w:r w:rsidRPr="008C639B">
        <w:rPr>
          <w:rFonts w:ascii="Verdana" w:hAnsi="Verdana" w:cs="Verdana"/>
          <w:color w:val="000000"/>
          <w:spacing w:val="-7"/>
          <w:kern w:val="0"/>
          <w:sz w:val="18"/>
          <w:szCs w:val="18"/>
        </w:rPr>
        <w:t>0.027].</w:t>
      </w:r>
    </w:p>
    <w:p w:rsidR="00737F2A" w:rsidRPr="008C639B" w:rsidRDefault="00737F2A" w:rsidP="00737F2A">
      <w:pPr>
        <w:suppressAutoHyphens/>
        <w:autoSpaceDE w:val="0"/>
        <w:autoSpaceDN w:val="0"/>
        <w:adjustRightInd w:val="0"/>
        <w:spacing w:line="288" w:lineRule="auto"/>
        <w:ind w:firstLine="283"/>
        <w:textAlignment w:val="center"/>
        <w:rPr>
          <w:rFonts w:ascii="Verdana" w:hAnsi="Verdana" w:cs="Verdana"/>
          <w:color w:val="000000"/>
          <w:spacing w:val="-9"/>
          <w:kern w:val="0"/>
          <w:sz w:val="20"/>
        </w:rPr>
      </w:pPr>
      <w:r w:rsidRPr="008C639B">
        <w:rPr>
          <w:rFonts w:ascii="Verdana" w:hAnsi="Verdana" w:cs="Verdana"/>
          <w:color w:val="000000"/>
          <w:spacing w:val="-8"/>
          <w:kern w:val="0"/>
          <w:sz w:val="18"/>
          <w:szCs w:val="18"/>
        </w:rPr>
        <w:t xml:space="preserve">Both </w:t>
      </w:r>
      <w:proofErr w:type="spellStart"/>
      <w:r w:rsidRPr="008C639B">
        <w:rPr>
          <w:rFonts w:ascii="Verdana" w:hAnsi="Verdana" w:cs="Verdana"/>
          <w:color w:val="000000"/>
          <w:spacing w:val="-8"/>
          <w:kern w:val="0"/>
          <w:sz w:val="18"/>
          <w:szCs w:val="18"/>
        </w:rPr>
        <w:t>dexlansoprazole</w:t>
      </w:r>
      <w:proofErr w:type="spellEnd"/>
      <w:r w:rsidRPr="008C639B">
        <w:rPr>
          <w:rFonts w:ascii="Verdana" w:hAnsi="Verdana" w:cs="Verdana"/>
          <w:color w:val="000000"/>
          <w:spacing w:val="-8"/>
          <w:kern w:val="0"/>
          <w:sz w:val="18"/>
          <w:szCs w:val="18"/>
        </w:rPr>
        <w:t xml:space="preserve"> and esomeprazole are potent PPIs for gastric acid suppression with excellent symptom relief for patients with </w:t>
      </w:r>
      <w:proofErr w:type="gramStart"/>
      <w:r w:rsidRPr="008C639B">
        <w:rPr>
          <w:rFonts w:ascii="Verdana" w:hAnsi="Verdana" w:cs="Verdana"/>
          <w:color w:val="000000"/>
          <w:spacing w:val="-8"/>
          <w:kern w:val="0"/>
          <w:sz w:val="18"/>
          <w:szCs w:val="18"/>
        </w:rPr>
        <w:t>GERD</w:t>
      </w:r>
      <w:r w:rsidRPr="008C639B">
        <w:rPr>
          <w:rFonts w:ascii="Verdana" w:hAnsi="Verdana" w:cs="Verdana"/>
          <w:color w:val="000000"/>
          <w:spacing w:val="-8"/>
          <w:kern w:val="0"/>
          <w:sz w:val="18"/>
          <w:szCs w:val="18"/>
          <w:vertAlign w:val="superscript"/>
        </w:rPr>
        <w:t>[</w:t>
      </w:r>
      <w:proofErr w:type="gramEnd"/>
      <w:r w:rsidRPr="008C639B">
        <w:rPr>
          <w:rFonts w:ascii="Verdana" w:hAnsi="Verdana" w:cs="Verdana"/>
          <w:color w:val="000000"/>
          <w:spacing w:val="-8"/>
          <w:kern w:val="0"/>
          <w:sz w:val="18"/>
          <w:szCs w:val="18"/>
          <w:vertAlign w:val="superscript"/>
        </w:rPr>
        <w:t>14-19]</w:t>
      </w:r>
      <w:r w:rsidRPr="008C639B">
        <w:rPr>
          <w:rFonts w:ascii="Verdana" w:hAnsi="Verdana" w:cs="Verdana"/>
          <w:color w:val="000000"/>
          <w:spacing w:val="-8"/>
          <w:kern w:val="0"/>
          <w:sz w:val="18"/>
          <w:szCs w:val="18"/>
        </w:rPr>
        <w:t xml:space="preserve">. The advantage of </w:t>
      </w:r>
      <w:proofErr w:type="spellStart"/>
      <w:r w:rsidRPr="008C639B">
        <w:rPr>
          <w:rFonts w:ascii="Verdana" w:hAnsi="Verdana" w:cs="Verdana"/>
          <w:color w:val="000000"/>
          <w:spacing w:val="-8"/>
          <w:kern w:val="0"/>
          <w:sz w:val="18"/>
          <w:szCs w:val="18"/>
        </w:rPr>
        <w:t>dexlansoprazole</w:t>
      </w:r>
      <w:proofErr w:type="spellEnd"/>
      <w:r w:rsidRPr="008C639B">
        <w:rPr>
          <w:rFonts w:ascii="Verdana" w:hAnsi="Verdana" w:cs="Verdana"/>
          <w:color w:val="000000"/>
          <w:spacing w:val="-8"/>
          <w:kern w:val="0"/>
          <w:sz w:val="18"/>
          <w:szCs w:val="18"/>
        </w:rPr>
        <w:t xml:space="preserve"> MR (Takeda Pharmaceuticals, Osaka, Japan) is that it employs a novel approach by which its dual delayed-release (DDR) formulation prolongs </w:t>
      </w:r>
      <w:r w:rsidRPr="008C639B">
        <w:rPr>
          <w:rFonts w:ascii="Verdana" w:hAnsi="Verdana" w:cs="Verdana"/>
          <w:color w:val="000000"/>
          <w:spacing w:val="-11"/>
          <w:kern w:val="0"/>
          <w:sz w:val="18"/>
          <w:szCs w:val="18"/>
        </w:rPr>
        <w:t xml:space="preserve">the plasma concentration and ultimately extends the duration of acid </w:t>
      </w:r>
      <w:proofErr w:type="gramStart"/>
      <w:r w:rsidRPr="008C639B">
        <w:rPr>
          <w:rFonts w:ascii="Verdana" w:hAnsi="Verdana" w:cs="Verdana"/>
          <w:color w:val="000000"/>
          <w:spacing w:val="-11"/>
          <w:kern w:val="0"/>
          <w:sz w:val="18"/>
          <w:szCs w:val="18"/>
        </w:rPr>
        <w:t>suppression</w:t>
      </w:r>
      <w:r w:rsidRPr="008C639B">
        <w:rPr>
          <w:rFonts w:ascii="Verdana" w:hAnsi="Verdana" w:cs="Verdana"/>
          <w:color w:val="000000"/>
          <w:spacing w:val="-11"/>
          <w:kern w:val="0"/>
          <w:sz w:val="18"/>
          <w:szCs w:val="18"/>
          <w:vertAlign w:val="superscript"/>
        </w:rPr>
        <w:t>[</w:t>
      </w:r>
      <w:proofErr w:type="gramEnd"/>
      <w:r w:rsidRPr="008C639B">
        <w:rPr>
          <w:rFonts w:ascii="Verdana" w:hAnsi="Verdana" w:cs="Verdana"/>
          <w:color w:val="000000"/>
          <w:spacing w:val="-11"/>
          <w:kern w:val="0"/>
          <w:sz w:val="18"/>
          <w:szCs w:val="18"/>
          <w:vertAlign w:val="superscript"/>
        </w:rPr>
        <w:t>14]</w:t>
      </w:r>
      <w:r w:rsidRPr="008C639B">
        <w:rPr>
          <w:rFonts w:ascii="Verdana" w:hAnsi="Verdana" w:cs="Verdana"/>
          <w:color w:val="000000"/>
          <w:spacing w:val="-11"/>
          <w:kern w:val="0"/>
          <w:sz w:val="18"/>
          <w:szCs w:val="18"/>
        </w:rPr>
        <w:t xml:space="preserve">, thereby offering a </w:t>
      </w:r>
      <w:r w:rsidRPr="008C639B">
        <w:rPr>
          <w:rFonts w:ascii="Verdana" w:hAnsi="Verdana" w:cs="Verdana"/>
          <w:color w:val="000000"/>
          <w:spacing w:val="-8"/>
          <w:kern w:val="0"/>
          <w:sz w:val="18"/>
          <w:szCs w:val="18"/>
        </w:rPr>
        <w:t xml:space="preserve">twice-daily dosing effect in a one-time dose. Metz </w:t>
      </w:r>
      <w:r w:rsidRPr="008C639B">
        <w:rPr>
          <w:rFonts w:ascii="Verdana" w:hAnsi="Verdana" w:cs="Verdana"/>
          <w:i/>
          <w:iCs/>
          <w:color w:val="000000"/>
          <w:spacing w:val="-8"/>
          <w:kern w:val="0"/>
          <w:sz w:val="18"/>
          <w:szCs w:val="18"/>
        </w:rPr>
        <w:t xml:space="preserve">et </w:t>
      </w:r>
      <w:proofErr w:type="gramStart"/>
      <w:r w:rsidRPr="008C639B">
        <w:rPr>
          <w:rFonts w:ascii="Verdana" w:hAnsi="Verdana" w:cs="Verdana"/>
          <w:i/>
          <w:iCs/>
          <w:color w:val="000000"/>
          <w:spacing w:val="-8"/>
          <w:kern w:val="0"/>
          <w:sz w:val="18"/>
          <w:szCs w:val="18"/>
        </w:rPr>
        <w:t>al</w:t>
      </w:r>
      <w:r w:rsidRPr="008C639B">
        <w:rPr>
          <w:rFonts w:ascii="Verdana" w:hAnsi="Verdana" w:cs="Verdana"/>
          <w:color w:val="000000"/>
          <w:spacing w:val="-8"/>
          <w:kern w:val="0"/>
          <w:sz w:val="18"/>
          <w:szCs w:val="18"/>
          <w:vertAlign w:val="superscript"/>
        </w:rPr>
        <w:t>[</w:t>
      </w:r>
      <w:proofErr w:type="gramEnd"/>
      <w:r w:rsidRPr="008C639B">
        <w:rPr>
          <w:rFonts w:ascii="Verdana" w:hAnsi="Verdana" w:cs="Verdana"/>
          <w:color w:val="000000"/>
          <w:spacing w:val="-8"/>
          <w:kern w:val="0"/>
          <w:sz w:val="18"/>
          <w:szCs w:val="18"/>
          <w:vertAlign w:val="superscript"/>
        </w:rPr>
        <w:t>15]</w:t>
      </w:r>
      <w:r w:rsidRPr="008C639B">
        <w:rPr>
          <w:rFonts w:ascii="Verdana" w:hAnsi="Verdana" w:cs="Verdana"/>
          <w:color w:val="000000"/>
          <w:spacing w:val="-8"/>
          <w:kern w:val="0"/>
          <w:sz w:val="18"/>
          <w:szCs w:val="18"/>
        </w:rPr>
        <w:t xml:space="preserve"> found that patients who received a 60-mg dose of </w:t>
      </w:r>
      <w:proofErr w:type="spellStart"/>
      <w:r w:rsidRPr="008C639B">
        <w:rPr>
          <w:rFonts w:ascii="Verdana" w:hAnsi="Verdana" w:cs="Verdana"/>
          <w:color w:val="000000"/>
          <w:spacing w:val="-8"/>
          <w:kern w:val="0"/>
          <w:sz w:val="18"/>
          <w:szCs w:val="18"/>
        </w:rPr>
        <w:t>dexlansoprazole</w:t>
      </w:r>
      <w:proofErr w:type="spellEnd"/>
      <w:r w:rsidRPr="008C639B">
        <w:rPr>
          <w:rFonts w:ascii="Verdana" w:hAnsi="Verdana" w:cs="Verdana"/>
          <w:color w:val="000000"/>
          <w:spacing w:val="-8"/>
          <w:kern w:val="0"/>
          <w:sz w:val="18"/>
          <w:szCs w:val="18"/>
        </w:rPr>
        <w:t xml:space="preserve"> MR satisfactorily </w:t>
      </w:r>
      <w:r w:rsidRPr="008C639B">
        <w:rPr>
          <w:rFonts w:ascii="Verdana" w:hAnsi="Verdana" w:cs="Verdana"/>
          <w:color w:val="000000"/>
          <w:spacing w:val="-8"/>
          <w:kern w:val="0"/>
          <w:sz w:val="18"/>
          <w:szCs w:val="18"/>
        </w:rPr>
        <w:lastRenderedPageBreak/>
        <w:t xml:space="preserve">controlled heartburn (median of 91%-96% for 24-h heartburn-free days and 96%-99% for heartburn-free nights). Moreover, Sharma </w:t>
      </w:r>
      <w:r w:rsidRPr="008C639B">
        <w:rPr>
          <w:rFonts w:ascii="Verdana" w:hAnsi="Verdana" w:cs="Verdana"/>
          <w:i/>
          <w:iCs/>
          <w:color w:val="000000"/>
          <w:spacing w:val="-8"/>
          <w:kern w:val="0"/>
          <w:sz w:val="18"/>
          <w:szCs w:val="18"/>
        </w:rPr>
        <w:t xml:space="preserve">et </w:t>
      </w:r>
      <w:proofErr w:type="gramStart"/>
      <w:r w:rsidRPr="008C639B">
        <w:rPr>
          <w:rFonts w:ascii="Verdana" w:hAnsi="Verdana" w:cs="Verdana"/>
          <w:i/>
          <w:iCs/>
          <w:color w:val="000000"/>
          <w:spacing w:val="-8"/>
          <w:kern w:val="0"/>
          <w:sz w:val="18"/>
          <w:szCs w:val="18"/>
        </w:rPr>
        <w:t>al</w:t>
      </w:r>
      <w:r w:rsidRPr="008C639B">
        <w:rPr>
          <w:rFonts w:ascii="Verdana" w:hAnsi="Verdana" w:cs="Verdana"/>
          <w:color w:val="000000"/>
          <w:spacing w:val="-8"/>
          <w:kern w:val="0"/>
          <w:sz w:val="18"/>
          <w:szCs w:val="18"/>
          <w:vertAlign w:val="superscript"/>
        </w:rPr>
        <w:t>[</w:t>
      </w:r>
      <w:proofErr w:type="gramEnd"/>
      <w:r w:rsidRPr="008C639B">
        <w:rPr>
          <w:rFonts w:ascii="Verdana" w:hAnsi="Verdana" w:cs="Verdana"/>
          <w:color w:val="000000"/>
          <w:spacing w:val="-8"/>
          <w:kern w:val="0"/>
          <w:sz w:val="18"/>
          <w:szCs w:val="18"/>
          <w:vertAlign w:val="superscript"/>
        </w:rPr>
        <w:t>16]</w:t>
      </w:r>
      <w:r w:rsidRPr="008C639B">
        <w:rPr>
          <w:rFonts w:ascii="Verdana" w:hAnsi="Verdana" w:cs="Verdana"/>
          <w:color w:val="000000"/>
          <w:spacing w:val="-8"/>
          <w:kern w:val="0"/>
          <w:sz w:val="18"/>
          <w:szCs w:val="18"/>
        </w:rPr>
        <w:t xml:space="preserve"> reported that 92%-95% of patients were healed using </w:t>
      </w:r>
      <w:proofErr w:type="spellStart"/>
      <w:r w:rsidRPr="008C639B">
        <w:rPr>
          <w:rFonts w:ascii="Verdana" w:hAnsi="Verdana" w:cs="Verdana"/>
          <w:color w:val="000000"/>
          <w:spacing w:val="-8"/>
          <w:kern w:val="0"/>
          <w:sz w:val="18"/>
          <w:szCs w:val="18"/>
        </w:rPr>
        <w:t>dexlansoprazole</w:t>
      </w:r>
      <w:proofErr w:type="spellEnd"/>
      <w:r w:rsidRPr="008C639B">
        <w:rPr>
          <w:rFonts w:ascii="Verdana" w:hAnsi="Verdana" w:cs="Verdana"/>
          <w:color w:val="000000"/>
          <w:spacing w:val="-8"/>
          <w:kern w:val="0"/>
          <w:sz w:val="18"/>
          <w:szCs w:val="18"/>
        </w:rPr>
        <w:t xml:space="preserve"> MR for 8 wk. Conversely, esomeprazole (40 mg) is a delayed-release formulation with single-release characteri</w:t>
      </w:r>
      <w:r w:rsidRPr="008C639B">
        <w:rPr>
          <w:rFonts w:ascii="Verdana" w:hAnsi="Verdana" w:cs="Verdana"/>
          <w:color w:val="000000"/>
          <w:spacing w:val="-8"/>
          <w:kern w:val="0"/>
          <w:sz w:val="18"/>
          <w:szCs w:val="18"/>
        </w:rPr>
        <w:softHyphen/>
        <w:t>stics that produces maximum plasma concentrations at approximately 1.6 h post-dose. Approximate</w:t>
      </w:r>
      <w:r w:rsidRPr="008C639B">
        <w:rPr>
          <w:rFonts w:ascii="Verdana" w:hAnsi="Verdana" w:cs="Verdana"/>
          <w:color w:val="000000"/>
          <w:spacing w:val="-8"/>
          <w:kern w:val="0"/>
          <w:sz w:val="18"/>
          <w:szCs w:val="18"/>
        </w:rPr>
        <w:softHyphen/>
        <w:t xml:space="preserve">ly 73%-75% heartburn-free days and 85%-91% heartburn-free nights were observed in patients who received 40 mg of esomeprazole for 4 </w:t>
      </w:r>
      <w:proofErr w:type="spellStart"/>
      <w:proofErr w:type="gramStart"/>
      <w:r w:rsidRPr="008C639B">
        <w:rPr>
          <w:rFonts w:ascii="Verdana" w:hAnsi="Verdana" w:cs="Verdana"/>
          <w:color w:val="000000"/>
          <w:spacing w:val="-8"/>
          <w:kern w:val="0"/>
          <w:sz w:val="18"/>
          <w:szCs w:val="18"/>
        </w:rPr>
        <w:t>wk</w:t>
      </w:r>
      <w:proofErr w:type="spellEnd"/>
      <w:r w:rsidRPr="008C639B">
        <w:rPr>
          <w:rFonts w:ascii="Verdana" w:hAnsi="Verdana" w:cs="Verdana"/>
          <w:color w:val="000000"/>
          <w:spacing w:val="-8"/>
          <w:kern w:val="0"/>
          <w:sz w:val="18"/>
          <w:szCs w:val="18"/>
          <w:vertAlign w:val="superscript"/>
        </w:rPr>
        <w:t>[</w:t>
      </w:r>
      <w:proofErr w:type="gramEnd"/>
      <w:r w:rsidRPr="008C639B">
        <w:rPr>
          <w:rFonts w:ascii="Verdana" w:hAnsi="Verdana" w:cs="Verdana"/>
          <w:color w:val="000000"/>
          <w:spacing w:val="-8"/>
          <w:kern w:val="0"/>
          <w:sz w:val="18"/>
          <w:szCs w:val="18"/>
          <w:vertAlign w:val="superscript"/>
        </w:rPr>
        <w:t>17-19]</w:t>
      </w:r>
      <w:r w:rsidRPr="008C639B">
        <w:rPr>
          <w:rFonts w:ascii="Verdana" w:hAnsi="Verdana" w:cs="Verdana"/>
          <w:color w:val="000000"/>
          <w:spacing w:val="-8"/>
          <w:kern w:val="0"/>
          <w:sz w:val="18"/>
          <w:szCs w:val="18"/>
        </w:rPr>
        <w:t xml:space="preserve">. In addition, esomeprazole at 40 mg/d also achieved good healing rates (87%-94.1%) for erosive esophagitis after 8 </w:t>
      </w:r>
      <w:proofErr w:type="spellStart"/>
      <w:r w:rsidRPr="008C639B">
        <w:rPr>
          <w:rFonts w:ascii="Verdana" w:hAnsi="Verdana" w:cs="Verdana"/>
          <w:color w:val="000000"/>
          <w:spacing w:val="-8"/>
          <w:kern w:val="0"/>
          <w:sz w:val="18"/>
          <w:szCs w:val="18"/>
        </w:rPr>
        <w:t>wk</w:t>
      </w:r>
      <w:proofErr w:type="spellEnd"/>
      <w:r w:rsidRPr="008C639B">
        <w:rPr>
          <w:rFonts w:ascii="Verdana" w:hAnsi="Verdana" w:cs="Verdana"/>
          <w:color w:val="000000"/>
          <w:spacing w:val="-8"/>
          <w:kern w:val="0"/>
          <w:sz w:val="18"/>
          <w:szCs w:val="18"/>
        </w:rPr>
        <w:t xml:space="preserve"> of </w:t>
      </w:r>
      <w:proofErr w:type="gramStart"/>
      <w:r w:rsidRPr="008C639B">
        <w:rPr>
          <w:rFonts w:ascii="Verdana" w:hAnsi="Verdana" w:cs="Verdana"/>
          <w:color w:val="000000"/>
          <w:spacing w:val="-8"/>
          <w:kern w:val="0"/>
          <w:sz w:val="18"/>
          <w:szCs w:val="18"/>
        </w:rPr>
        <w:t>treatment</w:t>
      </w:r>
      <w:r w:rsidRPr="008C639B">
        <w:rPr>
          <w:rFonts w:ascii="Verdana" w:hAnsi="Verdana" w:cs="Verdana"/>
          <w:color w:val="000000"/>
          <w:spacing w:val="-8"/>
          <w:kern w:val="0"/>
          <w:sz w:val="18"/>
          <w:szCs w:val="18"/>
          <w:vertAlign w:val="superscript"/>
        </w:rPr>
        <w:t>[</w:t>
      </w:r>
      <w:proofErr w:type="gramEnd"/>
      <w:r w:rsidRPr="008C639B">
        <w:rPr>
          <w:rFonts w:ascii="Verdana" w:hAnsi="Verdana" w:cs="Verdana"/>
          <w:color w:val="000000"/>
          <w:spacing w:val="-8"/>
          <w:kern w:val="0"/>
          <w:sz w:val="18"/>
          <w:szCs w:val="18"/>
          <w:vertAlign w:val="superscript"/>
        </w:rPr>
        <w:t>18-20]</w:t>
      </w:r>
      <w:r w:rsidRPr="008C639B">
        <w:rPr>
          <w:rFonts w:ascii="Verdana" w:hAnsi="Verdana" w:cs="Verdana"/>
          <w:color w:val="000000"/>
          <w:spacing w:val="-8"/>
          <w:kern w:val="0"/>
          <w:sz w:val="18"/>
          <w:szCs w:val="18"/>
        </w:rPr>
        <w:t>.</w:t>
      </w:r>
    </w:p>
    <w:p w:rsidR="00737F2A" w:rsidRPr="008C639B" w:rsidRDefault="00737F2A" w:rsidP="00737F2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8C639B">
        <w:rPr>
          <w:rFonts w:ascii="Verdana" w:hAnsi="Verdana" w:cs="Verdana"/>
          <w:color w:val="000000"/>
          <w:spacing w:val="-7"/>
          <w:kern w:val="0"/>
          <w:sz w:val="18"/>
          <w:szCs w:val="18"/>
        </w:rPr>
        <w:t xml:space="preserve">However, no direct head-to-head comparative report has investigated the short-term clinical effects or timing to symptom relief of GERD between </w:t>
      </w:r>
      <w:proofErr w:type="spellStart"/>
      <w:r w:rsidRPr="008C639B">
        <w:rPr>
          <w:rFonts w:ascii="Verdana" w:hAnsi="Verdana" w:cs="Verdana"/>
          <w:color w:val="000000"/>
          <w:spacing w:val="-7"/>
          <w:kern w:val="0"/>
          <w:sz w:val="18"/>
          <w:szCs w:val="18"/>
        </w:rPr>
        <w:t>dex</w:t>
      </w:r>
      <w:r w:rsidRPr="008C639B">
        <w:rPr>
          <w:rFonts w:ascii="Verdana" w:hAnsi="Verdana" w:cs="Verdana"/>
          <w:color w:val="000000"/>
          <w:spacing w:val="-7"/>
          <w:kern w:val="0"/>
          <w:sz w:val="18"/>
          <w:szCs w:val="18"/>
        </w:rPr>
        <w:softHyphen/>
        <w:t>lansoprazole</w:t>
      </w:r>
      <w:proofErr w:type="spellEnd"/>
      <w:r w:rsidRPr="008C639B">
        <w:rPr>
          <w:rFonts w:ascii="Verdana" w:hAnsi="Verdana" w:cs="Verdana"/>
          <w:color w:val="000000"/>
          <w:spacing w:val="-7"/>
          <w:kern w:val="0"/>
          <w:sz w:val="18"/>
          <w:szCs w:val="18"/>
        </w:rPr>
        <w:t xml:space="preserve"> at 60 mg and esomeprazole at 40 mg. Wu </w:t>
      </w:r>
      <w:r w:rsidRPr="008C639B">
        <w:rPr>
          <w:rFonts w:ascii="Verdana" w:hAnsi="Verdana" w:cs="Verdana"/>
          <w:i/>
          <w:iCs/>
          <w:color w:val="000000"/>
          <w:spacing w:val="-7"/>
          <w:kern w:val="0"/>
          <w:sz w:val="18"/>
          <w:szCs w:val="18"/>
        </w:rPr>
        <w:t xml:space="preserve">et </w:t>
      </w:r>
      <w:proofErr w:type="gramStart"/>
      <w:r w:rsidRPr="008C639B">
        <w:rPr>
          <w:rFonts w:ascii="Verdana" w:hAnsi="Verdana" w:cs="Verdana"/>
          <w:i/>
          <w:iCs/>
          <w:color w:val="000000"/>
          <w:spacing w:val="-7"/>
          <w:kern w:val="0"/>
          <w:sz w:val="18"/>
          <w:szCs w:val="18"/>
        </w:rPr>
        <w:t>al</w:t>
      </w:r>
      <w:r w:rsidRPr="008C639B">
        <w:rPr>
          <w:rFonts w:ascii="Verdana" w:hAnsi="Verdana" w:cs="Verdana"/>
          <w:color w:val="000000"/>
          <w:spacing w:val="-7"/>
          <w:kern w:val="0"/>
          <w:sz w:val="18"/>
          <w:szCs w:val="18"/>
          <w:vertAlign w:val="superscript"/>
        </w:rPr>
        <w:t>[</w:t>
      </w:r>
      <w:proofErr w:type="gramEnd"/>
      <w:r w:rsidRPr="008C639B">
        <w:rPr>
          <w:rFonts w:ascii="Verdana" w:hAnsi="Verdana" w:cs="Verdana"/>
          <w:color w:val="000000"/>
          <w:spacing w:val="-7"/>
          <w:kern w:val="0"/>
          <w:sz w:val="18"/>
          <w:szCs w:val="18"/>
          <w:vertAlign w:val="superscript"/>
        </w:rPr>
        <w:t>21]</w:t>
      </w:r>
      <w:r w:rsidRPr="008C639B">
        <w:rPr>
          <w:rFonts w:ascii="Verdana" w:hAnsi="Verdana" w:cs="Verdana"/>
          <w:color w:val="000000"/>
          <w:spacing w:val="-7"/>
          <w:kern w:val="0"/>
          <w:sz w:val="18"/>
          <w:szCs w:val="18"/>
        </w:rPr>
        <w:t xml:space="preserve"> reported an indirect comparative study that revealed that the </w:t>
      </w:r>
      <w:proofErr w:type="spellStart"/>
      <w:r w:rsidRPr="008C639B">
        <w:rPr>
          <w:rFonts w:ascii="Verdana" w:hAnsi="Verdana" w:cs="Verdana"/>
          <w:color w:val="000000"/>
          <w:spacing w:val="-7"/>
          <w:kern w:val="0"/>
          <w:sz w:val="18"/>
          <w:szCs w:val="18"/>
        </w:rPr>
        <w:t>dexlansoprazole</w:t>
      </w:r>
      <w:proofErr w:type="spellEnd"/>
      <w:r w:rsidRPr="008C639B">
        <w:rPr>
          <w:rFonts w:ascii="Verdana" w:hAnsi="Verdana" w:cs="Verdana"/>
          <w:color w:val="000000"/>
          <w:spacing w:val="-7"/>
          <w:kern w:val="0"/>
          <w:sz w:val="18"/>
          <w:szCs w:val="18"/>
        </w:rPr>
        <w:t xml:space="preserve"> 30 mg dose was more effective than esomeprazole at the 20 mg or 40 mg dose (RR = 2.01, 95%CI: 1.15-3.51; RR = 2.17, 95%CI: 1.39-3.38, respectively) for patients with non-erosive esophagitis at 4 wk. However, no significant differences were found in the healing rates of erosive esophagitis. A one-day comparative pH study showed that </w:t>
      </w:r>
      <w:proofErr w:type="spellStart"/>
      <w:r w:rsidRPr="008C639B">
        <w:rPr>
          <w:rFonts w:ascii="Verdana" w:hAnsi="Verdana" w:cs="Verdana"/>
          <w:color w:val="000000"/>
          <w:spacing w:val="-7"/>
          <w:kern w:val="0"/>
          <w:sz w:val="18"/>
          <w:szCs w:val="18"/>
        </w:rPr>
        <w:t>dexlansoprazole</w:t>
      </w:r>
      <w:proofErr w:type="spellEnd"/>
      <w:r w:rsidRPr="008C639B">
        <w:rPr>
          <w:rFonts w:ascii="Verdana" w:hAnsi="Verdana" w:cs="Verdana"/>
          <w:color w:val="000000"/>
          <w:spacing w:val="-7"/>
          <w:kern w:val="0"/>
          <w:sz w:val="18"/>
          <w:szCs w:val="18"/>
        </w:rPr>
        <w:t xml:space="preserve"> had a higher mean percentage of time with a pH &gt; 4 than esomeprazole (58% and 48%, </w:t>
      </w:r>
      <w:r w:rsidRPr="008C639B">
        <w:rPr>
          <w:rFonts w:ascii="Verdana" w:hAnsi="Verdana" w:cs="Verdana"/>
          <w:i/>
          <w:iCs/>
          <w:caps/>
          <w:color w:val="000000"/>
          <w:spacing w:val="-7"/>
          <w:kern w:val="0"/>
          <w:sz w:val="18"/>
          <w:szCs w:val="18"/>
        </w:rPr>
        <w:t xml:space="preserve">p = </w:t>
      </w:r>
      <w:r w:rsidRPr="008C639B">
        <w:rPr>
          <w:rFonts w:ascii="Verdana" w:hAnsi="Verdana" w:cs="Verdana"/>
          <w:color w:val="000000"/>
          <w:spacing w:val="-7"/>
          <w:kern w:val="0"/>
          <w:sz w:val="18"/>
          <w:szCs w:val="18"/>
        </w:rPr>
        <w:t>0.003) at 0-24 h post-</w:t>
      </w:r>
      <w:proofErr w:type="gramStart"/>
      <w:r w:rsidRPr="008C639B">
        <w:rPr>
          <w:rFonts w:ascii="Verdana" w:hAnsi="Verdana" w:cs="Verdana"/>
          <w:color w:val="000000"/>
          <w:spacing w:val="-7"/>
          <w:kern w:val="0"/>
          <w:sz w:val="18"/>
          <w:szCs w:val="18"/>
        </w:rPr>
        <w:t>dose</w:t>
      </w:r>
      <w:r w:rsidRPr="008C639B">
        <w:rPr>
          <w:rFonts w:ascii="Verdana" w:hAnsi="Verdana" w:cs="Verdana"/>
          <w:color w:val="000000"/>
          <w:spacing w:val="-7"/>
          <w:kern w:val="0"/>
          <w:sz w:val="18"/>
          <w:szCs w:val="18"/>
          <w:vertAlign w:val="superscript"/>
        </w:rPr>
        <w:t>[</w:t>
      </w:r>
      <w:proofErr w:type="gramEnd"/>
      <w:r w:rsidRPr="008C639B">
        <w:rPr>
          <w:rFonts w:ascii="Verdana" w:hAnsi="Verdana" w:cs="Verdana"/>
          <w:color w:val="000000"/>
          <w:spacing w:val="-7"/>
          <w:kern w:val="0"/>
          <w:sz w:val="18"/>
          <w:szCs w:val="18"/>
          <w:vertAlign w:val="superscript"/>
        </w:rPr>
        <w:t>9]</w:t>
      </w:r>
      <w:r w:rsidRPr="008C639B">
        <w:rPr>
          <w:rFonts w:ascii="Verdana" w:hAnsi="Verdana" w:cs="Verdana"/>
          <w:color w:val="000000"/>
          <w:spacing w:val="-7"/>
          <w:kern w:val="0"/>
          <w:sz w:val="18"/>
          <w:szCs w:val="18"/>
        </w:rPr>
        <w:t xml:space="preserve">. Unfortunately, differences in the clinical effects between these two PPIs were not mentioned. </w:t>
      </w:r>
    </w:p>
    <w:p w:rsidR="00737F2A" w:rsidRPr="008C639B" w:rsidRDefault="00737F2A" w:rsidP="00737F2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8C639B">
        <w:rPr>
          <w:rFonts w:ascii="Verdana" w:hAnsi="Verdana" w:cs="Verdana"/>
          <w:color w:val="000000"/>
          <w:spacing w:val="-7"/>
          <w:kern w:val="0"/>
          <w:sz w:val="18"/>
          <w:szCs w:val="18"/>
        </w:rPr>
        <w:t xml:space="preserve">In this study, we found that the symptoms and frequencies of nighttime reflux were similar between the </w:t>
      </w:r>
      <w:proofErr w:type="spellStart"/>
      <w:r w:rsidRPr="008C639B">
        <w:rPr>
          <w:rFonts w:ascii="Verdana" w:hAnsi="Verdana" w:cs="Verdana"/>
          <w:color w:val="000000"/>
          <w:spacing w:val="-7"/>
          <w:kern w:val="0"/>
          <w:sz w:val="18"/>
          <w:szCs w:val="18"/>
        </w:rPr>
        <w:t>dexlansoprazole</w:t>
      </w:r>
      <w:proofErr w:type="spellEnd"/>
      <w:r w:rsidRPr="008C639B">
        <w:rPr>
          <w:rFonts w:ascii="Verdana" w:hAnsi="Verdana" w:cs="Verdana"/>
          <w:color w:val="000000"/>
          <w:spacing w:val="-7"/>
          <w:kern w:val="0"/>
          <w:sz w:val="18"/>
          <w:szCs w:val="18"/>
        </w:rPr>
        <w:t xml:space="preserve"> and esomeprazole groups (</w:t>
      </w:r>
      <w:r w:rsidRPr="008C639B">
        <w:rPr>
          <w:rFonts w:ascii="Verdana" w:hAnsi="Verdana" w:cs="Verdana"/>
          <w:i/>
          <w:iCs/>
          <w:caps/>
          <w:color w:val="000000"/>
          <w:spacing w:val="-7"/>
          <w:kern w:val="0"/>
          <w:sz w:val="18"/>
          <w:szCs w:val="18"/>
        </w:rPr>
        <w:t xml:space="preserve">p = </w:t>
      </w:r>
      <w:r w:rsidRPr="008C639B">
        <w:rPr>
          <w:rFonts w:ascii="Verdana" w:hAnsi="Verdana" w:cs="Verdana"/>
          <w:color w:val="000000"/>
          <w:spacing w:val="-7"/>
          <w:kern w:val="0"/>
          <w:sz w:val="18"/>
          <w:szCs w:val="18"/>
        </w:rPr>
        <w:t>0.787 and</w:t>
      </w:r>
      <w:r w:rsidRPr="008C639B">
        <w:rPr>
          <w:rFonts w:ascii="Verdana" w:hAnsi="Verdana" w:cs="Verdana"/>
          <w:i/>
          <w:iCs/>
          <w:color w:val="000000"/>
          <w:spacing w:val="-7"/>
          <w:kern w:val="0"/>
          <w:sz w:val="18"/>
          <w:szCs w:val="18"/>
        </w:rPr>
        <w:t xml:space="preserve"> </w:t>
      </w:r>
      <w:r w:rsidRPr="008C639B">
        <w:rPr>
          <w:rFonts w:ascii="Verdana" w:hAnsi="Verdana" w:cs="Verdana"/>
          <w:i/>
          <w:iCs/>
          <w:caps/>
          <w:color w:val="000000"/>
          <w:spacing w:val="-7"/>
          <w:kern w:val="0"/>
          <w:sz w:val="18"/>
          <w:szCs w:val="18"/>
        </w:rPr>
        <w:t xml:space="preserve">p = </w:t>
      </w:r>
      <w:r w:rsidRPr="008C639B">
        <w:rPr>
          <w:rFonts w:ascii="Verdana" w:hAnsi="Verdana" w:cs="Verdana"/>
          <w:color w:val="000000"/>
          <w:spacing w:val="-7"/>
          <w:kern w:val="0"/>
          <w:sz w:val="18"/>
          <w:szCs w:val="18"/>
        </w:rPr>
        <w:t xml:space="preserve">0.343, respectively). At days 1, 3, and 7 post-dose, the CSR rates between the two groups were similar (25.9% </w:t>
      </w:r>
      <w:proofErr w:type="spellStart"/>
      <w:r w:rsidRPr="008C639B">
        <w:rPr>
          <w:rFonts w:ascii="Verdana" w:hAnsi="Verdana" w:cs="Verdana"/>
          <w:i/>
          <w:iCs/>
          <w:color w:val="000000"/>
          <w:spacing w:val="-7"/>
          <w:kern w:val="0"/>
          <w:sz w:val="18"/>
          <w:szCs w:val="18"/>
        </w:rPr>
        <w:t>vs</w:t>
      </w:r>
      <w:proofErr w:type="spellEnd"/>
      <w:r w:rsidRPr="008C639B">
        <w:rPr>
          <w:rFonts w:ascii="Verdana" w:hAnsi="Verdana" w:cs="Verdana"/>
          <w:color w:val="000000"/>
          <w:spacing w:val="-7"/>
          <w:kern w:val="0"/>
          <w:sz w:val="18"/>
          <w:szCs w:val="18"/>
        </w:rPr>
        <w:t xml:space="preserve"> 28.4%, </w:t>
      </w:r>
      <w:r w:rsidRPr="008C639B">
        <w:rPr>
          <w:rFonts w:ascii="Verdana" w:hAnsi="Verdana" w:cs="Verdana"/>
          <w:i/>
          <w:iCs/>
          <w:caps/>
          <w:color w:val="000000"/>
          <w:spacing w:val="-7"/>
          <w:kern w:val="0"/>
          <w:sz w:val="18"/>
          <w:szCs w:val="18"/>
        </w:rPr>
        <w:t xml:space="preserve">p = </w:t>
      </w:r>
      <w:r w:rsidRPr="008C639B">
        <w:rPr>
          <w:rFonts w:ascii="Verdana" w:hAnsi="Verdana" w:cs="Verdana"/>
          <w:color w:val="000000"/>
          <w:spacing w:val="-7"/>
          <w:kern w:val="0"/>
          <w:sz w:val="18"/>
          <w:szCs w:val="18"/>
        </w:rPr>
        <w:t xml:space="preserve">0.724, 33.3% </w:t>
      </w:r>
      <w:proofErr w:type="spellStart"/>
      <w:r w:rsidRPr="008C639B">
        <w:rPr>
          <w:rFonts w:ascii="Verdana" w:hAnsi="Verdana" w:cs="Verdana"/>
          <w:i/>
          <w:iCs/>
          <w:color w:val="000000"/>
          <w:spacing w:val="-7"/>
          <w:kern w:val="0"/>
          <w:sz w:val="18"/>
          <w:szCs w:val="18"/>
        </w:rPr>
        <w:t>vs</w:t>
      </w:r>
      <w:proofErr w:type="spellEnd"/>
      <w:r w:rsidRPr="008C639B">
        <w:rPr>
          <w:rFonts w:ascii="Verdana" w:hAnsi="Verdana" w:cs="Verdana"/>
          <w:color w:val="000000"/>
          <w:spacing w:val="-7"/>
          <w:kern w:val="0"/>
          <w:sz w:val="18"/>
          <w:szCs w:val="18"/>
        </w:rPr>
        <w:t xml:space="preserve"> 32.1%,</w:t>
      </w:r>
      <w:r w:rsidRPr="008C639B">
        <w:rPr>
          <w:rFonts w:ascii="Verdana" w:hAnsi="Verdana" w:cs="Verdana"/>
          <w:i/>
          <w:iCs/>
          <w:color w:val="000000"/>
          <w:spacing w:val="-7"/>
          <w:kern w:val="0"/>
          <w:sz w:val="18"/>
          <w:szCs w:val="18"/>
        </w:rPr>
        <w:t xml:space="preserve"> </w:t>
      </w:r>
      <w:r w:rsidRPr="008C639B">
        <w:rPr>
          <w:rFonts w:ascii="Verdana" w:hAnsi="Verdana" w:cs="Verdana"/>
          <w:i/>
          <w:iCs/>
          <w:caps/>
          <w:color w:val="000000"/>
          <w:spacing w:val="-7"/>
          <w:kern w:val="0"/>
          <w:sz w:val="18"/>
          <w:szCs w:val="18"/>
        </w:rPr>
        <w:t xml:space="preserve">p = </w:t>
      </w:r>
      <w:r w:rsidRPr="008C639B">
        <w:rPr>
          <w:rFonts w:ascii="Verdana" w:hAnsi="Verdana" w:cs="Verdana"/>
          <w:color w:val="000000"/>
          <w:spacing w:val="-7"/>
          <w:kern w:val="0"/>
          <w:sz w:val="18"/>
          <w:szCs w:val="18"/>
        </w:rPr>
        <w:t xml:space="preserve">0.867, and 51.9% </w:t>
      </w:r>
      <w:proofErr w:type="spellStart"/>
      <w:r w:rsidRPr="008C639B">
        <w:rPr>
          <w:rFonts w:ascii="Verdana" w:hAnsi="Verdana" w:cs="Verdana"/>
          <w:i/>
          <w:iCs/>
          <w:color w:val="000000"/>
          <w:spacing w:val="-7"/>
          <w:kern w:val="0"/>
          <w:sz w:val="18"/>
          <w:szCs w:val="18"/>
        </w:rPr>
        <w:t>vs</w:t>
      </w:r>
      <w:proofErr w:type="spellEnd"/>
      <w:r w:rsidRPr="008C639B">
        <w:rPr>
          <w:rFonts w:ascii="Verdana" w:hAnsi="Verdana" w:cs="Verdana"/>
          <w:color w:val="000000"/>
          <w:spacing w:val="-7"/>
          <w:kern w:val="0"/>
          <w:sz w:val="18"/>
          <w:szCs w:val="18"/>
        </w:rPr>
        <w:t xml:space="preserve"> 48.1%, </w:t>
      </w:r>
      <w:r w:rsidRPr="008C639B">
        <w:rPr>
          <w:rFonts w:ascii="Verdana" w:hAnsi="Verdana" w:cs="Verdana"/>
          <w:i/>
          <w:iCs/>
          <w:caps/>
          <w:color w:val="000000"/>
          <w:spacing w:val="-7"/>
          <w:kern w:val="0"/>
          <w:sz w:val="18"/>
          <w:szCs w:val="18"/>
        </w:rPr>
        <w:t xml:space="preserve">p = </w:t>
      </w:r>
      <w:r w:rsidRPr="008C639B">
        <w:rPr>
          <w:rFonts w:ascii="Verdana" w:hAnsi="Verdana" w:cs="Verdana"/>
          <w:color w:val="000000"/>
          <w:spacing w:val="-7"/>
          <w:kern w:val="0"/>
          <w:sz w:val="18"/>
          <w:szCs w:val="18"/>
        </w:rPr>
        <w:t xml:space="preserve">0.637, respectively). Nevertheless, we also observed that female patients had higher CSR rates in the </w:t>
      </w:r>
      <w:proofErr w:type="spellStart"/>
      <w:r w:rsidRPr="008C639B">
        <w:rPr>
          <w:rFonts w:ascii="Verdana" w:hAnsi="Verdana" w:cs="Verdana"/>
          <w:color w:val="000000"/>
          <w:spacing w:val="-7"/>
          <w:kern w:val="0"/>
          <w:sz w:val="18"/>
          <w:szCs w:val="18"/>
        </w:rPr>
        <w:t>dexlansoprazole</w:t>
      </w:r>
      <w:proofErr w:type="spellEnd"/>
      <w:r w:rsidRPr="008C639B">
        <w:rPr>
          <w:rFonts w:ascii="Verdana" w:hAnsi="Verdana" w:cs="Verdana"/>
          <w:color w:val="000000"/>
          <w:spacing w:val="-7"/>
          <w:kern w:val="0"/>
          <w:sz w:val="18"/>
          <w:szCs w:val="18"/>
        </w:rPr>
        <w:t xml:space="preserve"> group (</w:t>
      </w:r>
      <w:r w:rsidRPr="008C639B">
        <w:rPr>
          <w:rFonts w:ascii="Verdana" w:hAnsi="Verdana" w:cs="Verdana"/>
          <w:i/>
          <w:iCs/>
          <w:caps/>
          <w:color w:val="000000"/>
          <w:spacing w:val="-7"/>
          <w:kern w:val="0"/>
          <w:sz w:val="18"/>
          <w:szCs w:val="18"/>
        </w:rPr>
        <w:t xml:space="preserve">p = </w:t>
      </w:r>
      <w:r w:rsidRPr="008C639B">
        <w:rPr>
          <w:rFonts w:ascii="Verdana" w:hAnsi="Verdana" w:cs="Verdana"/>
          <w:color w:val="000000"/>
          <w:spacing w:val="-7"/>
          <w:kern w:val="0"/>
          <w:sz w:val="18"/>
          <w:szCs w:val="18"/>
        </w:rPr>
        <w:t>0.046) and an increasing trend for the effect on day 7 (</w:t>
      </w:r>
      <w:r w:rsidRPr="008C639B">
        <w:rPr>
          <w:rFonts w:ascii="Verdana" w:hAnsi="Verdana" w:cs="Verdana"/>
          <w:i/>
          <w:iCs/>
          <w:caps/>
          <w:color w:val="000000"/>
          <w:spacing w:val="-7"/>
          <w:kern w:val="0"/>
          <w:sz w:val="18"/>
          <w:szCs w:val="18"/>
        </w:rPr>
        <w:t xml:space="preserve">p = </w:t>
      </w:r>
      <w:r w:rsidRPr="008C639B">
        <w:rPr>
          <w:rFonts w:ascii="Verdana" w:hAnsi="Verdana" w:cs="Verdana"/>
          <w:color w:val="000000"/>
          <w:spacing w:val="-7"/>
          <w:kern w:val="0"/>
          <w:sz w:val="18"/>
          <w:szCs w:val="18"/>
        </w:rPr>
        <w:t>0.09) when we performed the subgroup analysis based on sex. Remarkably, our logistic regression analysis showed that female sex was a negative predictive factor for CSR on post-dose days 1 [OR = -1.249 ± 0.543; 95%CI: 0.287 (0.099-0.832),</w:t>
      </w:r>
      <w:r w:rsidRPr="008C639B">
        <w:rPr>
          <w:rFonts w:ascii="Verdana" w:hAnsi="Verdana" w:cs="Verdana"/>
          <w:i/>
          <w:iCs/>
          <w:color w:val="000000"/>
          <w:spacing w:val="-7"/>
          <w:kern w:val="0"/>
          <w:sz w:val="18"/>
          <w:szCs w:val="18"/>
        </w:rPr>
        <w:t xml:space="preserve"> </w:t>
      </w:r>
      <w:r w:rsidRPr="008C639B">
        <w:rPr>
          <w:rFonts w:ascii="Verdana" w:hAnsi="Verdana" w:cs="Verdana"/>
          <w:i/>
          <w:iCs/>
          <w:caps/>
          <w:color w:val="000000"/>
          <w:spacing w:val="-7"/>
          <w:kern w:val="0"/>
          <w:sz w:val="18"/>
          <w:szCs w:val="18"/>
        </w:rPr>
        <w:t xml:space="preserve">p = </w:t>
      </w:r>
      <w:r w:rsidRPr="008C639B">
        <w:rPr>
          <w:rFonts w:ascii="Verdana" w:hAnsi="Verdana" w:cs="Verdana"/>
          <w:color w:val="000000"/>
          <w:spacing w:val="-7"/>
          <w:kern w:val="0"/>
          <w:sz w:val="18"/>
          <w:szCs w:val="18"/>
        </w:rPr>
        <w:t xml:space="preserve">0.022] and 3 [OR = -1.254 ± 0.519; 95%CI: 0.285 (0.103-0.789), </w:t>
      </w:r>
      <w:r w:rsidRPr="008C639B">
        <w:rPr>
          <w:rFonts w:ascii="Verdana" w:hAnsi="Verdana" w:cs="Verdana"/>
          <w:i/>
          <w:iCs/>
          <w:caps/>
          <w:color w:val="000000"/>
          <w:spacing w:val="-7"/>
          <w:kern w:val="0"/>
          <w:sz w:val="18"/>
          <w:szCs w:val="18"/>
        </w:rPr>
        <w:t xml:space="preserve">p = </w:t>
      </w:r>
      <w:r w:rsidRPr="008C639B">
        <w:rPr>
          <w:rFonts w:ascii="Verdana" w:hAnsi="Verdana" w:cs="Verdana"/>
          <w:color w:val="000000"/>
          <w:spacing w:val="-7"/>
          <w:kern w:val="0"/>
          <w:sz w:val="18"/>
          <w:szCs w:val="18"/>
        </w:rPr>
        <w:t xml:space="preserve">0.016] in the esomeprazole group. These findings implied that esomeprazole at 40 mg required more time (3 d) than </w:t>
      </w:r>
      <w:proofErr w:type="spellStart"/>
      <w:r w:rsidRPr="008C639B">
        <w:rPr>
          <w:rFonts w:ascii="Verdana" w:hAnsi="Verdana" w:cs="Verdana"/>
          <w:color w:val="000000"/>
          <w:spacing w:val="-7"/>
          <w:kern w:val="0"/>
          <w:sz w:val="18"/>
          <w:szCs w:val="18"/>
        </w:rPr>
        <w:t>dexlansoprazole</w:t>
      </w:r>
      <w:proofErr w:type="spellEnd"/>
      <w:r w:rsidRPr="008C639B">
        <w:rPr>
          <w:rFonts w:ascii="Verdana" w:hAnsi="Verdana" w:cs="Verdana"/>
          <w:color w:val="000000"/>
          <w:spacing w:val="-7"/>
          <w:kern w:val="0"/>
          <w:sz w:val="18"/>
          <w:szCs w:val="18"/>
        </w:rPr>
        <w:t xml:space="preserve"> at 60 mg to attain CSR in females. Several possible mechanisms may underlie these observations. First, both esomeprazole and </w:t>
      </w:r>
      <w:proofErr w:type="spellStart"/>
      <w:r w:rsidRPr="008C639B">
        <w:rPr>
          <w:rFonts w:ascii="Verdana" w:hAnsi="Verdana" w:cs="Verdana"/>
          <w:color w:val="000000"/>
          <w:spacing w:val="-7"/>
          <w:kern w:val="0"/>
          <w:sz w:val="18"/>
          <w:szCs w:val="18"/>
        </w:rPr>
        <w:t>dexlansoprazole</w:t>
      </w:r>
      <w:proofErr w:type="spellEnd"/>
      <w:r w:rsidRPr="008C639B">
        <w:rPr>
          <w:rFonts w:ascii="Verdana" w:hAnsi="Verdana" w:cs="Verdana"/>
          <w:color w:val="000000"/>
          <w:spacing w:val="-7"/>
          <w:kern w:val="0"/>
          <w:sz w:val="18"/>
          <w:szCs w:val="18"/>
        </w:rPr>
        <w:t xml:space="preserve"> are extensively metabolized in the liver by oxidation, reduction, and subsequent conversion of sulfate, </w:t>
      </w:r>
      <w:proofErr w:type="spellStart"/>
      <w:r w:rsidRPr="008C639B">
        <w:rPr>
          <w:rFonts w:ascii="Verdana" w:hAnsi="Verdana" w:cs="Verdana"/>
          <w:color w:val="000000"/>
          <w:spacing w:val="-7"/>
          <w:kern w:val="0"/>
          <w:sz w:val="18"/>
          <w:szCs w:val="18"/>
        </w:rPr>
        <w:t>glucuronide</w:t>
      </w:r>
      <w:proofErr w:type="spellEnd"/>
      <w:r w:rsidRPr="008C639B">
        <w:rPr>
          <w:rFonts w:ascii="Verdana" w:hAnsi="Verdana" w:cs="Verdana"/>
          <w:color w:val="000000"/>
          <w:spacing w:val="-7"/>
          <w:kern w:val="0"/>
          <w:sz w:val="18"/>
          <w:szCs w:val="18"/>
        </w:rPr>
        <w:t xml:space="preserve"> and glutathione conjugates to inactive metabolites. Oxidative meta</w:t>
      </w:r>
      <w:r w:rsidRPr="008C639B">
        <w:rPr>
          <w:rFonts w:ascii="Verdana" w:hAnsi="Verdana" w:cs="Verdana"/>
          <w:color w:val="000000"/>
          <w:spacing w:val="-7"/>
          <w:kern w:val="0"/>
          <w:sz w:val="18"/>
          <w:szCs w:val="18"/>
        </w:rPr>
        <w:softHyphen/>
        <w:t xml:space="preserve">bolites are formed by the cytochrome P450 (CYP) enzyme system, mainly by CYP2C19 and </w:t>
      </w:r>
      <w:proofErr w:type="gramStart"/>
      <w:r w:rsidRPr="008C639B">
        <w:rPr>
          <w:rFonts w:ascii="Verdana" w:hAnsi="Verdana" w:cs="Verdana"/>
          <w:color w:val="000000"/>
          <w:spacing w:val="-7"/>
          <w:kern w:val="0"/>
          <w:sz w:val="18"/>
          <w:szCs w:val="18"/>
        </w:rPr>
        <w:t>CYP3A4</w:t>
      </w:r>
      <w:r w:rsidRPr="008C639B">
        <w:rPr>
          <w:rFonts w:ascii="Verdana" w:hAnsi="Verdana" w:cs="Verdana"/>
          <w:color w:val="000000"/>
          <w:spacing w:val="-7"/>
          <w:kern w:val="0"/>
          <w:sz w:val="18"/>
          <w:szCs w:val="18"/>
          <w:vertAlign w:val="superscript"/>
        </w:rPr>
        <w:t>[</w:t>
      </w:r>
      <w:proofErr w:type="gramEnd"/>
      <w:r w:rsidRPr="008C639B">
        <w:rPr>
          <w:rFonts w:ascii="Verdana" w:hAnsi="Verdana" w:cs="Verdana"/>
          <w:color w:val="000000"/>
          <w:spacing w:val="-7"/>
          <w:kern w:val="0"/>
          <w:sz w:val="18"/>
          <w:szCs w:val="18"/>
          <w:vertAlign w:val="superscript"/>
        </w:rPr>
        <w:t>22,23]</w:t>
      </w:r>
      <w:r w:rsidRPr="008C639B">
        <w:rPr>
          <w:rFonts w:ascii="Verdana" w:hAnsi="Verdana" w:cs="Verdana"/>
          <w:color w:val="000000"/>
          <w:spacing w:val="-7"/>
          <w:kern w:val="0"/>
          <w:sz w:val="18"/>
          <w:szCs w:val="18"/>
        </w:rPr>
        <w:t xml:space="preserve">. In the pharmacokinetics report of </w:t>
      </w:r>
      <w:proofErr w:type="gramStart"/>
      <w:r w:rsidRPr="008C639B">
        <w:rPr>
          <w:rFonts w:ascii="Verdana" w:hAnsi="Verdana" w:cs="Verdana"/>
          <w:color w:val="000000"/>
          <w:spacing w:val="-7"/>
          <w:kern w:val="0"/>
          <w:sz w:val="18"/>
          <w:szCs w:val="18"/>
        </w:rPr>
        <w:t>esomeprazole</w:t>
      </w:r>
      <w:r w:rsidRPr="008C639B">
        <w:rPr>
          <w:rFonts w:ascii="Verdana" w:hAnsi="Verdana" w:cs="Verdana"/>
          <w:color w:val="000000"/>
          <w:spacing w:val="-7"/>
          <w:kern w:val="0"/>
          <w:sz w:val="18"/>
          <w:szCs w:val="18"/>
          <w:vertAlign w:val="superscript"/>
        </w:rPr>
        <w:t>[</w:t>
      </w:r>
      <w:proofErr w:type="gramEnd"/>
      <w:r w:rsidRPr="008C639B">
        <w:rPr>
          <w:rFonts w:ascii="Verdana" w:hAnsi="Verdana" w:cs="Verdana"/>
          <w:color w:val="000000"/>
          <w:spacing w:val="-7"/>
          <w:kern w:val="0"/>
          <w:sz w:val="18"/>
          <w:szCs w:val="18"/>
          <w:vertAlign w:val="superscript"/>
        </w:rPr>
        <w:t>24]</w:t>
      </w:r>
      <w:r w:rsidRPr="008C639B">
        <w:rPr>
          <w:rFonts w:ascii="Verdana" w:hAnsi="Verdana" w:cs="Verdana"/>
          <w:color w:val="000000"/>
          <w:spacing w:val="-7"/>
          <w:kern w:val="0"/>
          <w:sz w:val="18"/>
          <w:szCs w:val="18"/>
        </w:rPr>
        <w:t xml:space="preserve">, the mean exposure (AUC) to esomeprazole increases from 4.32 </w:t>
      </w:r>
      <w:r w:rsidRPr="008C639B">
        <w:rPr>
          <w:rFonts w:ascii="Symbol" w:hAnsi="Symbol" w:cs="Symbol"/>
          <w:color w:val="000000"/>
          <w:spacing w:val="-7"/>
          <w:kern w:val="0"/>
          <w:sz w:val="18"/>
          <w:szCs w:val="18"/>
        </w:rPr>
        <w:t></w:t>
      </w:r>
      <w:proofErr w:type="spellStart"/>
      <w:r w:rsidRPr="008C639B">
        <w:rPr>
          <w:rFonts w:ascii="Verdana" w:hAnsi="Verdana" w:cs="Verdana"/>
          <w:color w:val="000000"/>
          <w:spacing w:val="-7"/>
          <w:kern w:val="0"/>
          <w:sz w:val="18"/>
          <w:szCs w:val="18"/>
        </w:rPr>
        <w:t>mol·h</w:t>
      </w:r>
      <w:proofErr w:type="spellEnd"/>
      <w:r w:rsidRPr="008C639B">
        <w:rPr>
          <w:rFonts w:ascii="Verdana" w:hAnsi="Verdana" w:cs="Verdana"/>
          <w:color w:val="000000"/>
          <w:spacing w:val="-7"/>
          <w:kern w:val="0"/>
          <w:sz w:val="18"/>
          <w:szCs w:val="18"/>
        </w:rPr>
        <w:t xml:space="preserve">/L on day 1 to 11.2 </w:t>
      </w:r>
      <w:r w:rsidRPr="008C639B">
        <w:rPr>
          <w:rFonts w:ascii="Symbol" w:hAnsi="Symbol" w:cs="Symbol"/>
          <w:color w:val="000000"/>
          <w:spacing w:val="-7"/>
          <w:kern w:val="0"/>
          <w:sz w:val="18"/>
          <w:szCs w:val="18"/>
        </w:rPr>
        <w:t></w:t>
      </w:r>
      <w:proofErr w:type="spellStart"/>
      <w:r w:rsidRPr="008C639B">
        <w:rPr>
          <w:rFonts w:ascii="Verdana" w:hAnsi="Verdana" w:cs="Verdana"/>
          <w:color w:val="000000"/>
          <w:spacing w:val="-7"/>
          <w:kern w:val="0"/>
          <w:sz w:val="18"/>
          <w:szCs w:val="18"/>
        </w:rPr>
        <w:t>mol·h</w:t>
      </w:r>
      <w:proofErr w:type="spellEnd"/>
      <w:r w:rsidRPr="008C639B">
        <w:rPr>
          <w:rFonts w:ascii="Verdana" w:hAnsi="Verdana" w:cs="Verdana"/>
          <w:color w:val="000000"/>
          <w:spacing w:val="-7"/>
          <w:kern w:val="0"/>
          <w:sz w:val="18"/>
          <w:szCs w:val="18"/>
        </w:rPr>
        <w:t>/L on day 5 after a 40-mg once-daily dose, indicating that the pharmacokinetics of esomeprazole are time- and dose-dependent</w:t>
      </w:r>
      <w:r w:rsidRPr="008C639B">
        <w:rPr>
          <w:rFonts w:ascii="Verdana" w:hAnsi="Verdana" w:cs="Verdana"/>
          <w:color w:val="000000"/>
          <w:spacing w:val="-7"/>
          <w:kern w:val="0"/>
          <w:sz w:val="18"/>
          <w:szCs w:val="18"/>
          <w:vertAlign w:val="superscript"/>
        </w:rPr>
        <w:t>[25]</w:t>
      </w:r>
      <w:r w:rsidRPr="008C639B">
        <w:rPr>
          <w:rFonts w:ascii="Verdana" w:hAnsi="Verdana" w:cs="Verdana"/>
          <w:color w:val="000000"/>
          <w:spacing w:val="-7"/>
          <w:kern w:val="0"/>
          <w:sz w:val="18"/>
          <w:szCs w:val="18"/>
        </w:rPr>
        <w:t xml:space="preserve">. For </w:t>
      </w:r>
      <w:proofErr w:type="spellStart"/>
      <w:r w:rsidRPr="008C639B">
        <w:rPr>
          <w:rFonts w:ascii="Verdana" w:hAnsi="Verdana" w:cs="Verdana"/>
          <w:color w:val="000000"/>
          <w:spacing w:val="-7"/>
          <w:kern w:val="0"/>
          <w:sz w:val="18"/>
          <w:szCs w:val="18"/>
        </w:rPr>
        <w:t>dexlansoprazole</w:t>
      </w:r>
      <w:proofErr w:type="spellEnd"/>
      <w:r w:rsidRPr="008C639B">
        <w:rPr>
          <w:rFonts w:ascii="Verdana" w:hAnsi="Verdana" w:cs="Verdana"/>
          <w:color w:val="000000"/>
          <w:spacing w:val="-7"/>
          <w:kern w:val="0"/>
          <w:sz w:val="18"/>
          <w:szCs w:val="18"/>
          <w:vertAlign w:val="superscript"/>
        </w:rPr>
        <w:t>[26,27]</w:t>
      </w:r>
      <w:r w:rsidRPr="008C639B">
        <w:rPr>
          <w:rFonts w:ascii="Verdana" w:hAnsi="Verdana" w:cs="Verdana"/>
          <w:color w:val="000000"/>
          <w:spacing w:val="-7"/>
          <w:kern w:val="0"/>
          <w:sz w:val="18"/>
          <w:szCs w:val="18"/>
        </w:rPr>
        <w:t xml:space="preserve">, </w:t>
      </w:r>
      <w:r w:rsidRPr="008C639B">
        <w:rPr>
          <w:rFonts w:ascii="Verdana" w:hAnsi="Verdana" w:cs="Verdana"/>
          <w:color w:val="000000"/>
          <w:spacing w:val="-9"/>
          <w:kern w:val="0"/>
          <w:sz w:val="18"/>
          <w:szCs w:val="18"/>
        </w:rPr>
        <w:t xml:space="preserve">no accumulation of </w:t>
      </w:r>
      <w:proofErr w:type="spellStart"/>
      <w:r w:rsidRPr="008C639B">
        <w:rPr>
          <w:rFonts w:ascii="Verdana" w:hAnsi="Verdana" w:cs="Verdana"/>
          <w:color w:val="000000"/>
          <w:spacing w:val="-9"/>
          <w:kern w:val="0"/>
          <w:sz w:val="18"/>
          <w:szCs w:val="18"/>
        </w:rPr>
        <w:t>dexlansoprazole</w:t>
      </w:r>
      <w:proofErr w:type="spellEnd"/>
      <w:r w:rsidRPr="008C639B">
        <w:rPr>
          <w:rFonts w:ascii="Verdana" w:hAnsi="Verdana" w:cs="Verdana"/>
          <w:color w:val="000000"/>
          <w:spacing w:val="-9"/>
          <w:kern w:val="0"/>
          <w:sz w:val="18"/>
          <w:szCs w:val="18"/>
        </w:rPr>
        <w:t xml:space="preserve"> occurs after multiple once-daily doses of 60 mg, although the</w:t>
      </w:r>
      <w:r w:rsidRPr="008C639B">
        <w:rPr>
          <w:rFonts w:ascii="Verdana" w:hAnsi="Verdana" w:cs="Verdana"/>
          <w:color w:val="000000"/>
          <w:spacing w:val="-7"/>
          <w:kern w:val="0"/>
          <w:sz w:val="18"/>
          <w:szCs w:val="18"/>
        </w:rPr>
        <w:t xml:space="preserve"> mean AUC and max concentration (</w:t>
      </w:r>
      <w:proofErr w:type="spellStart"/>
      <w:r w:rsidRPr="008C639B">
        <w:rPr>
          <w:rFonts w:ascii="Verdana" w:hAnsi="Verdana" w:cs="Verdana"/>
          <w:color w:val="000000"/>
          <w:spacing w:val="-7"/>
          <w:kern w:val="0"/>
          <w:sz w:val="18"/>
          <w:szCs w:val="18"/>
        </w:rPr>
        <w:t>Cmax</w:t>
      </w:r>
      <w:proofErr w:type="spellEnd"/>
      <w:r w:rsidRPr="008C639B">
        <w:rPr>
          <w:rFonts w:ascii="Verdana" w:hAnsi="Verdana" w:cs="Verdana"/>
          <w:color w:val="000000"/>
          <w:spacing w:val="-7"/>
          <w:kern w:val="0"/>
          <w:sz w:val="18"/>
          <w:szCs w:val="18"/>
        </w:rPr>
        <w:t xml:space="preserve">) values of </w:t>
      </w:r>
      <w:proofErr w:type="spellStart"/>
      <w:r w:rsidRPr="008C639B">
        <w:rPr>
          <w:rFonts w:ascii="Verdana" w:hAnsi="Verdana" w:cs="Verdana"/>
          <w:color w:val="000000"/>
          <w:spacing w:val="-7"/>
          <w:kern w:val="0"/>
          <w:sz w:val="18"/>
          <w:szCs w:val="18"/>
        </w:rPr>
        <w:lastRenderedPageBreak/>
        <w:t>dexlan</w:t>
      </w:r>
      <w:r w:rsidRPr="008C639B">
        <w:rPr>
          <w:rFonts w:ascii="Verdana" w:hAnsi="Verdana" w:cs="Verdana"/>
          <w:color w:val="000000"/>
          <w:spacing w:val="-7"/>
          <w:kern w:val="0"/>
          <w:sz w:val="18"/>
          <w:szCs w:val="18"/>
        </w:rPr>
        <w:softHyphen/>
        <w:t>soprazole</w:t>
      </w:r>
      <w:proofErr w:type="spellEnd"/>
      <w:r w:rsidRPr="008C639B">
        <w:rPr>
          <w:rFonts w:ascii="Verdana" w:hAnsi="Verdana" w:cs="Verdana"/>
          <w:color w:val="000000"/>
          <w:spacing w:val="-7"/>
          <w:kern w:val="0"/>
          <w:sz w:val="18"/>
          <w:szCs w:val="18"/>
        </w:rPr>
        <w:t xml:space="preserve"> are slightly higher (less than 10%) on day 5 than on day 1. We validated this finding by calculating the </w:t>
      </w:r>
      <w:proofErr w:type="spellStart"/>
      <w:r w:rsidRPr="008C639B">
        <w:rPr>
          <w:rFonts w:ascii="Verdana" w:hAnsi="Verdana" w:cs="Verdana"/>
          <w:color w:val="000000"/>
          <w:spacing w:val="-7"/>
          <w:kern w:val="0"/>
          <w:sz w:val="18"/>
          <w:szCs w:val="18"/>
        </w:rPr>
        <w:t>Cmax</w:t>
      </w:r>
      <w:proofErr w:type="spellEnd"/>
      <w:r w:rsidRPr="008C639B">
        <w:rPr>
          <w:rFonts w:ascii="Verdana" w:hAnsi="Verdana" w:cs="Verdana"/>
          <w:color w:val="000000"/>
          <w:spacing w:val="-7"/>
          <w:kern w:val="0"/>
          <w:sz w:val="18"/>
          <w:szCs w:val="18"/>
        </w:rPr>
        <w:t xml:space="preserve"> of </w:t>
      </w:r>
      <w:proofErr w:type="spellStart"/>
      <w:r w:rsidRPr="008C639B">
        <w:rPr>
          <w:rFonts w:ascii="Verdana" w:hAnsi="Verdana" w:cs="Verdana"/>
          <w:color w:val="000000"/>
          <w:spacing w:val="-7"/>
          <w:kern w:val="0"/>
          <w:sz w:val="18"/>
          <w:szCs w:val="18"/>
        </w:rPr>
        <w:t>dexlansoprazole</w:t>
      </w:r>
      <w:proofErr w:type="spellEnd"/>
      <w:r w:rsidRPr="008C639B">
        <w:rPr>
          <w:rFonts w:ascii="Verdana" w:hAnsi="Verdana" w:cs="Verdana"/>
          <w:color w:val="000000"/>
          <w:spacing w:val="-7"/>
          <w:kern w:val="0"/>
          <w:sz w:val="18"/>
          <w:szCs w:val="18"/>
        </w:rPr>
        <w:t xml:space="preserve">, which was 16 </w:t>
      </w:r>
      <w:r w:rsidRPr="008C639B">
        <w:rPr>
          <w:rFonts w:ascii="Symbol" w:hAnsi="Symbol" w:cs="Symbol"/>
          <w:color w:val="000000"/>
          <w:spacing w:val="-7"/>
          <w:kern w:val="0"/>
          <w:sz w:val="18"/>
          <w:szCs w:val="18"/>
        </w:rPr>
        <w:t></w:t>
      </w:r>
      <w:proofErr w:type="spellStart"/>
      <w:r w:rsidRPr="008C639B">
        <w:rPr>
          <w:rFonts w:ascii="Verdana" w:hAnsi="Verdana" w:cs="Verdana"/>
          <w:color w:val="000000"/>
          <w:spacing w:val="-7"/>
          <w:kern w:val="0"/>
          <w:sz w:val="18"/>
          <w:szCs w:val="18"/>
        </w:rPr>
        <w:t>mol·h</w:t>
      </w:r>
      <w:proofErr w:type="spellEnd"/>
      <w:r w:rsidRPr="008C639B">
        <w:rPr>
          <w:rFonts w:ascii="Verdana" w:hAnsi="Verdana" w:cs="Verdana"/>
          <w:color w:val="000000"/>
          <w:spacing w:val="-7"/>
          <w:kern w:val="0"/>
          <w:sz w:val="18"/>
          <w:szCs w:val="18"/>
        </w:rPr>
        <w:t xml:space="preserve">/L on day 1 and 17.67 </w:t>
      </w:r>
      <w:r w:rsidRPr="008C639B">
        <w:rPr>
          <w:rFonts w:ascii="Symbol" w:hAnsi="Symbol" w:cs="Symbol"/>
          <w:color w:val="000000"/>
          <w:spacing w:val="-7"/>
          <w:kern w:val="0"/>
          <w:sz w:val="18"/>
          <w:szCs w:val="18"/>
        </w:rPr>
        <w:t></w:t>
      </w:r>
      <w:proofErr w:type="spellStart"/>
      <w:r w:rsidRPr="008C639B">
        <w:rPr>
          <w:rFonts w:ascii="Verdana" w:hAnsi="Verdana" w:cs="Verdana"/>
          <w:color w:val="000000"/>
          <w:spacing w:val="-7"/>
          <w:kern w:val="0"/>
          <w:sz w:val="18"/>
          <w:szCs w:val="18"/>
        </w:rPr>
        <w:t>mol·h</w:t>
      </w:r>
      <w:proofErr w:type="spellEnd"/>
      <w:r w:rsidRPr="008C639B">
        <w:rPr>
          <w:rFonts w:ascii="Verdana" w:hAnsi="Verdana" w:cs="Verdana"/>
          <w:color w:val="000000"/>
          <w:spacing w:val="-7"/>
          <w:kern w:val="0"/>
          <w:sz w:val="18"/>
          <w:szCs w:val="18"/>
        </w:rPr>
        <w:t xml:space="preserve">/L on day 5. As a result, </w:t>
      </w:r>
      <w:proofErr w:type="spellStart"/>
      <w:r w:rsidRPr="008C639B">
        <w:rPr>
          <w:rFonts w:ascii="Verdana" w:hAnsi="Verdana" w:cs="Verdana"/>
          <w:color w:val="000000"/>
          <w:spacing w:val="-7"/>
          <w:kern w:val="0"/>
          <w:sz w:val="18"/>
          <w:szCs w:val="18"/>
        </w:rPr>
        <w:t>dexlansoprazole</w:t>
      </w:r>
      <w:proofErr w:type="spellEnd"/>
      <w:r w:rsidRPr="008C639B">
        <w:rPr>
          <w:rFonts w:ascii="Verdana" w:hAnsi="Verdana" w:cs="Verdana"/>
          <w:color w:val="000000"/>
          <w:spacing w:val="-7"/>
          <w:kern w:val="0"/>
          <w:sz w:val="18"/>
          <w:szCs w:val="18"/>
        </w:rPr>
        <w:t xml:space="preserve"> almost achieved the target concentration on day 1. Second, ample evidence has shown that estrogen and </w:t>
      </w:r>
      <w:proofErr w:type="spellStart"/>
      <w:r w:rsidRPr="008C639B">
        <w:rPr>
          <w:rFonts w:ascii="Verdana" w:hAnsi="Verdana" w:cs="Verdana"/>
          <w:color w:val="000000"/>
          <w:spacing w:val="-7"/>
          <w:kern w:val="0"/>
          <w:sz w:val="18"/>
          <w:szCs w:val="18"/>
        </w:rPr>
        <w:t>progestogen</w:t>
      </w:r>
      <w:proofErr w:type="spellEnd"/>
      <w:r w:rsidRPr="008C639B">
        <w:rPr>
          <w:rFonts w:ascii="Verdana" w:hAnsi="Verdana" w:cs="Verdana"/>
          <w:color w:val="000000"/>
          <w:spacing w:val="-7"/>
          <w:kern w:val="0"/>
          <w:sz w:val="18"/>
          <w:szCs w:val="18"/>
        </w:rPr>
        <w:t xml:space="preserve"> can enhance relaxation of the lower esophageal sphincters and induce GERD </w:t>
      </w:r>
      <w:proofErr w:type="gramStart"/>
      <w:r w:rsidRPr="008C639B">
        <w:rPr>
          <w:rFonts w:ascii="Verdana" w:hAnsi="Verdana" w:cs="Verdana"/>
          <w:color w:val="000000"/>
          <w:spacing w:val="-7"/>
          <w:kern w:val="0"/>
          <w:sz w:val="18"/>
          <w:szCs w:val="18"/>
        </w:rPr>
        <w:t>symptoms</w:t>
      </w:r>
      <w:r w:rsidRPr="008C639B">
        <w:rPr>
          <w:rFonts w:ascii="Verdana" w:hAnsi="Verdana" w:cs="Verdana"/>
          <w:color w:val="000000"/>
          <w:spacing w:val="-7"/>
          <w:kern w:val="0"/>
          <w:sz w:val="18"/>
          <w:szCs w:val="18"/>
          <w:vertAlign w:val="superscript"/>
        </w:rPr>
        <w:t>[</w:t>
      </w:r>
      <w:proofErr w:type="gramEnd"/>
      <w:r w:rsidRPr="008C639B">
        <w:rPr>
          <w:rFonts w:ascii="Verdana" w:hAnsi="Verdana" w:cs="Verdana"/>
          <w:color w:val="000000"/>
          <w:spacing w:val="-7"/>
          <w:kern w:val="0"/>
          <w:sz w:val="18"/>
          <w:szCs w:val="18"/>
          <w:vertAlign w:val="superscript"/>
        </w:rPr>
        <w:t>28-30]</w:t>
      </w:r>
      <w:r w:rsidRPr="008C639B">
        <w:rPr>
          <w:rFonts w:ascii="Verdana" w:hAnsi="Verdana" w:cs="Verdana"/>
          <w:color w:val="000000"/>
          <w:spacing w:val="-7"/>
          <w:kern w:val="0"/>
          <w:sz w:val="18"/>
          <w:szCs w:val="18"/>
        </w:rPr>
        <w:t>, especially in post-menopausal women taking hormone replacement therapy (HRT)</w:t>
      </w:r>
      <w:r w:rsidRPr="008C639B">
        <w:rPr>
          <w:rFonts w:ascii="Verdana" w:hAnsi="Verdana" w:cs="Verdana"/>
          <w:color w:val="000000"/>
          <w:spacing w:val="-7"/>
          <w:kern w:val="0"/>
          <w:sz w:val="18"/>
          <w:szCs w:val="18"/>
          <w:vertAlign w:val="superscript"/>
        </w:rPr>
        <w:t>[31-36]</w:t>
      </w:r>
      <w:r w:rsidRPr="008C639B">
        <w:rPr>
          <w:rFonts w:ascii="Verdana" w:hAnsi="Verdana" w:cs="Verdana"/>
          <w:color w:val="000000"/>
          <w:spacing w:val="-7"/>
          <w:kern w:val="0"/>
          <w:sz w:val="18"/>
          <w:szCs w:val="18"/>
        </w:rPr>
        <w:t>. These hypotheses might explain why female patients taking esomeprazole needed at least 3 more days to accumulate a sufficient plasma concentration to achieve plateau levels and desirable clinical effects.</w:t>
      </w:r>
    </w:p>
    <w:p w:rsidR="00737F2A" w:rsidRPr="008C639B" w:rsidRDefault="00737F2A" w:rsidP="00737F2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8C639B">
        <w:rPr>
          <w:rFonts w:ascii="Verdana" w:hAnsi="Verdana" w:cs="Verdana"/>
          <w:color w:val="000000"/>
          <w:spacing w:val="-7"/>
          <w:kern w:val="0"/>
          <w:sz w:val="18"/>
          <w:szCs w:val="18"/>
        </w:rPr>
        <w:t xml:space="preserve">Another observation in this study was the lower CSR rates in patients with the habit of eating spicy foods in the esomeprazole group at day 1 after the multivariate analysis. No reliable data are available in the existing literature regarding the role of diet or specific foods or drinks in </w:t>
      </w:r>
      <w:proofErr w:type="gramStart"/>
      <w:r w:rsidRPr="008C639B">
        <w:rPr>
          <w:rFonts w:ascii="Verdana" w:hAnsi="Verdana" w:cs="Verdana"/>
          <w:color w:val="000000"/>
          <w:spacing w:val="-7"/>
          <w:kern w:val="0"/>
          <w:sz w:val="18"/>
          <w:szCs w:val="18"/>
        </w:rPr>
        <w:t>GERD</w:t>
      </w:r>
      <w:r w:rsidRPr="008C639B">
        <w:rPr>
          <w:rFonts w:ascii="Verdana" w:hAnsi="Verdana" w:cs="Verdana"/>
          <w:color w:val="000000"/>
          <w:spacing w:val="-7"/>
          <w:kern w:val="0"/>
          <w:sz w:val="18"/>
          <w:szCs w:val="18"/>
          <w:vertAlign w:val="superscript"/>
        </w:rPr>
        <w:t>[</w:t>
      </w:r>
      <w:proofErr w:type="gramEnd"/>
      <w:r w:rsidRPr="008C639B">
        <w:rPr>
          <w:rFonts w:ascii="Verdana" w:hAnsi="Verdana" w:cs="Verdana"/>
          <w:color w:val="000000"/>
          <w:spacing w:val="-7"/>
          <w:kern w:val="0"/>
          <w:sz w:val="18"/>
          <w:szCs w:val="18"/>
          <w:vertAlign w:val="superscript"/>
        </w:rPr>
        <w:t>37]</w:t>
      </w:r>
      <w:r w:rsidRPr="008C639B">
        <w:rPr>
          <w:rFonts w:ascii="Verdana" w:hAnsi="Verdana" w:cs="Verdana"/>
          <w:color w:val="000000"/>
          <w:spacing w:val="-7"/>
          <w:kern w:val="0"/>
          <w:sz w:val="18"/>
          <w:szCs w:val="18"/>
        </w:rPr>
        <w:t xml:space="preserve">. Some foods are believed to induce or worsen GERD symptoms in daily clinical practice, and this belief has led to advising patients to avoid the suspect </w:t>
      </w:r>
      <w:proofErr w:type="gramStart"/>
      <w:r w:rsidRPr="008C639B">
        <w:rPr>
          <w:rFonts w:ascii="Verdana" w:hAnsi="Verdana" w:cs="Verdana"/>
          <w:color w:val="000000"/>
          <w:spacing w:val="-7"/>
          <w:kern w:val="0"/>
          <w:sz w:val="18"/>
          <w:szCs w:val="18"/>
        </w:rPr>
        <w:t>foods</w:t>
      </w:r>
      <w:r w:rsidRPr="008C639B">
        <w:rPr>
          <w:rFonts w:ascii="Verdana" w:hAnsi="Verdana" w:cs="Verdana"/>
          <w:color w:val="000000"/>
          <w:spacing w:val="-7"/>
          <w:kern w:val="0"/>
          <w:sz w:val="18"/>
          <w:szCs w:val="18"/>
          <w:vertAlign w:val="superscript"/>
        </w:rPr>
        <w:t>[</w:t>
      </w:r>
      <w:proofErr w:type="gramEnd"/>
      <w:r w:rsidRPr="008C639B">
        <w:rPr>
          <w:rFonts w:ascii="Verdana" w:hAnsi="Verdana" w:cs="Verdana"/>
          <w:color w:val="000000"/>
          <w:spacing w:val="-7"/>
          <w:kern w:val="0"/>
          <w:sz w:val="18"/>
          <w:szCs w:val="18"/>
          <w:vertAlign w:val="superscript"/>
        </w:rPr>
        <w:t>38]</w:t>
      </w:r>
      <w:r w:rsidRPr="008C639B">
        <w:rPr>
          <w:rFonts w:ascii="Verdana" w:hAnsi="Verdana" w:cs="Verdana"/>
          <w:color w:val="000000"/>
          <w:spacing w:val="-7"/>
          <w:kern w:val="0"/>
          <w:sz w:val="18"/>
          <w:szCs w:val="18"/>
        </w:rPr>
        <w:t xml:space="preserve">. </w:t>
      </w:r>
      <w:proofErr w:type="spellStart"/>
      <w:r w:rsidRPr="008C639B">
        <w:rPr>
          <w:rFonts w:ascii="Verdana" w:hAnsi="Verdana" w:cs="Verdana"/>
          <w:color w:val="000000"/>
          <w:spacing w:val="-7"/>
          <w:kern w:val="0"/>
          <w:sz w:val="18"/>
          <w:szCs w:val="18"/>
        </w:rPr>
        <w:t>Nebel</w:t>
      </w:r>
      <w:proofErr w:type="spellEnd"/>
      <w:r w:rsidRPr="008C639B">
        <w:rPr>
          <w:rFonts w:ascii="Verdana" w:hAnsi="Verdana" w:cs="Verdana"/>
          <w:color w:val="000000"/>
          <w:spacing w:val="-7"/>
          <w:kern w:val="0"/>
          <w:sz w:val="18"/>
          <w:szCs w:val="18"/>
        </w:rPr>
        <w:t xml:space="preserve"> </w:t>
      </w:r>
      <w:r w:rsidRPr="008C639B">
        <w:rPr>
          <w:rFonts w:ascii="Verdana" w:hAnsi="Verdana" w:cs="Verdana"/>
          <w:i/>
          <w:iCs/>
          <w:color w:val="000000"/>
          <w:spacing w:val="-7"/>
          <w:kern w:val="0"/>
          <w:sz w:val="18"/>
          <w:szCs w:val="18"/>
        </w:rPr>
        <w:t xml:space="preserve">et </w:t>
      </w:r>
      <w:proofErr w:type="gramStart"/>
      <w:r w:rsidRPr="008C639B">
        <w:rPr>
          <w:rFonts w:ascii="Verdana" w:hAnsi="Verdana" w:cs="Verdana"/>
          <w:i/>
          <w:iCs/>
          <w:color w:val="000000"/>
          <w:spacing w:val="-7"/>
          <w:kern w:val="0"/>
          <w:sz w:val="18"/>
          <w:szCs w:val="18"/>
        </w:rPr>
        <w:t>al</w:t>
      </w:r>
      <w:r w:rsidRPr="008C639B">
        <w:rPr>
          <w:rFonts w:ascii="Verdana" w:hAnsi="Verdana" w:cs="Verdana"/>
          <w:color w:val="000000"/>
          <w:spacing w:val="-7"/>
          <w:kern w:val="0"/>
          <w:sz w:val="18"/>
          <w:szCs w:val="18"/>
          <w:vertAlign w:val="superscript"/>
        </w:rPr>
        <w:t>[</w:t>
      </w:r>
      <w:proofErr w:type="gramEnd"/>
      <w:r w:rsidRPr="008C639B">
        <w:rPr>
          <w:rFonts w:ascii="Verdana" w:hAnsi="Verdana" w:cs="Verdana"/>
          <w:color w:val="000000"/>
          <w:spacing w:val="-7"/>
          <w:kern w:val="0"/>
          <w:sz w:val="18"/>
          <w:szCs w:val="18"/>
          <w:vertAlign w:val="superscript"/>
        </w:rPr>
        <w:t>39]</w:t>
      </w:r>
      <w:r w:rsidRPr="008C639B">
        <w:rPr>
          <w:rFonts w:ascii="Verdana" w:hAnsi="Verdana" w:cs="Verdana"/>
          <w:color w:val="000000"/>
          <w:spacing w:val="-7"/>
          <w:kern w:val="0"/>
          <w:sz w:val="18"/>
          <w:szCs w:val="18"/>
        </w:rPr>
        <w:t xml:space="preserve"> demonstrated that fried foods, spicy foods, and alcohol were the most common precipitating factors of heartburn, but this study had no control group and did not quantify the intake of dietary items.</w:t>
      </w:r>
      <w:r w:rsidRPr="008C639B">
        <w:rPr>
          <w:rFonts w:ascii="Verdana" w:hAnsi="Verdana" w:cs="Verdana"/>
          <w:i/>
          <w:iCs/>
          <w:caps/>
          <w:color w:val="000000"/>
          <w:spacing w:val="-7"/>
          <w:kern w:val="0"/>
          <w:sz w:val="18"/>
          <w:szCs w:val="18"/>
        </w:rPr>
        <w:t xml:space="preserve"> </w:t>
      </w:r>
      <w:r w:rsidRPr="008C639B">
        <w:rPr>
          <w:rFonts w:ascii="Verdana" w:hAnsi="Verdana" w:cs="Verdana"/>
          <w:color w:val="000000"/>
          <w:spacing w:val="-7"/>
          <w:kern w:val="0"/>
          <w:sz w:val="18"/>
          <w:szCs w:val="18"/>
        </w:rPr>
        <w:t xml:space="preserve">In contrast, our study used a dietary questionnaire to estimate the frequency of the consumption of different types of food. </w:t>
      </w:r>
    </w:p>
    <w:p w:rsidR="00737F2A" w:rsidRPr="008C639B" w:rsidRDefault="00737F2A" w:rsidP="00737F2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8C639B">
        <w:rPr>
          <w:rFonts w:ascii="Verdana" w:hAnsi="Verdana" w:cs="Verdana"/>
          <w:color w:val="000000"/>
          <w:spacing w:val="-7"/>
          <w:kern w:val="0"/>
          <w:sz w:val="18"/>
          <w:szCs w:val="18"/>
        </w:rPr>
        <w:t xml:space="preserve">In addition to the above shortcoming, this study has other limitations. First, we enrolled only patients with Los Angeles grade A or B erosive esophagitis in this study and not those with Los Angeles grade C or D erosive esophagitis or Barrett’s esophagus. As a result, the study may not represent the clinical effects of the entire GERD population. Second, this study used dietary questionnaires to estimate the frequency of consumption of different types of foods but did not quantify the fat or carbohydrate content. Nonetheless, this pilot study is the first important report to compare the clinical efficacy of a one-week dual delayed-release treatment with </w:t>
      </w:r>
      <w:proofErr w:type="spellStart"/>
      <w:r w:rsidRPr="008C639B">
        <w:rPr>
          <w:rFonts w:ascii="Verdana" w:hAnsi="Verdana" w:cs="Verdana"/>
          <w:color w:val="000000"/>
          <w:spacing w:val="-7"/>
          <w:kern w:val="0"/>
          <w:sz w:val="18"/>
          <w:szCs w:val="18"/>
        </w:rPr>
        <w:t>dexlansoprazole</w:t>
      </w:r>
      <w:proofErr w:type="spellEnd"/>
      <w:r w:rsidRPr="008C639B">
        <w:rPr>
          <w:rFonts w:ascii="Verdana" w:hAnsi="Verdana" w:cs="Verdana"/>
          <w:color w:val="000000"/>
          <w:spacing w:val="-7"/>
          <w:kern w:val="0"/>
          <w:sz w:val="18"/>
          <w:szCs w:val="18"/>
        </w:rPr>
        <w:t xml:space="preserve"> at 60 mg and esomeprazole at 40 mg for grades A and B GERD patients, since fast symptomatic relief is an important unmet need in the treatment of GERD.</w:t>
      </w:r>
    </w:p>
    <w:p w:rsidR="00737F2A" w:rsidRPr="008C639B" w:rsidRDefault="00737F2A" w:rsidP="00737F2A">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8C639B">
        <w:rPr>
          <w:rFonts w:ascii="Verdana" w:hAnsi="Verdana" w:cs="Verdana"/>
          <w:color w:val="000000"/>
          <w:spacing w:val="-7"/>
          <w:kern w:val="0"/>
          <w:sz w:val="18"/>
          <w:szCs w:val="18"/>
        </w:rPr>
        <w:t xml:space="preserve">In conclusion, the overall CSR rates for GERD were similar at days 1 through 7 for both the </w:t>
      </w:r>
      <w:proofErr w:type="spellStart"/>
      <w:r w:rsidRPr="008C639B">
        <w:rPr>
          <w:rFonts w:ascii="Verdana" w:hAnsi="Verdana" w:cs="Verdana"/>
          <w:color w:val="000000"/>
          <w:spacing w:val="-7"/>
          <w:kern w:val="0"/>
          <w:sz w:val="18"/>
          <w:szCs w:val="18"/>
        </w:rPr>
        <w:t>dexlan</w:t>
      </w:r>
      <w:r w:rsidRPr="008C639B">
        <w:rPr>
          <w:rFonts w:ascii="Verdana" w:hAnsi="Verdana" w:cs="Verdana"/>
          <w:color w:val="000000"/>
          <w:spacing w:val="-7"/>
          <w:kern w:val="0"/>
          <w:sz w:val="18"/>
          <w:szCs w:val="18"/>
        </w:rPr>
        <w:softHyphen/>
        <w:t>soprazole</w:t>
      </w:r>
      <w:proofErr w:type="spellEnd"/>
      <w:r w:rsidRPr="008C639B">
        <w:rPr>
          <w:rFonts w:ascii="Verdana" w:hAnsi="Verdana" w:cs="Verdana"/>
          <w:color w:val="000000"/>
          <w:spacing w:val="-7"/>
          <w:kern w:val="0"/>
          <w:sz w:val="18"/>
          <w:szCs w:val="18"/>
        </w:rPr>
        <w:t xml:space="preserve"> and esomeprazole groups, although a higher </w:t>
      </w:r>
      <w:r w:rsidRPr="008C639B">
        <w:rPr>
          <w:rFonts w:ascii="Verdana" w:hAnsi="Verdana" w:cs="Verdana"/>
          <w:color w:val="000000"/>
          <w:spacing w:val="-7"/>
          <w:kern w:val="0"/>
          <w:sz w:val="18"/>
          <w:szCs w:val="18"/>
          <w:lang w:val="zh-TW"/>
        </w:rPr>
        <w:t>CSR</w:t>
      </w:r>
      <w:r w:rsidRPr="008C639B">
        <w:rPr>
          <w:rFonts w:ascii="Verdana" w:hAnsi="Verdana" w:cs="Verdana"/>
          <w:color w:val="000000"/>
          <w:spacing w:val="-7"/>
          <w:kern w:val="0"/>
          <w:sz w:val="18"/>
          <w:szCs w:val="18"/>
        </w:rPr>
        <w:t xml:space="preserve"> was observed at day 3 in female patients who received a single dose of </w:t>
      </w:r>
      <w:proofErr w:type="spellStart"/>
      <w:r w:rsidRPr="008C639B">
        <w:rPr>
          <w:rFonts w:ascii="Verdana" w:hAnsi="Verdana" w:cs="Verdana"/>
          <w:color w:val="000000"/>
          <w:spacing w:val="-7"/>
          <w:kern w:val="0"/>
          <w:sz w:val="18"/>
          <w:szCs w:val="18"/>
        </w:rPr>
        <w:t>dexlansoprazole</w:t>
      </w:r>
      <w:proofErr w:type="spellEnd"/>
      <w:r w:rsidRPr="008C639B">
        <w:rPr>
          <w:rFonts w:ascii="Verdana" w:hAnsi="Verdana" w:cs="Verdana"/>
          <w:color w:val="000000"/>
          <w:spacing w:val="-7"/>
          <w:kern w:val="0"/>
          <w:sz w:val="18"/>
          <w:szCs w:val="18"/>
        </w:rPr>
        <w:t>.</w:t>
      </w:r>
      <w:r w:rsidRPr="008C639B">
        <w:rPr>
          <w:rFonts w:ascii="Verdana" w:hAnsi="Verdana" w:cs="Verdana"/>
          <w:b/>
          <w:bCs/>
          <w:color w:val="000000"/>
          <w:spacing w:val="-7"/>
          <w:kern w:val="0"/>
          <w:sz w:val="18"/>
          <w:szCs w:val="18"/>
        </w:rPr>
        <w:t xml:space="preserve"> </w:t>
      </w:r>
      <w:r w:rsidRPr="008C639B">
        <w:rPr>
          <w:rFonts w:ascii="Verdana" w:hAnsi="Verdana" w:cs="Verdana"/>
          <w:color w:val="000000"/>
          <w:spacing w:val="-7"/>
          <w:kern w:val="0"/>
          <w:sz w:val="18"/>
          <w:szCs w:val="18"/>
        </w:rPr>
        <w:t xml:space="preserve">Since rapid onset of proton-pump inhibitors for fast symptom relief is an unmet need for the treatment of GERD and no report have investigated the short-term clinical effects of </w:t>
      </w:r>
      <w:proofErr w:type="spellStart"/>
      <w:r w:rsidRPr="008C639B">
        <w:rPr>
          <w:rFonts w:ascii="Verdana" w:hAnsi="Verdana" w:cs="Verdana"/>
          <w:color w:val="000000"/>
          <w:spacing w:val="-7"/>
          <w:kern w:val="0"/>
          <w:sz w:val="18"/>
          <w:szCs w:val="18"/>
        </w:rPr>
        <w:t>dexlansoprazole</w:t>
      </w:r>
      <w:proofErr w:type="spellEnd"/>
      <w:r w:rsidRPr="008C639B">
        <w:rPr>
          <w:rFonts w:ascii="Verdana" w:hAnsi="Verdana" w:cs="Verdana"/>
          <w:color w:val="000000"/>
          <w:spacing w:val="-7"/>
          <w:kern w:val="0"/>
          <w:sz w:val="18"/>
          <w:szCs w:val="18"/>
        </w:rPr>
        <w:t xml:space="preserve"> 60 mg </w:t>
      </w:r>
      <w:proofErr w:type="spellStart"/>
      <w:r w:rsidRPr="008C639B">
        <w:rPr>
          <w:rFonts w:ascii="Verdana" w:hAnsi="Verdana" w:cs="Verdana"/>
          <w:i/>
          <w:iCs/>
          <w:color w:val="000000"/>
          <w:spacing w:val="-7"/>
          <w:kern w:val="0"/>
          <w:sz w:val="18"/>
          <w:szCs w:val="18"/>
        </w:rPr>
        <w:t>vs</w:t>
      </w:r>
      <w:proofErr w:type="spellEnd"/>
      <w:r w:rsidRPr="008C639B">
        <w:rPr>
          <w:rFonts w:ascii="Verdana" w:hAnsi="Verdana" w:cs="Verdana"/>
          <w:i/>
          <w:iCs/>
          <w:color w:val="000000"/>
          <w:spacing w:val="-7"/>
          <w:kern w:val="0"/>
          <w:sz w:val="18"/>
          <w:szCs w:val="18"/>
        </w:rPr>
        <w:t xml:space="preserve"> </w:t>
      </w:r>
      <w:r w:rsidRPr="008C639B">
        <w:rPr>
          <w:rFonts w:ascii="Verdana" w:hAnsi="Verdana" w:cs="Verdana"/>
          <w:color w:val="000000"/>
          <w:spacing w:val="-7"/>
          <w:kern w:val="0"/>
          <w:sz w:val="18"/>
          <w:szCs w:val="18"/>
        </w:rPr>
        <w:t>esomeprazole 40 mg, this finding of this pilot study is novel. Furthermore, these findings may have important implications for clinical practice when treating patients with grades A and B GERD. This issue was hampered by the small sample size. Thus, we believe that large-scale comparative studies are necessary.</w:t>
      </w:r>
    </w:p>
    <w:p w:rsidR="00737F2A" w:rsidRPr="008C639B" w:rsidRDefault="00737F2A" w:rsidP="00737F2A">
      <w:pPr>
        <w:suppressAutoHyphens/>
        <w:autoSpaceDE w:val="0"/>
        <w:autoSpaceDN w:val="0"/>
        <w:adjustRightInd w:val="0"/>
        <w:spacing w:line="360" w:lineRule="atLeast"/>
        <w:jc w:val="left"/>
        <w:textAlignment w:val="center"/>
        <w:rPr>
          <w:rFonts w:ascii="Univers" w:hAnsi="Univers" w:cs="Univers"/>
          <w:b/>
          <w:bCs/>
          <w:color w:val="000000"/>
          <w:spacing w:val="-2"/>
          <w:kern w:val="0"/>
          <w:sz w:val="24"/>
        </w:rPr>
      </w:pPr>
    </w:p>
    <w:p w:rsidR="00737F2A" w:rsidRPr="008C639B" w:rsidRDefault="00737F2A" w:rsidP="00737F2A">
      <w:pPr>
        <w:suppressAutoHyphens/>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8C639B">
        <w:rPr>
          <w:rFonts w:ascii="Univers" w:hAnsi="Univers" w:cs="Univers"/>
          <w:b/>
          <w:bCs/>
          <w:color w:val="000000"/>
          <w:spacing w:val="-2"/>
          <w:kern w:val="0"/>
          <w:sz w:val="24"/>
          <w:u w:val="single"/>
        </w:rPr>
        <w:t>ARTICLE HIGHLIGHTS</w:t>
      </w:r>
    </w:p>
    <w:p w:rsidR="00737F2A" w:rsidRPr="008C639B" w:rsidRDefault="00737F2A" w:rsidP="00737F2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8C639B">
        <w:rPr>
          <w:rFonts w:ascii="Arial Narrow" w:hAnsi="Arial Narrow" w:cs="Arial Narrow"/>
          <w:b/>
          <w:bCs/>
          <w:i/>
          <w:iCs/>
          <w:color w:val="000000"/>
          <w:kern w:val="0"/>
          <w:szCs w:val="21"/>
        </w:rPr>
        <w:t>Research background</w:t>
      </w:r>
    </w:p>
    <w:p w:rsidR="00737F2A" w:rsidRPr="008C639B" w:rsidRDefault="00737F2A" w:rsidP="00737F2A">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proofErr w:type="spellStart"/>
      <w:r w:rsidRPr="008C639B">
        <w:rPr>
          <w:rFonts w:ascii="Arial Narrow" w:hAnsi="Arial Narrow" w:cs="Arial Narrow"/>
          <w:caps/>
          <w:color w:val="000000"/>
          <w:kern w:val="0"/>
          <w:sz w:val="16"/>
          <w:szCs w:val="16"/>
        </w:rPr>
        <w:lastRenderedPageBreak/>
        <w:t>g</w:t>
      </w:r>
      <w:r w:rsidRPr="008C639B">
        <w:rPr>
          <w:rFonts w:ascii="Arial Narrow" w:hAnsi="Arial Narrow" w:cs="Arial Narrow"/>
          <w:color w:val="000000"/>
          <w:kern w:val="0"/>
          <w:sz w:val="16"/>
          <w:szCs w:val="16"/>
        </w:rPr>
        <w:t>astroesophageal</w:t>
      </w:r>
      <w:proofErr w:type="spellEnd"/>
      <w:r w:rsidRPr="008C639B">
        <w:rPr>
          <w:rFonts w:ascii="Arial Narrow" w:hAnsi="Arial Narrow" w:cs="Arial Narrow"/>
          <w:color w:val="000000"/>
          <w:kern w:val="0"/>
          <w:sz w:val="16"/>
          <w:szCs w:val="16"/>
        </w:rPr>
        <w:t xml:space="preserve"> reflux disease (GERD) is a common gastrointestinal disorder worldwide and continues to increase in incidence due to the aging population and obesity epidemic. Although proton pump inhibitors (PPIs) represent the mainstay of treatment for healing erosive esophagitis, symptom relief, and preventing complications, several studies have shown that up to 40% of GERD patients report either a partial or a complete lack of response of their symptoms after taking a standard once daily PPI dose. Rapid onset proton-pump inhibitors for fast symptom </w:t>
      </w:r>
      <w:proofErr w:type="spellStart"/>
      <w:r w:rsidRPr="008C639B">
        <w:rPr>
          <w:rFonts w:ascii="Arial Narrow" w:hAnsi="Arial Narrow" w:cs="Arial Narrow"/>
          <w:color w:val="000000"/>
          <w:kern w:val="0"/>
          <w:sz w:val="16"/>
          <w:szCs w:val="16"/>
        </w:rPr>
        <w:t>rel</w:t>
      </w:r>
      <w:proofErr w:type="spellEnd"/>
      <w:r w:rsidRPr="008C639B">
        <w:rPr>
          <w:rFonts w:ascii="Arial Narrow" w:hAnsi="Arial Narrow" w:cs="Arial Narrow"/>
          <w:color w:val="000000"/>
          <w:kern w:val="0"/>
          <w:sz w:val="16"/>
          <w:szCs w:val="16"/>
          <w:lang w:val="zh-TW"/>
        </w:rPr>
        <w:t>ief</w:t>
      </w:r>
      <w:r w:rsidRPr="008C639B">
        <w:rPr>
          <w:rFonts w:ascii="Arial Narrow" w:hAnsi="Arial Narrow" w:cs="Arial Narrow"/>
          <w:color w:val="000000"/>
          <w:kern w:val="0"/>
          <w:sz w:val="16"/>
          <w:szCs w:val="16"/>
        </w:rPr>
        <w:t xml:space="preserve"> is an unmet need for GERD treatment.</w:t>
      </w:r>
      <w:r w:rsidRPr="008C639B">
        <w:rPr>
          <w:rFonts w:ascii="Arial Narrow" w:hAnsi="Arial Narrow" w:cs="Arial Narrow"/>
          <w:b/>
          <w:bCs/>
          <w:color w:val="000000"/>
          <w:kern w:val="0"/>
          <w:sz w:val="16"/>
          <w:szCs w:val="16"/>
        </w:rPr>
        <w:t xml:space="preserve"> </w:t>
      </w:r>
      <w:r w:rsidRPr="008C639B">
        <w:rPr>
          <w:rFonts w:ascii="Arial Narrow" w:hAnsi="Arial Narrow" w:cs="Arial Narrow"/>
          <w:color w:val="000000"/>
          <w:kern w:val="0"/>
          <w:sz w:val="16"/>
          <w:szCs w:val="16"/>
        </w:rPr>
        <w:t xml:space="preserve">To date, no reports have investigated the short-term clinical effects and timing to symptom relief of </w:t>
      </w:r>
      <w:proofErr w:type="spellStart"/>
      <w:r w:rsidRPr="008C639B">
        <w:rPr>
          <w:rFonts w:ascii="Arial Narrow" w:hAnsi="Arial Narrow" w:cs="Arial Narrow"/>
          <w:color w:val="000000"/>
          <w:kern w:val="0"/>
          <w:sz w:val="16"/>
          <w:szCs w:val="16"/>
        </w:rPr>
        <w:t>gastroesophageal</w:t>
      </w:r>
      <w:proofErr w:type="spellEnd"/>
      <w:r w:rsidRPr="008C639B">
        <w:rPr>
          <w:rFonts w:ascii="Arial Narrow" w:hAnsi="Arial Narrow" w:cs="Arial Narrow"/>
          <w:color w:val="000000"/>
          <w:kern w:val="0"/>
          <w:sz w:val="16"/>
          <w:szCs w:val="16"/>
        </w:rPr>
        <w:t xml:space="preserve"> reflux disease (GERD) between </w:t>
      </w:r>
      <w:proofErr w:type="spellStart"/>
      <w:r w:rsidRPr="008C639B">
        <w:rPr>
          <w:rFonts w:ascii="Arial Narrow" w:hAnsi="Arial Narrow" w:cs="Arial Narrow"/>
          <w:color w:val="000000"/>
          <w:kern w:val="0"/>
          <w:sz w:val="16"/>
          <w:szCs w:val="16"/>
        </w:rPr>
        <w:t>dexlansoprazole</w:t>
      </w:r>
      <w:proofErr w:type="spellEnd"/>
      <w:r w:rsidRPr="008C639B">
        <w:rPr>
          <w:rFonts w:ascii="Arial Narrow" w:hAnsi="Arial Narrow" w:cs="Arial Narrow"/>
          <w:color w:val="000000"/>
          <w:kern w:val="0"/>
          <w:sz w:val="16"/>
          <w:szCs w:val="16"/>
        </w:rPr>
        <w:t xml:space="preserve"> (60 mg) and esomeprazole (40 mg). This report is the first randomized, controlled, open-label study to compare the 7-d clinical effects of single doses of </w:t>
      </w:r>
      <w:proofErr w:type="spellStart"/>
      <w:r w:rsidRPr="008C639B">
        <w:rPr>
          <w:rFonts w:ascii="Arial Narrow" w:hAnsi="Arial Narrow" w:cs="Arial Narrow"/>
          <w:color w:val="000000"/>
          <w:kern w:val="0"/>
          <w:sz w:val="16"/>
          <w:szCs w:val="16"/>
        </w:rPr>
        <w:t>dexlansoprazole</w:t>
      </w:r>
      <w:proofErr w:type="spellEnd"/>
      <w:r w:rsidRPr="008C639B">
        <w:rPr>
          <w:rFonts w:ascii="Arial Narrow" w:hAnsi="Arial Narrow" w:cs="Arial Narrow"/>
          <w:color w:val="000000"/>
          <w:kern w:val="0"/>
          <w:sz w:val="16"/>
          <w:szCs w:val="16"/>
        </w:rPr>
        <w:t xml:space="preserve"> at 60 mg and esomeprazole at 40 mg for LA grades A and B erosive esophagitis.</w:t>
      </w:r>
    </w:p>
    <w:p w:rsidR="00737F2A" w:rsidRPr="008C639B" w:rsidRDefault="00737F2A" w:rsidP="00737F2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737F2A" w:rsidRPr="008C639B" w:rsidRDefault="00737F2A" w:rsidP="00737F2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8C639B">
        <w:rPr>
          <w:rFonts w:ascii="Arial Narrow" w:hAnsi="Arial Narrow" w:cs="Arial Narrow"/>
          <w:b/>
          <w:bCs/>
          <w:i/>
          <w:iCs/>
          <w:color w:val="000000"/>
          <w:kern w:val="0"/>
          <w:szCs w:val="21"/>
        </w:rPr>
        <w:t>Research motivation</w:t>
      </w:r>
    </w:p>
    <w:p w:rsidR="00737F2A" w:rsidRPr="008C639B" w:rsidRDefault="00737F2A" w:rsidP="00737F2A">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8C639B">
        <w:rPr>
          <w:rFonts w:ascii="Arial Narrow" w:hAnsi="Arial Narrow" w:cs="Arial Narrow"/>
          <w:color w:val="000000"/>
          <w:kern w:val="0"/>
          <w:sz w:val="16"/>
          <w:szCs w:val="16"/>
        </w:rPr>
        <w:t xml:space="preserve">A study comparing the pharmacokinetic effects of different PPIs 12-24 h post-dose showed that the mean percentage of time with a pH &gt; 4 and the average of the pH mean were greater for </w:t>
      </w:r>
      <w:proofErr w:type="spellStart"/>
      <w:r w:rsidRPr="008C639B">
        <w:rPr>
          <w:rFonts w:ascii="Arial Narrow" w:hAnsi="Arial Narrow" w:cs="Arial Narrow"/>
          <w:color w:val="000000"/>
          <w:kern w:val="0"/>
          <w:sz w:val="16"/>
          <w:szCs w:val="16"/>
        </w:rPr>
        <w:t>dexlansoprazole</w:t>
      </w:r>
      <w:proofErr w:type="spellEnd"/>
      <w:r w:rsidRPr="008C639B">
        <w:rPr>
          <w:rFonts w:ascii="Arial Narrow" w:hAnsi="Arial Narrow" w:cs="Arial Narrow"/>
          <w:color w:val="000000"/>
          <w:kern w:val="0"/>
          <w:sz w:val="16"/>
          <w:szCs w:val="16"/>
        </w:rPr>
        <w:t xml:space="preserve"> than for esomeprazole (60% </w:t>
      </w:r>
      <w:proofErr w:type="spellStart"/>
      <w:r w:rsidRPr="008C639B">
        <w:rPr>
          <w:rFonts w:ascii="Arial Narrow" w:hAnsi="Arial Narrow" w:cs="Arial Narrow"/>
          <w:i/>
          <w:iCs/>
          <w:color w:val="000000"/>
          <w:kern w:val="0"/>
          <w:sz w:val="16"/>
          <w:szCs w:val="16"/>
        </w:rPr>
        <w:t>vs</w:t>
      </w:r>
      <w:proofErr w:type="spellEnd"/>
      <w:r w:rsidRPr="008C639B">
        <w:rPr>
          <w:rFonts w:ascii="Arial Narrow" w:hAnsi="Arial Narrow" w:cs="Arial Narrow"/>
          <w:color w:val="000000"/>
          <w:kern w:val="0"/>
          <w:sz w:val="16"/>
          <w:szCs w:val="16"/>
        </w:rPr>
        <w:t xml:space="preserve"> 42%, </w:t>
      </w:r>
      <w:r w:rsidRPr="008C639B">
        <w:rPr>
          <w:rFonts w:ascii="Arial Narrow" w:hAnsi="Arial Narrow" w:cs="Arial Narrow"/>
          <w:i/>
          <w:iCs/>
          <w:caps/>
          <w:color w:val="000000"/>
          <w:kern w:val="0"/>
          <w:sz w:val="16"/>
          <w:szCs w:val="16"/>
        </w:rPr>
        <w:t xml:space="preserve">p </w:t>
      </w:r>
      <w:r w:rsidRPr="009F654E">
        <w:rPr>
          <w:rFonts w:ascii="Arial Narrow" w:hAnsi="Arial Narrow" w:cs="Arial Narrow"/>
          <w:iCs/>
          <w:color w:val="000000"/>
          <w:kern w:val="0"/>
          <w:sz w:val="16"/>
          <w:szCs w:val="16"/>
        </w:rPr>
        <w:t>&lt;</w:t>
      </w:r>
      <w:r w:rsidRPr="009F654E">
        <w:rPr>
          <w:rFonts w:ascii="Arial Narrow" w:hAnsi="Arial Narrow" w:cs="Arial Narrow"/>
          <w:color w:val="000000"/>
          <w:kern w:val="0"/>
          <w:sz w:val="16"/>
          <w:szCs w:val="16"/>
        </w:rPr>
        <w:t xml:space="preserve"> </w:t>
      </w:r>
      <w:r w:rsidRPr="008C639B">
        <w:rPr>
          <w:rFonts w:ascii="Arial Narrow" w:hAnsi="Arial Narrow" w:cs="Arial Narrow"/>
          <w:color w:val="000000"/>
          <w:kern w:val="0"/>
          <w:sz w:val="16"/>
          <w:szCs w:val="16"/>
        </w:rPr>
        <w:t xml:space="preserve">0.001 and pH 4.5 </w:t>
      </w:r>
      <w:proofErr w:type="spellStart"/>
      <w:r w:rsidRPr="008C639B">
        <w:rPr>
          <w:rFonts w:ascii="Arial Narrow" w:hAnsi="Arial Narrow" w:cs="Arial Narrow"/>
          <w:i/>
          <w:iCs/>
          <w:color w:val="000000"/>
          <w:kern w:val="0"/>
          <w:sz w:val="16"/>
          <w:szCs w:val="16"/>
        </w:rPr>
        <w:t>vs</w:t>
      </w:r>
      <w:proofErr w:type="spellEnd"/>
      <w:r w:rsidRPr="008C639B">
        <w:rPr>
          <w:rFonts w:ascii="Arial Narrow" w:hAnsi="Arial Narrow" w:cs="Arial Narrow"/>
          <w:color w:val="000000"/>
          <w:kern w:val="0"/>
          <w:sz w:val="16"/>
          <w:szCs w:val="16"/>
        </w:rPr>
        <w:t xml:space="preserve"> 3.5, </w:t>
      </w:r>
      <w:r w:rsidRPr="008C639B">
        <w:rPr>
          <w:rFonts w:ascii="Arial Narrow" w:hAnsi="Arial Narrow" w:cs="Arial Narrow"/>
          <w:i/>
          <w:iCs/>
          <w:caps/>
          <w:color w:val="000000"/>
          <w:kern w:val="0"/>
          <w:sz w:val="16"/>
          <w:szCs w:val="16"/>
        </w:rPr>
        <w:t xml:space="preserve">p </w:t>
      </w:r>
      <w:r w:rsidRPr="009F654E">
        <w:rPr>
          <w:rFonts w:ascii="Arial Narrow" w:hAnsi="Arial Narrow" w:cs="Arial Narrow"/>
          <w:iCs/>
          <w:color w:val="000000"/>
          <w:kern w:val="0"/>
          <w:sz w:val="16"/>
          <w:szCs w:val="16"/>
        </w:rPr>
        <w:t>&lt;</w:t>
      </w:r>
      <w:r w:rsidRPr="008C639B">
        <w:rPr>
          <w:rFonts w:ascii="Arial Narrow" w:hAnsi="Arial Narrow" w:cs="Arial Narrow"/>
          <w:color w:val="000000"/>
          <w:kern w:val="0"/>
          <w:sz w:val="16"/>
          <w:szCs w:val="16"/>
        </w:rPr>
        <w:t xml:space="preserve"> 0.001). However, this study did not report the clinical effects after the use of tablets. Therefore, the significance of solving these problems for future research in this field should be based on large-scale, head-to-head comparisons of these PPIs on immediate symptom relief for GERD to fulfill the unmet need in real-world treatment.</w:t>
      </w:r>
    </w:p>
    <w:p w:rsidR="00737F2A" w:rsidRPr="008C639B" w:rsidRDefault="00737F2A" w:rsidP="00737F2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737F2A" w:rsidRPr="008C639B" w:rsidRDefault="00737F2A" w:rsidP="00737F2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8C639B">
        <w:rPr>
          <w:rFonts w:ascii="Arial Narrow" w:hAnsi="Arial Narrow" w:cs="Arial Narrow"/>
          <w:b/>
          <w:bCs/>
          <w:i/>
          <w:iCs/>
          <w:color w:val="000000"/>
          <w:kern w:val="0"/>
          <w:szCs w:val="21"/>
        </w:rPr>
        <w:t xml:space="preserve">Research objectives </w:t>
      </w:r>
    </w:p>
    <w:p w:rsidR="00737F2A" w:rsidRPr="008C639B" w:rsidRDefault="00737F2A" w:rsidP="00737F2A">
      <w:pPr>
        <w:suppressAutoHyphens/>
        <w:autoSpaceDE w:val="0"/>
        <w:autoSpaceDN w:val="0"/>
        <w:adjustRightInd w:val="0"/>
        <w:spacing w:line="200" w:lineRule="atLeast"/>
        <w:textAlignment w:val="center"/>
        <w:rPr>
          <w:rFonts w:ascii="Arial Narrow" w:hAnsi="Arial Narrow" w:cs="Arial Narrow"/>
          <w:b/>
          <w:bCs/>
          <w:color w:val="000000"/>
          <w:kern w:val="0"/>
          <w:sz w:val="16"/>
          <w:szCs w:val="16"/>
        </w:rPr>
      </w:pPr>
      <w:r w:rsidRPr="008C639B">
        <w:rPr>
          <w:rFonts w:ascii="Arial Narrow" w:hAnsi="Arial Narrow" w:cs="Arial Narrow"/>
          <w:color w:val="000000"/>
          <w:kern w:val="0"/>
          <w:sz w:val="16"/>
          <w:szCs w:val="16"/>
        </w:rPr>
        <w:t xml:space="preserve">The main objectives realized in this study motivated us to conduct this randomized, controlled, open-label study that compared the 7-d clinical effects of single doses of </w:t>
      </w:r>
      <w:proofErr w:type="spellStart"/>
      <w:r w:rsidRPr="008C639B">
        <w:rPr>
          <w:rFonts w:ascii="Arial Narrow" w:hAnsi="Arial Narrow" w:cs="Arial Narrow"/>
          <w:color w:val="000000"/>
          <w:kern w:val="0"/>
          <w:sz w:val="16"/>
          <w:szCs w:val="16"/>
        </w:rPr>
        <w:t>dexlansoprazole</w:t>
      </w:r>
      <w:proofErr w:type="spellEnd"/>
      <w:r w:rsidRPr="008C639B">
        <w:rPr>
          <w:rFonts w:ascii="Arial Narrow" w:hAnsi="Arial Narrow" w:cs="Arial Narrow"/>
          <w:color w:val="000000"/>
          <w:kern w:val="0"/>
          <w:sz w:val="16"/>
          <w:szCs w:val="16"/>
        </w:rPr>
        <w:t xml:space="preserve"> at 60 mg and esomeprazole at 40 mg for LA grades A and B erosive esophagitis.</w:t>
      </w:r>
    </w:p>
    <w:p w:rsidR="00737F2A" w:rsidRPr="008C639B" w:rsidRDefault="00737F2A" w:rsidP="00737F2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737F2A" w:rsidRPr="008C639B" w:rsidRDefault="00737F2A" w:rsidP="00737F2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8C639B">
        <w:rPr>
          <w:rFonts w:ascii="Arial Narrow" w:hAnsi="Arial Narrow" w:cs="Arial Narrow"/>
          <w:b/>
          <w:bCs/>
          <w:i/>
          <w:iCs/>
          <w:color w:val="000000"/>
          <w:kern w:val="0"/>
          <w:szCs w:val="21"/>
        </w:rPr>
        <w:t>Research methods</w:t>
      </w:r>
    </w:p>
    <w:p w:rsidR="00737F2A" w:rsidRPr="008C639B" w:rsidRDefault="00737F2A" w:rsidP="00737F2A">
      <w:pPr>
        <w:suppressAutoHyphens/>
        <w:autoSpaceDE w:val="0"/>
        <w:autoSpaceDN w:val="0"/>
        <w:adjustRightInd w:val="0"/>
        <w:spacing w:line="200" w:lineRule="atLeast"/>
        <w:textAlignment w:val="center"/>
        <w:rPr>
          <w:rFonts w:ascii="Arial Narrow" w:hAnsi="Arial Narrow" w:cs="Arial Narrow"/>
          <w:b/>
          <w:bCs/>
          <w:color w:val="000000"/>
          <w:kern w:val="0"/>
          <w:sz w:val="16"/>
          <w:szCs w:val="16"/>
        </w:rPr>
      </w:pPr>
      <w:r w:rsidRPr="008C639B">
        <w:rPr>
          <w:rFonts w:ascii="Arial Narrow" w:hAnsi="Arial Narrow" w:cs="Arial Narrow"/>
          <w:color w:val="000000"/>
          <w:kern w:val="0"/>
          <w:sz w:val="16"/>
          <w:szCs w:val="16"/>
        </w:rPr>
        <w:t>This study was funded by the Research Foundation of the Chang Gung Memorial Hospital, Taiwan (CMRPG8D1441), and has been registered in a publicly accessible registry (ClinicalTrials.gov number: NCT03128736).</w:t>
      </w:r>
      <w:r w:rsidRPr="008C639B">
        <w:rPr>
          <w:rFonts w:ascii="Arial Narrow" w:hAnsi="Arial Narrow" w:cs="Arial Narrow"/>
          <w:i/>
          <w:iCs/>
          <w:caps/>
          <w:color w:val="000000"/>
          <w:kern w:val="0"/>
          <w:sz w:val="16"/>
          <w:szCs w:val="16"/>
        </w:rPr>
        <w:t xml:space="preserve"> </w:t>
      </w:r>
      <w:r w:rsidRPr="008C639B">
        <w:rPr>
          <w:rFonts w:ascii="Arial Narrow" w:hAnsi="Arial Narrow" w:cs="Arial Narrow"/>
          <w:color w:val="000000"/>
          <w:kern w:val="0"/>
          <w:sz w:val="16"/>
          <w:szCs w:val="16"/>
        </w:rPr>
        <w:t xml:space="preserve">We enrolled 175 adult GERD subjects and randomized them in a 1:1 ratio into two sequence groups that defined the order in which they received single doses of </w:t>
      </w:r>
      <w:proofErr w:type="spellStart"/>
      <w:r w:rsidRPr="008C639B">
        <w:rPr>
          <w:rFonts w:ascii="Arial Narrow" w:hAnsi="Arial Narrow" w:cs="Arial Narrow"/>
          <w:color w:val="000000"/>
          <w:kern w:val="0"/>
          <w:sz w:val="16"/>
          <w:szCs w:val="16"/>
        </w:rPr>
        <w:t>dexlansoprazole</w:t>
      </w:r>
      <w:proofErr w:type="spellEnd"/>
      <w:r w:rsidRPr="008C639B">
        <w:rPr>
          <w:rFonts w:ascii="Arial Narrow" w:hAnsi="Arial Narrow" w:cs="Arial Narrow"/>
          <w:color w:val="000000"/>
          <w:kern w:val="0"/>
          <w:sz w:val="16"/>
          <w:szCs w:val="16"/>
        </w:rPr>
        <w:t xml:space="preserve"> (</w:t>
      </w:r>
      <w:r w:rsidRPr="008C639B">
        <w:rPr>
          <w:rFonts w:ascii="Arial Narrow" w:hAnsi="Arial Narrow" w:cs="Arial Narrow"/>
          <w:i/>
          <w:iCs/>
          <w:color w:val="000000"/>
          <w:kern w:val="0"/>
          <w:sz w:val="16"/>
          <w:szCs w:val="16"/>
        </w:rPr>
        <w:t xml:space="preserve">n = </w:t>
      </w:r>
      <w:r w:rsidRPr="008C639B">
        <w:rPr>
          <w:rFonts w:ascii="Arial Narrow" w:hAnsi="Arial Narrow" w:cs="Arial Narrow"/>
          <w:color w:val="000000"/>
          <w:kern w:val="0"/>
          <w:sz w:val="16"/>
          <w:szCs w:val="16"/>
        </w:rPr>
        <w:t>88) and esomeprazole (</w:t>
      </w:r>
      <w:r w:rsidRPr="008C639B">
        <w:rPr>
          <w:rFonts w:ascii="Arial Narrow" w:hAnsi="Arial Narrow" w:cs="Arial Narrow"/>
          <w:i/>
          <w:iCs/>
          <w:color w:val="000000"/>
          <w:kern w:val="0"/>
          <w:sz w:val="16"/>
          <w:szCs w:val="16"/>
        </w:rPr>
        <w:t xml:space="preserve">n = </w:t>
      </w:r>
      <w:r w:rsidRPr="008C639B">
        <w:rPr>
          <w:rFonts w:ascii="Arial Narrow" w:hAnsi="Arial Narrow" w:cs="Arial Narrow"/>
          <w:color w:val="000000"/>
          <w:kern w:val="0"/>
          <w:sz w:val="16"/>
          <w:szCs w:val="16"/>
        </w:rPr>
        <w:t>87) for an ITT. Written informed consent was obtained from each patient. The patients were asked to complete the Chinese GERDQ upon recruitment. Blood samples were collected to measure the fasting blood sugar, serum cholesterol, and triglyceride levels. In addition, the BMI was calculated.</w:t>
      </w:r>
      <w:r w:rsidRPr="008C639B">
        <w:rPr>
          <w:rFonts w:ascii="Arial Narrow" w:hAnsi="Arial Narrow" w:cs="Arial Narrow"/>
          <w:i/>
          <w:iCs/>
          <w:caps/>
          <w:color w:val="000000"/>
          <w:kern w:val="0"/>
          <w:sz w:val="16"/>
          <w:szCs w:val="16"/>
        </w:rPr>
        <w:t xml:space="preserve"> </w:t>
      </w:r>
      <w:r w:rsidRPr="008C639B">
        <w:rPr>
          <w:rFonts w:ascii="Arial Narrow" w:hAnsi="Arial Narrow" w:cs="Arial Narrow"/>
          <w:color w:val="000000"/>
          <w:kern w:val="0"/>
          <w:sz w:val="16"/>
          <w:szCs w:val="16"/>
        </w:rPr>
        <w:t>A complete medical history and demographic data were obtained from</w:t>
      </w:r>
      <w:r w:rsidRPr="008C639B">
        <w:rPr>
          <w:rFonts w:ascii="Arial Narrow" w:hAnsi="Arial Narrow" w:cs="Arial Narrow"/>
          <w:b/>
          <w:bCs/>
          <w:color w:val="000000"/>
          <w:kern w:val="0"/>
          <w:sz w:val="16"/>
          <w:szCs w:val="16"/>
        </w:rPr>
        <w:t xml:space="preserve"> </w:t>
      </w:r>
      <w:r w:rsidRPr="008C639B">
        <w:rPr>
          <w:rFonts w:ascii="Arial Narrow" w:hAnsi="Arial Narrow" w:cs="Arial Narrow"/>
          <w:color w:val="000000"/>
          <w:kern w:val="0"/>
          <w:sz w:val="16"/>
          <w:szCs w:val="16"/>
        </w:rPr>
        <w:t>each patient. The primary end points were the complete symptom resolution (CSR) rates at</w:t>
      </w:r>
      <w:r w:rsidRPr="008C639B">
        <w:rPr>
          <w:rFonts w:ascii="Arial Narrow" w:hAnsi="Arial Narrow" w:cs="Arial Narrow"/>
          <w:b/>
          <w:bCs/>
          <w:color w:val="000000"/>
          <w:kern w:val="0"/>
          <w:sz w:val="16"/>
          <w:szCs w:val="16"/>
        </w:rPr>
        <w:t xml:space="preserve"> </w:t>
      </w:r>
      <w:r w:rsidRPr="008C639B">
        <w:rPr>
          <w:rFonts w:ascii="Arial Narrow" w:hAnsi="Arial Narrow" w:cs="Arial Narrow"/>
          <w:color w:val="000000"/>
          <w:kern w:val="0"/>
          <w:sz w:val="16"/>
          <w:szCs w:val="16"/>
        </w:rPr>
        <w:t>days 1, 3, and 7.</w:t>
      </w:r>
      <w:r w:rsidRPr="008C639B">
        <w:rPr>
          <w:rFonts w:ascii="Arial Narrow" w:hAnsi="Arial Narrow" w:cs="Arial Narrow"/>
          <w:i/>
          <w:iCs/>
          <w:caps/>
          <w:color w:val="000000"/>
          <w:kern w:val="0"/>
          <w:sz w:val="16"/>
          <w:szCs w:val="16"/>
        </w:rPr>
        <w:t xml:space="preserve"> </w:t>
      </w:r>
      <w:r w:rsidRPr="008C639B">
        <w:rPr>
          <w:rFonts w:ascii="Arial Narrow" w:hAnsi="Arial Narrow" w:cs="Arial Narrow"/>
          <w:color w:val="000000"/>
          <w:kern w:val="0"/>
          <w:sz w:val="16"/>
          <w:szCs w:val="16"/>
        </w:rPr>
        <w:t xml:space="preserve">CSR was defined as no reflux symptoms sufficient to impair the quality of life before the end of the initial treatment phase. The main outcome measures were the CSR rates at days 1, 3 and 7 of the initial treatment period. All patients starting esomeprazole or </w:t>
      </w:r>
      <w:proofErr w:type="spellStart"/>
      <w:r w:rsidRPr="008C639B">
        <w:rPr>
          <w:rFonts w:ascii="Arial Narrow" w:hAnsi="Arial Narrow" w:cs="Arial Narrow"/>
          <w:color w:val="000000"/>
          <w:kern w:val="0"/>
          <w:sz w:val="16"/>
          <w:szCs w:val="16"/>
        </w:rPr>
        <w:t>dexlansoprazole</w:t>
      </w:r>
      <w:proofErr w:type="spellEnd"/>
      <w:r w:rsidRPr="008C639B">
        <w:rPr>
          <w:rFonts w:ascii="Arial Narrow" w:hAnsi="Arial Narrow" w:cs="Arial Narrow"/>
          <w:color w:val="000000"/>
          <w:kern w:val="0"/>
          <w:sz w:val="16"/>
          <w:szCs w:val="16"/>
        </w:rPr>
        <w:t xml:space="preserve"> as their initial treatment were included in the ITT analysis. Patients with poor drug compliance were excluded from the PP analysis. </w:t>
      </w:r>
    </w:p>
    <w:p w:rsidR="00737F2A" w:rsidRPr="008C639B" w:rsidRDefault="00737F2A" w:rsidP="00737F2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737F2A" w:rsidRPr="008C639B" w:rsidRDefault="00737F2A" w:rsidP="00737F2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8C639B">
        <w:rPr>
          <w:rFonts w:ascii="Arial Narrow" w:hAnsi="Arial Narrow" w:cs="Arial Narrow"/>
          <w:b/>
          <w:bCs/>
          <w:i/>
          <w:iCs/>
          <w:color w:val="000000"/>
          <w:kern w:val="0"/>
          <w:szCs w:val="21"/>
        </w:rPr>
        <w:t>Research results</w:t>
      </w:r>
    </w:p>
    <w:p w:rsidR="00737F2A" w:rsidRPr="008C639B" w:rsidRDefault="00737F2A" w:rsidP="00737F2A">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8C639B">
        <w:rPr>
          <w:rFonts w:ascii="Arial Narrow" w:hAnsi="Arial Narrow" w:cs="Arial Narrow"/>
          <w:color w:val="000000"/>
          <w:kern w:val="0"/>
          <w:sz w:val="16"/>
          <w:szCs w:val="16"/>
        </w:rPr>
        <w:t xml:space="preserve">Thirteen patients were lost during the follow up period, resulting in the inclusion of 81 patients in each group in the PP analysis. The CSRs for both groups were similar at days 1, 3 and 7. In the subgroup analysis, female patients achieved higher CSRs in the </w:t>
      </w:r>
      <w:proofErr w:type="spellStart"/>
      <w:r w:rsidRPr="008C639B">
        <w:rPr>
          <w:rFonts w:ascii="Arial Narrow" w:hAnsi="Arial Narrow" w:cs="Arial Narrow"/>
          <w:color w:val="000000"/>
          <w:kern w:val="0"/>
          <w:sz w:val="16"/>
          <w:szCs w:val="16"/>
        </w:rPr>
        <w:t>dexlansoprazole</w:t>
      </w:r>
      <w:proofErr w:type="spellEnd"/>
      <w:r w:rsidRPr="008C639B">
        <w:rPr>
          <w:rFonts w:ascii="Arial Narrow" w:hAnsi="Arial Narrow" w:cs="Arial Narrow"/>
          <w:color w:val="000000"/>
          <w:kern w:val="0"/>
          <w:sz w:val="16"/>
          <w:szCs w:val="16"/>
        </w:rPr>
        <w:t xml:space="preserve"> group than in the esomeprazole group at day 3 (38.3% </w:t>
      </w:r>
      <w:proofErr w:type="spellStart"/>
      <w:r w:rsidRPr="008C639B">
        <w:rPr>
          <w:rFonts w:ascii="Arial Narrow" w:hAnsi="Arial Narrow" w:cs="Arial Narrow"/>
          <w:i/>
          <w:iCs/>
          <w:color w:val="000000"/>
          <w:kern w:val="0"/>
          <w:sz w:val="16"/>
          <w:szCs w:val="16"/>
        </w:rPr>
        <w:t>vs</w:t>
      </w:r>
      <w:proofErr w:type="spellEnd"/>
      <w:r w:rsidRPr="008C639B">
        <w:rPr>
          <w:rFonts w:ascii="Arial Narrow" w:hAnsi="Arial Narrow" w:cs="Arial Narrow"/>
          <w:color w:val="000000"/>
          <w:kern w:val="0"/>
          <w:sz w:val="16"/>
          <w:szCs w:val="16"/>
        </w:rPr>
        <w:t xml:space="preserve"> 18.4%, </w:t>
      </w:r>
      <w:r w:rsidRPr="008C639B">
        <w:rPr>
          <w:rFonts w:ascii="Arial Narrow" w:hAnsi="Arial Narrow" w:cs="Arial Narrow"/>
          <w:i/>
          <w:iCs/>
          <w:caps/>
          <w:color w:val="000000"/>
          <w:kern w:val="0"/>
          <w:sz w:val="16"/>
          <w:szCs w:val="16"/>
        </w:rPr>
        <w:t xml:space="preserve">p = </w:t>
      </w:r>
      <w:r w:rsidRPr="008C639B">
        <w:rPr>
          <w:rFonts w:ascii="Arial Narrow" w:hAnsi="Arial Narrow" w:cs="Arial Narrow"/>
          <w:color w:val="000000"/>
          <w:kern w:val="0"/>
          <w:sz w:val="16"/>
          <w:szCs w:val="16"/>
        </w:rPr>
        <w:t>0.046). An increasing trend</w:t>
      </w:r>
      <w:r w:rsidRPr="008C639B">
        <w:rPr>
          <w:rFonts w:ascii="Arial Narrow" w:hAnsi="Arial Narrow" w:cs="Arial Narrow"/>
          <w:color w:val="000000"/>
          <w:kern w:val="0"/>
          <w:sz w:val="16"/>
          <w:szCs w:val="16"/>
          <w:lang w:val="zh-TW"/>
        </w:rPr>
        <w:t xml:space="preserve"> toward CSR</w:t>
      </w:r>
      <w:r w:rsidRPr="008C639B">
        <w:rPr>
          <w:rFonts w:ascii="Arial Narrow" w:hAnsi="Arial Narrow" w:cs="Arial Narrow"/>
          <w:color w:val="000000"/>
          <w:kern w:val="0"/>
          <w:sz w:val="16"/>
          <w:szCs w:val="16"/>
        </w:rPr>
        <w:t xml:space="preserve"> was observed at day 7 (55.3% </w:t>
      </w:r>
      <w:proofErr w:type="spellStart"/>
      <w:r w:rsidRPr="008C639B">
        <w:rPr>
          <w:rFonts w:ascii="Arial Narrow" w:hAnsi="Arial Narrow" w:cs="Arial Narrow"/>
          <w:i/>
          <w:iCs/>
          <w:color w:val="000000"/>
          <w:kern w:val="0"/>
          <w:sz w:val="16"/>
          <w:szCs w:val="16"/>
        </w:rPr>
        <w:t>vs</w:t>
      </w:r>
      <w:proofErr w:type="spellEnd"/>
      <w:r w:rsidRPr="008C639B">
        <w:rPr>
          <w:rFonts w:ascii="Arial Narrow" w:hAnsi="Arial Narrow" w:cs="Arial Narrow"/>
          <w:color w:val="000000"/>
          <w:kern w:val="0"/>
          <w:sz w:val="16"/>
          <w:szCs w:val="16"/>
        </w:rPr>
        <w:t xml:space="preserve"> 36.8%, </w:t>
      </w:r>
      <w:r w:rsidRPr="008C639B">
        <w:rPr>
          <w:rFonts w:ascii="Arial Narrow" w:hAnsi="Arial Narrow" w:cs="Arial Narrow"/>
          <w:i/>
          <w:iCs/>
          <w:caps/>
          <w:color w:val="000000"/>
          <w:kern w:val="0"/>
          <w:sz w:val="16"/>
          <w:szCs w:val="16"/>
        </w:rPr>
        <w:t xml:space="preserve">p = </w:t>
      </w:r>
      <w:r w:rsidRPr="008C639B">
        <w:rPr>
          <w:rFonts w:ascii="Arial Narrow" w:hAnsi="Arial Narrow" w:cs="Arial Narrow"/>
          <w:color w:val="000000"/>
          <w:kern w:val="0"/>
          <w:sz w:val="16"/>
          <w:szCs w:val="16"/>
        </w:rPr>
        <w:t xml:space="preserve">0.09). In the esomeprazole group, female sex was a negative predictive factor for CSR at post-dose days 1 (OR = -1.249 ± 0.543; 95%CI: 0.287 (0.099-0.832), </w:t>
      </w:r>
      <w:r w:rsidRPr="008C639B">
        <w:rPr>
          <w:rFonts w:ascii="Arial Narrow" w:hAnsi="Arial Narrow" w:cs="Arial Narrow"/>
          <w:i/>
          <w:iCs/>
          <w:caps/>
          <w:color w:val="000000"/>
          <w:kern w:val="0"/>
          <w:sz w:val="16"/>
          <w:szCs w:val="16"/>
        </w:rPr>
        <w:t xml:space="preserve">p = </w:t>
      </w:r>
      <w:r w:rsidRPr="008C639B">
        <w:rPr>
          <w:rFonts w:ascii="Arial Narrow" w:hAnsi="Arial Narrow" w:cs="Arial Narrow"/>
          <w:color w:val="000000"/>
          <w:kern w:val="0"/>
          <w:sz w:val="16"/>
          <w:szCs w:val="16"/>
        </w:rPr>
        <w:t xml:space="preserve">0.022) and 3 (OR = -1.254 ± 0.519; 95%CI: 0.285 (0.103-0.789), </w:t>
      </w:r>
      <w:r w:rsidRPr="008C639B">
        <w:rPr>
          <w:rFonts w:ascii="Arial Narrow" w:hAnsi="Arial Narrow" w:cs="Arial Narrow"/>
          <w:i/>
          <w:iCs/>
          <w:caps/>
          <w:color w:val="000000"/>
          <w:kern w:val="0"/>
          <w:sz w:val="16"/>
          <w:szCs w:val="16"/>
        </w:rPr>
        <w:t xml:space="preserve">p = </w:t>
      </w:r>
      <w:r w:rsidRPr="008C639B">
        <w:rPr>
          <w:rFonts w:ascii="Arial Narrow" w:hAnsi="Arial Narrow" w:cs="Arial Narrow"/>
          <w:color w:val="000000"/>
          <w:kern w:val="0"/>
          <w:sz w:val="16"/>
          <w:szCs w:val="16"/>
        </w:rPr>
        <w:t xml:space="preserve">0.016). Patients with spicy food eating habits achieved lower CSRs on day 1 (37.3% </w:t>
      </w:r>
      <w:proofErr w:type="spellStart"/>
      <w:r w:rsidRPr="008C639B">
        <w:rPr>
          <w:rFonts w:ascii="Arial Narrow" w:hAnsi="Arial Narrow" w:cs="Arial Narrow"/>
          <w:i/>
          <w:iCs/>
          <w:color w:val="000000"/>
          <w:kern w:val="0"/>
          <w:sz w:val="16"/>
          <w:szCs w:val="16"/>
        </w:rPr>
        <w:t>vs</w:t>
      </w:r>
      <w:proofErr w:type="spellEnd"/>
      <w:r w:rsidRPr="008C639B">
        <w:rPr>
          <w:rFonts w:ascii="Arial Narrow" w:hAnsi="Arial Narrow" w:cs="Arial Narrow"/>
          <w:color w:val="000000"/>
          <w:kern w:val="0"/>
          <w:sz w:val="16"/>
          <w:szCs w:val="16"/>
        </w:rPr>
        <w:t xml:space="preserve"> 21.4%, OR = -0.969 ± 0.438; 95%CI: 0.380 (0.161-0.896), </w:t>
      </w:r>
      <w:r w:rsidRPr="008C639B">
        <w:rPr>
          <w:rFonts w:ascii="Arial Narrow" w:hAnsi="Arial Narrow" w:cs="Arial Narrow"/>
          <w:i/>
          <w:iCs/>
          <w:caps/>
          <w:color w:val="000000"/>
          <w:kern w:val="0"/>
          <w:sz w:val="16"/>
          <w:szCs w:val="16"/>
        </w:rPr>
        <w:t xml:space="preserve">p = </w:t>
      </w:r>
      <w:r w:rsidRPr="008C639B">
        <w:rPr>
          <w:rFonts w:ascii="Arial Narrow" w:hAnsi="Arial Narrow" w:cs="Arial Narrow"/>
          <w:color w:val="000000"/>
          <w:kern w:val="0"/>
          <w:sz w:val="16"/>
          <w:szCs w:val="16"/>
        </w:rPr>
        <w:t xml:space="preserve">0.027). </w:t>
      </w:r>
    </w:p>
    <w:p w:rsidR="00737F2A" w:rsidRPr="008C639B" w:rsidRDefault="00737F2A" w:rsidP="00737F2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737F2A" w:rsidRPr="008C639B" w:rsidRDefault="00737F2A" w:rsidP="00737F2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8C639B">
        <w:rPr>
          <w:rFonts w:ascii="Arial Narrow" w:hAnsi="Arial Narrow" w:cs="Arial Narrow"/>
          <w:b/>
          <w:bCs/>
          <w:i/>
          <w:iCs/>
          <w:color w:val="000000"/>
          <w:kern w:val="0"/>
          <w:szCs w:val="21"/>
        </w:rPr>
        <w:t>Research conclusions</w:t>
      </w:r>
    </w:p>
    <w:p w:rsidR="00737F2A" w:rsidRPr="008C639B" w:rsidRDefault="00737F2A" w:rsidP="00737F2A">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8C639B">
        <w:rPr>
          <w:rFonts w:ascii="Arial Narrow" w:hAnsi="Arial Narrow" w:cs="Arial Narrow"/>
          <w:color w:val="000000"/>
          <w:kern w:val="0"/>
          <w:sz w:val="16"/>
          <w:szCs w:val="16"/>
        </w:rPr>
        <w:t xml:space="preserve">The conclusion of this study was that the overall CSR rates for GERD were similar on days 1 through 7 for both the </w:t>
      </w:r>
      <w:proofErr w:type="spellStart"/>
      <w:r w:rsidRPr="008C639B">
        <w:rPr>
          <w:rFonts w:ascii="Arial Narrow" w:hAnsi="Arial Narrow" w:cs="Arial Narrow"/>
          <w:color w:val="000000"/>
          <w:kern w:val="0"/>
          <w:sz w:val="16"/>
          <w:szCs w:val="16"/>
        </w:rPr>
        <w:t>dexlansoprazole</w:t>
      </w:r>
      <w:proofErr w:type="spellEnd"/>
      <w:r w:rsidRPr="008C639B">
        <w:rPr>
          <w:rFonts w:ascii="Arial Narrow" w:hAnsi="Arial Narrow" w:cs="Arial Narrow"/>
          <w:color w:val="000000"/>
          <w:kern w:val="0"/>
          <w:sz w:val="16"/>
          <w:szCs w:val="16"/>
        </w:rPr>
        <w:t xml:space="preserve"> and esomeprazole groups, </w:t>
      </w:r>
      <w:r w:rsidRPr="008C639B">
        <w:rPr>
          <w:rFonts w:ascii="Arial Narrow" w:hAnsi="Arial Narrow" w:cs="Arial Narrow"/>
          <w:color w:val="000000"/>
          <w:kern w:val="0"/>
          <w:sz w:val="16"/>
          <w:szCs w:val="16"/>
        </w:rPr>
        <w:lastRenderedPageBreak/>
        <w:t xml:space="preserve">although a higher incidence was observed on day 3 in female patients who received a single dose of </w:t>
      </w:r>
      <w:proofErr w:type="spellStart"/>
      <w:r w:rsidRPr="008C639B">
        <w:rPr>
          <w:rFonts w:ascii="Arial Narrow" w:hAnsi="Arial Narrow" w:cs="Arial Narrow"/>
          <w:color w:val="000000"/>
          <w:kern w:val="0"/>
          <w:sz w:val="16"/>
          <w:szCs w:val="16"/>
        </w:rPr>
        <w:t>dexlansoprazole</w:t>
      </w:r>
      <w:proofErr w:type="spellEnd"/>
      <w:r w:rsidRPr="008C639B">
        <w:rPr>
          <w:rFonts w:ascii="Arial Narrow" w:hAnsi="Arial Narrow" w:cs="Arial Narrow"/>
          <w:color w:val="000000"/>
          <w:kern w:val="0"/>
          <w:sz w:val="16"/>
          <w:szCs w:val="16"/>
        </w:rPr>
        <w:t>. The findings of this study</w:t>
      </w:r>
      <w:r w:rsidRPr="008C639B">
        <w:rPr>
          <w:rFonts w:ascii="Arial Narrow" w:hAnsi="Arial Narrow" w:cs="Arial Narrow"/>
          <w:b/>
          <w:bCs/>
          <w:color w:val="000000"/>
          <w:kern w:val="0"/>
          <w:sz w:val="16"/>
          <w:szCs w:val="16"/>
        </w:rPr>
        <w:t xml:space="preserve"> </w:t>
      </w:r>
      <w:r w:rsidRPr="008C639B">
        <w:rPr>
          <w:rFonts w:ascii="Arial Narrow" w:hAnsi="Arial Narrow" w:cs="Arial Narrow"/>
          <w:color w:val="000000"/>
          <w:kern w:val="0"/>
          <w:sz w:val="16"/>
          <w:szCs w:val="16"/>
        </w:rPr>
        <w:t xml:space="preserve">are novel, since no report has investigated the short-term clinical effects of </w:t>
      </w:r>
      <w:proofErr w:type="spellStart"/>
      <w:r w:rsidRPr="008C639B">
        <w:rPr>
          <w:rFonts w:ascii="Arial Narrow" w:hAnsi="Arial Narrow" w:cs="Arial Narrow"/>
          <w:color w:val="000000"/>
          <w:kern w:val="0"/>
          <w:sz w:val="16"/>
          <w:szCs w:val="16"/>
        </w:rPr>
        <w:t>dexlansoprazole</w:t>
      </w:r>
      <w:proofErr w:type="spellEnd"/>
      <w:r w:rsidRPr="008C639B">
        <w:rPr>
          <w:rFonts w:ascii="Arial Narrow" w:hAnsi="Arial Narrow" w:cs="Arial Narrow"/>
          <w:color w:val="000000"/>
          <w:kern w:val="0"/>
          <w:sz w:val="16"/>
          <w:szCs w:val="16"/>
        </w:rPr>
        <w:t xml:space="preserve"> 60 mg </w:t>
      </w:r>
      <w:proofErr w:type="spellStart"/>
      <w:r w:rsidRPr="008C639B">
        <w:rPr>
          <w:rFonts w:ascii="Arial Narrow" w:hAnsi="Arial Narrow" w:cs="Arial Narrow"/>
          <w:i/>
          <w:iCs/>
          <w:color w:val="000000"/>
          <w:kern w:val="0"/>
          <w:sz w:val="16"/>
          <w:szCs w:val="16"/>
        </w:rPr>
        <w:t>vs</w:t>
      </w:r>
      <w:proofErr w:type="spellEnd"/>
      <w:r w:rsidRPr="008C639B">
        <w:rPr>
          <w:rFonts w:ascii="Arial Narrow" w:hAnsi="Arial Narrow" w:cs="Arial Narrow"/>
          <w:color w:val="000000"/>
          <w:kern w:val="0"/>
          <w:sz w:val="16"/>
          <w:szCs w:val="16"/>
        </w:rPr>
        <w:t xml:space="preserve"> esomeprazole 40 mg. This comparison represents an unmet need for GERD treatment in real-world clinical practice. The findings in this study could have important implications for clinical practice in the future for the treatment of grade A and B GERD patients. Furthermore, this study observed that female sex was a negative predictive factor for CSR at post-dose days 1 and 3 in the esomeprazole group. These findings implied that esomeprazole at 40 mg required more time (3 d) than </w:t>
      </w:r>
      <w:proofErr w:type="spellStart"/>
      <w:r w:rsidRPr="008C639B">
        <w:rPr>
          <w:rFonts w:ascii="Arial Narrow" w:hAnsi="Arial Narrow" w:cs="Arial Narrow"/>
          <w:color w:val="000000"/>
          <w:kern w:val="0"/>
          <w:sz w:val="16"/>
          <w:szCs w:val="16"/>
        </w:rPr>
        <w:t>dexlansoprazole</w:t>
      </w:r>
      <w:proofErr w:type="spellEnd"/>
      <w:r w:rsidRPr="008C639B">
        <w:rPr>
          <w:rFonts w:ascii="Arial Narrow" w:hAnsi="Arial Narrow" w:cs="Arial Narrow"/>
          <w:color w:val="000000"/>
          <w:kern w:val="0"/>
          <w:sz w:val="16"/>
          <w:szCs w:val="16"/>
        </w:rPr>
        <w:t xml:space="preserve"> at 60 mg to attain CSR in females. The new theories proposed suggest that these observations</w:t>
      </w:r>
      <w:r w:rsidRPr="008C639B">
        <w:rPr>
          <w:rFonts w:ascii="Arial Narrow" w:hAnsi="Arial Narrow" w:cs="Arial Narrow"/>
          <w:b/>
          <w:bCs/>
          <w:color w:val="000000"/>
          <w:kern w:val="0"/>
          <w:sz w:val="16"/>
          <w:szCs w:val="16"/>
        </w:rPr>
        <w:t xml:space="preserve"> </w:t>
      </w:r>
      <w:r w:rsidRPr="008C639B">
        <w:rPr>
          <w:rFonts w:ascii="Arial Narrow" w:hAnsi="Arial Narrow" w:cs="Arial Narrow"/>
          <w:color w:val="000000"/>
          <w:kern w:val="0"/>
          <w:sz w:val="16"/>
          <w:szCs w:val="16"/>
        </w:rPr>
        <w:t xml:space="preserve">could be due to differences in the pharmacokinetics of esomeprazole and </w:t>
      </w:r>
      <w:proofErr w:type="spellStart"/>
      <w:r w:rsidRPr="008C639B">
        <w:rPr>
          <w:rFonts w:ascii="Arial Narrow" w:hAnsi="Arial Narrow" w:cs="Arial Narrow"/>
          <w:color w:val="000000"/>
          <w:kern w:val="0"/>
          <w:sz w:val="16"/>
          <w:szCs w:val="16"/>
        </w:rPr>
        <w:t>dexlansoprazole</w:t>
      </w:r>
      <w:proofErr w:type="spellEnd"/>
      <w:r w:rsidRPr="008C639B">
        <w:rPr>
          <w:rFonts w:ascii="Arial Narrow" w:hAnsi="Arial Narrow" w:cs="Arial Narrow"/>
          <w:color w:val="000000"/>
          <w:kern w:val="0"/>
          <w:sz w:val="16"/>
          <w:szCs w:val="16"/>
        </w:rPr>
        <w:t>. Esomeprazole is time- and dose-dependent, especially at days 1 and 5.</w:t>
      </w:r>
      <w:r w:rsidRPr="008C639B">
        <w:rPr>
          <w:rFonts w:ascii="Arial Narrow" w:hAnsi="Arial Narrow" w:cs="Arial Narrow"/>
          <w:color w:val="000000"/>
          <w:kern w:val="0"/>
          <w:sz w:val="16"/>
          <w:szCs w:val="16"/>
          <w:vertAlign w:val="superscript"/>
        </w:rPr>
        <w:t xml:space="preserve"> </w:t>
      </w:r>
      <w:r w:rsidRPr="008C639B">
        <w:rPr>
          <w:rFonts w:ascii="Arial Narrow" w:hAnsi="Arial Narrow" w:cs="Arial Narrow"/>
          <w:color w:val="000000"/>
          <w:kern w:val="0"/>
          <w:sz w:val="16"/>
          <w:szCs w:val="16"/>
        </w:rPr>
        <w:t xml:space="preserve">No accumulation of </w:t>
      </w:r>
      <w:proofErr w:type="spellStart"/>
      <w:r w:rsidRPr="008C639B">
        <w:rPr>
          <w:rFonts w:ascii="Arial Narrow" w:hAnsi="Arial Narrow" w:cs="Arial Narrow"/>
          <w:color w:val="000000"/>
          <w:kern w:val="0"/>
          <w:sz w:val="16"/>
          <w:szCs w:val="16"/>
        </w:rPr>
        <w:t>dexlansoprazole</w:t>
      </w:r>
      <w:proofErr w:type="spellEnd"/>
      <w:r w:rsidRPr="008C639B">
        <w:rPr>
          <w:rFonts w:ascii="Arial Narrow" w:hAnsi="Arial Narrow" w:cs="Arial Narrow"/>
          <w:color w:val="000000"/>
          <w:kern w:val="0"/>
          <w:sz w:val="16"/>
          <w:szCs w:val="16"/>
        </w:rPr>
        <w:t xml:space="preserve"> occurs after multiple once-daily doses at 60 mg. The authors validated this possibility by calculating the </w:t>
      </w:r>
      <w:proofErr w:type="spellStart"/>
      <w:r w:rsidRPr="008C639B">
        <w:rPr>
          <w:rFonts w:ascii="Arial Narrow" w:hAnsi="Arial Narrow" w:cs="Arial Narrow"/>
          <w:color w:val="000000"/>
          <w:kern w:val="0"/>
          <w:sz w:val="16"/>
          <w:szCs w:val="16"/>
        </w:rPr>
        <w:t>Cmax</w:t>
      </w:r>
      <w:proofErr w:type="spellEnd"/>
      <w:r w:rsidRPr="008C639B">
        <w:rPr>
          <w:rFonts w:ascii="Arial Narrow" w:hAnsi="Arial Narrow" w:cs="Arial Narrow"/>
          <w:color w:val="000000"/>
          <w:kern w:val="0"/>
          <w:sz w:val="16"/>
          <w:szCs w:val="16"/>
        </w:rPr>
        <w:t xml:space="preserve"> of </w:t>
      </w:r>
      <w:proofErr w:type="spellStart"/>
      <w:r w:rsidRPr="008C639B">
        <w:rPr>
          <w:rFonts w:ascii="Arial Narrow" w:hAnsi="Arial Narrow" w:cs="Arial Narrow"/>
          <w:color w:val="000000"/>
          <w:kern w:val="0"/>
          <w:sz w:val="16"/>
          <w:szCs w:val="16"/>
        </w:rPr>
        <w:t>dexlansoprazole</w:t>
      </w:r>
      <w:proofErr w:type="spellEnd"/>
      <w:r w:rsidRPr="008C639B">
        <w:rPr>
          <w:rFonts w:ascii="Arial Narrow" w:hAnsi="Arial Narrow" w:cs="Arial Narrow"/>
          <w:color w:val="000000"/>
          <w:kern w:val="0"/>
          <w:sz w:val="16"/>
          <w:szCs w:val="16"/>
        </w:rPr>
        <w:t xml:space="preserve">, which was 16 </w:t>
      </w:r>
      <w:r w:rsidRPr="008C639B">
        <w:rPr>
          <w:rFonts w:ascii="Symbol" w:hAnsi="Symbol" w:cs="Symbol"/>
          <w:color w:val="000000"/>
          <w:kern w:val="0"/>
          <w:sz w:val="16"/>
          <w:szCs w:val="16"/>
        </w:rPr>
        <w:t></w:t>
      </w:r>
      <w:proofErr w:type="spellStart"/>
      <w:r w:rsidRPr="008C639B">
        <w:rPr>
          <w:rFonts w:ascii="Arial Narrow" w:hAnsi="Arial Narrow" w:cs="Arial Narrow"/>
          <w:color w:val="000000"/>
          <w:kern w:val="0"/>
          <w:sz w:val="16"/>
          <w:szCs w:val="16"/>
        </w:rPr>
        <w:t>mol·h</w:t>
      </w:r>
      <w:proofErr w:type="spellEnd"/>
      <w:r w:rsidRPr="008C639B">
        <w:rPr>
          <w:rFonts w:ascii="Arial Narrow" w:hAnsi="Arial Narrow" w:cs="Arial Narrow"/>
          <w:color w:val="000000"/>
          <w:kern w:val="0"/>
          <w:sz w:val="16"/>
          <w:szCs w:val="16"/>
        </w:rPr>
        <w:t xml:space="preserve">/L on day 1 and 17.67 </w:t>
      </w:r>
      <w:r w:rsidRPr="008C639B">
        <w:rPr>
          <w:rFonts w:ascii="Symbol" w:hAnsi="Symbol" w:cs="Symbol"/>
          <w:color w:val="000000"/>
          <w:kern w:val="0"/>
          <w:sz w:val="16"/>
          <w:szCs w:val="16"/>
        </w:rPr>
        <w:t></w:t>
      </w:r>
      <w:proofErr w:type="spellStart"/>
      <w:r w:rsidRPr="008C639B">
        <w:rPr>
          <w:rFonts w:ascii="Arial Narrow" w:hAnsi="Arial Narrow" w:cs="Arial Narrow"/>
          <w:color w:val="000000"/>
          <w:kern w:val="0"/>
          <w:sz w:val="16"/>
          <w:szCs w:val="16"/>
        </w:rPr>
        <w:t>mol·h</w:t>
      </w:r>
      <w:proofErr w:type="spellEnd"/>
      <w:r w:rsidRPr="008C639B">
        <w:rPr>
          <w:rFonts w:ascii="Arial Narrow" w:hAnsi="Arial Narrow" w:cs="Arial Narrow"/>
          <w:color w:val="000000"/>
          <w:kern w:val="0"/>
          <w:sz w:val="16"/>
          <w:szCs w:val="16"/>
        </w:rPr>
        <w:t xml:space="preserve">/L on day 5. As a result, </w:t>
      </w:r>
      <w:proofErr w:type="spellStart"/>
      <w:r w:rsidRPr="008C639B">
        <w:rPr>
          <w:rFonts w:ascii="Arial Narrow" w:hAnsi="Arial Narrow" w:cs="Arial Narrow"/>
          <w:color w:val="000000"/>
          <w:kern w:val="0"/>
          <w:sz w:val="16"/>
          <w:szCs w:val="16"/>
        </w:rPr>
        <w:t>dexlansoprazole</w:t>
      </w:r>
      <w:proofErr w:type="spellEnd"/>
      <w:r w:rsidRPr="008C639B">
        <w:rPr>
          <w:rFonts w:ascii="Arial Narrow" w:hAnsi="Arial Narrow" w:cs="Arial Narrow"/>
          <w:color w:val="000000"/>
          <w:kern w:val="0"/>
          <w:sz w:val="16"/>
          <w:szCs w:val="16"/>
        </w:rPr>
        <w:t xml:space="preserve"> almost achieved the target concentration on day 1. In addition, there is ample evidence that estrogen and </w:t>
      </w:r>
      <w:proofErr w:type="spellStart"/>
      <w:r w:rsidRPr="008C639B">
        <w:rPr>
          <w:rFonts w:ascii="Arial Narrow" w:hAnsi="Arial Narrow" w:cs="Arial Narrow"/>
          <w:color w:val="000000"/>
          <w:kern w:val="0"/>
          <w:sz w:val="16"/>
          <w:szCs w:val="16"/>
        </w:rPr>
        <w:t>progestogen</w:t>
      </w:r>
      <w:proofErr w:type="spellEnd"/>
      <w:r w:rsidRPr="008C639B">
        <w:rPr>
          <w:rFonts w:ascii="Arial Narrow" w:hAnsi="Arial Narrow" w:cs="Arial Narrow"/>
          <w:color w:val="000000"/>
          <w:kern w:val="0"/>
          <w:sz w:val="16"/>
          <w:szCs w:val="16"/>
        </w:rPr>
        <w:t xml:space="preserve"> enhance relaxation of the lower esophageal sphincters and induce GERD symptoms, especially in post-menopausal women taking hormone replacement therapy. These hypotheses could explain why female patients taking esomeprazole needed at least 3 more days to accumulate a sufficient plasma concentration to achieve plateau levels and desirable clinical effects. </w:t>
      </w:r>
    </w:p>
    <w:p w:rsidR="00737F2A" w:rsidRPr="008C639B" w:rsidRDefault="00737F2A" w:rsidP="00737F2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737F2A" w:rsidRPr="008C639B" w:rsidRDefault="00737F2A" w:rsidP="00737F2A">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8C639B">
        <w:rPr>
          <w:rFonts w:ascii="Arial Narrow" w:hAnsi="Arial Narrow" w:cs="Arial Narrow"/>
          <w:b/>
          <w:bCs/>
          <w:i/>
          <w:iCs/>
          <w:color w:val="000000"/>
          <w:kern w:val="0"/>
          <w:szCs w:val="21"/>
        </w:rPr>
        <w:t>Research perspectives</w:t>
      </w:r>
    </w:p>
    <w:p w:rsidR="00737F2A" w:rsidRPr="008C639B" w:rsidRDefault="00737F2A" w:rsidP="00737F2A">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8C639B">
        <w:rPr>
          <w:rFonts w:ascii="Arial Narrow" w:hAnsi="Arial Narrow" w:cs="Arial Narrow"/>
          <w:color w:val="000000"/>
          <w:kern w:val="0"/>
          <w:sz w:val="16"/>
          <w:szCs w:val="16"/>
        </w:rPr>
        <w:t xml:space="preserve">The important message of this study is that rapid onset PPIs for fast symptom </w:t>
      </w:r>
      <w:proofErr w:type="spellStart"/>
      <w:r w:rsidRPr="008C639B">
        <w:rPr>
          <w:rFonts w:ascii="Arial Narrow" w:hAnsi="Arial Narrow" w:cs="Arial Narrow"/>
          <w:color w:val="000000"/>
          <w:kern w:val="0"/>
          <w:sz w:val="16"/>
          <w:szCs w:val="16"/>
        </w:rPr>
        <w:t>rel</w:t>
      </w:r>
      <w:proofErr w:type="spellEnd"/>
      <w:r w:rsidRPr="008C639B">
        <w:rPr>
          <w:rFonts w:ascii="Arial Narrow" w:hAnsi="Arial Narrow" w:cs="Arial Narrow"/>
          <w:color w:val="000000"/>
          <w:kern w:val="0"/>
          <w:sz w:val="16"/>
          <w:szCs w:val="16"/>
          <w:lang w:val="zh-TW"/>
        </w:rPr>
        <w:t>ief</w:t>
      </w:r>
      <w:r w:rsidRPr="008C639B">
        <w:rPr>
          <w:rFonts w:ascii="Arial Narrow" w:hAnsi="Arial Narrow" w:cs="Arial Narrow"/>
          <w:color w:val="000000"/>
          <w:kern w:val="0"/>
          <w:sz w:val="16"/>
          <w:szCs w:val="16"/>
        </w:rPr>
        <w:t xml:space="preserve"> remains an unmet need for GERD treatment. However, no report has investigated the short-term clinical effects of </w:t>
      </w:r>
      <w:proofErr w:type="spellStart"/>
      <w:r w:rsidRPr="008C639B">
        <w:rPr>
          <w:rFonts w:ascii="Arial Narrow" w:hAnsi="Arial Narrow" w:cs="Arial Narrow"/>
          <w:color w:val="000000"/>
          <w:kern w:val="0"/>
          <w:sz w:val="16"/>
          <w:szCs w:val="16"/>
        </w:rPr>
        <w:t>dexlansoprazole</w:t>
      </w:r>
      <w:proofErr w:type="spellEnd"/>
      <w:r w:rsidRPr="008C639B">
        <w:rPr>
          <w:rFonts w:ascii="Arial Narrow" w:hAnsi="Arial Narrow" w:cs="Arial Narrow"/>
          <w:color w:val="000000"/>
          <w:kern w:val="0"/>
          <w:sz w:val="16"/>
          <w:szCs w:val="16"/>
        </w:rPr>
        <w:t xml:space="preserve"> 60 mg </w:t>
      </w:r>
      <w:proofErr w:type="spellStart"/>
      <w:r w:rsidRPr="008C639B">
        <w:rPr>
          <w:rFonts w:ascii="Arial Narrow" w:hAnsi="Arial Narrow" w:cs="Arial Narrow"/>
          <w:i/>
          <w:iCs/>
          <w:color w:val="000000"/>
          <w:kern w:val="0"/>
          <w:sz w:val="16"/>
          <w:szCs w:val="16"/>
        </w:rPr>
        <w:t>vs</w:t>
      </w:r>
      <w:proofErr w:type="spellEnd"/>
      <w:r w:rsidRPr="008C639B">
        <w:rPr>
          <w:rFonts w:ascii="Arial Narrow" w:hAnsi="Arial Narrow" w:cs="Arial Narrow"/>
          <w:color w:val="000000"/>
          <w:kern w:val="0"/>
          <w:sz w:val="16"/>
          <w:szCs w:val="16"/>
        </w:rPr>
        <w:t xml:space="preserve"> esomeprazole 40 mg. Thus, the findings of this pilot study are novel and may have important implications for clinical practice in the future for the treatment of patients with grades A and B GERD. This pilot study was hampered by the small sample size. We believe that large-scale randomized controlled trials are necessary to further fulfill the future perspectives.</w:t>
      </w:r>
    </w:p>
    <w:p w:rsidR="00737F2A" w:rsidRPr="008C639B" w:rsidRDefault="00737F2A" w:rsidP="00737F2A">
      <w:pPr>
        <w:suppressAutoHyphens/>
        <w:autoSpaceDE w:val="0"/>
        <w:autoSpaceDN w:val="0"/>
        <w:adjustRightInd w:val="0"/>
        <w:spacing w:line="360" w:lineRule="atLeast"/>
        <w:jc w:val="left"/>
        <w:textAlignment w:val="center"/>
        <w:rPr>
          <w:rFonts w:ascii="Univers" w:hAnsi="Univers" w:cs="Univers"/>
          <w:b/>
          <w:bCs/>
          <w:color w:val="000000"/>
          <w:spacing w:val="-2"/>
          <w:kern w:val="0"/>
          <w:sz w:val="24"/>
        </w:rPr>
      </w:pPr>
    </w:p>
    <w:p w:rsidR="00737F2A" w:rsidRPr="008C639B" w:rsidRDefault="00737F2A" w:rsidP="00737F2A">
      <w:pPr>
        <w:suppressAutoHyphens/>
        <w:autoSpaceDE w:val="0"/>
        <w:autoSpaceDN w:val="0"/>
        <w:adjustRightInd w:val="0"/>
        <w:spacing w:line="360" w:lineRule="atLeast"/>
        <w:jc w:val="left"/>
        <w:textAlignment w:val="center"/>
        <w:rPr>
          <w:rFonts w:ascii="Univers" w:hAnsi="Univers" w:cs="Univers"/>
          <w:b/>
          <w:bCs/>
          <w:color w:val="000000"/>
          <w:spacing w:val="-2"/>
          <w:kern w:val="0"/>
          <w:sz w:val="24"/>
        </w:rPr>
      </w:pPr>
      <w:r w:rsidRPr="008C639B">
        <w:rPr>
          <w:rFonts w:ascii="Univers" w:hAnsi="Univers" w:cs="Univers"/>
          <w:b/>
          <w:bCs/>
          <w:color w:val="000000"/>
          <w:spacing w:val="-2"/>
          <w:kern w:val="0"/>
          <w:sz w:val="24"/>
        </w:rPr>
        <w:t>REFERENCES</w:t>
      </w:r>
    </w:p>
    <w:p w:rsidR="00737F2A" w:rsidRPr="008C639B" w:rsidRDefault="00737F2A" w:rsidP="00737F2A">
      <w:pPr>
        <w:suppressAutoHyphens/>
        <w:autoSpaceDE w:val="0"/>
        <w:autoSpaceDN w:val="0"/>
        <w:adjustRightInd w:val="0"/>
        <w:spacing w:line="200" w:lineRule="atLeast"/>
        <w:ind w:left="360" w:hanging="360"/>
        <w:textAlignment w:val="center"/>
        <w:rPr>
          <w:color w:val="000000"/>
          <w:spacing w:val="-1"/>
          <w:kern w:val="0"/>
          <w:sz w:val="16"/>
          <w:szCs w:val="16"/>
        </w:rPr>
      </w:pPr>
      <w:r w:rsidRPr="008C639B">
        <w:rPr>
          <w:color w:val="000000"/>
          <w:spacing w:val="-1"/>
          <w:kern w:val="0"/>
          <w:sz w:val="16"/>
          <w:szCs w:val="16"/>
        </w:rPr>
        <w:t>1</w:t>
      </w:r>
      <w:r w:rsidRPr="008C639B">
        <w:rPr>
          <w:color w:val="000000"/>
          <w:spacing w:val="-1"/>
          <w:kern w:val="0"/>
          <w:sz w:val="16"/>
          <w:szCs w:val="16"/>
        </w:rPr>
        <w:tab/>
      </w:r>
      <w:r w:rsidRPr="008C639B">
        <w:rPr>
          <w:b/>
          <w:bCs/>
          <w:color w:val="000000"/>
          <w:spacing w:val="-1"/>
          <w:kern w:val="0"/>
          <w:sz w:val="16"/>
          <w:szCs w:val="16"/>
        </w:rPr>
        <w:t>El-</w:t>
      </w:r>
      <w:proofErr w:type="spellStart"/>
      <w:r w:rsidRPr="008C639B">
        <w:rPr>
          <w:b/>
          <w:bCs/>
          <w:color w:val="000000"/>
          <w:spacing w:val="-1"/>
          <w:kern w:val="0"/>
          <w:sz w:val="16"/>
          <w:szCs w:val="16"/>
        </w:rPr>
        <w:t>Serag</w:t>
      </w:r>
      <w:proofErr w:type="spellEnd"/>
      <w:r w:rsidRPr="008C639B">
        <w:rPr>
          <w:b/>
          <w:bCs/>
          <w:color w:val="000000"/>
          <w:spacing w:val="-1"/>
          <w:kern w:val="0"/>
          <w:sz w:val="16"/>
          <w:szCs w:val="16"/>
        </w:rPr>
        <w:t xml:space="preserve"> HB</w:t>
      </w:r>
      <w:r w:rsidRPr="008C639B">
        <w:rPr>
          <w:color w:val="000000"/>
          <w:spacing w:val="-1"/>
          <w:kern w:val="0"/>
          <w:sz w:val="16"/>
          <w:szCs w:val="16"/>
        </w:rPr>
        <w:t xml:space="preserve">. Time trends of </w:t>
      </w:r>
      <w:proofErr w:type="spellStart"/>
      <w:r w:rsidRPr="008C639B">
        <w:rPr>
          <w:color w:val="000000"/>
          <w:spacing w:val="-1"/>
          <w:kern w:val="0"/>
          <w:sz w:val="16"/>
          <w:szCs w:val="16"/>
        </w:rPr>
        <w:t>gastroesophageal</w:t>
      </w:r>
      <w:proofErr w:type="spellEnd"/>
      <w:r w:rsidRPr="008C639B">
        <w:rPr>
          <w:color w:val="000000"/>
          <w:spacing w:val="-1"/>
          <w:kern w:val="0"/>
          <w:sz w:val="16"/>
          <w:szCs w:val="16"/>
        </w:rPr>
        <w:t xml:space="preserve"> reflux disease: a systematic review. </w:t>
      </w:r>
      <w:proofErr w:type="spellStart"/>
      <w:r w:rsidRPr="008C639B">
        <w:rPr>
          <w:i/>
          <w:iCs/>
          <w:color w:val="000000"/>
          <w:spacing w:val="-1"/>
          <w:kern w:val="0"/>
          <w:sz w:val="16"/>
          <w:szCs w:val="16"/>
        </w:rPr>
        <w:t>Clin</w:t>
      </w:r>
      <w:proofErr w:type="spellEnd"/>
      <w:r w:rsidRPr="008C639B">
        <w:rPr>
          <w:i/>
          <w:iCs/>
          <w:color w:val="000000"/>
          <w:spacing w:val="-1"/>
          <w:kern w:val="0"/>
          <w:sz w:val="16"/>
          <w:szCs w:val="16"/>
        </w:rPr>
        <w:t xml:space="preserve"> </w:t>
      </w:r>
      <w:proofErr w:type="spellStart"/>
      <w:r w:rsidRPr="008C639B">
        <w:rPr>
          <w:i/>
          <w:iCs/>
          <w:color w:val="000000"/>
          <w:spacing w:val="-1"/>
          <w:kern w:val="0"/>
          <w:sz w:val="16"/>
          <w:szCs w:val="16"/>
        </w:rPr>
        <w:t>Gastroenterol</w:t>
      </w:r>
      <w:proofErr w:type="spellEnd"/>
      <w:r w:rsidRPr="008C639B">
        <w:rPr>
          <w:i/>
          <w:iCs/>
          <w:color w:val="000000"/>
          <w:spacing w:val="-1"/>
          <w:kern w:val="0"/>
          <w:sz w:val="16"/>
          <w:szCs w:val="16"/>
        </w:rPr>
        <w:t xml:space="preserve"> </w:t>
      </w:r>
      <w:proofErr w:type="spellStart"/>
      <w:r w:rsidRPr="008C639B">
        <w:rPr>
          <w:i/>
          <w:iCs/>
          <w:color w:val="000000"/>
          <w:spacing w:val="-1"/>
          <w:kern w:val="0"/>
          <w:sz w:val="16"/>
          <w:szCs w:val="16"/>
        </w:rPr>
        <w:t>Hepatol</w:t>
      </w:r>
      <w:proofErr w:type="spellEnd"/>
      <w:r w:rsidRPr="008C639B">
        <w:rPr>
          <w:color w:val="000000"/>
          <w:spacing w:val="-1"/>
          <w:kern w:val="0"/>
          <w:sz w:val="16"/>
          <w:szCs w:val="16"/>
        </w:rPr>
        <w:t xml:space="preserve"> 2007; </w:t>
      </w:r>
      <w:r w:rsidRPr="008C639B">
        <w:rPr>
          <w:b/>
          <w:bCs/>
          <w:color w:val="000000"/>
          <w:spacing w:val="-1"/>
          <w:kern w:val="0"/>
          <w:sz w:val="16"/>
          <w:szCs w:val="16"/>
        </w:rPr>
        <w:t>5</w:t>
      </w:r>
      <w:r w:rsidRPr="008C639B">
        <w:rPr>
          <w:color w:val="000000"/>
          <w:spacing w:val="-1"/>
          <w:kern w:val="0"/>
          <w:sz w:val="16"/>
          <w:szCs w:val="16"/>
        </w:rPr>
        <w:t>: 17-26 [PMID: 17142109 DOI: 10.1016/j.cgh.2006.09.016]</w:t>
      </w:r>
    </w:p>
    <w:p w:rsidR="00737F2A" w:rsidRPr="008C639B" w:rsidRDefault="00737F2A" w:rsidP="00737F2A">
      <w:pPr>
        <w:suppressAutoHyphens/>
        <w:autoSpaceDE w:val="0"/>
        <w:autoSpaceDN w:val="0"/>
        <w:adjustRightInd w:val="0"/>
        <w:spacing w:line="200" w:lineRule="atLeast"/>
        <w:ind w:left="360" w:hanging="360"/>
        <w:textAlignment w:val="center"/>
        <w:rPr>
          <w:color w:val="000000"/>
          <w:spacing w:val="-1"/>
          <w:kern w:val="0"/>
          <w:sz w:val="16"/>
          <w:szCs w:val="16"/>
        </w:rPr>
      </w:pPr>
      <w:r w:rsidRPr="008C639B">
        <w:rPr>
          <w:color w:val="000000"/>
          <w:spacing w:val="-1"/>
          <w:kern w:val="0"/>
          <w:sz w:val="16"/>
          <w:szCs w:val="16"/>
        </w:rPr>
        <w:t>2</w:t>
      </w:r>
      <w:r w:rsidRPr="008C639B">
        <w:rPr>
          <w:color w:val="000000"/>
          <w:spacing w:val="-1"/>
          <w:kern w:val="0"/>
          <w:sz w:val="16"/>
          <w:szCs w:val="16"/>
        </w:rPr>
        <w:tab/>
      </w:r>
      <w:r w:rsidRPr="008C639B">
        <w:rPr>
          <w:b/>
          <w:bCs/>
          <w:color w:val="000000"/>
          <w:spacing w:val="-1"/>
          <w:kern w:val="0"/>
          <w:sz w:val="16"/>
          <w:szCs w:val="16"/>
        </w:rPr>
        <w:t>El-</w:t>
      </w:r>
      <w:proofErr w:type="spellStart"/>
      <w:r w:rsidRPr="008C639B">
        <w:rPr>
          <w:b/>
          <w:bCs/>
          <w:color w:val="000000"/>
          <w:spacing w:val="-1"/>
          <w:kern w:val="0"/>
          <w:sz w:val="16"/>
          <w:szCs w:val="16"/>
        </w:rPr>
        <w:t>Serag</w:t>
      </w:r>
      <w:proofErr w:type="spellEnd"/>
      <w:r w:rsidRPr="008C639B">
        <w:rPr>
          <w:b/>
          <w:bCs/>
          <w:color w:val="000000"/>
          <w:spacing w:val="-1"/>
          <w:kern w:val="0"/>
          <w:sz w:val="16"/>
          <w:szCs w:val="16"/>
        </w:rPr>
        <w:t xml:space="preserve"> HB</w:t>
      </w:r>
      <w:r w:rsidRPr="008C639B">
        <w:rPr>
          <w:color w:val="000000"/>
          <w:spacing w:val="-1"/>
          <w:kern w:val="0"/>
          <w:sz w:val="16"/>
          <w:szCs w:val="16"/>
        </w:rPr>
        <w:t xml:space="preserve">, Graham DY, </w:t>
      </w:r>
      <w:proofErr w:type="spellStart"/>
      <w:r w:rsidRPr="008C639B">
        <w:rPr>
          <w:color w:val="000000"/>
          <w:spacing w:val="-1"/>
          <w:kern w:val="0"/>
          <w:sz w:val="16"/>
          <w:szCs w:val="16"/>
        </w:rPr>
        <w:t>Satia</w:t>
      </w:r>
      <w:proofErr w:type="spellEnd"/>
      <w:r w:rsidRPr="008C639B">
        <w:rPr>
          <w:color w:val="000000"/>
          <w:spacing w:val="-1"/>
          <w:kern w:val="0"/>
          <w:sz w:val="16"/>
          <w:szCs w:val="16"/>
        </w:rPr>
        <w:t xml:space="preserve"> JA, </w:t>
      </w:r>
      <w:proofErr w:type="spellStart"/>
      <w:proofErr w:type="gramStart"/>
      <w:r w:rsidRPr="008C639B">
        <w:rPr>
          <w:color w:val="000000"/>
          <w:spacing w:val="-1"/>
          <w:kern w:val="0"/>
          <w:sz w:val="16"/>
          <w:szCs w:val="16"/>
        </w:rPr>
        <w:t>Rabeneck</w:t>
      </w:r>
      <w:proofErr w:type="spellEnd"/>
      <w:proofErr w:type="gramEnd"/>
      <w:r w:rsidRPr="008C639B">
        <w:rPr>
          <w:color w:val="000000"/>
          <w:spacing w:val="-1"/>
          <w:kern w:val="0"/>
          <w:sz w:val="16"/>
          <w:szCs w:val="16"/>
        </w:rPr>
        <w:t xml:space="preserve"> L. Obesity is an independent risk factor for GERD symptoms and erosive esophagitis. </w:t>
      </w:r>
      <w:r w:rsidRPr="008C639B">
        <w:rPr>
          <w:i/>
          <w:iCs/>
          <w:color w:val="000000"/>
          <w:spacing w:val="-1"/>
          <w:kern w:val="0"/>
          <w:sz w:val="16"/>
          <w:szCs w:val="16"/>
        </w:rPr>
        <w:t xml:space="preserve">Am J </w:t>
      </w:r>
      <w:proofErr w:type="spellStart"/>
      <w:r w:rsidRPr="008C639B">
        <w:rPr>
          <w:i/>
          <w:iCs/>
          <w:color w:val="000000"/>
          <w:spacing w:val="-1"/>
          <w:kern w:val="0"/>
          <w:sz w:val="16"/>
          <w:szCs w:val="16"/>
        </w:rPr>
        <w:t>Gastroenterol</w:t>
      </w:r>
      <w:proofErr w:type="spellEnd"/>
      <w:r w:rsidRPr="008C639B">
        <w:rPr>
          <w:color w:val="000000"/>
          <w:spacing w:val="-1"/>
          <w:kern w:val="0"/>
          <w:sz w:val="16"/>
          <w:szCs w:val="16"/>
        </w:rPr>
        <w:t xml:space="preserve"> 2005; </w:t>
      </w:r>
      <w:r w:rsidRPr="008C639B">
        <w:rPr>
          <w:b/>
          <w:bCs/>
          <w:color w:val="000000"/>
          <w:spacing w:val="-1"/>
          <w:kern w:val="0"/>
          <w:sz w:val="16"/>
          <w:szCs w:val="16"/>
        </w:rPr>
        <w:t>100</w:t>
      </w:r>
      <w:r w:rsidRPr="008C639B">
        <w:rPr>
          <w:color w:val="000000"/>
          <w:spacing w:val="-1"/>
          <w:kern w:val="0"/>
          <w:sz w:val="16"/>
          <w:szCs w:val="16"/>
        </w:rPr>
        <w:t>: 1243-1250 [PMID: 15929752 DOI: 10.1111/j.1572-0241.2005.41703.x]</w:t>
      </w:r>
    </w:p>
    <w:p w:rsidR="00737F2A" w:rsidRPr="008C639B" w:rsidRDefault="00737F2A" w:rsidP="00737F2A">
      <w:pPr>
        <w:suppressAutoHyphens/>
        <w:autoSpaceDE w:val="0"/>
        <w:autoSpaceDN w:val="0"/>
        <w:adjustRightInd w:val="0"/>
        <w:spacing w:line="200" w:lineRule="atLeast"/>
        <w:ind w:left="360" w:hanging="360"/>
        <w:textAlignment w:val="center"/>
        <w:rPr>
          <w:color w:val="000000"/>
          <w:spacing w:val="-1"/>
          <w:kern w:val="0"/>
          <w:sz w:val="16"/>
          <w:szCs w:val="16"/>
        </w:rPr>
      </w:pPr>
      <w:r w:rsidRPr="008C639B">
        <w:rPr>
          <w:color w:val="000000"/>
          <w:spacing w:val="-1"/>
          <w:kern w:val="0"/>
          <w:sz w:val="16"/>
          <w:szCs w:val="16"/>
        </w:rPr>
        <w:t>3</w:t>
      </w:r>
      <w:r w:rsidRPr="008C639B">
        <w:rPr>
          <w:color w:val="000000"/>
          <w:spacing w:val="-1"/>
          <w:kern w:val="0"/>
          <w:sz w:val="16"/>
          <w:szCs w:val="16"/>
        </w:rPr>
        <w:tab/>
      </w:r>
      <w:proofErr w:type="spellStart"/>
      <w:r w:rsidRPr="008C639B">
        <w:rPr>
          <w:b/>
          <w:bCs/>
          <w:color w:val="000000"/>
          <w:spacing w:val="-1"/>
          <w:kern w:val="0"/>
          <w:sz w:val="16"/>
          <w:szCs w:val="16"/>
        </w:rPr>
        <w:t>Peery</w:t>
      </w:r>
      <w:proofErr w:type="spellEnd"/>
      <w:r w:rsidRPr="008C639B">
        <w:rPr>
          <w:b/>
          <w:bCs/>
          <w:color w:val="000000"/>
          <w:spacing w:val="-1"/>
          <w:kern w:val="0"/>
          <w:sz w:val="16"/>
          <w:szCs w:val="16"/>
        </w:rPr>
        <w:t xml:space="preserve"> AF</w:t>
      </w:r>
      <w:r w:rsidRPr="008C639B">
        <w:rPr>
          <w:color w:val="000000"/>
          <w:spacing w:val="-1"/>
          <w:kern w:val="0"/>
          <w:sz w:val="16"/>
          <w:szCs w:val="16"/>
        </w:rPr>
        <w:t xml:space="preserve">, </w:t>
      </w:r>
      <w:proofErr w:type="spellStart"/>
      <w:r w:rsidRPr="008C639B">
        <w:rPr>
          <w:color w:val="000000"/>
          <w:spacing w:val="-1"/>
          <w:kern w:val="0"/>
          <w:sz w:val="16"/>
          <w:szCs w:val="16"/>
        </w:rPr>
        <w:t>Dellon</w:t>
      </w:r>
      <w:proofErr w:type="spellEnd"/>
      <w:r w:rsidRPr="008C639B">
        <w:rPr>
          <w:color w:val="000000"/>
          <w:spacing w:val="-1"/>
          <w:kern w:val="0"/>
          <w:sz w:val="16"/>
          <w:szCs w:val="16"/>
        </w:rPr>
        <w:t xml:space="preserve"> ES, Lund J, Crockett SD, McGowan CE, </w:t>
      </w:r>
      <w:proofErr w:type="spellStart"/>
      <w:r w:rsidRPr="008C639B">
        <w:rPr>
          <w:color w:val="000000"/>
          <w:spacing w:val="-1"/>
          <w:kern w:val="0"/>
          <w:sz w:val="16"/>
          <w:szCs w:val="16"/>
        </w:rPr>
        <w:t>Bulsiewicz</w:t>
      </w:r>
      <w:proofErr w:type="spellEnd"/>
      <w:r w:rsidRPr="008C639B">
        <w:rPr>
          <w:color w:val="000000"/>
          <w:spacing w:val="-1"/>
          <w:kern w:val="0"/>
          <w:sz w:val="16"/>
          <w:szCs w:val="16"/>
        </w:rPr>
        <w:t xml:space="preserve"> WJ, </w:t>
      </w:r>
      <w:proofErr w:type="spellStart"/>
      <w:r w:rsidRPr="008C639B">
        <w:rPr>
          <w:color w:val="000000"/>
          <w:spacing w:val="-1"/>
          <w:kern w:val="0"/>
          <w:sz w:val="16"/>
          <w:szCs w:val="16"/>
        </w:rPr>
        <w:t>Gangarosa</w:t>
      </w:r>
      <w:proofErr w:type="spellEnd"/>
      <w:r w:rsidRPr="008C639B">
        <w:rPr>
          <w:color w:val="000000"/>
          <w:spacing w:val="-1"/>
          <w:kern w:val="0"/>
          <w:sz w:val="16"/>
          <w:szCs w:val="16"/>
        </w:rPr>
        <w:t xml:space="preserve"> LM, </w:t>
      </w:r>
      <w:proofErr w:type="spellStart"/>
      <w:r w:rsidRPr="008C639B">
        <w:rPr>
          <w:color w:val="000000"/>
          <w:spacing w:val="-1"/>
          <w:kern w:val="0"/>
          <w:sz w:val="16"/>
          <w:szCs w:val="16"/>
        </w:rPr>
        <w:t>Thiny</w:t>
      </w:r>
      <w:proofErr w:type="spellEnd"/>
      <w:r w:rsidRPr="008C639B">
        <w:rPr>
          <w:color w:val="000000"/>
          <w:spacing w:val="-1"/>
          <w:kern w:val="0"/>
          <w:sz w:val="16"/>
          <w:szCs w:val="16"/>
        </w:rPr>
        <w:t xml:space="preserve"> MT, </w:t>
      </w:r>
      <w:proofErr w:type="spellStart"/>
      <w:r w:rsidRPr="008C639B">
        <w:rPr>
          <w:color w:val="000000"/>
          <w:spacing w:val="-1"/>
          <w:kern w:val="0"/>
          <w:sz w:val="16"/>
          <w:szCs w:val="16"/>
        </w:rPr>
        <w:t>Stizenberg</w:t>
      </w:r>
      <w:proofErr w:type="spellEnd"/>
      <w:r w:rsidRPr="008C639B">
        <w:rPr>
          <w:color w:val="000000"/>
          <w:spacing w:val="-1"/>
          <w:kern w:val="0"/>
          <w:sz w:val="16"/>
          <w:szCs w:val="16"/>
        </w:rPr>
        <w:t xml:space="preserve"> K, Morgan DR, </w:t>
      </w:r>
      <w:proofErr w:type="spellStart"/>
      <w:r w:rsidRPr="008C639B">
        <w:rPr>
          <w:color w:val="000000"/>
          <w:spacing w:val="-1"/>
          <w:kern w:val="0"/>
          <w:sz w:val="16"/>
          <w:szCs w:val="16"/>
        </w:rPr>
        <w:t>Ringel</w:t>
      </w:r>
      <w:proofErr w:type="spellEnd"/>
      <w:r w:rsidRPr="008C639B">
        <w:rPr>
          <w:color w:val="000000"/>
          <w:spacing w:val="-1"/>
          <w:kern w:val="0"/>
          <w:sz w:val="16"/>
          <w:szCs w:val="16"/>
        </w:rPr>
        <w:t xml:space="preserve"> Y, Kim HP, </w:t>
      </w:r>
      <w:proofErr w:type="spellStart"/>
      <w:r w:rsidRPr="008C639B">
        <w:rPr>
          <w:color w:val="000000"/>
          <w:spacing w:val="-1"/>
          <w:kern w:val="0"/>
          <w:sz w:val="16"/>
          <w:szCs w:val="16"/>
        </w:rPr>
        <w:t>Dibonaventura</w:t>
      </w:r>
      <w:proofErr w:type="spellEnd"/>
      <w:r w:rsidRPr="008C639B">
        <w:rPr>
          <w:color w:val="000000"/>
          <w:spacing w:val="-1"/>
          <w:kern w:val="0"/>
          <w:sz w:val="16"/>
          <w:szCs w:val="16"/>
        </w:rPr>
        <w:t xml:space="preserve"> MD, Carroll CF, Allen JK, Cook SF, Sandler RS, </w:t>
      </w:r>
      <w:proofErr w:type="spellStart"/>
      <w:r w:rsidRPr="008C639B">
        <w:rPr>
          <w:color w:val="000000"/>
          <w:spacing w:val="-1"/>
          <w:kern w:val="0"/>
          <w:sz w:val="16"/>
          <w:szCs w:val="16"/>
        </w:rPr>
        <w:t>Kappelman</w:t>
      </w:r>
      <w:proofErr w:type="spellEnd"/>
      <w:r w:rsidRPr="008C639B">
        <w:rPr>
          <w:color w:val="000000"/>
          <w:spacing w:val="-1"/>
          <w:kern w:val="0"/>
          <w:sz w:val="16"/>
          <w:szCs w:val="16"/>
        </w:rPr>
        <w:t xml:space="preserve"> MD, </w:t>
      </w:r>
      <w:proofErr w:type="spellStart"/>
      <w:r w:rsidRPr="008C639B">
        <w:rPr>
          <w:color w:val="000000"/>
          <w:spacing w:val="-1"/>
          <w:kern w:val="0"/>
          <w:sz w:val="16"/>
          <w:szCs w:val="16"/>
        </w:rPr>
        <w:t>Shaheen</w:t>
      </w:r>
      <w:proofErr w:type="spellEnd"/>
      <w:r w:rsidRPr="008C639B">
        <w:rPr>
          <w:color w:val="000000"/>
          <w:spacing w:val="-1"/>
          <w:kern w:val="0"/>
          <w:sz w:val="16"/>
          <w:szCs w:val="16"/>
        </w:rPr>
        <w:t xml:space="preserve"> NJ. Burden of gastrointestinal disease in the United States: 2012 update. </w:t>
      </w:r>
      <w:r w:rsidRPr="008C639B">
        <w:rPr>
          <w:i/>
          <w:iCs/>
          <w:color w:val="000000"/>
          <w:spacing w:val="-1"/>
          <w:kern w:val="0"/>
          <w:sz w:val="16"/>
          <w:szCs w:val="16"/>
        </w:rPr>
        <w:t>Gastroenterology</w:t>
      </w:r>
      <w:r w:rsidRPr="008C639B">
        <w:rPr>
          <w:color w:val="000000"/>
          <w:spacing w:val="-1"/>
          <w:kern w:val="0"/>
          <w:sz w:val="16"/>
          <w:szCs w:val="16"/>
        </w:rPr>
        <w:t xml:space="preserve"> 2012; </w:t>
      </w:r>
      <w:r w:rsidRPr="008C639B">
        <w:rPr>
          <w:b/>
          <w:bCs/>
          <w:color w:val="000000"/>
          <w:spacing w:val="-1"/>
          <w:kern w:val="0"/>
          <w:sz w:val="16"/>
          <w:szCs w:val="16"/>
        </w:rPr>
        <w:t>143</w:t>
      </w:r>
      <w:r w:rsidRPr="008C639B">
        <w:rPr>
          <w:color w:val="000000"/>
          <w:spacing w:val="-1"/>
          <w:kern w:val="0"/>
          <w:sz w:val="16"/>
          <w:szCs w:val="16"/>
        </w:rPr>
        <w:t>: 1179-1187.e1-3 [PMID: 22885331 DOI: 10.1053/j.gastro.2012.08.002]</w:t>
      </w:r>
    </w:p>
    <w:p w:rsidR="00737F2A" w:rsidRPr="008C639B" w:rsidRDefault="00737F2A" w:rsidP="00737F2A">
      <w:pPr>
        <w:suppressAutoHyphens/>
        <w:autoSpaceDE w:val="0"/>
        <w:autoSpaceDN w:val="0"/>
        <w:adjustRightInd w:val="0"/>
        <w:spacing w:line="200" w:lineRule="atLeast"/>
        <w:ind w:left="360" w:hanging="360"/>
        <w:textAlignment w:val="center"/>
        <w:rPr>
          <w:color w:val="000000"/>
          <w:spacing w:val="-1"/>
          <w:kern w:val="0"/>
          <w:sz w:val="16"/>
          <w:szCs w:val="16"/>
        </w:rPr>
      </w:pPr>
      <w:r w:rsidRPr="008C639B">
        <w:rPr>
          <w:color w:val="000000"/>
          <w:spacing w:val="-1"/>
          <w:kern w:val="0"/>
          <w:sz w:val="16"/>
          <w:szCs w:val="16"/>
        </w:rPr>
        <w:t>4</w:t>
      </w:r>
      <w:r w:rsidRPr="008C639B">
        <w:rPr>
          <w:color w:val="000000"/>
          <w:spacing w:val="-1"/>
          <w:kern w:val="0"/>
          <w:sz w:val="16"/>
          <w:szCs w:val="16"/>
        </w:rPr>
        <w:tab/>
      </w:r>
      <w:proofErr w:type="spellStart"/>
      <w:r w:rsidRPr="008C639B">
        <w:rPr>
          <w:b/>
          <w:bCs/>
          <w:color w:val="000000"/>
          <w:spacing w:val="-1"/>
          <w:kern w:val="0"/>
          <w:sz w:val="16"/>
          <w:szCs w:val="16"/>
        </w:rPr>
        <w:t>Modlin</w:t>
      </w:r>
      <w:proofErr w:type="spellEnd"/>
      <w:r w:rsidRPr="008C639B">
        <w:rPr>
          <w:b/>
          <w:bCs/>
          <w:color w:val="000000"/>
          <w:spacing w:val="-1"/>
          <w:kern w:val="0"/>
          <w:sz w:val="16"/>
          <w:szCs w:val="16"/>
        </w:rPr>
        <w:t xml:space="preserve"> IM</w:t>
      </w:r>
      <w:r w:rsidRPr="008C639B">
        <w:rPr>
          <w:color w:val="000000"/>
          <w:spacing w:val="-1"/>
          <w:kern w:val="0"/>
          <w:sz w:val="16"/>
          <w:szCs w:val="16"/>
        </w:rPr>
        <w:t xml:space="preserve">, Moss SF. Symptom evaluation in </w:t>
      </w:r>
      <w:proofErr w:type="spellStart"/>
      <w:r w:rsidRPr="008C639B">
        <w:rPr>
          <w:color w:val="000000"/>
          <w:spacing w:val="-1"/>
          <w:kern w:val="0"/>
          <w:sz w:val="16"/>
          <w:szCs w:val="16"/>
        </w:rPr>
        <w:t>gastroesophageal</w:t>
      </w:r>
      <w:proofErr w:type="spellEnd"/>
      <w:r w:rsidRPr="008C639B">
        <w:rPr>
          <w:color w:val="000000"/>
          <w:spacing w:val="-1"/>
          <w:kern w:val="0"/>
          <w:sz w:val="16"/>
          <w:szCs w:val="16"/>
        </w:rPr>
        <w:t xml:space="preserve"> reflux disease. </w:t>
      </w:r>
      <w:r w:rsidRPr="008C639B">
        <w:rPr>
          <w:i/>
          <w:iCs/>
          <w:color w:val="000000"/>
          <w:spacing w:val="-1"/>
          <w:kern w:val="0"/>
          <w:sz w:val="16"/>
          <w:szCs w:val="16"/>
        </w:rPr>
        <w:t xml:space="preserve">J </w:t>
      </w:r>
      <w:proofErr w:type="spellStart"/>
      <w:r w:rsidRPr="008C639B">
        <w:rPr>
          <w:i/>
          <w:iCs/>
          <w:color w:val="000000"/>
          <w:spacing w:val="-1"/>
          <w:kern w:val="0"/>
          <w:sz w:val="16"/>
          <w:szCs w:val="16"/>
        </w:rPr>
        <w:t>Clin</w:t>
      </w:r>
      <w:proofErr w:type="spellEnd"/>
      <w:r w:rsidRPr="008C639B">
        <w:rPr>
          <w:i/>
          <w:iCs/>
          <w:color w:val="000000"/>
          <w:spacing w:val="-1"/>
          <w:kern w:val="0"/>
          <w:sz w:val="16"/>
          <w:szCs w:val="16"/>
        </w:rPr>
        <w:t xml:space="preserve"> </w:t>
      </w:r>
      <w:proofErr w:type="spellStart"/>
      <w:r w:rsidRPr="008C639B">
        <w:rPr>
          <w:i/>
          <w:iCs/>
          <w:color w:val="000000"/>
          <w:spacing w:val="-1"/>
          <w:kern w:val="0"/>
          <w:sz w:val="16"/>
          <w:szCs w:val="16"/>
        </w:rPr>
        <w:t>Gastroenterol</w:t>
      </w:r>
      <w:proofErr w:type="spellEnd"/>
      <w:r w:rsidRPr="008C639B">
        <w:rPr>
          <w:color w:val="000000"/>
          <w:spacing w:val="-1"/>
          <w:kern w:val="0"/>
          <w:sz w:val="16"/>
          <w:szCs w:val="16"/>
        </w:rPr>
        <w:t xml:space="preserve"> 2008; </w:t>
      </w:r>
      <w:r w:rsidRPr="008C639B">
        <w:rPr>
          <w:b/>
          <w:bCs/>
          <w:color w:val="000000"/>
          <w:spacing w:val="-1"/>
          <w:kern w:val="0"/>
          <w:sz w:val="16"/>
          <w:szCs w:val="16"/>
        </w:rPr>
        <w:t>42</w:t>
      </w:r>
      <w:r w:rsidRPr="008C639B">
        <w:rPr>
          <w:color w:val="000000"/>
          <w:spacing w:val="-1"/>
          <w:kern w:val="0"/>
          <w:sz w:val="16"/>
          <w:szCs w:val="16"/>
        </w:rPr>
        <w:t>: 558-563 [PMID: 18364584 DOI: 10.1097/MCG.0b013e31816207cb]</w:t>
      </w:r>
    </w:p>
    <w:p w:rsidR="00737F2A" w:rsidRPr="008C639B" w:rsidRDefault="00737F2A" w:rsidP="00737F2A">
      <w:pPr>
        <w:suppressAutoHyphens/>
        <w:autoSpaceDE w:val="0"/>
        <w:autoSpaceDN w:val="0"/>
        <w:adjustRightInd w:val="0"/>
        <w:spacing w:line="200" w:lineRule="atLeast"/>
        <w:ind w:left="360" w:hanging="360"/>
        <w:textAlignment w:val="center"/>
        <w:rPr>
          <w:color w:val="000000"/>
          <w:spacing w:val="-1"/>
          <w:kern w:val="0"/>
          <w:sz w:val="16"/>
          <w:szCs w:val="16"/>
        </w:rPr>
      </w:pPr>
      <w:r w:rsidRPr="008C639B">
        <w:rPr>
          <w:color w:val="000000"/>
          <w:spacing w:val="-1"/>
          <w:kern w:val="0"/>
          <w:sz w:val="16"/>
          <w:szCs w:val="16"/>
        </w:rPr>
        <w:t>5</w:t>
      </w:r>
      <w:r w:rsidRPr="008C639B">
        <w:rPr>
          <w:color w:val="000000"/>
          <w:spacing w:val="-1"/>
          <w:kern w:val="0"/>
          <w:sz w:val="16"/>
          <w:szCs w:val="16"/>
        </w:rPr>
        <w:tab/>
      </w:r>
      <w:proofErr w:type="spellStart"/>
      <w:r w:rsidRPr="008C639B">
        <w:rPr>
          <w:b/>
          <w:bCs/>
          <w:color w:val="000000"/>
          <w:spacing w:val="-1"/>
          <w:kern w:val="0"/>
          <w:sz w:val="16"/>
          <w:szCs w:val="16"/>
        </w:rPr>
        <w:t>Kahrilas</w:t>
      </w:r>
      <w:proofErr w:type="spellEnd"/>
      <w:r w:rsidRPr="008C639B">
        <w:rPr>
          <w:b/>
          <w:bCs/>
          <w:color w:val="000000"/>
          <w:spacing w:val="-1"/>
          <w:kern w:val="0"/>
          <w:sz w:val="16"/>
          <w:szCs w:val="16"/>
        </w:rPr>
        <w:t xml:space="preserve"> PJ</w:t>
      </w:r>
      <w:r w:rsidRPr="008C639B">
        <w:rPr>
          <w:color w:val="000000"/>
          <w:spacing w:val="-1"/>
          <w:kern w:val="0"/>
          <w:sz w:val="16"/>
          <w:szCs w:val="16"/>
        </w:rPr>
        <w:t xml:space="preserve">, </w:t>
      </w:r>
      <w:proofErr w:type="spellStart"/>
      <w:r w:rsidRPr="008C639B">
        <w:rPr>
          <w:color w:val="000000"/>
          <w:spacing w:val="-1"/>
          <w:kern w:val="0"/>
          <w:sz w:val="16"/>
          <w:szCs w:val="16"/>
        </w:rPr>
        <w:t>Shaheen</w:t>
      </w:r>
      <w:proofErr w:type="spellEnd"/>
      <w:r w:rsidRPr="008C639B">
        <w:rPr>
          <w:color w:val="000000"/>
          <w:spacing w:val="-1"/>
          <w:kern w:val="0"/>
          <w:sz w:val="16"/>
          <w:szCs w:val="16"/>
        </w:rPr>
        <w:t xml:space="preserve"> NJ, </w:t>
      </w:r>
      <w:proofErr w:type="spellStart"/>
      <w:r w:rsidRPr="008C639B">
        <w:rPr>
          <w:color w:val="000000"/>
          <w:spacing w:val="-1"/>
          <w:kern w:val="0"/>
          <w:sz w:val="16"/>
          <w:szCs w:val="16"/>
        </w:rPr>
        <w:t>Vaezi</w:t>
      </w:r>
      <w:proofErr w:type="spellEnd"/>
      <w:r w:rsidRPr="008C639B">
        <w:rPr>
          <w:color w:val="000000"/>
          <w:spacing w:val="-1"/>
          <w:kern w:val="0"/>
          <w:sz w:val="16"/>
          <w:szCs w:val="16"/>
        </w:rPr>
        <w:t xml:space="preserve"> MF, </w:t>
      </w:r>
      <w:proofErr w:type="spellStart"/>
      <w:r w:rsidRPr="008C639B">
        <w:rPr>
          <w:color w:val="000000"/>
          <w:spacing w:val="-1"/>
          <w:kern w:val="0"/>
          <w:sz w:val="16"/>
          <w:szCs w:val="16"/>
        </w:rPr>
        <w:t>Hiltz</w:t>
      </w:r>
      <w:proofErr w:type="spellEnd"/>
      <w:r w:rsidRPr="008C639B">
        <w:rPr>
          <w:color w:val="000000"/>
          <w:spacing w:val="-1"/>
          <w:kern w:val="0"/>
          <w:sz w:val="16"/>
          <w:szCs w:val="16"/>
        </w:rPr>
        <w:t xml:space="preserve"> SW, Black E, </w:t>
      </w:r>
      <w:proofErr w:type="spellStart"/>
      <w:r w:rsidRPr="008C639B">
        <w:rPr>
          <w:color w:val="000000"/>
          <w:spacing w:val="-1"/>
          <w:kern w:val="0"/>
          <w:sz w:val="16"/>
          <w:szCs w:val="16"/>
        </w:rPr>
        <w:t>Modlin</w:t>
      </w:r>
      <w:proofErr w:type="spellEnd"/>
      <w:r w:rsidRPr="008C639B">
        <w:rPr>
          <w:color w:val="000000"/>
          <w:spacing w:val="-1"/>
          <w:kern w:val="0"/>
          <w:sz w:val="16"/>
          <w:szCs w:val="16"/>
        </w:rPr>
        <w:t xml:space="preserve"> IM, Johnson SP, Allen J, Brill JV; American Gastroenterological Association. American Gastroenterological Association Medical Position Statement on the management of </w:t>
      </w:r>
      <w:proofErr w:type="spellStart"/>
      <w:r w:rsidRPr="008C639B">
        <w:rPr>
          <w:color w:val="000000"/>
          <w:spacing w:val="-1"/>
          <w:kern w:val="0"/>
          <w:sz w:val="16"/>
          <w:szCs w:val="16"/>
        </w:rPr>
        <w:t>gastroesophageal</w:t>
      </w:r>
      <w:proofErr w:type="spellEnd"/>
      <w:r w:rsidRPr="008C639B">
        <w:rPr>
          <w:color w:val="000000"/>
          <w:spacing w:val="-1"/>
          <w:kern w:val="0"/>
          <w:sz w:val="16"/>
          <w:szCs w:val="16"/>
        </w:rPr>
        <w:t xml:space="preserve"> reflux disease. </w:t>
      </w:r>
      <w:r w:rsidRPr="008C639B">
        <w:rPr>
          <w:i/>
          <w:iCs/>
          <w:color w:val="000000"/>
          <w:spacing w:val="-1"/>
          <w:kern w:val="0"/>
          <w:sz w:val="16"/>
          <w:szCs w:val="16"/>
        </w:rPr>
        <w:t>Gastroenterology</w:t>
      </w:r>
      <w:r w:rsidRPr="008C639B">
        <w:rPr>
          <w:color w:val="000000"/>
          <w:spacing w:val="-1"/>
          <w:kern w:val="0"/>
          <w:sz w:val="16"/>
          <w:szCs w:val="16"/>
        </w:rPr>
        <w:t xml:space="preserve"> 2008; </w:t>
      </w:r>
      <w:r w:rsidRPr="008C639B">
        <w:rPr>
          <w:b/>
          <w:bCs/>
          <w:color w:val="000000"/>
          <w:spacing w:val="-1"/>
          <w:kern w:val="0"/>
          <w:sz w:val="16"/>
          <w:szCs w:val="16"/>
        </w:rPr>
        <w:t>135</w:t>
      </w:r>
      <w:r w:rsidRPr="008C639B">
        <w:rPr>
          <w:color w:val="000000"/>
          <w:spacing w:val="-1"/>
          <w:kern w:val="0"/>
          <w:sz w:val="16"/>
          <w:szCs w:val="16"/>
        </w:rPr>
        <w:t>: 1383-1391, 1391.e1-1391.e5 [PMID: 18789939 DOI: 10.1053/j.gastro.2008.08.045]</w:t>
      </w:r>
    </w:p>
    <w:p w:rsidR="00737F2A" w:rsidRPr="008C639B" w:rsidRDefault="00737F2A" w:rsidP="00737F2A">
      <w:pPr>
        <w:suppressAutoHyphens/>
        <w:autoSpaceDE w:val="0"/>
        <w:autoSpaceDN w:val="0"/>
        <w:adjustRightInd w:val="0"/>
        <w:spacing w:line="200" w:lineRule="atLeast"/>
        <w:ind w:left="360" w:hanging="360"/>
        <w:textAlignment w:val="center"/>
        <w:rPr>
          <w:color w:val="000000"/>
          <w:spacing w:val="-1"/>
          <w:kern w:val="0"/>
          <w:sz w:val="16"/>
          <w:szCs w:val="16"/>
        </w:rPr>
      </w:pPr>
      <w:r w:rsidRPr="008C639B">
        <w:rPr>
          <w:color w:val="000000"/>
          <w:spacing w:val="-1"/>
          <w:kern w:val="0"/>
          <w:sz w:val="16"/>
          <w:szCs w:val="16"/>
        </w:rPr>
        <w:t>6</w:t>
      </w:r>
      <w:r w:rsidRPr="008C639B">
        <w:rPr>
          <w:color w:val="000000"/>
          <w:spacing w:val="-1"/>
          <w:kern w:val="0"/>
          <w:sz w:val="16"/>
          <w:szCs w:val="16"/>
        </w:rPr>
        <w:tab/>
      </w:r>
      <w:proofErr w:type="spellStart"/>
      <w:r w:rsidRPr="008C639B">
        <w:rPr>
          <w:b/>
          <w:bCs/>
          <w:color w:val="000000"/>
          <w:spacing w:val="-1"/>
          <w:kern w:val="0"/>
          <w:sz w:val="16"/>
          <w:szCs w:val="16"/>
        </w:rPr>
        <w:t>Hershcovici</w:t>
      </w:r>
      <w:proofErr w:type="spellEnd"/>
      <w:r w:rsidRPr="008C639B">
        <w:rPr>
          <w:b/>
          <w:bCs/>
          <w:color w:val="000000"/>
          <w:spacing w:val="-1"/>
          <w:kern w:val="0"/>
          <w:sz w:val="16"/>
          <w:szCs w:val="16"/>
        </w:rPr>
        <w:t xml:space="preserve"> T</w:t>
      </w:r>
      <w:r w:rsidRPr="008C639B">
        <w:rPr>
          <w:color w:val="000000"/>
          <w:spacing w:val="-1"/>
          <w:kern w:val="0"/>
          <w:sz w:val="16"/>
          <w:szCs w:val="16"/>
        </w:rPr>
        <w:t xml:space="preserve">, </w:t>
      </w:r>
      <w:proofErr w:type="spellStart"/>
      <w:r w:rsidRPr="008C639B">
        <w:rPr>
          <w:color w:val="000000"/>
          <w:spacing w:val="-1"/>
          <w:kern w:val="0"/>
          <w:sz w:val="16"/>
          <w:szCs w:val="16"/>
        </w:rPr>
        <w:t>Fass</w:t>
      </w:r>
      <w:proofErr w:type="spellEnd"/>
      <w:r w:rsidRPr="008C639B">
        <w:rPr>
          <w:color w:val="000000"/>
          <w:spacing w:val="-1"/>
          <w:kern w:val="0"/>
          <w:sz w:val="16"/>
          <w:szCs w:val="16"/>
        </w:rPr>
        <w:t xml:space="preserve"> R. </w:t>
      </w:r>
      <w:proofErr w:type="gramStart"/>
      <w:r w:rsidRPr="008C639B">
        <w:rPr>
          <w:color w:val="000000"/>
          <w:spacing w:val="-1"/>
          <w:kern w:val="0"/>
          <w:sz w:val="16"/>
          <w:szCs w:val="16"/>
        </w:rPr>
        <w:t>An algorithm for diagnosis and treatment of refractory GERD.</w:t>
      </w:r>
      <w:proofErr w:type="gramEnd"/>
      <w:r w:rsidRPr="008C639B">
        <w:rPr>
          <w:color w:val="000000"/>
          <w:spacing w:val="-1"/>
          <w:kern w:val="0"/>
          <w:sz w:val="16"/>
          <w:szCs w:val="16"/>
        </w:rPr>
        <w:t xml:space="preserve"> </w:t>
      </w:r>
      <w:r w:rsidRPr="008C639B">
        <w:rPr>
          <w:i/>
          <w:iCs/>
          <w:color w:val="000000"/>
          <w:spacing w:val="-1"/>
          <w:kern w:val="0"/>
          <w:sz w:val="16"/>
          <w:szCs w:val="16"/>
        </w:rPr>
        <w:t xml:space="preserve">Best </w:t>
      </w:r>
      <w:proofErr w:type="spellStart"/>
      <w:r w:rsidRPr="008C639B">
        <w:rPr>
          <w:i/>
          <w:iCs/>
          <w:color w:val="000000"/>
          <w:spacing w:val="-1"/>
          <w:kern w:val="0"/>
          <w:sz w:val="16"/>
          <w:szCs w:val="16"/>
        </w:rPr>
        <w:t>Pract</w:t>
      </w:r>
      <w:proofErr w:type="spellEnd"/>
      <w:r w:rsidRPr="008C639B">
        <w:rPr>
          <w:i/>
          <w:iCs/>
          <w:color w:val="000000"/>
          <w:spacing w:val="-1"/>
          <w:kern w:val="0"/>
          <w:sz w:val="16"/>
          <w:szCs w:val="16"/>
        </w:rPr>
        <w:t xml:space="preserve"> Res </w:t>
      </w:r>
      <w:proofErr w:type="spellStart"/>
      <w:r w:rsidRPr="008C639B">
        <w:rPr>
          <w:i/>
          <w:iCs/>
          <w:color w:val="000000"/>
          <w:spacing w:val="-1"/>
          <w:kern w:val="0"/>
          <w:sz w:val="16"/>
          <w:szCs w:val="16"/>
        </w:rPr>
        <w:t>Clin</w:t>
      </w:r>
      <w:proofErr w:type="spellEnd"/>
      <w:r w:rsidRPr="008C639B">
        <w:rPr>
          <w:i/>
          <w:iCs/>
          <w:color w:val="000000"/>
          <w:spacing w:val="-1"/>
          <w:kern w:val="0"/>
          <w:sz w:val="16"/>
          <w:szCs w:val="16"/>
        </w:rPr>
        <w:t xml:space="preserve"> </w:t>
      </w:r>
      <w:proofErr w:type="spellStart"/>
      <w:r w:rsidRPr="008C639B">
        <w:rPr>
          <w:i/>
          <w:iCs/>
          <w:color w:val="000000"/>
          <w:spacing w:val="-1"/>
          <w:kern w:val="0"/>
          <w:sz w:val="16"/>
          <w:szCs w:val="16"/>
        </w:rPr>
        <w:t>Gastroenterol</w:t>
      </w:r>
      <w:proofErr w:type="spellEnd"/>
      <w:r w:rsidRPr="008C639B">
        <w:rPr>
          <w:color w:val="000000"/>
          <w:spacing w:val="-1"/>
          <w:kern w:val="0"/>
          <w:sz w:val="16"/>
          <w:szCs w:val="16"/>
        </w:rPr>
        <w:t xml:space="preserve"> 2010; </w:t>
      </w:r>
      <w:r w:rsidRPr="008C639B">
        <w:rPr>
          <w:b/>
          <w:bCs/>
          <w:color w:val="000000"/>
          <w:spacing w:val="-1"/>
          <w:kern w:val="0"/>
          <w:sz w:val="16"/>
          <w:szCs w:val="16"/>
        </w:rPr>
        <w:t>24</w:t>
      </w:r>
      <w:r w:rsidRPr="008C639B">
        <w:rPr>
          <w:color w:val="000000"/>
          <w:spacing w:val="-1"/>
          <w:kern w:val="0"/>
          <w:sz w:val="16"/>
          <w:szCs w:val="16"/>
        </w:rPr>
        <w:t>: 923-936 [PMID: 21126704 DOI: 10.1016/j.bpg.2010.10.004]</w:t>
      </w:r>
    </w:p>
    <w:p w:rsidR="00737F2A" w:rsidRPr="008C639B" w:rsidRDefault="00737F2A" w:rsidP="00737F2A">
      <w:pPr>
        <w:suppressAutoHyphens/>
        <w:autoSpaceDE w:val="0"/>
        <w:autoSpaceDN w:val="0"/>
        <w:adjustRightInd w:val="0"/>
        <w:spacing w:line="200" w:lineRule="atLeast"/>
        <w:ind w:left="360" w:hanging="360"/>
        <w:textAlignment w:val="center"/>
        <w:rPr>
          <w:color w:val="000000"/>
          <w:spacing w:val="-1"/>
          <w:kern w:val="0"/>
          <w:sz w:val="16"/>
          <w:szCs w:val="16"/>
        </w:rPr>
      </w:pPr>
      <w:r w:rsidRPr="008C639B">
        <w:rPr>
          <w:color w:val="000000"/>
          <w:spacing w:val="-1"/>
          <w:kern w:val="0"/>
          <w:sz w:val="16"/>
          <w:szCs w:val="16"/>
        </w:rPr>
        <w:t>7</w:t>
      </w:r>
      <w:r w:rsidRPr="008C639B">
        <w:rPr>
          <w:color w:val="000000"/>
          <w:spacing w:val="-1"/>
          <w:kern w:val="0"/>
          <w:sz w:val="16"/>
          <w:szCs w:val="16"/>
        </w:rPr>
        <w:tab/>
      </w:r>
      <w:proofErr w:type="spellStart"/>
      <w:r w:rsidRPr="008C639B">
        <w:rPr>
          <w:b/>
          <w:bCs/>
          <w:color w:val="000000"/>
          <w:spacing w:val="-1"/>
          <w:kern w:val="0"/>
          <w:sz w:val="16"/>
          <w:szCs w:val="16"/>
        </w:rPr>
        <w:t>Fass</w:t>
      </w:r>
      <w:proofErr w:type="spellEnd"/>
      <w:r w:rsidRPr="008C639B">
        <w:rPr>
          <w:b/>
          <w:bCs/>
          <w:color w:val="000000"/>
          <w:spacing w:val="-1"/>
          <w:kern w:val="0"/>
          <w:sz w:val="16"/>
          <w:szCs w:val="16"/>
        </w:rPr>
        <w:t xml:space="preserve"> R</w:t>
      </w:r>
      <w:r w:rsidRPr="008C639B">
        <w:rPr>
          <w:color w:val="000000"/>
          <w:spacing w:val="-1"/>
          <w:kern w:val="0"/>
          <w:sz w:val="16"/>
          <w:szCs w:val="16"/>
        </w:rPr>
        <w:t xml:space="preserve">. Proton </w:t>
      </w:r>
      <w:proofErr w:type="gramStart"/>
      <w:r w:rsidRPr="008C639B">
        <w:rPr>
          <w:color w:val="000000"/>
          <w:spacing w:val="-1"/>
          <w:kern w:val="0"/>
          <w:sz w:val="16"/>
          <w:szCs w:val="16"/>
        </w:rPr>
        <w:t>pump</w:t>
      </w:r>
      <w:proofErr w:type="gramEnd"/>
      <w:r w:rsidRPr="008C639B">
        <w:rPr>
          <w:color w:val="000000"/>
          <w:spacing w:val="-1"/>
          <w:kern w:val="0"/>
          <w:sz w:val="16"/>
          <w:szCs w:val="16"/>
        </w:rPr>
        <w:t xml:space="preserve"> inhibitor failure--what are the therapeutic options? </w:t>
      </w:r>
      <w:r w:rsidRPr="008C639B">
        <w:rPr>
          <w:i/>
          <w:iCs/>
          <w:color w:val="000000"/>
          <w:spacing w:val="-1"/>
          <w:kern w:val="0"/>
          <w:sz w:val="16"/>
          <w:szCs w:val="16"/>
        </w:rPr>
        <w:t xml:space="preserve">Am J </w:t>
      </w:r>
      <w:proofErr w:type="spellStart"/>
      <w:r w:rsidRPr="008C639B">
        <w:rPr>
          <w:i/>
          <w:iCs/>
          <w:color w:val="000000"/>
          <w:spacing w:val="-1"/>
          <w:kern w:val="0"/>
          <w:sz w:val="16"/>
          <w:szCs w:val="16"/>
        </w:rPr>
        <w:t>Gastroenterol</w:t>
      </w:r>
      <w:proofErr w:type="spellEnd"/>
      <w:r w:rsidRPr="008C639B">
        <w:rPr>
          <w:color w:val="000000"/>
          <w:spacing w:val="-1"/>
          <w:kern w:val="0"/>
          <w:sz w:val="16"/>
          <w:szCs w:val="16"/>
        </w:rPr>
        <w:t xml:space="preserve"> 2009; </w:t>
      </w:r>
      <w:r w:rsidRPr="008C639B">
        <w:rPr>
          <w:b/>
          <w:bCs/>
          <w:color w:val="000000"/>
          <w:spacing w:val="-1"/>
          <w:kern w:val="0"/>
          <w:sz w:val="16"/>
          <w:szCs w:val="16"/>
        </w:rPr>
        <w:t xml:space="preserve">104 </w:t>
      </w:r>
      <w:proofErr w:type="spellStart"/>
      <w:r w:rsidRPr="008C639B">
        <w:rPr>
          <w:color w:val="000000"/>
          <w:spacing w:val="-1"/>
          <w:kern w:val="0"/>
          <w:sz w:val="16"/>
          <w:szCs w:val="16"/>
        </w:rPr>
        <w:t>Suppl</w:t>
      </w:r>
      <w:proofErr w:type="spellEnd"/>
      <w:r w:rsidRPr="008C639B">
        <w:rPr>
          <w:color w:val="000000"/>
          <w:spacing w:val="-1"/>
          <w:kern w:val="0"/>
          <w:sz w:val="16"/>
          <w:szCs w:val="16"/>
        </w:rPr>
        <w:t xml:space="preserve"> 2: S33-S38 [PMID: 19262545 DOI: 10.1038/ajg.2009.50]</w:t>
      </w:r>
    </w:p>
    <w:p w:rsidR="00737F2A" w:rsidRPr="008C639B" w:rsidRDefault="00737F2A" w:rsidP="00737F2A">
      <w:pPr>
        <w:suppressAutoHyphens/>
        <w:autoSpaceDE w:val="0"/>
        <w:autoSpaceDN w:val="0"/>
        <w:adjustRightInd w:val="0"/>
        <w:spacing w:line="200" w:lineRule="atLeast"/>
        <w:ind w:left="360" w:hanging="360"/>
        <w:textAlignment w:val="center"/>
        <w:rPr>
          <w:color w:val="000000"/>
          <w:spacing w:val="-1"/>
          <w:kern w:val="0"/>
          <w:sz w:val="16"/>
          <w:szCs w:val="16"/>
        </w:rPr>
      </w:pPr>
      <w:r w:rsidRPr="008C639B">
        <w:rPr>
          <w:color w:val="000000"/>
          <w:spacing w:val="-1"/>
          <w:kern w:val="0"/>
          <w:sz w:val="16"/>
          <w:szCs w:val="16"/>
        </w:rPr>
        <w:t>8</w:t>
      </w:r>
      <w:r w:rsidRPr="008C639B">
        <w:rPr>
          <w:color w:val="000000"/>
          <w:spacing w:val="-1"/>
          <w:kern w:val="0"/>
          <w:sz w:val="16"/>
          <w:szCs w:val="16"/>
        </w:rPr>
        <w:tab/>
      </w:r>
      <w:proofErr w:type="spellStart"/>
      <w:r w:rsidRPr="008C639B">
        <w:rPr>
          <w:b/>
          <w:bCs/>
          <w:color w:val="000000"/>
          <w:spacing w:val="-1"/>
          <w:kern w:val="0"/>
          <w:sz w:val="16"/>
          <w:szCs w:val="16"/>
        </w:rPr>
        <w:t>Revicki</w:t>
      </w:r>
      <w:proofErr w:type="spellEnd"/>
      <w:r w:rsidRPr="008C639B">
        <w:rPr>
          <w:b/>
          <w:bCs/>
          <w:color w:val="000000"/>
          <w:spacing w:val="-1"/>
          <w:kern w:val="0"/>
          <w:sz w:val="16"/>
          <w:szCs w:val="16"/>
        </w:rPr>
        <w:t xml:space="preserve"> DA</w:t>
      </w:r>
      <w:r w:rsidRPr="008C639B">
        <w:rPr>
          <w:color w:val="000000"/>
          <w:spacing w:val="-1"/>
          <w:kern w:val="0"/>
          <w:sz w:val="16"/>
          <w:szCs w:val="16"/>
        </w:rPr>
        <w:t xml:space="preserve">, Wood M, </w:t>
      </w:r>
      <w:proofErr w:type="spellStart"/>
      <w:r w:rsidRPr="008C639B">
        <w:rPr>
          <w:color w:val="000000"/>
          <w:spacing w:val="-1"/>
          <w:kern w:val="0"/>
          <w:sz w:val="16"/>
          <w:szCs w:val="16"/>
        </w:rPr>
        <w:t>Maton</w:t>
      </w:r>
      <w:proofErr w:type="spellEnd"/>
      <w:r w:rsidRPr="008C639B">
        <w:rPr>
          <w:color w:val="000000"/>
          <w:spacing w:val="-1"/>
          <w:kern w:val="0"/>
          <w:sz w:val="16"/>
          <w:szCs w:val="16"/>
        </w:rPr>
        <w:t xml:space="preserve"> PN, Sorensen S. The impact of </w:t>
      </w:r>
      <w:proofErr w:type="spellStart"/>
      <w:r w:rsidRPr="008C639B">
        <w:rPr>
          <w:color w:val="000000"/>
          <w:spacing w:val="-1"/>
          <w:kern w:val="0"/>
          <w:sz w:val="16"/>
          <w:szCs w:val="16"/>
        </w:rPr>
        <w:t>gastroesophageal</w:t>
      </w:r>
      <w:proofErr w:type="spellEnd"/>
      <w:r w:rsidRPr="008C639B">
        <w:rPr>
          <w:color w:val="000000"/>
          <w:spacing w:val="-1"/>
          <w:kern w:val="0"/>
          <w:sz w:val="16"/>
          <w:szCs w:val="16"/>
        </w:rPr>
        <w:t xml:space="preserve"> reflux disease on health-related quality of life. </w:t>
      </w:r>
      <w:r w:rsidRPr="008C639B">
        <w:rPr>
          <w:i/>
          <w:iCs/>
          <w:color w:val="000000"/>
          <w:spacing w:val="-1"/>
          <w:kern w:val="0"/>
          <w:sz w:val="16"/>
          <w:szCs w:val="16"/>
        </w:rPr>
        <w:t>Am J Med</w:t>
      </w:r>
      <w:r w:rsidRPr="008C639B">
        <w:rPr>
          <w:color w:val="000000"/>
          <w:spacing w:val="-1"/>
          <w:kern w:val="0"/>
          <w:sz w:val="16"/>
          <w:szCs w:val="16"/>
        </w:rPr>
        <w:t xml:space="preserve"> 1998; </w:t>
      </w:r>
      <w:r w:rsidRPr="008C639B">
        <w:rPr>
          <w:b/>
          <w:bCs/>
          <w:color w:val="000000"/>
          <w:spacing w:val="-1"/>
          <w:kern w:val="0"/>
          <w:sz w:val="16"/>
          <w:szCs w:val="16"/>
        </w:rPr>
        <w:t>104</w:t>
      </w:r>
      <w:r w:rsidRPr="008C639B">
        <w:rPr>
          <w:color w:val="000000"/>
          <w:spacing w:val="-1"/>
          <w:kern w:val="0"/>
          <w:sz w:val="16"/>
          <w:szCs w:val="16"/>
        </w:rPr>
        <w:t>: 252-258 [PMID: 9552088]</w:t>
      </w:r>
    </w:p>
    <w:p w:rsidR="00737F2A" w:rsidRPr="008C639B" w:rsidRDefault="00737F2A" w:rsidP="00737F2A">
      <w:pPr>
        <w:suppressAutoHyphens/>
        <w:autoSpaceDE w:val="0"/>
        <w:autoSpaceDN w:val="0"/>
        <w:adjustRightInd w:val="0"/>
        <w:spacing w:line="200" w:lineRule="atLeast"/>
        <w:ind w:left="360" w:hanging="360"/>
        <w:textAlignment w:val="center"/>
        <w:rPr>
          <w:color w:val="000000"/>
          <w:spacing w:val="-1"/>
          <w:kern w:val="0"/>
          <w:sz w:val="16"/>
          <w:szCs w:val="16"/>
        </w:rPr>
      </w:pPr>
      <w:r w:rsidRPr="008C639B">
        <w:rPr>
          <w:color w:val="000000"/>
          <w:spacing w:val="-1"/>
          <w:kern w:val="0"/>
          <w:sz w:val="16"/>
          <w:szCs w:val="16"/>
        </w:rPr>
        <w:t>9</w:t>
      </w:r>
      <w:r w:rsidRPr="008C639B">
        <w:rPr>
          <w:color w:val="000000"/>
          <w:spacing w:val="-1"/>
          <w:kern w:val="0"/>
          <w:sz w:val="16"/>
          <w:szCs w:val="16"/>
        </w:rPr>
        <w:tab/>
      </w:r>
      <w:proofErr w:type="spellStart"/>
      <w:r w:rsidRPr="008C639B">
        <w:rPr>
          <w:b/>
          <w:bCs/>
          <w:color w:val="000000"/>
          <w:spacing w:val="-1"/>
          <w:kern w:val="0"/>
          <w:sz w:val="16"/>
          <w:szCs w:val="16"/>
        </w:rPr>
        <w:t>Kukulka</w:t>
      </w:r>
      <w:proofErr w:type="spellEnd"/>
      <w:r w:rsidRPr="008C639B">
        <w:rPr>
          <w:b/>
          <w:bCs/>
          <w:color w:val="000000"/>
          <w:spacing w:val="-1"/>
          <w:kern w:val="0"/>
          <w:sz w:val="16"/>
          <w:szCs w:val="16"/>
        </w:rPr>
        <w:t xml:space="preserve"> M</w:t>
      </w:r>
      <w:r w:rsidRPr="008C639B">
        <w:rPr>
          <w:color w:val="000000"/>
          <w:spacing w:val="-1"/>
          <w:kern w:val="0"/>
          <w:sz w:val="16"/>
          <w:szCs w:val="16"/>
        </w:rPr>
        <w:t xml:space="preserve">, Eisenberg C, </w:t>
      </w:r>
      <w:proofErr w:type="spellStart"/>
      <w:r w:rsidRPr="008C639B">
        <w:rPr>
          <w:color w:val="000000"/>
          <w:spacing w:val="-1"/>
          <w:kern w:val="0"/>
          <w:sz w:val="16"/>
          <w:szCs w:val="16"/>
        </w:rPr>
        <w:t>Nudurupati</w:t>
      </w:r>
      <w:proofErr w:type="spellEnd"/>
      <w:r w:rsidRPr="008C639B">
        <w:rPr>
          <w:color w:val="000000"/>
          <w:spacing w:val="-1"/>
          <w:kern w:val="0"/>
          <w:sz w:val="16"/>
          <w:szCs w:val="16"/>
        </w:rPr>
        <w:t xml:space="preserve"> S. Comparator pH study to evaluate the single-dose pharmacodynamics of dual delayed-release </w:t>
      </w:r>
      <w:proofErr w:type="spellStart"/>
      <w:r w:rsidRPr="008C639B">
        <w:rPr>
          <w:color w:val="000000"/>
          <w:spacing w:val="-1"/>
          <w:kern w:val="0"/>
          <w:sz w:val="16"/>
          <w:szCs w:val="16"/>
        </w:rPr>
        <w:lastRenderedPageBreak/>
        <w:t>dexlansoprazole</w:t>
      </w:r>
      <w:proofErr w:type="spellEnd"/>
      <w:r w:rsidRPr="008C639B">
        <w:rPr>
          <w:color w:val="000000"/>
          <w:spacing w:val="-1"/>
          <w:kern w:val="0"/>
          <w:sz w:val="16"/>
          <w:szCs w:val="16"/>
        </w:rPr>
        <w:t xml:space="preserve"> 60 mg and delayed-release esomeprazole 40 mg. </w:t>
      </w:r>
      <w:proofErr w:type="spellStart"/>
      <w:r w:rsidRPr="008C639B">
        <w:rPr>
          <w:i/>
          <w:iCs/>
          <w:color w:val="000000"/>
          <w:spacing w:val="-1"/>
          <w:kern w:val="0"/>
          <w:sz w:val="16"/>
          <w:szCs w:val="16"/>
        </w:rPr>
        <w:t>Clin</w:t>
      </w:r>
      <w:proofErr w:type="spellEnd"/>
      <w:r w:rsidRPr="008C639B">
        <w:rPr>
          <w:i/>
          <w:iCs/>
          <w:color w:val="000000"/>
          <w:spacing w:val="-1"/>
          <w:kern w:val="0"/>
          <w:sz w:val="16"/>
          <w:szCs w:val="16"/>
        </w:rPr>
        <w:t xml:space="preserve"> </w:t>
      </w:r>
      <w:proofErr w:type="spellStart"/>
      <w:r w:rsidRPr="008C639B">
        <w:rPr>
          <w:i/>
          <w:iCs/>
          <w:color w:val="000000"/>
          <w:spacing w:val="-1"/>
          <w:kern w:val="0"/>
          <w:sz w:val="16"/>
          <w:szCs w:val="16"/>
        </w:rPr>
        <w:t>Exp</w:t>
      </w:r>
      <w:proofErr w:type="spellEnd"/>
      <w:r w:rsidRPr="008C639B">
        <w:rPr>
          <w:i/>
          <w:iCs/>
          <w:color w:val="000000"/>
          <w:spacing w:val="-1"/>
          <w:kern w:val="0"/>
          <w:sz w:val="16"/>
          <w:szCs w:val="16"/>
        </w:rPr>
        <w:t xml:space="preserve"> </w:t>
      </w:r>
      <w:proofErr w:type="spellStart"/>
      <w:r w:rsidRPr="008C639B">
        <w:rPr>
          <w:i/>
          <w:iCs/>
          <w:color w:val="000000"/>
          <w:spacing w:val="-1"/>
          <w:kern w:val="0"/>
          <w:sz w:val="16"/>
          <w:szCs w:val="16"/>
        </w:rPr>
        <w:t>Gastroenterol</w:t>
      </w:r>
      <w:proofErr w:type="spellEnd"/>
      <w:r w:rsidRPr="008C639B">
        <w:rPr>
          <w:color w:val="000000"/>
          <w:spacing w:val="-1"/>
          <w:kern w:val="0"/>
          <w:sz w:val="16"/>
          <w:szCs w:val="16"/>
        </w:rPr>
        <w:t xml:space="preserve"> 2011; </w:t>
      </w:r>
      <w:r w:rsidRPr="008C639B">
        <w:rPr>
          <w:b/>
          <w:bCs/>
          <w:color w:val="000000"/>
          <w:spacing w:val="-1"/>
          <w:kern w:val="0"/>
          <w:sz w:val="16"/>
          <w:szCs w:val="16"/>
        </w:rPr>
        <w:t>4</w:t>
      </w:r>
      <w:r w:rsidRPr="008C639B">
        <w:rPr>
          <w:color w:val="000000"/>
          <w:spacing w:val="-1"/>
          <w:kern w:val="0"/>
          <w:sz w:val="16"/>
          <w:szCs w:val="16"/>
        </w:rPr>
        <w:t>: 213-220 [PMID: 22016582 DOI: 10.2147/CEG.S24063]</w:t>
      </w:r>
    </w:p>
    <w:p w:rsidR="00737F2A" w:rsidRPr="008C639B" w:rsidRDefault="00737F2A" w:rsidP="00737F2A">
      <w:pPr>
        <w:suppressAutoHyphens/>
        <w:autoSpaceDE w:val="0"/>
        <w:autoSpaceDN w:val="0"/>
        <w:adjustRightInd w:val="0"/>
        <w:spacing w:line="200" w:lineRule="atLeast"/>
        <w:ind w:left="360" w:hanging="360"/>
        <w:textAlignment w:val="center"/>
        <w:rPr>
          <w:color w:val="000000"/>
          <w:spacing w:val="-1"/>
          <w:kern w:val="0"/>
          <w:sz w:val="16"/>
          <w:szCs w:val="16"/>
        </w:rPr>
      </w:pPr>
      <w:r w:rsidRPr="008C639B">
        <w:rPr>
          <w:color w:val="000000"/>
          <w:spacing w:val="-1"/>
          <w:kern w:val="0"/>
          <w:sz w:val="16"/>
          <w:szCs w:val="16"/>
        </w:rPr>
        <w:t>10</w:t>
      </w:r>
      <w:r w:rsidRPr="008C639B">
        <w:rPr>
          <w:color w:val="000000"/>
          <w:spacing w:val="-1"/>
          <w:kern w:val="0"/>
          <w:sz w:val="16"/>
          <w:szCs w:val="16"/>
        </w:rPr>
        <w:tab/>
      </w:r>
      <w:r w:rsidRPr="008C639B">
        <w:rPr>
          <w:b/>
          <w:bCs/>
          <w:color w:val="000000"/>
          <w:spacing w:val="-1"/>
          <w:kern w:val="0"/>
          <w:sz w:val="16"/>
          <w:szCs w:val="16"/>
        </w:rPr>
        <w:t>Wong WM</w:t>
      </w:r>
      <w:r w:rsidRPr="008C639B">
        <w:rPr>
          <w:color w:val="000000"/>
          <w:spacing w:val="-1"/>
          <w:kern w:val="0"/>
          <w:sz w:val="16"/>
          <w:szCs w:val="16"/>
        </w:rPr>
        <w:t xml:space="preserve">, Lai KC, Lam KF, </w:t>
      </w:r>
      <w:proofErr w:type="spellStart"/>
      <w:r w:rsidRPr="008C639B">
        <w:rPr>
          <w:color w:val="000000"/>
          <w:spacing w:val="-1"/>
          <w:kern w:val="0"/>
          <w:sz w:val="16"/>
          <w:szCs w:val="16"/>
        </w:rPr>
        <w:t>Hui</w:t>
      </w:r>
      <w:proofErr w:type="spellEnd"/>
      <w:r w:rsidRPr="008C639B">
        <w:rPr>
          <w:color w:val="000000"/>
          <w:spacing w:val="-1"/>
          <w:kern w:val="0"/>
          <w:sz w:val="16"/>
          <w:szCs w:val="16"/>
        </w:rPr>
        <w:t xml:space="preserve"> WM, Hu WH, Lam CL, Xia HH, Huang JQ, Chan CK, Lam SK, Wong BC. Prevalence, clinical spectrum and health care utilization of gastro-</w:t>
      </w:r>
      <w:proofErr w:type="spellStart"/>
      <w:r w:rsidRPr="008C639B">
        <w:rPr>
          <w:color w:val="000000"/>
          <w:spacing w:val="-1"/>
          <w:kern w:val="0"/>
          <w:sz w:val="16"/>
          <w:szCs w:val="16"/>
        </w:rPr>
        <w:t>oesophageal</w:t>
      </w:r>
      <w:proofErr w:type="spellEnd"/>
      <w:r w:rsidRPr="008C639B">
        <w:rPr>
          <w:color w:val="000000"/>
          <w:spacing w:val="-1"/>
          <w:kern w:val="0"/>
          <w:sz w:val="16"/>
          <w:szCs w:val="16"/>
        </w:rPr>
        <w:t xml:space="preserve"> reflux disease in a Chinese population: a population-based study. </w:t>
      </w:r>
      <w:r w:rsidRPr="008C639B">
        <w:rPr>
          <w:i/>
          <w:iCs/>
          <w:color w:val="000000"/>
          <w:spacing w:val="-1"/>
          <w:kern w:val="0"/>
          <w:sz w:val="16"/>
          <w:szCs w:val="16"/>
        </w:rPr>
        <w:t xml:space="preserve">Aliment </w:t>
      </w:r>
      <w:proofErr w:type="spellStart"/>
      <w:r w:rsidRPr="008C639B">
        <w:rPr>
          <w:i/>
          <w:iCs/>
          <w:color w:val="000000"/>
          <w:spacing w:val="-1"/>
          <w:kern w:val="0"/>
          <w:sz w:val="16"/>
          <w:szCs w:val="16"/>
        </w:rPr>
        <w:t>Pharmacol</w:t>
      </w:r>
      <w:proofErr w:type="spellEnd"/>
      <w:r w:rsidRPr="008C639B">
        <w:rPr>
          <w:i/>
          <w:iCs/>
          <w:color w:val="000000"/>
          <w:spacing w:val="-1"/>
          <w:kern w:val="0"/>
          <w:sz w:val="16"/>
          <w:szCs w:val="16"/>
        </w:rPr>
        <w:t xml:space="preserve"> </w:t>
      </w:r>
      <w:proofErr w:type="spellStart"/>
      <w:r w:rsidRPr="008C639B">
        <w:rPr>
          <w:i/>
          <w:iCs/>
          <w:color w:val="000000"/>
          <w:spacing w:val="-1"/>
          <w:kern w:val="0"/>
          <w:sz w:val="16"/>
          <w:szCs w:val="16"/>
        </w:rPr>
        <w:t>Ther</w:t>
      </w:r>
      <w:proofErr w:type="spellEnd"/>
      <w:r w:rsidRPr="008C639B">
        <w:rPr>
          <w:color w:val="000000"/>
          <w:spacing w:val="-1"/>
          <w:kern w:val="0"/>
          <w:sz w:val="16"/>
          <w:szCs w:val="16"/>
        </w:rPr>
        <w:t xml:space="preserve"> 2003; </w:t>
      </w:r>
      <w:r w:rsidRPr="008C639B">
        <w:rPr>
          <w:b/>
          <w:bCs/>
          <w:color w:val="000000"/>
          <w:spacing w:val="-1"/>
          <w:kern w:val="0"/>
          <w:sz w:val="16"/>
          <w:szCs w:val="16"/>
        </w:rPr>
        <w:t>18</w:t>
      </w:r>
      <w:r w:rsidRPr="008C639B">
        <w:rPr>
          <w:color w:val="000000"/>
          <w:spacing w:val="-1"/>
          <w:kern w:val="0"/>
          <w:sz w:val="16"/>
          <w:szCs w:val="16"/>
        </w:rPr>
        <w:t>: 595-604 [PMID: 12969086]</w:t>
      </w:r>
    </w:p>
    <w:p w:rsidR="00737F2A" w:rsidRPr="008C639B" w:rsidRDefault="00737F2A" w:rsidP="00737F2A">
      <w:pPr>
        <w:suppressAutoHyphens/>
        <w:autoSpaceDE w:val="0"/>
        <w:autoSpaceDN w:val="0"/>
        <w:adjustRightInd w:val="0"/>
        <w:spacing w:line="200" w:lineRule="atLeast"/>
        <w:ind w:left="360" w:hanging="360"/>
        <w:textAlignment w:val="center"/>
        <w:rPr>
          <w:color w:val="000000"/>
          <w:spacing w:val="-1"/>
          <w:kern w:val="0"/>
          <w:sz w:val="16"/>
          <w:szCs w:val="16"/>
        </w:rPr>
      </w:pPr>
      <w:r w:rsidRPr="008C639B">
        <w:rPr>
          <w:color w:val="000000"/>
          <w:spacing w:val="-1"/>
          <w:kern w:val="0"/>
          <w:sz w:val="16"/>
          <w:szCs w:val="16"/>
        </w:rPr>
        <w:t>11</w:t>
      </w:r>
      <w:r w:rsidRPr="008C639B">
        <w:rPr>
          <w:color w:val="000000"/>
          <w:spacing w:val="-1"/>
          <w:kern w:val="0"/>
          <w:sz w:val="16"/>
          <w:szCs w:val="16"/>
        </w:rPr>
        <w:tab/>
      </w:r>
      <w:proofErr w:type="spellStart"/>
      <w:r w:rsidRPr="008C639B">
        <w:rPr>
          <w:b/>
          <w:bCs/>
          <w:color w:val="000000"/>
          <w:spacing w:val="-1"/>
          <w:kern w:val="0"/>
          <w:sz w:val="16"/>
          <w:szCs w:val="16"/>
        </w:rPr>
        <w:t>Lundell</w:t>
      </w:r>
      <w:proofErr w:type="spellEnd"/>
      <w:r w:rsidRPr="008C639B">
        <w:rPr>
          <w:b/>
          <w:bCs/>
          <w:color w:val="000000"/>
          <w:spacing w:val="-1"/>
          <w:kern w:val="0"/>
          <w:sz w:val="16"/>
          <w:szCs w:val="16"/>
        </w:rPr>
        <w:t xml:space="preserve"> LR</w:t>
      </w:r>
      <w:r w:rsidRPr="008C639B">
        <w:rPr>
          <w:color w:val="000000"/>
          <w:spacing w:val="-1"/>
          <w:kern w:val="0"/>
          <w:sz w:val="16"/>
          <w:szCs w:val="16"/>
        </w:rPr>
        <w:t xml:space="preserve">, Dent J, Bennett JR, Blum AL, Armstrong D, </w:t>
      </w:r>
      <w:proofErr w:type="spellStart"/>
      <w:r w:rsidRPr="008C639B">
        <w:rPr>
          <w:color w:val="000000"/>
          <w:spacing w:val="-1"/>
          <w:kern w:val="0"/>
          <w:sz w:val="16"/>
          <w:szCs w:val="16"/>
        </w:rPr>
        <w:t>Galmiche</w:t>
      </w:r>
      <w:proofErr w:type="spellEnd"/>
      <w:r w:rsidRPr="008C639B">
        <w:rPr>
          <w:color w:val="000000"/>
          <w:spacing w:val="-1"/>
          <w:kern w:val="0"/>
          <w:sz w:val="16"/>
          <w:szCs w:val="16"/>
        </w:rPr>
        <w:t xml:space="preserve"> JP, Johnson F, </w:t>
      </w:r>
      <w:proofErr w:type="spellStart"/>
      <w:r w:rsidRPr="008C639B">
        <w:rPr>
          <w:color w:val="000000"/>
          <w:spacing w:val="-1"/>
          <w:kern w:val="0"/>
          <w:sz w:val="16"/>
          <w:szCs w:val="16"/>
        </w:rPr>
        <w:t>Hongo</w:t>
      </w:r>
      <w:proofErr w:type="spellEnd"/>
      <w:r w:rsidRPr="008C639B">
        <w:rPr>
          <w:color w:val="000000"/>
          <w:spacing w:val="-1"/>
          <w:kern w:val="0"/>
          <w:sz w:val="16"/>
          <w:szCs w:val="16"/>
        </w:rPr>
        <w:t xml:space="preserve"> M, Richter JE, </w:t>
      </w:r>
      <w:proofErr w:type="spellStart"/>
      <w:r w:rsidRPr="008C639B">
        <w:rPr>
          <w:color w:val="000000"/>
          <w:spacing w:val="-1"/>
          <w:kern w:val="0"/>
          <w:sz w:val="16"/>
          <w:szCs w:val="16"/>
        </w:rPr>
        <w:t>Spechler</w:t>
      </w:r>
      <w:proofErr w:type="spellEnd"/>
      <w:r w:rsidRPr="008C639B">
        <w:rPr>
          <w:color w:val="000000"/>
          <w:spacing w:val="-1"/>
          <w:kern w:val="0"/>
          <w:sz w:val="16"/>
          <w:szCs w:val="16"/>
        </w:rPr>
        <w:t xml:space="preserve"> SJ, </w:t>
      </w:r>
      <w:proofErr w:type="spellStart"/>
      <w:r w:rsidRPr="008C639B">
        <w:rPr>
          <w:color w:val="000000"/>
          <w:spacing w:val="-1"/>
          <w:kern w:val="0"/>
          <w:sz w:val="16"/>
          <w:szCs w:val="16"/>
        </w:rPr>
        <w:t>Tytgat</w:t>
      </w:r>
      <w:proofErr w:type="spellEnd"/>
      <w:r w:rsidRPr="008C639B">
        <w:rPr>
          <w:color w:val="000000"/>
          <w:spacing w:val="-1"/>
          <w:kern w:val="0"/>
          <w:sz w:val="16"/>
          <w:szCs w:val="16"/>
        </w:rPr>
        <w:t xml:space="preserve"> GN, </w:t>
      </w:r>
      <w:proofErr w:type="spellStart"/>
      <w:r w:rsidRPr="008C639B">
        <w:rPr>
          <w:color w:val="000000"/>
          <w:spacing w:val="-1"/>
          <w:kern w:val="0"/>
          <w:sz w:val="16"/>
          <w:szCs w:val="16"/>
        </w:rPr>
        <w:t>Wallin</w:t>
      </w:r>
      <w:proofErr w:type="spellEnd"/>
      <w:r w:rsidRPr="008C639B">
        <w:rPr>
          <w:color w:val="000000"/>
          <w:spacing w:val="-1"/>
          <w:kern w:val="0"/>
          <w:sz w:val="16"/>
          <w:szCs w:val="16"/>
        </w:rPr>
        <w:t xml:space="preserve"> L. Endoscopic assessment of </w:t>
      </w:r>
      <w:proofErr w:type="spellStart"/>
      <w:r w:rsidRPr="008C639B">
        <w:rPr>
          <w:color w:val="000000"/>
          <w:spacing w:val="-1"/>
          <w:kern w:val="0"/>
          <w:sz w:val="16"/>
          <w:szCs w:val="16"/>
        </w:rPr>
        <w:t>oesophagitis</w:t>
      </w:r>
      <w:proofErr w:type="spellEnd"/>
      <w:r w:rsidRPr="008C639B">
        <w:rPr>
          <w:color w:val="000000"/>
          <w:spacing w:val="-1"/>
          <w:kern w:val="0"/>
          <w:sz w:val="16"/>
          <w:szCs w:val="16"/>
        </w:rPr>
        <w:t xml:space="preserve">: clinical and functional correlates and further validation of the Los Angeles classification. </w:t>
      </w:r>
      <w:r w:rsidRPr="008C639B">
        <w:rPr>
          <w:i/>
          <w:iCs/>
          <w:color w:val="000000"/>
          <w:spacing w:val="-1"/>
          <w:kern w:val="0"/>
          <w:sz w:val="16"/>
          <w:szCs w:val="16"/>
        </w:rPr>
        <w:t>Gut</w:t>
      </w:r>
      <w:r w:rsidRPr="008C639B">
        <w:rPr>
          <w:color w:val="000000"/>
          <w:spacing w:val="-1"/>
          <w:kern w:val="0"/>
          <w:sz w:val="16"/>
          <w:szCs w:val="16"/>
        </w:rPr>
        <w:t xml:space="preserve"> 1999; </w:t>
      </w:r>
      <w:r w:rsidRPr="008C639B">
        <w:rPr>
          <w:b/>
          <w:bCs/>
          <w:color w:val="000000"/>
          <w:spacing w:val="-1"/>
          <w:kern w:val="0"/>
          <w:sz w:val="16"/>
          <w:szCs w:val="16"/>
        </w:rPr>
        <w:t>45</w:t>
      </w:r>
      <w:r w:rsidRPr="008C639B">
        <w:rPr>
          <w:color w:val="000000"/>
          <w:spacing w:val="-1"/>
          <w:kern w:val="0"/>
          <w:sz w:val="16"/>
          <w:szCs w:val="16"/>
        </w:rPr>
        <w:t>: 172-180 [PMID: 10403727]</w:t>
      </w:r>
    </w:p>
    <w:p w:rsidR="00737F2A" w:rsidRPr="008C639B" w:rsidRDefault="00737F2A" w:rsidP="00737F2A">
      <w:pPr>
        <w:suppressAutoHyphens/>
        <w:autoSpaceDE w:val="0"/>
        <w:autoSpaceDN w:val="0"/>
        <w:adjustRightInd w:val="0"/>
        <w:spacing w:line="200" w:lineRule="atLeast"/>
        <w:ind w:left="360" w:hanging="360"/>
        <w:textAlignment w:val="center"/>
        <w:rPr>
          <w:color w:val="000000"/>
          <w:spacing w:val="-1"/>
          <w:kern w:val="0"/>
          <w:sz w:val="16"/>
          <w:szCs w:val="16"/>
        </w:rPr>
      </w:pPr>
      <w:r w:rsidRPr="008C639B">
        <w:rPr>
          <w:color w:val="000000"/>
          <w:spacing w:val="-1"/>
          <w:kern w:val="0"/>
          <w:sz w:val="16"/>
          <w:szCs w:val="16"/>
        </w:rPr>
        <w:t>12</w:t>
      </w:r>
      <w:r w:rsidRPr="008C639B">
        <w:rPr>
          <w:color w:val="000000"/>
          <w:spacing w:val="-1"/>
          <w:kern w:val="0"/>
          <w:sz w:val="16"/>
          <w:szCs w:val="16"/>
        </w:rPr>
        <w:tab/>
      </w:r>
      <w:proofErr w:type="spellStart"/>
      <w:r w:rsidRPr="008C639B">
        <w:rPr>
          <w:b/>
          <w:bCs/>
          <w:color w:val="000000"/>
          <w:spacing w:val="-1"/>
          <w:kern w:val="0"/>
          <w:sz w:val="16"/>
          <w:szCs w:val="16"/>
        </w:rPr>
        <w:t>Vakil</w:t>
      </w:r>
      <w:proofErr w:type="spellEnd"/>
      <w:r w:rsidRPr="008C639B">
        <w:rPr>
          <w:b/>
          <w:bCs/>
          <w:color w:val="000000"/>
          <w:spacing w:val="-1"/>
          <w:kern w:val="0"/>
          <w:sz w:val="16"/>
          <w:szCs w:val="16"/>
        </w:rPr>
        <w:t xml:space="preserve"> N</w:t>
      </w:r>
      <w:r w:rsidRPr="008C639B">
        <w:rPr>
          <w:color w:val="000000"/>
          <w:spacing w:val="-1"/>
          <w:kern w:val="0"/>
          <w:sz w:val="16"/>
          <w:szCs w:val="16"/>
        </w:rPr>
        <w:t xml:space="preserve">, van </w:t>
      </w:r>
      <w:proofErr w:type="spellStart"/>
      <w:r w:rsidRPr="008C639B">
        <w:rPr>
          <w:color w:val="000000"/>
          <w:spacing w:val="-1"/>
          <w:kern w:val="0"/>
          <w:sz w:val="16"/>
          <w:szCs w:val="16"/>
        </w:rPr>
        <w:t>Zanten</w:t>
      </w:r>
      <w:proofErr w:type="spellEnd"/>
      <w:r w:rsidRPr="008C639B">
        <w:rPr>
          <w:color w:val="000000"/>
          <w:spacing w:val="-1"/>
          <w:kern w:val="0"/>
          <w:sz w:val="16"/>
          <w:szCs w:val="16"/>
        </w:rPr>
        <w:t xml:space="preserve"> SV, </w:t>
      </w:r>
      <w:proofErr w:type="spellStart"/>
      <w:r w:rsidRPr="008C639B">
        <w:rPr>
          <w:color w:val="000000"/>
          <w:spacing w:val="-1"/>
          <w:kern w:val="0"/>
          <w:sz w:val="16"/>
          <w:szCs w:val="16"/>
        </w:rPr>
        <w:t>Kahrilas</w:t>
      </w:r>
      <w:proofErr w:type="spellEnd"/>
      <w:r w:rsidRPr="008C639B">
        <w:rPr>
          <w:color w:val="000000"/>
          <w:spacing w:val="-1"/>
          <w:kern w:val="0"/>
          <w:sz w:val="16"/>
          <w:szCs w:val="16"/>
        </w:rPr>
        <w:t xml:space="preserve"> P, Dent J, Jones R; Global Consensus Group. The Montreal definition and classification of </w:t>
      </w:r>
      <w:proofErr w:type="spellStart"/>
      <w:r w:rsidRPr="008C639B">
        <w:rPr>
          <w:color w:val="000000"/>
          <w:spacing w:val="-1"/>
          <w:kern w:val="0"/>
          <w:sz w:val="16"/>
          <w:szCs w:val="16"/>
        </w:rPr>
        <w:t>gastroesophageal</w:t>
      </w:r>
      <w:proofErr w:type="spellEnd"/>
      <w:r w:rsidRPr="008C639B">
        <w:rPr>
          <w:color w:val="000000"/>
          <w:spacing w:val="-1"/>
          <w:kern w:val="0"/>
          <w:sz w:val="16"/>
          <w:szCs w:val="16"/>
        </w:rPr>
        <w:t xml:space="preserve"> reflux disease: a global evidence-based consensus. </w:t>
      </w:r>
      <w:r w:rsidRPr="008C639B">
        <w:rPr>
          <w:i/>
          <w:iCs/>
          <w:color w:val="000000"/>
          <w:spacing w:val="-1"/>
          <w:kern w:val="0"/>
          <w:sz w:val="16"/>
          <w:szCs w:val="16"/>
        </w:rPr>
        <w:t xml:space="preserve">Am J </w:t>
      </w:r>
      <w:proofErr w:type="spellStart"/>
      <w:r w:rsidRPr="008C639B">
        <w:rPr>
          <w:i/>
          <w:iCs/>
          <w:color w:val="000000"/>
          <w:spacing w:val="-1"/>
          <w:kern w:val="0"/>
          <w:sz w:val="16"/>
          <w:szCs w:val="16"/>
        </w:rPr>
        <w:t>Gastroenterol</w:t>
      </w:r>
      <w:proofErr w:type="spellEnd"/>
      <w:r w:rsidRPr="008C639B">
        <w:rPr>
          <w:color w:val="000000"/>
          <w:spacing w:val="-1"/>
          <w:kern w:val="0"/>
          <w:sz w:val="16"/>
          <w:szCs w:val="16"/>
        </w:rPr>
        <w:t xml:space="preserve"> 2006; </w:t>
      </w:r>
      <w:r w:rsidRPr="008C639B">
        <w:rPr>
          <w:b/>
          <w:bCs/>
          <w:color w:val="000000"/>
          <w:spacing w:val="-1"/>
          <w:kern w:val="0"/>
          <w:sz w:val="16"/>
          <w:szCs w:val="16"/>
        </w:rPr>
        <w:t>101</w:t>
      </w:r>
      <w:r w:rsidRPr="008C639B">
        <w:rPr>
          <w:color w:val="000000"/>
          <w:spacing w:val="-1"/>
          <w:kern w:val="0"/>
          <w:sz w:val="16"/>
          <w:szCs w:val="16"/>
        </w:rPr>
        <w:t>: 1900-1920; quiz 1943 [PMID: 16928254 DOI: 10.1111/j.1572-0241.2006.00630.x]</w:t>
      </w:r>
    </w:p>
    <w:p w:rsidR="00737F2A" w:rsidRPr="008C639B" w:rsidRDefault="00737F2A" w:rsidP="00737F2A">
      <w:pPr>
        <w:suppressAutoHyphens/>
        <w:autoSpaceDE w:val="0"/>
        <w:autoSpaceDN w:val="0"/>
        <w:adjustRightInd w:val="0"/>
        <w:spacing w:line="200" w:lineRule="atLeast"/>
        <w:ind w:left="360" w:hanging="360"/>
        <w:textAlignment w:val="center"/>
        <w:rPr>
          <w:color w:val="000000"/>
          <w:spacing w:val="-1"/>
          <w:kern w:val="0"/>
          <w:sz w:val="16"/>
          <w:szCs w:val="16"/>
        </w:rPr>
      </w:pPr>
      <w:r w:rsidRPr="008C639B">
        <w:rPr>
          <w:color w:val="000000"/>
          <w:spacing w:val="-1"/>
          <w:kern w:val="0"/>
          <w:sz w:val="16"/>
          <w:szCs w:val="16"/>
        </w:rPr>
        <w:t>13</w:t>
      </w:r>
      <w:r w:rsidRPr="008C639B">
        <w:rPr>
          <w:color w:val="000000"/>
          <w:spacing w:val="-1"/>
          <w:kern w:val="0"/>
          <w:sz w:val="16"/>
          <w:szCs w:val="16"/>
        </w:rPr>
        <w:tab/>
      </w:r>
      <w:r w:rsidRPr="008C639B">
        <w:rPr>
          <w:b/>
          <w:bCs/>
          <w:color w:val="000000"/>
          <w:spacing w:val="-1"/>
          <w:kern w:val="0"/>
          <w:sz w:val="16"/>
          <w:szCs w:val="16"/>
        </w:rPr>
        <w:t>Jones B</w:t>
      </w:r>
      <w:r w:rsidRPr="008C639B">
        <w:rPr>
          <w:color w:val="000000"/>
          <w:spacing w:val="-1"/>
          <w:kern w:val="0"/>
          <w:sz w:val="16"/>
          <w:szCs w:val="16"/>
        </w:rPr>
        <w:t xml:space="preserve">, Jarvis P, Lewis JA, </w:t>
      </w:r>
      <w:proofErr w:type="spellStart"/>
      <w:r w:rsidRPr="008C639B">
        <w:rPr>
          <w:color w:val="000000"/>
          <w:spacing w:val="-1"/>
          <w:kern w:val="0"/>
          <w:sz w:val="16"/>
          <w:szCs w:val="16"/>
        </w:rPr>
        <w:t>Ebbutt</w:t>
      </w:r>
      <w:proofErr w:type="spellEnd"/>
      <w:r w:rsidRPr="008C639B">
        <w:rPr>
          <w:color w:val="000000"/>
          <w:spacing w:val="-1"/>
          <w:kern w:val="0"/>
          <w:sz w:val="16"/>
          <w:szCs w:val="16"/>
        </w:rPr>
        <w:t xml:space="preserve"> AF. Trials to assess equivalence: the importance of rigorous methods. </w:t>
      </w:r>
      <w:r w:rsidRPr="008C639B">
        <w:rPr>
          <w:i/>
          <w:iCs/>
          <w:color w:val="000000"/>
          <w:spacing w:val="-1"/>
          <w:kern w:val="0"/>
          <w:sz w:val="16"/>
          <w:szCs w:val="16"/>
        </w:rPr>
        <w:t>BMJ</w:t>
      </w:r>
      <w:r w:rsidRPr="008C639B">
        <w:rPr>
          <w:color w:val="000000"/>
          <w:spacing w:val="-1"/>
          <w:kern w:val="0"/>
          <w:sz w:val="16"/>
          <w:szCs w:val="16"/>
        </w:rPr>
        <w:t xml:space="preserve"> 1996; </w:t>
      </w:r>
      <w:r w:rsidRPr="008C639B">
        <w:rPr>
          <w:b/>
          <w:bCs/>
          <w:color w:val="000000"/>
          <w:spacing w:val="-1"/>
          <w:kern w:val="0"/>
          <w:sz w:val="16"/>
          <w:szCs w:val="16"/>
        </w:rPr>
        <w:t>313</w:t>
      </w:r>
      <w:r w:rsidRPr="008C639B">
        <w:rPr>
          <w:color w:val="000000"/>
          <w:spacing w:val="-1"/>
          <w:kern w:val="0"/>
          <w:sz w:val="16"/>
          <w:szCs w:val="16"/>
        </w:rPr>
        <w:t>: 36-39 [PMID: 8664772]</w:t>
      </w:r>
    </w:p>
    <w:p w:rsidR="00737F2A" w:rsidRPr="008C639B" w:rsidRDefault="00737F2A" w:rsidP="00737F2A">
      <w:pPr>
        <w:suppressAutoHyphens/>
        <w:autoSpaceDE w:val="0"/>
        <w:autoSpaceDN w:val="0"/>
        <w:adjustRightInd w:val="0"/>
        <w:spacing w:line="200" w:lineRule="atLeast"/>
        <w:ind w:left="360" w:hanging="360"/>
        <w:textAlignment w:val="center"/>
        <w:rPr>
          <w:color w:val="000000"/>
          <w:spacing w:val="-1"/>
          <w:kern w:val="0"/>
          <w:sz w:val="16"/>
          <w:szCs w:val="16"/>
        </w:rPr>
      </w:pPr>
      <w:r w:rsidRPr="008C639B">
        <w:rPr>
          <w:color w:val="000000"/>
          <w:spacing w:val="-1"/>
          <w:kern w:val="0"/>
          <w:sz w:val="16"/>
          <w:szCs w:val="16"/>
        </w:rPr>
        <w:t>14</w:t>
      </w:r>
      <w:r w:rsidRPr="008C639B">
        <w:rPr>
          <w:color w:val="000000"/>
          <w:spacing w:val="-1"/>
          <w:kern w:val="0"/>
          <w:sz w:val="16"/>
          <w:szCs w:val="16"/>
        </w:rPr>
        <w:tab/>
      </w:r>
      <w:r w:rsidRPr="008C639B">
        <w:rPr>
          <w:b/>
          <w:bCs/>
          <w:color w:val="000000"/>
          <w:spacing w:val="-1"/>
          <w:kern w:val="0"/>
          <w:sz w:val="16"/>
          <w:szCs w:val="16"/>
        </w:rPr>
        <w:t>Katz PO</w:t>
      </w:r>
      <w:r w:rsidRPr="008C639B">
        <w:rPr>
          <w:color w:val="000000"/>
          <w:spacing w:val="-1"/>
          <w:kern w:val="0"/>
          <w:sz w:val="16"/>
          <w:szCs w:val="16"/>
        </w:rPr>
        <w:t xml:space="preserve">, </w:t>
      </w:r>
      <w:proofErr w:type="spellStart"/>
      <w:r w:rsidRPr="008C639B">
        <w:rPr>
          <w:color w:val="000000"/>
          <w:spacing w:val="-1"/>
          <w:kern w:val="0"/>
          <w:sz w:val="16"/>
          <w:szCs w:val="16"/>
        </w:rPr>
        <w:t>Gerson</w:t>
      </w:r>
      <w:proofErr w:type="spellEnd"/>
      <w:r w:rsidRPr="008C639B">
        <w:rPr>
          <w:color w:val="000000"/>
          <w:spacing w:val="-1"/>
          <w:kern w:val="0"/>
          <w:sz w:val="16"/>
          <w:szCs w:val="16"/>
        </w:rPr>
        <w:t xml:space="preserve"> LB, Vela MF. Guidelines for the diagnosis and management of </w:t>
      </w:r>
      <w:proofErr w:type="spellStart"/>
      <w:r w:rsidRPr="008C639B">
        <w:rPr>
          <w:color w:val="000000"/>
          <w:spacing w:val="-1"/>
          <w:kern w:val="0"/>
          <w:sz w:val="16"/>
          <w:szCs w:val="16"/>
        </w:rPr>
        <w:t>gastroesophageal</w:t>
      </w:r>
      <w:proofErr w:type="spellEnd"/>
      <w:r w:rsidRPr="008C639B">
        <w:rPr>
          <w:color w:val="000000"/>
          <w:spacing w:val="-1"/>
          <w:kern w:val="0"/>
          <w:sz w:val="16"/>
          <w:szCs w:val="16"/>
        </w:rPr>
        <w:t xml:space="preserve"> reflux disease. </w:t>
      </w:r>
      <w:r w:rsidRPr="008C639B">
        <w:rPr>
          <w:i/>
          <w:iCs/>
          <w:color w:val="000000"/>
          <w:spacing w:val="-1"/>
          <w:kern w:val="0"/>
          <w:sz w:val="16"/>
          <w:szCs w:val="16"/>
        </w:rPr>
        <w:t xml:space="preserve">Am J </w:t>
      </w:r>
      <w:proofErr w:type="spellStart"/>
      <w:r w:rsidRPr="008C639B">
        <w:rPr>
          <w:i/>
          <w:iCs/>
          <w:color w:val="000000"/>
          <w:spacing w:val="-1"/>
          <w:kern w:val="0"/>
          <w:sz w:val="16"/>
          <w:szCs w:val="16"/>
        </w:rPr>
        <w:t>Gastroenterol</w:t>
      </w:r>
      <w:proofErr w:type="spellEnd"/>
      <w:r w:rsidRPr="008C639B">
        <w:rPr>
          <w:color w:val="000000"/>
          <w:spacing w:val="-1"/>
          <w:kern w:val="0"/>
          <w:sz w:val="16"/>
          <w:szCs w:val="16"/>
        </w:rPr>
        <w:t xml:space="preserve"> 2013; </w:t>
      </w:r>
      <w:r w:rsidRPr="008C639B">
        <w:rPr>
          <w:b/>
          <w:bCs/>
          <w:color w:val="000000"/>
          <w:spacing w:val="-1"/>
          <w:kern w:val="0"/>
          <w:sz w:val="16"/>
          <w:szCs w:val="16"/>
        </w:rPr>
        <w:t>108</w:t>
      </w:r>
      <w:r w:rsidRPr="008C639B">
        <w:rPr>
          <w:color w:val="000000"/>
          <w:spacing w:val="-1"/>
          <w:kern w:val="0"/>
          <w:sz w:val="16"/>
          <w:szCs w:val="16"/>
        </w:rPr>
        <w:t>: 308-328; quiz 329 [PMID: 23419381 DOI: 10.1038/ajg.2012.444]</w:t>
      </w:r>
    </w:p>
    <w:p w:rsidR="00737F2A" w:rsidRPr="008C639B" w:rsidRDefault="00737F2A" w:rsidP="00737F2A">
      <w:pPr>
        <w:suppressAutoHyphens/>
        <w:autoSpaceDE w:val="0"/>
        <w:autoSpaceDN w:val="0"/>
        <w:adjustRightInd w:val="0"/>
        <w:spacing w:line="200" w:lineRule="atLeast"/>
        <w:ind w:left="360" w:hanging="360"/>
        <w:textAlignment w:val="center"/>
        <w:rPr>
          <w:color w:val="000000"/>
          <w:spacing w:val="-1"/>
          <w:kern w:val="0"/>
          <w:sz w:val="16"/>
          <w:szCs w:val="16"/>
        </w:rPr>
      </w:pPr>
      <w:r w:rsidRPr="008C639B">
        <w:rPr>
          <w:color w:val="000000"/>
          <w:spacing w:val="-1"/>
          <w:kern w:val="0"/>
          <w:sz w:val="16"/>
          <w:szCs w:val="16"/>
        </w:rPr>
        <w:t>15</w:t>
      </w:r>
      <w:r w:rsidRPr="008C639B">
        <w:rPr>
          <w:color w:val="000000"/>
          <w:spacing w:val="-1"/>
          <w:kern w:val="0"/>
          <w:sz w:val="16"/>
          <w:szCs w:val="16"/>
        </w:rPr>
        <w:tab/>
      </w:r>
      <w:r w:rsidRPr="008C639B">
        <w:rPr>
          <w:b/>
          <w:bCs/>
          <w:color w:val="000000"/>
          <w:spacing w:val="-1"/>
          <w:kern w:val="0"/>
          <w:sz w:val="16"/>
          <w:szCs w:val="16"/>
        </w:rPr>
        <w:t>Metz DC</w:t>
      </w:r>
      <w:r w:rsidRPr="008C639B">
        <w:rPr>
          <w:color w:val="000000"/>
          <w:spacing w:val="-1"/>
          <w:kern w:val="0"/>
          <w:sz w:val="16"/>
          <w:szCs w:val="16"/>
        </w:rPr>
        <w:t xml:space="preserve">, </w:t>
      </w:r>
      <w:proofErr w:type="spellStart"/>
      <w:r w:rsidRPr="008C639B">
        <w:rPr>
          <w:color w:val="000000"/>
          <w:spacing w:val="-1"/>
          <w:kern w:val="0"/>
          <w:sz w:val="16"/>
          <w:szCs w:val="16"/>
        </w:rPr>
        <w:t>Howden</w:t>
      </w:r>
      <w:proofErr w:type="spellEnd"/>
      <w:r w:rsidRPr="008C639B">
        <w:rPr>
          <w:color w:val="000000"/>
          <w:spacing w:val="-1"/>
          <w:kern w:val="0"/>
          <w:sz w:val="16"/>
          <w:szCs w:val="16"/>
        </w:rPr>
        <w:t xml:space="preserve"> CW, Perez MC, Larsen L, O’Neil J, Atkinson SN. Clinical trial: </w:t>
      </w:r>
      <w:proofErr w:type="spellStart"/>
      <w:r w:rsidRPr="008C639B">
        <w:rPr>
          <w:color w:val="000000"/>
          <w:spacing w:val="-1"/>
          <w:kern w:val="0"/>
          <w:sz w:val="16"/>
          <w:szCs w:val="16"/>
        </w:rPr>
        <w:t>dexlansoprazole</w:t>
      </w:r>
      <w:proofErr w:type="spellEnd"/>
      <w:r w:rsidRPr="008C639B">
        <w:rPr>
          <w:color w:val="000000"/>
          <w:spacing w:val="-1"/>
          <w:kern w:val="0"/>
          <w:sz w:val="16"/>
          <w:szCs w:val="16"/>
        </w:rPr>
        <w:t xml:space="preserve"> MR, a proton pump inhibitor with dual delayed-release technology, effectively controls symptoms and prevents relapse in patients with healed erosive </w:t>
      </w:r>
      <w:proofErr w:type="spellStart"/>
      <w:r w:rsidRPr="008C639B">
        <w:rPr>
          <w:color w:val="000000"/>
          <w:spacing w:val="-1"/>
          <w:kern w:val="0"/>
          <w:sz w:val="16"/>
          <w:szCs w:val="16"/>
        </w:rPr>
        <w:t>oesophagitis</w:t>
      </w:r>
      <w:proofErr w:type="spellEnd"/>
      <w:r w:rsidRPr="008C639B">
        <w:rPr>
          <w:color w:val="000000"/>
          <w:spacing w:val="-1"/>
          <w:kern w:val="0"/>
          <w:sz w:val="16"/>
          <w:szCs w:val="16"/>
        </w:rPr>
        <w:t xml:space="preserve">. </w:t>
      </w:r>
      <w:r w:rsidRPr="008C639B">
        <w:rPr>
          <w:i/>
          <w:iCs/>
          <w:color w:val="000000"/>
          <w:spacing w:val="-1"/>
          <w:kern w:val="0"/>
          <w:sz w:val="16"/>
          <w:szCs w:val="16"/>
        </w:rPr>
        <w:t xml:space="preserve">Aliment </w:t>
      </w:r>
      <w:proofErr w:type="spellStart"/>
      <w:r w:rsidRPr="008C639B">
        <w:rPr>
          <w:i/>
          <w:iCs/>
          <w:color w:val="000000"/>
          <w:spacing w:val="-1"/>
          <w:kern w:val="0"/>
          <w:sz w:val="16"/>
          <w:szCs w:val="16"/>
        </w:rPr>
        <w:t>Pharmacol</w:t>
      </w:r>
      <w:proofErr w:type="spellEnd"/>
      <w:r w:rsidRPr="008C639B">
        <w:rPr>
          <w:i/>
          <w:iCs/>
          <w:color w:val="000000"/>
          <w:spacing w:val="-1"/>
          <w:kern w:val="0"/>
          <w:sz w:val="16"/>
          <w:szCs w:val="16"/>
        </w:rPr>
        <w:t xml:space="preserve"> </w:t>
      </w:r>
      <w:proofErr w:type="spellStart"/>
      <w:r w:rsidRPr="008C639B">
        <w:rPr>
          <w:i/>
          <w:iCs/>
          <w:color w:val="000000"/>
          <w:spacing w:val="-1"/>
          <w:kern w:val="0"/>
          <w:sz w:val="16"/>
          <w:szCs w:val="16"/>
        </w:rPr>
        <w:t>Ther</w:t>
      </w:r>
      <w:proofErr w:type="spellEnd"/>
      <w:r w:rsidRPr="008C639B">
        <w:rPr>
          <w:color w:val="000000"/>
          <w:spacing w:val="-1"/>
          <w:kern w:val="0"/>
          <w:sz w:val="16"/>
          <w:szCs w:val="16"/>
        </w:rPr>
        <w:t xml:space="preserve"> 2009; </w:t>
      </w:r>
      <w:r w:rsidRPr="008C639B">
        <w:rPr>
          <w:b/>
          <w:bCs/>
          <w:color w:val="000000"/>
          <w:spacing w:val="-1"/>
          <w:kern w:val="0"/>
          <w:sz w:val="16"/>
          <w:szCs w:val="16"/>
        </w:rPr>
        <w:t>29</w:t>
      </w:r>
      <w:r w:rsidRPr="008C639B">
        <w:rPr>
          <w:color w:val="000000"/>
          <w:spacing w:val="-1"/>
          <w:kern w:val="0"/>
          <w:sz w:val="16"/>
          <w:szCs w:val="16"/>
        </w:rPr>
        <w:t>: 742-754 [PMID: 19210298 DOI: 10.1111/j.1365-2036.2009.03954.x]</w:t>
      </w:r>
    </w:p>
    <w:p w:rsidR="00737F2A" w:rsidRPr="008C639B" w:rsidRDefault="00737F2A" w:rsidP="00737F2A">
      <w:pPr>
        <w:suppressAutoHyphens/>
        <w:autoSpaceDE w:val="0"/>
        <w:autoSpaceDN w:val="0"/>
        <w:adjustRightInd w:val="0"/>
        <w:spacing w:line="200" w:lineRule="atLeast"/>
        <w:ind w:left="360" w:hanging="360"/>
        <w:textAlignment w:val="center"/>
        <w:rPr>
          <w:color w:val="000000"/>
          <w:spacing w:val="-1"/>
          <w:kern w:val="0"/>
          <w:sz w:val="16"/>
          <w:szCs w:val="16"/>
        </w:rPr>
      </w:pPr>
      <w:r w:rsidRPr="008C639B">
        <w:rPr>
          <w:color w:val="000000"/>
          <w:spacing w:val="-1"/>
          <w:kern w:val="0"/>
          <w:sz w:val="16"/>
          <w:szCs w:val="16"/>
        </w:rPr>
        <w:t>16</w:t>
      </w:r>
      <w:r w:rsidRPr="008C639B">
        <w:rPr>
          <w:color w:val="000000"/>
          <w:spacing w:val="-1"/>
          <w:kern w:val="0"/>
          <w:sz w:val="16"/>
          <w:szCs w:val="16"/>
        </w:rPr>
        <w:tab/>
      </w:r>
      <w:r w:rsidRPr="008C639B">
        <w:rPr>
          <w:b/>
          <w:bCs/>
          <w:color w:val="000000"/>
          <w:spacing w:val="-1"/>
          <w:kern w:val="0"/>
          <w:sz w:val="16"/>
          <w:szCs w:val="16"/>
        </w:rPr>
        <w:t>Sharma P</w:t>
      </w:r>
      <w:r w:rsidRPr="008C639B">
        <w:rPr>
          <w:color w:val="000000"/>
          <w:spacing w:val="-1"/>
          <w:kern w:val="0"/>
          <w:sz w:val="16"/>
          <w:szCs w:val="16"/>
        </w:rPr>
        <w:t xml:space="preserve">, </w:t>
      </w:r>
      <w:proofErr w:type="spellStart"/>
      <w:r w:rsidRPr="008C639B">
        <w:rPr>
          <w:color w:val="000000"/>
          <w:spacing w:val="-1"/>
          <w:kern w:val="0"/>
          <w:sz w:val="16"/>
          <w:szCs w:val="16"/>
        </w:rPr>
        <w:t>Shaheen</w:t>
      </w:r>
      <w:proofErr w:type="spellEnd"/>
      <w:r w:rsidRPr="008C639B">
        <w:rPr>
          <w:color w:val="000000"/>
          <w:spacing w:val="-1"/>
          <w:kern w:val="0"/>
          <w:sz w:val="16"/>
          <w:szCs w:val="16"/>
        </w:rPr>
        <w:t xml:space="preserve"> NJ, Perez MC, </w:t>
      </w:r>
      <w:proofErr w:type="spellStart"/>
      <w:r w:rsidRPr="008C639B">
        <w:rPr>
          <w:color w:val="000000"/>
          <w:spacing w:val="-1"/>
          <w:kern w:val="0"/>
          <w:sz w:val="16"/>
          <w:szCs w:val="16"/>
        </w:rPr>
        <w:t>Pilmer</w:t>
      </w:r>
      <w:proofErr w:type="spellEnd"/>
      <w:r w:rsidRPr="008C639B">
        <w:rPr>
          <w:color w:val="000000"/>
          <w:spacing w:val="-1"/>
          <w:kern w:val="0"/>
          <w:sz w:val="16"/>
          <w:szCs w:val="16"/>
        </w:rPr>
        <w:t xml:space="preserve"> BL, Lee M, </w:t>
      </w:r>
      <w:proofErr w:type="gramStart"/>
      <w:r w:rsidRPr="008C639B">
        <w:rPr>
          <w:color w:val="000000"/>
          <w:spacing w:val="-1"/>
          <w:kern w:val="0"/>
          <w:sz w:val="16"/>
          <w:szCs w:val="16"/>
        </w:rPr>
        <w:t>Atkinson</w:t>
      </w:r>
      <w:proofErr w:type="gramEnd"/>
      <w:r w:rsidRPr="008C639B">
        <w:rPr>
          <w:color w:val="000000"/>
          <w:spacing w:val="-1"/>
          <w:kern w:val="0"/>
          <w:sz w:val="16"/>
          <w:szCs w:val="16"/>
        </w:rPr>
        <w:t xml:space="preserve"> SN, </w:t>
      </w:r>
      <w:proofErr w:type="spellStart"/>
      <w:r w:rsidRPr="008C639B">
        <w:rPr>
          <w:color w:val="000000"/>
          <w:spacing w:val="-1"/>
          <w:kern w:val="0"/>
          <w:sz w:val="16"/>
          <w:szCs w:val="16"/>
        </w:rPr>
        <w:t>Peura</w:t>
      </w:r>
      <w:proofErr w:type="spellEnd"/>
      <w:r w:rsidRPr="008C639B">
        <w:rPr>
          <w:color w:val="000000"/>
          <w:spacing w:val="-1"/>
          <w:kern w:val="0"/>
          <w:sz w:val="16"/>
          <w:szCs w:val="16"/>
        </w:rPr>
        <w:t xml:space="preserve"> D. Clinical trials: healing of erosive </w:t>
      </w:r>
      <w:proofErr w:type="spellStart"/>
      <w:r w:rsidRPr="008C639B">
        <w:rPr>
          <w:color w:val="000000"/>
          <w:spacing w:val="-1"/>
          <w:kern w:val="0"/>
          <w:sz w:val="16"/>
          <w:szCs w:val="16"/>
        </w:rPr>
        <w:t>oesophagitis</w:t>
      </w:r>
      <w:proofErr w:type="spellEnd"/>
      <w:r w:rsidRPr="008C639B">
        <w:rPr>
          <w:color w:val="000000"/>
          <w:spacing w:val="-1"/>
          <w:kern w:val="0"/>
          <w:sz w:val="16"/>
          <w:szCs w:val="16"/>
        </w:rPr>
        <w:t xml:space="preserve"> with </w:t>
      </w:r>
      <w:proofErr w:type="spellStart"/>
      <w:r w:rsidRPr="008C639B">
        <w:rPr>
          <w:color w:val="000000"/>
          <w:spacing w:val="-1"/>
          <w:kern w:val="0"/>
          <w:sz w:val="16"/>
          <w:szCs w:val="16"/>
        </w:rPr>
        <w:t>dexlansoprazole</w:t>
      </w:r>
      <w:proofErr w:type="spellEnd"/>
      <w:r w:rsidRPr="008C639B">
        <w:rPr>
          <w:color w:val="000000"/>
          <w:spacing w:val="-1"/>
          <w:kern w:val="0"/>
          <w:sz w:val="16"/>
          <w:szCs w:val="16"/>
        </w:rPr>
        <w:t xml:space="preserve"> MR, a proton pump inhibitor with a novel dual delayed-release formulation--results from two randomized controlled studies. </w:t>
      </w:r>
      <w:r w:rsidRPr="008C639B">
        <w:rPr>
          <w:i/>
          <w:iCs/>
          <w:color w:val="000000"/>
          <w:spacing w:val="-1"/>
          <w:kern w:val="0"/>
          <w:sz w:val="16"/>
          <w:szCs w:val="16"/>
        </w:rPr>
        <w:t xml:space="preserve">Aliment </w:t>
      </w:r>
      <w:proofErr w:type="spellStart"/>
      <w:r w:rsidRPr="008C639B">
        <w:rPr>
          <w:i/>
          <w:iCs/>
          <w:color w:val="000000"/>
          <w:spacing w:val="-1"/>
          <w:kern w:val="0"/>
          <w:sz w:val="16"/>
          <w:szCs w:val="16"/>
        </w:rPr>
        <w:t>Pharmacol</w:t>
      </w:r>
      <w:proofErr w:type="spellEnd"/>
      <w:r w:rsidRPr="008C639B">
        <w:rPr>
          <w:i/>
          <w:iCs/>
          <w:color w:val="000000"/>
          <w:spacing w:val="-1"/>
          <w:kern w:val="0"/>
          <w:sz w:val="16"/>
          <w:szCs w:val="16"/>
        </w:rPr>
        <w:t xml:space="preserve"> </w:t>
      </w:r>
      <w:proofErr w:type="spellStart"/>
      <w:r w:rsidRPr="008C639B">
        <w:rPr>
          <w:i/>
          <w:iCs/>
          <w:color w:val="000000"/>
          <w:spacing w:val="-1"/>
          <w:kern w:val="0"/>
          <w:sz w:val="16"/>
          <w:szCs w:val="16"/>
        </w:rPr>
        <w:t>Ther</w:t>
      </w:r>
      <w:proofErr w:type="spellEnd"/>
      <w:r w:rsidRPr="008C639B">
        <w:rPr>
          <w:color w:val="000000"/>
          <w:spacing w:val="-1"/>
          <w:kern w:val="0"/>
          <w:sz w:val="16"/>
          <w:szCs w:val="16"/>
        </w:rPr>
        <w:t xml:space="preserve"> 2009; </w:t>
      </w:r>
      <w:r w:rsidRPr="008C639B">
        <w:rPr>
          <w:b/>
          <w:bCs/>
          <w:color w:val="000000"/>
          <w:spacing w:val="-1"/>
          <w:kern w:val="0"/>
          <w:sz w:val="16"/>
          <w:szCs w:val="16"/>
        </w:rPr>
        <w:t>29</w:t>
      </w:r>
      <w:r w:rsidRPr="008C639B">
        <w:rPr>
          <w:color w:val="000000"/>
          <w:spacing w:val="-1"/>
          <w:kern w:val="0"/>
          <w:sz w:val="16"/>
          <w:szCs w:val="16"/>
        </w:rPr>
        <w:t>: 731-741 [PMID: 19183157 DOI: 10.1111/j.1365-2036.2009.03933.x]</w:t>
      </w:r>
    </w:p>
    <w:p w:rsidR="00737F2A" w:rsidRPr="008C639B" w:rsidRDefault="00737F2A" w:rsidP="00737F2A">
      <w:pPr>
        <w:suppressAutoHyphens/>
        <w:autoSpaceDE w:val="0"/>
        <w:autoSpaceDN w:val="0"/>
        <w:adjustRightInd w:val="0"/>
        <w:spacing w:line="200" w:lineRule="atLeast"/>
        <w:ind w:left="360" w:hanging="360"/>
        <w:textAlignment w:val="center"/>
        <w:rPr>
          <w:color w:val="000000"/>
          <w:spacing w:val="-1"/>
          <w:kern w:val="0"/>
          <w:sz w:val="16"/>
          <w:szCs w:val="16"/>
        </w:rPr>
      </w:pPr>
      <w:r w:rsidRPr="008C639B">
        <w:rPr>
          <w:color w:val="000000"/>
          <w:spacing w:val="-1"/>
          <w:kern w:val="0"/>
          <w:sz w:val="16"/>
          <w:szCs w:val="16"/>
        </w:rPr>
        <w:t>17</w:t>
      </w:r>
      <w:r w:rsidRPr="008C639B">
        <w:rPr>
          <w:color w:val="000000"/>
          <w:spacing w:val="-1"/>
          <w:kern w:val="0"/>
          <w:sz w:val="16"/>
          <w:szCs w:val="16"/>
        </w:rPr>
        <w:tab/>
      </w:r>
      <w:r w:rsidRPr="008C639B">
        <w:rPr>
          <w:b/>
          <w:bCs/>
          <w:color w:val="000000"/>
          <w:spacing w:val="-1"/>
          <w:kern w:val="0"/>
          <w:sz w:val="16"/>
          <w:szCs w:val="16"/>
        </w:rPr>
        <w:t>Richter JE</w:t>
      </w:r>
      <w:r w:rsidRPr="008C639B">
        <w:rPr>
          <w:color w:val="000000"/>
          <w:spacing w:val="-1"/>
          <w:kern w:val="0"/>
          <w:sz w:val="16"/>
          <w:szCs w:val="16"/>
        </w:rPr>
        <w:t xml:space="preserve">, </w:t>
      </w:r>
      <w:proofErr w:type="spellStart"/>
      <w:r w:rsidRPr="008C639B">
        <w:rPr>
          <w:color w:val="000000"/>
          <w:spacing w:val="-1"/>
          <w:kern w:val="0"/>
          <w:sz w:val="16"/>
          <w:szCs w:val="16"/>
        </w:rPr>
        <w:t>Kahrilas</w:t>
      </w:r>
      <w:proofErr w:type="spellEnd"/>
      <w:r w:rsidRPr="008C639B">
        <w:rPr>
          <w:color w:val="000000"/>
          <w:spacing w:val="-1"/>
          <w:kern w:val="0"/>
          <w:sz w:val="16"/>
          <w:szCs w:val="16"/>
        </w:rPr>
        <w:t xml:space="preserve"> PJ, </w:t>
      </w:r>
      <w:proofErr w:type="spellStart"/>
      <w:r w:rsidRPr="008C639B">
        <w:rPr>
          <w:color w:val="000000"/>
          <w:spacing w:val="-1"/>
          <w:kern w:val="0"/>
          <w:sz w:val="16"/>
          <w:szCs w:val="16"/>
        </w:rPr>
        <w:t>Johanson</w:t>
      </w:r>
      <w:proofErr w:type="spellEnd"/>
      <w:r w:rsidRPr="008C639B">
        <w:rPr>
          <w:color w:val="000000"/>
          <w:spacing w:val="-1"/>
          <w:kern w:val="0"/>
          <w:sz w:val="16"/>
          <w:szCs w:val="16"/>
        </w:rPr>
        <w:t xml:space="preserve"> J, </w:t>
      </w:r>
      <w:proofErr w:type="spellStart"/>
      <w:r w:rsidRPr="008C639B">
        <w:rPr>
          <w:color w:val="000000"/>
          <w:spacing w:val="-1"/>
          <w:kern w:val="0"/>
          <w:sz w:val="16"/>
          <w:szCs w:val="16"/>
        </w:rPr>
        <w:t>Maton</w:t>
      </w:r>
      <w:proofErr w:type="spellEnd"/>
      <w:r w:rsidRPr="008C639B">
        <w:rPr>
          <w:color w:val="000000"/>
          <w:spacing w:val="-1"/>
          <w:kern w:val="0"/>
          <w:sz w:val="16"/>
          <w:szCs w:val="16"/>
        </w:rPr>
        <w:t xml:space="preserve"> P, </w:t>
      </w:r>
      <w:proofErr w:type="spellStart"/>
      <w:r w:rsidRPr="008C639B">
        <w:rPr>
          <w:color w:val="000000"/>
          <w:spacing w:val="-1"/>
          <w:kern w:val="0"/>
          <w:sz w:val="16"/>
          <w:szCs w:val="16"/>
        </w:rPr>
        <w:t>Breiter</w:t>
      </w:r>
      <w:proofErr w:type="spellEnd"/>
      <w:r w:rsidRPr="008C639B">
        <w:rPr>
          <w:color w:val="000000"/>
          <w:spacing w:val="-1"/>
          <w:kern w:val="0"/>
          <w:sz w:val="16"/>
          <w:szCs w:val="16"/>
        </w:rPr>
        <w:t xml:space="preserve"> JR, Hwang C, Marino V, Hamelin B, Levine JG; Esomeprazole Study Investigators. Efficacy and safety of esomeprazole compared with omeprazole in GERD patients with erosive esophagitis: a randomized controlled trial. </w:t>
      </w:r>
      <w:r w:rsidRPr="008C639B">
        <w:rPr>
          <w:i/>
          <w:iCs/>
          <w:color w:val="000000"/>
          <w:spacing w:val="-1"/>
          <w:kern w:val="0"/>
          <w:sz w:val="16"/>
          <w:szCs w:val="16"/>
        </w:rPr>
        <w:t xml:space="preserve">Am J </w:t>
      </w:r>
      <w:proofErr w:type="spellStart"/>
      <w:r w:rsidRPr="008C639B">
        <w:rPr>
          <w:i/>
          <w:iCs/>
          <w:color w:val="000000"/>
          <w:spacing w:val="-1"/>
          <w:kern w:val="0"/>
          <w:sz w:val="16"/>
          <w:szCs w:val="16"/>
        </w:rPr>
        <w:t>Gastroenterol</w:t>
      </w:r>
      <w:proofErr w:type="spellEnd"/>
      <w:r w:rsidRPr="008C639B">
        <w:rPr>
          <w:color w:val="000000"/>
          <w:spacing w:val="-1"/>
          <w:kern w:val="0"/>
          <w:sz w:val="16"/>
          <w:szCs w:val="16"/>
        </w:rPr>
        <w:t xml:space="preserve"> 2001; </w:t>
      </w:r>
      <w:r w:rsidRPr="008C639B">
        <w:rPr>
          <w:b/>
          <w:bCs/>
          <w:color w:val="000000"/>
          <w:spacing w:val="-1"/>
          <w:kern w:val="0"/>
          <w:sz w:val="16"/>
          <w:szCs w:val="16"/>
        </w:rPr>
        <w:t>96</w:t>
      </w:r>
      <w:r w:rsidRPr="008C639B">
        <w:rPr>
          <w:color w:val="000000"/>
          <w:spacing w:val="-1"/>
          <w:kern w:val="0"/>
          <w:sz w:val="16"/>
          <w:szCs w:val="16"/>
        </w:rPr>
        <w:t>: 656-665 [PMID: 11280530 DOI: 10.1111/j.1572-0241.2001.3600_b.x]</w:t>
      </w:r>
    </w:p>
    <w:p w:rsidR="00737F2A" w:rsidRPr="008C639B" w:rsidRDefault="00737F2A" w:rsidP="00737F2A">
      <w:pPr>
        <w:suppressAutoHyphens/>
        <w:autoSpaceDE w:val="0"/>
        <w:autoSpaceDN w:val="0"/>
        <w:adjustRightInd w:val="0"/>
        <w:spacing w:line="200" w:lineRule="atLeast"/>
        <w:ind w:left="360" w:hanging="360"/>
        <w:textAlignment w:val="center"/>
        <w:rPr>
          <w:color w:val="000000"/>
          <w:spacing w:val="-1"/>
          <w:kern w:val="0"/>
          <w:sz w:val="16"/>
          <w:szCs w:val="16"/>
        </w:rPr>
      </w:pPr>
      <w:r w:rsidRPr="008C639B">
        <w:rPr>
          <w:color w:val="000000"/>
          <w:spacing w:val="-1"/>
          <w:kern w:val="0"/>
          <w:sz w:val="16"/>
          <w:szCs w:val="16"/>
        </w:rPr>
        <w:t>18</w:t>
      </w:r>
      <w:r w:rsidRPr="008C639B">
        <w:rPr>
          <w:color w:val="000000"/>
          <w:spacing w:val="-1"/>
          <w:kern w:val="0"/>
          <w:sz w:val="16"/>
          <w:szCs w:val="16"/>
        </w:rPr>
        <w:tab/>
      </w:r>
      <w:proofErr w:type="spellStart"/>
      <w:r w:rsidRPr="008C639B">
        <w:rPr>
          <w:b/>
          <w:bCs/>
          <w:color w:val="000000"/>
          <w:spacing w:val="-1"/>
          <w:kern w:val="0"/>
          <w:sz w:val="16"/>
          <w:szCs w:val="16"/>
        </w:rPr>
        <w:t>Kahrilas</w:t>
      </w:r>
      <w:proofErr w:type="spellEnd"/>
      <w:r w:rsidRPr="008C639B">
        <w:rPr>
          <w:b/>
          <w:bCs/>
          <w:color w:val="000000"/>
          <w:spacing w:val="-1"/>
          <w:kern w:val="0"/>
          <w:sz w:val="16"/>
          <w:szCs w:val="16"/>
        </w:rPr>
        <w:t xml:space="preserve"> PJ</w:t>
      </w:r>
      <w:r w:rsidRPr="008C639B">
        <w:rPr>
          <w:color w:val="000000"/>
          <w:spacing w:val="-1"/>
          <w:kern w:val="0"/>
          <w:sz w:val="16"/>
          <w:szCs w:val="16"/>
        </w:rPr>
        <w:t xml:space="preserve">, Falk GW, Johnson DA, Schmitt C, Collins DW, Whipple J, D’Amico D, Hamelin B, </w:t>
      </w:r>
      <w:proofErr w:type="spellStart"/>
      <w:r w:rsidRPr="008C639B">
        <w:rPr>
          <w:color w:val="000000"/>
          <w:spacing w:val="-1"/>
          <w:kern w:val="0"/>
          <w:sz w:val="16"/>
          <w:szCs w:val="16"/>
        </w:rPr>
        <w:t>Joelsson</w:t>
      </w:r>
      <w:proofErr w:type="spellEnd"/>
      <w:r w:rsidRPr="008C639B">
        <w:rPr>
          <w:color w:val="000000"/>
          <w:spacing w:val="-1"/>
          <w:kern w:val="0"/>
          <w:sz w:val="16"/>
          <w:szCs w:val="16"/>
        </w:rPr>
        <w:t xml:space="preserve"> B. Esomeprazole improves healing and symptom resolution as compared with omeprazole in reflux </w:t>
      </w:r>
      <w:proofErr w:type="spellStart"/>
      <w:r w:rsidRPr="008C639B">
        <w:rPr>
          <w:color w:val="000000"/>
          <w:spacing w:val="-1"/>
          <w:kern w:val="0"/>
          <w:sz w:val="16"/>
          <w:szCs w:val="16"/>
        </w:rPr>
        <w:t>oesophagitis</w:t>
      </w:r>
      <w:proofErr w:type="spellEnd"/>
      <w:r w:rsidRPr="008C639B">
        <w:rPr>
          <w:color w:val="000000"/>
          <w:spacing w:val="-1"/>
          <w:kern w:val="0"/>
          <w:sz w:val="16"/>
          <w:szCs w:val="16"/>
        </w:rPr>
        <w:t xml:space="preserve"> patients: a randomized controlled trial. </w:t>
      </w:r>
      <w:proofErr w:type="gramStart"/>
      <w:r w:rsidRPr="008C639B">
        <w:rPr>
          <w:color w:val="000000"/>
          <w:spacing w:val="-1"/>
          <w:kern w:val="0"/>
          <w:sz w:val="16"/>
          <w:szCs w:val="16"/>
        </w:rPr>
        <w:t>The Esomeprazole Study Investigators.</w:t>
      </w:r>
      <w:proofErr w:type="gramEnd"/>
      <w:r w:rsidRPr="008C639B">
        <w:rPr>
          <w:color w:val="000000"/>
          <w:spacing w:val="-1"/>
          <w:kern w:val="0"/>
          <w:sz w:val="16"/>
          <w:szCs w:val="16"/>
        </w:rPr>
        <w:t xml:space="preserve"> </w:t>
      </w:r>
      <w:r w:rsidRPr="008C639B">
        <w:rPr>
          <w:i/>
          <w:iCs/>
          <w:color w:val="000000"/>
          <w:spacing w:val="-1"/>
          <w:kern w:val="0"/>
          <w:sz w:val="16"/>
          <w:szCs w:val="16"/>
        </w:rPr>
        <w:t xml:space="preserve">Aliment </w:t>
      </w:r>
      <w:proofErr w:type="spellStart"/>
      <w:r w:rsidRPr="008C639B">
        <w:rPr>
          <w:i/>
          <w:iCs/>
          <w:color w:val="000000"/>
          <w:spacing w:val="-1"/>
          <w:kern w:val="0"/>
          <w:sz w:val="16"/>
          <w:szCs w:val="16"/>
        </w:rPr>
        <w:t>Pharmacol</w:t>
      </w:r>
      <w:proofErr w:type="spellEnd"/>
      <w:r w:rsidRPr="008C639B">
        <w:rPr>
          <w:i/>
          <w:iCs/>
          <w:color w:val="000000"/>
          <w:spacing w:val="-1"/>
          <w:kern w:val="0"/>
          <w:sz w:val="16"/>
          <w:szCs w:val="16"/>
        </w:rPr>
        <w:t xml:space="preserve"> </w:t>
      </w:r>
      <w:proofErr w:type="spellStart"/>
      <w:r w:rsidRPr="008C639B">
        <w:rPr>
          <w:i/>
          <w:iCs/>
          <w:color w:val="000000"/>
          <w:spacing w:val="-1"/>
          <w:kern w:val="0"/>
          <w:sz w:val="16"/>
          <w:szCs w:val="16"/>
        </w:rPr>
        <w:t>Ther</w:t>
      </w:r>
      <w:proofErr w:type="spellEnd"/>
      <w:r w:rsidRPr="008C639B">
        <w:rPr>
          <w:color w:val="000000"/>
          <w:spacing w:val="-1"/>
          <w:kern w:val="0"/>
          <w:sz w:val="16"/>
          <w:szCs w:val="16"/>
        </w:rPr>
        <w:t xml:space="preserve"> 2000; </w:t>
      </w:r>
      <w:r w:rsidRPr="008C639B">
        <w:rPr>
          <w:b/>
          <w:bCs/>
          <w:color w:val="000000"/>
          <w:spacing w:val="-1"/>
          <w:kern w:val="0"/>
          <w:sz w:val="16"/>
          <w:szCs w:val="16"/>
        </w:rPr>
        <w:t>14</w:t>
      </w:r>
      <w:r w:rsidRPr="008C639B">
        <w:rPr>
          <w:color w:val="000000"/>
          <w:spacing w:val="-1"/>
          <w:kern w:val="0"/>
          <w:sz w:val="16"/>
          <w:szCs w:val="16"/>
        </w:rPr>
        <w:t>: 1249-1258 [PMID: 11012468]</w:t>
      </w:r>
    </w:p>
    <w:p w:rsidR="00737F2A" w:rsidRPr="008C639B" w:rsidRDefault="00737F2A" w:rsidP="00737F2A">
      <w:pPr>
        <w:suppressAutoHyphens/>
        <w:autoSpaceDE w:val="0"/>
        <w:autoSpaceDN w:val="0"/>
        <w:adjustRightInd w:val="0"/>
        <w:spacing w:line="200" w:lineRule="atLeast"/>
        <w:ind w:left="360" w:hanging="360"/>
        <w:textAlignment w:val="center"/>
        <w:rPr>
          <w:color w:val="000000"/>
          <w:spacing w:val="-1"/>
          <w:kern w:val="0"/>
          <w:sz w:val="16"/>
          <w:szCs w:val="16"/>
        </w:rPr>
      </w:pPr>
      <w:r w:rsidRPr="008C639B">
        <w:rPr>
          <w:color w:val="000000"/>
          <w:spacing w:val="-1"/>
          <w:kern w:val="0"/>
          <w:sz w:val="16"/>
          <w:szCs w:val="16"/>
        </w:rPr>
        <w:t>19</w:t>
      </w:r>
      <w:r w:rsidRPr="008C639B">
        <w:rPr>
          <w:color w:val="000000"/>
          <w:spacing w:val="-1"/>
          <w:kern w:val="0"/>
          <w:sz w:val="16"/>
          <w:szCs w:val="16"/>
        </w:rPr>
        <w:tab/>
      </w:r>
      <w:r w:rsidRPr="008C639B">
        <w:rPr>
          <w:b/>
          <w:bCs/>
          <w:color w:val="000000"/>
          <w:spacing w:val="-1"/>
          <w:kern w:val="0"/>
          <w:sz w:val="16"/>
          <w:szCs w:val="16"/>
        </w:rPr>
        <w:t>Schmitt C</w:t>
      </w:r>
      <w:r w:rsidRPr="008C639B">
        <w:rPr>
          <w:color w:val="000000"/>
          <w:spacing w:val="-1"/>
          <w:kern w:val="0"/>
          <w:sz w:val="16"/>
          <w:szCs w:val="16"/>
        </w:rPr>
        <w:t xml:space="preserve">, </w:t>
      </w:r>
      <w:proofErr w:type="spellStart"/>
      <w:r w:rsidRPr="008C639B">
        <w:rPr>
          <w:color w:val="000000"/>
          <w:spacing w:val="-1"/>
          <w:kern w:val="0"/>
          <w:sz w:val="16"/>
          <w:szCs w:val="16"/>
        </w:rPr>
        <w:t>Lightdale</w:t>
      </w:r>
      <w:proofErr w:type="spellEnd"/>
      <w:r w:rsidRPr="008C639B">
        <w:rPr>
          <w:color w:val="000000"/>
          <w:spacing w:val="-1"/>
          <w:kern w:val="0"/>
          <w:sz w:val="16"/>
          <w:szCs w:val="16"/>
        </w:rPr>
        <w:t xml:space="preserve"> CJ, Hwang C, Hamelin B. A multicenter, randomized, double-blind, 8-week comparative trial of standard doses of esomeprazole (40 mg) and omeprazole (20 mg) for the treatment of erosive esophagitis. </w:t>
      </w:r>
      <w:r w:rsidRPr="008C639B">
        <w:rPr>
          <w:i/>
          <w:iCs/>
          <w:color w:val="000000"/>
          <w:spacing w:val="-1"/>
          <w:kern w:val="0"/>
          <w:sz w:val="16"/>
          <w:szCs w:val="16"/>
        </w:rPr>
        <w:t xml:space="preserve">Dig Dis </w:t>
      </w:r>
      <w:proofErr w:type="spellStart"/>
      <w:r w:rsidRPr="008C639B">
        <w:rPr>
          <w:i/>
          <w:iCs/>
          <w:color w:val="000000"/>
          <w:spacing w:val="-1"/>
          <w:kern w:val="0"/>
          <w:sz w:val="16"/>
          <w:szCs w:val="16"/>
        </w:rPr>
        <w:t>Sci</w:t>
      </w:r>
      <w:proofErr w:type="spellEnd"/>
      <w:r w:rsidRPr="008C639B">
        <w:rPr>
          <w:color w:val="000000"/>
          <w:spacing w:val="-1"/>
          <w:kern w:val="0"/>
          <w:sz w:val="16"/>
          <w:szCs w:val="16"/>
        </w:rPr>
        <w:t xml:space="preserve"> 2006; </w:t>
      </w:r>
      <w:r w:rsidRPr="008C639B">
        <w:rPr>
          <w:b/>
          <w:bCs/>
          <w:color w:val="000000"/>
          <w:spacing w:val="-1"/>
          <w:kern w:val="0"/>
          <w:sz w:val="16"/>
          <w:szCs w:val="16"/>
        </w:rPr>
        <w:t>51</w:t>
      </w:r>
      <w:r w:rsidRPr="008C639B">
        <w:rPr>
          <w:color w:val="000000"/>
          <w:spacing w:val="-1"/>
          <w:kern w:val="0"/>
          <w:sz w:val="16"/>
          <w:szCs w:val="16"/>
        </w:rPr>
        <w:t>: 844-850 [PMID: 16642422 DOI: 10.1007/s10620-005-9062-4]</w:t>
      </w:r>
    </w:p>
    <w:p w:rsidR="00737F2A" w:rsidRPr="008C639B" w:rsidRDefault="00737F2A" w:rsidP="00737F2A">
      <w:pPr>
        <w:suppressAutoHyphens/>
        <w:autoSpaceDE w:val="0"/>
        <w:autoSpaceDN w:val="0"/>
        <w:adjustRightInd w:val="0"/>
        <w:spacing w:line="200" w:lineRule="atLeast"/>
        <w:ind w:left="360" w:hanging="360"/>
        <w:textAlignment w:val="center"/>
        <w:rPr>
          <w:color w:val="000000"/>
          <w:spacing w:val="-1"/>
          <w:kern w:val="0"/>
          <w:sz w:val="16"/>
          <w:szCs w:val="16"/>
        </w:rPr>
      </w:pPr>
      <w:r w:rsidRPr="008C639B">
        <w:rPr>
          <w:color w:val="000000"/>
          <w:spacing w:val="-1"/>
          <w:kern w:val="0"/>
          <w:sz w:val="16"/>
          <w:szCs w:val="16"/>
        </w:rPr>
        <w:t>20</w:t>
      </w:r>
      <w:r w:rsidRPr="008C639B">
        <w:rPr>
          <w:color w:val="000000"/>
          <w:spacing w:val="-1"/>
          <w:kern w:val="0"/>
          <w:sz w:val="16"/>
          <w:szCs w:val="16"/>
        </w:rPr>
        <w:tab/>
      </w:r>
      <w:r w:rsidRPr="008C639B">
        <w:rPr>
          <w:b/>
          <w:bCs/>
          <w:color w:val="000000"/>
          <w:spacing w:val="-1"/>
          <w:kern w:val="0"/>
          <w:sz w:val="16"/>
          <w:szCs w:val="16"/>
        </w:rPr>
        <w:t>Hsu PI</w:t>
      </w:r>
      <w:r w:rsidRPr="008C639B">
        <w:rPr>
          <w:color w:val="000000"/>
          <w:spacing w:val="-1"/>
          <w:kern w:val="0"/>
          <w:sz w:val="16"/>
          <w:szCs w:val="16"/>
        </w:rPr>
        <w:t xml:space="preserve">, Lu CL, Wu DC, </w:t>
      </w:r>
      <w:proofErr w:type="spellStart"/>
      <w:r w:rsidRPr="008C639B">
        <w:rPr>
          <w:color w:val="000000"/>
          <w:spacing w:val="-1"/>
          <w:kern w:val="0"/>
          <w:sz w:val="16"/>
          <w:szCs w:val="16"/>
        </w:rPr>
        <w:t>Kuo</w:t>
      </w:r>
      <w:proofErr w:type="spellEnd"/>
      <w:r w:rsidRPr="008C639B">
        <w:rPr>
          <w:color w:val="000000"/>
          <w:spacing w:val="-1"/>
          <w:kern w:val="0"/>
          <w:sz w:val="16"/>
          <w:szCs w:val="16"/>
        </w:rPr>
        <w:t xml:space="preserve"> CH, Kao SS, Chang CC, Tai WC, Lai KH, Chen WC, Wang HM, Cheng JS, Tsai TJ, </w:t>
      </w:r>
      <w:proofErr w:type="spellStart"/>
      <w:r w:rsidRPr="008C639B">
        <w:rPr>
          <w:color w:val="000000"/>
          <w:spacing w:val="-1"/>
          <w:kern w:val="0"/>
          <w:sz w:val="16"/>
          <w:szCs w:val="16"/>
        </w:rPr>
        <w:t>Chuah</w:t>
      </w:r>
      <w:proofErr w:type="spellEnd"/>
      <w:r w:rsidRPr="008C639B">
        <w:rPr>
          <w:color w:val="000000"/>
          <w:spacing w:val="-1"/>
          <w:kern w:val="0"/>
          <w:sz w:val="16"/>
          <w:szCs w:val="16"/>
        </w:rPr>
        <w:t xml:space="preserve"> SK. Eight weeks of esomeprazole therapy reduces symptom relapse, compared with 4 weeks, in patients with Los Angeles grade A or B erosive esophagitis. </w:t>
      </w:r>
      <w:proofErr w:type="spellStart"/>
      <w:r w:rsidRPr="008C639B">
        <w:rPr>
          <w:i/>
          <w:iCs/>
          <w:color w:val="000000"/>
          <w:spacing w:val="-1"/>
          <w:kern w:val="0"/>
          <w:sz w:val="16"/>
          <w:szCs w:val="16"/>
        </w:rPr>
        <w:t>Clin</w:t>
      </w:r>
      <w:proofErr w:type="spellEnd"/>
      <w:r w:rsidRPr="008C639B">
        <w:rPr>
          <w:i/>
          <w:iCs/>
          <w:color w:val="000000"/>
          <w:spacing w:val="-1"/>
          <w:kern w:val="0"/>
          <w:sz w:val="16"/>
          <w:szCs w:val="16"/>
        </w:rPr>
        <w:t xml:space="preserve"> </w:t>
      </w:r>
      <w:proofErr w:type="spellStart"/>
      <w:r w:rsidRPr="008C639B">
        <w:rPr>
          <w:i/>
          <w:iCs/>
          <w:color w:val="000000"/>
          <w:spacing w:val="-1"/>
          <w:kern w:val="0"/>
          <w:sz w:val="16"/>
          <w:szCs w:val="16"/>
        </w:rPr>
        <w:t>Gastroenterol</w:t>
      </w:r>
      <w:proofErr w:type="spellEnd"/>
      <w:r w:rsidRPr="008C639B">
        <w:rPr>
          <w:i/>
          <w:iCs/>
          <w:color w:val="000000"/>
          <w:spacing w:val="-1"/>
          <w:kern w:val="0"/>
          <w:sz w:val="16"/>
          <w:szCs w:val="16"/>
        </w:rPr>
        <w:t xml:space="preserve"> </w:t>
      </w:r>
      <w:proofErr w:type="spellStart"/>
      <w:r w:rsidRPr="008C639B">
        <w:rPr>
          <w:i/>
          <w:iCs/>
          <w:color w:val="000000"/>
          <w:spacing w:val="-1"/>
          <w:kern w:val="0"/>
          <w:sz w:val="16"/>
          <w:szCs w:val="16"/>
        </w:rPr>
        <w:t>Hepatol</w:t>
      </w:r>
      <w:proofErr w:type="spellEnd"/>
      <w:r w:rsidRPr="008C639B">
        <w:rPr>
          <w:color w:val="000000"/>
          <w:spacing w:val="-1"/>
          <w:kern w:val="0"/>
          <w:sz w:val="16"/>
          <w:szCs w:val="16"/>
        </w:rPr>
        <w:t xml:space="preserve"> 2015; </w:t>
      </w:r>
      <w:r w:rsidRPr="008C639B">
        <w:rPr>
          <w:b/>
          <w:bCs/>
          <w:color w:val="000000"/>
          <w:spacing w:val="-1"/>
          <w:kern w:val="0"/>
          <w:sz w:val="16"/>
          <w:szCs w:val="16"/>
        </w:rPr>
        <w:t>13</w:t>
      </w:r>
      <w:r w:rsidRPr="008C639B">
        <w:rPr>
          <w:color w:val="000000"/>
          <w:spacing w:val="-1"/>
          <w:kern w:val="0"/>
          <w:sz w:val="16"/>
          <w:szCs w:val="16"/>
        </w:rPr>
        <w:t>: 859-66.e1 [PMID: 25245625 DOI: 10.1016/j.cgh.2014.09.033]</w:t>
      </w:r>
    </w:p>
    <w:p w:rsidR="00737F2A" w:rsidRPr="008C639B" w:rsidRDefault="00737F2A" w:rsidP="00737F2A">
      <w:pPr>
        <w:suppressAutoHyphens/>
        <w:autoSpaceDE w:val="0"/>
        <w:autoSpaceDN w:val="0"/>
        <w:adjustRightInd w:val="0"/>
        <w:spacing w:line="200" w:lineRule="atLeast"/>
        <w:ind w:left="360" w:hanging="360"/>
        <w:textAlignment w:val="center"/>
        <w:rPr>
          <w:color w:val="000000"/>
          <w:spacing w:val="-1"/>
          <w:kern w:val="0"/>
          <w:sz w:val="16"/>
          <w:szCs w:val="16"/>
        </w:rPr>
      </w:pPr>
      <w:r w:rsidRPr="008C639B">
        <w:rPr>
          <w:color w:val="000000"/>
          <w:spacing w:val="-1"/>
          <w:kern w:val="0"/>
          <w:sz w:val="16"/>
          <w:szCs w:val="16"/>
        </w:rPr>
        <w:t>21</w:t>
      </w:r>
      <w:r w:rsidRPr="008C639B">
        <w:rPr>
          <w:color w:val="000000"/>
          <w:spacing w:val="-1"/>
          <w:kern w:val="0"/>
          <w:sz w:val="16"/>
          <w:szCs w:val="16"/>
        </w:rPr>
        <w:tab/>
      </w:r>
      <w:r w:rsidRPr="008C639B">
        <w:rPr>
          <w:b/>
          <w:bCs/>
          <w:color w:val="000000"/>
          <w:spacing w:val="-1"/>
          <w:kern w:val="0"/>
          <w:sz w:val="16"/>
          <w:szCs w:val="16"/>
        </w:rPr>
        <w:t>Wu MS</w:t>
      </w:r>
      <w:r w:rsidRPr="008C639B">
        <w:rPr>
          <w:color w:val="000000"/>
          <w:spacing w:val="-1"/>
          <w:kern w:val="0"/>
          <w:sz w:val="16"/>
          <w:szCs w:val="16"/>
        </w:rPr>
        <w:t xml:space="preserve">, Tan SC, </w:t>
      </w:r>
      <w:proofErr w:type="spellStart"/>
      <w:r w:rsidRPr="008C639B">
        <w:rPr>
          <w:color w:val="000000"/>
          <w:spacing w:val="-1"/>
          <w:kern w:val="0"/>
          <w:sz w:val="16"/>
          <w:szCs w:val="16"/>
        </w:rPr>
        <w:t>Xiong</w:t>
      </w:r>
      <w:proofErr w:type="spellEnd"/>
      <w:r w:rsidRPr="008C639B">
        <w:rPr>
          <w:color w:val="000000"/>
          <w:spacing w:val="-1"/>
          <w:kern w:val="0"/>
          <w:sz w:val="16"/>
          <w:szCs w:val="16"/>
        </w:rPr>
        <w:t xml:space="preserve"> T. Indirect comparison of </w:t>
      </w:r>
      <w:proofErr w:type="spellStart"/>
      <w:r w:rsidRPr="008C639B">
        <w:rPr>
          <w:color w:val="000000"/>
          <w:spacing w:val="-1"/>
          <w:kern w:val="0"/>
          <w:sz w:val="16"/>
          <w:szCs w:val="16"/>
        </w:rPr>
        <w:t>randomised</w:t>
      </w:r>
      <w:proofErr w:type="spellEnd"/>
      <w:r w:rsidRPr="008C639B">
        <w:rPr>
          <w:color w:val="000000"/>
          <w:spacing w:val="-1"/>
          <w:kern w:val="0"/>
          <w:sz w:val="16"/>
          <w:szCs w:val="16"/>
        </w:rPr>
        <w:t xml:space="preserve"> controlled trials: comparative efficacy of </w:t>
      </w:r>
      <w:proofErr w:type="spellStart"/>
      <w:r w:rsidRPr="008C639B">
        <w:rPr>
          <w:color w:val="000000"/>
          <w:spacing w:val="-1"/>
          <w:kern w:val="0"/>
          <w:sz w:val="16"/>
          <w:szCs w:val="16"/>
        </w:rPr>
        <w:t>dexlansoprazole</w:t>
      </w:r>
      <w:proofErr w:type="spellEnd"/>
      <w:r w:rsidRPr="008C639B">
        <w:rPr>
          <w:color w:val="000000"/>
          <w:spacing w:val="-1"/>
          <w:kern w:val="0"/>
          <w:sz w:val="16"/>
          <w:szCs w:val="16"/>
        </w:rPr>
        <w:t xml:space="preserve"> vs. esomeprazole in the treatment of gastro-</w:t>
      </w:r>
      <w:proofErr w:type="spellStart"/>
      <w:r w:rsidRPr="008C639B">
        <w:rPr>
          <w:color w:val="000000"/>
          <w:spacing w:val="-1"/>
          <w:kern w:val="0"/>
          <w:sz w:val="16"/>
          <w:szCs w:val="16"/>
        </w:rPr>
        <w:t>oesophageal</w:t>
      </w:r>
      <w:proofErr w:type="spellEnd"/>
      <w:r w:rsidRPr="008C639B">
        <w:rPr>
          <w:color w:val="000000"/>
          <w:spacing w:val="-1"/>
          <w:kern w:val="0"/>
          <w:sz w:val="16"/>
          <w:szCs w:val="16"/>
        </w:rPr>
        <w:t xml:space="preserve"> reflux disease. </w:t>
      </w:r>
      <w:r w:rsidRPr="008C639B">
        <w:rPr>
          <w:i/>
          <w:iCs/>
          <w:color w:val="000000"/>
          <w:spacing w:val="-1"/>
          <w:kern w:val="0"/>
          <w:sz w:val="16"/>
          <w:szCs w:val="16"/>
        </w:rPr>
        <w:t xml:space="preserve">Aliment </w:t>
      </w:r>
      <w:proofErr w:type="spellStart"/>
      <w:r w:rsidRPr="008C639B">
        <w:rPr>
          <w:i/>
          <w:iCs/>
          <w:color w:val="000000"/>
          <w:spacing w:val="-1"/>
          <w:kern w:val="0"/>
          <w:sz w:val="16"/>
          <w:szCs w:val="16"/>
        </w:rPr>
        <w:t>Pharmacol</w:t>
      </w:r>
      <w:proofErr w:type="spellEnd"/>
      <w:r w:rsidRPr="008C639B">
        <w:rPr>
          <w:i/>
          <w:iCs/>
          <w:color w:val="000000"/>
          <w:spacing w:val="-1"/>
          <w:kern w:val="0"/>
          <w:sz w:val="16"/>
          <w:szCs w:val="16"/>
        </w:rPr>
        <w:t xml:space="preserve"> </w:t>
      </w:r>
      <w:proofErr w:type="spellStart"/>
      <w:r w:rsidRPr="008C639B">
        <w:rPr>
          <w:i/>
          <w:iCs/>
          <w:color w:val="000000"/>
          <w:spacing w:val="-1"/>
          <w:kern w:val="0"/>
          <w:sz w:val="16"/>
          <w:szCs w:val="16"/>
        </w:rPr>
        <w:t>Ther</w:t>
      </w:r>
      <w:proofErr w:type="spellEnd"/>
      <w:r w:rsidRPr="008C639B">
        <w:rPr>
          <w:color w:val="000000"/>
          <w:spacing w:val="-1"/>
          <w:kern w:val="0"/>
          <w:sz w:val="16"/>
          <w:szCs w:val="16"/>
        </w:rPr>
        <w:t xml:space="preserve"> 2013; </w:t>
      </w:r>
      <w:r w:rsidRPr="008C639B">
        <w:rPr>
          <w:b/>
          <w:bCs/>
          <w:color w:val="000000"/>
          <w:spacing w:val="-1"/>
          <w:kern w:val="0"/>
          <w:sz w:val="16"/>
          <w:szCs w:val="16"/>
        </w:rPr>
        <w:t>38</w:t>
      </w:r>
      <w:r w:rsidRPr="008C639B">
        <w:rPr>
          <w:color w:val="000000"/>
          <w:spacing w:val="-1"/>
          <w:kern w:val="0"/>
          <w:sz w:val="16"/>
          <w:szCs w:val="16"/>
        </w:rPr>
        <w:t>: 190-201 [PMID: 23718547 DOI: 10.1111/apt.12349]</w:t>
      </w:r>
    </w:p>
    <w:p w:rsidR="00737F2A" w:rsidRPr="008C639B" w:rsidRDefault="00737F2A" w:rsidP="00737F2A">
      <w:pPr>
        <w:suppressAutoHyphens/>
        <w:autoSpaceDE w:val="0"/>
        <w:autoSpaceDN w:val="0"/>
        <w:adjustRightInd w:val="0"/>
        <w:spacing w:line="200" w:lineRule="atLeast"/>
        <w:ind w:left="360" w:hanging="360"/>
        <w:textAlignment w:val="center"/>
        <w:rPr>
          <w:color w:val="000000"/>
          <w:spacing w:val="-1"/>
          <w:kern w:val="0"/>
          <w:sz w:val="16"/>
          <w:szCs w:val="16"/>
        </w:rPr>
      </w:pPr>
      <w:r w:rsidRPr="008C639B">
        <w:rPr>
          <w:color w:val="000000"/>
          <w:spacing w:val="-1"/>
          <w:kern w:val="0"/>
          <w:sz w:val="16"/>
          <w:szCs w:val="16"/>
        </w:rPr>
        <w:t>22</w:t>
      </w:r>
      <w:r w:rsidRPr="008C639B">
        <w:rPr>
          <w:color w:val="000000"/>
          <w:spacing w:val="-1"/>
          <w:kern w:val="0"/>
          <w:sz w:val="16"/>
          <w:szCs w:val="16"/>
        </w:rPr>
        <w:tab/>
      </w:r>
      <w:r w:rsidRPr="008C639B">
        <w:rPr>
          <w:b/>
          <w:bCs/>
          <w:color w:val="000000"/>
          <w:spacing w:val="-1"/>
          <w:kern w:val="0"/>
          <w:sz w:val="16"/>
          <w:szCs w:val="16"/>
        </w:rPr>
        <w:t>Stedman CA</w:t>
      </w:r>
      <w:r w:rsidRPr="008C639B">
        <w:rPr>
          <w:color w:val="000000"/>
          <w:spacing w:val="-1"/>
          <w:kern w:val="0"/>
          <w:sz w:val="16"/>
          <w:szCs w:val="16"/>
        </w:rPr>
        <w:t xml:space="preserve">, Barclay ML. Review article: comparison of the pharmacokinetics, acid suppression and efficacy of proton pump inhibitors. </w:t>
      </w:r>
      <w:r w:rsidRPr="008C639B">
        <w:rPr>
          <w:i/>
          <w:iCs/>
          <w:color w:val="000000"/>
          <w:spacing w:val="-1"/>
          <w:kern w:val="0"/>
          <w:sz w:val="16"/>
          <w:szCs w:val="16"/>
        </w:rPr>
        <w:t xml:space="preserve">Aliment </w:t>
      </w:r>
      <w:proofErr w:type="spellStart"/>
      <w:r w:rsidRPr="008C639B">
        <w:rPr>
          <w:i/>
          <w:iCs/>
          <w:color w:val="000000"/>
          <w:spacing w:val="-1"/>
          <w:kern w:val="0"/>
          <w:sz w:val="16"/>
          <w:szCs w:val="16"/>
        </w:rPr>
        <w:t>Pharmacol</w:t>
      </w:r>
      <w:proofErr w:type="spellEnd"/>
      <w:r w:rsidRPr="008C639B">
        <w:rPr>
          <w:i/>
          <w:iCs/>
          <w:color w:val="000000"/>
          <w:spacing w:val="-1"/>
          <w:kern w:val="0"/>
          <w:sz w:val="16"/>
          <w:szCs w:val="16"/>
        </w:rPr>
        <w:t xml:space="preserve"> </w:t>
      </w:r>
      <w:proofErr w:type="spellStart"/>
      <w:r w:rsidRPr="008C639B">
        <w:rPr>
          <w:i/>
          <w:iCs/>
          <w:color w:val="000000"/>
          <w:spacing w:val="-1"/>
          <w:kern w:val="0"/>
          <w:sz w:val="16"/>
          <w:szCs w:val="16"/>
        </w:rPr>
        <w:t>Ther</w:t>
      </w:r>
      <w:proofErr w:type="spellEnd"/>
      <w:r w:rsidRPr="008C639B">
        <w:rPr>
          <w:color w:val="000000"/>
          <w:spacing w:val="-1"/>
          <w:kern w:val="0"/>
          <w:sz w:val="16"/>
          <w:szCs w:val="16"/>
        </w:rPr>
        <w:t xml:space="preserve"> 2000; </w:t>
      </w:r>
      <w:r w:rsidRPr="008C639B">
        <w:rPr>
          <w:b/>
          <w:bCs/>
          <w:color w:val="000000"/>
          <w:spacing w:val="-1"/>
          <w:kern w:val="0"/>
          <w:sz w:val="16"/>
          <w:szCs w:val="16"/>
        </w:rPr>
        <w:t>14</w:t>
      </w:r>
      <w:r w:rsidRPr="008C639B">
        <w:rPr>
          <w:color w:val="000000"/>
          <w:spacing w:val="-1"/>
          <w:kern w:val="0"/>
          <w:sz w:val="16"/>
          <w:szCs w:val="16"/>
        </w:rPr>
        <w:t>: 963-978 [PMID: 10930890]</w:t>
      </w:r>
    </w:p>
    <w:p w:rsidR="00737F2A" w:rsidRPr="008C639B" w:rsidRDefault="00737F2A" w:rsidP="00737F2A">
      <w:pPr>
        <w:suppressAutoHyphens/>
        <w:autoSpaceDE w:val="0"/>
        <w:autoSpaceDN w:val="0"/>
        <w:adjustRightInd w:val="0"/>
        <w:spacing w:line="200" w:lineRule="atLeast"/>
        <w:ind w:left="360" w:hanging="360"/>
        <w:textAlignment w:val="center"/>
        <w:rPr>
          <w:color w:val="000000"/>
          <w:spacing w:val="-1"/>
          <w:kern w:val="0"/>
          <w:sz w:val="16"/>
          <w:szCs w:val="16"/>
        </w:rPr>
      </w:pPr>
      <w:r w:rsidRPr="008C639B">
        <w:rPr>
          <w:color w:val="000000"/>
          <w:spacing w:val="-1"/>
          <w:kern w:val="0"/>
          <w:sz w:val="16"/>
          <w:szCs w:val="16"/>
        </w:rPr>
        <w:t>23</w:t>
      </w:r>
      <w:r w:rsidRPr="008C639B">
        <w:rPr>
          <w:color w:val="000000"/>
          <w:spacing w:val="-1"/>
          <w:kern w:val="0"/>
          <w:sz w:val="16"/>
          <w:szCs w:val="16"/>
        </w:rPr>
        <w:tab/>
      </w:r>
      <w:r w:rsidRPr="008C639B">
        <w:rPr>
          <w:b/>
          <w:bCs/>
          <w:color w:val="000000"/>
          <w:spacing w:val="-1"/>
          <w:kern w:val="0"/>
          <w:sz w:val="16"/>
          <w:szCs w:val="16"/>
        </w:rPr>
        <w:t>Shin JM</w:t>
      </w:r>
      <w:r w:rsidRPr="008C639B">
        <w:rPr>
          <w:color w:val="000000"/>
          <w:spacing w:val="-1"/>
          <w:kern w:val="0"/>
          <w:sz w:val="16"/>
          <w:szCs w:val="16"/>
        </w:rPr>
        <w:t xml:space="preserve">, Kim N. Pharmacokinetics and pharmacodynamics of the proton pump inhibitors. </w:t>
      </w:r>
      <w:r w:rsidRPr="008C639B">
        <w:rPr>
          <w:i/>
          <w:iCs/>
          <w:color w:val="000000"/>
          <w:spacing w:val="-1"/>
          <w:kern w:val="0"/>
          <w:sz w:val="16"/>
          <w:szCs w:val="16"/>
        </w:rPr>
        <w:t xml:space="preserve">J </w:t>
      </w:r>
      <w:proofErr w:type="spellStart"/>
      <w:r w:rsidRPr="008C639B">
        <w:rPr>
          <w:i/>
          <w:iCs/>
          <w:color w:val="000000"/>
          <w:spacing w:val="-1"/>
          <w:kern w:val="0"/>
          <w:sz w:val="16"/>
          <w:szCs w:val="16"/>
        </w:rPr>
        <w:t>Neurogastroenterol</w:t>
      </w:r>
      <w:proofErr w:type="spellEnd"/>
      <w:r w:rsidRPr="008C639B">
        <w:rPr>
          <w:i/>
          <w:iCs/>
          <w:color w:val="000000"/>
          <w:spacing w:val="-1"/>
          <w:kern w:val="0"/>
          <w:sz w:val="16"/>
          <w:szCs w:val="16"/>
        </w:rPr>
        <w:t xml:space="preserve"> </w:t>
      </w:r>
      <w:proofErr w:type="spellStart"/>
      <w:r w:rsidRPr="008C639B">
        <w:rPr>
          <w:i/>
          <w:iCs/>
          <w:color w:val="000000"/>
          <w:spacing w:val="-1"/>
          <w:kern w:val="0"/>
          <w:sz w:val="16"/>
          <w:szCs w:val="16"/>
        </w:rPr>
        <w:t>Motil</w:t>
      </w:r>
      <w:proofErr w:type="spellEnd"/>
      <w:r w:rsidRPr="008C639B">
        <w:rPr>
          <w:color w:val="000000"/>
          <w:spacing w:val="-1"/>
          <w:kern w:val="0"/>
          <w:sz w:val="16"/>
          <w:szCs w:val="16"/>
        </w:rPr>
        <w:t xml:space="preserve"> 2013; </w:t>
      </w:r>
      <w:r w:rsidRPr="008C639B">
        <w:rPr>
          <w:b/>
          <w:bCs/>
          <w:color w:val="000000"/>
          <w:spacing w:val="-1"/>
          <w:kern w:val="0"/>
          <w:sz w:val="16"/>
          <w:szCs w:val="16"/>
        </w:rPr>
        <w:t>19</w:t>
      </w:r>
      <w:r w:rsidRPr="008C639B">
        <w:rPr>
          <w:color w:val="000000"/>
          <w:spacing w:val="-1"/>
          <w:kern w:val="0"/>
          <w:sz w:val="16"/>
          <w:szCs w:val="16"/>
        </w:rPr>
        <w:t>: 25-35 [PMID: 23350044 DOI: 10.5056/jnm.2013.19.1.25]</w:t>
      </w:r>
    </w:p>
    <w:p w:rsidR="00737F2A" w:rsidRPr="008C639B" w:rsidRDefault="00737F2A" w:rsidP="00737F2A">
      <w:pPr>
        <w:suppressAutoHyphens/>
        <w:autoSpaceDE w:val="0"/>
        <w:autoSpaceDN w:val="0"/>
        <w:adjustRightInd w:val="0"/>
        <w:spacing w:line="200" w:lineRule="atLeast"/>
        <w:ind w:left="360" w:hanging="360"/>
        <w:textAlignment w:val="center"/>
        <w:rPr>
          <w:color w:val="000000"/>
          <w:spacing w:val="-1"/>
          <w:kern w:val="0"/>
          <w:sz w:val="16"/>
          <w:szCs w:val="16"/>
        </w:rPr>
      </w:pPr>
      <w:r w:rsidRPr="008C639B">
        <w:rPr>
          <w:color w:val="000000"/>
          <w:spacing w:val="-1"/>
          <w:kern w:val="0"/>
          <w:sz w:val="16"/>
          <w:szCs w:val="16"/>
        </w:rPr>
        <w:lastRenderedPageBreak/>
        <w:t>24</w:t>
      </w:r>
      <w:r w:rsidRPr="008C639B">
        <w:rPr>
          <w:color w:val="000000"/>
          <w:spacing w:val="-1"/>
          <w:kern w:val="0"/>
          <w:sz w:val="16"/>
          <w:szCs w:val="16"/>
        </w:rPr>
        <w:tab/>
      </w:r>
      <w:proofErr w:type="spellStart"/>
      <w:r w:rsidRPr="008C639B">
        <w:rPr>
          <w:b/>
          <w:bCs/>
          <w:color w:val="000000"/>
          <w:spacing w:val="-1"/>
          <w:kern w:val="0"/>
          <w:sz w:val="16"/>
          <w:szCs w:val="16"/>
        </w:rPr>
        <w:t>Junghard</w:t>
      </w:r>
      <w:proofErr w:type="spellEnd"/>
      <w:r w:rsidRPr="008C639B">
        <w:rPr>
          <w:b/>
          <w:bCs/>
          <w:color w:val="000000"/>
          <w:spacing w:val="-1"/>
          <w:kern w:val="0"/>
          <w:sz w:val="16"/>
          <w:szCs w:val="16"/>
        </w:rPr>
        <w:t xml:space="preserve"> O</w:t>
      </w:r>
      <w:r w:rsidRPr="008C639B">
        <w:rPr>
          <w:color w:val="000000"/>
          <w:spacing w:val="-1"/>
          <w:kern w:val="0"/>
          <w:sz w:val="16"/>
          <w:szCs w:val="16"/>
        </w:rPr>
        <w:t>, Hassan-</w:t>
      </w:r>
      <w:proofErr w:type="spellStart"/>
      <w:r w:rsidRPr="008C639B">
        <w:rPr>
          <w:color w:val="000000"/>
          <w:spacing w:val="-1"/>
          <w:kern w:val="0"/>
          <w:sz w:val="16"/>
          <w:szCs w:val="16"/>
        </w:rPr>
        <w:t>Alin</w:t>
      </w:r>
      <w:proofErr w:type="spellEnd"/>
      <w:r w:rsidRPr="008C639B">
        <w:rPr>
          <w:color w:val="000000"/>
          <w:spacing w:val="-1"/>
          <w:kern w:val="0"/>
          <w:sz w:val="16"/>
          <w:szCs w:val="16"/>
        </w:rPr>
        <w:t xml:space="preserve"> M, </w:t>
      </w:r>
      <w:proofErr w:type="spellStart"/>
      <w:r w:rsidRPr="008C639B">
        <w:rPr>
          <w:color w:val="000000"/>
          <w:spacing w:val="-1"/>
          <w:kern w:val="0"/>
          <w:sz w:val="16"/>
          <w:szCs w:val="16"/>
        </w:rPr>
        <w:t>Hasselgren</w:t>
      </w:r>
      <w:proofErr w:type="spellEnd"/>
      <w:r w:rsidRPr="008C639B">
        <w:rPr>
          <w:color w:val="000000"/>
          <w:spacing w:val="-1"/>
          <w:kern w:val="0"/>
          <w:sz w:val="16"/>
          <w:szCs w:val="16"/>
        </w:rPr>
        <w:t xml:space="preserve"> G. </w:t>
      </w:r>
      <w:proofErr w:type="gramStart"/>
      <w:r w:rsidRPr="008C639B">
        <w:rPr>
          <w:color w:val="000000"/>
          <w:spacing w:val="-1"/>
          <w:kern w:val="0"/>
          <w:sz w:val="16"/>
          <w:szCs w:val="16"/>
        </w:rPr>
        <w:t xml:space="preserve">The effect of the area under the plasma concentration </w:t>
      </w:r>
      <w:proofErr w:type="spellStart"/>
      <w:r w:rsidRPr="008C639B">
        <w:rPr>
          <w:color w:val="000000"/>
          <w:spacing w:val="-1"/>
          <w:kern w:val="0"/>
          <w:sz w:val="16"/>
          <w:szCs w:val="16"/>
        </w:rPr>
        <w:t>vs</w:t>
      </w:r>
      <w:proofErr w:type="spellEnd"/>
      <w:r w:rsidRPr="008C639B">
        <w:rPr>
          <w:color w:val="000000"/>
          <w:spacing w:val="-1"/>
          <w:kern w:val="0"/>
          <w:sz w:val="16"/>
          <w:szCs w:val="16"/>
        </w:rPr>
        <w:t xml:space="preserve"> time curve and the maximum plasma concentration of esomeprazole on </w:t>
      </w:r>
      <w:proofErr w:type="spellStart"/>
      <w:r w:rsidRPr="008C639B">
        <w:rPr>
          <w:color w:val="000000"/>
          <w:spacing w:val="-1"/>
          <w:kern w:val="0"/>
          <w:sz w:val="16"/>
          <w:szCs w:val="16"/>
        </w:rPr>
        <w:t>intragastric</w:t>
      </w:r>
      <w:proofErr w:type="spellEnd"/>
      <w:r w:rsidRPr="008C639B">
        <w:rPr>
          <w:color w:val="000000"/>
          <w:spacing w:val="-1"/>
          <w:kern w:val="0"/>
          <w:sz w:val="16"/>
          <w:szCs w:val="16"/>
        </w:rPr>
        <w:t xml:space="preserve"> </w:t>
      </w:r>
      <w:proofErr w:type="spellStart"/>
      <w:r w:rsidRPr="008C639B">
        <w:rPr>
          <w:color w:val="000000"/>
          <w:spacing w:val="-1"/>
          <w:kern w:val="0"/>
          <w:sz w:val="16"/>
          <w:szCs w:val="16"/>
        </w:rPr>
        <w:t>pH.</w:t>
      </w:r>
      <w:proofErr w:type="spellEnd"/>
      <w:proofErr w:type="gramEnd"/>
      <w:r w:rsidRPr="008C639B">
        <w:rPr>
          <w:color w:val="000000"/>
          <w:spacing w:val="-1"/>
          <w:kern w:val="0"/>
          <w:sz w:val="16"/>
          <w:szCs w:val="16"/>
        </w:rPr>
        <w:t xml:space="preserve"> </w:t>
      </w:r>
      <w:proofErr w:type="spellStart"/>
      <w:r w:rsidRPr="008C639B">
        <w:rPr>
          <w:i/>
          <w:iCs/>
          <w:color w:val="000000"/>
          <w:spacing w:val="-1"/>
          <w:kern w:val="0"/>
          <w:sz w:val="16"/>
          <w:szCs w:val="16"/>
        </w:rPr>
        <w:t>Eur</w:t>
      </w:r>
      <w:proofErr w:type="spellEnd"/>
      <w:r w:rsidRPr="008C639B">
        <w:rPr>
          <w:i/>
          <w:iCs/>
          <w:color w:val="000000"/>
          <w:spacing w:val="-1"/>
          <w:kern w:val="0"/>
          <w:sz w:val="16"/>
          <w:szCs w:val="16"/>
        </w:rPr>
        <w:t xml:space="preserve"> J </w:t>
      </w:r>
      <w:proofErr w:type="spellStart"/>
      <w:r w:rsidRPr="008C639B">
        <w:rPr>
          <w:i/>
          <w:iCs/>
          <w:color w:val="000000"/>
          <w:spacing w:val="-1"/>
          <w:kern w:val="0"/>
          <w:sz w:val="16"/>
          <w:szCs w:val="16"/>
        </w:rPr>
        <w:t>Clin</w:t>
      </w:r>
      <w:proofErr w:type="spellEnd"/>
      <w:r w:rsidRPr="008C639B">
        <w:rPr>
          <w:i/>
          <w:iCs/>
          <w:color w:val="000000"/>
          <w:spacing w:val="-1"/>
          <w:kern w:val="0"/>
          <w:sz w:val="16"/>
          <w:szCs w:val="16"/>
        </w:rPr>
        <w:t xml:space="preserve"> </w:t>
      </w:r>
      <w:proofErr w:type="spellStart"/>
      <w:r w:rsidRPr="008C639B">
        <w:rPr>
          <w:i/>
          <w:iCs/>
          <w:color w:val="000000"/>
          <w:spacing w:val="-1"/>
          <w:kern w:val="0"/>
          <w:sz w:val="16"/>
          <w:szCs w:val="16"/>
        </w:rPr>
        <w:t>Pharmacol</w:t>
      </w:r>
      <w:proofErr w:type="spellEnd"/>
      <w:r w:rsidRPr="008C639B">
        <w:rPr>
          <w:color w:val="000000"/>
          <w:spacing w:val="-1"/>
          <w:kern w:val="0"/>
          <w:sz w:val="16"/>
          <w:szCs w:val="16"/>
        </w:rPr>
        <w:t xml:space="preserve"> 2002; </w:t>
      </w:r>
      <w:r w:rsidRPr="008C639B">
        <w:rPr>
          <w:b/>
          <w:bCs/>
          <w:color w:val="000000"/>
          <w:spacing w:val="-1"/>
          <w:kern w:val="0"/>
          <w:sz w:val="16"/>
          <w:szCs w:val="16"/>
        </w:rPr>
        <w:t>58</w:t>
      </w:r>
      <w:r w:rsidRPr="008C639B">
        <w:rPr>
          <w:color w:val="000000"/>
          <w:spacing w:val="-1"/>
          <w:kern w:val="0"/>
          <w:sz w:val="16"/>
          <w:szCs w:val="16"/>
        </w:rPr>
        <w:t>: 453-458 [PMID: 12389067 DOI: 10.1007/s00228-002-0502-1]</w:t>
      </w:r>
    </w:p>
    <w:p w:rsidR="00737F2A" w:rsidRPr="008C639B" w:rsidRDefault="00737F2A" w:rsidP="00737F2A">
      <w:pPr>
        <w:suppressAutoHyphens/>
        <w:autoSpaceDE w:val="0"/>
        <w:autoSpaceDN w:val="0"/>
        <w:adjustRightInd w:val="0"/>
        <w:spacing w:line="200" w:lineRule="atLeast"/>
        <w:ind w:left="360" w:hanging="360"/>
        <w:textAlignment w:val="center"/>
        <w:rPr>
          <w:color w:val="000000"/>
          <w:spacing w:val="-1"/>
          <w:kern w:val="0"/>
          <w:sz w:val="16"/>
          <w:szCs w:val="16"/>
        </w:rPr>
      </w:pPr>
      <w:r w:rsidRPr="008C639B">
        <w:rPr>
          <w:color w:val="000000"/>
          <w:spacing w:val="-1"/>
          <w:kern w:val="0"/>
          <w:sz w:val="16"/>
          <w:szCs w:val="16"/>
        </w:rPr>
        <w:t>25</w:t>
      </w:r>
      <w:r w:rsidRPr="008C639B">
        <w:rPr>
          <w:color w:val="000000"/>
          <w:spacing w:val="-1"/>
          <w:kern w:val="0"/>
          <w:sz w:val="16"/>
          <w:szCs w:val="16"/>
        </w:rPr>
        <w:tab/>
      </w:r>
      <w:proofErr w:type="spellStart"/>
      <w:r w:rsidRPr="008C639B">
        <w:rPr>
          <w:b/>
          <w:bCs/>
          <w:color w:val="000000"/>
          <w:spacing w:val="-1"/>
          <w:kern w:val="0"/>
          <w:sz w:val="16"/>
          <w:szCs w:val="16"/>
        </w:rPr>
        <w:t>Andersson</w:t>
      </w:r>
      <w:proofErr w:type="spellEnd"/>
      <w:r w:rsidRPr="008C639B">
        <w:rPr>
          <w:b/>
          <w:bCs/>
          <w:color w:val="000000"/>
          <w:spacing w:val="-1"/>
          <w:kern w:val="0"/>
          <w:sz w:val="16"/>
          <w:szCs w:val="16"/>
        </w:rPr>
        <w:t xml:space="preserve"> T</w:t>
      </w:r>
      <w:r w:rsidRPr="008C639B">
        <w:rPr>
          <w:color w:val="000000"/>
          <w:spacing w:val="-1"/>
          <w:kern w:val="0"/>
          <w:sz w:val="16"/>
          <w:szCs w:val="16"/>
        </w:rPr>
        <w:t xml:space="preserve">, </w:t>
      </w:r>
      <w:proofErr w:type="spellStart"/>
      <w:r w:rsidRPr="008C639B">
        <w:rPr>
          <w:color w:val="000000"/>
          <w:spacing w:val="-1"/>
          <w:kern w:val="0"/>
          <w:sz w:val="16"/>
          <w:szCs w:val="16"/>
        </w:rPr>
        <w:t>Röhss</w:t>
      </w:r>
      <w:proofErr w:type="spellEnd"/>
      <w:r w:rsidRPr="008C639B">
        <w:rPr>
          <w:color w:val="000000"/>
          <w:spacing w:val="-1"/>
          <w:kern w:val="0"/>
          <w:sz w:val="16"/>
          <w:szCs w:val="16"/>
        </w:rPr>
        <w:t xml:space="preserve"> K, </w:t>
      </w:r>
      <w:proofErr w:type="spellStart"/>
      <w:r w:rsidRPr="008C639B">
        <w:rPr>
          <w:color w:val="000000"/>
          <w:spacing w:val="-1"/>
          <w:kern w:val="0"/>
          <w:sz w:val="16"/>
          <w:szCs w:val="16"/>
        </w:rPr>
        <w:t>Bredberg</w:t>
      </w:r>
      <w:proofErr w:type="spellEnd"/>
      <w:r w:rsidRPr="008C639B">
        <w:rPr>
          <w:color w:val="000000"/>
          <w:spacing w:val="-1"/>
          <w:kern w:val="0"/>
          <w:sz w:val="16"/>
          <w:szCs w:val="16"/>
        </w:rPr>
        <w:t xml:space="preserve"> E, Hassan-</w:t>
      </w:r>
      <w:proofErr w:type="spellStart"/>
      <w:r w:rsidRPr="008C639B">
        <w:rPr>
          <w:color w:val="000000"/>
          <w:spacing w:val="-1"/>
          <w:kern w:val="0"/>
          <w:sz w:val="16"/>
          <w:szCs w:val="16"/>
        </w:rPr>
        <w:t>Alin</w:t>
      </w:r>
      <w:proofErr w:type="spellEnd"/>
      <w:r w:rsidRPr="008C639B">
        <w:rPr>
          <w:color w:val="000000"/>
          <w:spacing w:val="-1"/>
          <w:kern w:val="0"/>
          <w:sz w:val="16"/>
          <w:szCs w:val="16"/>
        </w:rPr>
        <w:t xml:space="preserve"> M. Pharmacokinetics and pharmacodynamics of esomeprazole, the S-isomer of omeprazole. </w:t>
      </w:r>
      <w:r w:rsidRPr="008C639B">
        <w:rPr>
          <w:i/>
          <w:iCs/>
          <w:color w:val="000000"/>
          <w:spacing w:val="-1"/>
          <w:kern w:val="0"/>
          <w:sz w:val="16"/>
          <w:szCs w:val="16"/>
        </w:rPr>
        <w:t xml:space="preserve">Aliment </w:t>
      </w:r>
      <w:proofErr w:type="spellStart"/>
      <w:r w:rsidRPr="008C639B">
        <w:rPr>
          <w:i/>
          <w:iCs/>
          <w:color w:val="000000"/>
          <w:spacing w:val="-1"/>
          <w:kern w:val="0"/>
          <w:sz w:val="16"/>
          <w:szCs w:val="16"/>
        </w:rPr>
        <w:t>Pharmacol</w:t>
      </w:r>
      <w:proofErr w:type="spellEnd"/>
      <w:r w:rsidRPr="008C639B">
        <w:rPr>
          <w:i/>
          <w:iCs/>
          <w:color w:val="000000"/>
          <w:spacing w:val="-1"/>
          <w:kern w:val="0"/>
          <w:sz w:val="16"/>
          <w:szCs w:val="16"/>
        </w:rPr>
        <w:t xml:space="preserve"> </w:t>
      </w:r>
      <w:proofErr w:type="spellStart"/>
      <w:r w:rsidRPr="008C639B">
        <w:rPr>
          <w:i/>
          <w:iCs/>
          <w:color w:val="000000"/>
          <w:spacing w:val="-1"/>
          <w:kern w:val="0"/>
          <w:sz w:val="16"/>
          <w:szCs w:val="16"/>
        </w:rPr>
        <w:t>Ther</w:t>
      </w:r>
      <w:proofErr w:type="spellEnd"/>
      <w:r w:rsidRPr="008C639B">
        <w:rPr>
          <w:color w:val="000000"/>
          <w:spacing w:val="-1"/>
          <w:kern w:val="0"/>
          <w:sz w:val="16"/>
          <w:szCs w:val="16"/>
        </w:rPr>
        <w:t xml:space="preserve"> 2001; </w:t>
      </w:r>
      <w:r w:rsidRPr="008C639B">
        <w:rPr>
          <w:b/>
          <w:bCs/>
          <w:color w:val="000000"/>
          <w:spacing w:val="-1"/>
          <w:kern w:val="0"/>
          <w:sz w:val="16"/>
          <w:szCs w:val="16"/>
        </w:rPr>
        <w:t>15</w:t>
      </w:r>
      <w:r w:rsidRPr="008C639B">
        <w:rPr>
          <w:color w:val="000000"/>
          <w:spacing w:val="-1"/>
          <w:kern w:val="0"/>
          <w:sz w:val="16"/>
          <w:szCs w:val="16"/>
        </w:rPr>
        <w:t>: 1563-1569 [PMID: 11563995]</w:t>
      </w:r>
    </w:p>
    <w:p w:rsidR="00737F2A" w:rsidRPr="008C639B" w:rsidRDefault="00737F2A" w:rsidP="00737F2A">
      <w:pPr>
        <w:suppressAutoHyphens/>
        <w:autoSpaceDE w:val="0"/>
        <w:autoSpaceDN w:val="0"/>
        <w:adjustRightInd w:val="0"/>
        <w:spacing w:line="200" w:lineRule="atLeast"/>
        <w:ind w:left="360" w:hanging="360"/>
        <w:textAlignment w:val="center"/>
        <w:rPr>
          <w:color w:val="000000"/>
          <w:spacing w:val="-3"/>
          <w:kern w:val="0"/>
          <w:sz w:val="16"/>
          <w:szCs w:val="16"/>
        </w:rPr>
      </w:pPr>
      <w:r w:rsidRPr="008C639B">
        <w:rPr>
          <w:color w:val="000000"/>
          <w:spacing w:val="-3"/>
          <w:kern w:val="0"/>
          <w:sz w:val="16"/>
          <w:szCs w:val="16"/>
        </w:rPr>
        <w:t>26</w:t>
      </w:r>
      <w:r w:rsidRPr="008C639B">
        <w:rPr>
          <w:color w:val="000000"/>
          <w:spacing w:val="-3"/>
          <w:kern w:val="0"/>
          <w:sz w:val="16"/>
          <w:szCs w:val="16"/>
        </w:rPr>
        <w:tab/>
      </w:r>
      <w:r w:rsidRPr="008C639B">
        <w:rPr>
          <w:b/>
          <w:bCs/>
          <w:color w:val="000000"/>
          <w:spacing w:val="-3"/>
          <w:kern w:val="0"/>
          <w:sz w:val="16"/>
          <w:szCs w:val="16"/>
        </w:rPr>
        <w:t>Metz DC</w:t>
      </w:r>
      <w:r w:rsidRPr="008C639B">
        <w:rPr>
          <w:color w:val="000000"/>
          <w:spacing w:val="-3"/>
          <w:kern w:val="0"/>
          <w:sz w:val="16"/>
          <w:szCs w:val="16"/>
        </w:rPr>
        <w:t xml:space="preserve">, </w:t>
      </w:r>
      <w:proofErr w:type="spellStart"/>
      <w:r w:rsidRPr="008C639B">
        <w:rPr>
          <w:color w:val="000000"/>
          <w:spacing w:val="-3"/>
          <w:kern w:val="0"/>
          <w:sz w:val="16"/>
          <w:szCs w:val="16"/>
        </w:rPr>
        <w:t>Vakily</w:t>
      </w:r>
      <w:proofErr w:type="spellEnd"/>
      <w:r w:rsidRPr="008C639B">
        <w:rPr>
          <w:color w:val="000000"/>
          <w:spacing w:val="-3"/>
          <w:kern w:val="0"/>
          <w:sz w:val="16"/>
          <w:szCs w:val="16"/>
        </w:rPr>
        <w:t xml:space="preserve"> M, </w:t>
      </w:r>
      <w:proofErr w:type="gramStart"/>
      <w:r w:rsidRPr="008C639B">
        <w:rPr>
          <w:color w:val="000000"/>
          <w:spacing w:val="-3"/>
          <w:kern w:val="0"/>
          <w:sz w:val="16"/>
          <w:szCs w:val="16"/>
        </w:rPr>
        <w:t>Dixit</w:t>
      </w:r>
      <w:proofErr w:type="gramEnd"/>
      <w:r w:rsidRPr="008C639B">
        <w:rPr>
          <w:color w:val="000000"/>
          <w:spacing w:val="-3"/>
          <w:kern w:val="0"/>
          <w:sz w:val="16"/>
          <w:szCs w:val="16"/>
        </w:rPr>
        <w:t xml:space="preserve"> T, </w:t>
      </w:r>
      <w:proofErr w:type="spellStart"/>
      <w:r w:rsidRPr="008C639B">
        <w:rPr>
          <w:color w:val="000000"/>
          <w:spacing w:val="-3"/>
          <w:kern w:val="0"/>
          <w:sz w:val="16"/>
          <w:szCs w:val="16"/>
        </w:rPr>
        <w:t>Mulford</w:t>
      </w:r>
      <w:proofErr w:type="spellEnd"/>
      <w:r w:rsidRPr="008C639B">
        <w:rPr>
          <w:color w:val="000000"/>
          <w:spacing w:val="-3"/>
          <w:kern w:val="0"/>
          <w:sz w:val="16"/>
          <w:szCs w:val="16"/>
        </w:rPr>
        <w:t xml:space="preserve"> D. Review article: dual delayed release formulation of </w:t>
      </w:r>
      <w:proofErr w:type="spellStart"/>
      <w:r w:rsidRPr="008C639B">
        <w:rPr>
          <w:color w:val="000000"/>
          <w:spacing w:val="-3"/>
          <w:kern w:val="0"/>
          <w:sz w:val="16"/>
          <w:szCs w:val="16"/>
        </w:rPr>
        <w:t>dexlansoprazole</w:t>
      </w:r>
      <w:proofErr w:type="spellEnd"/>
      <w:r w:rsidRPr="008C639B">
        <w:rPr>
          <w:color w:val="000000"/>
          <w:spacing w:val="-3"/>
          <w:kern w:val="0"/>
          <w:sz w:val="16"/>
          <w:szCs w:val="16"/>
        </w:rPr>
        <w:t xml:space="preserve"> MR, a novel approach to overcome the limitations of conventional single release proton pump inhibitor therapy. </w:t>
      </w:r>
      <w:r w:rsidRPr="008C639B">
        <w:rPr>
          <w:i/>
          <w:iCs/>
          <w:color w:val="000000"/>
          <w:spacing w:val="-3"/>
          <w:kern w:val="0"/>
          <w:sz w:val="16"/>
          <w:szCs w:val="16"/>
        </w:rPr>
        <w:t xml:space="preserve">Aliment </w:t>
      </w:r>
      <w:proofErr w:type="spellStart"/>
      <w:r w:rsidRPr="008C639B">
        <w:rPr>
          <w:i/>
          <w:iCs/>
          <w:color w:val="000000"/>
          <w:spacing w:val="-3"/>
          <w:kern w:val="0"/>
          <w:sz w:val="16"/>
          <w:szCs w:val="16"/>
        </w:rPr>
        <w:t>Pharmacol</w:t>
      </w:r>
      <w:proofErr w:type="spellEnd"/>
      <w:r w:rsidRPr="008C639B">
        <w:rPr>
          <w:i/>
          <w:iCs/>
          <w:color w:val="000000"/>
          <w:spacing w:val="-3"/>
          <w:kern w:val="0"/>
          <w:sz w:val="16"/>
          <w:szCs w:val="16"/>
        </w:rPr>
        <w:t xml:space="preserve"> </w:t>
      </w:r>
      <w:proofErr w:type="spellStart"/>
      <w:r w:rsidRPr="008C639B">
        <w:rPr>
          <w:i/>
          <w:iCs/>
          <w:color w:val="000000"/>
          <w:spacing w:val="-3"/>
          <w:kern w:val="0"/>
          <w:sz w:val="16"/>
          <w:szCs w:val="16"/>
        </w:rPr>
        <w:t>Ther</w:t>
      </w:r>
      <w:proofErr w:type="spellEnd"/>
      <w:r w:rsidRPr="008C639B">
        <w:rPr>
          <w:color w:val="000000"/>
          <w:spacing w:val="-3"/>
          <w:kern w:val="0"/>
          <w:sz w:val="16"/>
          <w:szCs w:val="16"/>
        </w:rPr>
        <w:t xml:space="preserve"> 2009; </w:t>
      </w:r>
      <w:r w:rsidRPr="008C639B">
        <w:rPr>
          <w:b/>
          <w:bCs/>
          <w:color w:val="000000"/>
          <w:spacing w:val="-3"/>
          <w:kern w:val="0"/>
          <w:sz w:val="16"/>
          <w:szCs w:val="16"/>
        </w:rPr>
        <w:t>29</w:t>
      </w:r>
      <w:r w:rsidRPr="008C639B">
        <w:rPr>
          <w:color w:val="000000"/>
          <w:spacing w:val="-3"/>
          <w:kern w:val="0"/>
          <w:sz w:val="16"/>
          <w:szCs w:val="16"/>
        </w:rPr>
        <w:t>: 928-937 [PMID: 19298580 DOI: 10.1111/j.1365-2036.2009.03984.x]</w:t>
      </w:r>
    </w:p>
    <w:p w:rsidR="00737F2A" w:rsidRPr="008C639B" w:rsidRDefault="00737F2A" w:rsidP="00737F2A">
      <w:pPr>
        <w:suppressAutoHyphens/>
        <w:autoSpaceDE w:val="0"/>
        <w:autoSpaceDN w:val="0"/>
        <w:adjustRightInd w:val="0"/>
        <w:spacing w:line="200" w:lineRule="atLeast"/>
        <w:ind w:left="360" w:hanging="360"/>
        <w:textAlignment w:val="center"/>
        <w:rPr>
          <w:color w:val="000000"/>
          <w:spacing w:val="-1"/>
          <w:kern w:val="0"/>
          <w:sz w:val="16"/>
          <w:szCs w:val="16"/>
        </w:rPr>
      </w:pPr>
      <w:r w:rsidRPr="008C639B">
        <w:rPr>
          <w:color w:val="000000"/>
          <w:spacing w:val="-1"/>
          <w:kern w:val="0"/>
          <w:sz w:val="16"/>
          <w:szCs w:val="16"/>
        </w:rPr>
        <w:t>27</w:t>
      </w:r>
      <w:r w:rsidRPr="008C639B">
        <w:rPr>
          <w:color w:val="000000"/>
          <w:spacing w:val="-1"/>
          <w:kern w:val="0"/>
          <w:sz w:val="16"/>
          <w:szCs w:val="16"/>
        </w:rPr>
        <w:tab/>
      </w:r>
      <w:proofErr w:type="spellStart"/>
      <w:r w:rsidRPr="008C639B">
        <w:rPr>
          <w:b/>
          <w:bCs/>
          <w:color w:val="000000"/>
          <w:spacing w:val="-1"/>
          <w:kern w:val="0"/>
          <w:sz w:val="16"/>
          <w:szCs w:val="16"/>
        </w:rPr>
        <w:t>Behm</w:t>
      </w:r>
      <w:proofErr w:type="spellEnd"/>
      <w:r w:rsidRPr="008C639B">
        <w:rPr>
          <w:b/>
          <w:bCs/>
          <w:color w:val="000000"/>
          <w:spacing w:val="-1"/>
          <w:kern w:val="0"/>
          <w:sz w:val="16"/>
          <w:szCs w:val="16"/>
        </w:rPr>
        <w:t xml:space="preserve"> BW</w:t>
      </w:r>
      <w:r w:rsidRPr="008C639B">
        <w:rPr>
          <w:color w:val="000000"/>
          <w:spacing w:val="-1"/>
          <w:kern w:val="0"/>
          <w:sz w:val="16"/>
          <w:szCs w:val="16"/>
        </w:rPr>
        <w:t xml:space="preserve">, </w:t>
      </w:r>
      <w:proofErr w:type="spellStart"/>
      <w:r w:rsidRPr="008C639B">
        <w:rPr>
          <w:color w:val="000000"/>
          <w:spacing w:val="-1"/>
          <w:kern w:val="0"/>
          <w:sz w:val="16"/>
          <w:szCs w:val="16"/>
        </w:rPr>
        <w:t>Peura</w:t>
      </w:r>
      <w:proofErr w:type="spellEnd"/>
      <w:r w:rsidRPr="008C639B">
        <w:rPr>
          <w:color w:val="000000"/>
          <w:spacing w:val="-1"/>
          <w:kern w:val="0"/>
          <w:sz w:val="16"/>
          <w:szCs w:val="16"/>
        </w:rPr>
        <w:t xml:space="preserve"> DA. </w:t>
      </w:r>
      <w:proofErr w:type="spellStart"/>
      <w:r w:rsidRPr="008C639B">
        <w:rPr>
          <w:color w:val="000000"/>
          <w:spacing w:val="-1"/>
          <w:kern w:val="0"/>
          <w:sz w:val="16"/>
          <w:szCs w:val="16"/>
        </w:rPr>
        <w:t>Dexlansoprazole</w:t>
      </w:r>
      <w:proofErr w:type="spellEnd"/>
      <w:r w:rsidRPr="008C639B">
        <w:rPr>
          <w:color w:val="000000"/>
          <w:spacing w:val="-1"/>
          <w:kern w:val="0"/>
          <w:sz w:val="16"/>
          <w:szCs w:val="16"/>
        </w:rPr>
        <w:t xml:space="preserve"> MR for the management of </w:t>
      </w:r>
      <w:proofErr w:type="spellStart"/>
      <w:r w:rsidRPr="008C639B">
        <w:rPr>
          <w:color w:val="000000"/>
          <w:spacing w:val="-1"/>
          <w:kern w:val="0"/>
          <w:sz w:val="16"/>
          <w:szCs w:val="16"/>
        </w:rPr>
        <w:t>gastroesophageal</w:t>
      </w:r>
      <w:proofErr w:type="spellEnd"/>
      <w:r w:rsidRPr="008C639B">
        <w:rPr>
          <w:color w:val="000000"/>
          <w:spacing w:val="-1"/>
          <w:kern w:val="0"/>
          <w:sz w:val="16"/>
          <w:szCs w:val="16"/>
        </w:rPr>
        <w:t xml:space="preserve"> reflux disease. </w:t>
      </w:r>
      <w:r w:rsidRPr="008C639B">
        <w:rPr>
          <w:i/>
          <w:iCs/>
          <w:color w:val="000000"/>
          <w:spacing w:val="-1"/>
          <w:kern w:val="0"/>
          <w:sz w:val="16"/>
          <w:szCs w:val="16"/>
        </w:rPr>
        <w:t xml:space="preserve">Expert Rev </w:t>
      </w:r>
      <w:proofErr w:type="spellStart"/>
      <w:r w:rsidRPr="008C639B">
        <w:rPr>
          <w:i/>
          <w:iCs/>
          <w:color w:val="000000"/>
          <w:spacing w:val="-1"/>
          <w:kern w:val="0"/>
          <w:sz w:val="16"/>
          <w:szCs w:val="16"/>
        </w:rPr>
        <w:t>Gastroenterol</w:t>
      </w:r>
      <w:proofErr w:type="spellEnd"/>
      <w:r w:rsidRPr="008C639B">
        <w:rPr>
          <w:i/>
          <w:iCs/>
          <w:color w:val="000000"/>
          <w:spacing w:val="-1"/>
          <w:kern w:val="0"/>
          <w:sz w:val="16"/>
          <w:szCs w:val="16"/>
        </w:rPr>
        <w:t xml:space="preserve"> </w:t>
      </w:r>
      <w:proofErr w:type="spellStart"/>
      <w:r w:rsidRPr="008C639B">
        <w:rPr>
          <w:i/>
          <w:iCs/>
          <w:color w:val="000000"/>
          <w:spacing w:val="-1"/>
          <w:kern w:val="0"/>
          <w:sz w:val="16"/>
          <w:szCs w:val="16"/>
        </w:rPr>
        <w:t>Hepatol</w:t>
      </w:r>
      <w:proofErr w:type="spellEnd"/>
      <w:r w:rsidRPr="008C639B">
        <w:rPr>
          <w:color w:val="000000"/>
          <w:spacing w:val="-1"/>
          <w:kern w:val="0"/>
          <w:sz w:val="16"/>
          <w:szCs w:val="16"/>
        </w:rPr>
        <w:t xml:space="preserve"> 2011; </w:t>
      </w:r>
      <w:r w:rsidRPr="008C639B">
        <w:rPr>
          <w:b/>
          <w:bCs/>
          <w:color w:val="000000"/>
          <w:spacing w:val="-1"/>
          <w:kern w:val="0"/>
          <w:sz w:val="16"/>
          <w:szCs w:val="16"/>
        </w:rPr>
        <w:t>5</w:t>
      </w:r>
      <w:r w:rsidRPr="008C639B">
        <w:rPr>
          <w:color w:val="000000"/>
          <w:spacing w:val="-1"/>
          <w:kern w:val="0"/>
          <w:sz w:val="16"/>
          <w:szCs w:val="16"/>
        </w:rPr>
        <w:t>: 439-445 [PMID: 21780890 DOI: 10.1586/egh.11.37]</w:t>
      </w:r>
    </w:p>
    <w:p w:rsidR="00737F2A" w:rsidRPr="008C639B" w:rsidRDefault="00737F2A" w:rsidP="00737F2A">
      <w:pPr>
        <w:suppressAutoHyphens/>
        <w:autoSpaceDE w:val="0"/>
        <w:autoSpaceDN w:val="0"/>
        <w:adjustRightInd w:val="0"/>
        <w:spacing w:line="200" w:lineRule="atLeast"/>
        <w:ind w:left="360" w:hanging="360"/>
        <w:textAlignment w:val="center"/>
        <w:rPr>
          <w:color w:val="000000"/>
          <w:spacing w:val="-1"/>
          <w:kern w:val="0"/>
          <w:sz w:val="16"/>
          <w:szCs w:val="16"/>
        </w:rPr>
      </w:pPr>
      <w:r w:rsidRPr="008C639B">
        <w:rPr>
          <w:color w:val="000000"/>
          <w:spacing w:val="-1"/>
          <w:kern w:val="0"/>
          <w:sz w:val="16"/>
          <w:szCs w:val="16"/>
        </w:rPr>
        <w:t>28</w:t>
      </w:r>
      <w:r w:rsidRPr="008C639B">
        <w:rPr>
          <w:color w:val="000000"/>
          <w:spacing w:val="-1"/>
          <w:kern w:val="0"/>
          <w:sz w:val="16"/>
          <w:szCs w:val="16"/>
        </w:rPr>
        <w:tab/>
      </w:r>
      <w:proofErr w:type="spellStart"/>
      <w:r w:rsidRPr="008C639B">
        <w:rPr>
          <w:b/>
          <w:bCs/>
          <w:color w:val="000000"/>
          <w:spacing w:val="-1"/>
          <w:kern w:val="0"/>
          <w:sz w:val="16"/>
          <w:szCs w:val="16"/>
        </w:rPr>
        <w:t>Smout</w:t>
      </w:r>
      <w:proofErr w:type="spellEnd"/>
      <w:r w:rsidRPr="008C639B">
        <w:rPr>
          <w:b/>
          <w:bCs/>
          <w:color w:val="000000"/>
          <w:spacing w:val="-1"/>
          <w:kern w:val="0"/>
          <w:sz w:val="16"/>
          <w:szCs w:val="16"/>
        </w:rPr>
        <w:t xml:space="preserve"> AJPM</w:t>
      </w:r>
      <w:r w:rsidRPr="008C639B">
        <w:rPr>
          <w:color w:val="000000"/>
          <w:spacing w:val="-1"/>
          <w:kern w:val="0"/>
          <w:sz w:val="16"/>
          <w:szCs w:val="16"/>
        </w:rPr>
        <w:t>. Gastro-</w:t>
      </w:r>
      <w:proofErr w:type="spellStart"/>
      <w:r w:rsidRPr="008C639B">
        <w:rPr>
          <w:color w:val="000000"/>
          <w:spacing w:val="-1"/>
          <w:kern w:val="0"/>
          <w:sz w:val="16"/>
          <w:szCs w:val="16"/>
        </w:rPr>
        <w:t>oesophageal</w:t>
      </w:r>
      <w:proofErr w:type="spellEnd"/>
      <w:r w:rsidRPr="008C639B">
        <w:rPr>
          <w:color w:val="000000"/>
          <w:spacing w:val="-1"/>
          <w:kern w:val="0"/>
          <w:sz w:val="16"/>
          <w:szCs w:val="16"/>
        </w:rPr>
        <w:t xml:space="preserve"> reflux disease. </w:t>
      </w:r>
      <w:proofErr w:type="gramStart"/>
      <w:r w:rsidRPr="008C639B">
        <w:rPr>
          <w:color w:val="000000"/>
          <w:spacing w:val="-1"/>
          <w:kern w:val="0"/>
          <w:sz w:val="16"/>
          <w:szCs w:val="16"/>
        </w:rPr>
        <w:t>Pathogenesis and Diagnosis.</w:t>
      </w:r>
      <w:proofErr w:type="gramEnd"/>
      <w:r w:rsidRPr="008C639B">
        <w:rPr>
          <w:color w:val="000000"/>
          <w:spacing w:val="-1"/>
          <w:kern w:val="0"/>
          <w:sz w:val="16"/>
          <w:szCs w:val="16"/>
        </w:rPr>
        <w:t xml:space="preserve"> In </w:t>
      </w:r>
      <w:proofErr w:type="gramStart"/>
      <w:r w:rsidRPr="008C639B">
        <w:rPr>
          <w:color w:val="000000"/>
          <w:spacing w:val="-1"/>
          <w:kern w:val="0"/>
          <w:sz w:val="16"/>
          <w:szCs w:val="16"/>
        </w:rPr>
        <w:t>Evolving</w:t>
      </w:r>
      <w:proofErr w:type="gramEnd"/>
      <w:r w:rsidRPr="008C639B">
        <w:rPr>
          <w:color w:val="000000"/>
          <w:spacing w:val="-1"/>
          <w:kern w:val="0"/>
          <w:sz w:val="16"/>
          <w:szCs w:val="16"/>
        </w:rPr>
        <w:t xml:space="preserve"> concepts in Gastrointestinal Motility. </w:t>
      </w:r>
      <w:proofErr w:type="gramStart"/>
      <w:r w:rsidRPr="008C639B">
        <w:rPr>
          <w:color w:val="000000"/>
          <w:spacing w:val="-1"/>
          <w:kern w:val="0"/>
          <w:sz w:val="16"/>
          <w:szCs w:val="16"/>
        </w:rPr>
        <w:t>Edited by Champion MC, Orr WC.</w:t>
      </w:r>
      <w:proofErr w:type="gramEnd"/>
      <w:r w:rsidRPr="008C639B">
        <w:rPr>
          <w:color w:val="000000"/>
          <w:spacing w:val="-1"/>
          <w:kern w:val="0"/>
          <w:sz w:val="16"/>
          <w:szCs w:val="16"/>
        </w:rPr>
        <w:t xml:space="preserve"> Oxford, England: Blackwell Science; 1996: 46-63</w:t>
      </w:r>
    </w:p>
    <w:p w:rsidR="00737F2A" w:rsidRPr="008C639B" w:rsidRDefault="00737F2A" w:rsidP="00737F2A">
      <w:pPr>
        <w:suppressAutoHyphens/>
        <w:autoSpaceDE w:val="0"/>
        <w:autoSpaceDN w:val="0"/>
        <w:adjustRightInd w:val="0"/>
        <w:spacing w:line="200" w:lineRule="atLeast"/>
        <w:ind w:left="360" w:hanging="360"/>
        <w:textAlignment w:val="center"/>
        <w:rPr>
          <w:color w:val="000000"/>
          <w:spacing w:val="-1"/>
          <w:kern w:val="0"/>
          <w:sz w:val="16"/>
          <w:szCs w:val="16"/>
        </w:rPr>
      </w:pPr>
      <w:r w:rsidRPr="008C639B">
        <w:rPr>
          <w:color w:val="000000"/>
          <w:spacing w:val="-1"/>
          <w:kern w:val="0"/>
          <w:sz w:val="16"/>
          <w:szCs w:val="16"/>
        </w:rPr>
        <w:t>29</w:t>
      </w:r>
      <w:r w:rsidRPr="008C639B">
        <w:rPr>
          <w:color w:val="000000"/>
          <w:spacing w:val="-1"/>
          <w:kern w:val="0"/>
          <w:sz w:val="16"/>
          <w:szCs w:val="16"/>
        </w:rPr>
        <w:tab/>
      </w:r>
      <w:r w:rsidRPr="008C639B">
        <w:rPr>
          <w:b/>
          <w:bCs/>
          <w:color w:val="000000"/>
          <w:spacing w:val="-1"/>
          <w:kern w:val="0"/>
          <w:sz w:val="16"/>
          <w:szCs w:val="16"/>
        </w:rPr>
        <w:t>Van Thiel DH</w:t>
      </w:r>
      <w:r w:rsidRPr="008C639B">
        <w:rPr>
          <w:color w:val="000000"/>
          <w:spacing w:val="-1"/>
          <w:kern w:val="0"/>
          <w:sz w:val="16"/>
          <w:szCs w:val="16"/>
        </w:rPr>
        <w:t xml:space="preserve">, </w:t>
      </w:r>
      <w:proofErr w:type="spellStart"/>
      <w:r w:rsidRPr="008C639B">
        <w:rPr>
          <w:color w:val="000000"/>
          <w:spacing w:val="-1"/>
          <w:kern w:val="0"/>
          <w:sz w:val="16"/>
          <w:szCs w:val="16"/>
        </w:rPr>
        <w:t>Gavaler</w:t>
      </w:r>
      <w:proofErr w:type="spellEnd"/>
      <w:r w:rsidRPr="008C639B">
        <w:rPr>
          <w:color w:val="000000"/>
          <w:spacing w:val="-1"/>
          <w:kern w:val="0"/>
          <w:sz w:val="16"/>
          <w:szCs w:val="16"/>
        </w:rPr>
        <w:t xml:space="preserve"> JS, </w:t>
      </w:r>
      <w:proofErr w:type="spellStart"/>
      <w:r w:rsidRPr="008C639B">
        <w:rPr>
          <w:color w:val="000000"/>
          <w:spacing w:val="-1"/>
          <w:kern w:val="0"/>
          <w:sz w:val="16"/>
          <w:szCs w:val="16"/>
        </w:rPr>
        <w:t>Stremple</w:t>
      </w:r>
      <w:proofErr w:type="spellEnd"/>
      <w:r w:rsidRPr="008C639B">
        <w:rPr>
          <w:color w:val="000000"/>
          <w:spacing w:val="-1"/>
          <w:kern w:val="0"/>
          <w:sz w:val="16"/>
          <w:szCs w:val="16"/>
        </w:rPr>
        <w:t xml:space="preserve"> J. Lower esophageal sphincter pressure in women using sequential oral contraceptives. </w:t>
      </w:r>
      <w:r w:rsidRPr="008C639B">
        <w:rPr>
          <w:i/>
          <w:iCs/>
          <w:color w:val="000000"/>
          <w:spacing w:val="-1"/>
          <w:kern w:val="0"/>
          <w:sz w:val="16"/>
          <w:szCs w:val="16"/>
        </w:rPr>
        <w:t>Gastroenterology</w:t>
      </w:r>
      <w:r w:rsidRPr="008C639B">
        <w:rPr>
          <w:color w:val="000000"/>
          <w:spacing w:val="-1"/>
          <w:kern w:val="0"/>
          <w:sz w:val="16"/>
          <w:szCs w:val="16"/>
        </w:rPr>
        <w:t xml:space="preserve"> 1976; </w:t>
      </w:r>
      <w:r w:rsidRPr="008C639B">
        <w:rPr>
          <w:b/>
          <w:bCs/>
          <w:color w:val="000000"/>
          <w:spacing w:val="-1"/>
          <w:kern w:val="0"/>
          <w:sz w:val="16"/>
          <w:szCs w:val="16"/>
        </w:rPr>
        <w:t>71</w:t>
      </w:r>
      <w:r w:rsidRPr="008C639B">
        <w:rPr>
          <w:color w:val="000000"/>
          <w:spacing w:val="-1"/>
          <w:kern w:val="0"/>
          <w:sz w:val="16"/>
          <w:szCs w:val="16"/>
        </w:rPr>
        <w:t>: 232-234 [PMID: 939383]</w:t>
      </w:r>
    </w:p>
    <w:p w:rsidR="00737F2A" w:rsidRPr="008C639B" w:rsidRDefault="00737F2A" w:rsidP="00737F2A">
      <w:pPr>
        <w:suppressAutoHyphens/>
        <w:autoSpaceDE w:val="0"/>
        <w:autoSpaceDN w:val="0"/>
        <w:adjustRightInd w:val="0"/>
        <w:spacing w:line="200" w:lineRule="atLeast"/>
        <w:ind w:left="360" w:hanging="360"/>
        <w:textAlignment w:val="center"/>
        <w:rPr>
          <w:color w:val="000000"/>
          <w:spacing w:val="-1"/>
          <w:kern w:val="0"/>
          <w:sz w:val="16"/>
          <w:szCs w:val="16"/>
        </w:rPr>
      </w:pPr>
      <w:r w:rsidRPr="008C639B">
        <w:rPr>
          <w:color w:val="000000"/>
          <w:spacing w:val="-1"/>
          <w:kern w:val="0"/>
          <w:sz w:val="16"/>
          <w:szCs w:val="16"/>
        </w:rPr>
        <w:t>30</w:t>
      </w:r>
      <w:r w:rsidRPr="008C639B">
        <w:rPr>
          <w:color w:val="000000"/>
          <w:spacing w:val="-1"/>
          <w:kern w:val="0"/>
          <w:sz w:val="16"/>
          <w:szCs w:val="16"/>
        </w:rPr>
        <w:tab/>
      </w:r>
      <w:r w:rsidRPr="008C639B">
        <w:rPr>
          <w:b/>
          <w:bCs/>
          <w:color w:val="000000"/>
          <w:spacing w:val="-1"/>
          <w:kern w:val="0"/>
          <w:sz w:val="16"/>
          <w:szCs w:val="16"/>
        </w:rPr>
        <w:t>Bruce LA</w:t>
      </w:r>
      <w:r w:rsidRPr="008C639B">
        <w:rPr>
          <w:color w:val="000000"/>
          <w:spacing w:val="-1"/>
          <w:kern w:val="0"/>
          <w:sz w:val="16"/>
          <w:szCs w:val="16"/>
        </w:rPr>
        <w:t xml:space="preserve">, </w:t>
      </w:r>
      <w:proofErr w:type="spellStart"/>
      <w:r w:rsidRPr="008C639B">
        <w:rPr>
          <w:color w:val="000000"/>
          <w:spacing w:val="-1"/>
          <w:kern w:val="0"/>
          <w:sz w:val="16"/>
          <w:szCs w:val="16"/>
        </w:rPr>
        <w:t>Behsudi</w:t>
      </w:r>
      <w:proofErr w:type="spellEnd"/>
      <w:r w:rsidRPr="008C639B">
        <w:rPr>
          <w:color w:val="000000"/>
          <w:spacing w:val="-1"/>
          <w:kern w:val="0"/>
          <w:sz w:val="16"/>
          <w:szCs w:val="16"/>
        </w:rPr>
        <w:t xml:space="preserve"> FM. Progesterone effects on three regional gastrointestinal tissues. </w:t>
      </w:r>
      <w:r w:rsidRPr="008C639B">
        <w:rPr>
          <w:i/>
          <w:iCs/>
          <w:color w:val="000000"/>
          <w:spacing w:val="-1"/>
          <w:kern w:val="0"/>
          <w:sz w:val="16"/>
          <w:szCs w:val="16"/>
        </w:rPr>
        <w:t xml:space="preserve">Life </w:t>
      </w:r>
      <w:proofErr w:type="spellStart"/>
      <w:r w:rsidRPr="008C639B">
        <w:rPr>
          <w:i/>
          <w:iCs/>
          <w:color w:val="000000"/>
          <w:spacing w:val="-1"/>
          <w:kern w:val="0"/>
          <w:sz w:val="16"/>
          <w:szCs w:val="16"/>
        </w:rPr>
        <w:t>Sci</w:t>
      </w:r>
      <w:proofErr w:type="spellEnd"/>
      <w:r w:rsidRPr="008C639B">
        <w:rPr>
          <w:color w:val="000000"/>
          <w:spacing w:val="-1"/>
          <w:kern w:val="0"/>
          <w:sz w:val="16"/>
          <w:szCs w:val="16"/>
        </w:rPr>
        <w:t xml:space="preserve"> 1979; </w:t>
      </w:r>
      <w:r w:rsidRPr="008C639B">
        <w:rPr>
          <w:b/>
          <w:bCs/>
          <w:color w:val="000000"/>
          <w:spacing w:val="-1"/>
          <w:kern w:val="0"/>
          <w:sz w:val="16"/>
          <w:szCs w:val="16"/>
        </w:rPr>
        <w:t>25</w:t>
      </w:r>
      <w:r w:rsidRPr="008C639B">
        <w:rPr>
          <w:color w:val="000000"/>
          <w:spacing w:val="-1"/>
          <w:kern w:val="0"/>
          <w:sz w:val="16"/>
          <w:szCs w:val="16"/>
        </w:rPr>
        <w:t>: 729-734 [PMID: 491852]</w:t>
      </w:r>
    </w:p>
    <w:p w:rsidR="00737F2A" w:rsidRPr="008C639B" w:rsidRDefault="00737F2A" w:rsidP="00737F2A">
      <w:pPr>
        <w:suppressAutoHyphens/>
        <w:autoSpaceDE w:val="0"/>
        <w:autoSpaceDN w:val="0"/>
        <w:adjustRightInd w:val="0"/>
        <w:spacing w:line="200" w:lineRule="atLeast"/>
        <w:ind w:left="360" w:hanging="360"/>
        <w:textAlignment w:val="center"/>
        <w:rPr>
          <w:color w:val="000000"/>
          <w:spacing w:val="-1"/>
          <w:kern w:val="0"/>
          <w:sz w:val="16"/>
          <w:szCs w:val="16"/>
        </w:rPr>
      </w:pPr>
      <w:r w:rsidRPr="008C639B">
        <w:rPr>
          <w:color w:val="000000"/>
          <w:spacing w:val="-1"/>
          <w:kern w:val="0"/>
          <w:sz w:val="16"/>
          <w:szCs w:val="16"/>
        </w:rPr>
        <w:t>31</w:t>
      </w:r>
      <w:r w:rsidRPr="008C639B">
        <w:rPr>
          <w:color w:val="000000"/>
          <w:spacing w:val="-1"/>
          <w:kern w:val="0"/>
          <w:sz w:val="16"/>
          <w:szCs w:val="16"/>
        </w:rPr>
        <w:tab/>
      </w:r>
      <w:proofErr w:type="spellStart"/>
      <w:r w:rsidRPr="008C639B">
        <w:rPr>
          <w:b/>
          <w:bCs/>
          <w:color w:val="000000"/>
          <w:spacing w:val="-1"/>
          <w:kern w:val="0"/>
          <w:sz w:val="16"/>
          <w:szCs w:val="16"/>
        </w:rPr>
        <w:t>Menon</w:t>
      </w:r>
      <w:proofErr w:type="spellEnd"/>
      <w:r w:rsidRPr="008C639B">
        <w:rPr>
          <w:b/>
          <w:bCs/>
          <w:color w:val="000000"/>
          <w:spacing w:val="-1"/>
          <w:kern w:val="0"/>
          <w:sz w:val="16"/>
          <w:szCs w:val="16"/>
        </w:rPr>
        <w:t xml:space="preserve"> S</w:t>
      </w:r>
      <w:r w:rsidRPr="008C639B">
        <w:rPr>
          <w:color w:val="000000"/>
          <w:spacing w:val="-1"/>
          <w:kern w:val="0"/>
          <w:sz w:val="16"/>
          <w:szCs w:val="16"/>
        </w:rPr>
        <w:t xml:space="preserve">, </w:t>
      </w:r>
      <w:proofErr w:type="spellStart"/>
      <w:r w:rsidRPr="008C639B">
        <w:rPr>
          <w:color w:val="000000"/>
          <w:spacing w:val="-1"/>
          <w:kern w:val="0"/>
          <w:sz w:val="16"/>
          <w:szCs w:val="16"/>
        </w:rPr>
        <w:t>Prew</w:t>
      </w:r>
      <w:proofErr w:type="spellEnd"/>
      <w:r w:rsidRPr="008C639B">
        <w:rPr>
          <w:color w:val="000000"/>
          <w:spacing w:val="-1"/>
          <w:kern w:val="0"/>
          <w:sz w:val="16"/>
          <w:szCs w:val="16"/>
        </w:rPr>
        <w:t xml:space="preserve"> S, </w:t>
      </w:r>
      <w:proofErr w:type="spellStart"/>
      <w:r w:rsidRPr="008C639B">
        <w:rPr>
          <w:color w:val="000000"/>
          <w:spacing w:val="-1"/>
          <w:kern w:val="0"/>
          <w:sz w:val="16"/>
          <w:szCs w:val="16"/>
        </w:rPr>
        <w:t>Parkes</w:t>
      </w:r>
      <w:proofErr w:type="spellEnd"/>
      <w:r w:rsidRPr="008C639B">
        <w:rPr>
          <w:color w:val="000000"/>
          <w:spacing w:val="-1"/>
          <w:kern w:val="0"/>
          <w:sz w:val="16"/>
          <w:szCs w:val="16"/>
        </w:rPr>
        <w:t xml:space="preserve"> G, Evans S, Smith L, Nightingale P, </w:t>
      </w:r>
      <w:proofErr w:type="spellStart"/>
      <w:r w:rsidRPr="008C639B">
        <w:rPr>
          <w:color w:val="000000"/>
          <w:spacing w:val="-1"/>
          <w:kern w:val="0"/>
          <w:sz w:val="16"/>
          <w:szCs w:val="16"/>
        </w:rPr>
        <w:t>Trudgill</w:t>
      </w:r>
      <w:proofErr w:type="spellEnd"/>
      <w:r w:rsidRPr="008C639B">
        <w:rPr>
          <w:color w:val="000000"/>
          <w:spacing w:val="-1"/>
          <w:kern w:val="0"/>
          <w:sz w:val="16"/>
          <w:szCs w:val="16"/>
        </w:rPr>
        <w:t xml:space="preserve"> N. Do differences in female sex hormone levels contribute to gastro-</w:t>
      </w:r>
      <w:proofErr w:type="spellStart"/>
      <w:r w:rsidRPr="008C639B">
        <w:rPr>
          <w:color w:val="000000"/>
          <w:spacing w:val="-1"/>
          <w:kern w:val="0"/>
          <w:sz w:val="16"/>
          <w:szCs w:val="16"/>
        </w:rPr>
        <w:t>oesophageal</w:t>
      </w:r>
      <w:proofErr w:type="spellEnd"/>
      <w:r w:rsidRPr="008C639B">
        <w:rPr>
          <w:color w:val="000000"/>
          <w:spacing w:val="-1"/>
          <w:kern w:val="0"/>
          <w:sz w:val="16"/>
          <w:szCs w:val="16"/>
        </w:rPr>
        <w:t xml:space="preserve"> reflux disease? </w:t>
      </w:r>
      <w:proofErr w:type="spellStart"/>
      <w:r w:rsidRPr="008C639B">
        <w:rPr>
          <w:i/>
          <w:iCs/>
          <w:color w:val="000000"/>
          <w:spacing w:val="-1"/>
          <w:kern w:val="0"/>
          <w:sz w:val="16"/>
          <w:szCs w:val="16"/>
        </w:rPr>
        <w:t>Eur</w:t>
      </w:r>
      <w:proofErr w:type="spellEnd"/>
      <w:r w:rsidRPr="008C639B">
        <w:rPr>
          <w:i/>
          <w:iCs/>
          <w:color w:val="000000"/>
          <w:spacing w:val="-1"/>
          <w:kern w:val="0"/>
          <w:sz w:val="16"/>
          <w:szCs w:val="16"/>
        </w:rPr>
        <w:t xml:space="preserve"> J </w:t>
      </w:r>
      <w:proofErr w:type="spellStart"/>
      <w:r w:rsidRPr="008C639B">
        <w:rPr>
          <w:i/>
          <w:iCs/>
          <w:color w:val="000000"/>
          <w:spacing w:val="-1"/>
          <w:kern w:val="0"/>
          <w:sz w:val="16"/>
          <w:szCs w:val="16"/>
        </w:rPr>
        <w:t>Gastroenterol</w:t>
      </w:r>
      <w:proofErr w:type="spellEnd"/>
      <w:r w:rsidRPr="008C639B">
        <w:rPr>
          <w:i/>
          <w:iCs/>
          <w:color w:val="000000"/>
          <w:spacing w:val="-1"/>
          <w:kern w:val="0"/>
          <w:sz w:val="16"/>
          <w:szCs w:val="16"/>
        </w:rPr>
        <w:t xml:space="preserve"> </w:t>
      </w:r>
      <w:proofErr w:type="spellStart"/>
      <w:r w:rsidRPr="008C639B">
        <w:rPr>
          <w:i/>
          <w:iCs/>
          <w:color w:val="000000"/>
          <w:spacing w:val="-1"/>
          <w:kern w:val="0"/>
          <w:sz w:val="16"/>
          <w:szCs w:val="16"/>
        </w:rPr>
        <w:t>Hepatol</w:t>
      </w:r>
      <w:proofErr w:type="spellEnd"/>
      <w:r w:rsidRPr="008C639B">
        <w:rPr>
          <w:color w:val="000000"/>
          <w:spacing w:val="-1"/>
          <w:kern w:val="0"/>
          <w:sz w:val="16"/>
          <w:szCs w:val="16"/>
        </w:rPr>
        <w:t xml:space="preserve"> 2013; </w:t>
      </w:r>
      <w:r w:rsidRPr="008C639B">
        <w:rPr>
          <w:b/>
          <w:bCs/>
          <w:color w:val="000000"/>
          <w:spacing w:val="-1"/>
          <w:kern w:val="0"/>
          <w:sz w:val="16"/>
          <w:szCs w:val="16"/>
        </w:rPr>
        <w:t>25</w:t>
      </w:r>
      <w:r w:rsidRPr="008C639B">
        <w:rPr>
          <w:color w:val="000000"/>
          <w:spacing w:val="-1"/>
          <w:kern w:val="0"/>
          <w:sz w:val="16"/>
          <w:szCs w:val="16"/>
        </w:rPr>
        <w:t>: 772-777 [PMID: 23470358 DOI: 10.1097/MEG.0b013e32835fbaab]</w:t>
      </w:r>
    </w:p>
    <w:p w:rsidR="00737F2A" w:rsidRPr="008C639B" w:rsidRDefault="00737F2A" w:rsidP="00737F2A">
      <w:pPr>
        <w:suppressAutoHyphens/>
        <w:autoSpaceDE w:val="0"/>
        <w:autoSpaceDN w:val="0"/>
        <w:adjustRightInd w:val="0"/>
        <w:spacing w:line="200" w:lineRule="atLeast"/>
        <w:ind w:left="360" w:hanging="360"/>
        <w:textAlignment w:val="center"/>
        <w:rPr>
          <w:color w:val="000000"/>
          <w:spacing w:val="-1"/>
          <w:kern w:val="0"/>
          <w:sz w:val="16"/>
          <w:szCs w:val="16"/>
        </w:rPr>
      </w:pPr>
      <w:r w:rsidRPr="008C639B">
        <w:rPr>
          <w:color w:val="000000"/>
          <w:spacing w:val="-1"/>
          <w:kern w:val="0"/>
          <w:sz w:val="16"/>
          <w:szCs w:val="16"/>
        </w:rPr>
        <w:t>32</w:t>
      </w:r>
      <w:r w:rsidRPr="008C639B">
        <w:rPr>
          <w:color w:val="000000"/>
          <w:spacing w:val="-1"/>
          <w:kern w:val="0"/>
          <w:sz w:val="16"/>
          <w:szCs w:val="16"/>
        </w:rPr>
        <w:tab/>
      </w:r>
      <w:proofErr w:type="spellStart"/>
      <w:r w:rsidRPr="008C639B">
        <w:rPr>
          <w:b/>
          <w:bCs/>
          <w:color w:val="000000"/>
          <w:spacing w:val="-1"/>
          <w:kern w:val="0"/>
          <w:sz w:val="16"/>
          <w:szCs w:val="16"/>
        </w:rPr>
        <w:t>Nordenstedt</w:t>
      </w:r>
      <w:proofErr w:type="spellEnd"/>
      <w:r w:rsidRPr="008C639B">
        <w:rPr>
          <w:b/>
          <w:bCs/>
          <w:color w:val="000000"/>
          <w:spacing w:val="-1"/>
          <w:kern w:val="0"/>
          <w:sz w:val="16"/>
          <w:szCs w:val="16"/>
        </w:rPr>
        <w:t xml:space="preserve"> H</w:t>
      </w:r>
      <w:r w:rsidRPr="008C639B">
        <w:rPr>
          <w:color w:val="000000"/>
          <w:spacing w:val="-1"/>
          <w:kern w:val="0"/>
          <w:sz w:val="16"/>
          <w:szCs w:val="16"/>
        </w:rPr>
        <w:t xml:space="preserve">, </w:t>
      </w:r>
      <w:proofErr w:type="spellStart"/>
      <w:r w:rsidRPr="008C639B">
        <w:rPr>
          <w:color w:val="000000"/>
          <w:spacing w:val="-1"/>
          <w:kern w:val="0"/>
          <w:sz w:val="16"/>
          <w:szCs w:val="16"/>
        </w:rPr>
        <w:t>Zheng</w:t>
      </w:r>
      <w:proofErr w:type="spellEnd"/>
      <w:r w:rsidRPr="008C639B">
        <w:rPr>
          <w:color w:val="000000"/>
          <w:spacing w:val="-1"/>
          <w:kern w:val="0"/>
          <w:sz w:val="16"/>
          <w:szCs w:val="16"/>
        </w:rPr>
        <w:t xml:space="preserve"> Z, Cameron AJ, Ye W, Pedersen NL, </w:t>
      </w:r>
      <w:proofErr w:type="spellStart"/>
      <w:r w:rsidRPr="008C639B">
        <w:rPr>
          <w:color w:val="000000"/>
          <w:spacing w:val="-1"/>
          <w:kern w:val="0"/>
          <w:sz w:val="16"/>
          <w:szCs w:val="16"/>
        </w:rPr>
        <w:t>Lagergren</w:t>
      </w:r>
      <w:proofErr w:type="spellEnd"/>
      <w:r w:rsidRPr="008C639B">
        <w:rPr>
          <w:color w:val="000000"/>
          <w:spacing w:val="-1"/>
          <w:kern w:val="0"/>
          <w:sz w:val="16"/>
          <w:szCs w:val="16"/>
        </w:rPr>
        <w:t xml:space="preserve"> J. Postmenopausal hormone therapy as a risk factor for </w:t>
      </w:r>
      <w:proofErr w:type="spellStart"/>
      <w:r w:rsidRPr="008C639B">
        <w:rPr>
          <w:color w:val="000000"/>
          <w:spacing w:val="-1"/>
          <w:kern w:val="0"/>
          <w:sz w:val="16"/>
          <w:szCs w:val="16"/>
        </w:rPr>
        <w:t>gastroesophageal</w:t>
      </w:r>
      <w:proofErr w:type="spellEnd"/>
      <w:r w:rsidRPr="008C639B">
        <w:rPr>
          <w:color w:val="000000"/>
          <w:spacing w:val="-1"/>
          <w:kern w:val="0"/>
          <w:sz w:val="16"/>
          <w:szCs w:val="16"/>
        </w:rPr>
        <w:t xml:space="preserve"> reflux symptoms among female twins. </w:t>
      </w:r>
      <w:r w:rsidRPr="008C639B">
        <w:rPr>
          <w:i/>
          <w:iCs/>
          <w:color w:val="000000"/>
          <w:spacing w:val="-1"/>
          <w:kern w:val="0"/>
          <w:sz w:val="16"/>
          <w:szCs w:val="16"/>
        </w:rPr>
        <w:t>Gastroenterology</w:t>
      </w:r>
      <w:r w:rsidRPr="008C639B">
        <w:rPr>
          <w:color w:val="000000"/>
          <w:spacing w:val="-1"/>
          <w:kern w:val="0"/>
          <w:sz w:val="16"/>
          <w:szCs w:val="16"/>
        </w:rPr>
        <w:t xml:space="preserve"> 2008; </w:t>
      </w:r>
      <w:r w:rsidRPr="008C639B">
        <w:rPr>
          <w:b/>
          <w:bCs/>
          <w:color w:val="000000"/>
          <w:spacing w:val="-1"/>
          <w:kern w:val="0"/>
          <w:sz w:val="16"/>
          <w:szCs w:val="16"/>
        </w:rPr>
        <w:t>134</w:t>
      </w:r>
      <w:r w:rsidRPr="008C639B">
        <w:rPr>
          <w:color w:val="000000"/>
          <w:spacing w:val="-1"/>
          <w:kern w:val="0"/>
          <w:sz w:val="16"/>
          <w:szCs w:val="16"/>
        </w:rPr>
        <w:t>: 921-928 [PMID: 18294635 DOI: 10.1053/j.gastro.2008.01.009]</w:t>
      </w:r>
    </w:p>
    <w:p w:rsidR="00737F2A" w:rsidRPr="008C639B" w:rsidRDefault="00737F2A" w:rsidP="00737F2A">
      <w:pPr>
        <w:suppressAutoHyphens/>
        <w:autoSpaceDE w:val="0"/>
        <w:autoSpaceDN w:val="0"/>
        <w:adjustRightInd w:val="0"/>
        <w:spacing w:line="200" w:lineRule="atLeast"/>
        <w:ind w:left="360" w:hanging="360"/>
        <w:textAlignment w:val="center"/>
        <w:rPr>
          <w:color w:val="000000"/>
          <w:spacing w:val="-1"/>
          <w:kern w:val="0"/>
          <w:sz w:val="16"/>
          <w:szCs w:val="16"/>
        </w:rPr>
      </w:pPr>
      <w:r w:rsidRPr="008C639B">
        <w:rPr>
          <w:color w:val="000000"/>
          <w:spacing w:val="-1"/>
          <w:kern w:val="0"/>
          <w:sz w:val="16"/>
          <w:szCs w:val="16"/>
        </w:rPr>
        <w:t>33</w:t>
      </w:r>
      <w:r w:rsidRPr="008C639B">
        <w:rPr>
          <w:color w:val="000000"/>
          <w:spacing w:val="-1"/>
          <w:kern w:val="0"/>
          <w:sz w:val="16"/>
          <w:szCs w:val="16"/>
        </w:rPr>
        <w:tab/>
      </w:r>
      <w:proofErr w:type="spellStart"/>
      <w:r w:rsidRPr="008C639B">
        <w:rPr>
          <w:b/>
          <w:bCs/>
          <w:color w:val="000000"/>
          <w:spacing w:val="-1"/>
          <w:kern w:val="0"/>
          <w:sz w:val="16"/>
          <w:szCs w:val="16"/>
        </w:rPr>
        <w:t>Zheng</w:t>
      </w:r>
      <w:proofErr w:type="spellEnd"/>
      <w:r w:rsidRPr="008C639B">
        <w:rPr>
          <w:b/>
          <w:bCs/>
          <w:color w:val="000000"/>
          <w:spacing w:val="-1"/>
          <w:kern w:val="0"/>
          <w:sz w:val="16"/>
          <w:szCs w:val="16"/>
        </w:rPr>
        <w:t xml:space="preserve"> Z</w:t>
      </w:r>
      <w:r w:rsidRPr="008C639B">
        <w:rPr>
          <w:color w:val="000000"/>
          <w:spacing w:val="-1"/>
          <w:kern w:val="0"/>
          <w:sz w:val="16"/>
          <w:szCs w:val="16"/>
        </w:rPr>
        <w:t xml:space="preserve">, Margolis KL, Liu S, Tinker LF, Ye W; Women’s Health Initiative Investigators. Effects of estrogen with and without progestin and obesity on symptomatic </w:t>
      </w:r>
      <w:proofErr w:type="spellStart"/>
      <w:r w:rsidRPr="008C639B">
        <w:rPr>
          <w:color w:val="000000"/>
          <w:spacing w:val="-1"/>
          <w:kern w:val="0"/>
          <w:sz w:val="16"/>
          <w:szCs w:val="16"/>
        </w:rPr>
        <w:t>gastroesophageal</w:t>
      </w:r>
      <w:proofErr w:type="spellEnd"/>
      <w:r w:rsidRPr="008C639B">
        <w:rPr>
          <w:color w:val="000000"/>
          <w:spacing w:val="-1"/>
          <w:kern w:val="0"/>
          <w:sz w:val="16"/>
          <w:szCs w:val="16"/>
        </w:rPr>
        <w:t xml:space="preserve"> reflux. </w:t>
      </w:r>
      <w:r w:rsidRPr="008C639B">
        <w:rPr>
          <w:i/>
          <w:iCs/>
          <w:color w:val="000000"/>
          <w:spacing w:val="-1"/>
          <w:kern w:val="0"/>
          <w:sz w:val="16"/>
          <w:szCs w:val="16"/>
        </w:rPr>
        <w:t>Gastroenterology</w:t>
      </w:r>
      <w:r w:rsidRPr="008C639B">
        <w:rPr>
          <w:color w:val="000000"/>
          <w:spacing w:val="-1"/>
          <w:kern w:val="0"/>
          <w:sz w:val="16"/>
          <w:szCs w:val="16"/>
        </w:rPr>
        <w:t xml:space="preserve"> 2008; </w:t>
      </w:r>
      <w:r w:rsidRPr="008C639B">
        <w:rPr>
          <w:b/>
          <w:bCs/>
          <w:color w:val="000000"/>
          <w:spacing w:val="-1"/>
          <w:kern w:val="0"/>
          <w:sz w:val="16"/>
          <w:szCs w:val="16"/>
        </w:rPr>
        <w:t>135</w:t>
      </w:r>
      <w:r w:rsidRPr="008C639B">
        <w:rPr>
          <w:color w:val="000000"/>
          <w:spacing w:val="-1"/>
          <w:kern w:val="0"/>
          <w:sz w:val="16"/>
          <w:szCs w:val="16"/>
        </w:rPr>
        <w:t>: 72-81 [PMID: 18502208 DOI: 10.1053/j.gastro.2008.03.039]</w:t>
      </w:r>
    </w:p>
    <w:p w:rsidR="00737F2A" w:rsidRPr="008C639B" w:rsidRDefault="00737F2A" w:rsidP="00737F2A">
      <w:pPr>
        <w:suppressAutoHyphens/>
        <w:autoSpaceDE w:val="0"/>
        <w:autoSpaceDN w:val="0"/>
        <w:adjustRightInd w:val="0"/>
        <w:spacing w:line="200" w:lineRule="atLeast"/>
        <w:ind w:left="360" w:hanging="360"/>
        <w:textAlignment w:val="center"/>
        <w:rPr>
          <w:color w:val="000000"/>
          <w:spacing w:val="-1"/>
          <w:kern w:val="0"/>
          <w:sz w:val="16"/>
          <w:szCs w:val="16"/>
        </w:rPr>
      </w:pPr>
      <w:r w:rsidRPr="008C639B">
        <w:rPr>
          <w:color w:val="000000"/>
          <w:spacing w:val="-1"/>
          <w:kern w:val="0"/>
          <w:sz w:val="16"/>
          <w:szCs w:val="16"/>
        </w:rPr>
        <w:t>34</w:t>
      </w:r>
      <w:r w:rsidRPr="008C639B">
        <w:rPr>
          <w:color w:val="000000"/>
          <w:spacing w:val="-1"/>
          <w:kern w:val="0"/>
          <w:sz w:val="16"/>
          <w:szCs w:val="16"/>
        </w:rPr>
        <w:tab/>
      </w:r>
      <w:r w:rsidRPr="008C639B">
        <w:rPr>
          <w:b/>
          <w:bCs/>
          <w:color w:val="000000"/>
          <w:spacing w:val="-1"/>
          <w:kern w:val="0"/>
          <w:sz w:val="16"/>
          <w:szCs w:val="16"/>
        </w:rPr>
        <w:t>Jacobson BC</w:t>
      </w:r>
      <w:r w:rsidRPr="008C639B">
        <w:rPr>
          <w:color w:val="000000"/>
          <w:spacing w:val="-1"/>
          <w:kern w:val="0"/>
          <w:sz w:val="16"/>
          <w:szCs w:val="16"/>
        </w:rPr>
        <w:t xml:space="preserve">, Moy B, </w:t>
      </w:r>
      <w:proofErr w:type="spellStart"/>
      <w:r w:rsidRPr="008C639B">
        <w:rPr>
          <w:color w:val="000000"/>
          <w:spacing w:val="-1"/>
          <w:kern w:val="0"/>
          <w:sz w:val="16"/>
          <w:szCs w:val="16"/>
        </w:rPr>
        <w:t>Colditz</w:t>
      </w:r>
      <w:proofErr w:type="spellEnd"/>
      <w:r w:rsidRPr="008C639B">
        <w:rPr>
          <w:color w:val="000000"/>
          <w:spacing w:val="-1"/>
          <w:kern w:val="0"/>
          <w:sz w:val="16"/>
          <w:szCs w:val="16"/>
        </w:rPr>
        <w:t xml:space="preserve"> GA, Fuchs CS. Postmenopausal hormone use and symptoms of </w:t>
      </w:r>
      <w:proofErr w:type="spellStart"/>
      <w:r w:rsidRPr="008C639B">
        <w:rPr>
          <w:color w:val="000000"/>
          <w:spacing w:val="-1"/>
          <w:kern w:val="0"/>
          <w:sz w:val="16"/>
          <w:szCs w:val="16"/>
        </w:rPr>
        <w:t>gastroesophageal</w:t>
      </w:r>
      <w:proofErr w:type="spellEnd"/>
      <w:r w:rsidRPr="008C639B">
        <w:rPr>
          <w:color w:val="000000"/>
          <w:spacing w:val="-1"/>
          <w:kern w:val="0"/>
          <w:sz w:val="16"/>
          <w:szCs w:val="16"/>
        </w:rPr>
        <w:t xml:space="preserve"> reflux. </w:t>
      </w:r>
      <w:r w:rsidRPr="008C639B">
        <w:rPr>
          <w:i/>
          <w:iCs/>
          <w:color w:val="000000"/>
          <w:spacing w:val="-1"/>
          <w:kern w:val="0"/>
          <w:sz w:val="16"/>
          <w:szCs w:val="16"/>
        </w:rPr>
        <w:t>Arch Intern Med</w:t>
      </w:r>
      <w:r w:rsidRPr="008C639B">
        <w:rPr>
          <w:color w:val="000000"/>
          <w:spacing w:val="-1"/>
          <w:kern w:val="0"/>
          <w:sz w:val="16"/>
          <w:szCs w:val="16"/>
        </w:rPr>
        <w:t xml:space="preserve"> 2008; </w:t>
      </w:r>
      <w:r w:rsidRPr="008C639B">
        <w:rPr>
          <w:b/>
          <w:bCs/>
          <w:color w:val="000000"/>
          <w:spacing w:val="-1"/>
          <w:kern w:val="0"/>
          <w:sz w:val="16"/>
          <w:szCs w:val="16"/>
        </w:rPr>
        <w:t>168</w:t>
      </w:r>
      <w:r w:rsidRPr="008C639B">
        <w:rPr>
          <w:color w:val="000000"/>
          <w:spacing w:val="-1"/>
          <w:kern w:val="0"/>
          <w:sz w:val="16"/>
          <w:szCs w:val="16"/>
        </w:rPr>
        <w:t>: 1798-1804 [PMID: 18779468 DOI: 10.1001/archinte.168.16.1798]</w:t>
      </w:r>
    </w:p>
    <w:p w:rsidR="00737F2A" w:rsidRPr="008C639B" w:rsidRDefault="00737F2A" w:rsidP="00737F2A">
      <w:pPr>
        <w:suppressAutoHyphens/>
        <w:autoSpaceDE w:val="0"/>
        <w:autoSpaceDN w:val="0"/>
        <w:adjustRightInd w:val="0"/>
        <w:spacing w:line="200" w:lineRule="atLeast"/>
        <w:ind w:left="360" w:hanging="360"/>
        <w:textAlignment w:val="center"/>
        <w:rPr>
          <w:color w:val="000000"/>
          <w:spacing w:val="-1"/>
          <w:kern w:val="0"/>
          <w:sz w:val="16"/>
          <w:szCs w:val="16"/>
        </w:rPr>
      </w:pPr>
      <w:r w:rsidRPr="008C639B">
        <w:rPr>
          <w:color w:val="000000"/>
          <w:spacing w:val="-1"/>
          <w:kern w:val="0"/>
          <w:sz w:val="16"/>
          <w:szCs w:val="16"/>
        </w:rPr>
        <w:t>35</w:t>
      </w:r>
      <w:r w:rsidRPr="008C639B">
        <w:rPr>
          <w:color w:val="000000"/>
          <w:spacing w:val="-1"/>
          <w:kern w:val="0"/>
          <w:sz w:val="16"/>
          <w:szCs w:val="16"/>
        </w:rPr>
        <w:tab/>
      </w:r>
      <w:r w:rsidRPr="008C639B">
        <w:rPr>
          <w:b/>
          <w:bCs/>
          <w:color w:val="000000"/>
          <w:spacing w:val="-1"/>
          <w:kern w:val="0"/>
          <w:sz w:val="16"/>
          <w:szCs w:val="16"/>
        </w:rPr>
        <w:t>Alvarez-Sánchez A</w:t>
      </w:r>
      <w:r w:rsidRPr="008C639B">
        <w:rPr>
          <w:color w:val="000000"/>
          <w:spacing w:val="-1"/>
          <w:kern w:val="0"/>
          <w:sz w:val="16"/>
          <w:szCs w:val="16"/>
        </w:rPr>
        <w:t xml:space="preserve">, Rey E, </w:t>
      </w:r>
      <w:proofErr w:type="spellStart"/>
      <w:r w:rsidRPr="008C639B">
        <w:rPr>
          <w:color w:val="000000"/>
          <w:spacing w:val="-1"/>
          <w:kern w:val="0"/>
          <w:sz w:val="16"/>
          <w:szCs w:val="16"/>
        </w:rPr>
        <w:t>Achem</w:t>
      </w:r>
      <w:proofErr w:type="spellEnd"/>
      <w:r w:rsidRPr="008C639B">
        <w:rPr>
          <w:color w:val="000000"/>
          <w:spacing w:val="-1"/>
          <w:kern w:val="0"/>
          <w:sz w:val="16"/>
          <w:szCs w:val="16"/>
        </w:rPr>
        <w:t xml:space="preserve"> SR, </w:t>
      </w:r>
      <w:proofErr w:type="spellStart"/>
      <w:r w:rsidRPr="008C639B">
        <w:rPr>
          <w:color w:val="000000"/>
          <w:spacing w:val="-1"/>
          <w:kern w:val="0"/>
          <w:sz w:val="16"/>
          <w:szCs w:val="16"/>
        </w:rPr>
        <w:t>Díaz</w:t>
      </w:r>
      <w:proofErr w:type="spellEnd"/>
      <w:r w:rsidRPr="008C639B">
        <w:rPr>
          <w:color w:val="000000"/>
          <w:spacing w:val="-1"/>
          <w:kern w:val="0"/>
          <w:sz w:val="16"/>
          <w:szCs w:val="16"/>
        </w:rPr>
        <w:t xml:space="preserve">-Rubio M. Does progesterone fluctuation across the menstrual cycle predispose to </w:t>
      </w:r>
      <w:proofErr w:type="spellStart"/>
      <w:r w:rsidRPr="008C639B">
        <w:rPr>
          <w:color w:val="000000"/>
          <w:spacing w:val="-1"/>
          <w:kern w:val="0"/>
          <w:sz w:val="16"/>
          <w:szCs w:val="16"/>
        </w:rPr>
        <w:t>gastroesophageal</w:t>
      </w:r>
      <w:proofErr w:type="spellEnd"/>
      <w:r w:rsidRPr="008C639B">
        <w:rPr>
          <w:color w:val="000000"/>
          <w:spacing w:val="-1"/>
          <w:kern w:val="0"/>
          <w:sz w:val="16"/>
          <w:szCs w:val="16"/>
        </w:rPr>
        <w:t xml:space="preserve"> reflux? </w:t>
      </w:r>
      <w:r w:rsidRPr="008C639B">
        <w:rPr>
          <w:i/>
          <w:iCs/>
          <w:color w:val="000000"/>
          <w:spacing w:val="-1"/>
          <w:kern w:val="0"/>
          <w:sz w:val="16"/>
          <w:szCs w:val="16"/>
        </w:rPr>
        <w:t xml:space="preserve">Am J </w:t>
      </w:r>
      <w:proofErr w:type="spellStart"/>
      <w:r w:rsidRPr="008C639B">
        <w:rPr>
          <w:i/>
          <w:iCs/>
          <w:color w:val="000000"/>
          <w:spacing w:val="-1"/>
          <w:kern w:val="0"/>
          <w:sz w:val="16"/>
          <w:szCs w:val="16"/>
        </w:rPr>
        <w:t>Gastroenterol</w:t>
      </w:r>
      <w:proofErr w:type="spellEnd"/>
      <w:r w:rsidRPr="008C639B">
        <w:rPr>
          <w:color w:val="000000"/>
          <w:spacing w:val="-1"/>
          <w:kern w:val="0"/>
          <w:sz w:val="16"/>
          <w:szCs w:val="16"/>
        </w:rPr>
        <w:t xml:space="preserve"> 1999; </w:t>
      </w:r>
      <w:r w:rsidRPr="008C639B">
        <w:rPr>
          <w:b/>
          <w:bCs/>
          <w:color w:val="000000"/>
          <w:spacing w:val="-1"/>
          <w:kern w:val="0"/>
          <w:sz w:val="16"/>
          <w:szCs w:val="16"/>
        </w:rPr>
        <w:t>94</w:t>
      </w:r>
      <w:r w:rsidRPr="008C639B">
        <w:rPr>
          <w:color w:val="000000"/>
          <w:spacing w:val="-1"/>
          <w:kern w:val="0"/>
          <w:sz w:val="16"/>
          <w:szCs w:val="16"/>
        </w:rPr>
        <w:t>: 1468-1471 [PMID: 10364009 DOI: 10.1111/j.1572-0241.1999.01128.x]</w:t>
      </w:r>
    </w:p>
    <w:p w:rsidR="00737F2A" w:rsidRPr="008C639B" w:rsidRDefault="00737F2A" w:rsidP="00737F2A">
      <w:pPr>
        <w:suppressAutoHyphens/>
        <w:autoSpaceDE w:val="0"/>
        <w:autoSpaceDN w:val="0"/>
        <w:adjustRightInd w:val="0"/>
        <w:spacing w:line="200" w:lineRule="atLeast"/>
        <w:ind w:left="360" w:hanging="360"/>
        <w:textAlignment w:val="center"/>
        <w:rPr>
          <w:color w:val="000000"/>
          <w:spacing w:val="-1"/>
          <w:kern w:val="0"/>
          <w:sz w:val="16"/>
          <w:szCs w:val="16"/>
        </w:rPr>
      </w:pPr>
      <w:r w:rsidRPr="008C639B">
        <w:rPr>
          <w:color w:val="000000"/>
          <w:spacing w:val="-1"/>
          <w:kern w:val="0"/>
          <w:sz w:val="16"/>
          <w:szCs w:val="16"/>
        </w:rPr>
        <w:t>36</w:t>
      </w:r>
      <w:r w:rsidRPr="008C639B">
        <w:rPr>
          <w:color w:val="000000"/>
          <w:spacing w:val="-1"/>
          <w:kern w:val="0"/>
          <w:sz w:val="16"/>
          <w:szCs w:val="16"/>
        </w:rPr>
        <w:tab/>
      </w:r>
      <w:r w:rsidRPr="008C639B">
        <w:rPr>
          <w:b/>
          <w:bCs/>
          <w:color w:val="000000"/>
          <w:spacing w:val="-1"/>
          <w:kern w:val="0"/>
          <w:sz w:val="16"/>
          <w:szCs w:val="16"/>
        </w:rPr>
        <w:t>Close H</w:t>
      </w:r>
      <w:r w:rsidRPr="008C639B">
        <w:rPr>
          <w:color w:val="000000"/>
          <w:spacing w:val="-1"/>
          <w:kern w:val="0"/>
          <w:sz w:val="16"/>
          <w:szCs w:val="16"/>
        </w:rPr>
        <w:t xml:space="preserve">, Mason JM, Wilson D, </w:t>
      </w:r>
      <w:proofErr w:type="spellStart"/>
      <w:r w:rsidRPr="008C639B">
        <w:rPr>
          <w:color w:val="000000"/>
          <w:spacing w:val="-1"/>
          <w:kern w:val="0"/>
          <w:sz w:val="16"/>
          <w:szCs w:val="16"/>
        </w:rPr>
        <w:t>Hungin</w:t>
      </w:r>
      <w:proofErr w:type="spellEnd"/>
      <w:r w:rsidRPr="008C639B">
        <w:rPr>
          <w:color w:val="000000"/>
          <w:spacing w:val="-1"/>
          <w:kern w:val="0"/>
          <w:sz w:val="16"/>
          <w:szCs w:val="16"/>
        </w:rPr>
        <w:t xml:space="preserve"> AP. Hormone replacement therapy is associated with gastro-</w:t>
      </w:r>
      <w:proofErr w:type="spellStart"/>
      <w:r w:rsidRPr="008C639B">
        <w:rPr>
          <w:color w:val="000000"/>
          <w:spacing w:val="-1"/>
          <w:kern w:val="0"/>
          <w:sz w:val="16"/>
          <w:szCs w:val="16"/>
        </w:rPr>
        <w:t>oesophageal</w:t>
      </w:r>
      <w:proofErr w:type="spellEnd"/>
      <w:r w:rsidRPr="008C639B">
        <w:rPr>
          <w:color w:val="000000"/>
          <w:spacing w:val="-1"/>
          <w:kern w:val="0"/>
          <w:sz w:val="16"/>
          <w:szCs w:val="16"/>
        </w:rPr>
        <w:t xml:space="preserve"> reflux disease: a retrospective cohort study. </w:t>
      </w:r>
      <w:r w:rsidRPr="008C639B">
        <w:rPr>
          <w:i/>
          <w:iCs/>
          <w:color w:val="000000"/>
          <w:spacing w:val="-1"/>
          <w:kern w:val="0"/>
          <w:sz w:val="16"/>
          <w:szCs w:val="16"/>
        </w:rPr>
        <w:t xml:space="preserve">BMC </w:t>
      </w:r>
      <w:proofErr w:type="spellStart"/>
      <w:r w:rsidRPr="008C639B">
        <w:rPr>
          <w:i/>
          <w:iCs/>
          <w:color w:val="000000"/>
          <w:spacing w:val="-1"/>
          <w:kern w:val="0"/>
          <w:sz w:val="16"/>
          <w:szCs w:val="16"/>
        </w:rPr>
        <w:t>Gastroenterol</w:t>
      </w:r>
      <w:proofErr w:type="spellEnd"/>
      <w:r w:rsidRPr="008C639B">
        <w:rPr>
          <w:color w:val="000000"/>
          <w:spacing w:val="-1"/>
          <w:kern w:val="0"/>
          <w:sz w:val="16"/>
          <w:szCs w:val="16"/>
        </w:rPr>
        <w:t xml:space="preserve"> 2012; </w:t>
      </w:r>
      <w:r w:rsidRPr="008C639B">
        <w:rPr>
          <w:b/>
          <w:bCs/>
          <w:color w:val="000000"/>
          <w:spacing w:val="-1"/>
          <w:kern w:val="0"/>
          <w:sz w:val="16"/>
          <w:szCs w:val="16"/>
        </w:rPr>
        <w:t>12</w:t>
      </w:r>
      <w:r w:rsidRPr="008C639B">
        <w:rPr>
          <w:color w:val="000000"/>
          <w:spacing w:val="-1"/>
          <w:kern w:val="0"/>
          <w:sz w:val="16"/>
          <w:szCs w:val="16"/>
        </w:rPr>
        <w:t>: 56 [PMID: 22642788 DOI: 10.1186/1471-230X-12-56]</w:t>
      </w:r>
    </w:p>
    <w:p w:rsidR="00737F2A" w:rsidRPr="008C639B" w:rsidRDefault="00737F2A" w:rsidP="00737F2A">
      <w:pPr>
        <w:suppressAutoHyphens/>
        <w:autoSpaceDE w:val="0"/>
        <w:autoSpaceDN w:val="0"/>
        <w:adjustRightInd w:val="0"/>
        <w:spacing w:line="200" w:lineRule="atLeast"/>
        <w:ind w:left="360" w:hanging="360"/>
        <w:textAlignment w:val="center"/>
        <w:rPr>
          <w:color w:val="000000"/>
          <w:spacing w:val="-1"/>
          <w:kern w:val="0"/>
          <w:sz w:val="16"/>
          <w:szCs w:val="16"/>
        </w:rPr>
      </w:pPr>
      <w:r w:rsidRPr="008C639B">
        <w:rPr>
          <w:color w:val="000000"/>
          <w:spacing w:val="-1"/>
          <w:kern w:val="0"/>
          <w:sz w:val="16"/>
          <w:szCs w:val="16"/>
        </w:rPr>
        <w:t>37</w:t>
      </w:r>
      <w:r w:rsidRPr="008C639B">
        <w:rPr>
          <w:color w:val="000000"/>
          <w:spacing w:val="-1"/>
          <w:kern w:val="0"/>
          <w:sz w:val="16"/>
          <w:szCs w:val="16"/>
        </w:rPr>
        <w:tab/>
      </w:r>
      <w:proofErr w:type="spellStart"/>
      <w:r w:rsidRPr="008C639B">
        <w:rPr>
          <w:b/>
          <w:bCs/>
          <w:color w:val="000000"/>
          <w:spacing w:val="-1"/>
          <w:kern w:val="0"/>
          <w:sz w:val="16"/>
          <w:szCs w:val="16"/>
        </w:rPr>
        <w:t>Festi</w:t>
      </w:r>
      <w:proofErr w:type="spellEnd"/>
      <w:r w:rsidRPr="008C639B">
        <w:rPr>
          <w:b/>
          <w:bCs/>
          <w:color w:val="000000"/>
          <w:spacing w:val="-1"/>
          <w:kern w:val="0"/>
          <w:sz w:val="16"/>
          <w:szCs w:val="16"/>
        </w:rPr>
        <w:t xml:space="preserve"> D</w:t>
      </w:r>
      <w:r w:rsidRPr="008C639B">
        <w:rPr>
          <w:color w:val="000000"/>
          <w:spacing w:val="-1"/>
          <w:kern w:val="0"/>
          <w:sz w:val="16"/>
          <w:szCs w:val="16"/>
        </w:rPr>
        <w:t xml:space="preserve">, </w:t>
      </w:r>
      <w:proofErr w:type="spellStart"/>
      <w:r w:rsidRPr="008C639B">
        <w:rPr>
          <w:color w:val="000000"/>
          <w:spacing w:val="-1"/>
          <w:kern w:val="0"/>
          <w:sz w:val="16"/>
          <w:szCs w:val="16"/>
        </w:rPr>
        <w:t>Scaioli</w:t>
      </w:r>
      <w:proofErr w:type="spellEnd"/>
      <w:r w:rsidRPr="008C639B">
        <w:rPr>
          <w:color w:val="000000"/>
          <w:spacing w:val="-1"/>
          <w:kern w:val="0"/>
          <w:sz w:val="16"/>
          <w:szCs w:val="16"/>
        </w:rPr>
        <w:t xml:space="preserve"> E, </w:t>
      </w:r>
      <w:proofErr w:type="spellStart"/>
      <w:r w:rsidRPr="008C639B">
        <w:rPr>
          <w:color w:val="000000"/>
          <w:spacing w:val="-1"/>
          <w:kern w:val="0"/>
          <w:sz w:val="16"/>
          <w:szCs w:val="16"/>
        </w:rPr>
        <w:t>Baldi</w:t>
      </w:r>
      <w:proofErr w:type="spellEnd"/>
      <w:r w:rsidRPr="008C639B">
        <w:rPr>
          <w:color w:val="000000"/>
          <w:spacing w:val="-1"/>
          <w:kern w:val="0"/>
          <w:sz w:val="16"/>
          <w:szCs w:val="16"/>
        </w:rPr>
        <w:t xml:space="preserve"> F, </w:t>
      </w:r>
      <w:proofErr w:type="spellStart"/>
      <w:r w:rsidRPr="008C639B">
        <w:rPr>
          <w:color w:val="000000"/>
          <w:spacing w:val="-1"/>
          <w:kern w:val="0"/>
          <w:sz w:val="16"/>
          <w:szCs w:val="16"/>
        </w:rPr>
        <w:t>Vestito</w:t>
      </w:r>
      <w:proofErr w:type="spellEnd"/>
      <w:r w:rsidRPr="008C639B">
        <w:rPr>
          <w:color w:val="000000"/>
          <w:spacing w:val="-1"/>
          <w:kern w:val="0"/>
          <w:sz w:val="16"/>
          <w:szCs w:val="16"/>
        </w:rPr>
        <w:t xml:space="preserve"> A, </w:t>
      </w:r>
      <w:proofErr w:type="spellStart"/>
      <w:r w:rsidRPr="008C639B">
        <w:rPr>
          <w:color w:val="000000"/>
          <w:spacing w:val="-1"/>
          <w:kern w:val="0"/>
          <w:sz w:val="16"/>
          <w:szCs w:val="16"/>
        </w:rPr>
        <w:t>Pasqui</w:t>
      </w:r>
      <w:proofErr w:type="spellEnd"/>
      <w:r w:rsidRPr="008C639B">
        <w:rPr>
          <w:color w:val="000000"/>
          <w:spacing w:val="-1"/>
          <w:kern w:val="0"/>
          <w:sz w:val="16"/>
          <w:szCs w:val="16"/>
        </w:rPr>
        <w:t xml:space="preserve"> F, Di </w:t>
      </w:r>
      <w:proofErr w:type="spellStart"/>
      <w:r w:rsidRPr="008C639B">
        <w:rPr>
          <w:color w:val="000000"/>
          <w:spacing w:val="-1"/>
          <w:kern w:val="0"/>
          <w:sz w:val="16"/>
          <w:szCs w:val="16"/>
        </w:rPr>
        <w:t>Biase</w:t>
      </w:r>
      <w:proofErr w:type="spellEnd"/>
      <w:r w:rsidRPr="008C639B">
        <w:rPr>
          <w:color w:val="000000"/>
          <w:spacing w:val="-1"/>
          <w:kern w:val="0"/>
          <w:sz w:val="16"/>
          <w:szCs w:val="16"/>
        </w:rPr>
        <w:t xml:space="preserve"> AR, </w:t>
      </w:r>
      <w:proofErr w:type="spellStart"/>
      <w:r w:rsidRPr="008C639B">
        <w:rPr>
          <w:color w:val="000000"/>
          <w:spacing w:val="-1"/>
          <w:kern w:val="0"/>
          <w:sz w:val="16"/>
          <w:szCs w:val="16"/>
        </w:rPr>
        <w:t>Colecchia</w:t>
      </w:r>
      <w:proofErr w:type="spellEnd"/>
      <w:r w:rsidRPr="008C639B">
        <w:rPr>
          <w:color w:val="000000"/>
          <w:spacing w:val="-1"/>
          <w:kern w:val="0"/>
          <w:sz w:val="16"/>
          <w:szCs w:val="16"/>
        </w:rPr>
        <w:t xml:space="preserve"> A. Body weight, lifestyle, dietary habits and </w:t>
      </w:r>
      <w:proofErr w:type="spellStart"/>
      <w:r w:rsidRPr="008C639B">
        <w:rPr>
          <w:color w:val="000000"/>
          <w:spacing w:val="-1"/>
          <w:kern w:val="0"/>
          <w:sz w:val="16"/>
          <w:szCs w:val="16"/>
        </w:rPr>
        <w:t>gastroesophageal</w:t>
      </w:r>
      <w:proofErr w:type="spellEnd"/>
      <w:r w:rsidRPr="008C639B">
        <w:rPr>
          <w:color w:val="000000"/>
          <w:spacing w:val="-1"/>
          <w:kern w:val="0"/>
          <w:sz w:val="16"/>
          <w:szCs w:val="16"/>
        </w:rPr>
        <w:t xml:space="preserve"> reflux disease. </w:t>
      </w:r>
      <w:r w:rsidRPr="008C639B">
        <w:rPr>
          <w:i/>
          <w:iCs/>
          <w:color w:val="000000"/>
          <w:spacing w:val="-1"/>
          <w:kern w:val="0"/>
          <w:sz w:val="16"/>
          <w:szCs w:val="16"/>
        </w:rPr>
        <w:t xml:space="preserve">World J </w:t>
      </w:r>
      <w:proofErr w:type="spellStart"/>
      <w:r w:rsidRPr="008C639B">
        <w:rPr>
          <w:i/>
          <w:iCs/>
          <w:color w:val="000000"/>
          <w:spacing w:val="-1"/>
          <w:kern w:val="0"/>
          <w:sz w:val="16"/>
          <w:szCs w:val="16"/>
        </w:rPr>
        <w:t>Gastroenterol</w:t>
      </w:r>
      <w:proofErr w:type="spellEnd"/>
      <w:r w:rsidRPr="008C639B">
        <w:rPr>
          <w:color w:val="000000"/>
          <w:spacing w:val="-1"/>
          <w:kern w:val="0"/>
          <w:sz w:val="16"/>
          <w:szCs w:val="16"/>
        </w:rPr>
        <w:t xml:space="preserve"> 2009; </w:t>
      </w:r>
      <w:r w:rsidRPr="008C639B">
        <w:rPr>
          <w:b/>
          <w:bCs/>
          <w:color w:val="000000"/>
          <w:spacing w:val="-1"/>
          <w:kern w:val="0"/>
          <w:sz w:val="16"/>
          <w:szCs w:val="16"/>
        </w:rPr>
        <w:t>15</w:t>
      </w:r>
      <w:r w:rsidRPr="008C639B">
        <w:rPr>
          <w:color w:val="000000"/>
          <w:spacing w:val="-1"/>
          <w:kern w:val="0"/>
          <w:sz w:val="16"/>
          <w:szCs w:val="16"/>
        </w:rPr>
        <w:t>: 1690-1701 [PMID: 19360912 DOI: 10.3748/wjg.15.1690]</w:t>
      </w:r>
    </w:p>
    <w:p w:rsidR="00737F2A" w:rsidRPr="008C639B" w:rsidRDefault="00737F2A" w:rsidP="00737F2A">
      <w:pPr>
        <w:suppressAutoHyphens/>
        <w:autoSpaceDE w:val="0"/>
        <w:autoSpaceDN w:val="0"/>
        <w:adjustRightInd w:val="0"/>
        <w:spacing w:line="200" w:lineRule="atLeast"/>
        <w:ind w:left="360" w:hanging="360"/>
        <w:textAlignment w:val="center"/>
        <w:rPr>
          <w:color w:val="000000"/>
          <w:spacing w:val="-3"/>
          <w:kern w:val="0"/>
          <w:sz w:val="16"/>
          <w:szCs w:val="16"/>
        </w:rPr>
      </w:pPr>
      <w:r w:rsidRPr="008C639B">
        <w:rPr>
          <w:color w:val="000000"/>
          <w:spacing w:val="-3"/>
          <w:kern w:val="0"/>
          <w:sz w:val="16"/>
          <w:szCs w:val="16"/>
        </w:rPr>
        <w:t>38</w:t>
      </w:r>
      <w:r w:rsidRPr="008C639B">
        <w:rPr>
          <w:color w:val="000000"/>
          <w:spacing w:val="-3"/>
          <w:kern w:val="0"/>
          <w:sz w:val="16"/>
          <w:szCs w:val="16"/>
        </w:rPr>
        <w:tab/>
      </w:r>
      <w:proofErr w:type="spellStart"/>
      <w:r w:rsidRPr="008C639B">
        <w:rPr>
          <w:b/>
          <w:bCs/>
          <w:color w:val="000000"/>
          <w:spacing w:val="-3"/>
          <w:kern w:val="0"/>
          <w:sz w:val="16"/>
          <w:szCs w:val="16"/>
        </w:rPr>
        <w:t>DeVault</w:t>
      </w:r>
      <w:proofErr w:type="spellEnd"/>
      <w:r w:rsidRPr="008C639B">
        <w:rPr>
          <w:b/>
          <w:bCs/>
          <w:color w:val="000000"/>
          <w:spacing w:val="-3"/>
          <w:kern w:val="0"/>
          <w:sz w:val="16"/>
          <w:szCs w:val="16"/>
        </w:rPr>
        <w:t xml:space="preserve"> KR</w:t>
      </w:r>
      <w:r w:rsidRPr="008C639B">
        <w:rPr>
          <w:color w:val="000000"/>
          <w:spacing w:val="-3"/>
          <w:kern w:val="0"/>
          <w:sz w:val="16"/>
          <w:szCs w:val="16"/>
        </w:rPr>
        <w:t xml:space="preserve">, Castell DO; American College of Gastroenterology. Updated guidelines for the diagnosis and treatment of </w:t>
      </w:r>
      <w:proofErr w:type="spellStart"/>
      <w:r w:rsidRPr="008C639B">
        <w:rPr>
          <w:color w:val="000000"/>
          <w:spacing w:val="-3"/>
          <w:kern w:val="0"/>
          <w:sz w:val="16"/>
          <w:szCs w:val="16"/>
        </w:rPr>
        <w:t>gastroesophageal</w:t>
      </w:r>
      <w:proofErr w:type="spellEnd"/>
      <w:r w:rsidRPr="008C639B">
        <w:rPr>
          <w:color w:val="000000"/>
          <w:spacing w:val="-3"/>
          <w:kern w:val="0"/>
          <w:sz w:val="16"/>
          <w:szCs w:val="16"/>
        </w:rPr>
        <w:t xml:space="preserve"> reflux disease. </w:t>
      </w:r>
      <w:r w:rsidRPr="008C639B">
        <w:rPr>
          <w:i/>
          <w:iCs/>
          <w:color w:val="000000"/>
          <w:spacing w:val="-3"/>
          <w:kern w:val="0"/>
          <w:sz w:val="16"/>
          <w:szCs w:val="16"/>
        </w:rPr>
        <w:t xml:space="preserve">Am J </w:t>
      </w:r>
      <w:proofErr w:type="spellStart"/>
      <w:r w:rsidRPr="008C639B">
        <w:rPr>
          <w:i/>
          <w:iCs/>
          <w:color w:val="000000"/>
          <w:spacing w:val="-3"/>
          <w:kern w:val="0"/>
          <w:sz w:val="16"/>
          <w:szCs w:val="16"/>
        </w:rPr>
        <w:t>Gastroenterol</w:t>
      </w:r>
      <w:proofErr w:type="spellEnd"/>
      <w:r w:rsidRPr="008C639B">
        <w:rPr>
          <w:color w:val="000000"/>
          <w:spacing w:val="-3"/>
          <w:kern w:val="0"/>
          <w:sz w:val="16"/>
          <w:szCs w:val="16"/>
        </w:rPr>
        <w:t xml:space="preserve"> 2005; </w:t>
      </w:r>
      <w:r w:rsidRPr="008C639B">
        <w:rPr>
          <w:b/>
          <w:bCs/>
          <w:color w:val="000000"/>
          <w:spacing w:val="-3"/>
          <w:kern w:val="0"/>
          <w:sz w:val="16"/>
          <w:szCs w:val="16"/>
        </w:rPr>
        <w:t>100</w:t>
      </w:r>
      <w:r w:rsidRPr="008C639B">
        <w:rPr>
          <w:color w:val="000000"/>
          <w:spacing w:val="-3"/>
          <w:kern w:val="0"/>
          <w:sz w:val="16"/>
          <w:szCs w:val="16"/>
        </w:rPr>
        <w:t>: 190-200 [PMID: 15654800 DOI: 10.1111/j.1572-0241.2005.41217.x]</w:t>
      </w:r>
    </w:p>
    <w:p w:rsidR="00737F2A" w:rsidRPr="008C639B" w:rsidRDefault="00737F2A" w:rsidP="00737F2A">
      <w:pPr>
        <w:suppressAutoHyphens/>
        <w:autoSpaceDE w:val="0"/>
        <w:autoSpaceDN w:val="0"/>
        <w:adjustRightInd w:val="0"/>
        <w:spacing w:line="200" w:lineRule="atLeast"/>
        <w:ind w:left="360" w:hanging="360"/>
        <w:textAlignment w:val="center"/>
        <w:rPr>
          <w:rFonts w:hint="eastAsia"/>
          <w:color w:val="000000"/>
          <w:spacing w:val="-1"/>
          <w:kern w:val="0"/>
          <w:sz w:val="16"/>
          <w:szCs w:val="16"/>
        </w:rPr>
      </w:pPr>
      <w:r w:rsidRPr="008C639B">
        <w:rPr>
          <w:color w:val="000000"/>
          <w:spacing w:val="-1"/>
          <w:kern w:val="0"/>
          <w:sz w:val="16"/>
          <w:szCs w:val="16"/>
        </w:rPr>
        <w:t>39</w:t>
      </w:r>
      <w:r w:rsidRPr="008C639B">
        <w:rPr>
          <w:color w:val="000000"/>
          <w:spacing w:val="-1"/>
          <w:kern w:val="0"/>
          <w:sz w:val="16"/>
          <w:szCs w:val="16"/>
        </w:rPr>
        <w:tab/>
      </w:r>
      <w:proofErr w:type="spellStart"/>
      <w:r w:rsidRPr="008C639B">
        <w:rPr>
          <w:b/>
          <w:bCs/>
          <w:color w:val="000000"/>
          <w:spacing w:val="-1"/>
          <w:kern w:val="0"/>
          <w:sz w:val="16"/>
          <w:szCs w:val="16"/>
        </w:rPr>
        <w:t>Nebel</w:t>
      </w:r>
      <w:proofErr w:type="spellEnd"/>
      <w:r w:rsidRPr="008C639B">
        <w:rPr>
          <w:b/>
          <w:bCs/>
          <w:color w:val="000000"/>
          <w:spacing w:val="-1"/>
          <w:kern w:val="0"/>
          <w:sz w:val="16"/>
          <w:szCs w:val="16"/>
        </w:rPr>
        <w:t xml:space="preserve"> OT</w:t>
      </w:r>
      <w:r w:rsidRPr="008C639B">
        <w:rPr>
          <w:color w:val="000000"/>
          <w:spacing w:val="-1"/>
          <w:kern w:val="0"/>
          <w:sz w:val="16"/>
          <w:szCs w:val="16"/>
        </w:rPr>
        <w:t xml:space="preserve">, </w:t>
      </w:r>
      <w:proofErr w:type="spellStart"/>
      <w:r w:rsidRPr="008C639B">
        <w:rPr>
          <w:color w:val="000000"/>
          <w:spacing w:val="-1"/>
          <w:kern w:val="0"/>
          <w:sz w:val="16"/>
          <w:szCs w:val="16"/>
        </w:rPr>
        <w:t>Fornes</w:t>
      </w:r>
      <w:proofErr w:type="spellEnd"/>
      <w:r w:rsidRPr="008C639B">
        <w:rPr>
          <w:color w:val="000000"/>
          <w:spacing w:val="-1"/>
          <w:kern w:val="0"/>
          <w:sz w:val="16"/>
          <w:szCs w:val="16"/>
        </w:rPr>
        <w:t xml:space="preserve"> MF, Castell DO. Symptomatic </w:t>
      </w:r>
      <w:proofErr w:type="spellStart"/>
      <w:r w:rsidRPr="008C639B">
        <w:rPr>
          <w:color w:val="000000"/>
          <w:spacing w:val="-1"/>
          <w:kern w:val="0"/>
          <w:sz w:val="16"/>
          <w:szCs w:val="16"/>
        </w:rPr>
        <w:t>gastroesophageal</w:t>
      </w:r>
      <w:proofErr w:type="spellEnd"/>
      <w:r w:rsidRPr="008C639B">
        <w:rPr>
          <w:color w:val="000000"/>
          <w:spacing w:val="-1"/>
          <w:kern w:val="0"/>
          <w:sz w:val="16"/>
          <w:szCs w:val="16"/>
        </w:rPr>
        <w:t xml:space="preserve"> reflux: incidence and precipitating factors. </w:t>
      </w:r>
      <w:r w:rsidRPr="008C639B">
        <w:rPr>
          <w:i/>
          <w:iCs/>
          <w:color w:val="000000"/>
          <w:spacing w:val="-1"/>
          <w:kern w:val="0"/>
          <w:sz w:val="16"/>
          <w:szCs w:val="16"/>
        </w:rPr>
        <w:t>Am J Dig Dis</w:t>
      </w:r>
      <w:r w:rsidRPr="008C639B">
        <w:rPr>
          <w:color w:val="000000"/>
          <w:spacing w:val="-1"/>
          <w:kern w:val="0"/>
          <w:sz w:val="16"/>
          <w:szCs w:val="16"/>
        </w:rPr>
        <w:t xml:space="preserve"> 1976; </w:t>
      </w:r>
      <w:r w:rsidRPr="008C639B">
        <w:rPr>
          <w:b/>
          <w:bCs/>
          <w:color w:val="000000"/>
          <w:spacing w:val="-1"/>
          <w:kern w:val="0"/>
          <w:sz w:val="16"/>
          <w:szCs w:val="16"/>
        </w:rPr>
        <w:t>21</w:t>
      </w:r>
      <w:r w:rsidRPr="008C639B">
        <w:rPr>
          <w:color w:val="000000"/>
          <w:spacing w:val="-1"/>
          <w:kern w:val="0"/>
          <w:sz w:val="16"/>
          <w:szCs w:val="16"/>
        </w:rPr>
        <w:t>: 953-956 [PMID: 984016]</w:t>
      </w:r>
    </w:p>
    <w:p w:rsidR="00737F2A" w:rsidRDefault="00737F2A" w:rsidP="00737F2A">
      <w:pPr>
        <w:rPr>
          <w:rFonts w:hint="eastAsia"/>
        </w:rPr>
      </w:pPr>
    </w:p>
    <w:p w:rsidR="00737F2A" w:rsidRDefault="00737F2A" w:rsidP="00737F2A">
      <w:pPr>
        <w:rPr>
          <w:rFonts w:hint="eastAsia"/>
        </w:rPr>
      </w:pPr>
      <w:r>
        <w:t>Figure Legends</w:t>
      </w:r>
    </w:p>
    <w:p w:rsidR="00737F2A" w:rsidRDefault="00737F2A" w:rsidP="00737F2A">
      <w:bookmarkStart w:id="0" w:name="_GoBack"/>
      <w:r>
        <w:rPr>
          <w:noProof/>
        </w:rPr>
        <w:lastRenderedPageBreak/>
        <w:drawing>
          <wp:inline distT="0" distB="0" distL="0" distR="0">
            <wp:extent cx="3633746" cy="5291813"/>
            <wp:effectExtent l="0" t="0" r="5080" b="4445"/>
            <wp:docPr id="8" name="图片 8" descr="E:\黄燕\已出版\WJGv23i47\pmc\fig-47\WJG-23-8395-g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黄燕\已出版\WJGv23i47\pmc\fig-47\WJG-23-8395-g001.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4944" cy="5293557"/>
                    </a:xfrm>
                    <a:prstGeom prst="rect">
                      <a:avLst/>
                    </a:prstGeom>
                    <a:noFill/>
                    <a:ln>
                      <a:noFill/>
                    </a:ln>
                  </pic:spPr>
                </pic:pic>
              </a:graphicData>
            </a:graphic>
          </wp:inline>
        </w:drawing>
      </w:r>
      <w:bookmarkEnd w:id="0"/>
    </w:p>
    <w:p w:rsidR="00737F2A" w:rsidRPr="008C639B" w:rsidRDefault="00737F2A" w:rsidP="00737F2A">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8C639B">
        <w:rPr>
          <w:rFonts w:ascii="Arial Narrow" w:hAnsi="Arial Narrow" w:cs="Arial Narrow"/>
          <w:b/>
          <w:bCs/>
          <w:color w:val="000000"/>
          <w:kern w:val="0"/>
          <w:sz w:val="16"/>
          <w:szCs w:val="16"/>
        </w:rPr>
        <w:t xml:space="preserve">Figure </w:t>
      </w:r>
      <w:proofErr w:type="gramStart"/>
      <w:r w:rsidRPr="008C639B">
        <w:rPr>
          <w:rFonts w:ascii="Arial Narrow" w:hAnsi="Arial Narrow" w:cs="Arial Narrow"/>
          <w:b/>
          <w:bCs/>
          <w:color w:val="000000"/>
          <w:kern w:val="0"/>
          <w:sz w:val="16"/>
          <w:szCs w:val="16"/>
        </w:rPr>
        <w:t>1  Schematic</w:t>
      </w:r>
      <w:proofErr w:type="gramEnd"/>
      <w:r w:rsidRPr="008C639B">
        <w:rPr>
          <w:rFonts w:ascii="Arial Narrow" w:hAnsi="Arial Narrow" w:cs="Arial Narrow"/>
          <w:b/>
          <w:bCs/>
          <w:color w:val="000000"/>
          <w:kern w:val="0"/>
          <w:sz w:val="16"/>
          <w:szCs w:val="16"/>
        </w:rPr>
        <w:t xml:space="preserve"> flowchart of the study design.</w:t>
      </w:r>
      <w:r w:rsidRPr="008C639B">
        <w:rPr>
          <w:rFonts w:ascii="Arial Narrow" w:hAnsi="Arial Narrow" w:cs="Arial Narrow"/>
          <w:color w:val="000000"/>
          <w:kern w:val="0"/>
          <w:sz w:val="16"/>
          <w:szCs w:val="16"/>
        </w:rPr>
        <w:t xml:space="preserve"> ITT: Intention-to-treat; PP: Per protocol.</w:t>
      </w:r>
    </w:p>
    <w:p w:rsidR="00737F2A" w:rsidRDefault="00737F2A" w:rsidP="00737F2A">
      <w:pPr>
        <w:rPr>
          <w:rFonts w:hint="eastAsia"/>
        </w:rPr>
      </w:pPr>
    </w:p>
    <w:p w:rsidR="00737F2A" w:rsidRDefault="00737F2A" w:rsidP="00737F2A">
      <w:pPr>
        <w:rPr>
          <w:rFonts w:hint="eastAsia"/>
        </w:rPr>
      </w:pPr>
      <w:r>
        <w:t>Footnotes</w:t>
      </w:r>
    </w:p>
    <w:p w:rsidR="00737F2A" w:rsidRPr="008C639B" w:rsidRDefault="00737F2A" w:rsidP="00737F2A">
      <w:pPr>
        <w:suppressAutoHyphens/>
        <w:autoSpaceDE w:val="0"/>
        <w:autoSpaceDN w:val="0"/>
        <w:adjustRightInd w:val="0"/>
        <w:spacing w:line="210" w:lineRule="atLeast"/>
        <w:textAlignment w:val="center"/>
        <w:rPr>
          <w:color w:val="000000"/>
          <w:spacing w:val="-2"/>
          <w:kern w:val="0"/>
          <w:sz w:val="18"/>
          <w:szCs w:val="18"/>
          <w:lang w:val="zh-TW"/>
        </w:rPr>
      </w:pPr>
      <w:r w:rsidRPr="008C639B">
        <w:rPr>
          <w:rFonts w:ascii="Tahoma" w:hAnsi="Tahoma" w:cs="Tahoma"/>
          <w:color w:val="000000"/>
          <w:spacing w:val="-2"/>
          <w:kern w:val="0"/>
          <w:sz w:val="18"/>
          <w:szCs w:val="18"/>
        </w:rPr>
        <w:t>Manuscript source:</w:t>
      </w:r>
      <w:r w:rsidRPr="008C639B">
        <w:rPr>
          <w:color w:val="000000"/>
          <w:spacing w:val="-2"/>
          <w:kern w:val="0"/>
          <w:sz w:val="18"/>
          <w:szCs w:val="18"/>
        </w:rPr>
        <w:t xml:space="preserve"> Unsolicited manuscript</w:t>
      </w:r>
    </w:p>
    <w:p w:rsidR="00737F2A" w:rsidRPr="008C639B" w:rsidRDefault="00737F2A" w:rsidP="00737F2A">
      <w:pPr>
        <w:rPr>
          <w:b/>
        </w:rPr>
      </w:pPr>
      <w:r w:rsidRPr="008C639B">
        <w:rPr>
          <w:b/>
        </w:rPr>
        <w:t xml:space="preserve">Specialty type: </w:t>
      </w:r>
      <w:r w:rsidRPr="008C639B">
        <w:t xml:space="preserve">Gastroenterology and </w:t>
      </w:r>
      <w:proofErr w:type="spellStart"/>
      <w:r w:rsidRPr="008C639B">
        <w:t>hepatology</w:t>
      </w:r>
      <w:proofErr w:type="spellEnd"/>
    </w:p>
    <w:p w:rsidR="00737F2A" w:rsidRPr="008C639B" w:rsidRDefault="00737F2A" w:rsidP="00737F2A">
      <w:r w:rsidRPr="008C639B">
        <w:rPr>
          <w:b/>
        </w:rPr>
        <w:t>Country of origin:</w:t>
      </w:r>
      <w:r w:rsidRPr="008C639B">
        <w:t xml:space="preserve"> </w:t>
      </w:r>
      <w:smartTag w:uri="urn:schemas-microsoft-com:office:smarttags" w:element="place">
        <w:smartTag w:uri="urn:schemas-microsoft-com:office:smarttags" w:element="country-region">
          <w:r w:rsidRPr="008C639B">
            <w:t>Taiwan</w:t>
          </w:r>
        </w:smartTag>
      </w:smartTag>
    </w:p>
    <w:p w:rsidR="00737F2A" w:rsidRPr="008C639B" w:rsidRDefault="00737F2A" w:rsidP="00737F2A">
      <w:pPr>
        <w:rPr>
          <w:b/>
        </w:rPr>
      </w:pPr>
      <w:r w:rsidRPr="008C639B">
        <w:rPr>
          <w:b/>
        </w:rPr>
        <w:t>Peer-review report classification</w:t>
      </w:r>
    </w:p>
    <w:p w:rsidR="00737F2A" w:rsidRPr="008C639B" w:rsidRDefault="00737F2A" w:rsidP="00737F2A">
      <w:r w:rsidRPr="008C639B">
        <w:t xml:space="preserve">Grade </w:t>
      </w:r>
      <w:proofErr w:type="gramStart"/>
      <w:r w:rsidRPr="008C639B">
        <w:t>A</w:t>
      </w:r>
      <w:proofErr w:type="gramEnd"/>
      <w:r w:rsidRPr="008C639B">
        <w:t xml:space="preserve"> (Excellent): A</w:t>
      </w:r>
    </w:p>
    <w:p w:rsidR="00737F2A" w:rsidRPr="008C639B" w:rsidRDefault="00737F2A" w:rsidP="00737F2A">
      <w:r w:rsidRPr="008C639B">
        <w:t>Grade B (Very good): 0</w:t>
      </w:r>
    </w:p>
    <w:p w:rsidR="00737F2A" w:rsidRPr="008C639B" w:rsidRDefault="00737F2A" w:rsidP="00737F2A">
      <w:r w:rsidRPr="008C639B">
        <w:t>Grade C (Good): C, C</w:t>
      </w:r>
    </w:p>
    <w:p w:rsidR="00737F2A" w:rsidRPr="008C639B" w:rsidRDefault="00737F2A" w:rsidP="00737F2A">
      <w:r w:rsidRPr="008C639B">
        <w:t>Grade D (Fair): 0</w:t>
      </w:r>
    </w:p>
    <w:p w:rsidR="00737F2A" w:rsidRPr="008C639B" w:rsidRDefault="00737F2A" w:rsidP="00737F2A">
      <w:pPr>
        <w:rPr>
          <w:rFonts w:hint="eastAsia"/>
        </w:rPr>
      </w:pPr>
      <w:r w:rsidRPr="008C639B">
        <w:t>Grade E (Poor): 0</w:t>
      </w:r>
    </w:p>
    <w:p w:rsidR="00737F2A" w:rsidRPr="008C639B" w:rsidRDefault="00737F2A" w:rsidP="00737F2A">
      <w:pPr>
        <w:suppressAutoHyphens/>
        <w:autoSpaceDE w:val="0"/>
        <w:autoSpaceDN w:val="0"/>
        <w:adjustRightInd w:val="0"/>
        <w:spacing w:line="210" w:lineRule="atLeast"/>
        <w:textAlignment w:val="center"/>
        <w:rPr>
          <w:rFonts w:hint="eastAsia"/>
          <w:color w:val="000000"/>
          <w:spacing w:val="-2"/>
          <w:kern w:val="0"/>
          <w:sz w:val="18"/>
          <w:szCs w:val="18"/>
        </w:rPr>
      </w:pPr>
      <w:proofErr w:type="gramStart"/>
      <w:r w:rsidRPr="008C639B">
        <w:rPr>
          <w:rFonts w:ascii="Tahoma" w:hAnsi="Tahoma" w:cs="Tahoma"/>
          <w:color w:val="000000"/>
          <w:kern w:val="0"/>
          <w:sz w:val="18"/>
          <w:szCs w:val="18"/>
        </w:rPr>
        <w:lastRenderedPageBreak/>
        <w:t>Supported by</w:t>
      </w:r>
      <w:r w:rsidRPr="008C639B">
        <w:rPr>
          <w:color w:val="000000"/>
          <w:spacing w:val="-2"/>
          <w:kern w:val="0"/>
          <w:sz w:val="18"/>
          <w:szCs w:val="18"/>
        </w:rPr>
        <w:t xml:space="preserve"> Research Foundation of Chang Gung Memorial Hospital, No.</w:t>
      </w:r>
      <w:proofErr w:type="gramEnd"/>
      <w:r w:rsidRPr="008C639B">
        <w:rPr>
          <w:color w:val="000000"/>
          <w:spacing w:val="-2"/>
          <w:kern w:val="0"/>
          <w:sz w:val="18"/>
          <w:szCs w:val="18"/>
        </w:rPr>
        <w:t xml:space="preserve"> CMRPG8D1441.</w:t>
      </w:r>
    </w:p>
    <w:p w:rsidR="00737F2A" w:rsidRPr="008C639B" w:rsidRDefault="00737F2A" w:rsidP="00737F2A">
      <w:pPr>
        <w:suppressAutoHyphens/>
        <w:autoSpaceDE w:val="0"/>
        <w:autoSpaceDN w:val="0"/>
        <w:adjustRightInd w:val="0"/>
        <w:spacing w:line="210" w:lineRule="atLeast"/>
        <w:textAlignment w:val="center"/>
        <w:rPr>
          <w:rFonts w:hint="eastAsia"/>
          <w:caps/>
          <w:color w:val="000000"/>
          <w:spacing w:val="-2"/>
          <w:kern w:val="0"/>
          <w:sz w:val="18"/>
          <w:szCs w:val="18"/>
        </w:rPr>
      </w:pPr>
      <w:r w:rsidRPr="008C639B">
        <w:rPr>
          <w:rFonts w:ascii="Tahoma" w:hAnsi="Tahoma" w:cs="Tahoma"/>
          <w:color w:val="000000"/>
          <w:spacing w:val="-2"/>
          <w:kern w:val="0"/>
          <w:sz w:val="18"/>
          <w:szCs w:val="18"/>
          <w:lang w:val="it-IT"/>
        </w:rPr>
        <w:t>Institutional review board statement</w:t>
      </w:r>
      <w:r w:rsidRPr="008C639B">
        <w:rPr>
          <w:rFonts w:ascii="Tahoma" w:hAnsi="Tahoma" w:cs="Tahoma"/>
          <w:color w:val="000000"/>
          <w:spacing w:val="-2"/>
          <w:kern w:val="0"/>
          <w:sz w:val="18"/>
          <w:szCs w:val="18"/>
        </w:rPr>
        <w:t>:</w:t>
      </w:r>
      <w:r w:rsidRPr="008C639B">
        <w:rPr>
          <w:color w:val="000000"/>
          <w:spacing w:val="-2"/>
          <w:kern w:val="0"/>
          <w:sz w:val="18"/>
          <w:szCs w:val="18"/>
        </w:rPr>
        <w:t xml:space="preserve"> The study was reviewed and approved by the Chang Gung Memorial Hospital institutional review board.</w:t>
      </w:r>
    </w:p>
    <w:p w:rsidR="00737F2A" w:rsidRPr="008C639B" w:rsidRDefault="00737F2A" w:rsidP="00737F2A">
      <w:pPr>
        <w:suppressAutoHyphens/>
        <w:autoSpaceDE w:val="0"/>
        <w:autoSpaceDN w:val="0"/>
        <w:adjustRightInd w:val="0"/>
        <w:spacing w:line="210" w:lineRule="atLeast"/>
        <w:textAlignment w:val="center"/>
        <w:rPr>
          <w:rFonts w:hint="eastAsia"/>
          <w:color w:val="000000"/>
          <w:spacing w:val="-2"/>
          <w:kern w:val="0"/>
          <w:sz w:val="18"/>
          <w:szCs w:val="18"/>
        </w:rPr>
      </w:pPr>
      <w:r w:rsidRPr="008C639B">
        <w:rPr>
          <w:rFonts w:ascii="Tahoma" w:hAnsi="Tahoma" w:cs="Tahoma"/>
          <w:color w:val="000000"/>
          <w:spacing w:val="-2"/>
          <w:kern w:val="0"/>
          <w:sz w:val="18"/>
          <w:szCs w:val="18"/>
          <w:lang w:val="it-IT"/>
        </w:rPr>
        <w:t>Clinical trial registration statement:</w:t>
      </w:r>
      <w:r w:rsidRPr="008C639B">
        <w:rPr>
          <w:color w:val="000000"/>
          <w:spacing w:val="-2"/>
          <w:kern w:val="0"/>
          <w:sz w:val="18"/>
          <w:szCs w:val="18"/>
        </w:rPr>
        <w:t xml:space="preserve"> </w:t>
      </w:r>
      <w:r w:rsidRPr="008C639B">
        <w:rPr>
          <w:color w:val="000000"/>
          <w:spacing w:val="-4"/>
          <w:kern w:val="0"/>
          <w:sz w:val="18"/>
          <w:szCs w:val="18"/>
        </w:rPr>
        <w:t>ClinicalTrials.gov number: NCT03128736.</w:t>
      </w:r>
    </w:p>
    <w:p w:rsidR="00737F2A" w:rsidRPr="008C639B" w:rsidRDefault="00737F2A" w:rsidP="00737F2A">
      <w:pPr>
        <w:suppressAutoHyphens/>
        <w:autoSpaceDE w:val="0"/>
        <w:autoSpaceDN w:val="0"/>
        <w:adjustRightInd w:val="0"/>
        <w:spacing w:line="210" w:lineRule="atLeast"/>
        <w:textAlignment w:val="center"/>
        <w:rPr>
          <w:rFonts w:hint="eastAsia"/>
          <w:caps/>
          <w:color w:val="000000"/>
          <w:spacing w:val="-2"/>
          <w:kern w:val="0"/>
          <w:sz w:val="18"/>
          <w:szCs w:val="18"/>
        </w:rPr>
      </w:pPr>
      <w:r w:rsidRPr="008C639B">
        <w:rPr>
          <w:rFonts w:ascii="Tahoma" w:hAnsi="Tahoma" w:cs="Tahoma"/>
          <w:color w:val="000000"/>
          <w:spacing w:val="-2"/>
          <w:kern w:val="0"/>
          <w:sz w:val="18"/>
          <w:szCs w:val="18"/>
          <w:lang w:val="it-IT"/>
        </w:rPr>
        <w:t>Informed consent statement</w:t>
      </w:r>
      <w:r w:rsidRPr="008C639B">
        <w:rPr>
          <w:rFonts w:ascii="Tahoma" w:hAnsi="Tahoma" w:cs="Tahoma"/>
          <w:color w:val="000000"/>
          <w:spacing w:val="-2"/>
          <w:kern w:val="0"/>
          <w:sz w:val="18"/>
          <w:szCs w:val="18"/>
        </w:rPr>
        <w:t>:</w:t>
      </w:r>
      <w:r w:rsidRPr="008C639B">
        <w:rPr>
          <w:color w:val="000000"/>
          <w:spacing w:val="-2"/>
          <w:kern w:val="0"/>
          <w:sz w:val="18"/>
          <w:szCs w:val="18"/>
        </w:rPr>
        <w:t xml:space="preserve"> The data collection in this study is based on reviewing computerized medical charts. Informed consent was obtained from all patients in the study.</w:t>
      </w:r>
    </w:p>
    <w:p w:rsidR="00737F2A" w:rsidRPr="008C639B" w:rsidRDefault="00737F2A" w:rsidP="00737F2A">
      <w:pPr>
        <w:suppressAutoHyphens/>
        <w:autoSpaceDE w:val="0"/>
        <w:autoSpaceDN w:val="0"/>
        <w:adjustRightInd w:val="0"/>
        <w:spacing w:line="210" w:lineRule="atLeast"/>
        <w:textAlignment w:val="center"/>
        <w:rPr>
          <w:rFonts w:hint="eastAsia"/>
          <w:color w:val="000000"/>
          <w:spacing w:val="-2"/>
          <w:kern w:val="0"/>
          <w:sz w:val="18"/>
          <w:szCs w:val="18"/>
        </w:rPr>
      </w:pPr>
      <w:r w:rsidRPr="008C639B">
        <w:rPr>
          <w:rFonts w:ascii="Tahoma" w:hAnsi="Tahoma" w:cs="Tahoma"/>
          <w:color w:val="000000"/>
          <w:spacing w:val="-2"/>
          <w:kern w:val="0"/>
          <w:sz w:val="18"/>
          <w:szCs w:val="18"/>
          <w:lang w:val="it-IT"/>
        </w:rPr>
        <w:t>Conflict-of-interest statement</w:t>
      </w:r>
      <w:r w:rsidRPr="008C639B">
        <w:rPr>
          <w:rFonts w:ascii="Tahoma" w:hAnsi="Tahoma" w:cs="Tahoma"/>
          <w:color w:val="000000"/>
          <w:spacing w:val="-2"/>
          <w:kern w:val="0"/>
          <w:sz w:val="18"/>
          <w:szCs w:val="18"/>
        </w:rPr>
        <w:t>:</w:t>
      </w:r>
      <w:r w:rsidRPr="008C639B">
        <w:rPr>
          <w:color w:val="000000"/>
          <w:spacing w:val="-2"/>
          <w:kern w:val="0"/>
          <w:sz w:val="18"/>
          <w:szCs w:val="18"/>
        </w:rPr>
        <w:t xml:space="preserve"> None of the authors have a conflict of interest related to the manuscript.</w:t>
      </w:r>
    </w:p>
    <w:p w:rsidR="00737F2A" w:rsidRPr="008C639B" w:rsidRDefault="00737F2A" w:rsidP="00737F2A">
      <w:pPr>
        <w:suppressAutoHyphens/>
        <w:autoSpaceDE w:val="0"/>
        <w:autoSpaceDN w:val="0"/>
        <w:adjustRightInd w:val="0"/>
        <w:spacing w:line="210" w:lineRule="atLeast"/>
        <w:textAlignment w:val="center"/>
        <w:rPr>
          <w:rFonts w:hint="eastAsia"/>
          <w:caps/>
          <w:color w:val="000000"/>
          <w:spacing w:val="-2"/>
          <w:kern w:val="0"/>
          <w:sz w:val="18"/>
          <w:szCs w:val="18"/>
        </w:rPr>
      </w:pPr>
      <w:r w:rsidRPr="008C639B">
        <w:rPr>
          <w:rFonts w:ascii="Tahoma" w:hAnsi="Tahoma" w:cs="Tahoma"/>
          <w:color w:val="000000"/>
          <w:spacing w:val="-2"/>
          <w:kern w:val="0"/>
          <w:sz w:val="18"/>
          <w:szCs w:val="18"/>
          <w:lang w:val="it-IT"/>
        </w:rPr>
        <w:t>Data sharing statement</w:t>
      </w:r>
      <w:r w:rsidRPr="008C639B">
        <w:rPr>
          <w:rFonts w:ascii="Tahoma" w:hAnsi="Tahoma" w:cs="Tahoma"/>
          <w:color w:val="000000"/>
          <w:spacing w:val="-2"/>
          <w:kern w:val="0"/>
          <w:sz w:val="18"/>
          <w:szCs w:val="18"/>
        </w:rPr>
        <w:t>:</w:t>
      </w:r>
      <w:r w:rsidRPr="008C639B">
        <w:rPr>
          <w:color w:val="000000"/>
          <w:spacing w:val="-2"/>
          <w:kern w:val="0"/>
          <w:sz w:val="18"/>
          <w:szCs w:val="18"/>
        </w:rPr>
        <w:t xml:space="preserve"> No additional data are available.</w:t>
      </w:r>
    </w:p>
    <w:p w:rsidR="00737F2A" w:rsidRPr="008C639B" w:rsidRDefault="00737F2A" w:rsidP="00737F2A">
      <w:pPr>
        <w:suppressAutoHyphens/>
        <w:autoSpaceDE w:val="0"/>
        <w:autoSpaceDN w:val="0"/>
        <w:adjustRightInd w:val="0"/>
        <w:spacing w:line="210" w:lineRule="atLeast"/>
        <w:textAlignment w:val="center"/>
        <w:rPr>
          <w:rFonts w:hint="eastAsia"/>
          <w:color w:val="000000"/>
          <w:spacing w:val="-2"/>
          <w:kern w:val="0"/>
          <w:sz w:val="18"/>
          <w:szCs w:val="18"/>
        </w:rPr>
      </w:pPr>
      <w:r w:rsidRPr="008C639B">
        <w:rPr>
          <w:rFonts w:ascii="Tahoma" w:hAnsi="Tahoma" w:cs="Tahoma"/>
          <w:color w:val="000000"/>
          <w:spacing w:val="-2"/>
          <w:kern w:val="0"/>
          <w:sz w:val="18"/>
          <w:szCs w:val="18"/>
        </w:rPr>
        <w:t>Open-Access:</w:t>
      </w:r>
      <w:r w:rsidRPr="008C639B">
        <w:rPr>
          <w:color w:val="000000"/>
          <w:spacing w:val="-2"/>
          <w:kern w:val="0"/>
          <w:sz w:val="18"/>
          <w:szCs w:val="18"/>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37F2A" w:rsidRPr="008C639B" w:rsidRDefault="00737F2A" w:rsidP="00737F2A">
      <w:pPr>
        <w:suppressAutoHyphens/>
        <w:autoSpaceDE w:val="0"/>
        <w:autoSpaceDN w:val="0"/>
        <w:adjustRightInd w:val="0"/>
        <w:spacing w:line="210" w:lineRule="atLeast"/>
        <w:textAlignment w:val="center"/>
        <w:rPr>
          <w:color w:val="000000"/>
          <w:spacing w:val="-2"/>
          <w:kern w:val="0"/>
          <w:sz w:val="18"/>
          <w:szCs w:val="18"/>
        </w:rPr>
      </w:pPr>
      <w:r w:rsidRPr="008C639B">
        <w:rPr>
          <w:rFonts w:ascii="Tahoma" w:hAnsi="Tahoma" w:cs="Tahoma"/>
          <w:color w:val="000000"/>
          <w:spacing w:val="-2"/>
          <w:kern w:val="0"/>
          <w:sz w:val="18"/>
          <w:szCs w:val="18"/>
        </w:rPr>
        <w:t>Peer-review started:</w:t>
      </w:r>
      <w:r w:rsidRPr="008C639B">
        <w:rPr>
          <w:color w:val="000000"/>
          <w:spacing w:val="-2"/>
          <w:kern w:val="0"/>
          <w:sz w:val="18"/>
          <w:szCs w:val="18"/>
        </w:rPr>
        <w:t xml:space="preserve"> July 28, 2017</w:t>
      </w:r>
    </w:p>
    <w:p w:rsidR="00737F2A" w:rsidRPr="008C639B" w:rsidRDefault="00737F2A" w:rsidP="00737F2A">
      <w:pPr>
        <w:suppressAutoHyphens/>
        <w:autoSpaceDE w:val="0"/>
        <w:autoSpaceDN w:val="0"/>
        <w:adjustRightInd w:val="0"/>
        <w:spacing w:line="210" w:lineRule="atLeast"/>
        <w:textAlignment w:val="center"/>
        <w:rPr>
          <w:color w:val="000000"/>
          <w:spacing w:val="-2"/>
          <w:kern w:val="0"/>
          <w:sz w:val="18"/>
          <w:szCs w:val="18"/>
        </w:rPr>
      </w:pPr>
      <w:r w:rsidRPr="008C639B">
        <w:rPr>
          <w:rFonts w:ascii="Tahoma" w:hAnsi="Tahoma" w:cs="Tahoma"/>
          <w:color w:val="000000"/>
          <w:spacing w:val="-2"/>
          <w:kern w:val="0"/>
          <w:sz w:val="18"/>
          <w:szCs w:val="18"/>
        </w:rPr>
        <w:t>First decision:</w:t>
      </w:r>
      <w:r w:rsidRPr="008C639B">
        <w:rPr>
          <w:color w:val="000000"/>
          <w:spacing w:val="-2"/>
          <w:kern w:val="0"/>
          <w:sz w:val="18"/>
          <w:szCs w:val="18"/>
        </w:rPr>
        <w:t xml:space="preserve"> August 30, 2017</w:t>
      </w:r>
    </w:p>
    <w:p w:rsidR="00737F2A" w:rsidRPr="008C639B" w:rsidRDefault="00737F2A" w:rsidP="00737F2A">
      <w:pPr>
        <w:suppressAutoHyphens/>
        <w:autoSpaceDE w:val="0"/>
        <w:autoSpaceDN w:val="0"/>
        <w:adjustRightInd w:val="0"/>
        <w:spacing w:line="210" w:lineRule="atLeast"/>
        <w:textAlignment w:val="center"/>
        <w:rPr>
          <w:color w:val="000000"/>
          <w:spacing w:val="-2"/>
          <w:kern w:val="0"/>
          <w:sz w:val="18"/>
          <w:szCs w:val="18"/>
        </w:rPr>
      </w:pPr>
      <w:r w:rsidRPr="008C639B">
        <w:rPr>
          <w:rFonts w:ascii="Tahoma" w:hAnsi="Tahoma" w:cs="Tahoma"/>
          <w:color w:val="000000"/>
          <w:spacing w:val="-2"/>
          <w:kern w:val="0"/>
          <w:sz w:val="18"/>
          <w:szCs w:val="18"/>
        </w:rPr>
        <w:t>Article in press:</w:t>
      </w:r>
      <w:r w:rsidRPr="008C639B">
        <w:rPr>
          <w:color w:val="000000"/>
          <w:spacing w:val="-2"/>
          <w:kern w:val="0"/>
          <w:sz w:val="18"/>
          <w:szCs w:val="18"/>
        </w:rPr>
        <w:t xml:space="preserve"> September 26, 2017</w:t>
      </w:r>
    </w:p>
    <w:p w:rsidR="00737F2A" w:rsidRPr="008C639B" w:rsidRDefault="00737F2A" w:rsidP="00737F2A">
      <w:pPr>
        <w:tabs>
          <w:tab w:val="left" w:pos="360"/>
        </w:tabs>
        <w:suppressAutoHyphens/>
        <w:autoSpaceDE w:val="0"/>
        <w:autoSpaceDN w:val="0"/>
        <w:adjustRightInd w:val="0"/>
        <w:spacing w:line="200" w:lineRule="atLeast"/>
        <w:ind w:left="360" w:hanging="360"/>
        <w:textAlignment w:val="center"/>
        <w:rPr>
          <w:color w:val="000000"/>
          <w:spacing w:val="-1"/>
          <w:kern w:val="0"/>
          <w:sz w:val="16"/>
          <w:szCs w:val="16"/>
        </w:rPr>
      </w:pPr>
      <w:r w:rsidRPr="008C639B">
        <w:rPr>
          <w:b/>
          <w:bCs/>
          <w:color w:val="000000"/>
          <w:spacing w:val="-1"/>
          <w:kern w:val="0"/>
          <w:sz w:val="16"/>
          <w:szCs w:val="16"/>
        </w:rPr>
        <w:t>P- Reviewer</w:t>
      </w:r>
      <w:r w:rsidRPr="008C639B">
        <w:rPr>
          <w:color w:val="000000"/>
          <w:kern w:val="0"/>
          <w:sz w:val="16"/>
          <w:szCs w:val="16"/>
        </w:rPr>
        <w:t>:</w:t>
      </w:r>
      <w:r w:rsidRPr="008C639B">
        <w:rPr>
          <w:color w:val="000000"/>
          <w:spacing w:val="-1"/>
          <w:kern w:val="0"/>
          <w:sz w:val="16"/>
          <w:szCs w:val="16"/>
        </w:rPr>
        <w:t xml:space="preserve"> </w:t>
      </w:r>
      <w:proofErr w:type="spellStart"/>
      <w:r w:rsidRPr="008C639B">
        <w:rPr>
          <w:color w:val="000000"/>
          <w:spacing w:val="-1"/>
          <w:kern w:val="0"/>
          <w:sz w:val="16"/>
          <w:szCs w:val="16"/>
        </w:rPr>
        <w:t>Cicala</w:t>
      </w:r>
      <w:proofErr w:type="spellEnd"/>
      <w:r w:rsidRPr="008C639B">
        <w:rPr>
          <w:color w:val="000000"/>
          <w:spacing w:val="-1"/>
          <w:kern w:val="0"/>
          <w:sz w:val="16"/>
          <w:szCs w:val="16"/>
        </w:rPr>
        <w:t xml:space="preserve"> M, </w:t>
      </w:r>
      <w:proofErr w:type="spellStart"/>
      <w:r w:rsidRPr="008C639B">
        <w:rPr>
          <w:color w:val="000000"/>
          <w:spacing w:val="-1"/>
          <w:kern w:val="0"/>
          <w:sz w:val="16"/>
          <w:szCs w:val="16"/>
        </w:rPr>
        <w:t>Skrypnyk</w:t>
      </w:r>
      <w:proofErr w:type="spellEnd"/>
      <w:r w:rsidRPr="008C639B">
        <w:rPr>
          <w:color w:val="000000"/>
          <w:spacing w:val="-1"/>
          <w:kern w:val="0"/>
          <w:sz w:val="16"/>
          <w:szCs w:val="16"/>
        </w:rPr>
        <w:t xml:space="preserve"> IN, </w:t>
      </w:r>
      <w:proofErr w:type="spellStart"/>
      <w:r w:rsidRPr="008C639B">
        <w:rPr>
          <w:color w:val="000000"/>
          <w:spacing w:val="-1"/>
          <w:kern w:val="0"/>
          <w:sz w:val="16"/>
          <w:szCs w:val="16"/>
        </w:rPr>
        <w:t>Thomopoulos</w:t>
      </w:r>
      <w:proofErr w:type="spellEnd"/>
      <w:r w:rsidRPr="008C639B">
        <w:rPr>
          <w:color w:val="000000"/>
          <w:spacing w:val="-1"/>
          <w:kern w:val="0"/>
          <w:sz w:val="16"/>
          <w:szCs w:val="16"/>
        </w:rPr>
        <w:t xml:space="preserve"> KC    </w:t>
      </w:r>
      <w:r w:rsidRPr="008C639B">
        <w:rPr>
          <w:b/>
          <w:bCs/>
          <w:color w:val="000000"/>
          <w:kern w:val="0"/>
          <w:sz w:val="16"/>
          <w:szCs w:val="16"/>
        </w:rPr>
        <w:t>S- Editor</w:t>
      </w:r>
      <w:r w:rsidRPr="008C639B">
        <w:rPr>
          <w:color w:val="000000"/>
          <w:kern w:val="0"/>
          <w:sz w:val="16"/>
          <w:szCs w:val="16"/>
        </w:rPr>
        <w:t>:</w:t>
      </w:r>
      <w:r w:rsidRPr="008C639B">
        <w:rPr>
          <w:b/>
          <w:bCs/>
          <w:color w:val="000000"/>
          <w:kern w:val="0"/>
          <w:sz w:val="16"/>
          <w:szCs w:val="16"/>
        </w:rPr>
        <w:t xml:space="preserve"> </w:t>
      </w:r>
      <w:r w:rsidRPr="008C639B">
        <w:rPr>
          <w:color w:val="000000"/>
          <w:spacing w:val="-1"/>
          <w:kern w:val="0"/>
          <w:sz w:val="16"/>
          <w:szCs w:val="16"/>
        </w:rPr>
        <w:t>Ma YJ</w:t>
      </w:r>
      <w:r w:rsidRPr="008C639B">
        <w:rPr>
          <w:color w:val="000000"/>
          <w:kern w:val="0"/>
          <w:sz w:val="16"/>
          <w:szCs w:val="16"/>
        </w:rPr>
        <w:t xml:space="preserve">    </w:t>
      </w:r>
      <w:r w:rsidRPr="008C639B">
        <w:rPr>
          <w:b/>
          <w:bCs/>
          <w:color w:val="000000"/>
          <w:kern w:val="0"/>
          <w:sz w:val="16"/>
          <w:szCs w:val="16"/>
        </w:rPr>
        <w:t>L- Editor</w:t>
      </w:r>
      <w:r w:rsidRPr="008C639B">
        <w:rPr>
          <w:color w:val="000000"/>
          <w:kern w:val="0"/>
          <w:sz w:val="16"/>
          <w:szCs w:val="16"/>
        </w:rPr>
        <w:t xml:space="preserve">: </w:t>
      </w:r>
      <w:r w:rsidRPr="008C639B">
        <w:rPr>
          <w:color w:val="000000"/>
          <w:spacing w:val="-1"/>
          <w:kern w:val="0"/>
          <w:sz w:val="16"/>
          <w:szCs w:val="16"/>
        </w:rPr>
        <w:t>Ma JY</w:t>
      </w:r>
      <w:r w:rsidRPr="008C639B">
        <w:rPr>
          <w:color w:val="000000"/>
          <w:kern w:val="0"/>
          <w:sz w:val="16"/>
          <w:szCs w:val="16"/>
        </w:rPr>
        <w:t xml:space="preserve">    </w:t>
      </w:r>
      <w:r w:rsidRPr="008C639B">
        <w:rPr>
          <w:b/>
          <w:bCs/>
          <w:color w:val="000000"/>
          <w:kern w:val="0"/>
          <w:sz w:val="16"/>
          <w:szCs w:val="16"/>
        </w:rPr>
        <w:t>E- Editor</w:t>
      </w:r>
      <w:r w:rsidRPr="008C639B">
        <w:rPr>
          <w:color w:val="000000"/>
          <w:kern w:val="0"/>
          <w:sz w:val="16"/>
          <w:szCs w:val="16"/>
        </w:rPr>
        <w:t>:</w:t>
      </w:r>
      <w:r w:rsidRPr="008C639B">
        <w:rPr>
          <w:b/>
          <w:bCs/>
          <w:color w:val="000000"/>
          <w:kern w:val="0"/>
          <w:sz w:val="16"/>
          <w:szCs w:val="16"/>
        </w:rPr>
        <w:t xml:space="preserve"> </w:t>
      </w:r>
      <w:r w:rsidRPr="008C639B">
        <w:rPr>
          <w:color w:val="000000"/>
          <w:kern w:val="0"/>
          <w:sz w:val="16"/>
          <w:szCs w:val="16"/>
        </w:rPr>
        <w:t>Huang Y</w:t>
      </w:r>
    </w:p>
    <w:p w:rsidR="00737F2A" w:rsidRDefault="00737F2A" w:rsidP="00737F2A">
      <w:pPr>
        <w:rPr>
          <w:rFonts w:hint="eastAsia"/>
        </w:rPr>
      </w:pPr>
    </w:p>
    <w:p w:rsidR="00737F2A" w:rsidRDefault="00737F2A" w:rsidP="00737F2A">
      <w:pPr>
        <w:rPr>
          <w:rFonts w:hint="eastAsia"/>
        </w:rPr>
      </w:pPr>
    </w:p>
    <w:p w:rsidR="00737F2A" w:rsidRDefault="00737F2A" w:rsidP="00737F2A">
      <w:pPr>
        <w:rPr>
          <w:rFonts w:hint="eastAsia"/>
        </w:rPr>
      </w:pPr>
    </w:p>
    <w:p w:rsidR="00737F2A" w:rsidRDefault="00737F2A" w:rsidP="00737F2A">
      <w:pPr>
        <w:rPr>
          <w:rFonts w:hint="eastAsia"/>
        </w:rPr>
      </w:pPr>
    </w:p>
    <w:p w:rsidR="00737F2A" w:rsidRDefault="00737F2A" w:rsidP="00737F2A">
      <w:pPr>
        <w:rPr>
          <w:rFonts w:hint="eastAsia"/>
        </w:rPr>
      </w:pPr>
    </w:p>
    <w:p w:rsidR="00737F2A" w:rsidRDefault="00737F2A" w:rsidP="00737F2A">
      <w:pPr>
        <w:rPr>
          <w:rFonts w:hint="eastAsia"/>
        </w:rPr>
      </w:pPr>
    </w:p>
    <w:p w:rsidR="00737F2A" w:rsidRDefault="00737F2A" w:rsidP="00737F2A">
      <w:pPr>
        <w:rPr>
          <w:rFonts w:hint="eastAsia"/>
        </w:rPr>
      </w:pPr>
    </w:p>
    <w:p w:rsidR="00737F2A" w:rsidRDefault="00737F2A" w:rsidP="00737F2A">
      <w:pPr>
        <w:rPr>
          <w:rFonts w:hint="eastAsia"/>
        </w:rPr>
      </w:pPr>
    </w:p>
    <w:p w:rsidR="00737F2A" w:rsidRDefault="00737F2A" w:rsidP="00737F2A">
      <w:pPr>
        <w:rPr>
          <w:rFonts w:hint="eastAsia"/>
        </w:rPr>
      </w:pPr>
    </w:p>
    <w:p w:rsidR="00737F2A" w:rsidRDefault="00737F2A" w:rsidP="00737F2A">
      <w:pPr>
        <w:rPr>
          <w:rFonts w:hint="eastAsia"/>
        </w:rPr>
      </w:pPr>
    </w:p>
    <w:p w:rsidR="00737F2A" w:rsidRDefault="00737F2A" w:rsidP="00737F2A">
      <w:pPr>
        <w:rPr>
          <w:rFonts w:hint="eastAsia"/>
        </w:rPr>
      </w:pPr>
    </w:p>
    <w:p w:rsidR="00737F2A" w:rsidRDefault="00737F2A" w:rsidP="00737F2A">
      <w:pPr>
        <w:rPr>
          <w:rFonts w:hint="eastAsia"/>
        </w:rPr>
      </w:pPr>
    </w:p>
    <w:p w:rsidR="00737F2A" w:rsidRDefault="00737F2A" w:rsidP="00737F2A">
      <w:pPr>
        <w:rPr>
          <w:rFonts w:hint="eastAsia"/>
        </w:rPr>
      </w:pPr>
    </w:p>
    <w:p w:rsidR="00737F2A" w:rsidRDefault="00737F2A" w:rsidP="00737F2A">
      <w:pPr>
        <w:rPr>
          <w:rFonts w:hint="eastAsia"/>
        </w:rPr>
      </w:pPr>
    </w:p>
    <w:p w:rsidR="00737F2A" w:rsidRDefault="00737F2A" w:rsidP="00737F2A">
      <w:pPr>
        <w:rPr>
          <w:rFonts w:hint="eastAsia"/>
        </w:rPr>
      </w:pPr>
    </w:p>
    <w:p w:rsidR="00737F2A" w:rsidRDefault="00737F2A" w:rsidP="00737F2A">
      <w:pPr>
        <w:rPr>
          <w:rFonts w:hint="eastAsia"/>
        </w:rPr>
      </w:pPr>
    </w:p>
    <w:p w:rsidR="00737F2A" w:rsidRDefault="00737F2A" w:rsidP="00737F2A">
      <w:pPr>
        <w:rPr>
          <w:rFonts w:hint="eastAsia"/>
        </w:rPr>
      </w:pPr>
    </w:p>
    <w:p w:rsidR="00737F2A" w:rsidRDefault="00737F2A" w:rsidP="00737F2A">
      <w:pPr>
        <w:rPr>
          <w:rFonts w:hint="eastAsia"/>
        </w:rPr>
      </w:pPr>
    </w:p>
    <w:p w:rsidR="00737F2A" w:rsidRDefault="00737F2A" w:rsidP="00737F2A">
      <w:pPr>
        <w:rPr>
          <w:rFonts w:hint="eastAsia"/>
        </w:rPr>
      </w:pPr>
    </w:p>
    <w:p w:rsidR="00737F2A" w:rsidRDefault="00737F2A" w:rsidP="00737F2A">
      <w:pPr>
        <w:rPr>
          <w:rFonts w:hint="eastAsia"/>
        </w:rPr>
      </w:pPr>
    </w:p>
    <w:p w:rsidR="00737F2A" w:rsidRDefault="00737F2A" w:rsidP="00737F2A">
      <w:pPr>
        <w:rPr>
          <w:rFonts w:hint="eastAsia"/>
        </w:rPr>
      </w:pPr>
    </w:p>
    <w:p w:rsidR="00737F2A" w:rsidRDefault="00737F2A" w:rsidP="00737F2A">
      <w:pPr>
        <w:rPr>
          <w:rFonts w:hint="eastAsia"/>
        </w:rPr>
      </w:pPr>
    </w:p>
    <w:p w:rsidR="00737F2A" w:rsidRDefault="00737F2A" w:rsidP="00737F2A">
      <w:pPr>
        <w:rPr>
          <w:rFonts w:hint="eastAsia"/>
        </w:rPr>
      </w:pPr>
    </w:p>
    <w:p w:rsidR="00737F2A" w:rsidRDefault="00737F2A" w:rsidP="00737F2A">
      <w:pPr>
        <w:rPr>
          <w:rFonts w:hint="eastAsia"/>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83835" cy="19679920"/>
                <wp:effectExtent l="9525" t="9525" r="12065" b="8255"/>
                <wp:wrapSquare wrapText="bothSides"/>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19679920"/>
                        </a:xfrm>
                        <a:prstGeom prst="rect">
                          <a:avLst/>
                        </a:prstGeom>
                        <a:solidFill>
                          <a:srgbClr val="FFFFFF"/>
                        </a:solidFill>
                        <a:ln w="9525">
                          <a:solidFill>
                            <a:srgbClr val="000000"/>
                          </a:solidFill>
                          <a:miter lim="800000"/>
                          <a:headEnd/>
                          <a:tailEnd/>
                        </a:ln>
                      </wps:spPr>
                      <wps:txbx>
                        <w:txbxContent>
                          <w:p w:rsidR="00737F2A" w:rsidRPr="008C639B" w:rsidRDefault="00737F2A" w:rsidP="00737F2A">
                            <w:pPr>
                              <w:rPr>
                                <w:b/>
                                <w:bCs/>
                              </w:rPr>
                            </w:pPr>
                            <w:r w:rsidRPr="008C639B">
                              <w:rPr>
                                <w:b/>
                                <w:bCs/>
                              </w:rPr>
                              <w:t xml:space="preserve">Table </w:t>
                            </w:r>
                            <w:proofErr w:type="gramStart"/>
                            <w:r w:rsidRPr="008C639B">
                              <w:rPr>
                                <w:b/>
                                <w:bCs/>
                              </w:rPr>
                              <w:t>1  Baseline</w:t>
                            </w:r>
                            <w:proofErr w:type="gramEnd"/>
                            <w:r w:rsidRPr="008C639B">
                              <w:rPr>
                                <w:b/>
                                <w:bCs/>
                              </w:rPr>
                              <w:t xml:space="preserve"> characteristics of the patients [</w:t>
                            </w:r>
                            <w:r w:rsidRPr="008C639B">
                              <w:rPr>
                                <w:b/>
                                <w:bCs/>
                                <w:i/>
                                <w:iCs/>
                              </w:rPr>
                              <w:t>n</w:t>
                            </w:r>
                            <w:r w:rsidRPr="008C639B">
                              <w:rPr>
                                <w:b/>
                                <w:bCs/>
                              </w:rPr>
                              <w:t xml:space="preserve"> = 81, </w:t>
                            </w:r>
                            <w:r w:rsidRPr="008C639B">
                              <w:rPr>
                                <w:b/>
                                <w:bCs/>
                                <w:i/>
                                <w:iCs/>
                              </w:rPr>
                              <w:t>n</w:t>
                            </w:r>
                            <w:r w:rsidRPr="008C639B">
                              <w:rPr>
                                <w:b/>
                                <w:bCs/>
                              </w:rPr>
                              <w:t xml:space="preserve"> (%)]</w:t>
                            </w:r>
                          </w:p>
                          <w:tbl>
                            <w:tblPr>
                              <w:tblW w:w="9535"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384"/>
                              <w:gridCol w:w="2383"/>
                              <w:gridCol w:w="2384"/>
                              <w:gridCol w:w="2384"/>
                            </w:tblGrid>
                            <w:tr w:rsidR="00737F2A" w:rsidRPr="008C639B">
                              <w:tblPrEx>
                                <w:tblCellMar>
                                  <w:top w:w="0" w:type="dxa"/>
                                  <w:left w:w="0" w:type="dxa"/>
                                  <w:bottom w:w="0" w:type="dxa"/>
                                  <w:right w:w="0" w:type="dxa"/>
                                </w:tblCellMar>
                              </w:tblPrEx>
                              <w:trPr>
                                <w:trHeight w:hRule="exact" w:val="911"/>
                              </w:trPr>
                              <w:tc>
                                <w:tcPr>
                                  <w:tcW w:w="2384" w:type="dxa"/>
                                  <w:tcBorders>
                                    <w:top w:val="single" w:sz="6" w:space="0" w:color="000000"/>
                                    <w:bottom w:val="single" w:sz="6" w:space="0" w:color="000000"/>
                                  </w:tcBorders>
                                  <w:tcMar>
                                    <w:top w:w="28" w:type="dxa"/>
                                    <w:left w:w="28" w:type="dxa"/>
                                    <w:bottom w:w="28" w:type="dxa"/>
                                    <w:right w:w="28" w:type="dxa"/>
                                  </w:tcMar>
                                </w:tcPr>
                                <w:p w:rsidR="00737F2A" w:rsidRPr="008C639B" w:rsidRDefault="00737F2A">
                                  <w:pPr>
                                    <w:pStyle w:val="af6"/>
                                  </w:pPr>
                                  <w:r w:rsidRPr="008C639B">
                                    <w:t xml:space="preserve">Variables </w:t>
                                  </w:r>
                                </w:p>
                                <w:p w:rsidR="00737F2A" w:rsidRPr="008C639B" w:rsidRDefault="00737F2A">
                                  <w:pPr>
                                    <w:pStyle w:val="af6"/>
                                  </w:pPr>
                                </w:p>
                              </w:tc>
                              <w:tc>
                                <w:tcPr>
                                  <w:tcW w:w="2383" w:type="dxa"/>
                                  <w:tcBorders>
                                    <w:top w:val="single" w:sz="6" w:space="0" w:color="000000"/>
                                    <w:bottom w:val="single" w:sz="6" w:space="0" w:color="000000"/>
                                  </w:tcBorders>
                                  <w:tcMar>
                                    <w:top w:w="28" w:type="dxa"/>
                                    <w:left w:w="28" w:type="dxa"/>
                                    <w:bottom w:w="28" w:type="dxa"/>
                                    <w:right w:w="28" w:type="dxa"/>
                                  </w:tcMar>
                                </w:tcPr>
                                <w:p w:rsidR="00737F2A" w:rsidRPr="008C639B" w:rsidRDefault="00737F2A">
                                  <w:pPr>
                                    <w:pStyle w:val="af6"/>
                                    <w:jc w:val="center"/>
                                  </w:pPr>
                                  <w:r w:rsidRPr="008C639B">
                                    <w:t>Dexlansoprazole</w:t>
                                  </w:r>
                                </w:p>
                                <w:p w:rsidR="00737F2A" w:rsidRPr="008C639B" w:rsidRDefault="00737F2A">
                                  <w:pPr>
                                    <w:pStyle w:val="af6"/>
                                    <w:jc w:val="center"/>
                                  </w:pPr>
                                </w:p>
                              </w:tc>
                              <w:tc>
                                <w:tcPr>
                                  <w:tcW w:w="2384" w:type="dxa"/>
                                  <w:tcBorders>
                                    <w:top w:val="single" w:sz="6" w:space="0" w:color="000000"/>
                                    <w:bottom w:val="single" w:sz="6" w:space="0" w:color="000000"/>
                                  </w:tcBorders>
                                  <w:tcMar>
                                    <w:top w:w="28" w:type="dxa"/>
                                    <w:left w:w="28" w:type="dxa"/>
                                    <w:bottom w:w="28" w:type="dxa"/>
                                    <w:right w:w="28" w:type="dxa"/>
                                  </w:tcMar>
                                </w:tcPr>
                                <w:p w:rsidR="00737F2A" w:rsidRPr="008C639B" w:rsidRDefault="00737F2A">
                                  <w:pPr>
                                    <w:pStyle w:val="af6"/>
                                    <w:jc w:val="center"/>
                                  </w:pPr>
                                  <w:r w:rsidRPr="008C639B">
                                    <w:t xml:space="preserve">Esomeprazole </w:t>
                                  </w:r>
                                </w:p>
                                <w:p w:rsidR="00737F2A" w:rsidRPr="008C639B" w:rsidRDefault="00737F2A">
                                  <w:pPr>
                                    <w:pStyle w:val="af6"/>
                                    <w:jc w:val="center"/>
                                  </w:pPr>
                                </w:p>
                              </w:tc>
                              <w:tc>
                                <w:tcPr>
                                  <w:tcW w:w="2384" w:type="dxa"/>
                                  <w:tcBorders>
                                    <w:top w:val="single" w:sz="6" w:space="0" w:color="000000"/>
                                    <w:bottom w:val="single" w:sz="6" w:space="0" w:color="000000"/>
                                  </w:tcBorders>
                                  <w:tcMar>
                                    <w:top w:w="28" w:type="dxa"/>
                                    <w:left w:w="28" w:type="dxa"/>
                                    <w:bottom w:w="28" w:type="dxa"/>
                                    <w:right w:w="28" w:type="dxa"/>
                                  </w:tcMar>
                                </w:tcPr>
                                <w:p w:rsidR="00737F2A" w:rsidRPr="008C639B" w:rsidRDefault="00737F2A">
                                  <w:pPr>
                                    <w:pStyle w:val="af6"/>
                                    <w:jc w:val="center"/>
                                  </w:pPr>
                                  <w:r w:rsidRPr="008C639B">
                                    <w:rPr>
                                      <w:rFonts w:ascii="Albertus Bold Italic" w:hAnsi="Albertus Bold Italic" w:cs="Albertus Bold Italic"/>
                                      <w:i/>
                                      <w:iCs/>
                                    </w:rPr>
                                    <w:t>P</w:t>
                                  </w:r>
                                  <w:r w:rsidRPr="008C639B">
                                    <w:t xml:space="preserve"> value </w:t>
                                  </w:r>
                                </w:p>
                                <w:p w:rsidR="00737F2A" w:rsidRPr="008C639B" w:rsidRDefault="00737F2A">
                                  <w:pPr>
                                    <w:pStyle w:val="af6"/>
                                    <w:jc w:val="center"/>
                                  </w:pPr>
                                </w:p>
                              </w:tc>
                            </w:tr>
                            <w:tr w:rsidR="00737F2A" w:rsidRPr="008C639B">
                              <w:tblPrEx>
                                <w:tblCellMar>
                                  <w:top w:w="0" w:type="dxa"/>
                                  <w:left w:w="0" w:type="dxa"/>
                                  <w:bottom w:w="0" w:type="dxa"/>
                                  <w:right w:w="0" w:type="dxa"/>
                                </w:tblCellMar>
                              </w:tblPrEx>
                              <w:trPr>
                                <w:trHeight w:val="60"/>
                              </w:trPr>
                              <w:tc>
                                <w:tcPr>
                                  <w:tcW w:w="2384" w:type="dxa"/>
                                  <w:tcBorders>
                                    <w:top w:val="single" w:sz="6" w:space="0" w:color="000000"/>
                                  </w:tcBorders>
                                  <w:tcMar>
                                    <w:top w:w="28" w:type="dxa"/>
                                    <w:left w:w="28" w:type="dxa"/>
                                    <w:bottom w:w="28" w:type="dxa"/>
                                    <w:right w:w="28" w:type="dxa"/>
                                  </w:tcMar>
                                </w:tcPr>
                                <w:p w:rsidR="00737F2A" w:rsidRPr="008C639B" w:rsidRDefault="00737F2A">
                                  <w:pPr>
                                    <w:pStyle w:val="af7"/>
                                    <w:rPr>
                                      <w:b w:val="0"/>
                                      <w:lang w:val="en-US"/>
                                    </w:rPr>
                                  </w:pPr>
                                  <w:r w:rsidRPr="008C639B">
                                    <w:rPr>
                                      <w:b w:val="0"/>
                                      <w:lang w:val="en-US"/>
                                    </w:rPr>
                                    <w:t xml:space="preserve">Age (mean ± SD, </w:t>
                                  </w:r>
                                  <w:proofErr w:type="spellStart"/>
                                  <w:r w:rsidRPr="008C639B">
                                    <w:rPr>
                                      <w:b w:val="0"/>
                                      <w:lang w:val="en-US"/>
                                    </w:rPr>
                                    <w:t>yr</w:t>
                                  </w:r>
                                  <w:proofErr w:type="spellEnd"/>
                                  <w:r w:rsidRPr="008C639B">
                                    <w:rPr>
                                      <w:b w:val="0"/>
                                      <w:lang w:val="en-US"/>
                                    </w:rPr>
                                    <w:t>)</w:t>
                                  </w:r>
                                </w:p>
                                <w:p w:rsidR="00737F2A" w:rsidRPr="008C639B" w:rsidRDefault="00737F2A">
                                  <w:pPr>
                                    <w:pStyle w:val="af7"/>
                                    <w:rPr>
                                      <w:b w:val="0"/>
                                      <w:lang w:val="en-US"/>
                                    </w:rPr>
                                  </w:pPr>
                                </w:p>
                              </w:tc>
                              <w:tc>
                                <w:tcPr>
                                  <w:tcW w:w="2383" w:type="dxa"/>
                                  <w:tcBorders>
                                    <w:top w:val="single" w:sz="6" w:space="0" w:color="000000"/>
                                  </w:tcBorders>
                                  <w:tcMar>
                                    <w:top w:w="28" w:type="dxa"/>
                                    <w:left w:w="28" w:type="dxa"/>
                                    <w:bottom w:w="28" w:type="dxa"/>
                                    <w:right w:w="28" w:type="dxa"/>
                                  </w:tcMar>
                                </w:tcPr>
                                <w:p w:rsidR="00737F2A" w:rsidRPr="008C639B" w:rsidRDefault="00737F2A">
                                  <w:pPr>
                                    <w:pStyle w:val="af7"/>
                                    <w:jc w:val="center"/>
                                    <w:rPr>
                                      <w:b w:val="0"/>
                                    </w:rPr>
                                  </w:pPr>
                                  <w:r w:rsidRPr="008C639B">
                                    <w:rPr>
                                      <w:b w:val="0"/>
                                    </w:rPr>
                                    <w:t>50.6 ± 13.3</w:t>
                                  </w:r>
                                </w:p>
                                <w:p w:rsidR="00737F2A" w:rsidRPr="008C639B" w:rsidRDefault="00737F2A">
                                  <w:pPr>
                                    <w:pStyle w:val="af7"/>
                                    <w:jc w:val="center"/>
                                    <w:rPr>
                                      <w:b w:val="0"/>
                                    </w:rPr>
                                  </w:pPr>
                                </w:p>
                              </w:tc>
                              <w:tc>
                                <w:tcPr>
                                  <w:tcW w:w="2384" w:type="dxa"/>
                                  <w:tcBorders>
                                    <w:top w:val="single" w:sz="6" w:space="0" w:color="000000"/>
                                  </w:tcBorders>
                                  <w:tcMar>
                                    <w:top w:w="28" w:type="dxa"/>
                                    <w:left w:w="28" w:type="dxa"/>
                                    <w:bottom w:w="28" w:type="dxa"/>
                                    <w:right w:w="28" w:type="dxa"/>
                                  </w:tcMar>
                                </w:tcPr>
                                <w:p w:rsidR="00737F2A" w:rsidRPr="008C639B" w:rsidRDefault="00737F2A">
                                  <w:pPr>
                                    <w:pStyle w:val="af7"/>
                                    <w:jc w:val="center"/>
                                    <w:rPr>
                                      <w:b w:val="0"/>
                                    </w:rPr>
                                  </w:pPr>
                                  <w:r w:rsidRPr="008C639B">
                                    <w:rPr>
                                      <w:b w:val="0"/>
                                    </w:rPr>
                                    <w:t>49.9 ± 12.8</w:t>
                                  </w:r>
                                </w:p>
                                <w:p w:rsidR="00737F2A" w:rsidRPr="008C639B" w:rsidRDefault="00737F2A">
                                  <w:pPr>
                                    <w:pStyle w:val="af7"/>
                                    <w:jc w:val="center"/>
                                    <w:rPr>
                                      <w:b w:val="0"/>
                                    </w:rPr>
                                  </w:pPr>
                                </w:p>
                              </w:tc>
                              <w:tc>
                                <w:tcPr>
                                  <w:tcW w:w="2384" w:type="dxa"/>
                                  <w:tcBorders>
                                    <w:top w:val="single" w:sz="6" w:space="0" w:color="000000"/>
                                  </w:tcBorders>
                                  <w:tcMar>
                                    <w:top w:w="28" w:type="dxa"/>
                                    <w:left w:w="28" w:type="dxa"/>
                                    <w:bottom w:w="28" w:type="dxa"/>
                                    <w:right w:w="28" w:type="dxa"/>
                                  </w:tcMar>
                                </w:tcPr>
                                <w:p w:rsidR="00737F2A" w:rsidRPr="008C639B" w:rsidRDefault="00737F2A">
                                  <w:pPr>
                                    <w:pStyle w:val="af7"/>
                                    <w:jc w:val="center"/>
                                    <w:rPr>
                                      <w:b w:val="0"/>
                                    </w:rPr>
                                  </w:pPr>
                                  <w:r w:rsidRPr="008C639B">
                                    <w:rPr>
                                      <w:b w:val="0"/>
                                    </w:rPr>
                                    <w:t>0.985</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Male sex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34 (42.0)</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43 (53.1)</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0.137</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Smoking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12 (14.8)</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9 (11.1)</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0.483</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Alcohol use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22 (27.2)</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22 (27.2)</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1.000</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Ingestion of coffee</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44 (54.3)</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36 (44.4)</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0.209</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Ingestion of tea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58 (71.6)</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49 (60.5)</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0.230</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Betel nut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4 (4.9)</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1 (1.2)</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0.173</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Spicy food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52 (64.2)</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51 (63.0)</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0.870</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Sweet food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72 (88.9)</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75 (92.6)</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0.416</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Body mass index</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 xml:space="preserve">25.4 ± 4.8 </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24.9 ± 4.4</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0.420</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Waist girth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88.8 ± 12.2</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88.7 ± 11.4</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0.361</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Metabolic syndrome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36 (44.4)</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38 (46.9)</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0.950</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Atypical symptoms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Noparagraphstyle"/>
                                    <w:spacing w:line="240" w:lineRule="auto"/>
                                    <w:jc w:val="left"/>
                                    <w:textAlignment w:val="auto"/>
                                    <w:rPr>
                                      <w:color w:val="auto"/>
                                      <w:lang w:val="en-US"/>
                                    </w:rPr>
                                  </w:pPr>
                                </w:p>
                              </w:tc>
                              <w:tc>
                                <w:tcPr>
                                  <w:tcW w:w="2384" w:type="dxa"/>
                                  <w:tcMar>
                                    <w:top w:w="28" w:type="dxa"/>
                                    <w:left w:w="28" w:type="dxa"/>
                                    <w:bottom w:w="28" w:type="dxa"/>
                                    <w:right w:w="28" w:type="dxa"/>
                                  </w:tcMar>
                                </w:tcPr>
                                <w:p w:rsidR="00737F2A" w:rsidRPr="008C639B" w:rsidRDefault="00737F2A">
                                  <w:pPr>
                                    <w:pStyle w:val="Noparagraphstyle"/>
                                    <w:spacing w:line="240" w:lineRule="auto"/>
                                    <w:jc w:val="left"/>
                                    <w:textAlignment w:val="auto"/>
                                    <w:rPr>
                                      <w:color w:val="auto"/>
                                      <w:lang w:val="en-US"/>
                                    </w:rPr>
                                  </w:pPr>
                                </w:p>
                              </w:tc>
                              <w:tc>
                                <w:tcPr>
                                  <w:tcW w:w="2384" w:type="dxa"/>
                                  <w:tcMar>
                                    <w:top w:w="28" w:type="dxa"/>
                                    <w:left w:w="28" w:type="dxa"/>
                                    <w:bottom w:w="28" w:type="dxa"/>
                                    <w:right w:w="28" w:type="dxa"/>
                                  </w:tcMar>
                                </w:tcPr>
                                <w:p w:rsidR="00737F2A" w:rsidRPr="008C639B" w:rsidRDefault="00737F2A">
                                  <w:pPr>
                                    <w:pStyle w:val="Noparagraphstyle"/>
                                    <w:spacing w:line="240" w:lineRule="auto"/>
                                    <w:jc w:val="left"/>
                                    <w:textAlignment w:val="auto"/>
                                    <w:rPr>
                                      <w:color w:val="auto"/>
                                      <w:lang w:val="en-US"/>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   Chest pain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38 (46.9)</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39 (48.1)</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0.588</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   Dysphagia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20 (24.7)</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22 (27.2)</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0.557</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   Regurgitation of food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29 (35.8)</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31 (38.3)</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0.561</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   Nausea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26 (32.1)</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23 (28.4)</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0.544</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   Hiccup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37 (45.7)</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44 (54.3)</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0.300</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   Foreign body sensation (throat)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48 (59.3)</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40 (49.4)</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0.301</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   Foreign body sensation (chest)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16 (19.8)</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16 (19.8)</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0.604</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   Hoarseness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28 (34.6)</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28 (34.6)</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0.604</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   Throat cleaning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44 (54.3)</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44 (54.3)</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0.602</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   Cough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38 (46.9)</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34 (42.0)</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0.516</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   Sore throat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20 (24.7)</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20 (24.7)</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0.604</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   Dry mouth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54 (66.7)</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52 (64.2)</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0.590</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   Bad breath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29 (35.8)</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30 (37.0)</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0.590</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   Epigastric pain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36 (44.4)</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45 (55.6)</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0.197</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   Epigastric fullness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65 (80.2)</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54 (66.7)</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0.111</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Insomnia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36 (44.4)</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28 (34.6)</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0.199</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Sinusitis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7 (8.6)</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14 (17.3)</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0.102</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Otitis media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5 (6.2)</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5 (6.2)</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1.000</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Sugar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97.4 ± 12.5</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97.0 ± 12.8</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0.604</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Cholesterol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205.3 ± 36.7</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 xml:space="preserve">207.7 ± 35.4 </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0.971</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Triglyceride</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121.9 ± 57.2</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113.7 ± 64.7</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0.284</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HDL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54.7 ± 18.2</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55.3 ± 14.4</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0.866</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LDL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127.0 ± 32.7</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127.5 ± 32.8</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0.942</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bCs w:val="0"/>
                                      <w:i/>
                                      <w:iCs/>
                                    </w:rPr>
                                    <w:t>H.</w:t>
                                  </w:r>
                                  <w:r w:rsidRPr="008C639B">
                                    <w:rPr>
                                      <w:b w:val="0"/>
                                    </w:rPr>
                                    <w:t xml:space="preserve"> </w:t>
                                  </w:r>
                                  <w:r w:rsidRPr="008C639B">
                                    <w:rPr>
                                      <w:b w:val="0"/>
                                      <w:bCs w:val="0"/>
                                      <w:i/>
                                      <w:iCs/>
                                    </w:rPr>
                                    <w:t>pylori</w:t>
                                  </w:r>
                                  <w:r w:rsidRPr="008C639B">
                                    <w:rPr>
                                      <w:b w:val="0"/>
                                    </w:rPr>
                                    <w:t xml:space="preserve"> infection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Noparagraphstyle"/>
                                    <w:spacing w:line="240" w:lineRule="auto"/>
                                    <w:jc w:val="left"/>
                                    <w:textAlignment w:val="auto"/>
                                    <w:rPr>
                                      <w:color w:val="auto"/>
                                      <w:lang w:val="en-US"/>
                                    </w:rPr>
                                  </w:pPr>
                                </w:p>
                              </w:tc>
                              <w:tc>
                                <w:tcPr>
                                  <w:tcW w:w="2384" w:type="dxa"/>
                                  <w:tcMar>
                                    <w:top w:w="28" w:type="dxa"/>
                                    <w:left w:w="28" w:type="dxa"/>
                                    <w:bottom w:w="28" w:type="dxa"/>
                                    <w:right w:w="28" w:type="dxa"/>
                                  </w:tcMar>
                                </w:tcPr>
                                <w:p w:rsidR="00737F2A" w:rsidRPr="008C639B" w:rsidRDefault="00737F2A">
                                  <w:pPr>
                                    <w:pStyle w:val="Noparagraphstyle"/>
                                    <w:spacing w:line="240" w:lineRule="auto"/>
                                    <w:jc w:val="left"/>
                                    <w:textAlignment w:val="auto"/>
                                    <w:rPr>
                                      <w:color w:val="auto"/>
                                      <w:lang w:val="en-US"/>
                                    </w:rPr>
                                  </w:pPr>
                                </w:p>
                              </w:tc>
                              <w:tc>
                                <w:tcPr>
                                  <w:tcW w:w="2384" w:type="dxa"/>
                                  <w:tcMar>
                                    <w:top w:w="28" w:type="dxa"/>
                                    <w:left w:w="28" w:type="dxa"/>
                                    <w:bottom w:w="28" w:type="dxa"/>
                                    <w:right w:w="28" w:type="dxa"/>
                                  </w:tcMar>
                                </w:tcPr>
                                <w:p w:rsidR="00737F2A" w:rsidRPr="008C639B" w:rsidRDefault="00737F2A">
                                  <w:pPr>
                                    <w:pStyle w:val="Noparagraphstyle"/>
                                    <w:spacing w:line="240" w:lineRule="auto"/>
                                    <w:jc w:val="left"/>
                                    <w:textAlignment w:val="auto"/>
                                    <w:rPr>
                                      <w:color w:val="auto"/>
                                      <w:lang w:val="en-US"/>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   Previous history - no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10 (12.3)</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15 (18.5)</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0.553</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lang w:val="en-US"/>
                                    </w:rPr>
                                  </w:pPr>
                                  <w:r w:rsidRPr="008C639B">
                                    <w:rPr>
                                      <w:b w:val="0"/>
                                      <w:lang w:val="en-US"/>
                                    </w:rPr>
                                    <w:t xml:space="preserve">   Current infection - no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lang w:val="en-US"/>
                                    </w:rPr>
                                  </w:pPr>
                                  <w:r w:rsidRPr="008C639B">
                                    <w:rPr>
                                      <w:b w:val="0"/>
                                      <w:lang w:val="en-US"/>
                                    </w:rPr>
                                    <w:t>10 (12.3)</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lang w:val="en-US"/>
                                    </w:rPr>
                                  </w:pPr>
                                  <w:r w:rsidRPr="008C639B">
                                    <w:rPr>
                                      <w:b w:val="0"/>
                                      <w:lang w:val="en-US"/>
                                    </w:rPr>
                                    <w:t>12 (14.8)</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lang w:val="en-US"/>
                                    </w:rPr>
                                  </w:pPr>
                                  <w:r w:rsidRPr="008C639B">
                                    <w:rPr>
                                      <w:b w:val="0"/>
                                      <w:lang w:val="en-US"/>
                                    </w:rPr>
                                    <w:t>0.703</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lang w:val="en-US"/>
                                    </w:rPr>
                                  </w:pPr>
                                  <w:r w:rsidRPr="008C639B">
                                    <w:rPr>
                                      <w:b w:val="0"/>
                                      <w:lang w:val="en-US"/>
                                    </w:rPr>
                                    <w:t xml:space="preserve">Endoscopic findings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Noparagraphstyle"/>
                                    <w:spacing w:line="240" w:lineRule="auto"/>
                                    <w:jc w:val="left"/>
                                    <w:textAlignment w:val="auto"/>
                                    <w:rPr>
                                      <w:color w:val="auto"/>
                                      <w:lang w:val="en-US"/>
                                    </w:rPr>
                                  </w:pPr>
                                </w:p>
                              </w:tc>
                              <w:tc>
                                <w:tcPr>
                                  <w:tcW w:w="2384" w:type="dxa"/>
                                  <w:tcMar>
                                    <w:top w:w="28" w:type="dxa"/>
                                    <w:left w:w="28" w:type="dxa"/>
                                    <w:bottom w:w="28" w:type="dxa"/>
                                    <w:right w:w="28" w:type="dxa"/>
                                  </w:tcMar>
                                </w:tcPr>
                                <w:p w:rsidR="00737F2A" w:rsidRPr="008C639B" w:rsidRDefault="00737F2A">
                                  <w:pPr>
                                    <w:pStyle w:val="Noparagraphstyle"/>
                                    <w:spacing w:line="240" w:lineRule="auto"/>
                                    <w:jc w:val="left"/>
                                    <w:textAlignment w:val="auto"/>
                                    <w:rPr>
                                      <w:color w:val="auto"/>
                                      <w:lang w:val="en-US"/>
                                    </w:rPr>
                                  </w:pPr>
                                </w:p>
                              </w:tc>
                              <w:tc>
                                <w:tcPr>
                                  <w:tcW w:w="2384" w:type="dxa"/>
                                  <w:tcMar>
                                    <w:top w:w="28" w:type="dxa"/>
                                    <w:left w:w="28" w:type="dxa"/>
                                    <w:bottom w:w="28" w:type="dxa"/>
                                    <w:right w:w="28" w:type="dxa"/>
                                  </w:tcMar>
                                </w:tcPr>
                                <w:p w:rsidR="00737F2A" w:rsidRPr="008C639B" w:rsidRDefault="00737F2A">
                                  <w:pPr>
                                    <w:pStyle w:val="Noparagraphstyle"/>
                                    <w:spacing w:line="240" w:lineRule="auto"/>
                                    <w:jc w:val="left"/>
                                    <w:textAlignment w:val="auto"/>
                                    <w:rPr>
                                      <w:color w:val="auto"/>
                                      <w:lang w:val="en-US"/>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lang w:val="en-US"/>
                                    </w:rPr>
                                  </w:pPr>
                                  <w:r w:rsidRPr="008C639B">
                                    <w:rPr>
                                      <w:b w:val="0"/>
                                      <w:lang w:val="en-US"/>
                                    </w:rPr>
                                    <w:t xml:space="preserve">Hiatal hernia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lang w:val="en-US"/>
                                    </w:rPr>
                                  </w:pPr>
                                  <w:r w:rsidRPr="008C639B">
                                    <w:rPr>
                                      <w:b w:val="0"/>
                                      <w:lang w:val="en-US"/>
                                    </w:rPr>
                                    <w:t>10 (12.3)</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lang w:val="en-US"/>
                                    </w:rPr>
                                  </w:pPr>
                                  <w:r w:rsidRPr="008C639B">
                                    <w:rPr>
                                      <w:b w:val="0"/>
                                      <w:lang w:val="en-US"/>
                                    </w:rPr>
                                    <w:t>15 (18.5)</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lang w:val="en-US"/>
                                    </w:rPr>
                                  </w:pPr>
                                  <w:r w:rsidRPr="008C639B">
                                    <w:rPr>
                                      <w:b w:val="0"/>
                                      <w:lang w:val="en-US"/>
                                    </w:rPr>
                                    <w:t>0.347</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lang w:val="en-US"/>
                                    </w:rPr>
                                  </w:pPr>
                                  <w:r w:rsidRPr="008C639B">
                                    <w:rPr>
                                      <w:b w:val="0"/>
                                      <w:lang w:val="en-US"/>
                                    </w:rPr>
                                    <w:t xml:space="preserve">GEFV (grade 3 or 4)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lang w:val="en-US"/>
                                    </w:rPr>
                                  </w:pPr>
                                  <w:r w:rsidRPr="008C639B">
                                    <w:rPr>
                                      <w:b w:val="0"/>
                                      <w:lang w:val="en-US"/>
                                    </w:rPr>
                                    <w:t>7 (8.6)</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lang w:val="en-US"/>
                                    </w:rPr>
                                  </w:pPr>
                                  <w:r w:rsidRPr="008C639B">
                                    <w:rPr>
                                      <w:b w:val="0"/>
                                      <w:lang w:val="en-US"/>
                                    </w:rPr>
                                    <w:t>8 (9.9)</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lang w:val="en-US"/>
                                    </w:rPr>
                                  </w:pPr>
                                  <w:r w:rsidRPr="008C639B">
                                    <w:rPr>
                                      <w:b w:val="0"/>
                                      <w:lang w:val="en-US"/>
                                    </w:rPr>
                                    <w:t>0.521</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lang w:val="en-US"/>
                                    </w:rPr>
                                  </w:pPr>
                                  <w:r w:rsidRPr="008C639B">
                                    <w:rPr>
                                      <w:b w:val="0"/>
                                      <w:lang w:val="en-US"/>
                                    </w:rPr>
                                    <w:t xml:space="preserve">Esophagitis grade B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lang w:val="en-US"/>
                                    </w:rPr>
                                  </w:pPr>
                                  <w:r w:rsidRPr="008C639B">
                                    <w:rPr>
                                      <w:b w:val="0"/>
                                      <w:lang w:val="en-US"/>
                                    </w:rPr>
                                    <w:t>15 (18.5)</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lang w:val="en-US"/>
                                    </w:rPr>
                                  </w:pPr>
                                  <w:r w:rsidRPr="008C639B">
                                    <w:rPr>
                                      <w:b w:val="0"/>
                                      <w:lang w:val="en-US"/>
                                    </w:rPr>
                                    <w:t>13 (16.0)</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lang w:val="en-US"/>
                                    </w:rPr>
                                  </w:pPr>
                                  <w:r w:rsidRPr="008C639B">
                                    <w:rPr>
                                      <w:b w:val="0"/>
                                      <w:lang w:val="en-US"/>
                                    </w:rPr>
                                    <w:t>0.678</w:t>
                                  </w:r>
                                </w:p>
                                <w:p w:rsidR="00737F2A" w:rsidRPr="008C639B" w:rsidRDefault="00737F2A">
                                  <w:pPr>
                                    <w:pStyle w:val="af7"/>
                                    <w:jc w:val="center"/>
                                    <w:rPr>
                                      <w:b w:val="0"/>
                                    </w:rPr>
                                  </w:pPr>
                                </w:p>
                              </w:tc>
                            </w:tr>
                          </w:tbl>
                          <w:p w:rsidR="00737F2A" w:rsidRPr="00473443" w:rsidRDefault="00737F2A" w:rsidP="00737F2A">
                            <w:pPr>
                              <w:pStyle w:val="af8"/>
                              <w:ind w:left="5250"/>
                            </w:pPr>
                            <w:r w:rsidRPr="008C639B">
                              <w:rPr>
                                <w:b w:val="0"/>
                              </w:rPr>
                              <w:t xml:space="preserve">HDL: High-density lipoprotein; LDL: low-density lipoprotein; </w:t>
                            </w:r>
                            <w:r w:rsidRPr="008C639B">
                              <w:rPr>
                                <w:b w:val="0"/>
                                <w:bCs w:val="0"/>
                                <w:i/>
                                <w:iCs/>
                              </w:rPr>
                              <w:t>H. pylori</w:t>
                            </w:r>
                            <w:r w:rsidRPr="008C639B">
                              <w:rPr>
                                <w:b w:val="0"/>
                              </w:rPr>
                              <w:t xml:space="preserve">: </w:t>
                            </w:r>
                            <w:r w:rsidRPr="008C639B">
                              <w:rPr>
                                <w:b w:val="0"/>
                                <w:bCs w:val="0"/>
                                <w:i/>
                                <w:iCs/>
                              </w:rPr>
                              <w:t>Helicobacter pylori</w:t>
                            </w:r>
                            <w:r w:rsidRPr="008C639B">
                              <w:rPr>
                                <w:b w:val="0"/>
                              </w:rPr>
                              <w:t xml:space="preserve">; GEFV: </w:t>
                            </w:r>
                            <w:proofErr w:type="spellStart"/>
                            <w:r w:rsidRPr="008C639B">
                              <w:rPr>
                                <w:b w:val="0"/>
                              </w:rPr>
                              <w:t>Gastroesophageal</w:t>
                            </w:r>
                            <w:proofErr w:type="spellEnd"/>
                            <w:r w:rsidRPr="008C639B">
                              <w:rPr>
                                <w:b w:val="0"/>
                              </w:rPr>
                              <w:t xml:space="preserve"> flap valve.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0;margin-top:0;width:416.05pt;height:154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">
                <v:textbox style="mso-fit-shape-to-text:t">
                  <w:txbxContent>
                    <w:p w:rsidR="00737F2A" w:rsidRPr="008C639B" w:rsidRDefault="00737F2A" w:rsidP="00737F2A">
                      <w:pPr>
                        <w:rPr>
                          <w:b/>
                          <w:bCs/>
                        </w:rPr>
                      </w:pPr>
                      <w:r w:rsidRPr="008C639B">
                        <w:rPr>
                          <w:b/>
                          <w:bCs/>
                        </w:rPr>
                        <w:t xml:space="preserve">Table </w:t>
                      </w:r>
                      <w:proofErr w:type="gramStart"/>
                      <w:r w:rsidRPr="008C639B">
                        <w:rPr>
                          <w:b/>
                          <w:bCs/>
                        </w:rPr>
                        <w:t>1  Baseline</w:t>
                      </w:r>
                      <w:proofErr w:type="gramEnd"/>
                      <w:r w:rsidRPr="008C639B">
                        <w:rPr>
                          <w:b/>
                          <w:bCs/>
                        </w:rPr>
                        <w:t xml:space="preserve"> characteristics of the patients [</w:t>
                      </w:r>
                      <w:r w:rsidRPr="008C639B">
                        <w:rPr>
                          <w:b/>
                          <w:bCs/>
                          <w:i/>
                          <w:iCs/>
                        </w:rPr>
                        <w:t>n</w:t>
                      </w:r>
                      <w:r w:rsidRPr="008C639B">
                        <w:rPr>
                          <w:b/>
                          <w:bCs/>
                        </w:rPr>
                        <w:t xml:space="preserve"> = 81, </w:t>
                      </w:r>
                      <w:r w:rsidRPr="008C639B">
                        <w:rPr>
                          <w:b/>
                          <w:bCs/>
                          <w:i/>
                          <w:iCs/>
                        </w:rPr>
                        <w:t>n</w:t>
                      </w:r>
                      <w:r w:rsidRPr="008C639B">
                        <w:rPr>
                          <w:b/>
                          <w:bCs/>
                        </w:rPr>
                        <w:t xml:space="preserve"> (%)]</w:t>
                      </w:r>
                    </w:p>
                    <w:tbl>
                      <w:tblPr>
                        <w:tblW w:w="9535"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384"/>
                        <w:gridCol w:w="2383"/>
                        <w:gridCol w:w="2384"/>
                        <w:gridCol w:w="2384"/>
                      </w:tblGrid>
                      <w:tr w:rsidR="00737F2A" w:rsidRPr="008C639B">
                        <w:tblPrEx>
                          <w:tblCellMar>
                            <w:top w:w="0" w:type="dxa"/>
                            <w:left w:w="0" w:type="dxa"/>
                            <w:bottom w:w="0" w:type="dxa"/>
                            <w:right w:w="0" w:type="dxa"/>
                          </w:tblCellMar>
                        </w:tblPrEx>
                        <w:trPr>
                          <w:trHeight w:hRule="exact" w:val="911"/>
                        </w:trPr>
                        <w:tc>
                          <w:tcPr>
                            <w:tcW w:w="2384" w:type="dxa"/>
                            <w:tcBorders>
                              <w:top w:val="single" w:sz="6" w:space="0" w:color="000000"/>
                              <w:bottom w:val="single" w:sz="6" w:space="0" w:color="000000"/>
                            </w:tcBorders>
                            <w:tcMar>
                              <w:top w:w="28" w:type="dxa"/>
                              <w:left w:w="28" w:type="dxa"/>
                              <w:bottom w:w="28" w:type="dxa"/>
                              <w:right w:w="28" w:type="dxa"/>
                            </w:tcMar>
                          </w:tcPr>
                          <w:p w:rsidR="00737F2A" w:rsidRPr="008C639B" w:rsidRDefault="00737F2A">
                            <w:pPr>
                              <w:pStyle w:val="af6"/>
                            </w:pPr>
                            <w:r w:rsidRPr="008C639B">
                              <w:t xml:space="preserve">Variables </w:t>
                            </w:r>
                          </w:p>
                          <w:p w:rsidR="00737F2A" w:rsidRPr="008C639B" w:rsidRDefault="00737F2A">
                            <w:pPr>
                              <w:pStyle w:val="af6"/>
                            </w:pPr>
                          </w:p>
                        </w:tc>
                        <w:tc>
                          <w:tcPr>
                            <w:tcW w:w="2383" w:type="dxa"/>
                            <w:tcBorders>
                              <w:top w:val="single" w:sz="6" w:space="0" w:color="000000"/>
                              <w:bottom w:val="single" w:sz="6" w:space="0" w:color="000000"/>
                            </w:tcBorders>
                            <w:tcMar>
                              <w:top w:w="28" w:type="dxa"/>
                              <w:left w:w="28" w:type="dxa"/>
                              <w:bottom w:w="28" w:type="dxa"/>
                              <w:right w:w="28" w:type="dxa"/>
                            </w:tcMar>
                          </w:tcPr>
                          <w:p w:rsidR="00737F2A" w:rsidRPr="008C639B" w:rsidRDefault="00737F2A">
                            <w:pPr>
                              <w:pStyle w:val="af6"/>
                              <w:jc w:val="center"/>
                            </w:pPr>
                            <w:r w:rsidRPr="008C639B">
                              <w:t>Dexlansoprazole</w:t>
                            </w:r>
                          </w:p>
                          <w:p w:rsidR="00737F2A" w:rsidRPr="008C639B" w:rsidRDefault="00737F2A">
                            <w:pPr>
                              <w:pStyle w:val="af6"/>
                              <w:jc w:val="center"/>
                            </w:pPr>
                          </w:p>
                        </w:tc>
                        <w:tc>
                          <w:tcPr>
                            <w:tcW w:w="2384" w:type="dxa"/>
                            <w:tcBorders>
                              <w:top w:val="single" w:sz="6" w:space="0" w:color="000000"/>
                              <w:bottom w:val="single" w:sz="6" w:space="0" w:color="000000"/>
                            </w:tcBorders>
                            <w:tcMar>
                              <w:top w:w="28" w:type="dxa"/>
                              <w:left w:w="28" w:type="dxa"/>
                              <w:bottom w:w="28" w:type="dxa"/>
                              <w:right w:w="28" w:type="dxa"/>
                            </w:tcMar>
                          </w:tcPr>
                          <w:p w:rsidR="00737F2A" w:rsidRPr="008C639B" w:rsidRDefault="00737F2A">
                            <w:pPr>
                              <w:pStyle w:val="af6"/>
                              <w:jc w:val="center"/>
                            </w:pPr>
                            <w:r w:rsidRPr="008C639B">
                              <w:t xml:space="preserve">Esomeprazole </w:t>
                            </w:r>
                          </w:p>
                          <w:p w:rsidR="00737F2A" w:rsidRPr="008C639B" w:rsidRDefault="00737F2A">
                            <w:pPr>
                              <w:pStyle w:val="af6"/>
                              <w:jc w:val="center"/>
                            </w:pPr>
                          </w:p>
                        </w:tc>
                        <w:tc>
                          <w:tcPr>
                            <w:tcW w:w="2384" w:type="dxa"/>
                            <w:tcBorders>
                              <w:top w:val="single" w:sz="6" w:space="0" w:color="000000"/>
                              <w:bottom w:val="single" w:sz="6" w:space="0" w:color="000000"/>
                            </w:tcBorders>
                            <w:tcMar>
                              <w:top w:w="28" w:type="dxa"/>
                              <w:left w:w="28" w:type="dxa"/>
                              <w:bottom w:w="28" w:type="dxa"/>
                              <w:right w:w="28" w:type="dxa"/>
                            </w:tcMar>
                          </w:tcPr>
                          <w:p w:rsidR="00737F2A" w:rsidRPr="008C639B" w:rsidRDefault="00737F2A">
                            <w:pPr>
                              <w:pStyle w:val="af6"/>
                              <w:jc w:val="center"/>
                            </w:pPr>
                            <w:r w:rsidRPr="008C639B">
                              <w:rPr>
                                <w:rFonts w:ascii="Albertus Bold Italic" w:hAnsi="Albertus Bold Italic" w:cs="Albertus Bold Italic"/>
                                <w:i/>
                                <w:iCs/>
                              </w:rPr>
                              <w:t>P</w:t>
                            </w:r>
                            <w:r w:rsidRPr="008C639B">
                              <w:t xml:space="preserve"> value </w:t>
                            </w:r>
                          </w:p>
                          <w:p w:rsidR="00737F2A" w:rsidRPr="008C639B" w:rsidRDefault="00737F2A">
                            <w:pPr>
                              <w:pStyle w:val="af6"/>
                              <w:jc w:val="center"/>
                            </w:pPr>
                          </w:p>
                        </w:tc>
                      </w:tr>
                      <w:tr w:rsidR="00737F2A" w:rsidRPr="008C639B">
                        <w:tblPrEx>
                          <w:tblCellMar>
                            <w:top w:w="0" w:type="dxa"/>
                            <w:left w:w="0" w:type="dxa"/>
                            <w:bottom w:w="0" w:type="dxa"/>
                            <w:right w:w="0" w:type="dxa"/>
                          </w:tblCellMar>
                        </w:tblPrEx>
                        <w:trPr>
                          <w:trHeight w:val="60"/>
                        </w:trPr>
                        <w:tc>
                          <w:tcPr>
                            <w:tcW w:w="2384" w:type="dxa"/>
                            <w:tcBorders>
                              <w:top w:val="single" w:sz="6" w:space="0" w:color="000000"/>
                            </w:tcBorders>
                            <w:tcMar>
                              <w:top w:w="28" w:type="dxa"/>
                              <w:left w:w="28" w:type="dxa"/>
                              <w:bottom w:w="28" w:type="dxa"/>
                              <w:right w:w="28" w:type="dxa"/>
                            </w:tcMar>
                          </w:tcPr>
                          <w:p w:rsidR="00737F2A" w:rsidRPr="008C639B" w:rsidRDefault="00737F2A">
                            <w:pPr>
                              <w:pStyle w:val="af7"/>
                              <w:rPr>
                                <w:b w:val="0"/>
                                <w:lang w:val="en-US"/>
                              </w:rPr>
                            </w:pPr>
                            <w:r w:rsidRPr="008C639B">
                              <w:rPr>
                                <w:b w:val="0"/>
                                <w:lang w:val="en-US"/>
                              </w:rPr>
                              <w:t xml:space="preserve">Age (mean ± SD, </w:t>
                            </w:r>
                            <w:proofErr w:type="spellStart"/>
                            <w:r w:rsidRPr="008C639B">
                              <w:rPr>
                                <w:b w:val="0"/>
                                <w:lang w:val="en-US"/>
                              </w:rPr>
                              <w:t>yr</w:t>
                            </w:r>
                            <w:proofErr w:type="spellEnd"/>
                            <w:r w:rsidRPr="008C639B">
                              <w:rPr>
                                <w:b w:val="0"/>
                                <w:lang w:val="en-US"/>
                              </w:rPr>
                              <w:t>)</w:t>
                            </w:r>
                          </w:p>
                          <w:p w:rsidR="00737F2A" w:rsidRPr="008C639B" w:rsidRDefault="00737F2A">
                            <w:pPr>
                              <w:pStyle w:val="af7"/>
                              <w:rPr>
                                <w:b w:val="0"/>
                                <w:lang w:val="en-US"/>
                              </w:rPr>
                            </w:pPr>
                          </w:p>
                        </w:tc>
                        <w:tc>
                          <w:tcPr>
                            <w:tcW w:w="2383" w:type="dxa"/>
                            <w:tcBorders>
                              <w:top w:val="single" w:sz="6" w:space="0" w:color="000000"/>
                            </w:tcBorders>
                            <w:tcMar>
                              <w:top w:w="28" w:type="dxa"/>
                              <w:left w:w="28" w:type="dxa"/>
                              <w:bottom w:w="28" w:type="dxa"/>
                              <w:right w:w="28" w:type="dxa"/>
                            </w:tcMar>
                          </w:tcPr>
                          <w:p w:rsidR="00737F2A" w:rsidRPr="008C639B" w:rsidRDefault="00737F2A">
                            <w:pPr>
                              <w:pStyle w:val="af7"/>
                              <w:jc w:val="center"/>
                              <w:rPr>
                                <w:b w:val="0"/>
                              </w:rPr>
                            </w:pPr>
                            <w:r w:rsidRPr="008C639B">
                              <w:rPr>
                                <w:b w:val="0"/>
                              </w:rPr>
                              <w:t>50.6 ± 13.3</w:t>
                            </w:r>
                          </w:p>
                          <w:p w:rsidR="00737F2A" w:rsidRPr="008C639B" w:rsidRDefault="00737F2A">
                            <w:pPr>
                              <w:pStyle w:val="af7"/>
                              <w:jc w:val="center"/>
                              <w:rPr>
                                <w:b w:val="0"/>
                              </w:rPr>
                            </w:pPr>
                          </w:p>
                        </w:tc>
                        <w:tc>
                          <w:tcPr>
                            <w:tcW w:w="2384" w:type="dxa"/>
                            <w:tcBorders>
                              <w:top w:val="single" w:sz="6" w:space="0" w:color="000000"/>
                            </w:tcBorders>
                            <w:tcMar>
                              <w:top w:w="28" w:type="dxa"/>
                              <w:left w:w="28" w:type="dxa"/>
                              <w:bottom w:w="28" w:type="dxa"/>
                              <w:right w:w="28" w:type="dxa"/>
                            </w:tcMar>
                          </w:tcPr>
                          <w:p w:rsidR="00737F2A" w:rsidRPr="008C639B" w:rsidRDefault="00737F2A">
                            <w:pPr>
                              <w:pStyle w:val="af7"/>
                              <w:jc w:val="center"/>
                              <w:rPr>
                                <w:b w:val="0"/>
                              </w:rPr>
                            </w:pPr>
                            <w:r w:rsidRPr="008C639B">
                              <w:rPr>
                                <w:b w:val="0"/>
                              </w:rPr>
                              <w:t>49.9 ± 12.8</w:t>
                            </w:r>
                          </w:p>
                          <w:p w:rsidR="00737F2A" w:rsidRPr="008C639B" w:rsidRDefault="00737F2A">
                            <w:pPr>
                              <w:pStyle w:val="af7"/>
                              <w:jc w:val="center"/>
                              <w:rPr>
                                <w:b w:val="0"/>
                              </w:rPr>
                            </w:pPr>
                          </w:p>
                        </w:tc>
                        <w:tc>
                          <w:tcPr>
                            <w:tcW w:w="2384" w:type="dxa"/>
                            <w:tcBorders>
                              <w:top w:val="single" w:sz="6" w:space="0" w:color="000000"/>
                            </w:tcBorders>
                            <w:tcMar>
                              <w:top w:w="28" w:type="dxa"/>
                              <w:left w:w="28" w:type="dxa"/>
                              <w:bottom w:w="28" w:type="dxa"/>
                              <w:right w:w="28" w:type="dxa"/>
                            </w:tcMar>
                          </w:tcPr>
                          <w:p w:rsidR="00737F2A" w:rsidRPr="008C639B" w:rsidRDefault="00737F2A">
                            <w:pPr>
                              <w:pStyle w:val="af7"/>
                              <w:jc w:val="center"/>
                              <w:rPr>
                                <w:b w:val="0"/>
                              </w:rPr>
                            </w:pPr>
                            <w:r w:rsidRPr="008C639B">
                              <w:rPr>
                                <w:b w:val="0"/>
                              </w:rPr>
                              <w:t>0.985</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Male sex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34 (42.0)</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43 (53.1)</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0.137</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Smoking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12 (14.8)</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9 (11.1)</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0.483</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Alcohol use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22 (27.2)</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22 (27.2)</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1.000</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Ingestion of coffee</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44 (54.3)</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36 (44.4)</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0.209</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Ingestion of tea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58 (71.6)</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49 (60.5)</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0.230</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Betel nut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4 (4.9)</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1 (1.2)</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0.173</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Spicy food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52 (64.2)</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51 (63.0)</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0.870</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Sweet food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72 (88.9)</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75 (92.6)</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0.416</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Body mass index</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 xml:space="preserve">25.4 ± 4.8 </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24.9 ± 4.4</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0.420</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Waist girth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88.8 ± 12.2</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88.7 ± 11.4</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0.361</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Metabolic syndrome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36 (44.4)</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38 (46.9)</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0.950</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Atypical symptoms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Noparagraphstyle"/>
                              <w:spacing w:line="240" w:lineRule="auto"/>
                              <w:jc w:val="left"/>
                              <w:textAlignment w:val="auto"/>
                              <w:rPr>
                                <w:color w:val="auto"/>
                                <w:lang w:val="en-US"/>
                              </w:rPr>
                            </w:pPr>
                          </w:p>
                        </w:tc>
                        <w:tc>
                          <w:tcPr>
                            <w:tcW w:w="2384" w:type="dxa"/>
                            <w:tcMar>
                              <w:top w:w="28" w:type="dxa"/>
                              <w:left w:w="28" w:type="dxa"/>
                              <w:bottom w:w="28" w:type="dxa"/>
                              <w:right w:w="28" w:type="dxa"/>
                            </w:tcMar>
                          </w:tcPr>
                          <w:p w:rsidR="00737F2A" w:rsidRPr="008C639B" w:rsidRDefault="00737F2A">
                            <w:pPr>
                              <w:pStyle w:val="Noparagraphstyle"/>
                              <w:spacing w:line="240" w:lineRule="auto"/>
                              <w:jc w:val="left"/>
                              <w:textAlignment w:val="auto"/>
                              <w:rPr>
                                <w:color w:val="auto"/>
                                <w:lang w:val="en-US"/>
                              </w:rPr>
                            </w:pPr>
                          </w:p>
                        </w:tc>
                        <w:tc>
                          <w:tcPr>
                            <w:tcW w:w="2384" w:type="dxa"/>
                            <w:tcMar>
                              <w:top w:w="28" w:type="dxa"/>
                              <w:left w:w="28" w:type="dxa"/>
                              <w:bottom w:w="28" w:type="dxa"/>
                              <w:right w:w="28" w:type="dxa"/>
                            </w:tcMar>
                          </w:tcPr>
                          <w:p w:rsidR="00737F2A" w:rsidRPr="008C639B" w:rsidRDefault="00737F2A">
                            <w:pPr>
                              <w:pStyle w:val="Noparagraphstyle"/>
                              <w:spacing w:line="240" w:lineRule="auto"/>
                              <w:jc w:val="left"/>
                              <w:textAlignment w:val="auto"/>
                              <w:rPr>
                                <w:color w:val="auto"/>
                                <w:lang w:val="en-US"/>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   Chest pain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38 (46.9)</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39 (48.1)</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0.588</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   Dysphagia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20 (24.7)</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22 (27.2)</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0.557</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   Regurgitation of food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29 (35.8)</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31 (38.3)</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0.561</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   Nausea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26 (32.1)</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23 (28.4)</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0.544</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   Hiccup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37 (45.7)</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44 (54.3)</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0.300</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   Foreign body sensation (throat)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48 (59.3)</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40 (49.4)</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0.301</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   Foreign body sensation (chest)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16 (19.8)</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16 (19.8)</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0.604</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   Hoarseness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28 (34.6)</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28 (34.6)</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0.604</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   Throat cleaning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44 (54.3)</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44 (54.3)</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0.602</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   Cough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38 (46.9)</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34 (42.0)</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0.516</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   Sore throat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20 (24.7)</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20 (24.7)</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0.604</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   Dry mouth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54 (66.7)</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52 (64.2)</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0.590</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   Bad breath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29 (35.8)</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30 (37.0)</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0.590</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   Epigastric pain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36 (44.4)</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45 (55.6)</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0.197</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   Epigastric fullness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65 (80.2)</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54 (66.7)</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0.111</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Insomnia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36 (44.4)</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28 (34.6)</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0.199</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Sinusitis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7 (8.6)</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14 (17.3)</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0.102</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Otitis media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5 (6.2)</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5 (6.2)</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1.000</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Sugar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97.4 ± 12.5</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97.0 ± 12.8</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0.604</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Cholesterol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205.3 ± 36.7</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 xml:space="preserve">207.7 ± 35.4 </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0.971</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Triglyceride</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121.9 ± 57.2</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113.7 ± 64.7</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0.284</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HDL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54.7 ± 18.2</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55.3 ± 14.4</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0.866</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LDL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127.0 ± 32.7</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127.5 ± 32.8</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0.942</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bCs w:val="0"/>
                                <w:i/>
                                <w:iCs/>
                              </w:rPr>
                              <w:t>H.</w:t>
                            </w:r>
                            <w:r w:rsidRPr="008C639B">
                              <w:rPr>
                                <w:b w:val="0"/>
                              </w:rPr>
                              <w:t xml:space="preserve"> </w:t>
                            </w:r>
                            <w:r w:rsidRPr="008C639B">
                              <w:rPr>
                                <w:b w:val="0"/>
                                <w:bCs w:val="0"/>
                                <w:i/>
                                <w:iCs/>
                              </w:rPr>
                              <w:t>pylori</w:t>
                            </w:r>
                            <w:r w:rsidRPr="008C639B">
                              <w:rPr>
                                <w:b w:val="0"/>
                              </w:rPr>
                              <w:t xml:space="preserve"> infection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Noparagraphstyle"/>
                              <w:spacing w:line="240" w:lineRule="auto"/>
                              <w:jc w:val="left"/>
                              <w:textAlignment w:val="auto"/>
                              <w:rPr>
                                <w:color w:val="auto"/>
                                <w:lang w:val="en-US"/>
                              </w:rPr>
                            </w:pPr>
                          </w:p>
                        </w:tc>
                        <w:tc>
                          <w:tcPr>
                            <w:tcW w:w="2384" w:type="dxa"/>
                            <w:tcMar>
                              <w:top w:w="28" w:type="dxa"/>
                              <w:left w:w="28" w:type="dxa"/>
                              <w:bottom w:w="28" w:type="dxa"/>
                              <w:right w:w="28" w:type="dxa"/>
                            </w:tcMar>
                          </w:tcPr>
                          <w:p w:rsidR="00737F2A" w:rsidRPr="008C639B" w:rsidRDefault="00737F2A">
                            <w:pPr>
                              <w:pStyle w:val="Noparagraphstyle"/>
                              <w:spacing w:line="240" w:lineRule="auto"/>
                              <w:jc w:val="left"/>
                              <w:textAlignment w:val="auto"/>
                              <w:rPr>
                                <w:color w:val="auto"/>
                                <w:lang w:val="en-US"/>
                              </w:rPr>
                            </w:pPr>
                          </w:p>
                        </w:tc>
                        <w:tc>
                          <w:tcPr>
                            <w:tcW w:w="2384" w:type="dxa"/>
                            <w:tcMar>
                              <w:top w:w="28" w:type="dxa"/>
                              <w:left w:w="28" w:type="dxa"/>
                              <w:bottom w:w="28" w:type="dxa"/>
                              <w:right w:w="28" w:type="dxa"/>
                            </w:tcMar>
                          </w:tcPr>
                          <w:p w:rsidR="00737F2A" w:rsidRPr="008C639B" w:rsidRDefault="00737F2A">
                            <w:pPr>
                              <w:pStyle w:val="Noparagraphstyle"/>
                              <w:spacing w:line="240" w:lineRule="auto"/>
                              <w:jc w:val="left"/>
                              <w:textAlignment w:val="auto"/>
                              <w:rPr>
                                <w:color w:val="auto"/>
                                <w:lang w:val="en-US"/>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rPr>
                            </w:pPr>
                            <w:r w:rsidRPr="008C639B">
                              <w:rPr>
                                <w:b w:val="0"/>
                              </w:rPr>
                              <w:t xml:space="preserve">   Previous history - no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rPr>
                            </w:pPr>
                            <w:r w:rsidRPr="008C639B">
                              <w:rPr>
                                <w:b w:val="0"/>
                              </w:rPr>
                              <w:t>10 (12.3)</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15 (18.5)</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rPr>
                            </w:pPr>
                            <w:r w:rsidRPr="008C639B">
                              <w:rPr>
                                <w:b w:val="0"/>
                              </w:rPr>
                              <w:t>0.553</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lang w:val="en-US"/>
                              </w:rPr>
                            </w:pPr>
                            <w:r w:rsidRPr="008C639B">
                              <w:rPr>
                                <w:b w:val="0"/>
                                <w:lang w:val="en-US"/>
                              </w:rPr>
                              <w:t xml:space="preserve">   Current infection - no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lang w:val="en-US"/>
                              </w:rPr>
                            </w:pPr>
                            <w:r w:rsidRPr="008C639B">
                              <w:rPr>
                                <w:b w:val="0"/>
                                <w:lang w:val="en-US"/>
                              </w:rPr>
                              <w:t>10 (12.3)</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lang w:val="en-US"/>
                              </w:rPr>
                            </w:pPr>
                            <w:r w:rsidRPr="008C639B">
                              <w:rPr>
                                <w:b w:val="0"/>
                                <w:lang w:val="en-US"/>
                              </w:rPr>
                              <w:t>12 (14.8)</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lang w:val="en-US"/>
                              </w:rPr>
                            </w:pPr>
                            <w:r w:rsidRPr="008C639B">
                              <w:rPr>
                                <w:b w:val="0"/>
                                <w:lang w:val="en-US"/>
                              </w:rPr>
                              <w:t>0.703</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lang w:val="en-US"/>
                              </w:rPr>
                            </w:pPr>
                            <w:r w:rsidRPr="008C639B">
                              <w:rPr>
                                <w:b w:val="0"/>
                                <w:lang w:val="en-US"/>
                              </w:rPr>
                              <w:t xml:space="preserve">Endoscopic findings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Noparagraphstyle"/>
                              <w:spacing w:line="240" w:lineRule="auto"/>
                              <w:jc w:val="left"/>
                              <w:textAlignment w:val="auto"/>
                              <w:rPr>
                                <w:color w:val="auto"/>
                                <w:lang w:val="en-US"/>
                              </w:rPr>
                            </w:pPr>
                          </w:p>
                        </w:tc>
                        <w:tc>
                          <w:tcPr>
                            <w:tcW w:w="2384" w:type="dxa"/>
                            <w:tcMar>
                              <w:top w:w="28" w:type="dxa"/>
                              <w:left w:w="28" w:type="dxa"/>
                              <w:bottom w:w="28" w:type="dxa"/>
                              <w:right w:w="28" w:type="dxa"/>
                            </w:tcMar>
                          </w:tcPr>
                          <w:p w:rsidR="00737F2A" w:rsidRPr="008C639B" w:rsidRDefault="00737F2A">
                            <w:pPr>
                              <w:pStyle w:val="Noparagraphstyle"/>
                              <w:spacing w:line="240" w:lineRule="auto"/>
                              <w:jc w:val="left"/>
                              <w:textAlignment w:val="auto"/>
                              <w:rPr>
                                <w:color w:val="auto"/>
                                <w:lang w:val="en-US"/>
                              </w:rPr>
                            </w:pPr>
                          </w:p>
                        </w:tc>
                        <w:tc>
                          <w:tcPr>
                            <w:tcW w:w="2384" w:type="dxa"/>
                            <w:tcMar>
                              <w:top w:w="28" w:type="dxa"/>
                              <w:left w:w="28" w:type="dxa"/>
                              <w:bottom w:w="28" w:type="dxa"/>
                              <w:right w:w="28" w:type="dxa"/>
                            </w:tcMar>
                          </w:tcPr>
                          <w:p w:rsidR="00737F2A" w:rsidRPr="008C639B" w:rsidRDefault="00737F2A">
                            <w:pPr>
                              <w:pStyle w:val="Noparagraphstyle"/>
                              <w:spacing w:line="240" w:lineRule="auto"/>
                              <w:jc w:val="left"/>
                              <w:textAlignment w:val="auto"/>
                              <w:rPr>
                                <w:color w:val="auto"/>
                                <w:lang w:val="en-US"/>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lang w:val="en-US"/>
                              </w:rPr>
                            </w:pPr>
                            <w:r w:rsidRPr="008C639B">
                              <w:rPr>
                                <w:b w:val="0"/>
                                <w:lang w:val="en-US"/>
                              </w:rPr>
                              <w:t xml:space="preserve">Hiatal hernia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lang w:val="en-US"/>
                              </w:rPr>
                            </w:pPr>
                            <w:r w:rsidRPr="008C639B">
                              <w:rPr>
                                <w:b w:val="0"/>
                                <w:lang w:val="en-US"/>
                              </w:rPr>
                              <w:t>10 (12.3)</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lang w:val="en-US"/>
                              </w:rPr>
                            </w:pPr>
                            <w:r w:rsidRPr="008C639B">
                              <w:rPr>
                                <w:b w:val="0"/>
                                <w:lang w:val="en-US"/>
                              </w:rPr>
                              <w:t>15 (18.5)</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lang w:val="en-US"/>
                              </w:rPr>
                            </w:pPr>
                            <w:r w:rsidRPr="008C639B">
                              <w:rPr>
                                <w:b w:val="0"/>
                                <w:lang w:val="en-US"/>
                              </w:rPr>
                              <w:t>0.347</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lang w:val="en-US"/>
                              </w:rPr>
                            </w:pPr>
                            <w:r w:rsidRPr="008C639B">
                              <w:rPr>
                                <w:b w:val="0"/>
                                <w:lang w:val="en-US"/>
                              </w:rPr>
                              <w:t xml:space="preserve">GEFV (grade 3 or 4)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lang w:val="en-US"/>
                              </w:rPr>
                            </w:pPr>
                            <w:r w:rsidRPr="008C639B">
                              <w:rPr>
                                <w:b w:val="0"/>
                                <w:lang w:val="en-US"/>
                              </w:rPr>
                              <w:t>7 (8.6)</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lang w:val="en-US"/>
                              </w:rPr>
                            </w:pPr>
                            <w:r w:rsidRPr="008C639B">
                              <w:rPr>
                                <w:b w:val="0"/>
                                <w:lang w:val="en-US"/>
                              </w:rPr>
                              <w:t>8 (9.9)</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lang w:val="en-US"/>
                              </w:rPr>
                            </w:pPr>
                            <w:r w:rsidRPr="008C639B">
                              <w:rPr>
                                <w:b w:val="0"/>
                                <w:lang w:val="en-US"/>
                              </w:rPr>
                              <w:t>0.521</w:t>
                            </w:r>
                          </w:p>
                          <w:p w:rsidR="00737F2A" w:rsidRPr="008C639B" w:rsidRDefault="00737F2A">
                            <w:pPr>
                              <w:pStyle w:val="af7"/>
                              <w:jc w:val="center"/>
                              <w:rPr>
                                <w:b w:val="0"/>
                              </w:rPr>
                            </w:pPr>
                          </w:p>
                        </w:tc>
                      </w:tr>
                      <w:tr w:rsidR="00737F2A" w:rsidRPr="008C639B">
                        <w:tblPrEx>
                          <w:tblCellMar>
                            <w:top w:w="0" w:type="dxa"/>
                            <w:left w:w="0" w:type="dxa"/>
                            <w:bottom w:w="0" w:type="dxa"/>
                            <w:right w:w="0" w:type="dxa"/>
                          </w:tblCellMar>
                        </w:tblPrEx>
                        <w:trPr>
                          <w:trHeight w:val="60"/>
                        </w:trPr>
                        <w:tc>
                          <w:tcPr>
                            <w:tcW w:w="2384" w:type="dxa"/>
                            <w:tcMar>
                              <w:top w:w="28" w:type="dxa"/>
                              <w:left w:w="28" w:type="dxa"/>
                              <w:bottom w:w="28" w:type="dxa"/>
                              <w:right w:w="28" w:type="dxa"/>
                            </w:tcMar>
                          </w:tcPr>
                          <w:p w:rsidR="00737F2A" w:rsidRPr="008C639B" w:rsidRDefault="00737F2A">
                            <w:pPr>
                              <w:pStyle w:val="af7"/>
                              <w:rPr>
                                <w:b w:val="0"/>
                                <w:lang w:val="en-US"/>
                              </w:rPr>
                            </w:pPr>
                            <w:r w:rsidRPr="008C639B">
                              <w:rPr>
                                <w:b w:val="0"/>
                                <w:lang w:val="en-US"/>
                              </w:rPr>
                              <w:t xml:space="preserve">Esophagitis grade B </w:t>
                            </w:r>
                          </w:p>
                          <w:p w:rsidR="00737F2A" w:rsidRPr="008C639B" w:rsidRDefault="00737F2A">
                            <w:pPr>
                              <w:pStyle w:val="af7"/>
                              <w:rPr>
                                <w:b w:val="0"/>
                              </w:rPr>
                            </w:pPr>
                          </w:p>
                        </w:tc>
                        <w:tc>
                          <w:tcPr>
                            <w:tcW w:w="2383" w:type="dxa"/>
                            <w:tcMar>
                              <w:top w:w="28" w:type="dxa"/>
                              <w:left w:w="28" w:type="dxa"/>
                              <w:bottom w:w="28" w:type="dxa"/>
                              <w:right w:w="28" w:type="dxa"/>
                            </w:tcMar>
                          </w:tcPr>
                          <w:p w:rsidR="00737F2A" w:rsidRPr="008C639B" w:rsidRDefault="00737F2A">
                            <w:pPr>
                              <w:pStyle w:val="af7"/>
                              <w:jc w:val="center"/>
                              <w:rPr>
                                <w:b w:val="0"/>
                                <w:lang w:val="en-US"/>
                              </w:rPr>
                            </w:pPr>
                            <w:r w:rsidRPr="008C639B">
                              <w:rPr>
                                <w:b w:val="0"/>
                                <w:lang w:val="en-US"/>
                              </w:rPr>
                              <w:t>15 (18.5)</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lang w:val="en-US"/>
                              </w:rPr>
                            </w:pPr>
                            <w:r w:rsidRPr="008C639B">
                              <w:rPr>
                                <w:b w:val="0"/>
                                <w:lang w:val="en-US"/>
                              </w:rPr>
                              <w:t>13 (16.0)</w:t>
                            </w:r>
                          </w:p>
                          <w:p w:rsidR="00737F2A" w:rsidRPr="008C639B" w:rsidRDefault="00737F2A">
                            <w:pPr>
                              <w:pStyle w:val="af7"/>
                              <w:jc w:val="center"/>
                              <w:rPr>
                                <w:b w:val="0"/>
                              </w:rPr>
                            </w:pPr>
                          </w:p>
                        </w:tc>
                        <w:tc>
                          <w:tcPr>
                            <w:tcW w:w="2384" w:type="dxa"/>
                            <w:tcMar>
                              <w:top w:w="28" w:type="dxa"/>
                              <w:left w:w="28" w:type="dxa"/>
                              <w:bottom w:w="28" w:type="dxa"/>
                              <w:right w:w="28" w:type="dxa"/>
                            </w:tcMar>
                          </w:tcPr>
                          <w:p w:rsidR="00737F2A" w:rsidRPr="008C639B" w:rsidRDefault="00737F2A">
                            <w:pPr>
                              <w:pStyle w:val="af7"/>
                              <w:jc w:val="center"/>
                              <w:rPr>
                                <w:b w:val="0"/>
                                <w:lang w:val="en-US"/>
                              </w:rPr>
                            </w:pPr>
                            <w:r w:rsidRPr="008C639B">
                              <w:rPr>
                                <w:b w:val="0"/>
                                <w:lang w:val="en-US"/>
                              </w:rPr>
                              <w:t>0.678</w:t>
                            </w:r>
                          </w:p>
                          <w:p w:rsidR="00737F2A" w:rsidRPr="008C639B" w:rsidRDefault="00737F2A">
                            <w:pPr>
                              <w:pStyle w:val="af7"/>
                              <w:jc w:val="center"/>
                              <w:rPr>
                                <w:b w:val="0"/>
                              </w:rPr>
                            </w:pPr>
                          </w:p>
                        </w:tc>
                      </w:tr>
                    </w:tbl>
                    <w:p w:rsidR="00737F2A" w:rsidRPr="00473443" w:rsidRDefault="00737F2A" w:rsidP="00737F2A">
                      <w:pPr>
                        <w:pStyle w:val="af8"/>
                        <w:ind w:left="5250"/>
                      </w:pPr>
                      <w:r w:rsidRPr="008C639B">
                        <w:rPr>
                          <w:b w:val="0"/>
                        </w:rPr>
                        <w:t xml:space="preserve">HDL: High-density lipoprotein; LDL: low-density lipoprotein; </w:t>
                      </w:r>
                      <w:r w:rsidRPr="008C639B">
                        <w:rPr>
                          <w:b w:val="0"/>
                          <w:bCs w:val="0"/>
                          <w:i/>
                          <w:iCs/>
                        </w:rPr>
                        <w:t>H. pylori</w:t>
                      </w:r>
                      <w:r w:rsidRPr="008C639B">
                        <w:rPr>
                          <w:b w:val="0"/>
                        </w:rPr>
                        <w:t xml:space="preserve">: </w:t>
                      </w:r>
                      <w:r w:rsidRPr="008C639B">
                        <w:rPr>
                          <w:b w:val="0"/>
                          <w:bCs w:val="0"/>
                          <w:i/>
                          <w:iCs/>
                        </w:rPr>
                        <w:t>Helicobacter pylori</w:t>
                      </w:r>
                      <w:r w:rsidRPr="008C639B">
                        <w:rPr>
                          <w:b w:val="0"/>
                        </w:rPr>
                        <w:t xml:space="preserve">; GEFV: </w:t>
                      </w:r>
                      <w:proofErr w:type="spellStart"/>
                      <w:r w:rsidRPr="008C639B">
                        <w:rPr>
                          <w:b w:val="0"/>
                        </w:rPr>
                        <w:t>Gastroesophageal</w:t>
                      </w:r>
                      <w:proofErr w:type="spellEnd"/>
                      <w:r w:rsidRPr="008C639B">
                        <w:rPr>
                          <w:b w:val="0"/>
                        </w:rPr>
                        <w:t xml:space="preserve"> flap valve.</w:t>
                      </w:r>
                    </w:p>
                  </w:txbxContent>
                </v:textbox>
                <w10:wrap type="square"/>
              </v:shape>
            </w:pict>
          </mc:Fallback>
        </mc:AlternateContent>
      </w:r>
    </w:p>
    <w:p w:rsidR="00737F2A" w:rsidRDefault="00737F2A" w:rsidP="00737F2A">
      <w:pPr>
        <w:rPr>
          <w:rFonts w:hint="eastAsia"/>
        </w:rPr>
      </w:pPr>
    </w:p>
    <w:p w:rsidR="00737F2A" w:rsidRDefault="00737F2A" w:rsidP="00737F2A">
      <w:pPr>
        <w:rPr>
          <w:rFonts w:hint="eastAsia"/>
        </w:rPr>
      </w:pPr>
    </w:p>
    <w:p w:rsidR="00737F2A" w:rsidRDefault="00737F2A" w:rsidP="00737F2A">
      <w:pPr>
        <w:rPr>
          <w:rFonts w:hint="eastAsia"/>
        </w:rPr>
      </w:pPr>
    </w:p>
    <w:p w:rsidR="00737F2A" w:rsidRDefault="00737F2A" w:rsidP="00737F2A">
      <w:pPr>
        <w:rPr>
          <w:rFonts w:hint="eastAsia"/>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283835" cy="4422775"/>
                <wp:effectExtent l="9525" t="9525" r="12065" b="6350"/>
                <wp:wrapSquare wrapText="bothSides"/>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4422775"/>
                        </a:xfrm>
                        <a:prstGeom prst="rect">
                          <a:avLst/>
                        </a:prstGeom>
                        <a:solidFill>
                          <a:srgbClr val="FFFFFF"/>
                        </a:solidFill>
                        <a:ln w="9525">
                          <a:solidFill>
                            <a:srgbClr val="000000"/>
                          </a:solidFill>
                          <a:miter lim="800000"/>
                          <a:headEnd/>
                          <a:tailEnd/>
                        </a:ln>
                      </wps:spPr>
                      <wps:txbx>
                        <w:txbxContent>
                          <w:p w:rsidR="00737F2A" w:rsidRPr="008C639B" w:rsidRDefault="00737F2A" w:rsidP="00737F2A">
                            <w:pPr>
                              <w:rPr>
                                <w:b/>
                                <w:bCs/>
                              </w:rPr>
                            </w:pPr>
                            <w:r w:rsidRPr="008C639B">
                              <w:rPr>
                                <w:b/>
                                <w:bCs/>
                              </w:rPr>
                              <w:t xml:space="preserve">Table </w:t>
                            </w:r>
                            <w:proofErr w:type="gramStart"/>
                            <w:r w:rsidRPr="008C639B">
                              <w:rPr>
                                <w:b/>
                                <w:bCs/>
                              </w:rPr>
                              <w:t>2  Comparison</w:t>
                            </w:r>
                            <w:proofErr w:type="gramEnd"/>
                            <w:r w:rsidRPr="008C639B">
                              <w:rPr>
                                <w:b/>
                                <w:bCs/>
                              </w:rPr>
                              <w:t xml:space="preserve"> of the complete symptom resolution rates and night-time breakthrough heartburn between </w:t>
                            </w:r>
                            <w:proofErr w:type="spellStart"/>
                            <w:r w:rsidRPr="008C639B">
                              <w:rPr>
                                <w:b/>
                                <w:bCs/>
                              </w:rPr>
                              <w:t>dexlansoprazole</w:t>
                            </w:r>
                            <w:proofErr w:type="spellEnd"/>
                            <w:r w:rsidRPr="008C639B">
                              <w:rPr>
                                <w:b/>
                                <w:bCs/>
                              </w:rPr>
                              <w:t xml:space="preserve"> and esomeprazole over one week [</w:t>
                            </w:r>
                            <w:r w:rsidRPr="008C639B">
                              <w:rPr>
                                <w:b/>
                                <w:bCs/>
                                <w:i/>
                                <w:iCs/>
                              </w:rPr>
                              <w:t>n</w:t>
                            </w:r>
                            <w:r w:rsidRPr="008C639B">
                              <w:rPr>
                                <w:b/>
                                <w:bCs/>
                              </w:rPr>
                              <w:t xml:space="preserve"> = 81, </w:t>
                            </w:r>
                            <w:r w:rsidRPr="008C639B">
                              <w:rPr>
                                <w:b/>
                                <w:bCs/>
                                <w:i/>
                                <w:iCs/>
                              </w:rPr>
                              <w:t>n</w:t>
                            </w:r>
                            <w:r w:rsidRPr="008C639B">
                              <w:rPr>
                                <w:b/>
                                <w:bCs/>
                              </w:rPr>
                              <w:t xml:space="preserve"> (%)]</w:t>
                            </w:r>
                          </w:p>
                          <w:tbl>
                            <w:tblPr>
                              <w:tblW w:w="9529"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817"/>
                              <w:gridCol w:w="2237"/>
                              <w:gridCol w:w="2238"/>
                              <w:gridCol w:w="2237"/>
                            </w:tblGrid>
                            <w:tr w:rsidR="00737F2A" w:rsidRPr="008C639B">
                              <w:tblPrEx>
                                <w:tblCellMar>
                                  <w:top w:w="0" w:type="dxa"/>
                                  <w:left w:w="0" w:type="dxa"/>
                                  <w:bottom w:w="0" w:type="dxa"/>
                                  <w:right w:w="0" w:type="dxa"/>
                                </w:tblCellMar>
                              </w:tblPrEx>
                              <w:trPr>
                                <w:trHeight w:hRule="exact" w:val="740"/>
                              </w:trPr>
                              <w:tc>
                                <w:tcPr>
                                  <w:tcW w:w="2817"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r w:rsidRPr="008C639B">
                                    <w:rPr>
                                      <w:rFonts w:ascii="Albertus" w:hAnsi="Albertus" w:cs="Albertus"/>
                                      <w:b/>
                                      <w:bCs/>
                                      <w:color w:val="000000"/>
                                      <w:kern w:val="0"/>
                                      <w:sz w:val="14"/>
                                      <w:szCs w:val="14"/>
                                      <w:lang w:val="zh-CN"/>
                                    </w:rPr>
                                    <w:t xml:space="preserve">Variables </w:t>
                                  </w:r>
                                </w:p>
                                <w:p w:rsidR="00737F2A" w:rsidRPr="008C639B" w:rsidRDefault="00737F2A" w:rsidP="008C639B">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2237"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639B">
                                    <w:rPr>
                                      <w:rFonts w:ascii="Albertus" w:hAnsi="Albertus" w:cs="Albertus"/>
                                      <w:b/>
                                      <w:bCs/>
                                      <w:color w:val="000000"/>
                                      <w:kern w:val="0"/>
                                      <w:sz w:val="14"/>
                                      <w:szCs w:val="14"/>
                                      <w:lang w:val="zh-CN"/>
                                    </w:rPr>
                                    <w:t>Dexlansoprazole</w:t>
                                  </w:r>
                                </w:p>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238"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639B">
                                    <w:rPr>
                                      <w:rFonts w:ascii="Albertus" w:hAnsi="Albertus" w:cs="Albertus"/>
                                      <w:b/>
                                      <w:bCs/>
                                      <w:color w:val="000000"/>
                                      <w:kern w:val="0"/>
                                      <w:sz w:val="14"/>
                                      <w:szCs w:val="14"/>
                                      <w:lang w:val="zh-CN"/>
                                    </w:rPr>
                                    <w:t xml:space="preserve">Esomeprazole  </w:t>
                                  </w:r>
                                </w:p>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237"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639B">
                                    <w:rPr>
                                      <w:rFonts w:ascii="Albertus Bold Italic" w:hAnsi="Albertus Bold Italic" w:cs="Albertus Bold Italic"/>
                                      <w:b/>
                                      <w:bCs/>
                                      <w:i/>
                                      <w:iCs/>
                                      <w:color w:val="000000"/>
                                      <w:kern w:val="0"/>
                                      <w:sz w:val="14"/>
                                      <w:szCs w:val="14"/>
                                      <w:lang w:val="zh-CN"/>
                                    </w:rPr>
                                    <w:t>P</w:t>
                                  </w:r>
                                  <w:r w:rsidRPr="008C639B">
                                    <w:rPr>
                                      <w:rFonts w:ascii="Albertus" w:hAnsi="Albertus" w:cs="Albertus"/>
                                      <w:b/>
                                      <w:bCs/>
                                      <w:color w:val="000000"/>
                                      <w:kern w:val="0"/>
                                      <w:sz w:val="14"/>
                                      <w:szCs w:val="14"/>
                                      <w:lang w:val="zh-CN"/>
                                    </w:rPr>
                                    <w:t xml:space="preserve"> value </w:t>
                                  </w:r>
                                </w:p>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737F2A" w:rsidRPr="008C639B">
                              <w:tblPrEx>
                                <w:tblCellMar>
                                  <w:top w:w="0" w:type="dxa"/>
                                  <w:left w:w="0" w:type="dxa"/>
                                  <w:bottom w:w="0" w:type="dxa"/>
                                  <w:right w:w="0" w:type="dxa"/>
                                </w:tblCellMar>
                              </w:tblPrEx>
                              <w:trPr>
                                <w:trHeight w:val="60"/>
                              </w:trPr>
                              <w:tc>
                                <w:tcPr>
                                  <w:tcW w:w="2817" w:type="dxa"/>
                                  <w:tcBorders>
                                    <w:top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 xml:space="preserve">CSR Day 1 </w:t>
                                  </w:r>
                                </w:p>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37" w:type="dxa"/>
                                  <w:tcBorders>
                                    <w:top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21 (25.9)</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238" w:type="dxa"/>
                                  <w:tcBorders>
                                    <w:top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23 (28.4)</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237" w:type="dxa"/>
                                  <w:tcBorders>
                                    <w:top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0.724</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737F2A" w:rsidRPr="008C639B">
                              <w:tblPrEx>
                                <w:tblCellMar>
                                  <w:top w:w="0" w:type="dxa"/>
                                  <w:left w:w="0" w:type="dxa"/>
                                  <w:bottom w:w="0" w:type="dxa"/>
                                  <w:right w:w="0" w:type="dxa"/>
                                </w:tblCellMar>
                              </w:tblPrEx>
                              <w:trPr>
                                <w:trHeight w:val="60"/>
                              </w:trPr>
                              <w:tc>
                                <w:tcPr>
                                  <w:tcW w:w="281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 xml:space="preserve">CSR Day 3 </w:t>
                                  </w:r>
                                </w:p>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3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27 (33.3)</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238"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26 (32.1)</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23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0.867</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737F2A" w:rsidRPr="008C639B">
                              <w:tblPrEx>
                                <w:tblCellMar>
                                  <w:top w:w="0" w:type="dxa"/>
                                  <w:left w:w="0" w:type="dxa"/>
                                  <w:bottom w:w="0" w:type="dxa"/>
                                  <w:right w:w="0" w:type="dxa"/>
                                </w:tblCellMar>
                              </w:tblPrEx>
                              <w:trPr>
                                <w:trHeight w:val="60"/>
                              </w:trPr>
                              <w:tc>
                                <w:tcPr>
                                  <w:tcW w:w="281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 xml:space="preserve">CSR Day 7 </w:t>
                                  </w:r>
                                </w:p>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3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42 (51.9)</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238"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39 (48.1)</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23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0.637</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737F2A" w:rsidRPr="008C639B">
                              <w:tblPrEx>
                                <w:tblCellMar>
                                  <w:top w:w="0" w:type="dxa"/>
                                  <w:left w:w="0" w:type="dxa"/>
                                  <w:bottom w:w="0" w:type="dxa"/>
                                  <w:right w:w="0" w:type="dxa"/>
                                </w:tblCellMar>
                              </w:tblPrEx>
                              <w:trPr>
                                <w:trHeight w:val="60"/>
                              </w:trPr>
                              <w:tc>
                                <w:tcPr>
                                  <w:tcW w:w="281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 xml:space="preserve">Night reflux </w:t>
                                  </w:r>
                                </w:p>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3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45 (76.3)</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238"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40 (74.1)</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23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0.787</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737F2A" w:rsidRPr="008C639B">
                              <w:tblPrEx>
                                <w:tblCellMar>
                                  <w:top w:w="0" w:type="dxa"/>
                                  <w:left w:w="0" w:type="dxa"/>
                                  <w:bottom w:w="0" w:type="dxa"/>
                                  <w:right w:w="0" w:type="dxa"/>
                                </w:tblCellMar>
                              </w:tblPrEx>
                              <w:trPr>
                                <w:trHeight w:val="60"/>
                              </w:trPr>
                              <w:tc>
                                <w:tcPr>
                                  <w:tcW w:w="281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Night heart burn</w:t>
                                  </w:r>
                                </w:p>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3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20 (33.9)</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238"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18 (33.3)</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23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0.949</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737F2A" w:rsidRPr="008C639B">
                              <w:tblPrEx>
                                <w:tblCellMar>
                                  <w:top w:w="0" w:type="dxa"/>
                                  <w:left w:w="0" w:type="dxa"/>
                                  <w:bottom w:w="0" w:type="dxa"/>
                                  <w:right w:w="0" w:type="dxa"/>
                                </w:tblCellMar>
                              </w:tblPrEx>
                              <w:trPr>
                                <w:trHeight w:val="60"/>
                              </w:trPr>
                              <w:tc>
                                <w:tcPr>
                                  <w:tcW w:w="281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Night acid reflux</w:t>
                                  </w:r>
                                </w:p>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3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20 (33.9)</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238"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19 (35.2)</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23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0.886</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737F2A" w:rsidRPr="008C639B">
                              <w:tblPrEx>
                                <w:tblCellMar>
                                  <w:top w:w="0" w:type="dxa"/>
                                  <w:left w:w="0" w:type="dxa"/>
                                  <w:bottom w:w="0" w:type="dxa"/>
                                  <w:right w:w="0" w:type="dxa"/>
                                </w:tblCellMar>
                              </w:tblPrEx>
                              <w:trPr>
                                <w:trHeight w:val="60"/>
                              </w:trPr>
                              <w:tc>
                                <w:tcPr>
                                  <w:tcW w:w="281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Frequency of night symptoms</w:t>
                                  </w:r>
                                </w:p>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3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2.7 ± 2.0</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238"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2.7 ± 2.4</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23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0.343</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737F2A" w:rsidRPr="00984672" w:rsidRDefault="00737F2A" w:rsidP="00737F2A">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CSR: Complete symptom resolution.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 o:spid="_x0000_s1027" type="#_x0000_t202" style="position:absolute;left:0;text-align:left;margin-left:0;margin-top:0;width:416.05pt;height:348.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">
                <v:textbox style="mso-fit-shape-to-text:t">
                  <w:txbxContent>
                    <w:p w:rsidR="00737F2A" w:rsidRPr="008C639B" w:rsidRDefault="00737F2A" w:rsidP="00737F2A">
                      <w:pPr>
                        <w:rPr>
                          <w:b/>
                          <w:bCs/>
                        </w:rPr>
                      </w:pPr>
                      <w:r w:rsidRPr="008C639B">
                        <w:rPr>
                          <w:b/>
                          <w:bCs/>
                        </w:rPr>
                        <w:t xml:space="preserve">Table </w:t>
                      </w:r>
                      <w:proofErr w:type="gramStart"/>
                      <w:r w:rsidRPr="008C639B">
                        <w:rPr>
                          <w:b/>
                          <w:bCs/>
                        </w:rPr>
                        <w:t>2  Comparison</w:t>
                      </w:r>
                      <w:proofErr w:type="gramEnd"/>
                      <w:r w:rsidRPr="008C639B">
                        <w:rPr>
                          <w:b/>
                          <w:bCs/>
                        </w:rPr>
                        <w:t xml:space="preserve"> of the complete symptom resolution rates and night-time breakthrough heartburn between </w:t>
                      </w:r>
                      <w:proofErr w:type="spellStart"/>
                      <w:r w:rsidRPr="008C639B">
                        <w:rPr>
                          <w:b/>
                          <w:bCs/>
                        </w:rPr>
                        <w:t>dexlansoprazole</w:t>
                      </w:r>
                      <w:proofErr w:type="spellEnd"/>
                      <w:r w:rsidRPr="008C639B">
                        <w:rPr>
                          <w:b/>
                          <w:bCs/>
                        </w:rPr>
                        <w:t xml:space="preserve"> and esomeprazole over one week [</w:t>
                      </w:r>
                      <w:r w:rsidRPr="008C639B">
                        <w:rPr>
                          <w:b/>
                          <w:bCs/>
                          <w:i/>
                          <w:iCs/>
                        </w:rPr>
                        <w:t>n</w:t>
                      </w:r>
                      <w:r w:rsidRPr="008C639B">
                        <w:rPr>
                          <w:b/>
                          <w:bCs/>
                        </w:rPr>
                        <w:t xml:space="preserve"> = 81, </w:t>
                      </w:r>
                      <w:r w:rsidRPr="008C639B">
                        <w:rPr>
                          <w:b/>
                          <w:bCs/>
                          <w:i/>
                          <w:iCs/>
                        </w:rPr>
                        <w:t>n</w:t>
                      </w:r>
                      <w:r w:rsidRPr="008C639B">
                        <w:rPr>
                          <w:b/>
                          <w:bCs/>
                        </w:rPr>
                        <w:t xml:space="preserve"> (%)]</w:t>
                      </w:r>
                    </w:p>
                    <w:tbl>
                      <w:tblPr>
                        <w:tblW w:w="9529"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817"/>
                        <w:gridCol w:w="2237"/>
                        <w:gridCol w:w="2238"/>
                        <w:gridCol w:w="2237"/>
                      </w:tblGrid>
                      <w:tr w:rsidR="00737F2A" w:rsidRPr="008C639B">
                        <w:tblPrEx>
                          <w:tblCellMar>
                            <w:top w:w="0" w:type="dxa"/>
                            <w:left w:w="0" w:type="dxa"/>
                            <w:bottom w:w="0" w:type="dxa"/>
                            <w:right w:w="0" w:type="dxa"/>
                          </w:tblCellMar>
                        </w:tblPrEx>
                        <w:trPr>
                          <w:trHeight w:hRule="exact" w:val="740"/>
                        </w:trPr>
                        <w:tc>
                          <w:tcPr>
                            <w:tcW w:w="2817"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r w:rsidRPr="008C639B">
                              <w:rPr>
                                <w:rFonts w:ascii="Albertus" w:hAnsi="Albertus" w:cs="Albertus"/>
                                <w:b/>
                                <w:bCs/>
                                <w:color w:val="000000"/>
                                <w:kern w:val="0"/>
                                <w:sz w:val="14"/>
                                <w:szCs w:val="14"/>
                                <w:lang w:val="zh-CN"/>
                              </w:rPr>
                              <w:t xml:space="preserve">Variables </w:t>
                            </w:r>
                          </w:p>
                          <w:p w:rsidR="00737F2A" w:rsidRPr="008C639B" w:rsidRDefault="00737F2A" w:rsidP="008C639B">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2237"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639B">
                              <w:rPr>
                                <w:rFonts w:ascii="Albertus" w:hAnsi="Albertus" w:cs="Albertus"/>
                                <w:b/>
                                <w:bCs/>
                                <w:color w:val="000000"/>
                                <w:kern w:val="0"/>
                                <w:sz w:val="14"/>
                                <w:szCs w:val="14"/>
                                <w:lang w:val="zh-CN"/>
                              </w:rPr>
                              <w:t>Dexlansoprazole</w:t>
                            </w:r>
                          </w:p>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238"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639B">
                              <w:rPr>
                                <w:rFonts w:ascii="Albertus" w:hAnsi="Albertus" w:cs="Albertus"/>
                                <w:b/>
                                <w:bCs/>
                                <w:color w:val="000000"/>
                                <w:kern w:val="0"/>
                                <w:sz w:val="14"/>
                                <w:szCs w:val="14"/>
                                <w:lang w:val="zh-CN"/>
                              </w:rPr>
                              <w:t xml:space="preserve">Esomeprazole  </w:t>
                            </w:r>
                          </w:p>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237"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639B">
                              <w:rPr>
                                <w:rFonts w:ascii="Albertus Bold Italic" w:hAnsi="Albertus Bold Italic" w:cs="Albertus Bold Italic"/>
                                <w:b/>
                                <w:bCs/>
                                <w:i/>
                                <w:iCs/>
                                <w:color w:val="000000"/>
                                <w:kern w:val="0"/>
                                <w:sz w:val="14"/>
                                <w:szCs w:val="14"/>
                                <w:lang w:val="zh-CN"/>
                              </w:rPr>
                              <w:t>P</w:t>
                            </w:r>
                            <w:r w:rsidRPr="008C639B">
                              <w:rPr>
                                <w:rFonts w:ascii="Albertus" w:hAnsi="Albertus" w:cs="Albertus"/>
                                <w:b/>
                                <w:bCs/>
                                <w:color w:val="000000"/>
                                <w:kern w:val="0"/>
                                <w:sz w:val="14"/>
                                <w:szCs w:val="14"/>
                                <w:lang w:val="zh-CN"/>
                              </w:rPr>
                              <w:t xml:space="preserve"> value </w:t>
                            </w:r>
                          </w:p>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737F2A" w:rsidRPr="008C639B">
                        <w:tblPrEx>
                          <w:tblCellMar>
                            <w:top w:w="0" w:type="dxa"/>
                            <w:left w:w="0" w:type="dxa"/>
                            <w:bottom w:w="0" w:type="dxa"/>
                            <w:right w:w="0" w:type="dxa"/>
                          </w:tblCellMar>
                        </w:tblPrEx>
                        <w:trPr>
                          <w:trHeight w:val="60"/>
                        </w:trPr>
                        <w:tc>
                          <w:tcPr>
                            <w:tcW w:w="2817" w:type="dxa"/>
                            <w:tcBorders>
                              <w:top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 xml:space="preserve">CSR Day 1 </w:t>
                            </w:r>
                          </w:p>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37" w:type="dxa"/>
                            <w:tcBorders>
                              <w:top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21 (25.9)</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238" w:type="dxa"/>
                            <w:tcBorders>
                              <w:top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23 (28.4)</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237" w:type="dxa"/>
                            <w:tcBorders>
                              <w:top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0.724</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737F2A" w:rsidRPr="008C639B">
                        <w:tblPrEx>
                          <w:tblCellMar>
                            <w:top w:w="0" w:type="dxa"/>
                            <w:left w:w="0" w:type="dxa"/>
                            <w:bottom w:w="0" w:type="dxa"/>
                            <w:right w:w="0" w:type="dxa"/>
                          </w:tblCellMar>
                        </w:tblPrEx>
                        <w:trPr>
                          <w:trHeight w:val="60"/>
                        </w:trPr>
                        <w:tc>
                          <w:tcPr>
                            <w:tcW w:w="281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 xml:space="preserve">CSR Day 3 </w:t>
                            </w:r>
                          </w:p>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3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27 (33.3)</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238"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26 (32.1)</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23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0.867</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737F2A" w:rsidRPr="008C639B">
                        <w:tblPrEx>
                          <w:tblCellMar>
                            <w:top w:w="0" w:type="dxa"/>
                            <w:left w:w="0" w:type="dxa"/>
                            <w:bottom w:w="0" w:type="dxa"/>
                            <w:right w:w="0" w:type="dxa"/>
                          </w:tblCellMar>
                        </w:tblPrEx>
                        <w:trPr>
                          <w:trHeight w:val="60"/>
                        </w:trPr>
                        <w:tc>
                          <w:tcPr>
                            <w:tcW w:w="281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 xml:space="preserve">CSR Day 7 </w:t>
                            </w:r>
                          </w:p>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3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42 (51.9)</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238"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39 (48.1)</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23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0.637</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737F2A" w:rsidRPr="008C639B">
                        <w:tblPrEx>
                          <w:tblCellMar>
                            <w:top w:w="0" w:type="dxa"/>
                            <w:left w:w="0" w:type="dxa"/>
                            <w:bottom w:w="0" w:type="dxa"/>
                            <w:right w:w="0" w:type="dxa"/>
                          </w:tblCellMar>
                        </w:tblPrEx>
                        <w:trPr>
                          <w:trHeight w:val="60"/>
                        </w:trPr>
                        <w:tc>
                          <w:tcPr>
                            <w:tcW w:w="281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 xml:space="preserve">Night reflux </w:t>
                            </w:r>
                          </w:p>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3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45 (76.3)</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238"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40 (74.1)</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23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0.787</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737F2A" w:rsidRPr="008C639B">
                        <w:tblPrEx>
                          <w:tblCellMar>
                            <w:top w:w="0" w:type="dxa"/>
                            <w:left w:w="0" w:type="dxa"/>
                            <w:bottom w:w="0" w:type="dxa"/>
                            <w:right w:w="0" w:type="dxa"/>
                          </w:tblCellMar>
                        </w:tblPrEx>
                        <w:trPr>
                          <w:trHeight w:val="60"/>
                        </w:trPr>
                        <w:tc>
                          <w:tcPr>
                            <w:tcW w:w="281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Night heart burn</w:t>
                            </w:r>
                          </w:p>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3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20 (33.9)</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238"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18 (33.3)</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23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0.949</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737F2A" w:rsidRPr="008C639B">
                        <w:tblPrEx>
                          <w:tblCellMar>
                            <w:top w:w="0" w:type="dxa"/>
                            <w:left w:w="0" w:type="dxa"/>
                            <w:bottom w:w="0" w:type="dxa"/>
                            <w:right w:w="0" w:type="dxa"/>
                          </w:tblCellMar>
                        </w:tblPrEx>
                        <w:trPr>
                          <w:trHeight w:val="60"/>
                        </w:trPr>
                        <w:tc>
                          <w:tcPr>
                            <w:tcW w:w="281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Night acid reflux</w:t>
                            </w:r>
                          </w:p>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3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20 (33.9)</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238"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19 (35.2)</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23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0.886</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737F2A" w:rsidRPr="008C639B">
                        <w:tblPrEx>
                          <w:tblCellMar>
                            <w:top w:w="0" w:type="dxa"/>
                            <w:left w:w="0" w:type="dxa"/>
                            <w:bottom w:w="0" w:type="dxa"/>
                            <w:right w:w="0" w:type="dxa"/>
                          </w:tblCellMar>
                        </w:tblPrEx>
                        <w:trPr>
                          <w:trHeight w:val="60"/>
                        </w:trPr>
                        <w:tc>
                          <w:tcPr>
                            <w:tcW w:w="281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Frequency of night symptoms</w:t>
                            </w:r>
                          </w:p>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23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2.7 ± 2.0</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238"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2.7 ± 2.4</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23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0.343</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737F2A" w:rsidRPr="00984672" w:rsidRDefault="00737F2A" w:rsidP="00737F2A">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CSR: Complete symptom resolution.</w:t>
                      </w:r>
                    </w:p>
                  </w:txbxContent>
                </v:textbox>
                <w10:wrap type="square"/>
              </v:shape>
            </w:pict>
          </mc:Fallback>
        </mc:AlternateContent>
      </w:r>
    </w:p>
    <w:p w:rsidR="00737F2A" w:rsidRDefault="00737F2A" w:rsidP="00737F2A">
      <w:pPr>
        <w:rPr>
          <w:rFonts w:hint="eastAsia"/>
        </w:rPr>
      </w:pPr>
    </w:p>
    <w:p w:rsidR="00737F2A" w:rsidRDefault="00737F2A" w:rsidP="00737F2A">
      <w:pPr>
        <w:rPr>
          <w:rFonts w:hint="eastAsia"/>
        </w:rPr>
      </w:pPr>
    </w:p>
    <w:p w:rsidR="00737F2A" w:rsidRDefault="00737F2A" w:rsidP="00737F2A">
      <w:pPr>
        <w:rPr>
          <w:rFonts w:hint="eastAsia"/>
        </w:rPr>
      </w:pPr>
    </w:p>
    <w:p w:rsidR="00737F2A" w:rsidRDefault="00737F2A" w:rsidP="00737F2A">
      <w:pPr>
        <w:rPr>
          <w:rFonts w:hint="eastAsia"/>
        </w:rPr>
      </w:pPr>
    </w:p>
    <w:p w:rsidR="00737F2A" w:rsidRDefault="00737F2A" w:rsidP="00737F2A">
      <w:pPr>
        <w:rPr>
          <w:rFonts w:hint="eastAsia"/>
        </w:rPr>
      </w:pPr>
    </w:p>
    <w:p w:rsidR="00737F2A" w:rsidRDefault="00737F2A" w:rsidP="00737F2A">
      <w:pPr>
        <w:rPr>
          <w:rFonts w:hint="eastAsia"/>
        </w:rPr>
      </w:pPr>
    </w:p>
    <w:p w:rsidR="00737F2A" w:rsidRDefault="00737F2A" w:rsidP="00737F2A">
      <w:pPr>
        <w:rPr>
          <w:rFonts w:hint="eastAsia"/>
        </w:rPr>
      </w:pPr>
    </w:p>
    <w:p w:rsidR="00737F2A" w:rsidRDefault="00737F2A" w:rsidP="00737F2A">
      <w:pPr>
        <w:rPr>
          <w:rFonts w:hint="eastAsia"/>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283835" cy="3895725"/>
                <wp:effectExtent l="9525" t="9525" r="12065" b="9525"/>
                <wp:wrapSquare wrapText="bothSides"/>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3895725"/>
                        </a:xfrm>
                        <a:prstGeom prst="rect">
                          <a:avLst/>
                        </a:prstGeom>
                        <a:solidFill>
                          <a:srgbClr val="FFFFFF"/>
                        </a:solidFill>
                        <a:ln w="9525">
                          <a:solidFill>
                            <a:srgbClr val="000000"/>
                          </a:solidFill>
                          <a:miter lim="800000"/>
                          <a:headEnd/>
                          <a:tailEnd/>
                        </a:ln>
                      </wps:spPr>
                      <wps:txbx>
                        <w:txbxContent>
                          <w:p w:rsidR="00737F2A" w:rsidRPr="008C639B" w:rsidRDefault="00737F2A" w:rsidP="00737F2A">
                            <w:pPr>
                              <w:rPr>
                                <w:b/>
                                <w:bCs/>
                              </w:rPr>
                            </w:pPr>
                            <w:r w:rsidRPr="008C639B">
                              <w:rPr>
                                <w:b/>
                                <w:bCs/>
                              </w:rPr>
                              <w:t xml:space="preserve">Table </w:t>
                            </w:r>
                            <w:proofErr w:type="gramStart"/>
                            <w:r w:rsidRPr="008C639B">
                              <w:rPr>
                                <w:b/>
                                <w:bCs/>
                              </w:rPr>
                              <w:t>3  Comparison</w:t>
                            </w:r>
                            <w:proofErr w:type="gramEnd"/>
                            <w:r w:rsidRPr="008C639B">
                              <w:rPr>
                                <w:b/>
                                <w:bCs/>
                              </w:rPr>
                              <w:t xml:space="preserve"> of the complete symptom resolution rates between </w:t>
                            </w:r>
                            <w:proofErr w:type="spellStart"/>
                            <w:r w:rsidRPr="008C639B">
                              <w:rPr>
                                <w:b/>
                                <w:bCs/>
                              </w:rPr>
                              <w:t>dexlansoprazole</w:t>
                            </w:r>
                            <w:proofErr w:type="spellEnd"/>
                            <w:r w:rsidRPr="008C639B">
                              <w:rPr>
                                <w:b/>
                                <w:bCs/>
                              </w:rPr>
                              <w:t xml:space="preserve"> and esomeprazole over one week (Subgroup analysis by gender) </w:t>
                            </w:r>
                            <w:r w:rsidRPr="008C639B">
                              <w:rPr>
                                <w:b/>
                                <w:bCs/>
                                <w:i/>
                                <w:iCs/>
                              </w:rPr>
                              <w:t>n</w:t>
                            </w:r>
                            <w:r w:rsidRPr="008C639B">
                              <w:rPr>
                                <w:b/>
                                <w:bCs/>
                              </w:rPr>
                              <w:t xml:space="preserve"> (%)</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779"/>
                              <w:gridCol w:w="716"/>
                              <w:gridCol w:w="1220"/>
                              <w:gridCol w:w="960"/>
                              <w:gridCol w:w="835"/>
                            </w:tblGrid>
                            <w:tr w:rsidR="00737F2A" w:rsidRPr="008C639B">
                              <w:tblPrEx>
                                <w:tblCellMar>
                                  <w:top w:w="0" w:type="dxa"/>
                                  <w:left w:w="0" w:type="dxa"/>
                                  <w:bottom w:w="0" w:type="dxa"/>
                                  <w:right w:w="0" w:type="dxa"/>
                                </w:tblCellMar>
                              </w:tblPrEx>
                              <w:trPr>
                                <w:trHeight w:hRule="exact" w:val="902"/>
                              </w:trPr>
                              <w:tc>
                                <w:tcPr>
                                  <w:tcW w:w="779"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r w:rsidRPr="008C639B">
                                    <w:rPr>
                                      <w:rFonts w:ascii="Albertus" w:hAnsi="Albertus" w:cs="Albertus"/>
                                      <w:b/>
                                      <w:bCs/>
                                      <w:color w:val="000000"/>
                                      <w:kern w:val="0"/>
                                      <w:sz w:val="14"/>
                                      <w:szCs w:val="14"/>
                                      <w:lang w:val="zh-CN"/>
                                    </w:rPr>
                                    <w:t xml:space="preserve">Time </w:t>
                                  </w:r>
                                </w:p>
                                <w:p w:rsidR="00737F2A" w:rsidRPr="008C639B" w:rsidRDefault="00737F2A" w:rsidP="008C639B">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716"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639B">
                                    <w:rPr>
                                      <w:rFonts w:ascii="Albertus" w:hAnsi="Albertus" w:cs="Albertus"/>
                                      <w:b/>
                                      <w:bCs/>
                                      <w:color w:val="000000"/>
                                      <w:kern w:val="0"/>
                                      <w:sz w:val="14"/>
                                      <w:szCs w:val="14"/>
                                      <w:lang w:val="zh-CN"/>
                                    </w:rPr>
                                    <w:t xml:space="preserve">Gender </w:t>
                                  </w:r>
                                </w:p>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20"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639B">
                                    <w:rPr>
                                      <w:rFonts w:ascii="Albertus" w:hAnsi="Albertus" w:cs="Albertus"/>
                                      <w:b/>
                                      <w:bCs/>
                                      <w:color w:val="000000"/>
                                      <w:kern w:val="0"/>
                                      <w:sz w:val="14"/>
                                      <w:szCs w:val="14"/>
                                      <w:lang w:val="zh-CN"/>
                                    </w:rPr>
                                    <w:t>Dexlansoprazole</w:t>
                                  </w:r>
                                </w:p>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960"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639B">
                                    <w:rPr>
                                      <w:rFonts w:ascii="Albertus" w:hAnsi="Albertus" w:cs="Albertus"/>
                                      <w:b/>
                                      <w:bCs/>
                                      <w:color w:val="000000"/>
                                      <w:kern w:val="0"/>
                                      <w:sz w:val="14"/>
                                      <w:szCs w:val="14"/>
                                      <w:lang w:val="zh-CN"/>
                                    </w:rPr>
                                    <w:t>Esomeprazole</w:t>
                                  </w:r>
                                </w:p>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835"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639B">
                                    <w:rPr>
                                      <w:rFonts w:ascii="Albertus Italic" w:hAnsi="Albertus Italic" w:cs="Albertus Italic"/>
                                      <w:b/>
                                      <w:i/>
                                      <w:iCs/>
                                      <w:color w:val="000000"/>
                                      <w:kern w:val="0"/>
                                      <w:sz w:val="14"/>
                                      <w:szCs w:val="14"/>
                                      <w:lang w:val="zh-CN"/>
                                    </w:rPr>
                                    <w:t>P</w:t>
                                  </w:r>
                                  <w:r w:rsidRPr="008C639B">
                                    <w:rPr>
                                      <w:rFonts w:ascii="Albertus" w:hAnsi="Albertus" w:cs="Albertus"/>
                                      <w:b/>
                                      <w:bCs/>
                                      <w:color w:val="000000"/>
                                      <w:kern w:val="0"/>
                                      <w:sz w:val="14"/>
                                      <w:szCs w:val="14"/>
                                      <w:lang w:val="zh-CN"/>
                                    </w:rPr>
                                    <w:t xml:space="preserve"> value </w:t>
                                  </w:r>
                                </w:p>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737F2A" w:rsidRPr="008C639B">
                              <w:tblPrEx>
                                <w:tblCellMar>
                                  <w:top w:w="0" w:type="dxa"/>
                                  <w:left w:w="0" w:type="dxa"/>
                                  <w:bottom w:w="0" w:type="dxa"/>
                                  <w:right w:w="0" w:type="dxa"/>
                                </w:tblCellMar>
                              </w:tblPrEx>
                              <w:trPr>
                                <w:trHeight w:val="60"/>
                              </w:trPr>
                              <w:tc>
                                <w:tcPr>
                                  <w:tcW w:w="779" w:type="dxa"/>
                                  <w:tcBorders>
                                    <w:top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CSR Day 1</w:t>
                                  </w:r>
                                </w:p>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716" w:type="dxa"/>
                                  <w:tcBorders>
                                    <w:top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 xml:space="preserve">Female </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Borders>
                                    <w:top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13 (27.7)</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60" w:type="dxa"/>
                                  <w:tcBorders>
                                    <w:top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6 (15.8)</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5" w:type="dxa"/>
                                  <w:tcBorders>
                                    <w:top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0.192</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737F2A" w:rsidRPr="008C639B">
                              <w:tblPrEx>
                                <w:tblCellMar>
                                  <w:top w:w="0" w:type="dxa"/>
                                  <w:left w:w="0" w:type="dxa"/>
                                  <w:bottom w:w="0" w:type="dxa"/>
                                  <w:right w:w="0" w:type="dxa"/>
                                </w:tblCellMar>
                              </w:tblPrEx>
                              <w:trPr>
                                <w:trHeight w:val="60"/>
                              </w:trPr>
                              <w:tc>
                                <w:tcPr>
                                  <w:tcW w:w="779" w:type="dxa"/>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Italic" w:hAnsi="Albertus Italic"/>
                                      <w:kern w:val="0"/>
                                      <w:sz w:val="24"/>
                                    </w:rPr>
                                  </w:pPr>
                                </w:p>
                              </w:tc>
                              <w:tc>
                                <w:tcPr>
                                  <w:tcW w:w="716"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 xml:space="preserve">Male </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8 (23.5)</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60"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17 (39.5)</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5"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0.136</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737F2A" w:rsidRPr="008C639B">
                              <w:tblPrEx>
                                <w:tblCellMar>
                                  <w:top w:w="0" w:type="dxa"/>
                                  <w:left w:w="0" w:type="dxa"/>
                                  <w:bottom w:w="0" w:type="dxa"/>
                                  <w:right w:w="0" w:type="dxa"/>
                                </w:tblCellMar>
                              </w:tblPrEx>
                              <w:trPr>
                                <w:trHeight w:val="60"/>
                              </w:trPr>
                              <w:tc>
                                <w:tcPr>
                                  <w:tcW w:w="779"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CSR Day 3</w:t>
                                  </w:r>
                                </w:p>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716"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 xml:space="preserve">Female </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 xml:space="preserve">18 (38.3) </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60"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 xml:space="preserve">7 (18.4) </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5"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0.046</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737F2A" w:rsidRPr="008C639B">
                              <w:tblPrEx>
                                <w:tblCellMar>
                                  <w:top w:w="0" w:type="dxa"/>
                                  <w:left w:w="0" w:type="dxa"/>
                                  <w:bottom w:w="0" w:type="dxa"/>
                                  <w:right w:w="0" w:type="dxa"/>
                                </w:tblCellMar>
                              </w:tblPrEx>
                              <w:trPr>
                                <w:trHeight w:val="60"/>
                              </w:trPr>
                              <w:tc>
                                <w:tcPr>
                                  <w:tcW w:w="779" w:type="dxa"/>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Italic" w:hAnsi="Albertus Italic"/>
                                      <w:kern w:val="0"/>
                                      <w:sz w:val="24"/>
                                    </w:rPr>
                                  </w:pPr>
                                </w:p>
                              </w:tc>
                              <w:tc>
                                <w:tcPr>
                                  <w:tcW w:w="716"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 xml:space="preserve">Male </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9 (26.5)</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60"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19 (44.2)</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5"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0.109</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737F2A" w:rsidRPr="008C639B">
                              <w:tblPrEx>
                                <w:tblCellMar>
                                  <w:top w:w="0" w:type="dxa"/>
                                  <w:left w:w="0" w:type="dxa"/>
                                  <w:bottom w:w="0" w:type="dxa"/>
                                  <w:right w:w="0" w:type="dxa"/>
                                </w:tblCellMar>
                              </w:tblPrEx>
                              <w:trPr>
                                <w:trHeight w:val="60"/>
                              </w:trPr>
                              <w:tc>
                                <w:tcPr>
                                  <w:tcW w:w="779"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CSR Day 7</w:t>
                                  </w:r>
                                </w:p>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716"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 xml:space="preserve">Female </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 xml:space="preserve">26 (55.3) </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60"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 xml:space="preserve">14 (36.8) </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5"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0.090</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737F2A" w:rsidRPr="008C639B">
                              <w:tblPrEx>
                                <w:tblCellMar>
                                  <w:top w:w="0" w:type="dxa"/>
                                  <w:left w:w="0" w:type="dxa"/>
                                  <w:bottom w:w="0" w:type="dxa"/>
                                  <w:right w:w="0" w:type="dxa"/>
                                </w:tblCellMar>
                              </w:tblPrEx>
                              <w:trPr>
                                <w:trHeight w:val="60"/>
                              </w:trPr>
                              <w:tc>
                                <w:tcPr>
                                  <w:tcW w:w="779" w:type="dxa"/>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Italic" w:hAnsi="Albertus Italic"/>
                                      <w:kern w:val="0"/>
                                      <w:sz w:val="24"/>
                                    </w:rPr>
                                  </w:pPr>
                                </w:p>
                              </w:tc>
                              <w:tc>
                                <w:tcPr>
                                  <w:tcW w:w="716"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 xml:space="preserve">Male </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16 (47.1)</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60"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25 (58.1)</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5"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0.333</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737F2A" w:rsidRPr="003D7649" w:rsidRDefault="00737F2A" w:rsidP="00737F2A">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CSR: Complete symptom resolution.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5" o:spid="_x0000_s1028" type="#_x0000_t202" style="position:absolute;left:0;text-align:left;margin-left:0;margin-top:0;width:416.05pt;height:306.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">
                <v:textbox style="mso-fit-shape-to-text:t">
                  <w:txbxContent>
                    <w:p w:rsidR="00737F2A" w:rsidRPr="008C639B" w:rsidRDefault="00737F2A" w:rsidP="00737F2A">
                      <w:pPr>
                        <w:rPr>
                          <w:b/>
                          <w:bCs/>
                        </w:rPr>
                      </w:pPr>
                      <w:r w:rsidRPr="008C639B">
                        <w:rPr>
                          <w:b/>
                          <w:bCs/>
                        </w:rPr>
                        <w:t xml:space="preserve">Table </w:t>
                      </w:r>
                      <w:proofErr w:type="gramStart"/>
                      <w:r w:rsidRPr="008C639B">
                        <w:rPr>
                          <w:b/>
                          <w:bCs/>
                        </w:rPr>
                        <w:t>3  Comparison</w:t>
                      </w:r>
                      <w:proofErr w:type="gramEnd"/>
                      <w:r w:rsidRPr="008C639B">
                        <w:rPr>
                          <w:b/>
                          <w:bCs/>
                        </w:rPr>
                        <w:t xml:space="preserve"> of the complete symptom resolution rates between </w:t>
                      </w:r>
                      <w:proofErr w:type="spellStart"/>
                      <w:r w:rsidRPr="008C639B">
                        <w:rPr>
                          <w:b/>
                          <w:bCs/>
                        </w:rPr>
                        <w:t>dexlansoprazole</w:t>
                      </w:r>
                      <w:proofErr w:type="spellEnd"/>
                      <w:r w:rsidRPr="008C639B">
                        <w:rPr>
                          <w:b/>
                          <w:bCs/>
                        </w:rPr>
                        <w:t xml:space="preserve"> and esomeprazole over one week (Subgroup analysis by gender) </w:t>
                      </w:r>
                      <w:r w:rsidRPr="008C639B">
                        <w:rPr>
                          <w:b/>
                          <w:bCs/>
                          <w:i/>
                          <w:iCs/>
                        </w:rPr>
                        <w:t>n</w:t>
                      </w:r>
                      <w:r w:rsidRPr="008C639B">
                        <w:rPr>
                          <w:b/>
                          <w:bCs/>
                        </w:rPr>
                        <w:t xml:space="preserve"> (%)</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779"/>
                        <w:gridCol w:w="716"/>
                        <w:gridCol w:w="1220"/>
                        <w:gridCol w:w="960"/>
                        <w:gridCol w:w="835"/>
                      </w:tblGrid>
                      <w:tr w:rsidR="00737F2A" w:rsidRPr="008C639B">
                        <w:tblPrEx>
                          <w:tblCellMar>
                            <w:top w:w="0" w:type="dxa"/>
                            <w:left w:w="0" w:type="dxa"/>
                            <w:bottom w:w="0" w:type="dxa"/>
                            <w:right w:w="0" w:type="dxa"/>
                          </w:tblCellMar>
                        </w:tblPrEx>
                        <w:trPr>
                          <w:trHeight w:hRule="exact" w:val="902"/>
                        </w:trPr>
                        <w:tc>
                          <w:tcPr>
                            <w:tcW w:w="779"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r w:rsidRPr="008C639B">
                              <w:rPr>
                                <w:rFonts w:ascii="Albertus" w:hAnsi="Albertus" w:cs="Albertus"/>
                                <w:b/>
                                <w:bCs/>
                                <w:color w:val="000000"/>
                                <w:kern w:val="0"/>
                                <w:sz w:val="14"/>
                                <w:szCs w:val="14"/>
                                <w:lang w:val="zh-CN"/>
                              </w:rPr>
                              <w:t xml:space="preserve">Time </w:t>
                            </w:r>
                          </w:p>
                          <w:p w:rsidR="00737F2A" w:rsidRPr="008C639B" w:rsidRDefault="00737F2A" w:rsidP="008C639B">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716"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639B">
                              <w:rPr>
                                <w:rFonts w:ascii="Albertus" w:hAnsi="Albertus" w:cs="Albertus"/>
                                <w:b/>
                                <w:bCs/>
                                <w:color w:val="000000"/>
                                <w:kern w:val="0"/>
                                <w:sz w:val="14"/>
                                <w:szCs w:val="14"/>
                                <w:lang w:val="zh-CN"/>
                              </w:rPr>
                              <w:t xml:space="preserve">Gender </w:t>
                            </w:r>
                          </w:p>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20"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639B">
                              <w:rPr>
                                <w:rFonts w:ascii="Albertus" w:hAnsi="Albertus" w:cs="Albertus"/>
                                <w:b/>
                                <w:bCs/>
                                <w:color w:val="000000"/>
                                <w:kern w:val="0"/>
                                <w:sz w:val="14"/>
                                <w:szCs w:val="14"/>
                                <w:lang w:val="zh-CN"/>
                              </w:rPr>
                              <w:t>Dexlansoprazole</w:t>
                            </w:r>
                          </w:p>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960"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639B">
                              <w:rPr>
                                <w:rFonts w:ascii="Albertus" w:hAnsi="Albertus" w:cs="Albertus"/>
                                <w:b/>
                                <w:bCs/>
                                <w:color w:val="000000"/>
                                <w:kern w:val="0"/>
                                <w:sz w:val="14"/>
                                <w:szCs w:val="14"/>
                                <w:lang w:val="zh-CN"/>
                              </w:rPr>
                              <w:t>Esomeprazole</w:t>
                            </w:r>
                          </w:p>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835"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639B">
                              <w:rPr>
                                <w:rFonts w:ascii="Albertus Italic" w:hAnsi="Albertus Italic" w:cs="Albertus Italic"/>
                                <w:b/>
                                <w:i/>
                                <w:iCs/>
                                <w:color w:val="000000"/>
                                <w:kern w:val="0"/>
                                <w:sz w:val="14"/>
                                <w:szCs w:val="14"/>
                                <w:lang w:val="zh-CN"/>
                              </w:rPr>
                              <w:t>P</w:t>
                            </w:r>
                            <w:r w:rsidRPr="008C639B">
                              <w:rPr>
                                <w:rFonts w:ascii="Albertus" w:hAnsi="Albertus" w:cs="Albertus"/>
                                <w:b/>
                                <w:bCs/>
                                <w:color w:val="000000"/>
                                <w:kern w:val="0"/>
                                <w:sz w:val="14"/>
                                <w:szCs w:val="14"/>
                                <w:lang w:val="zh-CN"/>
                              </w:rPr>
                              <w:t xml:space="preserve"> value </w:t>
                            </w:r>
                          </w:p>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737F2A" w:rsidRPr="008C639B">
                        <w:tblPrEx>
                          <w:tblCellMar>
                            <w:top w:w="0" w:type="dxa"/>
                            <w:left w:w="0" w:type="dxa"/>
                            <w:bottom w:w="0" w:type="dxa"/>
                            <w:right w:w="0" w:type="dxa"/>
                          </w:tblCellMar>
                        </w:tblPrEx>
                        <w:trPr>
                          <w:trHeight w:val="60"/>
                        </w:trPr>
                        <w:tc>
                          <w:tcPr>
                            <w:tcW w:w="779" w:type="dxa"/>
                            <w:tcBorders>
                              <w:top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CSR Day 1</w:t>
                            </w:r>
                          </w:p>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716" w:type="dxa"/>
                            <w:tcBorders>
                              <w:top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 xml:space="preserve">Female </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Borders>
                              <w:top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13 (27.7)</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60" w:type="dxa"/>
                            <w:tcBorders>
                              <w:top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6 (15.8)</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5" w:type="dxa"/>
                            <w:tcBorders>
                              <w:top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0.192</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737F2A" w:rsidRPr="008C639B">
                        <w:tblPrEx>
                          <w:tblCellMar>
                            <w:top w:w="0" w:type="dxa"/>
                            <w:left w:w="0" w:type="dxa"/>
                            <w:bottom w:w="0" w:type="dxa"/>
                            <w:right w:w="0" w:type="dxa"/>
                          </w:tblCellMar>
                        </w:tblPrEx>
                        <w:trPr>
                          <w:trHeight w:val="60"/>
                        </w:trPr>
                        <w:tc>
                          <w:tcPr>
                            <w:tcW w:w="779" w:type="dxa"/>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Italic" w:hAnsi="Albertus Italic"/>
                                <w:kern w:val="0"/>
                                <w:sz w:val="24"/>
                              </w:rPr>
                            </w:pPr>
                          </w:p>
                        </w:tc>
                        <w:tc>
                          <w:tcPr>
                            <w:tcW w:w="716"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 xml:space="preserve">Male </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8 (23.5)</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60"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17 (39.5)</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5"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0.136</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737F2A" w:rsidRPr="008C639B">
                        <w:tblPrEx>
                          <w:tblCellMar>
                            <w:top w:w="0" w:type="dxa"/>
                            <w:left w:w="0" w:type="dxa"/>
                            <w:bottom w:w="0" w:type="dxa"/>
                            <w:right w:w="0" w:type="dxa"/>
                          </w:tblCellMar>
                        </w:tblPrEx>
                        <w:trPr>
                          <w:trHeight w:val="60"/>
                        </w:trPr>
                        <w:tc>
                          <w:tcPr>
                            <w:tcW w:w="779"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CSR Day 3</w:t>
                            </w:r>
                          </w:p>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716"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 xml:space="preserve">Female </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 xml:space="preserve">18 (38.3) </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60"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 xml:space="preserve">7 (18.4) </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5"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0.046</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737F2A" w:rsidRPr="008C639B">
                        <w:tblPrEx>
                          <w:tblCellMar>
                            <w:top w:w="0" w:type="dxa"/>
                            <w:left w:w="0" w:type="dxa"/>
                            <w:bottom w:w="0" w:type="dxa"/>
                            <w:right w:w="0" w:type="dxa"/>
                          </w:tblCellMar>
                        </w:tblPrEx>
                        <w:trPr>
                          <w:trHeight w:val="60"/>
                        </w:trPr>
                        <w:tc>
                          <w:tcPr>
                            <w:tcW w:w="779" w:type="dxa"/>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Italic" w:hAnsi="Albertus Italic"/>
                                <w:kern w:val="0"/>
                                <w:sz w:val="24"/>
                              </w:rPr>
                            </w:pPr>
                          </w:p>
                        </w:tc>
                        <w:tc>
                          <w:tcPr>
                            <w:tcW w:w="716"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 xml:space="preserve">Male </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9 (26.5)</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60"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19 (44.2)</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5"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0.109</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737F2A" w:rsidRPr="008C639B">
                        <w:tblPrEx>
                          <w:tblCellMar>
                            <w:top w:w="0" w:type="dxa"/>
                            <w:left w:w="0" w:type="dxa"/>
                            <w:bottom w:w="0" w:type="dxa"/>
                            <w:right w:w="0" w:type="dxa"/>
                          </w:tblCellMar>
                        </w:tblPrEx>
                        <w:trPr>
                          <w:trHeight w:val="60"/>
                        </w:trPr>
                        <w:tc>
                          <w:tcPr>
                            <w:tcW w:w="779"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CSR Day 7</w:t>
                            </w:r>
                          </w:p>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716"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 xml:space="preserve">Female </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 xml:space="preserve">26 (55.3) </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60"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 xml:space="preserve">14 (36.8) </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5"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0.090</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737F2A" w:rsidRPr="008C639B">
                        <w:tblPrEx>
                          <w:tblCellMar>
                            <w:top w:w="0" w:type="dxa"/>
                            <w:left w:w="0" w:type="dxa"/>
                            <w:bottom w:w="0" w:type="dxa"/>
                            <w:right w:w="0" w:type="dxa"/>
                          </w:tblCellMar>
                        </w:tblPrEx>
                        <w:trPr>
                          <w:trHeight w:val="60"/>
                        </w:trPr>
                        <w:tc>
                          <w:tcPr>
                            <w:tcW w:w="779" w:type="dxa"/>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Italic" w:hAnsi="Albertus Italic"/>
                                <w:kern w:val="0"/>
                                <w:sz w:val="24"/>
                              </w:rPr>
                            </w:pPr>
                          </w:p>
                        </w:tc>
                        <w:tc>
                          <w:tcPr>
                            <w:tcW w:w="716"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 xml:space="preserve">Male </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16 (47.1)</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960"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25 (58.1)</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835"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0.333</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737F2A" w:rsidRPr="003D7649" w:rsidRDefault="00737F2A" w:rsidP="00737F2A">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CSR: Complete symptom resolution.</w:t>
                      </w:r>
                    </w:p>
                  </w:txbxContent>
                </v:textbox>
                <w10:wrap type="square"/>
              </v:shape>
            </w:pict>
          </mc:Fallback>
        </mc:AlternateContent>
      </w:r>
    </w:p>
    <w:p w:rsidR="00737F2A" w:rsidRDefault="00737F2A" w:rsidP="00737F2A">
      <w:pPr>
        <w:rPr>
          <w:rFonts w:hint="eastAsia"/>
        </w:rPr>
      </w:pPr>
    </w:p>
    <w:p w:rsidR="00737F2A" w:rsidRDefault="00737F2A" w:rsidP="00737F2A">
      <w:pPr>
        <w:rPr>
          <w:rFonts w:hint="eastAsia"/>
        </w:rPr>
      </w:pPr>
    </w:p>
    <w:p w:rsidR="00737F2A" w:rsidRDefault="00737F2A" w:rsidP="00737F2A">
      <w:pPr>
        <w:rPr>
          <w:rFonts w:hint="eastAsia"/>
        </w:rPr>
      </w:pPr>
    </w:p>
    <w:p w:rsidR="00737F2A" w:rsidRDefault="00737F2A" w:rsidP="00737F2A">
      <w:pPr>
        <w:rPr>
          <w:rFonts w:hint="eastAsia"/>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283835" cy="3765550"/>
                <wp:effectExtent l="9525" t="9525" r="12065" b="6350"/>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3765550"/>
                        </a:xfrm>
                        <a:prstGeom prst="rect">
                          <a:avLst/>
                        </a:prstGeom>
                        <a:solidFill>
                          <a:srgbClr val="FFFFFF"/>
                        </a:solidFill>
                        <a:ln w="9525">
                          <a:solidFill>
                            <a:srgbClr val="000000"/>
                          </a:solidFill>
                          <a:miter lim="800000"/>
                          <a:headEnd/>
                          <a:tailEnd/>
                        </a:ln>
                      </wps:spPr>
                      <wps:txbx>
                        <w:txbxContent>
                          <w:p w:rsidR="00737F2A" w:rsidRPr="008C639B" w:rsidRDefault="00737F2A" w:rsidP="00737F2A">
                            <w:pPr>
                              <w:rPr>
                                <w:b/>
                                <w:bCs/>
                              </w:rPr>
                            </w:pPr>
                            <w:r w:rsidRPr="008C639B">
                              <w:rPr>
                                <w:b/>
                                <w:bCs/>
                              </w:rPr>
                              <w:t xml:space="preserve">Table </w:t>
                            </w:r>
                            <w:proofErr w:type="gramStart"/>
                            <w:r w:rsidRPr="008C639B">
                              <w:rPr>
                                <w:b/>
                                <w:bCs/>
                              </w:rPr>
                              <w:t>4  Multivariate</w:t>
                            </w:r>
                            <w:proofErr w:type="gramEnd"/>
                            <w:r w:rsidRPr="008C639B">
                              <w:rPr>
                                <w:b/>
                                <w:bCs/>
                              </w:rPr>
                              <w:t xml:space="preserve"> analysis of the clinical factors predictive of complete symptom resolution within one week based on </w:t>
                            </w:r>
                            <w:proofErr w:type="spellStart"/>
                            <w:r w:rsidRPr="008C639B">
                              <w:rPr>
                                <w:b/>
                                <w:bCs/>
                              </w:rPr>
                              <w:t>dexlansoprazole</w:t>
                            </w:r>
                            <w:proofErr w:type="spellEnd"/>
                            <w:r w:rsidRPr="008C639B">
                              <w:rPr>
                                <w:b/>
                                <w:bCs/>
                              </w:rPr>
                              <w:t xml:space="preserve"> and esomeprazole administration</w:t>
                            </w:r>
                          </w:p>
                          <w:tbl>
                            <w:tblPr>
                              <w:tblW w:w="9514"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361"/>
                              <w:gridCol w:w="1249"/>
                              <w:gridCol w:w="1361"/>
                              <w:gridCol w:w="1356"/>
                              <w:gridCol w:w="1657"/>
                              <w:gridCol w:w="1462"/>
                              <w:gridCol w:w="1068"/>
                            </w:tblGrid>
                            <w:tr w:rsidR="00737F2A" w:rsidRPr="008C639B">
                              <w:tblPrEx>
                                <w:tblCellMar>
                                  <w:top w:w="0" w:type="dxa"/>
                                  <w:left w:w="0" w:type="dxa"/>
                                  <w:bottom w:w="0" w:type="dxa"/>
                                  <w:right w:w="0" w:type="dxa"/>
                                </w:tblCellMar>
                              </w:tblPrEx>
                              <w:trPr>
                                <w:trHeight w:hRule="exact" w:val="697"/>
                              </w:trPr>
                              <w:tc>
                                <w:tcPr>
                                  <w:tcW w:w="1361"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r w:rsidRPr="008C639B">
                                    <w:rPr>
                                      <w:rFonts w:ascii="Albertus" w:hAnsi="Albertus" w:cs="Albertus"/>
                                      <w:b/>
                                      <w:bCs/>
                                      <w:color w:val="000000"/>
                                      <w:kern w:val="0"/>
                                      <w:sz w:val="14"/>
                                      <w:szCs w:val="14"/>
                                      <w:lang w:val="zh-CN"/>
                                    </w:rPr>
                                    <w:t xml:space="preserve">Time </w:t>
                                  </w:r>
                                </w:p>
                                <w:p w:rsidR="00737F2A" w:rsidRPr="008C639B" w:rsidRDefault="00737F2A" w:rsidP="008C639B">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1249"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639B">
                                    <w:rPr>
                                      <w:rFonts w:ascii="Albertus" w:hAnsi="Albertus" w:cs="Albertus"/>
                                      <w:b/>
                                      <w:bCs/>
                                      <w:color w:val="000000"/>
                                      <w:kern w:val="0"/>
                                      <w:sz w:val="14"/>
                                      <w:szCs w:val="14"/>
                                      <w:lang w:val="zh-CN"/>
                                    </w:rPr>
                                    <w:t>PPI</w:t>
                                  </w:r>
                                </w:p>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361"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639B">
                                    <w:rPr>
                                      <w:rFonts w:ascii="Albertus" w:hAnsi="Albertus" w:cs="Albertus"/>
                                      <w:b/>
                                      <w:bCs/>
                                      <w:color w:val="000000"/>
                                      <w:kern w:val="0"/>
                                      <w:sz w:val="14"/>
                                      <w:szCs w:val="14"/>
                                      <w:lang w:val="zh-CN"/>
                                    </w:rPr>
                                    <w:t>Clinical factors</w:t>
                                  </w:r>
                                </w:p>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356"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639B">
                                    <w:rPr>
                                      <w:rFonts w:ascii="Albertus" w:hAnsi="Albertus" w:cs="Albertus"/>
                                      <w:b/>
                                      <w:bCs/>
                                      <w:color w:val="000000"/>
                                      <w:kern w:val="0"/>
                                      <w:sz w:val="14"/>
                                      <w:szCs w:val="14"/>
                                      <w:lang w:val="zh-CN"/>
                                    </w:rPr>
                                    <w:t>CSR</w:t>
                                  </w:r>
                                </w:p>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657"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639B">
                                    <w:rPr>
                                      <w:rFonts w:ascii="Albertus" w:hAnsi="Albertus" w:cs="Albertus"/>
                                      <w:b/>
                                      <w:bCs/>
                                      <w:color w:val="000000"/>
                                      <w:kern w:val="0"/>
                                      <w:sz w:val="14"/>
                                      <w:szCs w:val="14"/>
                                      <w:lang w:val="zh-CN"/>
                                    </w:rPr>
                                    <w:t>Coefficient of variation</w:t>
                                  </w:r>
                                </w:p>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462"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639B">
                                    <w:rPr>
                                      <w:rFonts w:ascii="Albertus" w:hAnsi="Albertus" w:cs="Albertus"/>
                                      <w:b/>
                                      <w:bCs/>
                                      <w:color w:val="000000"/>
                                      <w:kern w:val="0"/>
                                      <w:sz w:val="14"/>
                                      <w:szCs w:val="14"/>
                                      <w:lang w:val="zh-CN"/>
                                    </w:rPr>
                                    <w:t>Odds ratio (95%CI)</w:t>
                                  </w:r>
                                </w:p>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068"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639B">
                                    <w:rPr>
                                      <w:rFonts w:ascii="Albertus Bold Italic" w:hAnsi="Albertus Bold Italic" w:cs="Albertus Bold Italic"/>
                                      <w:b/>
                                      <w:bCs/>
                                      <w:i/>
                                      <w:iCs/>
                                      <w:color w:val="000000"/>
                                      <w:kern w:val="0"/>
                                      <w:sz w:val="14"/>
                                      <w:szCs w:val="14"/>
                                      <w:lang w:val="zh-CN"/>
                                    </w:rPr>
                                    <w:t>P</w:t>
                                  </w:r>
                                  <w:r w:rsidRPr="008C639B">
                                    <w:rPr>
                                      <w:rFonts w:ascii="Albertus" w:hAnsi="Albertus" w:cs="Albertus"/>
                                      <w:b/>
                                      <w:bCs/>
                                      <w:color w:val="000000"/>
                                      <w:kern w:val="0"/>
                                      <w:sz w:val="14"/>
                                      <w:szCs w:val="14"/>
                                      <w:lang w:val="zh-CN"/>
                                    </w:rPr>
                                    <w:t xml:space="preserve"> value</w:t>
                                  </w:r>
                                </w:p>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737F2A" w:rsidRPr="008C639B">
                              <w:tblPrEx>
                                <w:tblCellMar>
                                  <w:top w:w="0" w:type="dxa"/>
                                  <w:left w:w="0" w:type="dxa"/>
                                  <w:bottom w:w="0" w:type="dxa"/>
                                  <w:right w:w="0" w:type="dxa"/>
                                </w:tblCellMar>
                              </w:tblPrEx>
                              <w:trPr>
                                <w:trHeight w:val="60"/>
                              </w:trPr>
                              <w:tc>
                                <w:tcPr>
                                  <w:tcW w:w="1361" w:type="dxa"/>
                                  <w:vMerge w:val="restart"/>
                                  <w:tcBorders>
                                    <w:top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Day 1</w:t>
                                  </w:r>
                                </w:p>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49" w:type="dxa"/>
                                  <w:tcBorders>
                                    <w:top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Dexlansoprazole</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361" w:type="dxa"/>
                                  <w:tcBorders>
                                    <w:top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Null</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356" w:type="dxa"/>
                                  <w:tcBorders>
                                    <w:top w:val="single" w:sz="6" w:space="0" w:color="000000"/>
                                  </w:tcBorders>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Bold Italic" w:hAnsi="Albertus Bold Italic"/>
                                      <w:kern w:val="0"/>
                                      <w:sz w:val="24"/>
                                    </w:rPr>
                                  </w:pPr>
                                </w:p>
                              </w:tc>
                              <w:tc>
                                <w:tcPr>
                                  <w:tcW w:w="1657" w:type="dxa"/>
                                  <w:tcBorders>
                                    <w:top w:val="single" w:sz="6" w:space="0" w:color="000000"/>
                                  </w:tcBorders>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Bold Italic" w:hAnsi="Albertus Bold Italic"/>
                                      <w:kern w:val="0"/>
                                      <w:sz w:val="24"/>
                                    </w:rPr>
                                  </w:pPr>
                                </w:p>
                              </w:tc>
                              <w:tc>
                                <w:tcPr>
                                  <w:tcW w:w="1462" w:type="dxa"/>
                                  <w:tcBorders>
                                    <w:top w:val="single" w:sz="6" w:space="0" w:color="000000"/>
                                  </w:tcBorders>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Bold Italic" w:hAnsi="Albertus Bold Italic"/>
                                      <w:kern w:val="0"/>
                                      <w:sz w:val="24"/>
                                    </w:rPr>
                                  </w:pPr>
                                </w:p>
                              </w:tc>
                              <w:tc>
                                <w:tcPr>
                                  <w:tcW w:w="1068" w:type="dxa"/>
                                  <w:tcBorders>
                                    <w:top w:val="single" w:sz="6" w:space="0" w:color="000000"/>
                                  </w:tcBorders>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Bold Italic" w:hAnsi="Albertus Bold Italic"/>
                                      <w:kern w:val="0"/>
                                      <w:sz w:val="24"/>
                                    </w:rPr>
                                  </w:pPr>
                                </w:p>
                              </w:tc>
                            </w:tr>
                            <w:tr w:rsidR="00737F2A" w:rsidRPr="008C639B">
                              <w:tblPrEx>
                                <w:tblCellMar>
                                  <w:top w:w="0" w:type="dxa"/>
                                  <w:left w:w="0" w:type="dxa"/>
                                  <w:bottom w:w="0" w:type="dxa"/>
                                  <w:right w:w="0" w:type="dxa"/>
                                </w:tblCellMar>
                              </w:tblPrEx>
                              <w:trPr>
                                <w:trHeight w:val="60"/>
                              </w:trPr>
                              <w:tc>
                                <w:tcPr>
                                  <w:tcW w:w="1361" w:type="dxa"/>
                                  <w:vMerge/>
                                </w:tcPr>
                                <w:p w:rsidR="00737F2A" w:rsidRPr="008C639B" w:rsidRDefault="00737F2A" w:rsidP="008C639B">
                                  <w:pPr>
                                    <w:autoSpaceDE w:val="0"/>
                                    <w:autoSpaceDN w:val="0"/>
                                    <w:adjustRightInd w:val="0"/>
                                    <w:jc w:val="left"/>
                                    <w:rPr>
                                      <w:rFonts w:ascii="Albertus Bold Italic" w:hAnsi="Albertus Bold Italic"/>
                                      <w:kern w:val="0"/>
                                      <w:sz w:val="24"/>
                                    </w:rPr>
                                  </w:pPr>
                                </w:p>
                              </w:tc>
                              <w:tc>
                                <w:tcPr>
                                  <w:tcW w:w="1249"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Esomeprazole</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361"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Female</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356"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15.80%</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65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-1.249 ± 0.543</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462"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0.285 (0.103-0.789)</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68"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0.022</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737F2A" w:rsidRPr="008C639B">
                              <w:tblPrEx>
                                <w:tblCellMar>
                                  <w:top w:w="0" w:type="dxa"/>
                                  <w:left w:w="0" w:type="dxa"/>
                                  <w:bottom w:w="0" w:type="dxa"/>
                                  <w:right w:w="0" w:type="dxa"/>
                                </w:tblCellMar>
                              </w:tblPrEx>
                              <w:trPr>
                                <w:trHeight w:val="60"/>
                              </w:trPr>
                              <w:tc>
                                <w:tcPr>
                                  <w:tcW w:w="1361" w:type="dxa"/>
                                  <w:vMerge w:val="restart"/>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Day 3</w:t>
                                  </w:r>
                                </w:p>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49"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Dexlansoprazole</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361"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Null</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356" w:type="dxa"/>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Bold Italic" w:hAnsi="Albertus Bold Italic"/>
                                      <w:kern w:val="0"/>
                                      <w:sz w:val="24"/>
                                    </w:rPr>
                                  </w:pPr>
                                </w:p>
                              </w:tc>
                              <w:tc>
                                <w:tcPr>
                                  <w:tcW w:w="1657" w:type="dxa"/>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Bold Italic" w:hAnsi="Albertus Bold Italic"/>
                                      <w:kern w:val="0"/>
                                      <w:sz w:val="24"/>
                                    </w:rPr>
                                  </w:pPr>
                                </w:p>
                              </w:tc>
                              <w:tc>
                                <w:tcPr>
                                  <w:tcW w:w="1462" w:type="dxa"/>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Bold Italic" w:hAnsi="Albertus Bold Italic"/>
                                      <w:kern w:val="0"/>
                                      <w:sz w:val="24"/>
                                    </w:rPr>
                                  </w:pPr>
                                </w:p>
                              </w:tc>
                              <w:tc>
                                <w:tcPr>
                                  <w:tcW w:w="1068" w:type="dxa"/>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Bold Italic" w:hAnsi="Albertus Bold Italic"/>
                                      <w:kern w:val="0"/>
                                      <w:sz w:val="24"/>
                                    </w:rPr>
                                  </w:pPr>
                                </w:p>
                              </w:tc>
                            </w:tr>
                            <w:tr w:rsidR="00737F2A" w:rsidRPr="008C639B">
                              <w:tblPrEx>
                                <w:tblCellMar>
                                  <w:top w:w="0" w:type="dxa"/>
                                  <w:left w:w="0" w:type="dxa"/>
                                  <w:bottom w:w="0" w:type="dxa"/>
                                  <w:right w:w="0" w:type="dxa"/>
                                </w:tblCellMar>
                              </w:tblPrEx>
                              <w:trPr>
                                <w:trHeight w:val="60"/>
                              </w:trPr>
                              <w:tc>
                                <w:tcPr>
                                  <w:tcW w:w="1361" w:type="dxa"/>
                                  <w:vMerge/>
                                </w:tcPr>
                                <w:p w:rsidR="00737F2A" w:rsidRPr="008C639B" w:rsidRDefault="00737F2A" w:rsidP="008C639B">
                                  <w:pPr>
                                    <w:autoSpaceDE w:val="0"/>
                                    <w:autoSpaceDN w:val="0"/>
                                    <w:adjustRightInd w:val="0"/>
                                    <w:jc w:val="left"/>
                                    <w:rPr>
                                      <w:rFonts w:ascii="Albertus Bold Italic" w:hAnsi="Albertus Bold Italic"/>
                                      <w:kern w:val="0"/>
                                      <w:sz w:val="24"/>
                                    </w:rPr>
                                  </w:pPr>
                                </w:p>
                              </w:tc>
                              <w:tc>
                                <w:tcPr>
                                  <w:tcW w:w="1249"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Esomeprazole</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361"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Female</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356"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18.40%</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65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-1.254 ± 0.519</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462"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0.287 (0.099-0.832)</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68"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0.016</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737F2A" w:rsidRPr="008C639B">
                              <w:tblPrEx>
                                <w:tblCellMar>
                                  <w:top w:w="0" w:type="dxa"/>
                                  <w:left w:w="0" w:type="dxa"/>
                                  <w:bottom w:w="0" w:type="dxa"/>
                                  <w:right w:w="0" w:type="dxa"/>
                                </w:tblCellMar>
                              </w:tblPrEx>
                              <w:trPr>
                                <w:trHeight w:val="60"/>
                              </w:trPr>
                              <w:tc>
                                <w:tcPr>
                                  <w:tcW w:w="1361" w:type="dxa"/>
                                  <w:vMerge w:val="restart"/>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Day 7</w:t>
                                  </w:r>
                                </w:p>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49"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Dexlansoprazole</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361"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Null</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356" w:type="dxa"/>
                                  <w:vMerge w:val="restart"/>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Bold Italic" w:hAnsi="Albertus Bold Italic"/>
                                      <w:kern w:val="0"/>
                                      <w:sz w:val="24"/>
                                    </w:rPr>
                                  </w:pPr>
                                </w:p>
                              </w:tc>
                              <w:tc>
                                <w:tcPr>
                                  <w:tcW w:w="1657" w:type="dxa"/>
                                  <w:vMerge w:val="restart"/>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Bold Italic" w:hAnsi="Albertus Bold Italic"/>
                                      <w:kern w:val="0"/>
                                      <w:sz w:val="24"/>
                                    </w:rPr>
                                  </w:pPr>
                                </w:p>
                              </w:tc>
                              <w:tc>
                                <w:tcPr>
                                  <w:tcW w:w="1462" w:type="dxa"/>
                                  <w:vMerge w:val="restart"/>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Bold Italic" w:hAnsi="Albertus Bold Italic"/>
                                      <w:kern w:val="0"/>
                                      <w:sz w:val="24"/>
                                    </w:rPr>
                                  </w:pPr>
                                </w:p>
                              </w:tc>
                              <w:tc>
                                <w:tcPr>
                                  <w:tcW w:w="1068" w:type="dxa"/>
                                  <w:vMerge w:val="restart"/>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Bold Italic" w:hAnsi="Albertus Bold Italic"/>
                                      <w:kern w:val="0"/>
                                      <w:sz w:val="24"/>
                                    </w:rPr>
                                  </w:pPr>
                                </w:p>
                              </w:tc>
                            </w:tr>
                            <w:tr w:rsidR="00737F2A" w:rsidRPr="008C639B">
                              <w:tblPrEx>
                                <w:tblCellMar>
                                  <w:top w:w="0" w:type="dxa"/>
                                  <w:left w:w="0" w:type="dxa"/>
                                  <w:bottom w:w="0" w:type="dxa"/>
                                  <w:right w:w="0" w:type="dxa"/>
                                </w:tblCellMar>
                              </w:tblPrEx>
                              <w:trPr>
                                <w:trHeight w:val="60"/>
                              </w:trPr>
                              <w:tc>
                                <w:tcPr>
                                  <w:tcW w:w="1361" w:type="dxa"/>
                                  <w:vMerge/>
                                </w:tcPr>
                                <w:p w:rsidR="00737F2A" w:rsidRPr="008C639B" w:rsidRDefault="00737F2A" w:rsidP="008C639B">
                                  <w:pPr>
                                    <w:autoSpaceDE w:val="0"/>
                                    <w:autoSpaceDN w:val="0"/>
                                    <w:adjustRightInd w:val="0"/>
                                    <w:jc w:val="left"/>
                                    <w:rPr>
                                      <w:rFonts w:ascii="Albertus Bold Italic" w:hAnsi="Albertus Bold Italic"/>
                                      <w:kern w:val="0"/>
                                      <w:sz w:val="24"/>
                                    </w:rPr>
                                  </w:pPr>
                                </w:p>
                              </w:tc>
                              <w:tc>
                                <w:tcPr>
                                  <w:tcW w:w="1249"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Esomeprazole</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361"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Null</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356" w:type="dxa"/>
                                  <w:vMerge/>
                                </w:tcPr>
                                <w:p w:rsidR="00737F2A" w:rsidRPr="008C639B" w:rsidRDefault="00737F2A" w:rsidP="008C639B">
                                  <w:pPr>
                                    <w:autoSpaceDE w:val="0"/>
                                    <w:autoSpaceDN w:val="0"/>
                                    <w:adjustRightInd w:val="0"/>
                                    <w:jc w:val="left"/>
                                    <w:rPr>
                                      <w:rFonts w:ascii="Albertus Bold Italic" w:hAnsi="Albertus Bold Italic"/>
                                      <w:kern w:val="0"/>
                                      <w:sz w:val="24"/>
                                    </w:rPr>
                                  </w:pPr>
                                </w:p>
                              </w:tc>
                              <w:tc>
                                <w:tcPr>
                                  <w:tcW w:w="1657" w:type="dxa"/>
                                  <w:vMerge/>
                                </w:tcPr>
                                <w:p w:rsidR="00737F2A" w:rsidRPr="008C639B" w:rsidRDefault="00737F2A" w:rsidP="008C639B">
                                  <w:pPr>
                                    <w:autoSpaceDE w:val="0"/>
                                    <w:autoSpaceDN w:val="0"/>
                                    <w:adjustRightInd w:val="0"/>
                                    <w:jc w:val="left"/>
                                    <w:rPr>
                                      <w:rFonts w:ascii="Albertus Bold Italic" w:hAnsi="Albertus Bold Italic"/>
                                      <w:kern w:val="0"/>
                                      <w:sz w:val="24"/>
                                    </w:rPr>
                                  </w:pPr>
                                </w:p>
                              </w:tc>
                              <w:tc>
                                <w:tcPr>
                                  <w:tcW w:w="1462" w:type="dxa"/>
                                  <w:vMerge/>
                                </w:tcPr>
                                <w:p w:rsidR="00737F2A" w:rsidRPr="008C639B" w:rsidRDefault="00737F2A" w:rsidP="008C639B">
                                  <w:pPr>
                                    <w:autoSpaceDE w:val="0"/>
                                    <w:autoSpaceDN w:val="0"/>
                                    <w:adjustRightInd w:val="0"/>
                                    <w:jc w:val="left"/>
                                    <w:rPr>
                                      <w:rFonts w:ascii="Albertus Bold Italic" w:hAnsi="Albertus Bold Italic"/>
                                      <w:kern w:val="0"/>
                                      <w:sz w:val="24"/>
                                    </w:rPr>
                                  </w:pPr>
                                </w:p>
                              </w:tc>
                              <w:tc>
                                <w:tcPr>
                                  <w:tcW w:w="1068" w:type="dxa"/>
                                  <w:vMerge/>
                                </w:tcPr>
                                <w:p w:rsidR="00737F2A" w:rsidRPr="008C639B" w:rsidRDefault="00737F2A" w:rsidP="008C639B">
                                  <w:pPr>
                                    <w:autoSpaceDE w:val="0"/>
                                    <w:autoSpaceDN w:val="0"/>
                                    <w:adjustRightInd w:val="0"/>
                                    <w:jc w:val="left"/>
                                    <w:rPr>
                                      <w:rFonts w:ascii="Albertus Bold Italic" w:hAnsi="Albertus Bold Italic"/>
                                      <w:kern w:val="0"/>
                                      <w:sz w:val="24"/>
                                    </w:rPr>
                                  </w:pPr>
                                </w:p>
                              </w:tc>
                            </w:tr>
                          </w:tbl>
                          <w:p w:rsidR="00737F2A" w:rsidRPr="005F69B5" w:rsidRDefault="00737F2A" w:rsidP="00737F2A">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 xml:space="preserve">CSR: Complete symptom resolution; PPI: Proton </w:t>
                            </w:r>
                            <w:proofErr w:type="gramStart"/>
                            <w:r w:rsidRPr="008C639B">
                              <w:rPr>
                                <w:rFonts w:ascii="Book Antiqua" w:hAnsi="Book Antiqua" w:cs="Book Antiqua"/>
                                <w:bCs/>
                                <w:color w:val="000000"/>
                                <w:kern w:val="0"/>
                                <w:sz w:val="14"/>
                                <w:szCs w:val="14"/>
                              </w:rPr>
                              <w:t>pump</w:t>
                            </w:r>
                            <w:proofErr w:type="gramEnd"/>
                            <w:r w:rsidRPr="008C639B">
                              <w:rPr>
                                <w:rFonts w:ascii="Book Antiqua" w:hAnsi="Book Antiqua" w:cs="Book Antiqua"/>
                                <w:bCs/>
                                <w:color w:val="000000"/>
                                <w:kern w:val="0"/>
                                <w:sz w:val="14"/>
                                <w:szCs w:val="14"/>
                              </w:rPr>
                              <w:t xml:space="preserve"> inhibitor.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 o:spid="_x0000_s1029" type="#_x0000_t202" style="position:absolute;left:0;text-align:left;margin-left:0;margin-top:0;width:416.05pt;height:296.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">
                <v:textbox style="mso-fit-shape-to-text:t">
                  <w:txbxContent>
                    <w:p w:rsidR="00737F2A" w:rsidRPr="008C639B" w:rsidRDefault="00737F2A" w:rsidP="00737F2A">
                      <w:pPr>
                        <w:rPr>
                          <w:b/>
                          <w:bCs/>
                        </w:rPr>
                      </w:pPr>
                      <w:r w:rsidRPr="008C639B">
                        <w:rPr>
                          <w:b/>
                          <w:bCs/>
                        </w:rPr>
                        <w:t xml:space="preserve">Table </w:t>
                      </w:r>
                      <w:proofErr w:type="gramStart"/>
                      <w:r w:rsidRPr="008C639B">
                        <w:rPr>
                          <w:b/>
                          <w:bCs/>
                        </w:rPr>
                        <w:t>4  Multivariate</w:t>
                      </w:r>
                      <w:proofErr w:type="gramEnd"/>
                      <w:r w:rsidRPr="008C639B">
                        <w:rPr>
                          <w:b/>
                          <w:bCs/>
                        </w:rPr>
                        <w:t xml:space="preserve"> analysis of the clinical factors predictive of complete symptom resolution within one week based on </w:t>
                      </w:r>
                      <w:proofErr w:type="spellStart"/>
                      <w:r w:rsidRPr="008C639B">
                        <w:rPr>
                          <w:b/>
                          <w:bCs/>
                        </w:rPr>
                        <w:t>dexlansoprazole</w:t>
                      </w:r>
                      <w:proofErr w:type="spellEnd"/>
                      <w:r w:rsidRPr="008C639B">
                        <w:rPr>
                          <w:b/>
                          <w:bCs/>
                        </w:rPr>
                        <w:t xml:space="preserve"> and esomeprazole administration</w:t>
                      </w:r>
                    </w:p>
                    <w:tbl>
                      <w:tblPr>
                        <w:tblW w:w="9514"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361"/>
                        <w:gridCol w:w="1249"/>
                        <w:gridCol w:w="1361"/>
                        <w:gridCol w:w="1356"/>
                        <w:gridCol w:w="1657"/>
                        <w:gridCol w:w="1462"/>
                        <w:gridCol w:w="1068"/>
                      </w:tblGrid>
                      <w:tr w:rsidR="00737F2A" w:rsidRPr="008C639B">
                        <w:tblPrEx>
                          <w:tblCellMar>
                            <w:top w:w="0" w:type="dxa"/>
                            <w:left w:w="0" w:type="dxa"/>
                            <w:bottom w:w="0" w:type="dxa"/>
                            <w:right w:w="0" w:type="dxa"/>
                          </w:tblCellMar>
                        </w:tblPrEx>
                        <w:trPr>
                          <w:trHeight w:hRule="exact" w:val="697"/>
                        </w:trPr>
                        <w:tc>
                          <w:tcPr>
                            <w:tcW w:w="1361"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r w:rsidRPr="008C639B">
                              <w:rPr>
                                <w:rFonts w:ascii="Albertus" w:hAnsi="Albertus" w:cs="Albertus"/>
                                <w:b/>
                                <w:bCs/>
                                <w:color w:val="000000"/>
                                <w:kern w:val="0"/>
                                <w:sz w:val="14"/>
                                <w:szCs w:val="14"/>
                                <w:lang w:val="zh-CN"/>
                              </w:rPr>
                              <w:t xml:space="preserve">Time </w:t>
                            </w:r>
                          </w:p>
                          <w:p w:rsidR="00737F2A" w:rsidRPr="008C639B" w:rsidRDefault="00737F2A" w:rsidP="008C639B">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1249"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639B">
                              <w:rPr>
                                <w:rFonts w:ascii="Albertus" w:hAnsi="Albertus" w:cs="Albertus"/>
                                <w:b/>
                                <w:bCs/>
                                <w:color w:val="000000"/>
                                <w:kern w:val="0"/>
                                <w:sz w:val="14"/>
                                <w:szCs w:val="14"/>
                                <w:lang w:val="zh-CN"/>
                              </w:rPr>
                              <w:t>PPI</w:t>
                            </w:r>
                          </w:p>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361"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639B">
                              <w:rPr>
                                <w:rFonts w:ascii="Albertus" w:hAnsi="Albertus" w:cs="Albertus"/>
                                <w:b/>
                                <w:bCs/>
                                <w:color w:val="000000"/>
                                <w:kern w:val="0"/>
                                <w:sz w:val="14"/>
                                <w:szCs w:val="14"/>
                                <w:lang w:val="zh-CN"/>
                              </w:rPr>
                              <w:t>Clinical factors</w:t>
                            </w:r>
                          </w:p>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356"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639B">
                              <w:rPr>
                                <w:rFonts w:ascii="Albertus" w:hAnsi="Albertus" w:cs="Albertus"/>
                                <w:b/>
                                <w:bCs/>
                                <w:color w:val="000000"/>
                                <w:kern w:val="0"/>
                                <w:sz w:val="14"/>
                                <w:szCs w:val="14"/>
                                <w:lang w:val="zh-CN"/>
                              </w:rPr>
                              <w:t>CSR</w:t>
                            </w:r>
                          </w:p>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657"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639B">
                              <w:rPr>
                                <w:rFonts w:ascii="Albertus" w:hAnsi="Albertus" w:cs="Albertus"/>
                                <w:b/>
                                <w:bCs/>
                                <w:color w:val="000000"/>
                                <w:kern w:val="0"/>
                                <w:sz w:val="14"/>
                                <w:szCs w:val="14"/>
                                <w:lang w:val="zh-CN"/>
                              </w:rPr>
                              <w:t>Coefficient of variation</w:t>
                            </w:r>
                          </w:p>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462"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639B">
                              <w:rPr>
                                <w:rFonts w:ascii="Albertus" w:hAnsi="Albertus" w:cs="Albertus"/>
                                <w:b/>
                                <w:bCs/>
                                <w:color w:val="000000"/>
                                <w:kern w:val="0"/>
                                <w:sz w:val="14"/>
                                <w:szCs w:val="14"/>
                                <w:lang w:val="zh-CN"/>
                              </w:rPr>
                              <w:t>Odds ratio (95%CI)</w:t>
                            </w:r>
                          </w:p>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068"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639B">
                              <w:rPr>
                                <w:rFonts w:ascii="Albertus Bold Italic" w:hAnsi="Albertus Bold Italic" w:cs="Albertus Bold Italic"/>
                                <w:b/>
                                <w:bCs/>
                                <w:i/>
                                <w:iCs/>
                                <w:color w:val="000000"/>
                                <w:kern w:val="0"/>
                                <w:sz w:val="14"/>
                                <w:szCs w:val="14"/>
                                <w:lang w:val="zh-CN"/>
                              </w:rPr>
                              <w:t>P</w:t>
                            </w:r>
                            <w:r w:rsidRPr="008C639B">
                              <w:rPr>
                                <w:rFonts w:ascii="Albertus" w:hAnsi="Albertus" w:cs="Albertus"/>
                                <w:b/>
                                <w:bCs/>
                                <w:color w:val="000000"/>
                                <w:kern w:val="0"/>
                                <w:sz w:val="14"/>
                                <w:szCs w:val="14"/>
                                <w:lang w:val="zh-CN"/>
                              </w:rPr>
                              <w:t xml:space="preserve"> value</w:t>
                            </w:r>
                          </w:p>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737F2A" w:rsidRPr="008C639B">
                        <w:tblPrEx>
                          <w:tblCellMar>
                            <w:top w:w="0" w:type="dxa"/>
                            <w:left w:w="0" w:type="dxa"/>
                            <w:bottom w:w="0" w:type="dxa"/>
                            <w:right w:w="0" w:type="dxa"/>
                          </w:tblCellMar>
                        </w:tblPrEx>
                        <w:trPr>
                          <w:trHeight w:val="60"/>
                        </w:trPr>
                        <w:tc>
                          <w:tcPr>
                            <w:tcW w:w="1361" w:type="dxa"/>
                            <w:vMerge w:val="restart"/>
                            <w:tcBorders>
                              <w:top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Day 1</w:t>
                            </w:r>
                          </w:p>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49" w:type="dxa"/>
                            <w:tcBorders>
                              <w:top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Dexlansoprazole</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361" w:type="dxa"/>
                            <w:tcBorders>
                              <w:top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Null</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356" w:type="dxa"/>
                            <w:tcBorders>
                              <w:top w:val="single" w:sz="6" w:space="0" w:color="000000"/>
                            </w:tcBorders>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Bold Italic" w:hAnsi="Albertus Bold Italic"/>
                                <w:kern w:val="0"/>
                                <w:sz w:val="24"/>
                              </w:rPr>
                            </w:pPr>
                          </w:p>
                        </w:tc>
                        <w:tc>
                          <w:tcPr>
                            <w:tcW w:w="1657" w:type="dxa"/>
                            <w:tcBorders>
                              <w:top w:val="single" w:sz="6" w:space="0" w:color="000000"/>
                            </w:tcBorders>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Bold Italic" w:hAnsi="Albertus Bold Italic"/>
                                <w:kern w:val="0"/>
                                <w:sz w:val="24"/>
                              </w:rPr>
                            </w:pPr>
                          </w:p>
                        </w:tc>
                        <w:tc>
                          <w:tcPr>
                            <w:tcW w:w="1462" w:type="dxa"/>
                            <w:tcBorders>
                              <w:top w:val="single" w:sz="6" w:space="0" w:color="000000"/>
                            </w:tcBorders>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Bold Italic" w:hAnsi="Albertus Bold Italic"/>
                                <w:kern w:val="0"/>
                                <w:sz w:val="24"/>
                              </w:rPr>
                            </w:pPr>
                          </w:p>
                        </w:tc>
                        <w:tc>
                          <w:tcPr>
                            <w:tcW w:w="1068" w:type="dxa"/>
                            <w:tcBorders>
                              <w:top w:val="single" w:sz="6" w:space="0" w:color="000000"/>
                            </w:tcBorders>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Bold Italic" w:hAnsi="Albertus Bold Italic"/>
                                <w:kern w:val="0"/>
                                <w:sz w:val="24"/>
                              </w:rPr>
                            </w:pPr>
                          </w:p>
                        </w:tc>
                      </w:tr>
                      <w:tr w:rsidR="00737F2A" w:rsidRPr="008C639B">
                        <w:tblPrEx>
                          <w:tblCellMar>
                            <w:top w:w="0" w:type="dxa"/>
                            <w:left w:w="0" w:type="dxa"/>
                            <w:bottom w:w="0" w:type="dxa"/>
                            <w:right w:w="0" w:type="dxa"/>
                          </w:tblCellMar>
                        </w:tblPrEx>
                        <w:trPr>
                          <w:trHeight w:val="60"/>
                        </w:trPr>
                        <w:tc>
                          <w:tcPr>
                            <w:tcW w:w="1361" w:type="dxa"/>
                            <w:vMerge/>
                          </w:tcPr>
                          <w:p w:rsidR="00737F2A" w:rsidRPr="008C639B" w:rsidRDefault="00737F2A" w:rsidP="008C639B">
                            <w:pPr>
                              <w:autoSpaceDE w:val="0"/>
                              <w:autoSpaceDN w:val="0"/>
                              <w:adjustRightInd w:val="0"/>
                              <w:jc w:val="left"/>
                              <w:rPr>
                                <w:rFonts w:ascii="Albertus Bold Italic" w:hAnsi="Albertus Bold Italic"/>
                                <w:kern w:val="0"/>
                                <w:sz w:val="24"/>
                              </w:rPr>
                            </w:pPr>
                          </w:p>
                        </w:tc>
                        <w:tc>
                          <w:tcPr>
                            <w:tcW w:w="1249"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Esomeprazole</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361"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Female</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356"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15.80%</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65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-1.249 ± 0.543</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462"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0.285 (0.103-0.789)</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68"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0.022</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737F2A" w:rsidRPr="008C639B">
                        <w:tblPrEx>
                          <w:tblCellMar>
                            <w:top w:w="0" w:type="dxa"/>
                            <w:left w:w="0" w:type="dxa"/>
                            <w:bottom w:w="0" w:type="dxa"/>
                            <w:right w:w="0" w:type="dxa"/>
                          </w:tblCellMar>
                        </w:tblPrEx>
                        <w:trPr>
                          <w:trHeight w:val="60"/>
                        </w:trPr>
                        <w:tc>
                          <w:tcPr>
                            <w:tcW w:w="1361" w:type="dxa"/>
                            <w:vMerge w:val="restart"/>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Day 3</w:t>
                            </w:r>
                          </w:p>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49"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Dexlansoprazole</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361"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Null</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356" w:type="dxa"/>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Bold Italic" w:hAnsi="Albertus Bold Italic"/>
                                <w:kern w:val="0"/>
                                <w:sz w:val="24"/>
                              </w:rPr>
                            </w:pPr>
                          </w:p>
                        </w:tc>
                        <w:tc>
                          <w:tcPr>
                            <w:tcW w:w="1657" w:type="dxa"/>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Bold Italic" w:hAnsi="Albertus Bold Italic"/>
                                <w:kern w:val="0"/>
                                <w:sz w:val="24"/>
                              </w:rPr>
                            </w:pPr>
                          </w:p>
                        </w:tc>
                        <w:tc>
                          <w:tcPr>
                            <w:tcW w:w="1462" w:type="dxa"/>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Bold Italic" w:hAnsi="Albertus Bold Italic"/>
                                <w:kern w:val="0"/>
                                <w:sz w:val="24"/>
                              </w:rPr>
                            </w:pPr>
                          </w:p>
                        </w:tc>
                        <w:tc>
                          <w:tcPr>
                            <w:tcW w:w="1068" w:type="dxa"/>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Bold Italic" w:hAnsi="Albertus Bold Italic"/>
                                <w:kern w:val="0"/>
                                <w:sz w:val="24"/>
                              </w:rPr>
                            </w:pPr>
                          </w:p>
                        </w:tc>
                      </w:tr>
                      <w:tr w:rsidR="00737F2A" w:rsidRPr="008C639B">
                        <w:tblPrEx>
                          <w:tblCellMar>
                            <w:top w:w="0" w:type="dxa"/>
                            <w:left w:w="0" w:type="dxa"/>
                            <w:bottom w:w="0" w:type="dxa"/>
                            <w:right w:w="0" w:type="dxa"/>
                          </w:tblCellMar>
                        </w:tblPrEx>
                        <w:trPr>
                          <w:trHeight w:val="60"/>
                        </w:trPr>
                        <w:tc>
                          <w:tcPr>
                            <w:tcW w:w="1361" w:type="dxa"/>
                            <w:vMerge/>
                          </w:tcPr>
                          <w:p w:rsidR="00737F2A" w:rsidRPr="008C639B" w:rsidRDefault="00737F2A" w:rsidP="008C639B">
                            <w:pPr>
                              <w:autoSpaceDE w:val="0"/>
                              <w:autoSpaceDN w:val="0"/>
                              <w:adjustRightInd w:val="0"/>
                              <w:jc w:val="left"/>
                              <w:rPr>
                                <w:rFonts w:ascii="Albertus Bold Italic" w:hAnsi="Albertus Bold Italic"/>
                                <w:kern w:val="0"/>
                                <w:sz w:val="24"/>
                              </w:rPr>
                            </w:pPr>
                          </w:p>
                        </w:tc>
                        <w:tc>
                          <w:tcPr>
                            <w:tcW w:w="1249"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Esomeprazole</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361"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Female</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356"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18.40%</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65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-1.254 ± 0.519</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462"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0.287 (0.099-0.832)</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068"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0.016</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737F2A" w:rsidRPr="008C639B">
                        <w:tblPrEx>
                          <w:tblCellMar>
                            <w:top w:w="0" w:type="dxa"/>
                            <w:left w:w="0" w:type="dxa"/>
                            <w:bottom w:w="0" w:type="dxa"/>
                            <w:right w:w="0" w:type="dxa"/>
                          </w:tblCellMar>
                        </w:tblPrEx>
                        <w:trPr>
                          <w:trHeight w:val="60"/>
                        </w:trPr>
                        <w:tc>
                          <w:tcPr>
                            <w:tcW w:w="1361" w:type="dxa"/>
                            <w:vMerge w:val="restart"/>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Day 7</w:t>
                            </w:r>
                          </w:p>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49"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Dexlansoprazole</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361"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Null</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356" w:type="dxa"/>
                            <w:vMerge w:val="restart"/>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Bold Italic" w:hAnsi="Albertus Bold Italic"/>
                                <w:kern w:val="0"/>
                                <w:sz w:val="24"/>
                              </w:rPr>
                            </w:pPr>
                          </w:p>
                        </w:tc>
                        <w:tc>
                          <w:tcPr>
                            <w:tcW w:w="1657" w:type="dxa"/>
                            <w:vMerge w:val="restart"/>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Bold Italic" w:hAnsi="Albertus Bold Italic"/>
                                <w:kern w:val="0"/>
                                <w:sz w:val="24"/>
                              </w:rPr>
                            </w:pPr>
                          </w:p>
                        </w:tc>
                        <w:tc>
                          <w:tcPr>
                            <w:tcW w:w="1462" w:type="dxa"/>
                            <w:vMerge w:val="restart"/>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Bold Italic" w:hAnsi="Albertus Bold Italic"/>
                                <w:kern w:val="0"/>
                                <w:sz w:val="24"/>
                              </w:rPr>
                            </w:pPr>
                          </w:p>
                        </w:tc>
                        <w:tc>
                          <w:tcPr>
                            <w:tcW w:w="1068" w:type="dxa"/>
                            <w:vMerge w:val="restart"/>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Bold Italic" w:hAnsi="Albertus Bold Italic"/>
                                <w:kern w:val="0"/>
                                <w:sz w:val="24"/>
                              </w:rPr>
                            </w:pPr>
                          </w:p>
                        </w:tc>
                      </w:tr>
                      <w:tr w:rsidR="00737F2A" w:rsidRPr="008C639B">
                        <w:tblPrEx>
                          <w:tblCellMar>
                            <w:top w:w="0" w:type="dxa"/>
                            <w:left w:w="0" w:type="dxa"/>
                            <w:bottom w:w="0" w:type="dxa"/>
                            <w:right w:w="0" w:type="dxa"/>
                          </w:tblCellMar>
                        </w:tblPrEx>
                        <w:trPr>
                          <w:trHeight w:val="60"/>
                        </w:trPr>
                        <w:tc>
                          <w:tcPr>
                            <w:tcW w:w="1361" w:type="dxa"/>
                            <w:vMerge/>
                          </w:tcPr>
                          <w:p w:rsidR="00737F2A" w:rsidRPr="008C639B" w:rsidRDefault="00737F2A" w:rsidP="008C639B">
                            <w:pPr>
                              <w:autoSpaceDE w:val="0"/>
                              <w:autoSpaceDN w:val="0"/>
                              <w:adjustRightInd w:val="0"/>
                              <w:jc w:val="left"/>
                              <w:rPr>
                                <w:rFonts w:ascii="Albertus Bold Italic" w:hAnsi="Albertus Bold Italic"/>
                                <w:kern w:val="0"/>
                                <w:sz w:val="24"/>
                              </w:rPr>
                            </w:pPr>
                          </w:p>
                        </w:tc>
                        <w:tc>
                          <w:tcPr>
                            <w:tcW w:w="1249"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Esomeprazole</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361"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Null</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356" w:type="dxa"/>
                            <w:vMerge/>
                          </w:tcPr>
                          <w:p w:rsidR="00737F2A" w:rsidRPr="008C639B" w:rsidRDefault="00737F2A" w:rsidP="008C639B">
                            <w:pPr>
                              <w:autoSpaceDE w:val="0"/>
                              <w:autoSpaceDN w:val="0"/>
                              <w:adjustRightInd w:val="0"/>
                              <w:jc w:val="left"/>
                              <w:rPr>
                                <w:rFonts w:ascii="Albertus Bold Italic" w:hAnsi="Albertus Bold Italic"/>
                                <w:kern w:val="0"/>
                                <w:sz w:val="24"/>
                              </w:rPr>
                            </w:pPr>
                          </w:p>
                        </w:tc>
                        <w:tc>
                          <w:tcPr>
                            <w:tcW w:w="1657" w:type="dxa"/>
                            <w:vMerge/>
                          </w:tcPr>
                          <w:p w:rsidR="00737F2A" w:rsidRPr="008C639B" w:rsidRDefault="00737F2A" w:rsidP="008C639B">
                            <w:pPr>
                              <w:autoSpaceDE w:val="0"/>
                              <w:autoSpaceDN w:val="0"/>
                              <w:adjustRightInd w:val="0"/>
                              <w:jc w:val="left"/>
                              <w:rPr>
                                <w:rFonts w:ascii="Albertus Bold Italic" w:hAnsi="Albertus Bold Italic"/>
                                <w:kern w:val="0"/>
                                <w:sz w:val="24"/>
                              </w:rPr>
                            </w:pPr>
                          </w:p>
                        </w:tc>
                        <w:tc>
                          <w:tcPr>
                            <w:tcW w:w="1462" w:type="dxa"/>
                            <w:vMerge/>
                          </w:tcPr>
                          <w:p w:rsidR="00737F2A" w:rsidRPr="008C639B" w:rsidRDefault="00737F2A" w:rsidP="008C639B">
                            <w:pPr>
                              <w:autoSpaceDE w:val="0"/>
                              <w:autoSpaceDN w:val="0"/>
                              <w:adjustRightInd w:val="0"/>
                              <w:jc w:val="left"/>
                              <w:rPr>
                                <w:rFonts w:ascii="Albertus Bold Italic" w:hAnsi="Albertus Bold Italic"/>
                                <w:kern w:val="0"/>
                                <w:sz w:val="24"/>
                              </w:rPr>
                            </w:pPr>
                          </w:p>
                        </w:tc>
                        <w:tc>
                          <w:tcPr>
                            <w:tcW w:w="1068" w:type="dxa"/>
                            <w:vMerge/>
                          </w:tcPr>
                          <w:p w:rsidR="00737F2A" w:rsidRPr="008C639B" w:rsidRDefault="00737F2A" w:rsidP="008C639B">
                            <w:pPr>
                              <w:autoSpaceDE w:val="0"/>
                              <w:autoSpaceDN w:val="0"/>
                              <w:adjustRightInd w:val="0"/>
                              <w:jc w:val="left"/>
                              <w:rPr>
                                <w:rFonts w:ascii="Albertus Bold Italic" w:hAnsi="Albertus Bold Italic"/>
                                <w:kern w:val="0"/>
                                <w:sz w:val="24"/>
                              </w:rPr>
                            </w:pPr>
                          </w:p>
                        </w:tc>
                      </w:tr>
                    </w:tbl>
                    <w:p w:rsidR="00737F2A" w:rsidRPr="005F69B5" w:rsidRDefault="00737F2A" w:rsidP="00737F2A">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 xml:space="preserve">CSR: Complete symptom resolution; PPI: Proton </w:t>
                      </w:r>
                      <w:proofErr w:type="gramStart"/>
                      <w:r w:rsidRPr="008C639B">
                        <w:rPr>
                          <w:rFonts w:ascii="Book Antiqua" w:hAnsi="Book Antiqua" w:cs="Book Antiqua"/>
                          <w:bCs/>
                          <w:color w:val="000000"/>
                          <w:kern w:val="0"/>
                          <w:sz w:val="14"/>
                          <w:szCs w:val="14"/>
                        </w:rPr>
                        <w:t>pump</w:t>
                      </w:r>
                      <w:proofErr w:type="gramEnd"/>
                      <w:r w:rsidRPr="008C639B">
                        <w:rPr>
                          <w:rFonts w:ascii="Book Antiqua" w:hAnsi="Book Antiqua" w:cs="Book Antiqua"/>
                          <w:bCs/>
                          <w:color w:val="000000"/>
                          <w:kern w:val="0"/>
                          <w:sz w:val="14"/>
                          <w:szCs w:val="14"/>
                        </w:rPr>
                        <w:t xml:space="preserve"> inhibitor.</w:t>
                      </w:r>
                    </w:p>
                  </w:txbxContent>
                </v:textbox>
                <w10:wrap type="square"/>
              </v:shape>
            </w:pict>
          </mc:Fallback>
        </mc:AlternateContent>
      </w:r>
    </w:p>
    <w:p w:rsidR="00737F2A" w:rsidRDefault="00737F2A" w:rsidP="00737F2A">
      <w:pPr>
        <w:rPr>
          <w:rFonts w:hint="eastAsia"/>
        </w:rPr>
      </w:pPr>
    </w:p>
    <w:p w:rsidR="00737F2A" w:rsidRDefault="00737F2A" w:rsidP="00737F2A">
      <w:pPr>
        <w:rPr>
          <w:rFonts w:hint="eastAsia"/>
        </w:rPr>
      </w:pPr>
    </w:p>
    <w:p w:rsidR="00737F2A" w:rsidRPr="008C639B" w:rsidRDefault="00737F2A" w:rsidP="00737F2A">
      <w:pPr>
        <w:rPr>
          <w:rFonts w:hint="eastAsia"/>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283835" cy="3032125"/>
                <wp:effectExtent l="9525" t="9525" r="12065" b="6350"/>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3032125"/>
                        </a:xfrm>
                        <a:prstGeom prst="rect">
                          <a:avLst/>
                        </a:prstGeom>
                        <a:solidFill>
                          <a:srgbClr val="FFFFFF"/>
                        </a:solidFill>
                        <a:ln w="9525">
                          <a:solidFill>
                            <a:srgbClr val="000000"/>
                          </a:solidFill>
                          <a:miter lim="800000"/>
                          <a:headEnd/>
                          <a:tailEnd/>
                        </a:ln>
                      </wps:spPr>
                      <wps:txbx>
                        <w:txbxContent>
                          <w:p w:rsidR="00737F2A" w:rsidRPr="008C639B" w:rsidRDefault="00737F2A" w:rsidP="00737F2A">
                            <w:pPr>
                              <w:rPr>
                                <w:b/>
                                <w:bCs/>
                              </w:rPr>
                            </w:pPr>
                            <w:r w:rsidRPr="008C639B">
                              <w:rPr>
                                <w:b/>
                                <w:bCs/>
                              </w:rPr>
                              <w:t xml:space="preserve">Table </w:t>
                            </w:r>
                            <w:proofErr w:type="gramStart"/>
                            <w:r w:rsidRPr="008C639B">
                              <w:rPr>
                                <w:b/>
                                <w:bCs/>
                              </w:rPr>
                              <w:t>5  Multivariate</w:t>
                            </w:r>
                            <w:proofErr w:type="gramEnd"/>
                            <w:r w:rsidRPr="008C639B">
                              <w:rPr>
                                <w:b/>
                                <w:bCs/>
                              </w:rPr>
                              <w:t xml:space="preserve"> analysis of the clinical factors predictive of complete symptom resolution within one week</w:t>
                            </w:r>
                          </w:p>
                          <w:tbl>
                            <w:tblPr>
                              <w:tblW w:w="9524"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587"/>
                              <w:gridCol w:w="1588"/>
                              <w:gridCol w:w="1587"/>
                              <w:gridCol w:w="1588"/>
                              <w:gridCol w:w="1587"/>
                              <w:gridCol w:w="1587"/>
                            </w:tblGrid>
                            <w:tr w:rsidR="00737F2A" w:rsidRPr="008C639B">
                              <w:tblPrEx>
                                <w:tblCellMar>
                                  <w:top w:w="0" w:type="dxa"/>
                                  <w:left w:w="0" w:type="dxa"/>
                                  <w:bottom w:w="0" w:type="dxa"/>
                                  <w:right w:w="0" w:type="dxa"/>
                                </w:tblCellMar>
                              </w:tblPrEx>
                              <w:trPr>
                                <w:trHeight w:hRule="exact" w:val="902"/>
                              </w:trPr>
                              <w:tc>
                                <w:tcPr>
                                  <w:tcW w:w="1587"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r w:rsidRPr="008C639B">
                                    <w:rPr>
                                      <w:rFonts w:ascii="Albertus" w:hAnsi="Albertus" w:cs="Albertus"/>
                                      <w:b/>
                                      <w:bCs/>
                                      <w:color w:val="000000"/>
                                      <w:kern w:val="0"/>
                                      <w:sz w:val="14"/>
                                      <w:szCs w:val="14"/>
                                      <w:lang w:val="zh-CN"/>
                                    </w:rPr>
                                    <w:t>Time</w:t>
                                  </w:r>
                                </w:p>
                                <w:p w:rsidR="00737F2A" w:rsidRPr="008C639B" w:rsidRDefault="00737F2A" w:rsidP="008C639B">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1588"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639B">
                                    <w:rPr>
                                      <w:rFonts w:ascii="Albertus" w:hAnsi="Albertus" w:cs="Albertus"/>
                                      <w:b/>
                                      <w:bCs/>
                                      <w:color w:val="000000"/>
                                      <w:kern w:val="0"/>
                                      <w:sz w:val="14"/>
                                      <w:szCs w:val="14"/>
                                      <w:lang w:val="zh-CN"/>
                                    </w:rPr>
                                    <w:t>Clinical factor</w:t>
                                  </w:r>
                                </w:p>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587"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639B">
                                    <w:rPr>
                                      <w:rFonts w:ascii="Albertus" w:hAnsi="Albertus" w:cs="Albertus"/>
                                      <w:b/>
                                      <w:bCs/>
                                      <w:color w:val="000000"/>
                                      <w:kern w:val="0"/>
                                      <w:sz w:val="14"/>
                                      <w:szCs w:val="14"/>
                                      <w:lang w:val="zh-CN"/>
                                    </w:rPr>
                                    <w:t>CSR</w:t>
                                  </w:r>
                                </w:p>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588"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639B">
                                    <w:rPr>
                                      <w:rFonts w:ascii="Albertus" w:hAnsi="Albertus" w:cs="Albertus"/>
                                      <w:b/>
                                      <w:bCs/>
                                      <w:color w:val="000000"/>
                                      <w:kern w:val="0"/>
                                      <w:sz w:val="14"/>
                                      <w:szCs w:val="14"/>
                                      <w:lang w:val="zh-CN"/>
                                    </w:rPr>
                                    <w:t>Coefficient of variation</w:t>
                                  </w:r>
                                </w:p>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587"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639B">
                                    <w:rPr>
                                      <w:rFonts w:ascii="Albertus" w:hAnsi="Albertus" w:cs="Albertus"/>
                                      <w:b/>
                                      <w:bCs/>
                                      <w:color w:val="000000"/>
                                      <w:kern w:val="0"/>
                                      <w:sz w:val="14"/>
                                      <w:szCs w:val="14"/>
                                      <w:lang w:val="zh-CN"/>
                                    </w:rPr>
                                    <w:t>Odds ratio (95%CI)</w:t>
                                  </w:r>
                                </w:p>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587"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639B">
                                    <w:rPr>
                                      <w:rFonts w:ascii="Albertus Italic" w:hAnsi="Albertus Italic" w:cs="Albertus Italic"/>
                                      <w:b/>
                                      <w:i/>
                                      <w:iCs/>
                                      <w:color w:val="000000"/>
                                      <w:kern w:val="0"/>
                                      <w:sz w:val="14"/>
                                      <w:szCs w:val="14"/>
                                      <w:lang w:val="zh-CN"/>
                                    </w:rPr>
                                    <w:t>P</w:t>
                                  </w:r>
                                  <w:r w:rsidRPr="008C639B">
                                    <w:rPr>
                                      <w:rFonts w:ascii="Albertus" w:hAnsi="Albertus" w:cs="Albertus"/>
                                      <w:b/>
                                      <w:bCs/>
                                      <w:color w:val="000000"/>
                                      <w:kern w:val="0"/>
                                      <w:sz w:val="14"/>
                                      <w:szCs w:val="14"/>
                                      <w:lang w:val="zh-CN"/>
                                    </w:rPr>
                                    <w:t xml:space="preserve"> value</w:t>
                                  </w:r>
                                </w:p>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737F2A" w:rsidRPr="008C639B">
                              <w:tblPrEx>
                                <w:tblCellMar>
                                  <w:top w:w="0" w:type="dxa"/>
                                  <w:left w:w="0" w:type="dxa"/>
                                  <w:bottom w:w="0" w:type="dxa"/>
                                  <w:right w:w="0" w:type="dxa"/>
                                </w:tblCellMar>
                              </w:tblPrEx>
                              <w:trPr>
                                <w:trHeight w:val="60"/>
                              </w:trPr>
                              <w:tc>
                                <w:tcPr>
                                  <w:tcW w:w="1587" w:type="dxa"/>
                                  <w:vMerge w:val="restart"/>
                                  <w:tcBorders>
                                    <w:top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Day 1</w:t>
                                  </w:r>
                                </w:p>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588" w:type="dxa"/>
                                  <w:vMerge w:val="restart"/>
                                  <w:tcBorders>
                                    <w:top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Spicy food</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87" w:type="dxa"/>
                                  <w:tcBorders>
                                    <w:top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 xml:space="preserve">No: 37.3% </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88" w:type="dxa"/>
                                  <w:vMerge w:val="restart"/>
                                  <w:tcBorders>
                                    <w:top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-0.969 ± 0.438</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87" w:type="dxa"/>
                                  <w:vMerge w:val="restart"/>
                                  <w:tcBorders>
                                    <w:top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0.380 (0.161-0.896)</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87" w:type="dxa"/>
                                  <w:vMerge w:val="restart"/>
                                  <w:tcBorders>
                                    <w:top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0.027</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737F2A" w:rsidRPr="008C639B">
                              <w:tblPrEx>
                                <w:tblCellMar>
                                  <w:top w:w="0" w:type="dxa"/>
                                  <w:left w:w="0" w:type="dxa"/>
                                  <w:bottom w:w="0" w:type="dxa"/>
                                  <w:right w:w="0" w:type="dxa"/>
                                </w:tblCellMar>
                              </w:tblPrEx>
                              <w:trPr>
                                <w:trHeight w:val="60"/>
                              </w:trPr>
                              <w:tc>
                                <w:tcPr>
                                  <w:tcW w:w="1587" w:type="dxa"/>
                                  <w:vMerge/>
                                </w:tcPr>
                                <w:p w:rsidR="00737F2A" w:rsidRPr="008C639B" w:rsidRDefault="00737F2A" w:rsidP="008C639B">
                                  <w:pPr>
                                    <w:autoSpaceDE w:val="0"/>
                                    <w:autoSpaceDN w:val="0"/>
                                    <w:adjustRightInd w:val="0"/>
                                    <w:jc w:val="left"/>
                                    <w:rPr>
                                      <w:rFonts w:ascii="Albertus Italic" w:hAnsi="Albertus Italic"/>
                                      <w:kern w:val="0"/>
                                      <w:sz w:val="24"/>
                                    </w:rPr>
                                  </w:pPr>
                                </w:p>
                              </w:tc>
                              <w:tc>
                                <w:tcPr>
                                  <w:tcW w:w="1588" w:type="dxa"/>
                                  <w:vMerge/>
                                </w:tcPr>
                                <w:p w:rsidR="00737F2A" w:rsidRPr="008C639B" w:rsidRDefault="00737F2A" w:rsidP="008C639B">
                                  <w:pPr>
                                    <w:autoSpaceDE w:val="0"/>
                                    <w:autoSpaceDN w:val="0"/>
                                    <w:adjustRightInd w:val="0"/>
                                    <w:jc w:val="left"/>
                                    <w:rPr>
                                      <w:rFonts w:ascii="Albertus Italic" w:hAnsi="Albertus Italic"/>
                                      <w:kern w:val="0"/>
                                      <w:sz w:val="24"/>
                                    </w:rPr>
                                  </w:pPr>
                                </w:p>
                              </w:tc>
                              <w:tc>
                                <w:tcPr>
                                  <w:tcW w:w="158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Yes: 21.4%</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88" w:type="dxa"/>
                                  <w:vMerge/>
                                </w:tcPr>
                                <w:p w:rsidR="00737F2A" w:rsidRPr="008C639B" w:rsidRDefault="00737F2A" w:rsidP="008C639B">
                                  <w:pPr>
                                    <w:autoSpaceDE w:val="0"/>
                                    <w:autoSpaceDN w:val="0"/>
                                    <w:adjustRightInd w:val="0"/>
                                    <w:jc w:val="left"/>
                                    <w:rPr>
                                      <w:rFonts w:ascii="Albertus Italic" w:hAnsi="Albertus Italic"/>
                                      <w:kern w:val="0"/>
                                      <w:sz w:val="24"/>
                                    </w:rPr>
                                  </w:pPr>
                                </w:p>
                              </w:tc>
                              <w:tc>
                                <w:tcPr>
                                  <w:tcW w:w="1587" w:type="dxa"/>
                                  <w:vMerge/>
                                </w:tcPr>
                                <w:p w:rsidR="00737F2A" w:rsidRPr="008C639B" w:rsidRDefault="00737F2A" w:rsidP="008C639B">
                                  <w:pPr>
                                    <w:autoSpaceDE w:val="0"/>
                                    <w:autoSpaceDN w:val="0"/>
                                    <w:adjustRightInd w:val="0"/>
                                    <w:jc w:val="left"/>
                                    <w:rPr>
                                      <w:rFonts w:ascii="Albertus Italic" w:hAnsi="Albertus Italic"/>
                                      <w:kern w:val="0"/>
                                      <w:sz w:val="24"/>
                                    </w:rPr>
                                  </w:pPr>
                                </w:p>
                              </w:tc>
                              <w:tc>
                                <w:tcPr>
                                  <w:tcW w:w="1587" w:type="dxa"/>
                                  <w:vMerge/>
                                </w:tcPr>
                                <w:p w:rsidR="00737F2A" w:rsidRPr="008C639B" w:rsidRDefault="00737F2A" w:rsidP="008C639B">
                                  <w:pPr>
                                    <w:autoSpaceDE w:val="0"/>
                                    <w:autoSpaceDN w:val="0"/>
                                    <w:adjustRightInd w:val="0"/>
                                    <w:jc w:val="left"/>
                                    <w:rPr>
                                      <w:rFonts w:ascii="Albertus Italic" w:hAnsi="Albertus Italic"/>
                                      <w:kern w:val="0"/>
                                      <w:sz w:val="24"/>
                                    </w:rPr>
                                  </w:pPr>
                                </w:p>
                              </w:tc>
                            </w:tr>
                            <w:tr w:rsidR="00737F2A" w:rsidRPr="008C639B">
                              <w:tblPrEx>
                                <w:tblCellMar>
                                  <w:top w:w="0" w:type="dxa"/>
                                  <w:left w:w="0" w:type="dxa"/>
                                  <w:bottom w:w="0" w:type="dxa"/>
                                  <w:right w:w="0" w:type="dxa"/>
                                </w:tblCellMar>
                              </w:tblPrEx>
                              <w:trPr>
                                <w:trHeight w:val="60"/>
                              </w:trPr>
                              <w:tc>
                                <w:tcPr>
                                  <w:tcW w:w="158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Day 3</w:t>
                                  </w:r>
                                </w:p>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588"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Null</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87" w:type="dxa"/>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Italic" w:hAnsi="Albertus Italic"/>
                                      <w:kern w:val="0"/>
                                      <w:sz w:val="24"/>
                                    </w:rPr>
                                  </w:pPr>
                                </w:p>
                              </w:tc>
                              <w:tc>
                                <w:tcPr>
                                  <w:tcW w:w="1588" w:type="dxa"/>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Italic" w:hAnsi="Albertus Italic"/>
                                      <w:kern w:val="0"/>
                                      <w:sz w:val="24"/>
                                    </w:rPr>
                                  </w:pPr>
                                </w:p>
                              </w:tc>
                              <w:tc>
                                <w:tcPr>
                                  <w:tcW w:w="1587" w:type="dxa"/>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Italic" w:hAnsi="Albertus Italic"/>
                                      <w:kern w:val="0"/>
                                      <w:sz w:val="24"/>
                                    </w:rPr>
                                  </w:pPr>
                                </w:p>
                              </w:tc>
                              <w:tc>
                                <w:tcPr>
                                  <w:tcW w:w="1587" w:type="dxa"/>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Italic" w:hAnsi="Albertus Italic"/>
                                      <w:kern w:val="0"/>
                                      <w:sz w:val="24"/>
                                    </w:rPr>
                                  </w:pPr>
                                </w:p>
                              </w:tc>
                            </w:tr>
                            <w:tr w:rsidR="00737F2A" w:rsidRPr="008C639B">
                              <w:tblPrEx>
                                <w:tblCellMar>
                                  <w:top w:w="0" w:type="dxa"/>
                                  <w:left w:w="0" w:type="dxa"/>
                                  <w:bottom w:w="0" w:type="dxa"/>
                                  <w:right w:w="0" w:type="dxa"/>
                                </w:tblCellMar>
                              </w:tblPrEx>
                              <w:trPr>
                                <w:trHeight w:val="60"/>
                              </w:trPr>
                              <w:tc>
                                <w:tcPr>
                                  <w:tcW w:w="158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Day 7</w:t>
                                  </w:r>
                                </w:p>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588"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Null</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87" w:type="dxa"/>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Italic" w:hAnsi="Albertus Italic"/>
                                      <w:kern w:val="0"/>
                                      <w:sz w:val="24"/>
                                    </w:rPr>
                                  </w:pPr>
                                </w:p>
                              </w:tc>
                              <w:tc>
                                <w:tcPr>
                                  <w:tcW w:w="1588" w:type="dxa"/>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Italic" w:hAnsi="Albertus Italic"/>
                                      <w:kern w:val="0"/>
                                      <w:sz w:val="24"/>
                                    </w:rPr>
                                  </w:pPr>
                                </w:p>
                              </w:tc>
                              <w:tc>
                                <w:tcPr>
                                  <w:tcW w:w="1587" w:type="dxa"/>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Italic" w:hAnsi="Albertus Italic"/>
                                      <w:kern w:val="0"/>
                                      <w:sz w:val="24"/>
                                    </w:rPr>
                                  </w:pPr>
                                </w:p>
                              </w:tc>
                              <w:tc>
                                <w:tcPr>
                                  <w:tcW w:w="1587" w:type="dxa"/>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Italic" w:hAnsi="Albertus Italic"/>
                                      <w:kern w:val="0"/>
                                      <w:sz w:val="24"/>
                                    </w:rPr>
                                  </w:pPr>
                                </w:p>
                              </w:tc>
                            </w:tr>
                          </w:tbl>
                          <w:p w:rsidR="00737F2A" w:rsidRPr="00586B9D" w:rsidRDefault="00737F2A" w:rsidP="00737F2A">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CSR: Complete symptom resolution.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 o:spid="_x0000_s1030" type="#_x0000_t202" style="position:absolute;left:0;text-align:left;margin-left:0;margin-top:0;width:416.05pt;height:238.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">
                <v:textbox style="mso-fit-shape-to-text:t">
                  <w:txbxContent>
                    <w:p w:rsidR="00737F2A" w:rsidRPr="008C639B" w:rsidRDefault="00737F2A" w:rsidP="00737F2A">
                      <w:pPr>
                        <w:rPr>
                          <w:b/>
                          <w:bCs/>
                        </w:rPr>
                      </w:pPr>
                      <w:r w:rsidRPr="008C639B">
                        <w:rPr>
                          <w:b/>
                          <w:bCs/>
                        </w:rPr>
                        <w:t xml:space="preserve">Table </w:t>
                      </w:r>
                      <w:proofErr w:type="gramStart"/>
                      <w:r w:rsidRPr="008C639B">
                        <w:rPr>
                          <w:b/>
                          <w:bCs/>
                        </w:rPr>
                        <w:t>5  Multivariate</w:t>
                      </w:r>
                      <w:proofErr w:type="gramEnd"/>
                      <w:r w:rsidRPr="008C639B">
                        <w:rPr>
                          <w:b/>
                          <w:bCs/>
                        </w:rPr>
                        <w:t xml:space="preserve"> analysis of the clinical factors predictive of complete symptom resolution within one week</w:t>
                      </w:r>
                    </w:p>
                    <w:tbl>
                      <w:tblPr>
                        <w:tblW w:w="9524"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587"/>
                        <w:gridCol w:w="1588"/>
                        <w:gridCol w:w="1587"/>
                        <w:gridCol w:w="1588"/>
                        <w:gridCol w:w="1587"/>
                        <w:gridCol w:w="1587"/>
                      </w:tblGrid>
                      <w:tr w:rsidR="00737F2A" w:rsidRPr="008C639B">
                        <w:tblPrEx>
                          <w:tblCellMar>
                            <w:top w:w="0" w:type="dxa"/>
                            <w:left w:w="0" w:type="dxa"/>
                            <w:bottom w:w="0" w:type="dxa"/>
                            <w:right w:w="0" w:type="dxa"/>
                          </w:tblCellMar>
                        </w:tblPrEx>
                        <w:trPr>
                          <w:trHeight w:hRule="exact" w:val="902"/>
                        </w:trPr>
                        <w:tc>
                          <w:tcPr>
                            <w:tcW w:w="1587"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r w:rsidRPr="008C639B">
                              <w:rPr>
                                <w:rFonts w:ascii="Albertus" w:hAnsi="Albertus" w:cs="Albertus"/>
                                <w:b/>
                                <w:bCs/>
                                <w:color w:val="000000"/>
                                <w:kern w:val="0"/>
                                <w:sz w:val="14"/>
                                <w:szCs w:val="14"/>
                                <w:lang w:val="zh-CN"/>
                              </w:rPr>
                              <w:t>Time</w:t>
                            </w:r>
                          </w:p>
                          <w:p w:rsidR="00737F2A" w:rsidRPr="008C639B" w:rsidRDefault="00737F2A" w:rsidP="008C639B">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1588"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639B">
                              <w:rPr>
                                <w:rFonts w:ascii="Albertus" w:hAnsi="Albertus" w:cs="Albertus"/>
                                <w:b/>
                                <w:bCs/>
                                <w:color w:val="000000"/>
                                <w:kern w:val="0"/>
                                <w:sz w:val="14"/>
                                <w:szCs w:val="14"/>
                                <w:lang w:val="zh-CN"/>
                              </w:rPr>
                              <w:t>Clinical factor</w:t>
                            </w:r>
                          </w:p>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587"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639B">
                              <w:rPr>
                                <w:rFonts w:ascii="Albertus" w:hAnsi="Albertus" w:cs="Albertus"/>
                                <w:b/>
                                <w:bCs/>
                                <w:color w:val="000000"/>
                                <w:kern w:val="0"/>
                                <w:sz w:val="14"/>
                                <w:szCs w:val="14"/>
                                <w:lang w:val="zh-CN"/>
                              </w:rPr>
                              <w:t>CSR</w:t>
                            </w:r>
                          </w:p>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588"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639B">
                              <w:rPr>
                                <w:rFonts w:ascii="Albertus" w:hAnsi="Albertus" w:cs="Albertus"/>
                                <w:b/>
                                <w:bCs/>
                                <w:color w:val="000000"/>
                                <w:kern w:val="0"/>
                                <w:sz w:val="14"/>
                                <w:szCs w:val="14"/>
                                <w:lang w:val="zh-CN"/>
                              </w:rPr>
                              <w:t>Coefficient of variation</w:t>
                            </w:r>
                          </w:p>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587"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639B">
                              <w:rPr>
                                <w:rFonts w:ascii="Albertus" w:hAnsi="Albertus" w:cs="Albertus"/>
                                <w:b/>
                                <w:bCs/>
                                <w:color w:val="000000"/>
                                <w:kern w:val="0"/>
                                <w:sz w:val="14"/>
                                <w:szCs w:val="14"/>
                                <w:lang w:val="zh-CN"/>
                              </w:rPr>
                              <w:t>Odds ratio (95%CI)</w:t>
                            </w:r>
                          </w:p>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587" w:type="dxa"/>
                            <w:tcBorders>
                              <w:top w:val="single" w:sz="6" w:space="0" w:color="000000"/>
                              <w:bottom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639B">
                              <w:rPr>
                                <w:rFonts w:ascii="Albertus Italic" w:hAnsi="Albertus Italic" w:cs="Albertus Italic"/>
                                <w:b/>
                                <w:i/>
                                <w:iCs/>
                                <w:color w:val="000000"/>
                                <w:kern w:val="0"/>
                                <w:sz w:val="14"/>
                                <w:szCs w:val="14"/>
                                <w:lang w:val="zh-CN"/>
                              </w:rPr>
                              <w:t>P</w:t>
                            </w:r>
                            <w:r w:rsidRPr="008C639B">
                              <w:rPr>
                                <w:rFonts w:ascii="Albertus" w:hAnsi="Albertus" w:cs="Albertus"/>
                                <w:b/>
                                <w:bCs/>
                                <w:color w:val="000000"/>
                                <w:kern w:val="0"/>
                                <w:sz w:val="14"/>
                                <w:szCs w:val="14"/>
                                <w:lang w:val="zh-CN"/>
                              </w:rPr>
                              <w:t xml:space="preserve"> value</w:t>
                            </w:r>
                          </w:p>
                          <w:p w:rsidR="00737F2A" w:rsidRPr="008C639B" w:rsidRDefault="00737F2A" w:rsidP="008C639B">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737F2A" w:rsidRPr="008C639B">
                        <w:tblPrEx>
                          <w:tblCellMar>
                            <w:top w:w="0" w:type="dxa"/>
                            <w:left w:w="0" w:type="dxa"/>
                            <w:bottom w:w="0" w:type="dxa"/>
                            <w:right w:w="0" w:type="dxa"/>
                          </w:tblCellMar>
                        </w:tblPrEx>
                        <w:trPr>
                          <w:trHeight w:val="60"/>
                        </w:trPr>
                        <w:tc>
                          <w:tcPr>
                            <w:tcW w:w="1587" w:type="dxa"/>
                            <w:vMerge w:val="restart"/>
                            <w:tcBorders>
                              <w:top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Day 1</w:t>
                            </w:r>
                          </w:p>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588" w:type="dxa"/>
                            <w:vMerge w:val="restart"/>
                            <w:tcBorders>
                              <w:top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Spicy food</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87" w:type="dxa"/>
                            <w:tcBorders>
                              <w:top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 xml:space="preserve">No: 37.3% </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88" w:type="dxa"/>
                            <w:vMerge w:val="restart"/>
                            <w:tcBorders>
                              <w:top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-0.969 ± 0.438</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87" w:type="dxa"/>
                            <w:vMerge w:val="restart"/>
                            <w:tcBorders>
                              <w:top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0.380 (0.161-0.896)</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87" w:type="dxa"/>
                            <w:vMerge w:val="restart"/>
                            <w:tcBorders>
                              <w:top w:val="single" w:sz="6" w:space="0" w:color="000000"/>
                            </w:tcBorders>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0.027</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737F2A" w:rsidRPr="008C639B">
                        <w:tblPrEx>
                          <w:tblCellMar>
                            <w:top w:w="0" w:type="dxa"/>
                            <w:left w:w="0" w:type="dxa"/>
                            <w:bottom w:w="0" w:type="dxa"/>
                            <w:right w:w="0" w:type="dxa"/>
                          </w:tblCellMar>
                        </w:tblPrEx>
                        <w:trPr>
                          <w:trHeight w:val="60"/>
                        </w:trPr>
                        <w:tc>
                          <w:tcPr>
                            <w:tcW w:w="1587" w:type="dxa"/>
                            <w:vMerge/>
                          </w:tcPr>
                          <w:p w:rsidR="00737F2A" w:rsidRPr="008C639B" w:rsidRDefault="00737F2A" w:rsidP="008C639B">
                            <w:pPr>
                              <w:autoSpaceDE w:val="0"/>
                              <w:autoSpaceDN w:val="0"/>
                              <w:adjustRightInd w:val="0"/>
                              <w:jc w:val="left"/>
                              <w:rPr>
                                <w:rFonts w:ascii="Albertus Italic" w:hAnsi="Albertus Italic"/>
                                <w:kern w:val="0"/>
                                <w:sz w:val="24"/>
                              </w:rPr>
                            </w:pPr>
                          </w:p>
                        </w:tc>
                        <w:tc>
                          <w:tcPr>
                            <w:tcW w:w="1588" w:type="dxa"/>
                            <w:vMerge/>
                          </w:tcPr>
                          <w:p w:rsidR="00737F2A" w:rsidRPr="008C639B" w:rsidRDefault="00737F2A" w:rsidP="008C639B">
                            <w:pPr>
                              <w:autoSpaceDE w:val="0"/>
                              <w:autoSpaceDN w:val="0"/>
                              <w:adjustRightInd w:val="0"/>
                              <w:jc w:val="left"/>
                              <w:rPr>
                                <w:rFonts w:ascii="Albertus Italic" w:hAnsi="Albertus Italic"/>
                                <w:kern w:val="0"/>
                                <w:sz w:val="24"/>
                              </w:rPr>
                            </w:pPr>
                          </w:p>
                        </w:tc>
                        <w:tc>
                          <w:tcPr>
                            <w:tcW w:w="158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Yes: 21.4%</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88" w:type="dxa"/>
                            <w:vMerge/>
                          </w:tcPr>
                          <w:p w:rsidR="00737F2A" w:rsidRPr="008C639B" w:rsidRDefault="00737F2A" w:rsidP="008C639B">
                            <w:pPr>
                              <w:autoSpaceDE w:val="0"/>
                              <w:autoSpaceDN w:val="0"/>
                              <w:adjustRightInd w:val="0"/>
                              <w:jc w:val="left"/>
                              <w:rPr>
                                <w:rFonts w:ascii="Albertus Italic" w:hAnsi="Albertus Italic"/>
                                <w:kern w:val="0"/>
                                <w:sz w:val="24"/>
                              </w:rPr>
                            </w:pPr>
                          </w:p>
                        </w:tc>
                        <w:tc>
                          <w:tcPr>
                            <w:tcW w:w="1587" w:type="dxa"/>
                            <w:vMerge/>
                          </w:tcPr>
                          <w:p w:rsidR="00737F2A" w:rsidRPr="008C639B" w:rsidRDefault="00737F2A" w:rsidP="008C639B">
                            <w:pPr>
                              <w:autoSpaceDE w:val="0"/>
                              <w:autoSpaceDN w:val="0"/>
                              <w:adjustRightInd w:val="0"/>
                              <w:jc w:val="left"/>
                              <w:rPr>
                                <w:rFonts w:ascii="Albertus Italic" w:hAnsi="Albertus Italic"/>
                                <w:kern w:val="0"/>
                                <w:sz w:val="24"/>
                              </w:rPr>
                            </w:pPr>
                          </w:p>
                        </w:tc>
                        <w:tc>
                          <w:tcPr>
                            <w:tcW w:w="1587" w:type="dxa"/>
                            <w:vMerge/>
                          </w:tcPr>
                          <w:p w:rsidR="00737F2A" w:rsidRPr="008C639B" w:rsidRDefault="00737F2A" w:rsidP="008C639B">
                            <w:pPr>
                              <w:autoSpaceDE w:val="0"/>
                              <w:autoSpaceDN w:val="0"/>
                              <w:adjustRightInd w:val="0"/>
                              <w:jc w:val="left"/>
                              <w:rPr>
                                <w:rFonts w:ascii="Albertus Italic" w:hAnsi="Albertus Italic"/>
                                <w:kern w:val="0"/>
                                <w:sz w:val="24"/>
                              </w:rPr>
                            </w:pPr>
                          </w:p>
                        </w:tc>
                      </w:tr>
                      <w:tr w:rsidR="00737F2A" w:rsidRPr="008C639B">
                        <w:tblPrEx>
                          <w:tblCellMar>
                            <w:top w:w="0" w:type="dxa"/>
                            <w:left w:w="0" w:type="dxa"/>
                            <w:bottom w:w="0" w:type="dxa"/>
                            <w:right w:w="0" w:type="dxa"/>
                          </w:tblCellMar>
                        </w:tblPrEx>
                        <w:trPr>
                          <w:trHeight w:val="60"/>
                        </w:trPr>
                        <w:tc>
                          <w:tcPr>
                            <w:tcW w:w="158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Day 3</w:t>
                            </w:r>
                          </w:p>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588"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Null</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87" w:type="dxa"/>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Italic" w:hAnsi="Albertus Italic"/>
                                <w:kern w:val="0"/>
                                <w:sz w:val="24"/>
                              </w:rPr>
                            </w:pPr>
                          </w:p>
                        </w:tc>
                        <w:tc>
                          <w:tcPr>
                            <w:tcW w:w="1588" w:type="dxa"/>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Italic" w:hAnsi="Albertus Italic"/>
                                <w:kern w:val="0"/>
                                <w:sz w:val="24"/>
                              </w:rPr>
                            </w:pPr>
                          </w:p>
                        </w:tc>
                        <w:tc>
                          <w:tcPr>
                            <w:tcW w:w="1587" w:type="dxa"/>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Italic" w:hAnsi="Albertus Italic"/>
                                <w:kern w:val="0"/>
                                <w:sz w:val="24"/>
                              </w:rPr>
                            </w:pPr>
                          </w:p>
                        </w:tc>
                        <w:tc>
                          <w:tcPr>
                            <w:tcW w:w="1587" w:type="dxa"/>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Italic" w:hAnsi="Albertus Italic"/>
                                <w:kern w:val="0"/>
                                <w:sz w:val="24"/>
                              </w:rPr>
                            </w:pPr>
                          </w:p>
                        </w:tc>
                      </w:tr>
                      <w:tr w:rsidR="00737F2A" w:rsidRPr="008C639B">
                        <w:tblPrEx>
                          <w:tblCellMar>
                            <w:top w:w="0" w:type="dxa"/>
                            <w:left w:w="0" w:type="dxa"/>
                            <w:bottom w:w="0" w:type="dxa"/>
                            <w:right w:w="0" w:type="dxa"/>
                          </w:tblCellMar>
                        </w:tblPrEx>
                        <w:trPr>
                          <w:trHeight w:val="60"/>
                        </w:trPr>
                        <w:tc>
                          <w:tcPr>
                            <w:tcW w:w="1587"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Day 7</w:t>
                            </w:r>
                          </w:p>
                          <w:p w:rsidR="00737F2A" w:rsidRPr="008C639B" w:rsidRDefault="00737F2A" w:rsidP="008C639B">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588" w:type="dxa"/>
                            <w:tcMar>
                              <w:top w:w="28" w:type="dxa"/>
                              <w:left w:w="28" w:type="dxa"/>
                              <w:bottom w:w="28" w:type="dxa"/>
                              <w:right w:w="28" w:type="dxa"/>
                            </w:tcMar>
                          </w:tcPr>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639B">
                              <w:rPr>
                                <w:rFonts w:ascii="Book Antiqua" w:hAnsi="Book Antiqua" w:cs="Book Antiqua"/>
                                <w:bCs/>
                                <w:color w:val="000000"/>
                                <w:kern w:val="0"/>
                                <w:sz w:val="14"/>
                                <w:szCs w:val="14"/>
                                <w:lang w:val="zh-CN"/>
                              </w:rPr>
                              <w:t>Null</w:t>
                            </w:r>
                          </w:p>
                          <w:p w:rsidR="00737F2A" w:rsidRPr="008C639B" w:rsidRDefault="00737F2A" w:rsidP="008C639B">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587" w:type="dxa"/>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Italic" w:hAnsi="Albertus Italic"/>
                                <w:kern w:val="0"/>
                                <w:sz w:val="24"/>
                              </w:rPr>
                            </w:pPr>
                          </w:p>
                        </w:tc>
                        <w:tc>
                          <w:tcPr>
                            <w:tcW w:w="1588" w:type="dxa"/>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Italic" w:hAnsi="Albertus Italic"/>
                                <w:kern w:val="0"/>
                                <w:sz w:val="24"/>
                              </w:rPr>
                            </w:pPr>
                          </w:p>
                        </w:tc>
                        <w:tc>
                          <w:tcPr>
                            <w:tcW w:w="1587" w:type="dxa"/>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Italic" w:hAnsi="Albertus Italic"/>
                                <w:kern w:val="0"/>
                                <w:sz w:val="24"/>
                              </w:rPr>
                            </w:pPr>
                          </w:p>
                        </w:tc>
                        <w:tc>
                          <w:tcPr>
                            <w:tcW w:w="1587" w:type="dxa"/>
                            <w:tcMar>
                              <w:top w:w="28" w:type="dxa"/>
                              <w:left w:w="28" w:type="dxa"/>
                              <w:bottom w:w="28" w:type="dxa"/>
                              <w:right w:w="28" w:type="dxa"/>
                            </w:tcMar>
                          </w:tcPr>
                          <w:p w:rsidR="00737F2A" w:rsidRPr="008C639B" w:rsidRDefault="00737F2A" w:rsidP="008C639B">
                            <w:pPr>
                              <w:autoSpaceDE w:val="0"/>
                              <w:autoSpaceDN w:val="0"/>
                              <w:adjustRightInd w:val="0"/>
                              <w:jc w:val="left"/>
                              <w:rPr>
                                <w:rFonts w:ascii="Albertus Italic" w:hAnsi="Albertus Italic"/>
                                <w:kern w:val="0"/>
                                <w:sz w:val="24"/>
                              </w:rPr>
                            </w:pPr>
                          </w:p>
                        </w:tc>
                      </w:tr>
                    </w:tbl>
                    <w:p w:rsidR="00737F2A" w:rsidRPr="00586B9D" w:rsidRDefault="00737F2A" w:rsidP="00737F2A">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8C639B">
                        <w:rPr>
                          <w:rFonts w:ascii="Book Antiqua" w:hAnsi="Book Antiqua" w:cs="Book Antiqua"/>
                          <w:bCs/>
                          <w:color w:val="000000"/>
                          <w:kern w:val="0"/>
                          <w:sz w:val="14"/>
                          <w:szCs w:val="14"/>
                        </w:rPr>
                        <w:t>CSR: Complete symptom resolution.</w:t>
                      </w:r>
                    </w:p>
                  </w:txbxContent>
                </v:textbox>
                <w10:wrap type="square"/>
              </v:shape>
            </w:pict>
          </mc:Fallback>
        </mc:AlternateContent>
      </w:r>
    </w:p>
    <w:p w:rsidR="00737F2A" w:rsidRPr="00B657F9" w:rsidRDefault="00737F2A" w:rsidP="00B657F9"/>
    <w:sectPr w:rsidR="00737F2A" w:rsidRPr="00B657F9" w:rsidSect="00A21CED">
      <w:headerReference w:type="default" r:id="rId10"/>
      <w:footerReference w:type="default" r:id="rId11"/>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7CF" w:rsidRDefault="00B357CF">
      <w:r>
        <w:separator/>
      </w:r>
    </w:p>
  </w:endnote>
  <w:endnote w:type="continuationSeparator" w:id="0">
    <w:p w:rsidR="00B357CF" w:rsidRDefault="00B3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Albertus Bold Italic">
    <w:altName w:val="Times New Roman"/>
    <w:panose1 w:val="00000000000000000000"/>
    <w:charset w:val="00"/>
    <w:family w:val="auto"/>
    <w:notTrueType/>
    <w:pitch w:val="default"/>
    <w:sig w:usb0="00000003" w:usb1="00000000" w:usb2="00000000" w:usb3="00000000" w:csb0="00000001" w:csb1="00000000"/>
  </w:font>
  <w:font w:name="Albertus">
    <w:panose1 w:val="020E0702040304020204"/>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KozMinPro-Regular">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lbertus Italic">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72688"/>
      <w:docPartObj>
        <w:docPartGallery w:val="Page Numbers (Bottom of Page)"/>
        <w:docPartUnique/>
      </w:docPartObj>
    </w:sdtPr>
    <w:sdtEndPr>
      <w:rPr>
        <w:noProof/>
      </w:rPr>
    </w:sdtEndPr>
    <w:sdtContent>
      <w:p w:rsidR="009A5137" w:rsidRDefault="009A5137">
        <w:pPr>
          <w:pStyle w:val="a8"/>
          <w:jc w:val="right"/>
        </w:pPr>
        <w:r>
          <w:fldChar w:fldCharType="begin"/>
        </w:r>
        <w:r>
          <w:instrText xml:space="preserve"> PAGE   \* MERGEFORMAT </w:instrText>
        </w:r>
        <w:r>
          <w:fldChar w:fldCharType="separate"/>
        </w:r>
        <w:r w:rsidR="00737F2A">
          <w:rPr>
            <w:noProof/>
          </w:rPr>
          <w:t>17</w:t>
        </w:r>
        <w:r>
          <w:rPr>
            <w:noProof/>
          </w:rPr>
          <w:fldChar w:fldCharType="end"/>
        </w:r>
      </w:p>
    </w:sdtContent>
  </w:sdt>
  <w:p w:rsidR="009A5137" w:rsidRDefault="009A51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7CF" w:rsidRDefault="00B357CF">
      <w:r>
        <w:separator/>
      </w:r>
    </w:p>
  </w:footnote>
  <w:footnote w:type="continuationSeparator" w:id="0">
    <w:p w:rsidR="00B357CF" w:rsidRDefault="00B35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5F5D79" w:rsidP="005F5D79">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14:anchorId="67A7DAF5" wp14:editId="2D87E4F0">
              <wp:simplePos x="0" y="0"/>
              <wp:positionH relativeFrom="margin">
                <wp:align>right</wp:align>
              </wp:positionH>
              <wp:positionV relativeFrom="paragraph">
                <wp:posOffset>11430</wp:posOffset>
              </wp:positionV>
              <wp:extent cx="2231136" cy="1397000"/>
              <wp:effectExtent l="0" t="0" r="1714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1"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left:0;text-align:left;margin-left:124.5pt;margin-top:.9pt;width:175.7pt;height:110pt;rotation:180;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2"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v:textbox>
              <w10:wrap anchorx="margin"/>
            </v:shape>
          </w:pict>
        </mc:Fallback>
      </mc:AlternateContent>
    </w:r>
    <w:r w:rsidR="00885553">
      <w:rPr>
        <w:noProof/>
      </w:rPr>
      <w:drawing>
        <wp:inline distT="0" distB="0" distL="0" distR="0" wp14:anchorId="51668F4C" wp14:editId="669434B8">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5DE6"/>
    <w:rsid w:val="000064BA"/>
    <w:rsid w:val="00012AA4"/>
    <w:rsid w:val="0002285A"/>
    <w:rsid w:val="000241BD"/>
    <w:rsid w:val="00027581"/>
    <w:rsid w:val="00031C52"/>
    <w:rsid w:val="00040400"/>
    <w:rsid w:val="00043213"/>
    <w:rsid w:val="000528EB"/>
    <w:rsid w:val="000557E7"/>
    <w:rsid w:val="0006353A"/>
    <w:rsid w:val="00065609"/>
    <w:rsid w:val="000718B5"/>
    <w:rsid w:val="00077F13"/>
    <w:rsid w:val="00092F16"/>
    <w:rsid w:val="00096D46"/>
    <w:rsid w:val="000B3A7C"/>
    <w:rsid w:val="000C2127"/>
    <w:rsid w:val="000D76DB"/>
    <w:rsid w:val="000E0EE3"/>
    <w:rsid w:val="000E5061"/>
    <w:rsid w:val="000F18D8"/>
    <w:rsid w:val="000F2158"/>
    <w:rsid w:val="000F7E73"/>
    <w:rsid w:val="00103969"/>
    <w:rsid w:val="0011118F"/>
    <w:rsid w:val="00112264"/>
    <w:rsid w:val="0011398A"/>
    <w:rsid w:val="001173A3"/>
    <w:rsid w:val="00133D44"/>
    <w:rsid w:val="00137774"/>
    <w:rsid w:val="00140EF6"/>
    <w:rsid w:val="00150B82"/>
    <w:rsid w:val="001535D1"/>
    <w:rsid w:val="00154821"/>
    <w:rsid w:val="0016247D"/>
    <w:rsid w:val="00170504"/>
    <w:rsid w:val="00170E23"/>
    <w:rsid w:val="00173045"/>
    <w:rsid w:val="001855C5"/>
    <w:rsid w:val="001922E0"/>
    <w:rsid w:val="00193794"/>
    <w:rsid w:val="001968BE"/>
    <w:rsid w:val="0019699C"/>
    <w:rsid w:val="00197E68"/>
    <w:rsid w:val="001A5CCD"/>
    <w:rsid w:val="001B5A86"/>
    <w:rsid w:val="001C1D9E"/>
    <w:rsid w:val="001C2555"/>
    <w:rsid w:val="001D1E59"/>
    <w:rsid w:val="001D5BAF"/>
    <w:rsid w:val="001D78FF"/>
    <w:rsid w:val="001E0066"/>
    <w:rsid w:val="001E0D51"/>
    <w:rsid w:val="001E5B6B"/>
    <w:rsid w:val="001E7B2E"/>
    <w:rsid w:val="001E7F37"/>
    <w:rsid w:val="001F1D16"/>
    <w:rsid w:val="00212897"/>
    <w:rsid w:val="002155C0"/>
    <w:rsid w:val="00216152"/>
    <w:rsid w:val="00220D85"/>
    <w:rsid w:val="002261BC"/>
    <w:rsid w:val="00242DC9"/>
    <w:rsid w:val="002519CE"/>
    <w:rsid w:val="002538C0"/>
    <w:rsid w:val="00254F78"/>
    <w:rsid w:val="00255907"/>
    <w:rsid w:val="002566B5"/>
    <w:rsid w:val="002570F2"/>
    <w:rsid w:val="002636AF"/>
    <w:rsid w:val="0026447B"/>
    <w:rsid w:val="002705B3"/>
    <w:rsid w:val="00282295"/>
    <w:rsid w:val="00284DC0"/>
    <w:rsid w:val="00284E18"/>
    <w:rsid w:val="002861B2"/>
    <w:rsid w:val="00286B01"/>
    <w:rsid w:val="00291D66"/>
    <w:rsid w:val="0029289B"/>
    <w:rsid w:val="0029430C"/>
    <w:rsid w:val="00294A98"/>
    <w:rsid w:val="002A0B3F"/>
    <w:rsid w:val="002C1593"/>
    <w:rsid w:val="002C2BE8"/>
    <w:rsid w:val="002D2596"/>
    <w:rsid w:val="002D428E"/>
    <w:rsid w:val="002F37B2"/>
    <w:rsid w:val="002F4FA2"/>
    <w:rsid w:val="0030197A"/>
    <w:rsid w:val="00305D12"/>
    <w:rsid w:val="00306E88"/>
    <w:rsid w:val="00307AB0"/>
    <w:rsid w:val="00314E3A"/>
    <w:rsid w:val="00322578"/>
    <w:rsid w:val="00324FAC"/>
    <w:rsid w:val="0032559D"/>
    <w:rsid w:val="00330119"/>
    <w:rsid w:val="00333D08"/>
    <w:rsid w:val="00337A62"/>
    <w:rsid w:val="00340E4F"/>
    <w:rsid w:val="00353CDE"/>
    <w:rsid w:val="00355BBB"/>
    <w:rsid w:val="00360E43"/>
    <w:rsid w:val="00361922"/>
    <w:rsid w:val="003671C4"/>
    <w:rsid w:val="003728EC"/>
    <w:rsid w:val="003750C1"/>
    <w:rsid w:val="00376EF1"/>
    <w:rsid w:val="00377FC5"/>
    <w:rsid w:val="00380A29"/>
    <w:rsid w:val="00384D0E"/>
    <w:rsid w:val="003868A1"/>
    <w:rsid w:val="0039339A"/>
    <w:rsid w:val="003A2603"/>
    <w:rsid w:val="003B205B"/>
    <w:rsid w:val="003B34BC"/>
    <w:rsid w:val="003B4E10"/>
    <w:rsid w:val="003B6B3B"/>
    <w:rsid w:val="003C1EDE"/>
    <w:rsid w:val="003C298A"/>
    <w:rsid w:val="003D0124"/>
    <w:rsid w:val="003D1884"/>
    <w:rsid w:val="003D2D99"/>
    <w:rsid w:val="003D38AB"/>
    <w:rsid w:val="003D39C8"/>
    <w:rsid w:val="003D6F17"/>
    <w:rsid w:val="003D6F6C"/>
    <w:rsid w:val="003E0F4D"/>
    <w:rsid w:val="003E53A1"/>
    <w:rsid w:val="003E6B5A"/>
    <w:rsid w:val="003E7139"/>
    <w:rsid w:val="003F5EF2"/>
    <w:rsid w:val="003F6603"/>
    <w:rsid w:val="00402738"/>
    <w:rsid w:val="00407543"/>
    <w:rsid w:val="00412198"/>
    <w:rsid w:val="0042499D"/>
    <w:rsid w:val="004254B8"/>
    <w:rsid w:val="00427176"/>
    <w:rsid w:val="004274AB"/>
    <w:rsid w:val="0045484D"/>
    <w:rsid w:val="00464F05"/>
    <w:rsid w:val="00480FC6"/>
    <w:rsid w:val="00481A91"/>
    <w:rsid w:val="0049560D"/>
    <w:rsid w:val="004A69B9"/>
    <w:rsid w:val="004A7BAD"/>
    <w:rsid w:val="004B5141"/>
    <w:rsid w:val="004C3E6D"/>
    <w:rsid w:val="004C5343"/>
    <w:rsid w:val="004C7F83"/>
    <w:rsid w:val="004D0DF4"/>
    <w:rsid w:val="004D127F"/>
    <w:rsid w:val="004D3B0F"/>
    <w:rsid w:val="004D53BF"/>
    <w:rsid w:val="004E596A"/>
    <w:rsid w:val="004E67A1"/>
    <w:rsid w:val="004F5597"/>
    <w:rsid w:val="004F5C5B"/>
    <w:rsid w:val="004F6FD3"/>
    <w:rsid w:val="004F729A"/>
    <w:rsid w:val="0050248B"/>
    <w:rsid w:val="005037AF"/>
    <w:rsid w:val="0050472D"/>
    <w:rsid w:val="00505D7D"/>
    <w:rsid w:val="00505F47"/>
    <w:rsid w:val="005163F4"/>
    <w:rsid w:val="00521063"/>
    <w:rsid w:val="00522AB7"/>
    <w:rsid w:val="00523E26"/>
    <w:rsid w:val="00526060"/>
    <w:rsid w:val="00540B3A"/>
    <w:rsid w:val="0054395F"/>
    <w:rsid w:val="005444AC"/>
    <w:rsid w:val="00544904"/>
    <w:rsid w:val="00544CD2"/>
    <w:rsid w:val="00552415"/>
    <w:rsid w:val="00564CA7"/>
    <w:rsid w:val="005707F6"/>
    <w:rsid w:val="005734FA"/>
    <w:rsid w:val="00576880"/>
    <w:rsid w:val="00577315"/>
    <w:rsid w:val="0058145E"/>
    <w:rsid w:val="00581DC8"/>
    <w:rsid w:val="0058400A"/>
    <w:rsid w:val="00585BFE"/>
    <w:rsid w:val="00586A45"/>
    <w:rsid w:val="005908B0"/>
    <w:rsid w:val="00592DD9"/>
    <w:rsid w:val="00595F62"/>
    <w:rsid w:val="005A22EC"/>
    <w:rsid w:val="005B0FCC"/>
    <w:rsid w:val="005B2D49"/>
    <w:rsid w:val="005B3CB1"/>
    <w:rsid w:val="005B6441"/>
    <w:rsid w:val="005D7B87"/>
    <w:rsid w:val="005E1EE8"/>
    <w:rsid w:val="005E2B21"/>
    <w:rsid w:val="005E429F"/>
    <w:rsid w:val="005E52BE"/>
    <w:rsid w:val="005E5CFC"/>
    <w:rsid w:val="005F5D79"/>
    <w:rsid w:val="00601539"/>
    <w:rsid w:val="006028D4"/>
    <w:rsid w:val="00604221"/>
    <w:rsid w:val="00611EAD"/>
    <w:rsid w:val="00616427"/>
    <w:rsid w:val="00620179"/>
    <w:rsid w:val="00620605"/>
    <w:rsid w:val="00622242"/>
    <w:rsid w:val="00636CF1"/>
    <w:rsid w:val="00640B34"/>
    <w:rsid w:val="006421E5"/>
    <w:rsid w:val="00644911"/>
    <w:rsid w:val="00650909"/>
    <w:rsid w:val="00667E60"/>
    <w:rsid w:val="00674763"/>
    <w:rsid w:val="00683A52"/>
    <w:rsid w:val="00686710"/>
    <w:rsid w:val="006905D5"/>
    <w:rsid w:val="00695825"/>
    <w:rsid w:val="006A0C55"/>
    <w:rsid w:val="006A5582"/>
    <w:rsid w:val="006A57C1"/>
    <w:rsid w:val="006B49D8"/>
    <w:rsid w:val="006C623D"/>
    <w:rsid w:val="006D01EF"/>
    <w:rsid w:val="006E0215"/>
    <w:rsid w:val="006E0909"/>
    <w:rsid w:val="006E2159"/>
    <w:rsid w:val="006E3D3E"/>
    <w:rsid w:val="006E5F7E"/>
    <w:rsid w:val="006F0BAD"/>
    <w:rsid w:val="006F0CE2"/>
    <w:rsid w:val="006F1C7D"/>
    <w:rsid w:val="006F2531"/>
    <w:rsid w:val="006F64A9"/>
    <w:rsid w:val="00701BB1"/>
    <w:rsid w:val="007030B1"/>
    <w:rsid w:val="0071080A"/>
    <w:rsid w:val="00715F7C"/>
    <w:rsid w:val="0071646F"/>
    <w:rsid w:val="00731ADB"/>
    <w:rsid w:val="00737F2A"/>
    <w:rsid w:val="007435E8"/>
    <w:rsid w:val="00743B05"/>
    <w:rsid w:val="00746843"/>
    <w:rsid w:val="00746C2E"/>
    <w:rsid w:val="00751168"/>
    <w:rsid w:val="00751A00"/>
    <w:rsid w:val="007571BB"/>
    <w:rsid w:val="00760B6E"/>
    <w:rsid w:val="00763FE1"/>
    <w:rsid w:val="007670A8"/>
    <w:rsid w:val="00774106"/>
    <w:rsid w:val="00776972"/>
    <w:rsid w:val="0079246B"/>
    <w:rsid w:val="007929ED"/>
    <w:rsid w:val="00794B7A"/>
    <w:rsid w:val="007A683F"/>
    <w:rsid w:val="007B0087"/>
    <w:rsid w:val="007B23EF"/>
    <w:rsid w:val="007B4A59"/>
    <w:rsid w:val="007C45B2"/>
    <w:rsid w:val="007D4616"/>
    <w:rsid w:val="007E1460"/>
    <w:rsid w:val="007F109C"/>
    <w:rsid w:val="008013FF"/>
    <w:rsid w:val="00802C13"/>
    <w:rsid w:val="0080681C"/>
    <w:rsid w:val="008076E3"/>
    <w:rsid w:val="00811059"/>
    <w:rsid w:val="008114FB"/>
    <w:rsid w:val="00817957"/>
    <w:rsid w:val="00820579"/>
    <w:rsid w:val="00830A85"/>
    <w:rsid w:val="008461D5"/>
    <w:rsid w:val="00846659"/>
    <w:rsid w:val="00860055"/>
    <w:rsid w:val="008613EB"/>
    <w:rsid w:val="008722CC"/>
    <w:rsid w:val="00874AE7"/>
    <w:rsid w:val="00885553"/>
    <w:rsid w:val="00885AFD"/>
    <w:rsid w:val="00887CC1"/>
    <w:rsid w:val="00891701"/>
    <w:rsid w:val="00897C1D"/>
    <w:rsid w:val="008A0064"/>
    <w:rsid w:val="008A1DD6"/>
    <w:rsid w:val="008A6B51"/>
    <w:rsid w:val="008A7345"/>
    <w:rsid w:val="008C7E78"/>
    <w:rsid w:val="008D108F"/>
    <w:rsid w:val="008D6D98"/>
    <w:rsid w:val="008E139E"/>
    <w:rsid w:val="008E1B24"/>
    <w:rsid w:val="008E56FE"/>
    <w:rsid w:val="008E744E"/>
    <w:rsid w:val="008F040D"/>
    <w:rsid w:val="008F10BC"/>
    <w:rsid w:val="008F35CA"/>
    <w:rsid w:val="008F4F6E"/>
    <w:rsid w:val="00904262"/>
    <w:rsid w:val="0090450E"/>
    <w:rsid w:val="00904A90"/>
    <w:rsid w:val="0091276B"/>
    <w:rsid w:val="00912D6B"/>
    <w:rsid w:val="00920A5E"/>
    <w:rsid w:val="00930A0C"/>
    <w:rsid w:val="00933182"/>
    <w:rsid w:val="0093662A"/>
    <w:rsid w:val="00944800"/>
    <w:rsid w:val="00947562"/>
    <w:rsid w:val="0095098E"/>
    <w:rsid w:val="00950E48"/>
    <w:rsid w:val="009546AC"/>
    <w:rsid w:val="00961119"/>
    <w:rsid w:val="009647B6"/>
    <w:rsid w:val="00967BA9"/>
    <w:rsid w:val="00970BE2"/>
    <w:rsid w:val="00976771"/>
    <w:rsid w:val="00976D3D"/>
    <w:rsid w:val="0098707B"/>
    <w:rsid w:val="00991151"/>
    <w:rsid w:val="0099158A"/>
    <w:rsid w:val="009A227E"/>
    <w:rsid w:val="009A5137"/>
    <w:rsid w:val="009B0A9C"/>
    <w:rsid w:val="009B11EE"/>
    <w:rsid w:val="009B40A6"/>
    <w:rsid w:val="009C47D9"/>
    <w:rsid w:val="009C6726"/>
    <w:rsid w:val="009D44CD"/>
    <w:rsid w:val="009D6753"/>
    <w:rsid w:val="009E4B40"/>
    <w:rsid w:val="009E51E4"/>
    <w:rsid w:val="009E6A9E"/>
    <w:rsid w:val="009F1230"/>
    <w:rsid w:val="00A00C4A"/>
    <w:rsid w:val="00A01F84"/>
    <w:rsid w:val="00A06C66"/>
    <w:rsid w:val="00A11C21"/>
    <w:rsid w:val="00A17703"/>
    <w:rsid w:val="00A20707"/>
    <w:rsid w:val="00A21CED"/>
    <w:rsid w:val="00A22686"/>
    <w:rsid w:val="00A268E9"/>
    <w:rsid w:val="00A348DE"/>
    <w:rsid w:val="00A4272F"/>
    <w:rsid w:val="00A56B18"/>
    <w:rsid w:val="00A63481"/>
    <w:rsid w:val="00A7172F"/>
    <w:rsid w:val="00A7256E"/>
    <w:rsid w:val="00A72C51"/>
    <w:rsid w:val="00A7449A"/>
    <w:rsid w:val="00A74B8B"/>
    <w:rsid w:val="00A77E98"/>
    <w:rsid w:val="00A83F6C"/>
    <w:rsid w:val="00A85D4B"/>
    <w:rsid w:val="00A86AB8"/>
    <w:rsid w:val="00AA20D3"/>
    <w:rsid w:val="00AB0EF8"/>
    <w:rsid w:val="00AB2A40"/>
    <w:rsid w:val="00AC0EA3"/>
    <w:rsid w:val="00AC504D"/>
    <w:rsid w:val="00AD7398"/>
    <w:rsid w:val="00AE2998"/>
    <w:rsid w:val="00AF2F45"/>
    <w:rsid w:val="00AF5ABA"/>
    <w:rsid w:val="00AF6E92"/>
    <w:rsid w:val="00B00F92"/>
    <w:rsid w:val="00B06167"/>
    <w:rsid w:val="00B06ED7"/>
    <w:rsid w:val="00B106F9"/>
    <w:rsid w:val="00B22387"/>
    <w:rsid w:val="00B24437"/>
    <w:rsid w:val="00B25296"/>
    <w:rsid w:val="00B253E8"/>
    <w:rsid w:val="00B357CF"/>
    <w:rsid w:val="00B4148E"/>
    <w:rsid w:val="00B50A3C"/>
    <w:rsid w:val="00B51B1D"/>
    <w:rsid w:val="00B5378E"/>
    <w:rsid w:val="00B57946"/>
    <w:rsid w:val="00B63A6D"/>
    <w:rsid w:val="00B64919"/>
    <w:rsid w:val="00B657F9"/>
    <w:rsid w:val="00B663F9"/>
    <w:rsid w:val="00B67184"/>
    <w:rsid w:val="00B7120E"/>
    <w:rsid w:val="00B750C0"/>
    <w:rsid w:val="00B93798"/>
    <w:rsid w:val="00BA0CF4"/>
    <w:rsid w:val="00BA31C1"/>
    <w:rsid w:val="00BA5768"/>
    <w:rsid w:val="00BB5D6F"/>
    <w:rsid w:val="00BB754D"/>
    <w:rsid w:val="00BC6F70"/>
    <w:rsid w:val="00BC7360"/>
    <w:rsid w:val="00BD265D"/>
    <w:rsid w:val="00BD335E"/>
    <w:rsid w:val="00BD4986"/>
    <w:rsid w:val="00BD66DC"/>
    <w:rsid w:val="00BE115E"/>
    <w:rsid w:val="00BE483C"/>
    <w:rsid w:val="00BE585C"/>
    <w:rsid w:val="00BE67E4"/>
    <w:rsid w:val="00BE7DF2"/>
    <w:rsid w:val="00C02CE5"/>
    <w:rsid w:val="00C038B9"/>
    <w:rsid w:val="00C17E11"/>
    <w:rsid w:val="00C267BB"/>
    <w:rsid w:val="00C32C48"/>
    <w:rsid w:val="00C40076"/>
    <w:rsid w:val="00C443EB"/>
    <w:rsid w:val="00C528A5"/>
    <w:rsid w:val="00C564E3"/>
    <w:rsid w:val="00C60563"/>
    <w:rsid w:val="00C63FE6"/>
    <w:rsid w:val="00C65DE6"/>
    <w:rsid w:val="00C8025D"/>
    <w:rsid w:val="00C82469"/>
    <w:rsid w:val="00C85912"/>
    <w:rsid w:val="00C9312F"/>
    <w:rsid w:val="00CA0900"/>
    <w:rsid w:val="00CA1A9D"/>
    <w:rsid w:val="00CA6739"/>
    <w:rsid w:val="00CB2F8F"/>
    <w:rsid w:val="00CB6536"/>
    <w:rsid w:val="00CD28C5"/>
    <w:rsid w:val="00CD441F"/>
    <w:rsid w:val="00CD6C7C"/>
    <w:rsid w:val="00CE045A"/>
    <w:rsid w:val="00CF1236"/>
    <w:rsid w:val="00D01A56"/>
    <w:rsid w:val="00D0326A"/>
    <w:rsid w:val="00D04E22"/>
    <w:rsid w:val="00D070CB"/>
    <w:rsid w:val="00D12FB7"/>
    <w:rsid w:val="00D161AC"/>
    <w:rsid w:val="00D2058A"/>
    <w:rsid w:val="00D24135"/>
    <w:rsid w:val="00D328C8"/>
    <w:rsid w:val="00D36647"/>
    <w:rsid w:val="00D40802"/>
    <w:rsid w:val="00D42724"/>
    <w:rsid w:val="00D530C8"/>
    <w:rsid w:val="00D54511"/>
    <w:rsid w:val="00D548B5"/>
    <w:rsid w:val="00D55BCE"/>
    <w:rsid w:val="00D57C1D"/>
    <w:rsid w:val="00D6271E"/>
    <w:rsid w:val="00D631C7"/>
    <w:rsid w:val="00D63642"/>
    <w:rsid w:val="00D707BD"/>
    <w:rsid w:val="00D753FD"/>
    <w:rsid w:val="00D86188"/>
    <w:rsid w:val="00D9437B"/>
    <w:rsid w:val="00D95E38"/>
    <w:rsid w:val="00D95ECA"/>
    <w:rsid w:val="00DC0D2A"/>
    <w:rsid w:val="00DC74DD"/>
    <w:rsid w:val="00DD331D"/>
    <w:rsid w:val="00DE00A3"/>
    <w:rsid w:val="00DE0506"/>
    <w:rsid w:val="00DE1B4B"/>
    <w:rsid w:val="00DE2EDE"/>
    <w:rsid w:val="00DE3BEE"/>
    <w:rsid w:val="00DF267E"/>
    <w:rsid w:val="00E03CF2"/>
    <w:rsid w:val="00E06134"/>
    <w:rsid w:val="00E0693B"/>
    <w:rsid w:val="00E10A5F"/>
    <w:rsid w:val="00E20CC9"/>
    <w:rsid w:val="00E24B89"/>
    <w:rsid w:val="00E2521C"/>
    <w:rsid w:val="00E33A7E"/>
    <w:rsid w:val="00E355B3"/>
    <w:rsid w:val="00E36044"/>
    <w:rsid w:val="00E438FD"/>
    <w:rsid w:val="00E62D4A"/>
    <w:rsid w:val="00E63578"/>
    <w:rsid w:val="00E71E10"/>
    <w:rsid w:val="00E73B59"/>
    <w:rsid w:val="00E832C1"/>
    <w:rsid w:val="00EA19BF"/>
    <w:rsid w:val="00EB290A"/>
    <w:rsid w:val="00ED6883"/>
    <w:rsid w:val="00EE0566"/>
    <w:rsid w:val="00EE374A"/>
    <w:rsid w:val="00EE48DE"/>
    <w:rsid w:val="00EF08F1"/>
    <w:rsid w:val="00EF65A5"/>
    <w:rsid w:val="00F04A21"/>
    <w:rsid w:val="00F111F4"/>
    <w:rsid w:val="00F1128B"/>
    <w:rsid w:val="00F1478B"/>
    <w:rsid w:val="00F14D7C"/>
    <w:rsid w:val="00F372E9"/>
    <w:rsid w:val="00F42FF1"/>
    <w:rsid w:val="00F43464"/>
    <w:rsid w:val="00F55E4B"/>
    <w:rsid w:val="00F62D29"/>
    <w:rsid w:val="00F706C2"/>
    <w:rsid w:val="00F7430E"/>
    <w:rsid w:val="00F760A1"/>
    <w:rsid w:val="00F80543"/>
    <w:rsid w:val="00F81847"/>
    <w:rsid w:val="00F925BC"/>
    <w:rsid w:val="00FA36C5"/>
    <w:rsid w:val="00FA4875"/>
    <w:rsid w:val="00FA498E"/>
    <w:rsid w:val="00FB1DE7"/>
    <w:rsid w:val="00FB41FD"/>
    <w:rsid w:val="00FB6D5E"/>
    <w:rsid w:val="00FC06C1"/>
    <w:rsid w:val="00FC0A37"/>
    <w:rsid w:val="00FC1933"/>
    <w:rsid w:val="00FC360A"/>
    <w:rsid w:val="00FC393A"/>
    <w:rsid w:val="00FD6A28"/>
    <w:rsid w:val="00FE2A39"/>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NormalParagraphStyle">
    <w:name w:val="NormalParagraphStyle"/>
    <w:basedOn w:val="a"/>
    <w:rsid w:val="00737F2A"/>
    <w:pPr>
      <w:autoSpaceDE w:val="0"/>
      <w:autoSpaceDN w:val="0"/>
      <w:adjustRightInd w:val="0"/>
      <w:spacing w:line="288" w:lineRule="auto"/>
    </w:pPr>
    <w:rPr>
      <w:rFonts w:ascii="宋体" w:hAnsi="Monotype Corsiva" w:cs="宋体"/>
      <w:color w:val="000000"/>
      <w:kern w:val="0"/>
      <w:sz w:val="24"/>
      <w:szCs w:val="24"/>
      <w:lang w:val="zh-CN"/>
    </w:rPr>
  </w:style>
  <w:style w:type="paragraph" w:customStyle="1" w:styleId="af5">
    <w:name w:val="作者"/>
    <w:basedOn w:val="a"/>
    <w:rsid w:val="00737F2A"/>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paragraphstyle">
    <w:name w:val="[No paragraph style]"/>
    <w:rsid w:val="00737F2A"/>
    <w:pPr>
      <w:widowControl w:val="0"/>
      <w:autoSpaceDE w:val="0"/>
      <w:autoSpaceDN w:val="0"/>
      <w:adjustRightInd w:val="0"/>
      <w:spacing w:line="288" w:lineRule="auto"/>
      <w:jc w:val="both"/>
      <w:textAlignment w:val="center"/>
    </w:pPr>
    <w:rPr>
      <w:rFonts w:ascii="Albertus Bold Italic" w:hAnsi="Albertus Bold Italic"/>
      <w:color w:val="000000"/>
      <w:sz w:val="24"/>
      <w:szCs w:val="24"/>
      <w:lang w:val="zh-CN"/>
    </w:rPr>
  </w:style>
  <w:style w:type="paragraph" w:customStyle="1" w:styleId="af6">
    <w:name w:val="表头"/>
    <w:basedOn w:val="NormalParagraphStyle"/>
    <w:rsid w:val="00737F2A"/>
    <w:pPr>
      <w:suppressAutoHyphens/>
      <w:textAlignment w:val="center"/>
    </w:pPr>
    <w:rPr>
      <w:rFonts w:ascii="Albertus" w:hAnsi="Albertus" w:cs="Albertus"/>
      <w:b/>
      <w:bCs/>
      <w:sz w:val="14"/>
      <w:szCs w:val="14"/>
    </w:rPr>
  </w:style>
  <w:style w:type="paragraph" w:customStyle="1" w:styleId="af7">
    <w:name w:val="表格中文字"/>
    <w:basedOn w:val="a"/>
    <w:rsid w:val="00737F2A"/>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8">
    <w:name w:val="表注"/>
    <w:basedOn w:val="af7"/>
    <w:rsid w:val="00737F2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NormalParagraphStyle">
    <w:name w:val="NormalParagraphStyle"/>
    <w:basedOn w:val="a"/>
    <w:rsid w:val="00737F2A"/>
    <w:pPr>
      <w:autoSpaceDE w:val="0"/>
      <w:autoSpaceDN w:val="0"/>
      <w:adjustRightInd w:val="0"/>
      <w:spacing w:line="288" w:lineRule="auto"/>
    </w:pPr>
    <w:rPr>
      <w:rFonts w:ascii="宋体" w:hAnsi="Monotype Corsiva" w:cs="宋体"/>
      <w:color w:val="000000"/>
      <w:kern w:val="0"/>
      <w:sz w:val="24"/>
      <w:szCs w:val="24"/>
      <w:lang w:val="zh-CN"/>
    </w:rPr>
  </w:style>
  <w:style w:type="paragraph" w:customStyle="1" w:styleId="af5">
    <w:name w:val="作者"/>
    <w:basedOn w:val="a"/>
    <w:rsid w:val="00737F2A"/>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paragraphstyle">
    <w:name w:val="[No paragraph style]"/>
    <w:rsid w:val="00737F2A"/>
    <w:pPr>
      <w:widowControl w:val="0"/>
      <w:autoSpaceDE w:val="0"/>
      <w:autoSpaceDN w:val="0"/>
      <w:adjustRightInd w:val="0"/>
      <w:spacing w:line="288" w:lineRule="auto"/>
      <w:jc w:val="both"/>
      <w:textAlignment w:val="center"/>
    </w:pPr>
    <w:rPr>
      <w:rFonts w:ascii="Albertus Bold Italic" w:hAnsi="Albertus Bold Italic"/>
      <w:color w:val="000000"/>
      <w:sz w:val="24"/>
      <w:szCs w:val="24"/>
      <w:lang w:val="zh-CN"/>
    </w:rPr>
  </w:style>
  <w:style w:type="paragraph" w:customStyle="1" w:styleId="af6">
    <w:name w:val="表头"/>
    <w:basedOn w:val="NormalParagraphStyle"/>
    <w:rsid w:val="00737F2A"/>
    <w:pPr>
      <w:suppressAutoHyphens/>
      <w:textAlignment w:val="center"/>
    </w:pPr>
    <w:rPr>
      <w:rFonts w:ascii="Albertus" w:hAnsi="Albertus" w:cs="Albertus"/>
      <w:b/>
      <w:bCs/>
      <w:sz w:val="14"/>
      <w:szCs w:val="14"/>
    </w:rPr>
  </w:style>
  <w:style w:type="paragraph" w:customStyle="1" w:styleId="af7">
    <w:name w:val="表格中文字"/>
    <w:basedOn w:val="a"/>
    <w:rsid w:val="00737F2A"/>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8">
    <w:name w:val="表注"/>
    <w:basedOn w:val="af7"/>
    <w:rsid w:val="00737F2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966">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BF8B4-9ACE-4612-8657-289466EF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22</Pages>
  <Words>6814</Words>
  <Characters>38846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45569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subject/>
  <dc:creator>ma</dc:creator>
  <cp:keywords/>
  <dc:description/>
  <cp:lastModifiedBy>Shuai Ma</cp:lastModifiedBy>
  <cp:revision>111</cp:revision>
  <cp:lastPrinted>2017-07-31T17:15:00Z</cp:lastPrinted>
  <dcterms:created xsi:type="dcterms:W3CDTF">2017-06-13T15:12:00Z</dcterms:created>
  <dcterms:modified xsi:type="dcterms:W3CDTF">2017-12-20T01:47:00Z</dcterms:modified>
</cp:coreProperties>
</file>