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7B664" w14:textId="77777777" w:rsidR="00B60D77" w:rsidRPr="00C311AE" w:rsidRDefault="00B60D77" w:rsidP="00020CC7">
      <w:pPr>
        <w:snapToGrid w:val="0"/>
        <w:spacing w:line="360" w:lineRule="auto"/>
        <w:jc w:val="both"/>
        <w:rPr>
          <w:rFonts w:ascii="Book Antiqua" w:eastAsiaTheme="minorEastAsia" w:hAnsi="Book Antiqua" w:cs="Arial"/>
          <w:b/>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C311AE">
        <w:rPr>
          <w:rFonts w:ascii="Book Antiqua" w:eastAsiaTheme="minorEastAsia" w:hAnsi="Book Antiqua" w:cs="Arial"/>
          <w:b/>
          <w:lang w:eastAsia="zh-CN"/>
        </w:rPr>
        <w:t xml:space="preserve">Name of </w:t>
      </w:r>
      <w:r w:rsidRPr="00C311AE">
        <w:rPr>
          <w:rFonts w:ascii="Book Antiqua" w:eastAsiaTheme="minorEastAsia" w:hAnsi="Book Antiqua" w:cs="Arial"/>
          <w:b/>
          <w:caps/>
          <w:lang w:eastAsia="zh-CN"/>
        </w:rPr>
        <w:t>j</w:t>
      </w:r>
      <w:r w:rsidRPr="00C311AE">
        <w:rPr>
          <w:rFonts w:ascii="Book Antiqua" w:eastAsiaTheme="minorEastAsia" w:hAnsi="Book Antiqua" w:cs="Arial"/>
          <w:b/>
          <w:lang w:eastAsia="zh-CN"/>
        </w:rPr>
        <w:t xml:space="preserve">ournal: </w:t>
      </w:r>
      <w:bookmarkStart w:id="19" w:name="OLE_LINK719"/>
      <w:bookmarkStart w:id="20" w:name="OLE_LINK718"/>
      <w:r w:rsidRPr="00C311AE">
        <w:rPr>
          <w:rFonts w:ascii="Book Antiqua" w:eastAsiaTheme="minorEastAsia" w:hAnsi="Book Antiqua" w:cs="Arial"/>
          <w:b/>
          <w:i/>
          <w:lang w:eastAsia="zh-CN"/>
        </w:rPr>
        <w:t>World Journal of Gastroenterology</w:t>
      </w:r>
      <w:bookmarkEnd w:id="19"/>
      <w:bookmarkEnd w:id="20"/>
    </w:p>
    <w:p w14:paraId="50DCDD63" w14:textId="3FBD1DBE" w:rsidR="00B60D77" w:rsidRPr="00C311AE" w:rsidRDefault="00B60D77" w:rsidP="00020CC7">
      <w:pPr>
        <w:snapToGrid w:val="0"/>
        <w:spacing w:line="360" w:lineRule="auto"/>
        <w:jc w:val="both"/>
        <w:rPr>
          <w:rFonts w:ascii="Book Antiqua" w:eastAsiaTheme="minorEastAsia" w:hAnsi="Book Antiqua" w:cs="Arial"/>
          <w:b/>
          <w:i/>
          <w:lang w:eastAsia="zh-CN"/>
        </w:rPr>
      </w:pPr>
      <w:bookmarkStart w:id="21" w:name="OLE_LINK768"/>
      <w:bookmarkStart w:id="22" w:name="OLE_LINK661"/>
      <w:bookmarkStart w:id="23" w:name="OLE_LINK486"/>
      <w:bookmarkStart w:id="24" w:name="OLE_LINK485"/>
      <w:bookmarkStart w:id="25" w:name="OLE_LINK515"/>
      <w:bookmarkStart w:id="26" w:name="OLE_LINK514"/>
      <w:r w:rsidRPr="00C311AE">
        <w:rPr>
          <w:rFonts w:ascii="Book Antiqua" w:eastAsiaTheme="minorEastAsia" w:hAnsi="Book Antiqua" w:cs="Arial"/>
          <w:b/>
          <w:lang w:val="pl-PL" w:eastAsia="zh-CN"/>
        </w:rPr>
        <w:t>Manuscript NO:</w:t>
      </w:r>
      <w:bookmarkEnd w:id="21"/>
      <w:bookmarkEnd w:id="22"/>
      <w:bookmarkEnd w:id="23"/>
      <w:bookmarkEnd w:id="24"/>
      <w:r w:rsidRPr="00C311AE">
        <w:rPr>
          <w:rFonts w:ascii="Book Antiqua" w:eastAsiaTheme="minorEastAsia" w:hAnsi="Book Antiqua" w:cs="Arial"/>
          <w:b/>
          <w:lang w:val="pl-PL" w:eastAsia="zh-CN"/>
        </w:rPr>
        <w:t xml:space="preserve"> </w:t>
      </w:r>
      <w:r w:rsidRPr="00C311AE">
        <w:rPr>
          <w:rFonts w:ascii="Book Antiqua" w:eastAsiaTheme="minorEastAsia" w:hAnsi="Book Antiqua" w:cs="Arial" w:hint="eastAsia"/>
          <w:b/>
          <w:lang w:val="pl-PL" w:eastAsia="zh-CN"/>
        </w:rPr>
        <w:t>35685</w:t>
      </w:r>
    </w:p>
    <w:p w14:paraId="44260E9C" w14:textId="6CBE024A" w:rsidR="00B60D77" w:rsidRPr="00C311AE" w:rsidRDefault="00B60D77" w:rsidP="00020CC7">
      <w:pPr>
        <w:snapToGrid w:val="0"/>
        <w:spacing w:line="360" w:lineRule="auto"/>
        <w:jc w:val="both"/>
        <w:rPr>
          <w:rFonts w:ascii="Book Antiqua" w:eastAsiaTheme="minorEastAsia" w:hAnsi="Book Antiqua" w:cs="Arial"/>
          <w:b/>
          <w:lang w:val="it-IT" w:eastAsia="zh-CN"/>
        </w:rPr>
      </w:pPr>
      <w:bookmarkStart w:id="27" w:name="OLE_LINK512"/>
      <w:bookmarkStart w:id="28" w:name="OLE_LINK511"/>
      <w:bookmarkEnd w:id="25"/>
      <w:bookmarkEnd w:id="26"/>
      <w:r w:rsidRPr="00C311AE">
        <w:rPr>
          <w:rFonts w:ascii="Book Antiqua" w:eastAsiaTheme="minorEastAsia" w:hAnsi="Book Antiqua" w:cs="Arial"/>
          <w:b/>
          <w:lang w:val="it-IT" w:eastAsia="zh-CN"/>
        </w:rPr>
        <w:t xml:space="preserve">Manuscript </w:t>
      </w:r>
      <w:r w:rsidRPr="00C311AE">
        <w:rPr>
          <w:rFonts w:ascii="Book Antiqua" w:eastAsiaTheme="minorEastAsia" w:hAnsi="Book Antiqua" w:cs="Arial"/>
          <w:b/>
          <w:caps/>
          <w:lang w:eastAsia="zh-CN"/>
        </w:rPr>
        <w:t>t</w:t>
      </w:r>
      <w:r w:rsidRPr="00C311AE">
        <w:rPr>
          <w:rFonts w:ascii="Book Antiqua" w:eastAsiaTheme="minorEastAsia" w:hAnsi="Book Antiqua" w:cs="Arial"/>
          <w:b/>
          <w:lang w:val="it-IT" w:eastAsia="zh-CN"/>
        </w:rPr>
        <w:t>ype:</w:t>
      </w:r>
      <w:bookmarkEnd w:id="0"/>
      <w:bookmarkEnd w:id="1"/>
      <w:bookmarkEnd w:id="2"/>
      <w:bookmarkEnd w:id="3"/>
      <w:bookmarkEnd w:id="4"/>
      <w:bookmarkEnd w:id="5"/>
      <w:bookmarkEnd w:id="6"/>
      <w:bookmarkEnd w:id="7"/>
      <w:bookmarkEnd w:id="8"/>
      <w:bookmarkEnd w:id="9"/>
      <w:bookmarkEnd w:id="10"/>
      <w:r w:rsidRPr="00C311AE">
        <w:rPr>
          <w:rFonts w:ascii="Book Antiqua" w:eastAsiaTheme="minorEastAsia" w:hAnsi="Book Antiqua" w:cs="Arial"/>
          <w:b/>
          <w:lang w:val="it-IT" w:eastAsia="zh-CN"/>
        </w:rPr>
        <w:t xml:space="preserve"> </w:t>
      </w:r>
      <w:bookmarkEnd w:id="11"/>
      <w:bookmarkEnd w:id="12"/>
      <w:bookmarkEnd w:id="13"/>
      <w:bookmarkEnd w:id="14"/>
      <w:bookmarkEnd w:id="15"/>
      <w:bookmarkEnd w:id="16"/>
      <w:bookmarkEnd w:id="17"/>
      <w:bookmarkEnd w:id="18"/>
      <w:bookmarkEnd w:id="27"/>
      <w:bookmarkEnd w:id="28"/>
      <w:r w:rsidRPr="00C311AE">
        <w:rPr>
          <w:rFonts w:ascii="Book Antiqua" w:eastAsiaTheme="minorEastAsia" w:hAnsi="Book Antiqua" w:cs="Arial"/>
          <w:b/>
          <w:lang w:eastAsia="zh-CN"/>
        </w:rPr>
        <w:t>ORIGINAL ARTICLE</w:t>
      </w:r>
    </w:p>
    <w:p w14:paraId="69F38B6D" w14:textId="515DDC49" w:rsidR="00B60D77" w:rsidRPr="00C311AE" w:rsidRDefault="00B60D77" w:rsidP="00020CC7">
      <w:pPr>
        <w:snapToGrid w:val="0"/>
        <w:spacing w:line="360" w:lineRule="auto"/>
        <w:jc w:val="both"/>
        <w:rPr>
          <w:rFonts w:ascii="Book Antiqua" w:eastAsiaTheme="minorEastAsia" w:hAnsi="Book Antiqua" w:cs="Arial"/>
          <w:b/>
          <w:lang w:eastAsia="zh-CN"/>
        </w:rPr>
      </w:pPr>
    </w:p>
    <w:p w14:paraId="18D8C712" w14:textId="5FADA68B" w:rsidR="00B60D77" w:rsidRPr="00C311AE" w:rsidRDefault="00B60D77" w:rsidP="00020CC7">
      <w:pPr>
        <w:tabs>
          <w:tab w:val="left" w:pos="5988"/>
        </w:tabs>
        <w:snapToGrid w:val="0"/>
        <w:spacing w:line="360" w:lineRule="auto"/>
        <w:jc w:val="both"/>
        <w:rPr>
          <w:rFonts w:ascii="Book Antiqua" w:eastAsiaTheme="minorEastAsia" w:hAnsi="Book Antiqua" w:cs="Arial"/>
          <w:b/>
          <w:i/>
          <w:lang w:eastAsia="zh-CN"/>
        </w:rPr>
      </w:pPr>
      <w:r w:rsidRPr="00C311AE">
        <w:rPr>
          <w:rFonts w:ascii="Book Antiqua" w:eastAsiaTheme="minorEastAsia" w:hAnsi="Book Antiqua" w:cs="Arial"/>
          <w:b/>
          <w:i/>
          <w:lang w:eastAsia="zh-CN"/>
        </w:rPr>
        <w:t>Observational Study</w:t>
      </w:r>
    </w:p>
    <w:p w14:paraId="21100B7A" w14:textId="301C9C44" w:rsidR="00B558C5" w:rsidRPr="00C311AE" w:rsidRDefault="00B558C5" w:rsidP="00020CC7">
      <w:pPr>
        <w:snapToGrid w:val="0"/>
        <w:spacing w:line="360" w:lineRule="auto"/>
        <w:jc w:val="both"/>
        <w:rPr>
          <w:rFonts w:ascii="Book Antiqua" w:hAnsi="Book Antiqua" w:cs="Arial"/>
          <w:b/>
        </w:rPr>
      </w:pPr>
      <w:r w:rsidRPr="00C311AE">
        <w:rPr>
          <w:rFonts w:ascii="Book Antiqua" w:hAnsi="Book Antiqua" w:cs="Arial"/>
          <w:b/>
        </w:rPr>
        <w:t xml:space="preserve">Chronic </w:t>
      </w:r>
      <w:r w:rsidR="00B60D77" w:rsidRPr="00C311AE">
        <w:rPr>
          <w:rFonts w:ascii="Book Antiqua" w:hAnsi="Book Antiqua" w:cs="Arial"/>
          <w:b/>
        </w:rPr>
        <w:t xml:space="preserve">opioids in gastroparesis: </w:t>
      </w:r>
      <w:r w:rsidR="00B60D77" w:rsidRPr="00176401">
        <w:rPr>
          <w:rFonts w:ascii="Book Antiqua" w:hAnsi="Book Antiqua" w:cs="Arial"/>
          <w:b/>
          <w:caps/>
        </w:rPr>
        <w:t>r</w:t>
      </w:r>
      <w:r w:rsidR="00B60D77" w:rsidRPr="00C311AE">
        <w:rPr>
          <w:rFonts w:ascii="Book Antiqua" w:hAnsi="Book Antiqua" w:cs="Arial"/>
          <w:b/>
        </w:rPr>
        <w:t>elationship with gastrointestinal symptoms, healthcare utilization and employment</w:t>
      </w:r>
    </w:p>
    <w:p w14:paraId="4ED30905" w14:textId="77777777" w:rsidR="008D2D18" w:rsidRPr="00C311AE" w:rsidRDefault="008D2D18" w:rsidP="00020CC7">
      <w:pPr>
        <w:snapToGrid w:val="0"/>
        <w:spacing w:line="360" w:lineRule="auto"/>
        <w:jc w:val="both"/>
        <w:rPr>
          <w:rFonts w:ascii="Book Antiqua" w:hAnsi="Book Antiqua" w:cs="Arial"/>
          <w:b/>
        </w:rPr>
      </w:pPr>
    </w:p>
    <w:p w14:paraId="24F55E7E" w14:textId="356F987B" w:rsidR="0026347B" w:rsidRPr="00C311AE" w:rsidRDefault="00B60D77" w:rsidP="00020CC7">
      <w:pPr>
        <w:snapToGrid w:val="0"/>
        <w:spacing w:line="360" w:lineRule="auto"/>
        <w:jc w:val="both"/>
        <w:rPr>
          <w:rFonts w:ascii="Book Antiqua" w:hAnsi="Book Antiqua" w:cs="Arial"/>
        </w:rPr>
      </w:pPr>
      <w:r w:rsidRPr="00C311AE">
        <w:rPr>
          <w:rFonts w:ascii="Book Antiqua" w:hAnsi="Book Antiqua" w:cs="Arial"/>
        </w:rPr>
        <w:t>Jehangir</w:t>
      </w:r>
      <w:r w:rsidRPr="00C311AE">
        <w:rPr>
          <w:rFonts w:ascii="Book Antiqua" w:eastAsiaTheme="minorEastAsia" w:hAnsi="Book Antiqua" w:cs="Arial" w:hint="eastAsia"/>
          <w:lang w:eastAsia="zh-CN"/>
        </w:rPr>
        <w:t xml:space="preserve"> A </w:t>
      </w:r>
      <w:r w:rsidRPr="00C311AE">
        <w:rPr>
          <w:rFonts w:ascii="Book Antiqua" w:eastAsiaTheme="minorEastAsia" w:hAnsi="Book Antiqua" w:cs="Arial" w:hint="eastAsia"/>
          <w:i/>
          <w:lang w:eastAsia="zh-CN"/>
        </w:rPr>
        <w:t>et al</w:t>
      </w:r>
      <w:r w:rsidRPr="00C311AE">
        <w:rPr>
          <w:rFonts w:ascii="Book Antiqua" w:eastAsiaTheme="minorEastAsia" w:hAnsi="Book Antiqua" w:cs="Arial" w:hint="eastAsia"/>
          <w:lang w:eastAsia="zh-CN"/>
        </w:rPr>
        <w:t>.</w:t>
      </w:r>
      <w:r w:rsidR="0026347B" w:rsidRPr="00C311AE">
        <w:rPr>
          <w:rFonts w:ascii="Book Antiqua" w:hAnsi="Book Antiqua" w:cs="Arial"/>
        </w:rPr>
        <w:t xml:space="preserve"> Chronic </w:t>
      </w:r>
      <w:r w:rsidR="000638F7" w:rsidRPr="00C311AE">
        <w:rPr>
          <w:rFonts w:ascii="Book Antiqua" w:hAnsi="Book Antiqua" w:cs="Arial"/>
        </w:rPr>
        <w:t>o</w:t>
      </w:r>
      <w:r w:rsidR="0026347B" w:rsidRPr="00C311AE">
        <w:rPr>
          <w:rFonts w:ascii="Book Antiqua" w:hAnsi="Book Antiqua" w:cs="Arial"/>
        </w:rPr>
        <w:t xml:space="preserve">pioids in </w:t>
      </w:r>
      <w:r w:rsidR="000638F7" w:rsidRPr="00C311AE">
        <w:rPr>
          <w:rFonts w:ascii="Book Antiqua" w:hAnsi="Book Antiqua" w:cs="Arial"/>
        </w:rPr>
        <w:t>g</w:t>
      </w:r>
      <w:r w:rsidR="0026347B" w:rsidRPr="00C311AE">
        <w:rPr>
          <w:rFonts w:ascii="Book Antiqua" w:hAnsi="Book Antiqua" w:cs="Arial"/>
        </w:rPr>
        <w:t>astroparesis</w:t>
      </w:r>
    </w:p>
    <w:p w14:paraId="110DF357" w14:textId="77777777" w:rsidR="008D2D18" w:rsidRPr="00C311AE" w:rsidRDefault="008D2D18" w:rsidP="00020CC7">
      <w:pPr>
        <w:snapToGrid w:val="0"/>
        <w:spacing w:line="360" w:lineRule="auto"/>
        <w:jc w:val="both"/>
        <w:rPr>
          <w:rFonts w:ascii="Book Antiqua" w:hAnsi="Book Antiqua" w:cs="Arial"/>
        </w:rPr>
      </w:pPr>
    </w:p>
    <w:p w14:paraId="13BC1AE2" w14:textId="3D15B41D" w:rsidR="00B558C5" w:rsidRPr="00C311AE" w:rsidRDefault="00B558C5" w:rsidP="00020CC7">
      <w:pPr>
        <w:snapToGrid w:val="0"/>
        <w:spacing w:line="360" w:lineRule="auto"/>
        <w:jc w:val="both"/>
        <w:rPr>
          <w:rFonts w:ascii="Book Antiqua" w:eastAsiaTheme="minorEastAsia" w:hAnsi="Book Antiqua" w:cs="Arial"/>
          <w:vertAlign w:val="superscript"/>
          <w:lang w:eastAsia="zh-CN"/>
        </w:rPr>
      </w:pPr>
      <w:r w:rsidRPr="00C311AE">
        <w:rPr>
          <w:rFonts w:ascii="Book Antiqua" w:hAnsi="Book Antiqua" w:cs="Arial"/>
        </w:rPr>
        <w:t>Asad Jehangir,</w:t>
      </w:r>
      <w:r w:rsidR="00B60D77" w:rsidRPr="00C311AE">
        <w:rPr>
          <w:rFonts w:ascii="Book Antiqua" w:eastAsiaTheme="minorEastAsia" w:hAnsi="Book Antiqua" w:cs="Arial" w:hint="eastAsia"/>
          <w:lang w:eastAsia="zh-CN"/>
        </w:rPr>
        <w:t xml:space="preserve"> </w:t>
      </w:r>
      <w:r w:rsidRPr="00C311AE">
        <w:rPr>
          <w:rFonts w:ascii="Book Antiqua" w:hAnsi="Book Antiqua" w:cs="Arial"/>
        </w:rPr>
        <w:t>Henry P</w:t>
      </w:r>
      <w:r w:rsidR="00B60D77" w:rsidRPr="00C311AE">
        <w:rPr>
          <w:rFonts w:ascii="Book Antiqua" w:eastAsiaTheme="minorEastAsia" w:hAnsi="Book Antiqua" w:cs="Arial" w:hint="eastAsia"/>
          <w:lang w:eastAsia="zh-CN"/>
        </w:rPr>
        <w:t xml:space="preserve"> </w:t>
      </w:r>
      <w:r w:rsidRPr="00C311AE">
        <w:rPr>
          <w:rFonts w:ascii="Book Antiqua" w:hAnsi="Book Antiqua" w:cs="Arial"/>
        </w:rPr>
        <w:t>Parkman</w:t>
      </w:r>
      <w:r w:rsidR="00B60D77" w:rsidRPr="00C311AE">
        <w:rPr>
          <w:rFonts w:ascii="Book Antiqua" w:eastAsiaTheme="minorEastAsia" w:hAnsi="Book Antiqua" w:cs="Arial" w:hint="eastAsia"/>
          <w:lang w:eastAsia="zh-CN"/>
        </w:rPr>
        <w:t xml:space="preserve"> </w:t>
      </w:r>
    </w:p>
    <w:p w14:paraId="5F3D0102" w14:textId="77777777" w:rsidR="008D2D18" w:rsidRPr="00C311AE" w:rsidRDefault="008D2D18" w:rsidP="00020CC7">
      <w:pPr>
        <w:snapToGrid w:val="0"/>
        <w:spacing w:line="360" w:lineRule="auto"/>
        <w:jc w:val="both"/>
        <w:rPr>
          <w:rFonts w:ascii="Book Antiqua" w:hAnsi="Book Antiqua" w:cs="Arial"/>
          <w:vertAlign w:val="superscript"/>
        </w:rPr>
      </w:pPr>
    </w:p>
    <w:p w14:paraId="637D9C7B" w14:textId="6A2176B2" w:rsidR="008D2D18" w:rsidRPr="00C311AE" w:rsidRDefault="0026347B" w:rsidP="00020CC7">
      <w:pPr>
        <w:snapToGrid w:val="0"/>
        <w:spacing w:line="360" w:lineRule="auto"/>
        <w:jc w:val="both"/>
        <w:rPr>
          <w:rFonts w:ascii="Book Antiqua" w:eastAsiaTheme="minorEastAsia" w:hAnsi="Book Antiqua" w:cs="Arial"/>
          <w:lang w:eastAsia="zh-CN"/>
        </w:rPr>
      </w:pPr>
      <w:r w:rsidRPr="00C311AE">
        <w:rPr>
          <w:rFonts w:ascii="Book Antiqua" w:hAnsi="Book Antiqua" w:cs="Arial"/>
          <w:b/>
        </w:rPr>
        <w:t>Asad Jehangir,</w:t>
      </w:r>
      <w:r w:rsidR="00B60D77" w:rsidRPr="00C311AE">
        <w:rPr>
          <w:rFonts w:ascii="Book Antiqua" w:eastAsiaTheme="minorEastAsia" w:hAnsi="Book Antiqua" w:cs="Arial" w:hint="eastAsia"/>
          <w:lang w:eastAsia="zh-CN"/>
        </w:rPr>
        <w:t xml:space="preserve"> </w:t>
      </w:r>
      <w:r w:rsidR="00B558C5" w:rsidRPr="00C311AE">
        <w:rPr>
          <w:rFonts w:ascii="Book Antiqua" w:hAnsi="Book Antiqua" w:cs="Arial"/>
        </w:rPr>
        <w:t>Department of Internal Medicine, Reading Health System, Spruce St/6</w:t>
      </w:r>
      <w:r w:rsidR="00B558C5" w:rsidRPr="00C311AE">
        <w:rPr>
          <w:rFonts w:ascii="Book Antiqua" w:hAnsi="Book Antiqua" w:cs="Arial"/>
          <w:vertAlign w:val="superscript"/>
        </w:rPr>
        <w:t>th</w:t>
      </w:r>
      <w:r w:rsidR="00B558C5" w:rsidRPr="00C311AE">
        <w:rPr>
          <w:rFonts w:ascii="Book Antiqua" w:hAnsi="Book Antiqua" w:cs="Arial"/>
        </w:rPr>
        <w:t xml:space="preserve"> Ave, West Reading, PA 19611</w:t>
      </w:r>
      <w:r w:rsidR="00B60D77" w:rsidRPr="00C311AE">
        <w:rPr>
          <w:rFonts w:ascii="Book Antiqua" w:eastAsiaTheme="minorEastAsia" w:hAnsi="Book Antiqua" w:cs="Arial" w:hint="eastAsia"/>
          <w:lang w:eastAsia="zh-CN"/>
        </w:rPr>
        <w:t xml:space="preserve">, </w:t>
      </w:r>
      <w:r w:rsidR="008D2D18" w:rsidRPr="00C311AE">
        <w:rPr>
          <w:rFonts w:ascii="Book Antiqua" w:hAnsi="Book Antiqua" w:cs="Arial"/>
        </w:rPr>
        <w:t>U</w:t>
      </w:r>
      <w:r w:rsidR="00B60D77" w:rsidRPr="00C311AE">
        <w:rPr>
          <w:rFonts w:ascii="Book Antiqua" w:eastAsiaTheme="minorEastAsia" w:hAnsi="Book Antiqua" w:cs="Arial" w:hint="eastAsia"/>
          <w:lang w:eastAsia="zh-CN"/>
        </w:rPr>
        <w:t>nited States</w:t>
      </w:r>
    </w:p>
    <w:p w14:paraId="1A86104E" w14:textId="77777777" w:rsidR="008D2D18" w:rsidRPr="00C311AE" w:rsidRDefault="008D2D18" w:rsidP="00020CC7">
      <w:pPr>
        <w:snapToGrid w:val="0"/>
        <w:spacing w:line="360" w:lineRule="auto"/>
        <w:jc w:val="both"/>
        <w:rPr>
          <w:rFonts w:ascii="Book Antiqua" w:hAnsi="Book Antiqua" w:cs="Arial"/>
        </w:rPr>
      </w:pPr>
    </w:p>
    <w:p w14:paraId="7C931BF2" w14:textId="1EBC9257" w:rsidR="00FD5D56" w:rsidRPr="00C311AE" w:rsidRDefault="00FD5D56" w:rsidP="00020CC7">
      <w:pPr>
        <w:snapToGrid w:val="0"/>
        <w:spacing w:line="360" w:lineRule="auto"/>
        <w:jc w:val="both"/>
        <w:rPr>
          <w:rFonts w:ascii="Book Antiqua" w:hAnsi="Book Antiqua" w:cs="Arial"/>
        </w:rPr>
      </w:pPr>
      <w:r w:rsidRPr="00C311AE">
        <w:rPr>
          <w:rFonts w:ascii="Book Antiqua" w:hAnsi="Book Antiqua" w:cs="Arial"/>
          <w:b/>
        </w:rPr>
        <w:t>Asad Jehangir,</w:t>
      </w:r>
      <w:r w:rsidRPr="00C311AE">
        <w:rPr>
          <w:rFonts w:ascii="Book Antiqua" w:hAnsi="Book Antiqua" w:cs="Arial"/>
        </w:rPr>
        <w:t xml:space="preserve"> </w:t>
      </w:r>
      <w:r w:rsidR="00B60D77" w:rsidRPr="00C311AE">
        <w:rPr>
          <w:rFonts w:ascii="Book Antiqua" w:hAnsi="Book Antiqua" w:cs="Arial"/>
          <w:b/>
        </w:rPr>
        <w:t>Henry P</w:t>
      </w:r>
      <w:r w:rsidR="00B60D77" w:rsidRPr="00C311AE">
        <w:rPr>
          <w:rFonts w:ascii="Book Antiqua" w:eastAsiaTheme="minorEastAsia" w:hAnsi="Book Antiqua" w:cs="Arial" w:hint="eastAsia"/>
          <w:b/>
          <w:lang w:eastAsia="zh-CN"/>
        </w:rPr>
        <w:t xml:space="preserve"> </w:t>
      </w:r>
      <w:r w:rsidR="00B60D77" w:rsidRPr="00C311AE">
        <w:rPr>
          <w:rFonts w:ascii="Book Antiqua" w:hAnsi="Book Antiqua" w:cs="Arial"/>
          <w:b/>
        </w:rPr>
        <w:t>Parkman,</w:t>
      </w:r>
      <w:r w:rsidR="00B60D77" w:rsidRPr="00C311AE">
        <w:rPr>
          <w:rFonts w:ascii="Book Antiqua" w:eastAsiaTheme="minorEastAsia" w:hAnsi="Book Antiqua" w:cs="Arial" w:hint="eastAsia"/>
          <w:lang w:eastAsia="zh-CN"/>
        </w:rPr>
        <w:t xml:space="preserve"> </w:t>
      </w:r>
      <w:r w:rsidRPr="00C311AE">
        <w:rPr>
          <w:rFonts w:ascii="Book Antiqua" w:hAnsi="Book Antiqua" w:cs="Arial"/>
        </w:rPr>
        <w:t>Department of Gastroenterology, Temple University Hospital,</w:t>
      </w:r>
      <w:r w:rsidR="00B60D77" w:rsidRPr="00C311AE">
        <w:rPr>
          <w:rFonts w:ascii="Book Antiqua" w:eastAsiaTheme="minorEastAsia" w:hAnsi="Book Antiqua" w:cs="Arial" w:hint="eastAsia"/>
          <w:lang w:eastAsia="zh-CN"/>
        </w:rPr>
        <w:t xml:space="preserve"> </w:t>
      </w:r>
      <w:r w:rsidRPr="00C311AE">
        <w:rPr>
          <w:rFonts w:ascii="Book Antiqua" w:hAnsi="Book Antiqua" w:cs="Arial"/>
        </w:rPr>
        <w:t>Philadelphia, PA 19140</w:t>
      </w:r>
      <w:r w:rsidR="00B60D77" w:rsidRPr="00C311AE">
        <w:rPr>
          <w:rFonts w:ascii="Book Antiqua" w:eastAsiaTheme="minorEastAsia" w:hAnsi="Book Antiqua" w:cs="Arial" w:hint="eastAsia"/>
          <w:lang w:eastAsia="zh-CN"/>
        </w:rPr>
        <w:t xml:space="preserve">, </w:t>
      </w:r>
      <w:r w:rsidR="00B60D77" w:rsidRPr="00C311AE">
        <w:rPr>
          <w:rFonts w:ascii="Book Antiqua" w:hAnsi="Book Antiqua" w:cs="Arial"/>
        </w:rPr>
        <w:t>U</w:t>
      </w:r>
      <w:r w:rsidR="00B60D77" w:rsidRPr="00C311AE">
        <w:rPr>
          <w:rFonts w:ascii="Book Antiqua" w:eastAsiaTheme="minorEastAsia" w:hAnsi="Book Antiqua" w:cs="Arial" w:hint="eastAsia"/>
          <w:lang w:eastAsia="zh-CN"/>
        </w:rPr>
        <w:t>nited States</w:t>
      </w:r>
    </w:p>
    <w:p w14:paraId="7ADD6559" w14:textId="77777777" w:rsidR="008D2D18" w:rsidRPr="00C311AE" w:rsidRDefault="008D2D18" w:rsidP="00020CC7">
      <w:pPr>
        <w:snapToGrid w:val="0"/>
        <w:spacing w:line="360" w:lineRule="auto"/>
        <w:jc w:val="both"/>
        <w:rPr>
          <w:rFonts w:ascii="Book Antiqua" w:eastAsiaTheme="minorEastAsia" w:hAnsi="Book Antiqua" w:cs="Arial"/>
          <w:lang w:eastAsia="zh-CN"/>
        </w:rPr>
      </w:pPr>
    </w:p>
    <w:p w14:paraId="7993EAEA" w14:textId="2B80C9B2" w:rsidR="00B60D77" w:rsidRPr="00C311AE" w:rsidRDefault="00B60D77" w:rsidP="00020CC7">
      <w:pPr>
        <w:snapToGrid w:val="0"/>
        <w:spacing w:line="360" w:lineRule="auto"/>
        <w:jc w:val="both"/>
        <w:rPr>
          <w:rFonts w:ascii="Book Antiqua" w:eastAsiaTheme="minorEastAsia" w:hAnsi="Book Antiqua" w:cs="Arial"/>
          <w:vertAlign w:val="superscript"/>
          <w:lang w:eastAsia="zh-CN"/>
        </w:rPr>
      </w:pPr>
      <w:r w:rsidRPr="00C311AE">
        <w:rPr>
          <w:rFonts w:ascii="Book Antiqua" w:hAnsi="Book Antiqua"/>
          <w:b/>
        </w:rPr>
        <w:t>ORCID number:</w:t>
      </w:r>
      <w:r w:rsidRPr="00C311AE">
        <w:rPr>
          <w:rFonts w:ascii="Book Antiqua" w:eastAsiaTheme="minorEastAsia" w:hAnsi="Book Antiqua" w:cs="Arial" w:hint="eastAsia"/>
          <w:lang w:eastAsia="zh-CN"/>
        </w:rPr>
        <w:t xml:space="preserve"> </w:t>
      </w:r>
      <w:r w:rsidRPr="00C311AE">
        <w:rPr>
          <w:rFonts w:ascii="Book Antiqua" w:hAnsi="Book Antiqua" w:cs="Arial"/>
        </w:rPr>
        <w:t>Asad Jehangir</w:t>
      </w:r>
      <w:r w:rsidRPr="00C311AE">
        <w:rPr>
          <w:rFonts w:ascii="Book Antiqua" w:eastAsiaTheme="minorEastAsia" w:hAnsi="Book Antiqua" w:cs="Arial" w:hint="eastAsia"/>
          <w:lang w:eastAsia="zh-CN"/>
        </w:rPr>
        <w:t xml:space="preserve"> (</w:t>
      </w:r>
      <w:r w:rsidRPr="00C311AE">
        <w:rPr>
          <w:rFonts w:ascii="Book Antiqua" w:eastAsiaTheme="minorEastAsia" w:hAnsi="Book Antiqua" w:cs="Arial"/>
          <w:lang w:eastAsia="zh-CN"/>
        </w:rPr>
        <w:t>0000-0003-3178-6264</w:t>
      </w:r>
      <w:r w:rsidRPr="00C311AE">
        <w:rPr>
          <w:rFonts w:ascii="Book Antiqua" w:eastAsiaTheme="minorEastAsia" w:hAnsi="Book Antiqua" w:cs="Arial" w:hint="eastAsia"/>
          <w:lang w:eastAsia="zh-CN"/>
        </w:rPr>
        <w:t xml:space="preserve">); </w:t>
      </w:r>
      <w:r w:rsidRPr="00C311AE">
        <w:rPr>
          <w:rFonts w:ascii="Book Antiqua" w:hAnsi="Book Antiqua" w:cs="Arial"/>
        </w:rPr>
        <w:t>Henry P</w:t>
      </w:r>
      <w:r w:rsidRPr="00C311AE">
        <w:rPr>
          <w:rFonts w:ascii="Book Antiqua" w:eastAsiaTheme="minorEastAsia" w:hAnsi="Book Antiqua" w:cs="Arial" w:hint="eastAsia"/>
          <w:lang w:eastAsia="zh-CN"/>
        </w:rPr>
        <w:t xml:space="preserve"> </w:t>
      </w:r>
      <w:r w:rsidRPr="00C311AE">
        <w:rPr>
          <w:rFonts w:ascii="Book Antiqua" w:hAnsi="Book Antiqua" w:cs="Arial"/>
        </w:rPr>
        <w:t>Parkman</w:t>
      </w:r>
      <w:r w:rsidRPr="00C311AE">
        <w:rPr>
          <w:rFonts w:ascii="Book Antiqua" w:eastAsiaTheme="minorEastAsia" w:hAnsi="Book Antiqua" w:cs="Arial" w:hint="eastAsia"/>
          <w:lang w:eastAsia="zh-CN"/>
        </w:rPr>
        <w:t xml:space="preserve"> (</w:t>
      </w:r>
      <w:r w:rsidRPr="00C311AE">
        <w:rPr>
          <w:rFonts w:ascii="Book Antiqua" w:eastAsiaTheme="minorEastAsia" w:hAnsi="Book Antiqua" w:cs="Arial"/>
          <w:lang w:eastAsia="zh-CN"/>
        </w:rPr>
        <w:t>0000-0003-4904-4891</w:t>
      </w:r>
      <w:r w:rsidRPr="00C311AE">
        <w:rPr>
          <w:rFonts w:ascii="Book Antiqua" w:eastAsiaTheme="minorEastAsia" w:hAnsi="Book Antiqua" w:cs="Arial" w:hint="eastAsia"/>
          <w:lang w:eastAsia="zh-CN"/>
        </w:rPr>
        <w:t>).</w:t>
      </w:r>
    </w:p>
    <w:p w14:paraId="530BAE37" w14:textId="77777777" w:rsidR="00B60D77" w:rsidRPr="00C311AE" w:rsidRDefault="00B60D77" w:rsidP="00020CC7">
      <w:pPr>
        <w:snapToGrid w:val="0"/>
        <w:spacing w:line="360" w:lineRule="auto"/>
        <w:jc w:val="both"/>
        <w:rPr>
          <w:rFonts w:ascii="Book Antiqua" w:eastAsiaTheme="minorEastAsia" w:hAnsi="Book Antiqua" w:cs="Arial"/>
          <w:lang w:eastAsia="zh-CN"/>
        </w:rPr>
      </w:pPr>
    </w:p>
    <w:p w14:paraId="6B350F75" w14:textId="32B37DF3" w:rsidR="0026347B" w:rsidRPr="00C311AE" w:rsidRDefault="0026347B" w:rsidP="00020CC7">
      <w:pPr>
        <w:snapToGrid w:val="0"/>
        <w:spacing w:line="360" w:lineRule="auto"/>
        <w:jc w:val="both"/>
        <w:rPr>
          <w:rFonts w:ascii="Book Antiqua" w:hAnsi="Book Antiqua" w:cs="Arial"/>
        </w:rPr>
      </w:pPr>
      <w:r w:rsidRPr="00C311AE">
        <w:rPr>
          <w:rFonts w:ascii="Book Antiqua" w:hAnsi="Book Antiqua" w:cs="Arial"/>
          <w:b/>
          <w:lang w:val="en"/>
        </w:rPr>
        <w:t xml:space="preserve">Author </w:t>
      </w:r>
      <w:r w:rsidR="00176401" w:rsidRPr="00C311AE">
        <w:rPr>
          <w:rFonts w:ascii="Book Antiqua" w:hAnsi="Book Antiqua" w:cs="Arial"/>
          <w:b/>
          <w:lang w:val="en"/>
        </w:rPr>
        <w:t>c</w:t>
      </w:r>
      <w:r w:rsidRPr="00C311AE">
        <w:rPr>
          <w:rFonts w:ascii="Book Antiqua" w:hAnsi="Book Antiqua" w:cs="Arial"/>
          <w:b/>
          <w:lang w:val="en"/>
        </w:rPr>
        <w:t>ontributions:</w:t>
      </w:r>
      <w:r w:rsidRPr="00C311AE">
        <w:rPr>
          <w:rFonts w:ascii="Book Antiqua" w:hAnsi="Book Antiqua" w:cs="Arial"/>
          <w:lang w:val="en"/>
        </w:rPr>
        <w:t xml:space="preserve"> </w:t>
      </w:r>
      <w:r w:rsidR="00AF69E3" w:rsidRPr="00C311AE">
        <w:rPr>
          <w:rFonts w:ascii="Book Antiqua" w:hAnsi="Book Antiqua" w:cs="Arial"/>
        </w:rPr>
        <w:t xml:space="preserve">Jehangir </w:t>
      </w:r>
      <w:r w:rsidR="00B538C7" w:rsidRPr="00C311AE">
        <w:rPr>
          <w:rFonts w:ascii="Book Antiqua" w:hAnsi="Book Antiqua" w:cs="Arial"/>
        </w:rPr>
        <w:t xml:space="preserve">A </w:t>
      </w:r>
      <w:r w:rsidRPr="00C311AE">
        <w:rPr>
          <w:rFonts w:ascii="Book Antiqua" w:hAnsi="Book Antiqua" w:cs="Arial"/>
        </w:rPr>
        <w:t xml:space="preserve">collected and analyzed the data, did literature review, </w:t>
      </w:r>
      <w:r w:rsidR="00C45FAF" w:rsidRPr="00C311AE">
        <w:rPr>
          <w:rFonts w:ascii="Book Antiqua" w:hAnsi="Book Antiqua" w:cs="Arial"/>
        </w:rPr>
        <w:t xml:space="preserve">and </w:t>
      </w:r>
      <w:r w:rsidRPr="00C311AE">
        <w:rPr>
          <w:rFonts w:ascii="Book Antiqua" w:hAnsi="Book Antiqua" w:cs="Arial"/>
        </w:rPr>
        <w:t>wrote the manuscript</w:t>
      </w:r>
      <w:r w:rsidR="00B60D77" w:rsidRPr="00C311AE">
        <w:rPr>
          <w:rFonts w:ascii="Book Antiqua" w:eastAsiaTheme="minorEastAsia" w:hAnsi="Book Antiqua" w:cs="Arial" w:hint="eastAsia"/>
          <w:lang w:eastAsia="zh-CN"/>
        </w:rPr>
        <w:t xml:space="preserve">; </w:t>
      </w:r>
      <w:r w:rsidR="00B538C7" w:rsidRPr="00C311AE">
        <w:rPr>
          <w:rFonts w:ascii="Book Antiqua" w:hAnsi="Book Antiqua" w:cs="Arial"/>
        </w:rPr>
        <w:t>Parkman HP</w:t>
      </w:r>
      <w:r w:rsidR="00AF69E3" w:rsidRPr="00C311AE">
        <w:rPr>
          <w:rFonts w:ascii="Book Antiqua" w:hAnsi="Book Antiqua" w:cs="Arial"/>
        </w:rPr>
        <w:t xml:space="preserve"> </w:t>
      </w:r>
      <w:r w:rsidRPr="00C311AE">
        <w:rPr>
          <w:rFonts w:ascii="Book Antiqua" w:hAnsi="Book Antiqua" w:cs="Arial"/>
        </w:rPr>
        <w:t>planned the study, evaluated the patients included in the study, did literature review, and helped write the manuscript</w:t>
      </w:r>
      <w:r w:rsidR="00B60D77" w:rsidRPr="00C311AE">
        <w:rPr>
          <w:rFonts w:ascii="Book Antiqua" w:eastAsiaTheme="minorEastAsia" w:hAnsi="Book Antiqua" w:cs="Arial" w:hint="eastAsia"/>
          <w:lang w:eastAsia="zh-CN"/>
        </w:rPr>
        <w:t xml:space="preserve">; </w:t>
      </w:r>
      <w:r w:rsidR="00B60D77" w:rsidRPr="00C311AE">
        <w:rPr>
          <w:rFonts w:ascii="Book Antiqua" w:hAnsi="Book Antiqua" w:cs="Arial"/>
        </w:rPr>
        <w:t>b</w:t>
      </w:r>
      <w:r w:rsidRPr="00C311AE">
        <w:rPr>
          <w:rFonts w:ascii="Book Antiqua" w:hAnsi="Book Antiqua" w:cs="Arial"/>
        </w:rPr>
        <w:t xml:space="preserve">oth authors approve the final version of the manuscript. </w:t>
      </w:r>
    </w:p>
    <w:p w14:paraId="4F0601A6" w14:textId="77777777" w:rsidR="008D2D18" w:rsidRPr="00C311AE" w:rsidRDefault="008D2D18" w:rsidP="00020CC7">
      <w:pPr>
        <w:snapToGrid w:val="0"/>
        <w:spacing w:line="360" w:lineRule="auto"/>
        <w:jc w:val="both"/>
        <w:rPr>
          <w:rFonts w:ascii="Book Antiqua" w:hAnsi="Book Antiqua" w:cs="Arial"/>
        </w:rPr>
      </w:pPr>
    </w:p>
    <w:p w14:paraId="49024EB3" w14:textId="7E46136D" w:rsidR="00C86012" w:rsidRPr="00C311AE" w:rsidRDefault="00CD697F" w:rsidP="00020CC7">
      <w:pPr>
        <w:snapToGrid w:val="0"/>
        <w:spacing w:line="360" w:lineRule="auto"/>
        <w:jc w:val="both"/>
        <w:rPr>
          <w:rFonts w:ascii="Book Antiqua" w:hAnsi="Book Antiqua" w:cs="Arial"/>
        </w:rPr>
      </w:pPr>
      <w:r w:rsidRPr="00C311AE">
        <w:rPr>
          <w:rFonts w:ascii="Book Antiqua" w:hAnsi="Book Antiqua" w:cs="Arial"/>
          <w:b/>
        </w:rPr>
        <w:t xml:space="preserve">Institutional </w:t>
      </w:r>
      <w:r w:rsidR="00B60D77" w:rsidRPr="00C311AE">
        <w:rPr>
          <w:rFonts w:ascii="Book Antiqua" w:hAnsi="Book Antiqua" w:cs="Arial"/>
          <w:b/>
        </w:rPr>
        <w:t>review board statement:</w:t>
      </w:r>
      <w:r w:rsidR="00B60D77" w:rsidRPr="00C311AE">
        <w:rPr>
          <w:rFonts w:ascii="Book Antiqua" w:eastAsiaTheme="minorEastAsia" w:hAnsi="Book Antiqua" w:cs="Arial" w:hint="eastAsia"/>
          <w:lang w:eastAsia="zh-CN"/>
        </w:rPr>
        <w:t xml:space="preserve"> </w:t>
      </w:r>
      <w:r w:rsidRPr="00C311AE">
        <w:rPr>
          <w:rFonts w:ascii="Book Antiqua" w:hAnsi="Book Antiqua" w:cs="Arial"/>
        </w:rPr>
        <w:t xml:space="preserve">This study was reviewed and approved by the Temple University Hospital Intuitional Review Board. </w:t>
      </w:r>
    </w:p>
    <w:p w14:paraId="347A1100" w14:textId="77777777" w:rsidR="008D2D18" w:rsidRPr="00C311AE" w:rsidRDefault="008D2D18" w:rsidP="00020CC7">
      <w:pPr>
        <w:snapToGrid w:val="0"/>
        <w:spacing w:line="360" w:lineRule="auto"/>
        <w:jc w:val="both"/>
        <w:rPr>
          <w:rFonts w:ascii="Book Antiqua" w:hAnsi="Book Antiqua" w:cs="Arial"/>
        </w:rPr>
      </w:pPr>
    </w:p>
    <w:p w14:paraId="19958762" w14:textId="402CEC0F" w:rsidR="00C86012" w:rsidRPr="00C311AE" w:rsidRDefault="00CD697F" w:rsidP="00020CC7">
      <w:pPr>
        <w:snapToGrid w:val="0"/>
        <w:spacing w:line="360" w:lineRule="auto"/>
        <w:jc w:val="both"/>
        <w:rPr>
          <w:rFonts w:ascii="Book Antiqua" w:hAnsi="Book Antiqua" w:cs="Arial"/>
        </w:rPr>
      </w:pPr>
      <w:r w:rsidRPr="00C311AE">
        <w:rPr>
          <w:rFonts w:ascii="Book Antiqua" w:hAnsi="Book Antiqua" w:cs="Arial"/>
          <w:b/>
        </w:rPr>
        <w:lastRenderedPageBreak/>
        <w:t xml:space="preserve">Informed </w:t>
      </w:r>
      <w:r w:rsidR="00B60D77" w:rsidRPr="00C311AE">
        <w:rPr>
          <w:rFonts w:ascii="Book Antiqua" w:hAnsi="Book Antiqua" w:cs="Arial"/>
          <w:b/>
        </w:rPr>
        <w:t>c</w:t>
      </w:r>
      <w:r w:rsidRPr="00C311AE">
        <w:rPr>
          <w:rFonts w:ascii="Book Antiqua" w:hAnsi="Book Antiqua" w:cs="Arial"/>
          <w:b/>
        </w:rPr>
        <w:t>onsent</w:t>
      </w:r>
      <w:r w:rsidR="00B60D77" w:rsidRPr="00C311AE">
        <w:rPr>
          <w:rFonts w:ascii="Book Antiqua" w:hAnsi="Book Antiqua" w:cs="Arial"/>
          <w:b/>
        </w:rPr>
        <w:t xml:space="preserve"> stat</w:t>
      </w:r>
      <w:r w:rsidRPr="00C311AE">
        <w:rPr>
          <w:rFonts w:ascii="Book Antiqua" w:hAnsi="Book Antiqua" w:cs="Arial"/>
          <w:b/>
        </w:rPr>
        <w:t>ement:</w:t>
      </w:r>
      <w:r w:rsidR="00B60D77" w:rsidRPr="00C311AE">
        <w:rPr>
          <w:rFonts w:ascii="Book Antiqua" w:eastAsiaTheme="minorEastAsia" w:hAnsi="Book Antiqua" w:cs="Arial" w:hint="eastAsia"/>
          <w:lang w:eastAsia="zh-CN"/>
        </w:rPr>
        <w:t xml:space="preserve"> </w:t>
      </w:r>
      <w:r w:rsidR="0072356D" w:rsidRPr="00C311AE">
        <w:rPr>
          <w:rFonts w:ascii="Book Antiqua" w:hAnsi="Book Antiqua" w:cs="Arial"/>
        </w:rPr>
        <w:t>S</w:t>
      </w:r>
      <w:r w:rsidRPr="00C311AE">
        <w:rPr>
          <w:rFonts w:ascii="Book Antiqua" w:hAnsi="Book Antiqua" w:cs="Arial"/>
        </w:rPr>
        <w:t xml:space="preserve">tudy participants provided informed written consent prior to study enrollment. </w:t>
      </w:r>
    </w:p>
    <w:p w14:paraId="49EB02B8" w14:textId="77777777" w:rsidR="008D2D18" w:rsidRPr="00C311AE" w:rsidRDefault="008D2D18" w:rsidP="00020CC7">
      <w:pPr>
        <w:snapToGrid w:val="0"/>
        <w:spacing w:line="360" w:lineRule="auto"/>
        <w:jc w:val="both"/>
        <w:rPr>
          <w:rFonts w:ascii="Book Antiqua" w:hAnsi="Book Antiqua" w:cs="Arial"/>
        </w:rPr>
      </w:pPr>
    </w:p>
    <w:p w14:paraId="1CC6B860" w14:textId="50AE33D4" w:rsidR="00CD697F" w:rsidRPr="00C311AE" w:rsidRDefault="00CD697F" w:rsidP="00020CC7">
      <w:pPr>
        <w:snapToGrid w:val="0"/>
        <w:spacing w:line="360" w:lineRule="auto"/>
        <w:jc w:val="both"/>
        <w:rPr>
          <w:rFonts w:ascii="Book Antiqua" w:hAnsi="Book Antiqua" w:cs="Arial"/>
        </w:rPr>
      </w:pPr>
      <w:r w:rsidRPr="00C311AE">
        <w:rPr>
          <w:rFonts w:ascii="Book Antiqua" w:hAnsi="Book Antiqua" w:cs="Arial"/>
          <w:b/>
        </w:rPr>
        <w:t xml:space="preserve">Conflicts-of-interests </w:t>
      </w:r>
      <w:r w:rsidR="00B60D77" w:rsidRPr="00C311AE">
        <w:rPr>
          <w:rFonts w:ascii="Book Antiqua" w:hAnsi="Book Antiqua" w:cs="Arial"/>
          <w:b/>
        </w:rPr>
        <w:t>s</w:t>
      </w:r>
      <w:r w:rsidRPr="00C311AE">
        <w:rPr>
          <w:rFonts w:ascii="Book Antiqua" w:hAnsi="Book Antiqua" w:cs="Arial"/>
          <w:b/>
        </w:rPr>
        <w:t>tatement:</w:t>
      </w:r>
      <w:r w:rsidR="00FD5D56" w:rsidRPr="00C311AE">
        <w:rPr>
          <w:rFonts w:ascii="Book Antiqua" w:hAnsi="Book Antiqua" w:cs="Arial"/>
        </w:rPr>
        <w:t xml:space="preserve"> The authors declare no conflicts of interest for this article.</w:t>
      </w:r>
    </w:p>
    <w:p w14:paraId="57D41EE4" w14:textId="77777777" w:rsidR="008D2D18" w:rsidRPr="00C311AE" w:rsidRDefault="008D2D18" w:rsidP="00020CC7">
      <w:pPr>
        <w:snapToGrid w:val="0"/>
        <w:spacing w:line="360" w:lineRule="auto"/>
        <w:jc w:val="both"/>
        <w:rPr>
          <w:rFonts w:ascii="Book Antiqua" w:hAnsi="Book Antiqua" w:cs="Arial"/>
        </w:rPr>
      </w:pPr>
    </w:p>
    <w:p w14:paraId="6E145293" w14:textId="5E73AACB" w:rsidR="00285B91" w:rsidRPr="00C311AE" w:rsidRDefault="00CD697F" w:rsidP="00020CC7">
      <w:pPr>
        <w:snapToGrid w:val="0"/>
        <w:spacing w:line="360" w:lineRule="auto"/>
        <w:jc w:val="both"/>
        <w:rPr>
          <w:rFonts w:ascii="Book Antiqua" w:hAnsi="Book Antiqua" w:cs="Arial"/>
        </w:rPr>
      </w:pPr>
      <w:r w:rsidRPr="00C311AE">
        <w:rPr>
          <w:rFonts w:ascii="Book Antiqua" w:hAnsi="Book Antiqua" w:cs="Arial"/>
          <w:b/>
        </w:rPr>
        <w:t xml:space="preserve">Data </w:t>
      </w:r>
      <w:r w:rsidR="00B60D77" w:rsidRPr="00C311AE">
        <w:rPr>
          <w:rFonts w:ascii="Book Antiqua" w:hAnsi="Book Antiqua" w:cs="Arial"/>
          <w:b/>
        </w:rPr>
        <w:t>s</w:t>
      </w:r>
      <w:r w:rsidRPr="00C311AE">
        <w:rPr>
          <w:rFonts w:ascii="Book Antiqua" w:hAnsi="Book Antiqua" w:cs="Arial"/>
          <w:b/>
        </w:rPr>
        <w:t xml:space="preserve">haring </w:t>
      </w:r>
      <w:r w:rsidR="00B60D77" w:rsidRPr="00C311AE">
        <w:rPr>
          <w:rFonts w:ascii="Book Antiqua" w:hAnsi="Book Antiqua" w:cs="Arial"/>
          <w:b/>
        </w:rPr>
        <w:t>s</w:t>
      </w:r>
      <w:r w:rsidRPr="00C311AE">
        <w:rPr>
          <w:rFonts w:ascii="Book Antiqua" w:hAnsi="Book Antiqua" w:cs="Arial"/>
          <w:b/>
        </w:rPr>
        <w:t>tatement:</w:t>
      </w:r>
      <w:r w:rsidRPr="00C311AE">
        <w:rPr>
          <w:rFonts w:ascii="Book Antiqua" w:hAnsi="Book Antiqua" w:cs="Arial"/>
        </w:rPr>
        <w:t xml:space="preserve"> </w:t>
      </w:r>
      <w:r w:rsidR="00643F2E" w:rsidRPr="00C311AE">
        <w:rPr>
          <w:rFonts w:ascii="Book Antiqua" w:hAnsi="Book Antiqua" w:cs="Arial"/>
        </w:rPr>
        <w:t>No additional data are available.</w:t>
      </w:r>
    </w:p>
    <w:p w14:paraId="166C166C" w14:textId="77777777" w:rsidR="00B60D77" w:rsidRPr="00C311AE" w:rsidRDefault="00B60D77" w:rsidP="00020CC7">
      <w:pPr>
        <w:snapToGrid w:val="0"/>
        <w:spacing w:line="360" w:lineRule="auto"/>
        <w:jc w:val="both"/>
        <w:rPr>
          <w:rFonts w:ascii="Book Antiqua" w:eastAsiaTheme="minorEastAsia" w:hAnsi="Book Antiqua" w:cs="Arial"/>
          <w:b/>
          <w:lang w:eastAsia="zh-CN"/>
        </w:rPr>
      </w:pPr>
    </w:p>
    <w:p w14:paraId="16F82157" w14:textId="77777777" w:rsidR="00B60D77" w:rsidRPr="00C311AE" w:rsidRDefault="00B60D77" w:rsidP="00020CC7">
      <w:pPr>
        <w:pStyle w:val="1"/>
        <w:snapToGrid w:val="0"/>
        <w:spacing w:line="360" w:lineRule="auto"/>
        <w:jc w:val="both"/>
        <w:rPr>
          <w:rFonts w:ascii="Book Antiqua" w:hAnsi="Book Antiqua" w:cs="Times New Roman"/>
          <w:bCs/>
          <w:color w:val="auto"/>
          <w:sz w:val="24"/>
          <w:lang w:val="en-US"/>
        </w:rPr>
      </w:pPr>
      <w:bookmarkStart w:id="29" w:name="OLE_LINK734"/>
      <w:bookmarkStart w:id="30" w:name="OLE_LINK559"/>
      <w:bookmarkStart w:id="31" w:name="OLE_LINK1232"/>
      <w:bookmarkStart w:id="32" w:name="OLE_LINK1032"/>
      <w:bookmarkStart w:id="33" w:name="OLE_LINK442"/>
      <w:bookmarkStart w:id="34" w:name="OLE_LINK441"/>
      <w:bookmarkStart w:id="35" w:name="OLE_LINK879"/>
      <w:bookmarkStart w:id="36" w:name="OLE_LINK878"/>
      <w:r w:rsidRPr="00C311AE">
        <w:rPr>
          <w:rFonts w:ascii="Book Antiqua" w:hAnsi="Book Antiqua" w:cs="Times New Roman"/>
          <w:b/>
          <w:bCs/>
          <w:color w:val="auto"/>
          <w:sz w:val="24"/>
          <w:lang w:val="en-US"/>
        </w:rPr>
        <w:t>Open-Access:</w:t>
      </w:r>
      <w:r w:rsidRPr="00C311AE">
        <w:rPr>
          <w:rFonts w:ascii="Book Antiqua" w:hAnsi="Book Antiqua" w:cs="Times New Roman"/>
          <w:bCs/>
          <w:color w:val="auto"/>
          <w:sz w:val="24"/>
          <w:lang w:val="en-US"/>
        </w:rPr>
        <w:t xml:space="preserve"> </w:t>
      </w:r>
      <w:bookmarkStart w:id="37" w:name="OLE_LINK507"/>
      <w:bookmarkStart w:id="38" w:name="OLE_LINK506"/>
      <w:bookmarkStart w:id="39" w:name="OLE_LINK496"/>
      <w:bookmarkStart w:id="40" w:name="OLE_LINK479"/>
      <w:r w:rsidRPr="00C311AE">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C311AE">
        <w:rPr>
          <w:rFonts w:ascii="Book Antiqua" w:hAnsi="Book Antiqua" w:cs="Times New Roman"/>
          <w:bCs/>
          <w:color w:val="auto"/>
          <w:sz w:val="24"/>
          <w:lang w:val="en-US" w:eastAsia="zh-CN"/>
        </w:rPr>
        <w:t xml:space="preserve"> </w:t>
      </w:r>
      <w:r w:rsidRPr="00C311AE">
        <w:rPr>
          <w:rFonts w:ascii="Book Antiqua" w:hAnsi="Book Antiqua" w:cs="Times New Roman"/>
          <w:bCs/>
          <w:color w:val="auto"/>
          <w:sz w:val="24"/>
          <w:lang w:val="en-US"/>
        </w:rPr>
        <w:t>in</w:t>
      </w:r>
      <w:r w:rsidRPr="00C311AE">
        <w:rPr>
          <w:rFonts w:ascii="Book Antiqua" w:hAnsi="Book Antiqua" w:cs="Times New Roman"/>
          <w:bCs/>
          <w:color w:val="auto"/>
          <w:sz w:val="24"/>
          <w:lang w:val="en-US" w:eastAsia="zh-CN"/>
        </w:rPr>
        <w:t xml:space="preserve"> </w:t>
      </w:r>
      <w:r w:rsidRPr="00C311AE">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311AE">
          <w:rPr>
            <w:rStyle w:val="Hyperlink"/>
            <w:rFonts w:ascii="Book Antiqua" w:hAnsi="Book Antiqua" w:cs="Times New Roman"/>
            <w:bCs/>
            <w:color w:val="auto"/>
            <w:sz w:val="24"/>
            <w:lang w:val="en-US"/>
          </w:rPr>
          <w:t>http://creativecommons.org/licenses/by-nc/4.0/</w:t>
        </w:r>
      </w:hyperlink>
      <w:bookmarkEnd w:id="29"/>
      <w:bookmarkEnd w:id="37"/>
      <w:bookmarkEnd w:id="38"/>
      <w:bookmarkEnd w:id="39"/>
      <w:bookmarkEnd w:id="40"/>
    </w:p>
    <w:bookmarkEnd w:id="30"/>
    <w:bookmarkEnd w:id="31"/>
    <w:bookmarkEnd w:id="32"/>
    <w:bookmarkEnd w:id="33"/>
    <w:bookmarkEnd w:id="34"/>
    <w:p w14:paraId="4823CFCF" w14:textId="77777777" w:rsidR="00B60D77" w:rsidRPr="00C311AE" w:rsidRDefault="00B60D77" w:rsidP="00020CC7">
      <w:pPr>
        <w:pStyle w:val="1"/>
        <w:snapToGrid w:val="0"/>
        <w:spacing w:line="360" w:lineRule="auto"/>
        <w:jc w:val="both"/>
        <w:rPr>
          <w:rFonts w:ascii="Book Antiqua" w:hAnsi="Book Antiqua" w:cs="Times New Roman"/>
          <w:b/>
          <w:bCs/>
          <w:color w:val="auto"/>
          <w:sz w:val="24"/>
          <w:lang w:val="en-US" w:eastAsia="zh-CN"/>
        </w:rPr>
      </w:pPr>
    </w:p>
    <w:p w14:paraId="0A5413D7" w14:textId="04B21CA9" w:rsidR="00B60D77" w:rsidRPr="00C311AE" w:rsidRDefault="00B60D77" w:rsidP="00020CC7">
      <w:pPr>
        <w:snapToGrid w:val="0"/>
        <w:spacing w:line="360" w:lineRule="auto"/>
        <w:jc w:val="both"/>
        <w:rPr>
          <w:rFonts w:ascii="Book Antiqua" w:eastAsiaTheme="minorEastAsia" w:hAnsi="Book Antiqua"/>
          <w:bCs/>
          <w:lang w:eastAsia="zh-CN"/>
        </w:rPr>
      </w:pPr>
      <w:r w:rsidRPr="00C311AE">
        <w:rPr>
          <w:rFonts w:ascii="Book Antiqua" w:hAnsi="Book Antiqua"/>
          <w:b/>
          <w:bCs/>
        </w:rPr>
        <w:t xml:space="preserve">Manuscript source: </w:t>
      </w:r>
      <w:r w:rsidRPr="00C311AE">
        <w:rPr>
          <w:rFonts w:ascii="Book Antiqua" w:hAnsi="Book Antiqua"/>
          <w:bCs/>
        </w:rPr>
        <w:t>Unsolicited manuscript</w:t>
      </w:r>
      <w:bookmarkEnd w:id="35"/>
      <w:bookmarkEnd w:id="36"/>
    </w:p>
    <w:p w14:paraId="400220D0" w14:textId="77777777" w:rsidR="00B60D77" w:rsidRPr="00C311AE" w:rsidRDefault="00B60D77" w:rsidP="00020CC7">
      <w:pPr>
        <w:snapToGrid w:val="0"/>
        <w:spacing w:line="360" w:lineRule="auto"/>
        <w:jc w:val="both"/>
        <w:rPr>
          <w:rFonts w:ascii="Book Antiqua" w:eastAsiaTheme="minorEastAsia" w:hAnsi="Book Antiqua" w:cs="Arial"/>
          <w:b/>
          <w:lang w:eastAsia="zh-CN"/>
        </w:rPr>
      </w:pPr>
    </w:p>
    <w:p w14:paraId="22362923" w14:textId="582B74B6" w:rsidR="00FD5D56" w:rsidRPr="00C311AE" w:rsidRDefault="00FD5D56" w:rsidP="00020CC7">
      <w:pPr>
        <w:snapToGrid w:val="0"/>
        <w:spacing w:line="360" w:lineRule="auto"/>
        <w:jc w:val="both"/>
        <w:rPr>
          <w:rFonts w:ascii="Book Antiqua" w:hAnsi="Book Antiqua" w:cs="Arial"/>
        </w:rPr>
      </w:pPr>
      <w:r w:rsidRPr="00C311AE">
        <w:rPr>
          <w:rFonts w:ascii="Book Antiqua" w:hAnsi="Book Antiqua" w:cs="Arial"/>
          <w:b/>
        </w:rPr>
        <w:t>Correspondence to:</w:t>
      </w:r>
      <w:r w:rsidR="00B60D77" w:rsidRPr="00C311AE">
        <w:rPr>
          <w:rFonts w:ascii="Book Antiqua" w:eastAsiaTheme="minorEastAsia" w:hAnsi="Book Antiqua" w:cs="Arial" w:hint="eastAsia"/>
          <w:b/>
          <w:lang w:eastAsia="zh-CN"/>
        </w:rPr>
        <w:t xml:space="preserve"> </w:t>
      </w:r>
      <w:r w:rsidRPr="00C311AE">
        <w:rPr>
          <w:rFonts w:ascii="Book Antiqua" w:hAnsi="Book Antiqua" w:cs="Arial"/>
          <w:b/>
        </w:rPr>
        <w:t>Henry P</w:t>
      </w:r>
      <w:r w:rsidR="00B60D77" w:rsidRPr="00C311AE">
        <w:rPr>
          <w:rFonts w:ascii="Book Antiqua" w:eastAsiaTheme="minorEastAsia" w:hAnsi="Book Antiqua" w:cs="Arial" w:hint="eastAsia"/>
          <w:b/>
          <w:lang w:eastAsia="zh-CN"/>
        </w:rPr>
        <w:t xml:space="preserve"> </w:t>
      </w:r>
      <w:r w:rsidRPr="00C311AE">
        <w:rPr>
          <w:rFonts w:ascii="Book Antiqua" w:hAnsi="Book Antiqua" w:cs="Arial"/>
          <w:b/>
        </w:rPr>
        <w:t xml:space="preserve">Parkman, </w:t>
      </w:r>
      <w:r w:rsidR="00B60D77" w:rsidRPr="00C311AE">
        <w:rPr>
          <w:rFonts w:ascii="Book Antiqua" w:hAnsi="Book Antiqua" w:cs="Arial"/>
          <w:b/>
        </w:rPr>
        <w:t>MD,</w:t>
      </w:r>
      <w:r w:rsidR="00B60D77" w:rsidRPr="00C311AE">
        <w:rPr>
          <w:rFonts w:ascii="Book Antiqua" w:eastAsiaTheme="minorEastAsia" w:hAnsi="Book Antiqua" w:cs="Arial" w:hint="eastAsia"/>
          <w:b/>
          <w:lang w:eastAsia="zh-CN"/>
        </w:rPr>
        <w:t xml:space="preserve"> </w:t>
      </w:r>
      <w:r w:rsidRPr="00C311AE">
        <w:rPr>
          <w:rFonts w:ascii="Book Antiqua" w:hAnsi="Book Antiqua" w:cs="Arial"/>
          <w:b/>
        </w:rPr>
        <w:t>Profe</w:t>
      </w:r>
      <w:r w:rsidR="00C45FAF" w:rsidRPr="00C311AE">
        <w:rPr>
          <w:rFonts w:ascii="Book Antiqua" w:hAnsi="Book Antiqua" w:cs="Arial"/>
          <w:b/>
        </w:rPr>
        <w:t>ssor of Medicine,</w:t>
      </w:r>
      <w:r w:rsidR="00B60D77" w:rsidRPr="00C311AE">
        <w:rPr>
          <w:rFonts w:ascii="Book Antiqua" w:eastAsiaTheme="minorEastAsia" w:hAnsi="Book Antiqua" w:cs="Arial" w:hint="eastAsia"/>
          <w:lang w:eastAsia="zh-CN"/>
        </w:rPr>
        <w:t xml:space="preserve"> </w:t>
      </w:r>
      <w:r w:rsidR="00B60D77" w:rsidRPr="00C311AE">
        <w:rPr>
          <w:rFonts w:ascii="Book Antiqua" w:hAnsi="Book Antiqua" w:cs="Arial"/>
        </w:rPr>
        <w:t>Department of Gastroenterology, Temple University Hospital,</w:t>
      </w:r>
      <w:r w:rsidRPr="00C311AE">
        <w:rPr>
          <w:rFonts w:ascii="Book Antiqua" w:hAnsi="Book Antiqua" w:cs="Arial"/>
        </w:rPr>
        <w:t xml:space="preserve"> 3401 No</w:t>
      </w:r>
      <w:r w:rsidR="00B60D77" w:rsidRPr="00C311AE">
        <w:rPr>
          <w:rFonts w:ascii="Book Antiqua" w:hAnsi="Book Antiqua" w:cs="Arial"/>
        </w:rPr>
        <w:t>rth Broad Street, Philadelphia,</w:t>
      </w:r>
      <w:r w:rsidR="00B60D77" w:rsidRPr="00C311AE">
        <w:rPr>
          <w:rFonts w:ascii="Book Antiqua" w:eastAsiaTheme="minorEastAsia" w:hAnsi="Book Antiqua" w:cs="Arial" w:hint="eastAsia"/>
          <w:lang w:eastAsia="zh-CN"/>
        </w:rPr>
        <w:t xml:space="preserve"> </w:t>
      </w:r>
      <w:r w:rsidR="00B60D77" w:rsidRPr="00C311AE">
        <w:rPr>
          <w:rFonts w:ascii="Book Antiqua" w:hAnsi="Book Antiqua" w:cs="Arial"/>
        </w:rPr>
        <w:t>PA 19140</w:t>
      </w:r>
      <w:r w:rsidR="00B60D77" w:rsidRPr="00C311AE">
        <w:rPr>
          <w:rFonts w:ascii="Book Antiqua" w:eastAsiaTheme="minorEastAsia" w:hAnsi="Book Antiqua" w:cs="Arial" w:hint="eastAsia"/>
          <w:lang w:eastAsia="zh-CN"/>
        </w:rPr>
        <w:t xml:space="preserve">, </w:t>
      </w:r>
      <w:r w:rsidR="00B60D77" w:rsidRPr="00C311AE">
        <w:rPr>
          <w:rFonts w:ascii="Book Antiqua" w:hAnsi="Book Antiqua" w:cs="Arial"/>
        </w:rPr>
        <w:t>U</w:t>
      </w:r>
      <w:r w:rsidR="00B60D77" w:rsidRPr="00C311AE">
        <w:rPr>
          <w:rFonts w:ascii="Book Antiqua" w:eastAsiaTheme="minorEastAsia" w:hAnsi="Book Antiqua" w:cs="Arial" w:hint="eastAsia"/>
          <w:lang w:eastAsia="zh-CN"/>
        </w:rPr>
        <w:t>nited States.</w:t>
      </w:r>
      <w:r w:rsidRPr="00C311AE">
        <w:rPr>
          <w:rFonts w:ascii="Book Antiqua" w:hAnsi="Book Antiqua" w:cs="Arial"/>
        </w:rPr>
        <w:t xml:space="preserve"> </w:t>
      </w:r>
      <w:hyperlink r:id="rId9" w:history="1">
        <w:r w:rsidR="00B60D77" w:rsidRPr="00C311AE">
          <w:rPr>
            <w:rStyle w:val="Hyperlink"/>
            <w:rFonts w:ascii="Book Antiqua" w:hAnsi="Book Antiqua" w:cs="Arial"/>
            <w:color w:val="auto"/>
          </w:rPr>
          <w:t>h</w:t>
        </w:r>
        <w:r w:rsidR="00AF69E3" w:rsidRPr="00C311AE">
          <w:rPr>
            <w:rStyle w:val="Hyperlink"/>
            <w:rFonts w:ascii="Book Antiqua" w:hAnsi="Book Antiqua" w:cs="Arial"/>
            <w:color w:val="auto"/>
          </w:rPr>
          <w:t>enry.</w:t>
        </w:r>
        <w:r w:rsidR="00B60D77" w:rsidRPr="00C311AE">
          <w:rPr>
            <w:rStyle w:val="Hyperlink"/>
            <w:rFonts w:ascii="Book Antiqua" w:hAnsi="Book Antiqua" w:cs="Arial"/>
            <w:color w:val="auto"/>
          </w:rPr>
          <w:t>p</w:t>
        </w:r>
        <w:r w:rsidR="00AF69E3" w:rsidRPr="00C311AE">
          <w:rPr>
            <w:rStyle w:val="Hyperlink"/>
            <w:rFonts w:ascii="Book Antiqua" w:hAnsi="Book Antiqua" w:cs="Arial"/>
            <w:color w:val="auto"/>
          </w:rPr>
          <w:t>arkman@tuhs.temple.edu</w:t>
        </w:r>
      </w:hyperlink>
      <w:r w:rsidR="00AF69E3" w:rsidRPr="00C311AE">
        <w:rPr>
          <w:rFonts w:ascii="Book Antiqua" w:hAnsi="Book Antiqua" w:cs="Arial"/>
        </w:rPr>
        <w:t xml:space="preserve"> </w:t>
      </w:r>
    </w:p>
    <w:p w14:paraId="3C71A781" w14:textId="71CA9E40" w:rsidR="00B60D77" w:rsidRPr="00C311AE" w:rsidRDefault="00285B91" w:rsidP="00020CC7">
      <w:pPr>
        <w:snapToGrid w:val="0"/>
        <w:spacing w:line="360" w:lineRule="auto"/>
        <w:jc w:val="both"/>
        <w:rPr>
          <w:rFonts w:ascii="Book Antiqua" w:eastAsiaTheme="minorEastAsia" w:hAnsi="Book Antiqua" w:cs="Arial"/>
          <w:b/>
          <w:lang w:eastAsia="zh-CN"/>
        </w:rPr>
      </w:pPr>
      <w:r w:rsidRPr="00C311AE">
        <w:rPr>
          <w:rFonts w:ascii="Book Antiqua" w:hAnsi="Book Antiqua" w:cs="Arial"/>
          <w:b/>
        </w:rPr>
        <w:t>Telephone</w:t>
      </w:r>
      <w:r w:rsidR="00B60D77" w:rsidRPr="00C311AE">
        <w:rPr>
          <w:rFonts w:ascii="Book Antiqua" w:eastAsiaTheme="minorEastAsia" w:hAnsi="Book Antiqua" w:cs="Arial" w:hint="eastAsia"/>
          <w:b/>
          <w:lang w:eastAsia="zh-CN"/>
        </w:rPr>
        <w:t xml:space="preserve">: </w:t>
      </w:r>
      <w:r w:rsidR="00B60D77" w:rsidRPr="00C311AE">
        <w:rPr>
          <w:rFonts w:ascii="Book Antiqua" w:hAnsi="Book Antiqua" w:cs="Arial"/>
        </w:rPr>
        <w:t>+1-215-7642609</w:t>
      </w:r>
    </w:p>
    <w:p w14:paraId="23580F07" w14:textId="7AEC35E2" w:rsidR="006028B3" w:rsidRPr="00C311AE" w:rsidRDefault="00285B91" w:rsidP="00020CC7">
      <w:pPr>
        <w:snapToGrid w:val="0"/>
        <w:spacing w:line="360" w:lineRule="auto"/>
        <w:jc w:val="both"/>
        <w:rPr>
          <w:rFonts w:ascii="Book Antiqua" w:eastAsiaTheme="minorEastAsia" w:hAnsi="Book Antiqua" w:cs="Arial"/>
          <w:lang w:eastAsia="zh-CN"/>
        </w:rPr>
      </w:pPr>
      <w:r w:rsidRPr="00C311AE">
        <w:rPr>
          <w:rFonts w:ascii="Book Antiqua" w:hAnsi="Book Antiqua" w:cs="Arial"/>
          <w:b/>
          <w:caps/>
        </w:rPr>
        <w:t>f</w:t>
      </w:r>
      <w:r w:rsidRPr="00C311AE">
        <w:rPr>
          <w:rFonts w:ascii="Book Antiqua" w:hAnsi="Book Antiqua" w:cs="Arial"/>
          <w:b/>
        </w:rPr>
        <w:t>ax:</w:t>
      </w:r>
      <w:r w:rsidR="00B60D77" w:rsidRPr="00C311AE">
        <w:rPr>
          <w:rFonts w:ascii="Book Antiqua" w:eastAsiaTheme="minorEastAsia" w:hAnsi="Book Antiqua" w:cs="Arial" w:hint="eastAsia"/>
          <w:lang w:eastAsia="zh-CN"/>
        </w:rPr>
        <w:t xml:space="preserve"> </w:t>
      </w:r>
      <w:r w:rsidR="00B60D77" w:rsidRPr="00C311AE">
        <w:rPr>
          <w:rFonts w:ascii="Book Antiqua" w:hAnsi="Book Antiqua" w:cs="Arial"/>
        </w:rPr>
        <w:t>+1-215-707</w:t>
      </w:r>
      <w:r w:rsidRPr="00C311AE">
        <w:rPr>
          <w:rFonts w:ascii="Book Antiqua" w:hAnsi="Book Antiqua" w:cs="Arial"/>
        </w:rPr>
        <w:t>2684</w:t>
      </w:r>
    </w:p>
    <w:p w14:paraId="044549A7" w14:textId="77777777" w:rsidR="006028B3" w:rsidRPr="00C311AE" w:rsidRDefault="006028B3" w:rsidP="00020CC7">
      <w:pPr>
        <w:snapToGrid w:val="0"/>
        <w:spacing w:line="360" w:lineRule="auto"/>
        <w:jc w:val="both"/>
        <w:rPr>
          <w:rFonts w:ascii="Book Antiqua" w:hAnsi="Book Antiqua" w:cs="Arial"/>
          <w:b/>
        </w:rPr>
      </w:pPr>
    </w:p>
    <w:p w14:paraId="24DFA23F" w14:textId="3C800355" w:rsidR="00B60D77" w:rsidRPr="00C311AE" w:rsidRDefault="00B60D77" w:rsidP="00020CC7">
      <w:pPr>
        <w:snapToGrid w:val="0"/>
        <w:spacing w:line="360" w:lineRule="auto"/>
        <w:jc w:val="both"/>
        <w:rPr>
          <w:rFonts w:ascii="Book Antiqua" w:eastAsia="SimSun" w:hAnsi="Book Antiqua" w:cs="SimSun"/>
          <w:b/>
          <w:lang w:eastAsia="zh-CN"/>
        </w:rPr>
      </w:pPr>
      <w:r w:rsidRPr="00C311AE">
        <w:rPr>
          <w:rFonts w:ascii="Book Antiqua" w:eastAsia="SimSun" w:hAnsi="Book Antiqua" w:cs="SimSun"/>
          <w:b/>
          <w:lang w:eastAsia="zh-CN"/>
        </w:rPr>
        <w:t>Received:</w:t>
      </w:r>
      <w:r w:rsidRPr="00C311AE">
        <w:rPr>
          <w:rFonts w:ascii="Book Antiqua" w:eastAsia="SimSun" w:hAnsi="Book Antiqua" w:cs="SimSun" w:hint="eastAsia"/>
          <w:b/>
          <w:lang w:eastAsia="zh-CN"/>
        </w:rPr>
        <w:t xml:space="preserve"> </w:t>
      </w:r>
      <w:r w:rsidRPr="00C311AE">
        <w:rPr>
          <w:rFonts w:ascii="Book Antiqua" w:eastAsia="SimSun" w:hAnsi="Book Antiqua" w:cs="SimSun" w:hint="eastAsia"/>
          <w:lang w:eastAsia="zh-CN"/>
        </w:rPr>
        <w:t>July 31, 2017</w:t>
      </w:r>
    </w:p>
    <w:p w14:paraId="32600256" w14:textId="7E0FAD6B" w:rsidR="00B60D77" w:rsidRPr="00C311AE" w:rsidRDefault="00B60D77" w:rsidP="00020CC7">
      <w:pPr>
        <w:snapToGrid w:val="0"/>
        <w:spacing w:line="360" w:lineRule="auto"/>
        <w:jc w:val="both"/>
        <w:rPr>
          <w:rFonts w:ascii="Book Antiqua" w:eastAsia="SimSun" w:hAnsi="Book Antiqua" w:cs="SimSun"/>
          <w:b/>
          <w:lang w:eastAsia="zh-CN"/>
        </w:rPr>
      </w:pPr>
      <w:r w:rsidRPr="00C311AE">
        <w:rPr>
          <w:rFonts w:ascii="Book Antiqua" w:eastAsia="SimSun" w:hAnsi="Book Antiqua" w:cs="SimSun"/>
          <w:b/>
          <w:lang w:eastAsia="zh-CN"/>
        </w:rPr>
        <w:t>Peer-review started:</w:t>
      </w:r>
      <w:r w:rsidRPr="00C311AE">
        <w:rPr>
          <w:rFonts w:ascii="Book Antiqua" w:eastAsia="SimSun" w:hAnsi="Book Antiqua" w:cs="SimSun" w:hint="eastAsia"/>
          <w:b/>
          <w:lang w:eastAsia="zh-CN"/>
        </w:rPr>
        <w:t xml:space="preserve"> </w:t>
      </w:r>
      <w:r w:rsidRPr="00C311AE">
        <w:rPr>
          <w:rFonts w:ascii="Book Antiqua" w:eastAsia="SimSun" w:hAnsi="Book Antiqua" w:cs="SimSun" w:hint="eastAsia"/>
          <w:lang w:eastAsia="zh-CN"/>
        </w:rPr>
        <w:t>August 1, 2017</w:t>
      </w:r>
    </w:p>
    <w:p w14:paraId="2846609B" w14:textId="560E1FF5" w:rsidR="00B60D77" w:rsidRPr="00C311AE" w:rsidRDefault="00B60D77" w:rsidP="00020CC7">
      <w:pPr>
        <w:snapToGrid w:val="0"/>
        <w:spacing w:line="360" w:lineRule="auto"/>
        <w:jc w:val="both"/>
        <w:rPr>
          <w:rFonts w:ascii="Book Antiqua" w:eastAsia="SimSun" w:hAnsi="Book Antiqua" w:cs="SimSun"/>
          <w:b/>
          <w:lang w:eastAsia="zh-CN"/>
        </w:rPr>
      </w:pPr>
      <w:r w:rsidRPr="00C311AE">
        <w:rPr>
          <w:rFonts w:ascii="Book Antiqua" w:eastAsia="SimSun" w:hAnsi="Book Antiqua" w:cs="SimSun"/>
          <w:b/>
          <w:lang w:eastAsia="zh-CN"/>
        </w:rPr>
        <w:t>First decision:</w:t>
      </w:r>
      <w:r w:rsidRPr="00C311AE">
        <w:rPr>
          <w:rFonts w:ascii="Book Antiqua" w:eastAsia="SimSun" w:hAnsi="Book Antiqua" w:cs="SimSun" w:hint="eastAsia"/>
          <w:b/>
          <w:lang w:eastAsia="zh-CN"/>
        </w:rPr>
        <w:t xml:space="preserve"> </w:t>
      </w:r>
      <w:r w:rsidRPr="00C311AE">
        <w:rPr>
          <w:rFonts w:ascii="Book Antiqua" w:eastAsia="SimSun" w:hAnsi="Book Antiqua" w:cs="SimSun" w:hint="eastAsia"/>
          <w:lang w:eastAsia="zh-CN"/>
        </w:rPr>
        <w:t>August 30, 2017</w:t>
      </w:r>
    </w:p>
    <w:p w14:paraId="2EF4D91A" w14:textId="7970F104" w:rsidR="00B60D77" w:rsidRPr="00C311AE" w:rsidRDefault="00B60D77" w:rsidP="00020CC7">
      <w:pPr>
        <w:snapToGrid w:val="0"/>
        <w:spacing w:line="360" w:lineRule="auto"/>
        <w:jc w:val="both"/>
        <w:rPr>
          <w:rFonts w:ascii="Book Antiqua" w:eastAsia="SimSun" w:hAnsi="Book Antiqua" w:cs="SimSun"/>
          <w:b/>
          <w:lang w:eastAsia="zh-CN"/>
        </w:rPr>
      </w:pPr>
      <w:r w:rsidRPr="00C311AE">
        <w:rPr>
          <w:rFonts w:ascii="Book Antiqua" w:eastAsia="SimSun" w:hAnsi="Book Antiqua" w:cs="SimSun"/>
          <w:b/>
          <w:lang w:eastAsia="zh-CN"/>
        </w:rPr>
        <w:t>Revised:</w:t>
      </w:r>
      <w:r w:rsidRPr="00C311AE">
        <w:rPr>
          <w:rFonts w:ascii="Book Antiqua" w:eastAsia="SimSun" w:hAnsi="Book Antiqua" w:cs="SimSun" w:hint="eastAsia"/>
          <w:b/>
          <w:lang w:eastAsia="zh-CN"/>
        </w:rPr>
        <w:t xml:space="preserve"> </w:t>
      </w:r>
      <w:r w:rsidRPr="00C311AE">
        <w:rPr>
          <w:rFonts w:ascii="Book Antiqua" w:eastAsia="SimSun" w:hAnsi="Book Antiqua" w:cs="SimSun"/>
          <w:lang w:eastAsia="zh-CN"/>
        </w:rPr>
        <w:t xml:space="preserve">September </w:t>
      </w:r>
      <w:r w:rsidRPr="00C311AE">
        <w:rPr>
          <w:rFonts w:ascii="Book Antiqua" w:eastAsia="SimSun" w:hAnsi="Book Antiqua" w:cs="SimSun" w:hint="eastAsia"/>
          <w:lang w:eastAsia="zh-CN"/>
        </w:rPr>
        <w:t>8</w:t>
      </w:r>
      <w:r w:rsidRPr="00C311AE">
        <w:rPr>
          <w:rFonts w:ascii="Book Antiqua" w:eastAsia="SimSun" w:hAnsi="Book Antiqua" w:cs="SimSun"/>
          <w:lang w:eastAsia="zh-CN"/>
        </w:rPr>
        <w:t>, 2017</w:t>
      </w:r>
    </w:p>
    <w:p w14:paraId="0239762B" w14:textId="6F5EAB50" w:rsidR="00B60D77" w:rsidRPr="00C311AE" w:rsidRDefault="00B60D77" w:rsidP="00020CC7">
      <w:pPr>
        <w:snapToGrid w:val="0"/>
        <w:spacing w:line="360" w:lineRule="auto"/>
        <w:jc w:val="both"/>
        <w:rPr>
          <w:rFonts w:ascii="Book Antiqua" w:eastAsia="SimSun" w:hAnsi="Book Antiqua" w:cs="SimSun"/>
          <w:b/>
          <w:lang w:eastAsia="zh-CN"/>
        </w:rPr>
      </w:pPr>
      <w:r w:rsidRPr="00C311AE">
        <w:rPr>
          <w:rFonts w:ascii="Book Antiqua" w:eastAsia="SimSun" w:hAnsi="Book Antiqua" w:cs="SimSun"/>
          <w:b/>
          <w:lang w:eastAsia="zh-CN"/>
        </w:rPr>
        <w:t>Accepted:</w:t>
      </w:r>
      <w:r w:rsidR="0020263E" w:rsidRPr="0020263E">
        <w:t xml:space="preserve"> </w:t>
      </w:r>
      <w:r w:rsidR="0020263E" w:rsidRPr="0020263E">
        <w:rPr>
          <w:rFonts w:ascii="Book Antiqua" w:eastAsia="SimSun" w:hAnsi="Book Antiqua" w:cs="SimSun"/>
          <w:lang w:eastAsia="zh-CN"/>
        </w:rPr>
        <w:t>September 20, 2017</w:t>
      </w:r>
    </w:p>
    <w:p w14:paraId="7176FA2D" w14:textId="77777777" w:rsidR="00B60D77" w:rsidRPr="00C311AE" w:rsidRDefault="00B60D77" w:rsidP="00020CC7">
      <w:pPr>
        <w:snapToGrid w:val="0"/>
        <w:spacing w:line="360" w:lineRule="auto"/>
        <w:jc w:val="both"/>
        <w:rPr>
          <w:rFonts w:ascii="Book Antiqua" w:eastAsia="SimSun" w:hAnsi="Book Antiqua" w:cs="SimSun"/>
          <w:b/>
          <w:lang w:eastAsia="zh-CN"/>
        </w:rPr>
      </w:pPr>
      <w:r w:rsidRPr="00C311AE">
        <w:rPr>
          <w:rFonts w:ascii="Book Antiqua" w:eastAsia="SimSun" w:hAnsi="Book Antiqua" w:cs="SimSun"/>
          <w:b/>
          <w:lang w:eastAsia="zh-CN"/>
        </w:rPr>
        <w:lastRenderedPageBreak/>
        <w:t>Article in press:</w:t>
      </w:r>
    </w:p>
    <w:p w14:paraId="7C689725" w14:textId="77777777" w:rsidR="00B60D77" w:rsidRPr="00C311AE" w:rsidRDefault="00B60D77" w:rsidP="00020CC7">
      <w:pPr>
        <w:snapToGrid w:val="0"/>
        <w:spacing w:line="360" w:lineRule="auto"/>
        <w:jc w:val="both"/>
        <w:rPr>
          <w:rFonts w:ascii="Book Antiqua" w:eastAsia="SimSun" w:hAnsi="Book Antiqua" w:cs="Arial"/>
          <w:b/>
          <w:lang w:val="pl-PL" w:eastAsia="zh-CN"/>
        </w:rPr>
      </w:pPr>
      <w:r w:rsidRPr="00C311AE">
        <w:rPr>
          <w:rFonts w:ascii="Book Antiqua" w:eastAsia="SimSun" w:hAnsi="Book Antiqua" w:cs="Arial"/>
          <w:b/>
          <w:lang w:val="pl-PL" w:eastAsia="pl-PL"/>
        </w:rPr>
        <w:t>Published online:</w:t>
      </w:r>
    </w:p>
    <w:p w14:paraId="70FABDF6" w14:textId="77777777" w:rsidR="006028B3" w:rsidRPr="00C311AE" w:rsidRDefault="006028B3" w:rsidP="00020CC7">
      <w:pPr>
        <w:snapToGrid w:val="0"/>
        <w:spacing w:line="360" w:lineRule="auto"/>
        <w:jc w:val="both"/>
        <w:rPr>
          <w:rFonts w:ascii="Book Antiqua" w:hAnsi="Book Antiqua" w:cs="Arial"/>
          <w:b/>
        </w:rPr>
      </w:pPr>
    </w:p>
    <w:p w14:paraId="5E346CEA" w14:textId="77777777" w:rsidR="00B60D77" w:rsidRPr="00C311AE" w:rsidRDefault="00B60D77" w:rsidP="00020CC7">
      <w:pPr>
        <w:snapToGrid w:val="0"/>
        <w:spacing w:line="360" w:lineRule="auto"/>
        <w:jc w:val="both"/>
        <w:rPr>
          <w:rFonts w:ascii="Book Antiqua" w:hAnsi="Book Antiqua" w:cs="Arial"/>
          <w:b/>
        </w:rPr>
      </w:pPr>
      <w:r w:rsidRPr="00C311AE">
        <w:rPr>
          <w:rFonts w:ascii="Book Antiqua" w:hAnsi="Book Antiqua" w:cs="Arial"/>
          <w:b/>
        </w:rPr>
        <w:br w:type="page"/>
      </w:r>
    </w:p>
    <w:p w14:paraId="4228CA10" w14:textId="58AEB390" w:rsidR="00402996" w:rsidRPr="00C311AE" w:rsidRDefault="00AF69E3" w:rsidP="00020CC7">
      <w:pPr>
        <w:snapToGrid w:val="0"/>
        <w:spacing w:line="360" w:lineRule="auto"/>
        <w:jc w:val="both"/>
        <w:rPr>
          <w:rFonts w:ascii="Book Antiqua" w:hAnsi="Book Antiqua" w:cs="Arial"/>
          <w:b/>
        </w:rPr>
      </w:pPr>
      <w:r w:rsidRPr="00C311AE">
        <w:rPr>
          <w:rFonts w:ascii="Book Antiqua" w:hAnsi="Book Antiqua" w:cs="Arial"/>
          <w:b/>
        </w:rPr>
        <w:lastRenderedPageBreak/>
        <w:t>A</w:t>
      </w:r>
      <w:r w:rsidR="00B60D77" w:rsidRPr="00C311AE">
        <w:rPr>
          <w:rFonts w:ascii="Book Antiqua" w:hAnsi="Book Antiqua" w:cs="Arial"/>
          <w:b/>
        </w:rPr>
        <w:t xml:space="preserve">bstract </w:t>
      </w:r>
    </w:p>
    <w:p w14:paraId="3ABE9067" w14:textId="77777777" w:rsidR="00B60D77" w:rsidRPr="00C311AE" w:rsidRDefault="000A5945" w:rsidP="00020CC7">
      <w:pPr>
        <w:snapToGrid w:val="0"/>
        <w:spacing w:line="360" w:lineRule="auto"/>
        <w:jc w:val="both"/>
        <w:rPr>
          <w:rFonts w:ascii="Book Antiqua" w:eastAsiaTheme="minorEastAsia" w:hAnsi="Book Antiqua" w:cs="Arial"/>
          <w:b/>
          <w:i/>
          <w:caps/>
          <w:lang w:eastAsia="zh-CN"/>
        </w:rPr>
      </w:pPr>
      <w:r w:rsidRPr="00C311AE">
        <w:rPr>
          <w:rFonts w:ascii="Book Antiqua" w:hAnsi="Book Antiqua" w:cs="Arial"/>
          <w:b/>
          <w:i/>
          <w:caps/>
        </w:rPr>
        <w:t>Aim</w:t>
      </w:r>
    </w:p>
    <w:p w14:paraId="7269CEDB" w14:textId="3BB68A32" w:rsidR="00AF69E3" w:rsidRPr="00C311AE" w:rsidRDefault="00A24384" w:rsidP="00020CC7">
      <w:pPr>
        <w:snapToGrid w:val="0"/>
        <w:spacing w:line="360" w:lineRule="auto"/>
        <w:jc w:val="both"/>
        <w:rPr>
          <w:rFonts w:ascii="Book Antiqua" w:hAnsi="Book Antiqua" w:cs="Arial"/>
        </w:rPr>
      </w:pPr>
      <w:r w:rsidRPr="00C311AE">
        <w:rPr>
          <w:rFonts w:ascii="Book Antiqua" w:hAnsi="Book Antiqua" w:cs="Arial"/>
        </w:rPr>
        <w:t>T</w:t>
      </w:r>
      <w:r w:rsidR="000A5945" w:rsidRPr="00C311AE">
        <w:rPr>
          <w:rFonts w:ascii="Book Antiqua" w:hAnsi="Book Antiqua" w:cs="Arial"/>
        </w:rPr>
        <w:t xml:space="preserve">o examine the relationship of chronic </w:t>
      </w:r>
      <w:r w:rsidR="008A1AE5" w:rsidRPr="00C311AE">
        <w:rPr>
          <w:rFonts w:ascii="Book Antiqua" w:hAnsi="Book Antiqua" w:cs="Arial"/>
        </w:rPr>
        <w:t xml:space="preserve">scheduled </w:t>
      </w:r>
      <w:r w:rsidR="000A5945" w:rsidRPr="00C311AE">
        <w:rPr>
          <w:rFonts w:ascii="Book Antiqua" w:hAnsi="Book Antiqua" w:cs="Arial"/>
        </w:rPr>
        <w:t xml:space="preserve">opioid use on symptoms, healthcare utilization and employment in </w:t>
      </w:r>
      <w:r w:rsidRPr="00C311AE">
        <w:rPr>
          <w:rFonts w:ascii="Book Antiqua" w:hAnsi="Book Antiqua" w:cs="Arial"/>
        </w:rPr>
        <w:t>gastroparesis (</w:t>
      </w:r>
      <w:r w:rsidR="000A5945" w:rsidRPr="00C311AE">
        <w:rPr>
          <w:rFonts w:ascii="Book Antiqua" w:hAnsi="Book Antiqua" w:cs="Arial"/>
        </w:rPr>
        <w:t>Gp</w:t>
      </w:r>
      <w:r w:rsidRPr="00C311AE">
        <w:rPr>
          <w:rFonts w:ascii="Book Antiqua" w:hAnsi="Book Antiqua" w:cs="Arial"/>
        </w:rPr>
        <w:t>)</w:t>
      </w:r>
      <w:r w:rsidR="000A5945" w:rsidRPr="00C311AE">
        <w:rPr>
          <w:rFonts w:ascii="Book Antiqua" w:hAnsi="Book Antiqua" w:cs="Arial"/>
        </w:rPr>
        <w:t xml:space="preserve"> patients.</w:t>
      </w:r>
      <w:r w:rsidR="00E53200" w:rsidRPr="00C311AE">
        <w:rPr>
          <w:rFonts w:ascii="Book Antiqua" w:hAnsi="Book Antiqua" w:cs="Arial"/>
        </w:rPr>
        <w:t xml:space="preserve"> </w:t>
      </w:r>
    </w:p>
    <w:p w14:paraId="5D4AFA5D" w14:textId="77777777" w:rsidR="008D2D18" w:rsidRPr="00C311AE" w:rsidRDefault="008D2D18" w:rsidP="00020CC7">
      <w:pPr>
        <w:snapToGrid w:val="0"/>
        <w:spacing w:line="360" w:lineRule="auto"/>
        <w:jc w:val="both"/>
        <w:rPr>
          <w:rFonts w:ascii="Book Antiqua" w:hAnsi="Book Antiqua" w:cs="Arial"/>
        </w:rPr>
      </w:pPr>
    </w:p>
    <w:p w14:paraId="6D525584" w14:textId="77777777" w:rsidR="00190691" w:rsidRPr="00C311AE" w:rsidRDefault="000A5945" w:rsidP="00020CC7">
      <w:pPr>
        <w:snapToGrid w:val="0"/>
        <w:spacing w:line="360" w:lineRule="auto"/>
        <w:jc w:val="both"/>
        <w:rPr>
          <w:rFonts w:ascii="Book Antiqua" w:eastAsiaTheme="minorEastAsia" w:hAnsi="Book Antiqua" w:cs="Arial"/>
          <w:b/>
          <w:i/>
          <w:caps/>
          <w:lang w:eastAsia="zh-CN"/>
        </w:rPr>
      </w:pPr>
      <w:r w:rsidRPr="00C311AE">
        <w:rPr>
          <w:rFonts w:ascii="Book Antiqua" w:hAnsi="Book Antiqua" w:cs="Arial"/>
          <w:b/>
          <w:i/>
          <w:caps/>
        </w:rPr>
        <w:t>Methods</w:t>
      </w:r>
    </w:p>
    <w:p w14:paraId="6C9EAE58" w14:textId="3FC7C8BC" w:rsidR="00AF69E3" w:rsidRPr="00C311AE" w:rsidRDefault="000A5945" w:rsidP="00020CC7">
      <w:pPr>
        <w:snapToGrid w:val="0"/>
        <w:spacing w:line="360" w:lineRule="auto"/>
        <w:jc w:val="both"/>
        <w:rPr>
          <w:rFonts w:ascii="Book Antiqua" w:hAnsi="Book Antiqua" w:cs="Arial"/>
        </w:rPr>
      </w:pPr>
      <w:r w:rsidRPr="00C311AE">
        <w:rPr>
          <w:rFonts w:ascii="Book Antiqua" w:hAnsi="Book Antiqua" w:cs="Arial"/>
        </w:rPr>
        <w:t xml:space="preserve">Patients referred </w:t>
      </w:r>
      <w:r w:rsidR="00934E59" w:rsidRPr="00C311AE">
        <w:rPr>
          <w:rFonts w:ascii="Book Antiqua" w:hAnsi="Book Antiqua" w:cs="Arial"/>
        </w:rPr>
        <w:t xml:space="preserve">to our tertiary care academic center from May 2016 to July 2017, </w:t>
      </w:r>
      <w:r w:rsidRPr="00C311AE">
        <w:rPr>
          <w:rFonts w:ascii="Book Antiqua" w:hAnsi="Book Antiqua" w:cs="Arial"/>
        </w:rPr>
        <w:t xml:space="preserve">with </w:t>
      </w:r>
      <w:r w:rsidR="00F0539B" w:rsidRPr="00C311AE">
        <w:rPr>
          <w:rFonts w:ascii="Book Antiqua" w:hAnsi="Book Antiqua" w:cs="Arial"/>
        </w:rPr>
        <w:t xml:space="preserve">established diagnosis or </w:t>
      </w:r>
      <w:r w:rsidRPr="00C311AE">
        <w:rPr>
          <w:rFonts w:ascii="Book Antiqua" w:hAnsi="Book Antiqua" w:cs="Arial"/>
        </w:rPr>
        <w:t>symptoms suggestive of Gp filled out the Patient Asse</w:t>
      </w:r>
      <w:r w:rsidR="00934E59" w:rsidRPr="00C311AE">
        <w:rPr>
          <w:rFonts w:ascii="Book Antiqua" w:hAnsi="Book Antiqua" w:cs="Arial"/>
        </w:rPr>
        <w:t xml:space="preserve">ssment of Upper GI Symptoms, </w:t>
      </w:r>
      <w:r w:rsidRPr="00C311AE">
        <w:rPr>
          <w:rFonts w:ascii="Book Antiqua" w:hAnsi="Book Antiqua" w:cs="Arial"/>
        </w:rPr>
        <w:t>abdominal pain</w:t>
      </w:r>
      <w:r w:rsidR="00934E59" w:rsidRPr="00C311AE">
        <w:rPr>
          <w:rFonts w:ascii="Book Antiqua" w:hAnsi="Book Antiqua" w:cs="Arial"/>
        </w:rPr>
        <w:t xml:space="preserve"> and demographics</w:t>
      </w:r>
      <w:r w:rsidRPr="00C311AE">
        <w:rPr>
          <w:rFonts w:ascii="Book Antiqua" w:hAnsi="Book Antiqua" w:cs="Arial"/>
        </w:rPr>
        <w:t xml:space="preserve"> questionnaires, and underwent gastric emptying </w:t>
      </w:r>
      <w:r w:rsidR="00163926" w:rsidRPr="00C311AE">
        <w:rPr>
          <w:rFonts w:ascii="Book Antiqua" w:hAnsi="Book Antiqua" w:cs="Arial"/>
        </w:rPr>
        <w:t xml:space="preserve">and blood </w:t>
      </w:r>
      <w:r w:rsidRPr="00C311AE">
        <w:rPr>
          <w:rFonts w:ascii="Book Antiqua" w:hAnsi="Book Antiqua" w:cs="Arial"/>
        </w:rPr>
        <w:t xml:space="preserve">tests. </w:t>
      </w:r>
      <w:r w:rsidR="00934E59" w:rsidRPr="00C311AE">
        <w:rPr>
          <w:rFonts w:ascii="Book Antiqua" w:hAnsi="Book Antiqua" w:cs="Arial"/>
        </w:rPr>
        <w:t xml:space="preserve">They were asked about taking pain medicines and the types, doses, and duration. </w:t>
      </w:r>
      <w:r w:rsidR="00A24384" w:rsidRPr="00C311AE">
        <w:rPr>
          <w:rFonts w:ascii="Book Antiqua" w:hAnsi="Book Antiqua" w:cs="Arial"/>
        </w:rPr>
        <w:t xml:space="preserve">We used Mann Whitney </w:t>
      </w:r>
      <w:r w:rsidR="00A24384" w:rsidRPr="00C311AE">
        <w:rPr>
          <w:rFonts w:ascii="Book Antiqua" w:hAnsi="Book Antiqua" w:cs="Arial"/>
          <w:i/>
        </w:rPr>
        <w:t>U</w:t>
      </w:r>
      <w:r w:rsidR="00A24384" w:rsidRPr="00C311AE">
        <w:rPr>
          <w:rFonts w:ascii="Book Antiqua" w:hAnsi="Book Antiqua" w:cs="Arial"/>
        </w:rPr>
        <w:t xml:space="preserve"> test, </w:t>
      </w:r>
      <w:r w:rsidR="00E445F2" w:rsidRPr="00C311AE">
        <w:rPr>
          <w:rFonts w:ascii="Book Antiqua" w:hAnsi="Book Antiqua" w:cs="Arial"/>
        </w:rPr>
        <w:t>Analysis of Variance</w:t>
      </w:r>
      <w:r w:rsidR="004E2F7D" w:rsidRPr="00C311AE">
        <w:rPr>
          <w:rFonts w:ascii="Book Antiqua" w:hAnsi="Book Antiqua" w:cs="Arial"/>
        </w:rPr>
        <w:t xml:space="preserve">, </w:t>
      </w:r>
      <w:r w:rsidR="00A24384" w:rsidRPr="00C311AE">
        <w:rPr>
          <w:rFonts w:ascii="Book Antiqua" w:hAnsi="Book Antiqua" w:cs="Arial"/>
        </w:rPr>
        <w:t xml:space="preserve">Student’s t test and </w:t>
      </w:r>
      <w:r w:rsidR="00B26D39">
        <w:rPr>
          <w:rFonts w:ascii="Book Antiqua" w:hAnsi="Book Antiqua" w:cs="Arial"/>
        </w:rPr>
        <w:sym w:font="Symbol" w:char="F063"/>
      </w:r>
      <w:r w:rsidR="00B26D39">
        <w:rPr>
          <w:rFonts w:ascii="Book Antiqua" w:eastAsiaTheme="minorEastAsia" w:hAnsi="Book Antiqua" w:cs="Arial" w:hint="eastAsia"/>
          <w:vertAlign w:val="superscript"/>
          <w:lang w:eastAsia="zh-CN"/>
        </w:rPr>
        <w:t>2</w:t>
      </w:r>
      <w:r w:rsidR="00A24384" w:rsidRPr="00C311AE">
        <w:rPr>
          <w:rFonts w:ascii="Book Antiqua" w:hAnsi="Book Antiqua" w:cs="Arial"/>
        </w:rPr>
        <w:t xml:space="preserve"> tests where appropriate</w:t>
      </w:r>
      <w:r w:rsidR="00934E59" w:rsidRPr="00C311AE">
        <w:rPr>
          <w:rFonts w:ascii="Book Antiqua" w:hAnsi="Book Antiqua" w:cs="Arial"/>
        </w:rPr>
        <w:t xml:space="preserve"> for data analyses</w:t>
      </w:r>
      <w:r w:rsidR="00A24384" w:rsidRPr="00C311AE">
        <w:rPr>
          <w:rFonts w:ascii="Book Antiqua" w:hAnsi="Book Antiqua" w:cs="Arial"/>
        </w:rPr>
        <w:t>.</w:t>
      </w:r>
      <w:r w:rsidR="00C24B3B" w:rsidRPr="00C311AE">
        <w:rPr>
          <w:rFonts w:ascii="Book Antiqua" w:hAnsi="Book Antiqua" w:cs="Arial"/>
        </w:rPr>
        <w:t xml:space="preserve"> </w:t>
      </w:r>
    </w:p>
    <w:p w14:paraId="034EB905" w14:textId="77777777" w:rsidR="008D2D18" w:rsidRPr="00C311AE" w:rsidRDefault="008D2D18" w:rsidP="00020CC7">
      <w:pPr>
        <w:snapToGrid w:val="0"/>
        <w:spacing w:line="360" w:lineRule="auto"/>
        <w:jc w:val="both"/>
        <w:rPr>
          <w:rFonts w:ascii="Book Antiqua" w:hAnsi="Book Antiqua" w:cs="Arial"/>
        </w:rPr>
      </w:pPr>
    </w:p>
    <w:p w14:paraId="61CC0492" w14:textId="77777777" w:rsidR="00190691" w:rsidRPr="00C311AE" w:rsidRDefault="000A5945" w:rsidP="00020CC7">
      <w:pPr>
        <w:snapToGrid w:val="0"/>
        <w:spacing w:line="360" w:lineRule="auto"/>
        <w:jc w:val="both"/>
        <w:rPr>
          <w:rFonts w:ascii="Book Antiqua" w:eastAsiaTheme="minorEastAsia" w:hAnsi="Book Antiqua" w:cs="Arial"/>
          <w:b/>
          <w:i/>
          <w:caps/>
          <w:lang w:eastAsia="zh-CN"/>
        </w:rPr>
      </w:pPr>
      <w:r w:rsidRPr="00C311AE">
        <w:rPr>
          <w:rFonts w:ascii="Book Antiqua" w:hAnsi="Book Antiqua" w:cs="Arial"/>
          <w:b/>
          <w:i/>
          <w:caps/>
        </w:rPr>
        <w:t>Results</w:t>
      </w:r>
    </w:p>
    <w:p w14:paraId="12E6CFCF" w14:textId="1EFBFF34" w:rsidR="00AF69E3" w:rsidRPr="00C311AE" w:rsidRDefault="00AD681C" w:rsidP="00020CC7">
      <w:pPr>
        <w:snapToGrid w:val="0"/>
        <w:spacing w:line="360" w:lineRule="auto"/>
        <w:jc w:val="both"/>
        <w:rPr>
          <w:rFonts w:ascii="Book Antiqua" w:hAnsi="Book Antiqua" w:cs="Arial"/>
        </w:rPr>
      </w:pPr>
      <w:r w:rsidRPr="00C311AE">
        <w:rPr>
          <w:rFonts w:ascii="Book Antiqua" w:hAnsi="Book Antiqua" w:cs="Arial"/>
        </w:rPr>
        <w:t>Of 223</w:t>
      </w:r>
      <w:r w:rsidR="000A5945" w:rsidRPr="00C311AE">
        <w:rPr>
          <w:rFonts w:ascii="Book Antiqua" w:hAnsi="Book Antiqua" w:cs="Arial"/>
        </w:rPr>
        <w:t xml:space="preserve"> patients with delayed gastric emptying, </w:t>
      </w:r>
      <w:r w:rsidR="00934E59" w:rsidRPr="00C311AE">
        <w:rPr>
          <w:rFonts w:ascii="Book Antiqua" w:hAnsi="Book Antiqua" w:cs="Arial"/>
        </w:rPr>
        <w:t>158</w:t>
      </w:r>
      <w:r w:rsidR="008A1AE5" w:rsidRPr="00C311AE">
        <w:rPr>
          <w:rFonts w:ascii="Book Antiqua" w:hAnsi="Book Antiqua" w:cs="Arial"/>
        </w:rPr>
        <w:t xml:space="preserve"> (70.9</w:t>
      </w:r>
      <w:r w:rsidR="000A5945" w:rsidRPr="00C311AE">
        <w:rPr>
          <w:rFonts w:ascii="Book Antiqua" w:hAnsi="Book Antiqua" w:cs="Arial"/>
        </w:rPr>
        <w:t xml:space="preserve">%) patients were not taking opioids (GpNO), </w:t>
      </w:r>
      <w:r w:rsidR="00934E59" w:rsidRPr="00C311AE">
        <w:rPr>
          <w:rFonts w:ascii="Book Antiqua" w:hAnsi="Book Antiqua" w:cs="Arial"/>
        </w:rPr>
        <w:t xml:space="preserve">22 </w:t>
      </w:r>
      <w:r w:rsidR="000A5945" w:rsidRPr="00C311AE">
        <w:rPr>
          <w:rFonts w:ascii="Book Antiqua" w:hAnsi="Book Antiqua" w:cs="Arial"/>
        </w:rPr>
        <w:t>(</w:t>
      </w:r>
      <w:r w:rsidR="008A1AE5" w:rsidRPr="00C311AE">
        <w:rPr>
          <w:rFonts w:ascii="Book Antiqua" w:hAnsi="Book Antiqua" w:cs="Arial"/>
        </w:rPr>
        <w:t>9.9%</w:t>
      </w:r>
      <w:r w:rsidR="000A5945" w:rsidRPr="00C311AE">
        <w:rPr>
          <w:rFonts w:ascii="Book Antiqua" w:hAnsi="Book Antiqua" w:cs="Arial"/>
        </w:rPr>
        <w:t xml:space="preserve">) were taking opioids only as needed, while </w:t>
      </w:r>
      <w:r w:rsidR="00934E59" w:rsidRPr="00C311AE">
        <w:rPr>
          <w:rFonts w:ascii="Book Antiqua" w:hAnsi="Book Antiqua" w:cs="Arial"/>
        </w:rPr>
        <w:t>43</w:t>
      </w:r>
      <w:r w:rsidR="000A5945" w:rsidRPr="00C311AE">
        <w:rPr>
          <w:rFonts w:ascii="Book Antiqua" w:hAnsi="Book Antiqua" w:cs="Arial"/>
        </w:rPr>
        <w:t xml:space="preserve"> (</w:t>
      </w:r>
      <w:r w:rsidR="008A1AE5" w:rsidRPr="00C311AE">
        <w:rPr>
          <w:rFonts w:ascii="Book Antiqua" w:hAnsi="Book Antiqua" w:cs="Arial"/>
        </w:rPr>
        <w:t>19.3</w:t>
      </w:r>
      <w:r w:rsidR="000A5945" w:rsidRPr="00C311AE">
        <w:rPr>
          <w:rFonts w:ascii="Book Antiqua" w:hAnsi="Book Antiqua" w:cs="Arial"/>
        </w:rPr>
        <w:t>%) were on chronic (&gt;</w:t>
      </w:r>
      <w:r w:rsidR="00190691" w:rsidRPr="00C311AE">
        <w:rPr>
          <w:rFonts w:ascii="Book Antiqua" w:eastAsiaTheme="minorEastAsia" w:hAnsi="Book Antiqua" w:cs="Arial" w:hint="eastAsia"/>
          <w:lang w:eastAsia="zh-CN"/>
        </w:rPr>
        <w:t xml:space="preserve"> </w:t>
      </w:r>
      <w:r w:rsidR="000A5945" w:rsidRPr="00C311AE">
        <w:rPr>
          <w:rFonts w:ascii="Book Antiqua" w:hAnsi="Book Antiqua" w:cs="Arial"/>
        </w:rPr>
        <w:t>1 mo) scheduled opioids</w:t>
      </w:r>
      <w:r w:rsidR="0072356D" w:rsidRPr="00C311AE">
        <w:rPr>
          <w:rFonts w:ascii="Book Antiqua" w:hAnsi="Book Antiqua" w:cs="Arial"/>
        </w:rPr>
        <w:t xml:space="preserve"> (GpCO), </w:t>
      </w:r>
      <w:r w:rsidR="00D7371C" w:rsidRPr="00C311AE">
        <w:rPr>
          <w:rFonts w:ascii="Book Antiqua" w:hAnsi="Book Antiqua" w:cs="Arial"/>
        </w:rPr>
        <w:t>of which 18</w:t>
      </w:r>
      <w:r w:rsidR="000A5945" w:rsidRPr="00C311AE">
        <w:rPr>
          <w:rFonts w:ascii="Book Antiqua" w:hAnsi="Book Antiqua" w:cs="Arial"/>
        </w:rPr>
        <w:t xml:space="preserve"> were taking opioids for </w:t>
      </w:r>
      <w:r w:rsidR="00731957" w:rsidRPr="00C311AE">
        <w:rPr>
          <w:rFonts w:ascii="Book Antiqua" w:hAnsi="Book Antiqua" w:cs="Arial"/>
        </w:rPr>
        <w:t xml:space="preserve">reasons that included </w:t>
      </w:r>
      <w:r w:rsidR="000A5945" w:rsidRPr="00C311AE">
        <w:rPr>
          <w:rFonts w:ascii="Book Antiqua" w:hAnsi="Book Antiqua" w:cs="Arial"/>
        </w:rPr>
        <w:t>gastroparesis and/or stomach pain. Median morphine equivalent use was</w:t>
      </w:r>
      <w:r w:rsidR="00D7371C" w:rsidRPr="00C311AE">
        <w:rPr>
          <w:rFonts w:ascii="Book Antiqua" w:hAnsi="Book Antiqua" w:cs="Arial"/>
        </w:rPr>
        <w:t xml:space="preserve"> </w:t>
      </w:r>
      <w:r w:rsidR="00C67021" w:rsidRPr="00C311AE">
        <w:rPr>
          <w:rFonts w:ascii="Book Antiqua" w:hAnsi="Book Antiqua" w:cs="Arial"/>
        </w:rPr>
        <w:t>60</w:t>
      </w:r>
      <w:r w:rsidR="000A5945" w:rsidRPr="00C311AE">
        <w:rPr>
          <w:rFonts w:ascii="Book Antiqua" w:hAnsi="Book Antiqua" w:cs="Arial"/>
        </w:rPr>
        <w:t xml:space="preserve"> mg per day. GpCO reported higher severities of many gastrointestinal symptoms compared to GpNO including </w:t>
      </w:r>
      <w:r w:rsidR="00C67021" w:rsidRPr="00C311AE">
        <w:rPr>
          <w:rFonts w:ascii="Book Antiqua" w:hAnsi="Book Antiqua" w:cs="Arial"/>
        </w:rPr>
        <w:t>nausea (</w:t>
      </w:r>
      <w:r w:rsidR="004E2F7D" w:rsidRPr="00C311AE">
        <w:rPr>
          <w:rFonts w:ascii="Book Antiqua" w:hAnsi="Book Antiqua" w:cs="Arial"/>
        </w:rPr>
        <w:t xml:space="preserve">mean ± </w:t>
      </w:r>
      <w:r w:rsidR="00B60D77" w:rsidRPr="00C311AE">
        <w:rPr>
          <w:rFonts w:ascii="Book Antiqua" w:eastAsiaTheme="minorEastAsia" w:hAnsi="Book Antiqua" w:cs="Arial" w:hint="eastAsia"/>
          <w:lang w:eastAsia="zh-CN"/>
        </w:rPr>
        <w:t xml:space="preserve">SE </w:t>
      </w:r>
      <w:r w:rsidR="004E2F7D" w:rsidRPr="00C311AE">
        <w:rPr>
          <w:rFonts w:ascii="Book Antiqua" w:hAnsi="Book Antiqua" w:cs="Arial"/>
        </w:rPr>
        <w:t xml:space="preserve">of mean of </w:t>
      </w:r>
      <w:r w:rsidR="00C67021" w:rsidRPr="00C311AE">
        <w:rPr>
          <w:rFonts w:ascii="Book Antiqua" w:hAnsi="Book Antiqua" w:cs="Arial"/>
        </w:rPr>
        <w:t>4.</w:t>
      </w:r>
      <w:r w:rsidR="00F74461" w:rsidRPr="00C311AE">
        <w:rPr>
          <w:rFonts w:ascii="Book Antiqua" w:hAnsi="Book Antiqua" w:cs="Arial"/>
        </w:rPr>
        <w:t xml:space="preserve">09 </w:t>
      </w:r>
      <w:r w:rsidR="00C67021" w:rsidRPr="00C311AE">
        <w:rPr>
          <w:rFonts w:ascii="Book Antiqua" w:hAnsi="Book Antiqua" w:cs="Arial"/>
        </w:rPr>
        <w:t>±</w:t>
      </w:r>
      <w:r w:rsidR="00F74461" w:rsidRPr="00C311AE">
        <w:rPr>
          <w:rFonts w:ascii="Book Antiqua" w:hAnsi="Book Antiqua" w:cs="Arial"/>
        </w:rPr>
        <w:t xml:space="preserve"> </w:t>
      </w:r>
      <w:r w:rsidR="00C67021" w:rsidRPr="00C311AE">
        <w:rPr>
          <w:rFonts w:ascii="Book Antiqua" w:hAnsi="Book Antiqua" w:cs="Arial"/>
        </w:rPr>
        <w:t>0.</w:t>
      </w:r>
      <w:r w:rsidR="00F74461" w:rsidRPr="00C311AE">
        <w:rPr>
          <w:rFonts w:ascii="Book Antiqua" w:hAnsi="Book Antiqua" w:cs="Arial"/>
        </w:rPr>
        <w:t>12</w:t>
      </w:r>
      <w:r w:rsidR="00C67021" w:rsidRPr="00C311AE">
        <w:rPr>
          <w:rFonts w:ascii="Book Antiqua" w:hAnsi="Book Antiqua" w:cs="Arial"/>
        </w:rPr>
        <w:t xml:space="preserve"> </w:t>
      </w:r>
      <w:r w:rsidR="00C67021" w:rsidRPr="00C311AE">
        <w:rPr>
          <w:rFonts w:ascii="Book Antiqua" w:hAnsi="Book Antiqua" w:cs="Arial"/>
          <w:i/>
        </w:rPr>
        <w:t>vs</w:t>
      </w:r>
      <w:r w:rsidR="00B60D77" w:rsidRPr="00C311AE">
        <w:rPr>
          <w:rFonts w:ascii="Book Antiqua" w:eastAsiaTheme="minorEastAsia" w:hAnsi="Book Antiqua" w:cs="Arial" w:hint="eastAsia"/>
          <w:lang w:eastAsia="zh-CN"/>
        </w:rPr>
        <w:t xml:space="preserve"> </w:t>
      </w:r>
      <w:r w:rsidR="00C67021" w:rsidRPr="00C311AE">
        <w:rPr>
          <w:rFonts w:ascii="Book Antiqua" w:hAnsi="Book Antiqua" w:cs="Arial"/>
        </w:rPr>
        <w:t>3.4</w:t>
      </w:r>
      <w:r w:rsidR="00F74461" w:rsidRPr="00C311AE">
        <w:rPr>
          <w:rFonts w:ascii="Book Antiqua" w:hAnsi="Book Antiqua" w:cs="Arial"/>
        </w:rPr>
        <w:t xml:space="preserve">1 </w:t>
      </w:r>
      <w:r w:rsidR="00C67021" w:rsidRPr="00C311AE">
        <w:rPr>
          <w:rFonts w:ascii="Book Antiqua" w:hAnsi="Book Antiqua" w:cs="Arial"/>
        </w:rPr>
        <w:t>±</w:t>
      </w:r>
      <w:r w:rsidR="00F74461" w:rsidRPr="00C311AE">
        <w:rPr>
          <w:rFonts w:ascii="Book Antiqua" w:hAnsi="Book Antiqua" w:cs="Arial"/>
        </w:rPr>
        <w:t xml:space="preserve"> 0.12</w:t>
      </w:r>
      <w:r w:rsidR="00C67021" w:rsidRPr="00C311AE">
        <w:rPr>
          <w:rFonts w:ascii="Book Antiqua" w:hAnsi="Book Antiqua" w:cs="Arial"/>
        </w:rPr>
        <w:t xml:space="preserve">, </w:t>
      </w:r>
      <w:r w:rsidR="00C67021" w:rsidRPr="00C311AE">
        <w:rPr>
          <w:rFonts w:ascii="Book Antiqua" w:hAnsi="Book Antiqua" w:cs="Arial"/>
          <w:i/>
          <w:caps/>
        </w:rPr>
        <w:t>p</w:t>
      </w:r>
      <w:r w:rsidR="00190691" w:rsidRPr="00C311AE">
        <w:rPr>
          <w:rFonts w:ascii="Book Antiqua" w:eastAsiaTheme="minorEastAsia" w:hAnsi="Book Antiqua" w:cs="Arial" w:hint="eastAsia"/>
          <w:lang w:eastAsia="zh-CN"/>
        </w:rPr>
        <w:t xml:space="preserve"> </w:t>
      </w:r>
      <w:r w:rsidR="00C67021"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C67021" w:rsidRPr="00C311AE">
        <w:rPr>
          <w:rFonts w:ascii="Book Antiqua" w:hAnsi="Book Antiqua" w:cs="Arial"/>
        </w:rPr>
        <w:t>0.011), retching (2.</w:t>
      </w:r>
      <w:r w:rsidR="00F74461" w:rsidRPr="00C311AE">
        <w:rPr>
          <w:rFonts w:ascii="Book Antiqua" w:hAnsi="Book Antiqua" w:cs="Arial"/>
        </w:rPr>
        <w:t xml:space="preserve">86 </w:t>
      </w:r>
      <w:r w:rsidR="00C67021" w:rsidRPr="00C311AE">
        <w:rPr>
          <w:rFonts w:ascii="Book Antiqua" w:hAnsi="Book Antiqua" w:cs="Arial"/>
        </w:rPr>
        <w:t>±</w:t>
      </w:r>
      <w:r w:rsidR="00F74461" w:rsidRPr="00C311AE">
        <w:rPr>
          <w:rFonts w:ascii="Book Antiqua" w:hAnsi="Book Antiqua" w:cs="Arial"/>
        </w:rPr>
        <w:t xml:space="preserve"> 0.25</w:t>
      </w:r>
      <w:r w:rsidR="00B60D77" w:rsidRPr="00C311AE">
        <w:rPr>
          <w:rFonts w:ascii="Book Antiqua" w:hAnsi="Book Antiqua" w:cs="Arial"/>
          <w:i/>
        </w:rPr>
        <w:t xml:space="preserve"> vs</w:t>
      </w:r>
      <w:r w:rsidR="00B60D77" w:rsidRPr="00C311AE">
        <w:rPr>
          <w:rFonts w:ascii="Book Antiqua" w:hAnsi="Book Antiqua" w:cs="Arial"/>
        </w:rPr>
        <w:t xml:space="preserve"> </w:t>
      </w:r>
      <w:r w:rsidR="00F74461" w:rsidRPr="00C311AE">
        <w:rPr>
          <w:rFonts w:ascii="Book Antiqua" w:hAnsi="Book Antiqua" w:cs="Arial"/>
        </w:rPr>
        <w:t xml:space="preserve">1.98 </w:t>
      </w:r>
      <w:r w:rsidR="00C67021" w:rsidRPr="00C311AE">
        <w:rPr>
          <w:rFonts w:ascii="Book Antiqua" w:hAnsi="Book Antiqua" w:cs="Arial"/>
        </w:rPr>
        <w:t>±</w:t>
      </w:r>
      <w:r w:rsidR="00F74461" w:rsidRPr="00C311AE">
        <w:rPr>
          <w:rFonts w:ascii="Book Antiqua" w:hAnsi="Book Antiqua" w:cs="Arial"/>
        </w:rPr>
        <w:t xml:space="preserve"> 0.14</w:t>
      </w:r>
      <w:r w:rsidR="00C67021" w:rsidRPr="00C311AE">
        <w:rPr>
          <w:rFonts w:ascii="Book Antiqua" w:hAnsi="Book Antiqua" w:cs="Arial"/>
        </w:rPr>
        <w:t xml:space="preserve">, </w:t>
      </w:r>
      <w:r w:rsidR="00190691" w:rsidRPr="00C311AE">
        <w:rPr>
          <w:rFonts w:ascii="Book Antiqua" w:hAnsi="Book Antiqua" w:cs="Arial"/>
          <w:i/>
          <w:caps/>
        </w:rPr>
        <w:t>p</w:t>
      </w:r>
      <w:r w:rsidR="00190691" w:rsidRPr="00C311AE">
        <w:rPr>
          <w:rFonts w:ascii="Book Antiqua" w:hAnsi="Book Antiqua" w:cs="Arial"/>
        </w:rPr>
        <w:t xml:space="preserve"> </w:t>
      </w:r>
      <w:r w:rsidR="00C67021"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C67021" w:rsidRPr="00C311AE">
        <w:rPr>
          <w:rFonts w:ascii="Book Antiqua" w:hAnsi="Book Antiqua" w:cs="Arial"/>
        </w:rPr>
        <w:t>0.003), vomiting (2.9</w:t>
      </w:r>
      <w:r w:rsidR="00F74461" w:rsidRPr="00C311AE">
        <w:rPr>
          <w:rFonts w:ascii="Book Antiqua" w:hAnsi="Book Antiqua" w:cs="Arial"/>
        </w:rPr>
        <w:t xml:space="preserve">3 </w:t>
      </w:r>
      <w:r w:rsidR="00C67021" w:rsidRPr="00C311AE">
        <w:rPr>
          <w:rFonts w:ascii="Book Antiqua" w:hAnsi="Book Antiqua" w:cs="Arial"/>
        </w:rPr>
        <w:t>±</w:t>
      </w:r>
      <w:r w:rsidR="00F74461" w:rsidRPr="00C311AE">
        <w:rPr>
          <w:rFonts w:ascii="Book Antiqua" w:hAnsi="Book Antiqua" w:cs="Arial"/>
        </w:rPr>
        <w:t xml:space="preserve"> 0.24</w:t>
      </w:r>
      <w:r w:rsidR="00190691" w:rsidRPr="00C311AE">
        <w:rPr>
          <w:rFonts w:ascii="Book Antiqua" w:hAnsi="Book Antiqua" w:cs="Arial"/>
          <w:i/>
        </w:rPr>
        <w:t xml:space="preserve"> vs</w:t>
      </w:r>
      <w:r w:rsidR="00190691" w:rsidRPr="00C311AE">
        <w:rPr>
          <w:rFonts w:ascii="Book Antiqua" w:hAnsi="Book Antiqua" w:cs="Arial"/>
        </w:rPr>
        <w:t xml:space="preserve"> </w:t>
      </w:r>
      <w:r w:rsidR="00C67021" w:rsidRPr="00C311AE">
        <w:rPr>
          <w:rFonts w:ascii="Book Antiqua" w:hAnsi="Book Antiqua" w:cs="Arial"/>
        </w:rPr>
        <w:t>2.</w:t>
      </w:r>
      <w:r w:rsidR="00F74461" w:rsidRPr="00C311AE">
        <w:rPr>
          <w:rFonts w:ascii="Book Antiqua" w:hAnsi="Book Antiqua" w:cs="Arial"/>
        </w:rPr>
        <w:t xml:space="preserve">07 </w:t>
      </w:r>
      <w:r w:rsidR="00C67021" w:rsidRPr="00C311AE">
        <w:rPr>
          <w:rFonts w:ascii="Book Antiqua" w:hAnsi="Book Antiqua" w:cs="Arial"/>
        </w:rPr>
        <w:t>±</w:t>
      </w:r>
      <w:r w:rsidR="00F74461" w:rsidRPr="00C311AE">
        <w:rPr>
          <w:rFonts w:ascii="Book Antiqua" w:hAnsi="Book Antiqua" w:cs="Arial"/>
        </w:rPr>
        <w:t xml:space="preserve"> 0.15</w:t>
      </w:r>
      <w:r w:rsidR="00C67021" w:rsidRPr="00C311AE">
        <w:rPr>
          <w:rFonts w:ascii="Book Antiqua" w:hAnsi="Book Antiqua" w:cs="Arial"/>
        </w:rPr>
        <w:t xml:space="preserve">, </w:t>
      </w:r>
      <w:r w:rsidR="00190691" w:rsidRPr="00C311AE">
        <w:rPr>
          <w:rFonts w:ascii="Book Antiqua" w:hAnsi="Book Antiqua" w:cs="Arial"/>
          <w:i/>
          <w:caps/>
        </w:rPr>
        <w:t>p</w:t>
      </w:r>
      <w:r w:rsidR="00190691" w:rsidRPr="00C311AE">
        <w:rPr>
          <w:rFonts w:ascii="Book Antiqua" w:hAnsi="Book Antiqua" w:cs="Arial"/>
        </w:rPr>
        <w:t xml:space="preserve"> </w:t>
      </w:r>
      <w:r w:rsidR="00C67021"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C67021" w:rsidRPr="00C311AE">
        <w:rPr>
          <w:rFonts w:ascii="Book Antiqua" w:hAnsi="Book Antiqua" w:cs="Arial"/>
        </w:rPr>
        <w:t>0.011), early satiety (4.</w:t>
      </w:r>
      <w:r w:rsidR="00F74461" w:rsidRPr="00C311AE">
        <w:rPr>
          <w:rFonts w:ascii="Book Antiqua" w:hAnsi="Book Antiqua" w:cs="Arial"/>
        </w:rPr>
        <w:t xml:space="preserve">17 </w:t>
      </w:r>
      <w:r w:rsidR="00C67021" w:rsidRPr="00C311AE">
        <w:rPr>
          <w:rFonts w:ascii="Book Antiqua" w:hAnsi="Book Antiqua" w:cs="Arial"/>
        </w:rPr>
        <w:t>±</w:t>
      </w:r>
      <w:r w:rsidR="00F74461" w:rsidRPr="00C311AE">
        <w:rPr>
          <w:rFonts w:ascii="Book Antiqua" w:hAnsi="Book Antiqua" w:cs="Arial"/>
        </w:rPr>
        <w:t xml:space="preserve"> 0.19</w:t>
      </w:r>
      <w:r w:rsidR="00190691" w:rsidRPr="00C311AE">
        <w:rPr>
          <w:rFonts w:ascii="Book Antiqua" w:hAnsi="Book Antiqua" w:cs="Arial"/>
          <w:i/>
        </w:rPr>
        <w:t xml:space="preserve"> vs</w:t>
      </w:r>
      <w:r w:rsidR="00190691" w:rsidRPr="00C311AE">
        <w:rPr>
          <w:rFonts w:ascii="Book Antiqua" w:hAnsi="Book Antiqua" w:cs="Arial"/>
        </w:rPr>
        <w:t xml:space="preserve"> </w:t>
      </w:r>
      <w:r w:rsidR="00C67021" w:rsidRPr="00C311AE">
        <w:rPr>
          <w:rFonts w:ascii="Book Antiqua" w:hAnsi="Book Antiqua" w:cs="Arial"/>
        </w:rPr>
        <w:t>3.</w:t>
      </w:r>
      <w:r w:rsidR="00F74461" w:rsidRPr="00C311AE">
        <w:rPr>
          <w:rFonts w:ascii="Book Antiqua" w:hAnsi="Book Antiqua" w:cs="Arial"/>
        </w:rPr>
        <w:t xml:space="preserve">57 </w:t>
      </w:r>
      <w:r w:rsidR="00C67021" w:rsidRPr="00C311AE">
        <w:rPr>
          <w:rFonts w:ascii="Book Antiqua" w:hAnsi="Book Antiqua" w:cs="Arial"/>
        </w:rPr>
        <w:t>±</w:t>
      </w:r>
      <w:r w:rsidR="00F74461" w:rsidRPr="00C311AE">
        <w:rPr>
          <w:rFonts w:ascii="Book Antiqua" w:hAnsi="Book Antiqua" w:cs="Arial"/>
        </w:rPr>
        <w:t xml:space="preserve"> 0.12</w:t>
      </w:r>
      <w:r w:rsidR="00C67021" w:rsidRPr="00C311AE">
        <w:rPr>
          <w:rFonts w:ascii="Book Antiqua" w:hAnsi="Book Antiqua" w:cs="Arial"/>
        </w:rPr>
        <w:t xml:space="preserve">, </w:t>
      </w:r>
      <w:r w:rsidR="00190691" w:rsidRPr="00C311AE">
        <w:rPr>
          <w:rFonts w:ascii="Book Antiqua" w:hAnsi="Book Antiqua" w:cs="Arial"/>
          <w:i/>
          <w:caps/>
        </w:rPr>
        <w:t>p</w:t>
      </w:r>
      <w:r w:rsidR="00190691" w:rsidRPr="00C311AE">
        <w:rPr>
          <w:rFonts w:ascii="Book Antiqua" w:hAnsi="Book Antiqua" w:cs="Arial"/>
        </w:rPr>
        <w:t xml:space="preserve"> </w:t>
      </w:r>
      <w:r w:rsidR="00C67021"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C67021" w:rsidRPr="00C311AE">
        <w:rPr>
          <w:rFonts w:ascii="Book Antiqua" w:hAnsi="Book Antiqua" w:cs="Arial"/>
        </w:rPr>
        <w:t>0.004), post-prandial fullness (4.1</w:t>
      </w:r>
      <w:r w:rsidR="00F74461" w:rsidRPr="00C311AE">
        <w:rPr>
          <w:rFonts w:ascii="Book Antiqua" w:hAnsi="Book Antiqua" w:cs="Arial"/>
        </w:rPr>
        <w:t xml:space="preserve">4 </w:t>
      </w:r>
      <w:r w:rsidR="00C67021" w:rsidRPr="00C311AE">
        <w:rPr>
          <w:rFonts w:ascii="Book Antiqua" w:hAnsi="Book Antiqua" w:cs="Arial"/>
        </w:rPr>
        <w:t>±</w:t>
      </w:r>
      <w:r w:rsidR="00F74461" w:rsidRPr="00C311AE">
        <w:rPr>
          <w:rFonts w:ascii="Book Antiqua" w:hAnsi="Book Antiqua" w:cs="Arial"/>
        </w:rPr>
        <w:t xml:space="preserve"> 0.18</w:t>
      </w:r>
      <w:r w:rsidR="00190691" w:rsidRPr="00C311AE">
        <w:rPr>
          <w:rFonts w:ascii="Book Antiqua" w:hAnsi="Book Antiqua" w:cs="Arial"/>
          <w:i/>
        </w:rPr>
        <w:t xml:space="preserve"> vs</w:t>
      </w:r>
      <w:r w:rsidR="00190691" w:rsidRPr="00C311AE">
        <w:rPr>
          <w:rFonts w:ascii="Book Antiqua" w:hAnsi="Book Antiqua" w:cs="Arial"/>
        </w:rPr>
        <w:t xml:space="preserve"> </w:t>
      </w:r>
      <w:r w:rsidR="00C67021" w:rsidRPr="00C311AE">
        <w:rPr>
          <w:rFonts w:ascii="Book Antiqua" w:hAnsi="Book Antiqua" w:cs="Arial"/>
        </w:rPr>
        <w:t>3.6</w:t>
      </w:r>
      <w:r w:rsidR="00F74461" w:rsidRPr="00C311AE">
        <w:rPr>
          <w:rFonts w:ascii="Book Antiqua" w:hAnsi="Book Antiqua" w:cs="Arial"/>
        </w:rPr>
        <w:t xml:space="preserve">3 </w:t>
      </w:r>
      <w:r w:rsidR="00C67021" w:rsidRPr="00C311AE">
        <w:rPr>
          <w:rFonts w:ascii="Book Antiqua" w:hAnsi="Book Antiqua" w:cs="Arial"/>
        </w:rPr>
        <w:t>±</w:t>
      </w:r>
      <w:r w:rsidR="00F74461" w:rsidRPr="00C311AE">
        <w:rPr>
          <w:rFonts w:ascii="Book Antiqua" w:hAnsi="Book Antiqua" w:cs="Arial"/>
        </w:rPr>
        <w:t xml:space="preserve"> 0.11</w:t>
      </w:r>
      <w:r w:rsidR="00C67021" w:rsidRPr="00C311AE">
        <w:rPr>
          <w:rFonts w:ascii="Book Antiqua" w:hAnsi="Book Antiqua" w:cs="Arial"/>
        </w:rPr>
        <w:t xml:space="preserve">, </w:t>
      </w:r>
      <w:r w:rsidR="00190691" w:rsidRPr="00C311AE">
        <w:rPr>
          <w:rFonts w:ascii="Book Antiqua" w:hAnsi="Book Antiqua" w:cs="Arial"/>
          <w:i/>
          <w:caps/>
        </w:rPr>
        <w:t>p</w:t>
      </w:r>
      <w:r w:rsidR="00190691" w:rsidRPr="00C311AE">
        <w:rPr>
          <w:rFonts w:ascii="Book Antiqua" w:hAnsi="Book Antiqua" w:cs="Arial"/>
        </w:rPr>
        <w:t xml:space="preserve"> </w:t>
      </w:r>
      <w:r w:rsidR="00C67021"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C67021" w:rsidRPr="00C311AE">
        <w:rPr>
          <w:rFonts w:ascii="Book Antiqua" w:hAnsi="Book Antiqua" w:cs="Arial"/>
        </w:rPr>
        <w:t>0.022), loss of appetite (3.6</w:t>
      </w:r>
      <w:r w:rsidR="00F74461" w:rsidRPr="00C311AE">
        <w:rPr>
          <w:rFonts w:ascii="Book Antiqua" w:hAnsi="Book Antiqua" w:cs="Arial"/>
        </w:rPr>
        <w:t xml:space="preserve">4 </w:t>
      </w:r>
      <w:r w:rsidR="00C67021" w:rsidRPr="00C311AE">
        <w:rPr>
          <w:rFonts w:ascii="Book Antiqua" w:hAnsi="Book Antiqua" w:cs="Arial"/>
        </w:rPr>
        <w:t>±</w:t>
      </w:r>
      <w:r w:rsidR="00F74461" w:rsidRPr="00C311AE">
        <w:rPr>
          <w:rFonts w:ascii="Book Antiqua" w:hAnsi="Book Antiqua" w:cs="Arial"/>
        </w:rPr>
        <w:t xml:space="preserve"> 0.21</w:t>
      </w:r>
      <w:r w:rsidR="00190691" w:rsidRPr="00C311AE">
        <w:rPr>
          <w:rFonts w:ascii="Book Antiqua" w:hAnsi="Book Antiqua" w:cs="Arial"/>
          <w:i/>
        </w:rPr>
        <w:t xml:space="preserve"> vs</w:t>
      </w:r>
      <w:r w:rsidR="00190691" w:rsidRPr="00C311AE">
        <w:rPr>
          <w:rFonts w:ascii="Book Antiqua" w:hAnsi="Book Antiqua" w:cs="Arial"/>
        </w:rPr>
        <w:t xml:space="preserve"> </w:t>
      </w:r>
      <w:r w:rsidR="00C67021" w:rsidRPr="00C311AE">
        <w:rPr>
          <w:rFonts w:ascii="Book Antiqua" w:hAnsi="Book Antiqua" w:cs="Arial"/>
        </w:rPr>
        <w:t>3.0</w:t>
      </w:r>
      <w:r w:rsidR="00F74461" w:rsidRPr="00C311AE">
        <w:rPr>
          <w:rFonts w:ascii="Book Antiqua" w:hAnsi="Book Antiqua" w:cs="Arial"/>
        </w:rPr>
        <w:t xml:space="preserve">4 </w:t>
      </w:r>
      <w:r w:rsidR="00C67021" w:rsidRPr="00C311AE">
        <w:rPr>
          <w:rFonts w:ascii="Book Antiqua" w:hAnsi="Book Antiqua" w:cs="Arial"/>
        </w:rPr>
        <w:t>±</w:t>
      </w:r>
      <w:r w:rsidR="00F74461" w:rsidRPr="00C311AE">
        <w:rPr>
          <w:rFonts w:ascii="Book Antiqua" w:hAnsi="Book Antiqua" w:cs="Arial"/>
        </w:rPr>
        <w:t xml:space="preserve"> 0.13</w:t>
      </w:r>
      <w:r w:rsidR="00C67021" w:rsidRPr="00C311AE">
        <w:rPr>
          <w:rFonts w:ascii="Book Antiqua" w:hAnsi="Book Antiqua" w:cs="Arial"/>
        </w:rPr>
        <w:t xml:space="preserve">, </w:t>
      </w:r>
      <w:r w:rsidR="00190691" w:rsidRPr="00C311AE">
        <w:rPr>
          <w:rFonts w:ascii="Book Antiqua" w:hAnsi="Book Antiqua" w:cs="Arial"/>
          <w:i/>
          <w:caps/>
        </w:rPr>
        <w:t>p</w:t>
      </w:r>
      <w:r w:rsidR="00190691" w:rsidRPr="00C311AE">
        <w:rPr>
          <w:rFonts w:ascii="Book Antiqua" w:hAnsi="Book Antiqua" w:cs="Arial"/>
        </w:rPr>
        <w:t xml:space="preserve"> </w:t>
      </w:r>
      <w:r w:rsidR="00C67021"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C67021" w:rsidRPr="00C311AE">
        <w:rPr>
          <w:rFonts w:ascii="Book Antiqua" w:hAnsi="Book Antiqua" w:cs="Arial"/>
        </w:rPr>
        <w:t>0.039), upper abdominal pain (3.</w:t>
      </w:r>
      <w:r w:rsidR="00F74461" w:rsidRPr="00C311AE">
        <w:rPr>
          <w:rFonts w:ascii="Book Antiqua" w:hAnsi="Book Antiqua" w:cs="Arial"/>
        </w:rPr>
        <w:t xml:space="preserve">86 </w:t>
      </w:r>
      <w:r w:rsidR="00C67021" w:rsidRPr="00C311AE">
        <w:rPr>
          <w:rFonts w:ascii="Book Antiqua" w:hAnsi="Book Antiqua" w:cs="Arial"/>
        </w:rPr>
        <w:t>±</w:t>
      </w:r>
      <w:r w:rsidR="00F74461" w:rsidRPr="00C311AE">
        <w:rPr>
          <w:rFonts w:ascii="Book Antiqua" w:hAnsi="Book Antiqua" w:cs="Arial"/>
        </w:rPr>
        <w:t xml:space="preserve"> 0.20</w:t>
      </w:r>
      <w:r w:rsidR="00190691" w:rsidRPr="00C311AE">
        <w:rPr>
          <w:rFonts w:ascii="Book Antiqua" w:hAnsi="Book Antiqua" w:cs="Arial"/>
          <w:i/>
        </w:rPr>
        <w:t xml:space="preserve"> vs</w:t>
      </w:r>
      <w:r w:rsidR="00190691" w:rsidRPr="00C311AE">
        <w:rPr>
          <w:rFonts w:ascii="Book Antiqua" w:hAnsi="Book Antiqua" w:cs="Arial"/>
        </w:rPr>
        <w:t xml:space="preserve"> </w:t>
      </w:r>
      <w:r w:rsidR="00C67021" w:rsidRPr="00C311AE">
        <w:rPr>
          <w:rFonts w:ascii="Book Antiqua" w:hAnsi="Book Antiqua" w:cs="Arial"/>
        </w:rPr>
        <w:t>2.9</w:t>
      </w:r>
      <w:r w:rsidR="00F74461" w:rsidRPr="00C311AE">
        <w:rPr>
          <w:rFonts w:ascii="Book Antiqua" w:hAnsi="Book Antiqua" w:cs="Arial"/>
        </w:rPr>
        <w:t xml:space="preserve">3 </w:t>
      </w:r>
      <w:r w:rsidR="00C67021" w:rsidRPr="00C311AE">
        <w:rPr>
          <w:rFonts w:ascii="Book Antiqua" w:hAnsi="Book Antiqua" w:cs="Arial"/>
        </w:rPr>
        <w:t>±</w:t>
      </w:r>
      <w:r w:rsidR="00F74461" w:rsidRPr="00C311AE">
        <w:rPr>
          <w:rFonts w:ascii="Book Antiqua" w:hAnsi="Book Antiqua" w:cs="Arial"/>
        </w:rPr>
        <w:t xml:space="preserve"> 0.13</w:t>
      </w:r>
      <w:r w:rsidR="00C67021" w:rsidRPr="00C311AE">
        <w:rPr>
          <w:rFonts w:ascii="Book Antiqua" w:hAnsi="Book Antiqua" w:cs="Arial"/>
        </w:rPr>
        <w:t xml:space="preserve">, </w:t>
      </w:r>
      <w:r w:rsidR="00190691" w:rsidRPr="00C311AE">
        <w:rPr>
          <w:rFonts w:ascii="Book Antiqua" w:hAnsi="Book Antiqua" w:cs="Arial"/>
          <w:i/>
          <w:caps/>
        </w:rPr>
        <w:t>p</w:t>
      </w:r>
      <w:r w:rsidR="00190691" w:rsidRPr="00C311AE">
        <w:rPr>
          <w:rFonts w:ascii="Book Antiqua" w:hAnsi="Book Antiqua" w:cs="Arial"/>
        </w:rPr>
        <w:t xml:space="preserve"> </w:t>
      </w:r>
      <w:r w:rsidR="00C67021"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C67021" w:rsidRPr="00C311AE">
        <w:rPr>
          <w:rFonts w:ascii="Book Antiqua" w:hAnsi="Book Antiqua" w:cs="Arial"/>
        </w:rPr>
        <w:t>0.001), upper abdominal discomfort (3.7</w:t>
      </w:r>
      <w:r w:rsidR="00F74461" w:rsidRPr="00C311AE">
        <w:rPr>
          <w:rFonts w:ascii="Book Antiqua" w:hAnsi="Book Antiqua" w:cs="Arial"/>
        </w:rPr>
        <w:t xml:space="preserve">4 </w:t>
      </w:r>
      <w:r w:rsidR="00C67021" w:rsidRPr="00C311AE">
        <w:rPr>
          <w:rFonts w:ascii="Book Antiqua" w:hAnsi="Book Antiqua" w:cs="Arial"/>
        </w:rPr>
        <w:t>±</w:t>
      </w:r>
      <w:r w:rsidR="00F74461" w:rsidRPr="00C311AE">
        <w:rPr>
          <w:rFonts w:ascii="Book Antiqua" w:hAnsi="Book Antiqua" w:cs="Arial"/>
        </w:rPr>
        <w:t xml:space="preserve"> 0.19</w:t>
      </w:r>
      <w:r w:rsidR="00653A50" w:rsidRPr="00C311AE">
        <w:rPr>
          <w:rFonts w:ascii="Book Antiqua" w:eastAsiaTheme="minorEastAsia" w:hAnsi="Book Antiqua" w:cs="Arial" w:hint="eastAsia"/>
          <w:lang w:eastAsia="zh-CN"/>
        </w:rPr>
        <w:t xml:space="preserve"> </w:t>
      </w:r>
      <w:r w:rsidR="00653A50" w:rsidRPr="00C311AE">
        <w:rPr>
          <w:rFonts w:ascii="Book Antiqua" w:hAnsi="Book Antiqua" w:cs="Arial"/>
          <w:i/>
        </w:rPr>
        <w:t>vs</w:t>
      </w:r>
      <w:r w:rsidR="00653A50" w:rsidRPr="00C311AE">
        <w:rPr>
          <w:rFonts w:ascii="Book Antiqua" w:eastAsiaTheme="minorEastAsia" w:hAnsi="Book Antiqua" w:cs="Arial" w:hint="eastAsia"/>
          <w:lang w:eastAsia="zh-CN"/>
        </w:rPr>
        <w:t xml:space="preserve"> </w:t>
      </w:r>
      <w:r w:rsidR="00C67021" w:rsidRPr="00C311AE">
        <w:rPr>
          <w:rFonts w:ascii="Book Antiqua" w:hAnsi="Book Antiqua" w:cs="Arial"/>
        </w:rPr>
        <w:t>3.</w:t>
      </w:r>
      <w:r w:rsidR="00F74461" w:rsidRPr="00C311AE">
        <w:rPr>
          <w:rFonts w:ascii="Book Antiqua" w:hAnsi="Book Antiqua" w:cs="Arial"/>
        </w:rPr>
        <w:t xml:space="preserve">09 </w:t>
      </w:r>
      <w:r w:rsidR="00C67021" w:rsidRPr="00C311AE">
        <w:rPr>
          <w:rFonts w:ascii="Book Antiqua" w:hAnsi="Book Antiqua" w:cs="Arial"/>
        </w:rPr>
        <w:t>±</w:t>
      </w:r>
      <w:r w:rsidR="00F74461" w:rsidRPr="00C311AE">
        <w:rPr>
          <w:rFonts w:ascii="Book Antiqua" w:hAnsi="Book Antiqua" w:cs="Arial"/>
        </w:rPr>
        <w:t xml:space="preserve"> 0.13</w:t>
      </w:r>
      <w:r w:rsidR="00C67021" w:rsidRPr="00C311AE">
        <w:rPr>
          <w:rFonts w:ascii="Book Antiqua" w:hAnsi="Book Antiqua" w:cs="Arial"/>
        </w:rPr>
        <w:t xml:space="preserve">, </w:t>
      </w:r>
      <w:r w:rsidR="00C67021" w:rsidRPr="00C311AE">
        <w:rPr>
          <w:rFonts w:ascii="Book Antiqua" w:hAnsi="Book Antiqua" w:cs="Arial"/>
          <w:i/>
          <w:caps/>
        </w:rPr>
        <w:t>p</w:t>
      </w:r>
      <w:r w:rsidR="00653A50" w:rsidRPr="00C311AE">
        <w:rPr>
          <w:rFonts w:ascii="Book Antiqua" w:eastAsiaTheme="minorEastAsia" w:hAnsi="Book Antiqua" w:cs="Arial" w:hint="eastAsia"/>
          <w:i/>
          <w:caps/>
          <w:lang w:eastAsia="zh-CN"/>
        </w:rPr>
        <w:t xml:space="preserve"> </w:t>
      </w:r>
      <w:r w:rsidR="00C67021" w:rsidRPr="00C311AE">
        <w:rPr>
          <w:rFonts w:ascii="Book Antiqua" w:hAnsi="Book Antiqua" w:cs="Arial"/>
        </w:rPr>
        <w:t>=</w:t>
      </w:r>
      <w:r w:rsidR="00653A50" w:rsidRPr="00C311AE">
        <w:rPr>
          <w:rFonts w:ascii="Book Antiqua" w:eastAsiaTheme="minorEastAsia" w:hAnsi="Book Antiqua" w:cs="Arial" w:hint="eastAsia"/>
          <w:lang w:eastAsia="zh-CN"/>
        </w:rPr>
        <w:t xml:space="preserve"> </w:t>
      </w:r>
      <w:r w:rsidR="00C67021" w:rsidRPr="00C311AE">
        <w:rPr>
          <w:rFonts w:ascii="Book Antiqua" w:hAnsi="Book Antiqua" w:cs="Arial"/>
        </w:rPr>
        <w:t>0.031), heartburn during day (2.</w:t>
      </w:r>
      <w:r w:rsidR="000B6131" w:rsidRPr="00C311AE">
        <w:rPr>
          <w:rFonts w:ascii="Book Antiqua" w:hAnsi="Book Antiqua" w:cs="Arial"/>
        </w:rPr>
        <w:t>55</w:t>
      </w:r>
      <w:r w:rsidR="00C67021" w:rsidRPr="00C311AE">
        <w:rPr>
          <w:rFonts w:ascii="Book Antiqua" w:hAnsi="Book Antiqua" w:cs="Arial"/>
        </w:rPr>
        <w:t>±</w:t>
      </w:r>
      <w:r w:rsidR="000B6131" w:rsidRPr="00C311AE">
        <w:rPr>
          <w:rFonts w:ascii="Book Antiqua" w:hAnsi="Book Antiqua" w:cs="Arial"/>
        </w:rPr>
        <w:t xml:space="preserve"> 0.27</w:t>
      </w:r>
      <w:r w:rsidR="00190691" w:rsidRPr="00C311AE">
        <w:rPr>
          <w:rFonts w:ascii="Book Antiqua" w:hAnsi="Book Antiqua" w:cs="Arial"/>
          <w:i/>
        </w:rPr>
        <w:t xml:space="preserve"> vs</w:t>
      </w:r>
      <w:r w:rsidR="00190691" w:rsidRPr="00C311AE">
        <w:rPr>
          <w:rFonts w:ascii="Book Antiqua" w:hAnsi="Book Antiqua" w:cs="Arial"/>
        </w:rPr>
        <w:t xml:space="preserve"> </w:t>
      </w:r>
      <w:r w:rsidR="00C67021" w:rsidRPr="00C311AE">
        <w:rPr>
          <w:rFonts w:ascii="Book Antiqua" w:hAnsi="Book Antiqua" w:cs="Arial"/>
        </w:rPr>
        <w:t>1.8</w:t>
      </w:r>
      <w:r w:rsidR="000B6131" w:rsidRPr="00C311AE">
        <w:rPr>
          <w:rFonts w:ascii="Book Antiqua" w:hAnsi="Book Antiqua" w:cs="Arial"/>
        </w:rPr>
        <w:t xml:space="preserve">9 </w:t>
      </w:r>
      <w:r w:rsidR="00C67021" w:rsidRPr="00C311AE">
        <w:rPr>
          <w:rFonts w:ascii="Book Antiqua" w:hAnsi="Book Antiqua" w:cs="Arial"/>
        </w:rPr>
        <w:t>±</w:t>
      </w:r>
      <w:r w:rsidR="000B6131" w:rsidRPr="00C311AE">
        <w:rPr>
          <w:rFonts w:ascii="Book Antiqua" w:hAnsi="Book Antiqua" w:cs="Arial"/>
        </w:rPr>
        <w:t xml:space="preserve"> 0.13</w:t>
      </w:r>
      <w:r w:rsidR="00C67021" w:rsidRPr="00C311AE">
        <w:rPr>
          <w:rFonts w:ascii="Book Antiqua" w:hAnsi="Book Antiqua" w:cs="Arial"/>
        </w:rPr>
        <w:t xml:space="preserve">, </w:t>
      </w:r>
      <w:r w:rsidR="00190691" w:rsidRPr="00C311AE">
        <w:rPr>
          <w:rFonts w:ascii="Book Antiqua" w:hAnsi="Book Antiqua" w:cs="Arial"/>
          <w:i/>
          <w:caps/>
        </w:rPr>
        <w:t>p</w:t>
      </w:r>
      <w:r w:rsidR="00190691" w:rsidRPr="00C311AE">
        <w:rPr>
          <w:rFonts w:ascii="Book Antiqua" w:hAnsi="Book Antiqua" w:cs="Arial"/>
        </w:rPr>
        <w:t xml:space="preserve"> </w:t>
      </w:r>
      <w:r w:rsidR="00C67021"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C67021" w:rsidRPr="00C311AE">
        <w:rPr>
          <w:rFonts w:ascii="Book Antiqua" w:hAnsi="Book Antiqua" w:cs="Arial"/>
        </w:rPr>
        <w:t>0.032), heartburn on lying down (2.</w:t>
      </w:r>
      <w:r w:rsidR="000B6131" w:rsidRPr="00C311AE">
        <w:rPr>
          <w:rFonts w:ascii="Book Antiqua" w:hAnsi="Book Antiqua" w:cs="Arial"/>
        </w:rPr>
        <w:t xml:space="preserve">76 </w:t>
      </w:r>
      <w:r w:rsidR="00C67021" w:rsidRPr="00C311AE">
        <w:rPr>
          <w:rFonts w:ascii="Book Antiqua" w:hAnsi="Book Antiqua" w:cs="Arial"/>
        </w:rPr>
        <w:t>±</w:t>
      </w:r>
      <w:r w:rsidR="000B6131" w:rsidRPr="00C311AE">
        <w:rPr>
          <w:rFonts w:ascii="Book Antiqua" w:hAnsi="Book Antiqua" w:cs="Arial"/>
        </w:rPr>
        <w:t xml:space="preserve"> 0.28</w:t>
      </w:r>
      <w:r w:rsidR="00190691" w:rsidRPr="00C311AE">
        <w:rPr>
          <w:rFonts w:ascii="Book Antiqua" w:hAnsi="Book Antiqua" w:cs="Arial"/>
          <w:i/>
        </w:rPr>
        <w:t xml:space="preserve"> vs</w:t>
      </w:r>
      <w:r w:rsidR="00190691" w:rsidRPr="00C311AE">
        <w:rPr>
          <w:rFonts w:ascii="Book Antiqua" w:hAnsi="Book Antiqua" w:cs="Arial"/>
        </w:rPr>
        <w:t xml:space="preserve"> </w:t>
      </w:r>
      <w:r w:rsidR="00C67021" w:rsidRPr="00C311AE">
        <w:rPr>
          <w:rFonts w:ascii="Book Antiqua" w:hAnsi="Book Antiqua" w:cs="Arial"/>
        </w:rPr>
        <w:t>1.9</w:t>
      </w:r>
      <w:r w:rsidR="000B6131" w:rsidRPr="00C311AE">
        <w:rPr>
          <w:rFonts w:ascii="Book Antiqua" w:hAnsi="Book Antiqua" w:cs="Arial"/>
        </w:rPr>
        <w:t xml:space="preserve">4 </w:t>
      </w:r>
      <w:r w:rsidR="00C67021" w:rsidRPr="00C311AE">
        <w:rPr>
          <w:rFonts w:ascii="Book Antiqua" w:hAnsi="Book Antiqua" w:cs="Arial"/>
        </w:rPr>
        <w:t>±</w:t>
      </w:r>
      <w:r w:rsidR="000B6131" w:rsidRPr="00C311AE">
        <w:rPr>
          <w:rFonts w:ascii="Book Antiqua" w:hAnsi="Book Antiqua" w:cs="Arial"/>
        </w:rPr>
        <w:t xml:space="preserve"> 0.14</w:t>
      </w:r>
      <w:r w:rsidR="00C67021" w:rsidRPr="00C311AE">
        <w:rPr>
          <w:rFonts w:ascii="Book Antiqua" w:hAnsi="Book Antiqua" w:cs="Arial"/>
        </w:rPr>
        <w:t xml:space="preserve">, </w:t>
      </w:r>
      <w:r w:rsidR="00190691" w:rsidRPr="00C311AE">
        <w:rPr>
          <w:rFonts w:ascii="Book Antiqua" w:hAnsi="Book Antiqua" w:cs="Arial"/>
          <w:i/>
          <w:caps/>
        </w:rPr>
        <w:t>p</w:t>
      </w:r>
      <w:r w:rsidR="00190691" w:rsidRPr="00C311AE">
        <w:rPr>
          <w:rFonts w:ascii="Book Antiqua" w:hAnsi="Book Antiqua" w:cs="Arial"/>
        </w:rPr>
        <w:t xml:space="preserve"> </w:t>
      </w:r>
      <w:r w:rsidR="00C67021"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C67021" w:rsidRPr="00C311AE">
        <w:rPr>
          <w:rFonts w:ascii="Book Antiqua" w:hAnsi="Book Antiqua" w:cs="Arial"/>
        </w:rPr>
        <w:t>0.008), chest discomfort during day (2.</w:t>
      </w:r>
      <w:r w:rsidR="000B6131" w:rsidRPr="00C311AE">
        <w:rPr>
          <w:rFonts w:ascii="Book Antiqua" w:hAnsi="Book Antiqua" w:cs="Arial"/>
        </w:rPr>
        <w:t xml:space="preserve">42 </w:t>
      </w:r>
      <w:r w:rsidR="00C67021" w:rsidRPr="00C311AE">
        <w:rPr>
          <w:rFonts w:ascii="Book Antiqua" w:hAnsi="Book Antiqua" w:cs="Arial"/>
        </w:rPr>
        <w:t>±</w:t>
      </w:r>
      <w:r w:rsidR="000B6131" w:rsidRPr="00C311AE">
        <w:rPr>
          <w:rFonts w:ascii="Book Antiqua" w:hAnsi="Book Antiqua" w:cs="Arial"/>
        </w:rPr>
        <w:t xml:space="preserve"> 0.20</w:t>
      </w:r>
      <w:r w:rsidR="00190691" w:rsidRPr="00C311AE">
        <w:rPr>
          <w:rFonts w:ascii="Book Antiqua" w:hAnsi="Book Antiqua" w:cs="Arial"/>
          <w:i/>
        </w:rPr>
        <w:t xml:space="preserve"> vs</w:t>
      </w:r>
      <w:r w:rsidR="00190691" w:rsidRPr="00C311AE">
        <w:rPr>
          <w:rFonts w:ascii="Book Antiqua" w:hAnsi="Book Antiqua" w:cs="Arial"/>
        </w:rPr>
        <w:t xml:space="preserve"> </w:t>
      </w:r>
      <w:r w:rsidR="00C67021" w:rsidRPr="00C311AE">
        <w:rPr>
          <w:rFonts w:ascii="Book Antiqua" w:hAnsi="Book Antiqua" w:cs="Arial"/>
        </w:rPr>
        <w:t>1.</w:t>
      </w:r>
      <w:r w:rsidR="000B6131" w:rsidRPr="00C311AE">
        <w:rPr>
          <w:rFonts w:ascii="Book Antiqua" w:hAnsi="Book Antiqua" w:cs="Arial"/>
        </w:rPr>
        <w:t xml:space="preserve">83 </w:t>
      </w:r>
      <w:r w:rsidR="00C67021" w:rsidRPr="00C311AE">
        <w:rPr>
          <w:rFonts w:ascii="Book Antiqua" w:hAnsi="Book Antiqua" w:cs="Arial"/>
        </w:rPr>
        <w:t>±</w:t>
      </w:r>
      <w:r w:rsidR="000B6131" w:rsidRPr="00C311AE">
        <w:rPr>
          <w:rFonts w:ascii="Book Antiqua" w:hAnsi="Book Antiqua" w:cs="Arial"/>
        </w:rPr>
        <w:t xml:space="preserve"> 0.12</w:t>
      </w:r>
      <w:r w:rsidR="008A1AE5" w:rsidRPr="00C311AE">
        <w:rPr>
          <w:rFonts w:ascii="Book Antiqua" w:hAnsi="Book Antiqua" w:cs="Arial"/>
        </w:rPr>
        <w:t xml:space="preserve">, </w:t>
      </w:r>
      <w:r w:rsidR="00190691" w:rsidRPr="00C311AE">
        <w:rPr>
          <w:rFonts w:ascii="Book Antiqua" w:hAnsi="Book Antiqua" w:cs="Arial"/>
          <w:i/>
          <w:caps/>
        </w:rPr>
        <w:t>p</w:t>
      </w:r>
      <w:r w:rsidR="00190691" w:rsidRPr="00C311AE">
        <w:rPr>
          <w:rFonts w:ascii="Book Antiqua" w:hAnsi="Book Antiqua" w:cs="Arial"/>
        </w:rPr>
        <w:t xml:space="preserve"> </w:t>
      </w:r>
      <w:r w:rsidR="008A1AE5"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8A1AE5" w:rsidRPr="00C311AE">
        <w:rPr>
          <w:rFonts w:ascii="Book Antiqua" w:hAnsi="Book Antiqua" w:cs="Arial"/>
        </w:rPr>
        <w:t>0.018</w:t>
      </w:r>
      <w:r w:rsidR="00C67021" w:rsidRPr="00C311AE">
        <w:rPr>
          <w:rFonts w:ascii="Book Antiqua" w:hAnsi="Book Antiqua" w:cs="Arial"/>
        </w:rPr>
        <w:t>), chest discomfort at night (2.4</w:t>
      </w:r>
      <w:r w:rsidR="000B6131" w:rsidRPr="00C311AE">
        <w:rPr>
          <w:rFonts w:ascii="Book Antiqua" w:hAnsi="Book Antiqua" w:cs="Arial"/>
        </w:rPr>
        <w:t xml:space="preserve">0 </w:t>
      </w:r>
      <w:r w:rsidR="00C67021" w:rsidRPr="00C311AE">
        <w:rPr>
          <w:rFonts w:ascii="Book Antiqua" w:hAnsi="Book Antiqua" w:cs="Arial"/>
        </w:rPr>
        <w:t>±</w:t>
      </w:r>
      <w:r w:rsidR="000B6131" w:rsidRPr="00C311AE">
        <w:rPr>
          <w:rFonts w:ascii="Book Antiqua" w:hAnsi="Book Antiqua" w:cs="Arial"/>
        </w:rPr>
        <w:t xml:space="preserve"> 0.23</w:t>
      </w:r>
      <w:r w:rsidR="00190691" w:rsidRPr="00C311AE">
        <w:rPr>
          <w:rFonts w:ascii="Book Antiqua" w:hAnsi="Book Antiqua" w:cs="Arial"/>
          <w:i/>
        </w:rPr>
        <w:t xml:space="preserve"> vs</w:t>
      </w:r>
      <w:r w:rsidR="00190691" w:rsidRPr="00C311AE">
        <w:rPr>
          <w:rFonts w:ascii="Book Antiqua" w:hAnsi="Book Antiqua" w:cs="Arial"/>
        </w:rPr>
        <w:t xml:space="preserve"> </w:t>
      </w:r>
      <w:r w:rsidR="00C67021" w:rsidRPr="00C311AE">
        <w:rPr>
          <w:rFonts w:ascii="Book Antiqua" w:hAnsi="Book Antiqua" w:cs="Arial"/>
        </w:rPr>
        <w:t>1.6</w:t>
      </w:r>
      <w:r w:rsidR="000B6131" w:rsidRPr="00C311AE">
        <w:rPr>
          <w:rFonts w:ascii="Book Antiqua" w:hAnsi="Book Antiqua" w:cs="Arial"/>
        </w:rPr>
        <w:t xml:space="preserve">1 </w:t>
      </w:r>
      <w:r w:rsidR="00AE3C63" w:rsidRPr="00C311AE">
        <w:rPr>
          <w:rFonts w:ascii="Book Antiqua" w:hAnsi="Book Antiqua" w:cs="Arial"/>
        </w:rPr>
        <w:t>±</w:t>
      </w:r>
      <w:r w:rsidR="000B6131" w:rsidRPr="00C311AE">
        <w:rPr>
          <w:rFonts w:ascii="Book Antiqua" w:hAnsi="Book Antiqua" w:cs="Arial"/>
        </w:rPr>
        <w:t xml:space="preserve"> 0.13</w:t>
      </w:r>
      <w:r w:rsidR="00AE3C63" w:rsidRPr="00C311AE">
        <w:rPr>
          <w:rFonts w:ascii="Book Antiqua" w:hAnsi="Book Antiqua" w:cs="Arial"/>
        </w:rPr>
        <w:t xml:space="preserve">, </w:t>
      </w:r>
      <w:r w:rsidR="00190691" w:rsidRPr="00C311AE">
        <w:rPr>
          <w:rFonts w:ascii="Book Antiqua" w:hAnsi="Book Antiqua" w:cs="Arial"/>
          <w:i/>
          <w:caps/>
        </w:rPr>
        <w:t>p</w:t>
      </w:r>
      <w:r w:rsidR="00190691" w:rsidRPr="00C311AE">
        <w:rPr>
          <w:rFonts w:ascii="Book Antiqua" w:hAnsi="Book Antiqua" w:cs="Arial"/>
        </w:rPr>
        <w:t xml:space="preserve"> </w:t>
      </w:r>
      <w:r w:rsidR="00AE3C63"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AE3C63" w:rsidRPr="00C311AE">
        <w:rPr>
          <w:rFonts w:ascii="Book Antiqua" w:hAnsi="Book Antiqua" w:cs="Arial"/>
        </w:rPr>
        <w:t>0.003), regurgitation/reflux during day (2.</w:t>
      </w:r>
      <w:r w:rsidR="000B6131" w:rsidRPr="00C311AE">
        <w:rPr>
          <w:rFonts w:ascii="Book Antiqua" w:hAnsi="Book Antiqua" w:cs="Arial"/>
        </w:rPr>
        <w:t xml:space="preserve">77 </w:t>
      </w:r>
      <w:r w:rsidR="00AE3C63" w:rsidRPr="00C311AE">
        <w:rPr>
          <w:rFonts w:ascii="Book Antiqua" w:hAnsi="Book Antiqua" w:cs="Arial"/>
        </w:rPr>
        <w:t>±</w:t>
      </w:r>
      <w:r w:rsidR="000B6131" w:rsidRPr="00C311AE">
        <w:rPr>
          <w:rFonts w:ascii="Book Antiqua" w:hAnsi="Book Antiqua" w:cs="Arial"/>
        </w:rPr>
        <w:t xml:space="preserve"> 0.25</w:t>
      </w:r>
      <w:r w:rsidR="00190691" w:rsidRPr="00C311AE">
        <w:rPr>
          <w:rFonts w:ascii="Book Antiqua" w:hAnsi="Book Antiqua" w:cs="Arial"/>
          <w:i/>
        </w:rPr>
        <w:t xml:space="preserve"> vs</w:t>
      </w:r>
      <w:r w:rsidR="00190691" w:rsidRPr="00C311AE">
        <w:rPr>
          <w:rFonts w:ascii="Book Antiqua" w:hAnsi="Book Antiqua" w:cs="Arial"/>
        </w:rPr>
        <w:t xml:space="preserve"> </w:t>
      </w:r>
      <w:r w:rsidR="00AE3C63" w:rsidRPr="00C311AE">
        <w:rPr>
          <w:rFonts w:ascii="Book Antiqua" w:hAnsi="Book Antiqua" w:cs="Arial"/>
        </w:rPr>
        <w:t>2.</w:t>
      </w:r>
      <w:r w:rsidR="000B6131" w:rsidRPr="00C311AE">
        <w:rPr>
          <w:rFonts w:ascii="Book Antiqua" w:hAnsi="Book Antiqua" w:cs="Arial"/>
        </w:rPr>
        <w:t xml:space="preserve">18 </w:t>
      </w:r>
      <w:r w:rsidR="00AE3C63" w:rsidRPr="00C311AE">
        <w:rPr>
          <w:rFonts w:ascii="Book Antiqua" w:hAnsi="Book Antiqua" w:cs="Arial"/>
        </w:rPr>
        <w:t>±</w:t>
      </w:r>
      <w:r w:rsidR="000B6131" w:rsidRPr="00C311AE">
        <w:rPr>
          <w:rFonts w:ascii="Book Antiqua" w:hAnsi="Book Antiqua" w:cs="Arial"/>
        </w:rPr>
        <w:t xml:space="preserve"> 0.13</w:t>
      </w:r>
      <w:r w:rsidR="00AE3C63" w:rsidRPr="00C311AE">
        <w:rPr>
          <w:rFonts w:ascii="Book Antiqua" w:hAnsi="Book Antiqua" w:cs="Arial"/>
        </w:rPr>
        <w:t xml:space="preserve">, </w:t>
      </w:r>
      <w:r w:rsidR="00190691" w:rsidRPr="00C311AE">
        <w:rPr>
          <w:rFonts w:ascii="Book Antiqua" w:hAnsi="Book Antiqua" w:cs="Arial"/>
          <w:i/>
          <w:caps/>
        </w:rPr>
        <w:t>p</w:t>
      </w:r>
      <w:r w:rsidR="00190691" w:rsidRPr="00C311AE">
        <w:rPr>
          <w:rFonts w:ascii="Book Antiqua" w:hAnsi="Book Antiqua" w:cs="Arial"/>
        </w:rPr>
        <w:t xml:space="preserve"> </w:t>
      </w:r>
      <w:r w:rsidR="00AE3C63"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AE3C63" w:rsidRPr="00C311AE">
        <w:rPr>
          <w:rFonts w:ascii="Book Antiqua" w:hAnsi="Book Antiqua" w:cs="Arial"/>
        </w:rPr>
        <w:t>0.040) and bitter/acid/sour taste</w:t>
      </w:r>
      <w:r w:rsidR="008A1AE5" w:rsidRPr="00C311AE">
        <w:rPr>
          <w:rFonts w:ascii="Book Antiqua" w:hAnsi="Book Antiqua" w:cs="Arial"/>
        </w:rPr>
        <w:t xml:space="preserve"> in the mouth</w:t>
      </w:r>
      <w:r w:rsidR="00AE3C63" w:rsidRPr="00C311AE">
        <w:rPr>
          <w:rFonts w:ascii="Book Antiqua" w:hAnsi="Book Antiqua" w:cs="Arial"/>
        </w:rPr>
        <w:t xml:space="preserve"> </w:t>
      </w:r>
      <w:r w:rsidR="008A1AE5" w:rsidRPr="00C311AE">
        <w:rPr>
          <w:rFonts w:ascii="Book Antiqua" w:hAnsi="Book Antiqua" w:cs="Arial"/>
        </w:rPr>
        <w:t>(2.</w:t>
      </w:r>
      <w:r w:rsidR="000B6131" w:rsidRPr="00C311AE">
        <w:rPr>
          <w:rFonts w:ascii="Book Antiqua" w:hAnsi="Book Antiqua" w:cs="Arial"/>
        </w:rPr>
        <w:t>79</w:t>
      </w:r>
      <w:r w:rsidR="00190691" w:rsidRPr="00C311AE">
        <w:rPr>
          <w:rFonts w:ascii="Book Antiqua" w:eastAsiaTheme="minorEastAsia" w:hAnsi="Book Antiqua" w:cs="Arial" w:hint="eastAsia"/>
          <w:lang w:eastAsia="zh-CN"/>
        </w:rPr>
        <w:t xml:space="preserve"> </w:t>
      </w:r>
      <w:r w:rsidR="008A1AE5" w:rsidRPr="00C311AE">
        <w:rPr>
          <w:rFonts w:ascii="Book Antiqua" w:hAnsi="Book Antiqua" w:cs="Arial"/>
        </w:rPr>
        <w:t>±</w:t>
      </w:r>
      <w:r w:rsidR="000B6131" w:rsidRPr="00C311AE">
        <w:rPr>
          <w:rFonts w:ascii="Book Antiqua" w:hAnsi="Book Antiqua" w:cs="Arial"/>
        </w:rPr>
        <w:t xml:space="preserve"> </w:t>
      </w:r>
      <w:r w:rsidR="000B6131" w:rsidRPr="00C311AE">
        <w:rPr>
          <w:rFonts w:ascii="Book Antiqua" w:hAnsi="Book Antiqua" w:cs="Arial"/>
        </w:rPr>
        <w:lastRenderedPageBreak/>
        <w:t>0.27</w:t>
      </w:r>
      <w:r w:rsidR="00190691" w:rsidRPr="00C311AE">
        <w:rPr>
          <w:rFonts w:ascii="Book Antiqua" w:hAnsi="Book Antiqua" w:cs="Arial"/>
          <w:i/>
        </w:rPr>
        <w:t xml:space="preserve"> vs</w:t>
      </w:r>
      <w:r w:rsidR="00190691" w:rsidRPr="00C311AE">
        <w:rPr>
          <w:rFonts w:ascii="Book Antiqua" w:hAnsi="Book Antiqua" w:cs="Arial"/>
        </w:rPr>
        <w:t xml:space="preserve"> </w:t>
      </w:r>
      <w:r w:rsidR="008A1AE5" w:rsidRPr="00C311AE">
        <w:rPr>
          <w:rFonts w:ascii="Book Antiqua" w:hAnsi="Book Antiqua" w:cs="Arial"/>
        </w:rPr>
        <w:t>2.1</w:t>
      </w:r>
      <w:r w:rsidR="000B6131" w:rsidRPr="00C311AE">
        <w:rPr>
          <w:rFonts w:ascii="Book Antiqua" w:hAnsi="Book Antiqua" w:cs="Arial"/>
        </w:rPr>
        <w:t xml:space="preserve">1 </w:t>
      </w:r>
      <w:r w:rsidR="008A1AE5" w:rsidRPr="00C311AE">
        <w:rPr>
          <w:rFonts w:ascii="Book Antiqua" w:hAnsi="Book Antiqua" w:cs="Arial"/>
        </w:rPr>
        <w:t>±</w:t>
      </w:r>
      <w:r w:rsidR="000B6131" w:rsidRPr="00C311AE">
        <w:rPr>
          <w:rFonts w:ascii="Book Antiqua" w:hAnsi="Book Antiqua" w:cs="Arial"/>
        </w:rPr>
        <w:t xml:space="preserve"> 0.14</w:t>
      </w:r>
      <w:r w:rsidR="008A1AE5" w:rsidRPr="00C311AE">
        <w:rPr>
          <w:rFonts w:ascii="Book Antiqua" w:hAnsi="Book Antiqua" w:cs="Arial"/>
        </w:rPr>
        <w:t xml:space="preserve">, </w:t>
      </w:r>
      <w:r w:rsidR="00190691" w:rsidRPr="00C311AE">
        <w:rPr>
          <w:rFonts w:ascii="Book Antiqua" w:hAnsi="Book Antiqua" w:cs="Arial"/>
          <w:i/>
          <w:caps/>
        </w:rPr>
        <w:t>p</w:t>
      </w:r>
      <w:r w:rsidR="00190691" w:rsidRPr="00C311AE">
        <w:rPr>
          <w:rFonts w:ascii="Book Antiqua" w:hAnsi="Book Antiqua" w:cs="Arial"/>
        </w:rPr>
        <w:t xml:space="preserve"> </w:t>
      </w:r>
      <w:r w:rsidR="008A1AE5"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8A1AE5" w:rsidRPr="00C311AE">
        <w:rPr>
          <w:rFonts w:ascii="Book Antiqua" w:hAnsi="Book Antiqua" w:cs="Arial"/>
        </w:rPr>
        <w:t>0.028)</w:t>
      </w:r>
      <w:r w:rsidR="000A5945" w:rsidRPr="00C311AE">
        <w:rPr>
          <w:rFonts w:ascii="Book Antiqua" w:hAnsi="Book Antiqua" w:cs="Arial"/>
        </w:rPr>
        <w:t>. GpCO had a longer duration of nausea per day</w:t>
      </w:r>
      <w:r w:rsidR="008A1AE5" w:rsidRPr="00C311AE">
        <w:rPr>
          <w:rFonts w:ascii="Book Antiqua" w:hAnsi="Book Antiqua" w:cs="Arial"/>
        </w:rPr>
        <w:t xml:space="preserve"> (</w:t>
      </w:r>
      <w:r w:rsidR="000B6131" w:rsidRPr="00C311AE">
        <w:rPr>
          <w:rFonts w:ascii="Book Antiqua" w:hAnsi="Book Antiqua" w:cs="Arial"/>
        </w:rPr>
        <w:t>median of 7 h</w:t>
      </w:r>
      <w:r w:rsidR="00190691" w:rsidRPr="00C311AE">
        <w:rPr>
          <w:rFonts w:ascii="Book Antiqua" w:eastAsiaTheme="minorEastAsia" w:hAnsi="Book Antiqua" w:cs="Arial" w:hint="eastAsia"/>
          <w:lang w:eastAsia="zh-CN"/>
        </w:rPr>
        <w:t xml:space="preserve"> </w:t>
      </w:r>
      <w:r w:rsidR="00190691" w:rsidRPr="00C311AE">
        <w:rPr>
          <w:rFonts w:ascii="Book Antiqua" w:hAnsi="Book Antiqua" w:cs="Arial"/>
          <w:i/>
        </w:rPr>
        <w:t>vs</w:t>
      </w:r>
      <w:r w:rsidR="008A1AE5" w:rsidRPr="00C311AE">
        <w:rPr>
          <w:rFonts w:ascii="Book Antiqua" w:hAnsi="Book Antiqua" w:cs="Arial"/>
        </w:rPr>
        <w:t xml:space="preserve"> </w:t>
      </w:r>
      <w:r w:rsidR="000B6131" w:rsidRPr="00C311AE">
        <w:rPr>
          <w:rFonts w:ascii="Book Antiqua" w:hAnsi="Book Antiqua" w:cs="Arial"/>
        </w:rPr>
        <w:t>4 h</w:t>
      </w:r>
      <w:r w:rsidR="00190691" w:rsidRPr="00C311AE">
        <w:rPr>
          <w:rFonts w:ascii="Book Antiqua" w:eastAsiaTheme="minorEastAsia" w:hAnsi="Book Antiqua" w:cs="Arial" w:hint="eastAsia"/>
          <w:lang w:eastAsia="zh-CN"/>
        </w:rPr>
        <w:t xml:space="preserve"> </w:t>
      </w:r>
      <w:r w:rsidR="000B6131" w:rsidRPr="00C311AE">
        <w:rPr>
          <w:rFonts w:ascii="Book Antiqua" w:hAnsi="Book Antiqua" w:cs="Arial"/>
        </w:rPr>
        <w:t>for GpNO</w:t>
      </w:r>
      <w:r w:rsidR="008A1AE5" w:rsidRPr="00C311AE">
        <w:rPr>
          <w:rFonts w:ascii="Book Antiqua" w:hAnsi="Book Antiqua" w:cs="Arial"/>
        </w:rPr>
        <w:t xml:space="preserve">, </w:t>
      </w:r>
      <w:r w:rsidR="00190691" w:rsidRPr="00C311AE">
        <w:rPr>
          <w:rFonts w:ascii="Book Antiqua" w:hAnsi="Book Antiqua" w:cs="Arial"/>
          <w:i/>
          <w:caps/>
        </w:rPr>
        <w:t>p</w:t>
      </w:r>
      <w:r w:rsidR="00190691" w:rsidRPr="00C311AE">
        <w:rPr>
          <w:rFonts w:ascii="Book Antiqua" w:hAnsi="Book Antiqua" w:cs="Arial"/>
        </w:rPr>
        <w:t xml:space="preserve"> </w:t>
      </w:r>
      <w:r w:rsidR="008A1AE5"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8A1AE5" w:rsidRPr="00C311AE">
        <w:rPr>
          <w:rFonts w:ascii="Book Antiqua" w:hAnsi="Book Antiqua" w:cs="Arial"/>
        </w:rPr>
        <w:t xml:space="preserve">0.037), and </w:t>
      </w:r>
      <w:r w:rsidR="00E53200" w:rsidRPr="00C311AE">
        <w:rPr>
          <w:rFonts w:ascii="Book Antiqua" w:hAnsi="Book Antiqua" w:cs="Arial"/>
        </w:rPr>
        <w:t>a higher number of</w:t>
      </w:r>
      <w:r w:rsidR="008A1AE5" w:rsidRPr="00C311AE">
        <w:rPr>
          <w:rFonts w:ascii="Book Antiqua" w:hAnsi="Book Antiqua" w:cs="Arial"/>
        </w:rPr>
        <w:t xml:space="preserve"> vomiting episodes per day (</w:t>
      </w:r>
      <w:r w:rsidR="000B6131" w:rsidRPr="00C311AE">
        <w:rPr>
          <w:rFonts w:ascii="Book Antiqua" w:hAnsi="Book Antiqua" w:cs="Arial"/>
        </w:rPr>
        <w:t xml:space="preserve">median of 3 </w:t>
      </w:r>
      <w:r w:rsidR="00190691" w:rsidRPr="00C311AE">
        <w:rPr>
          <w:rFonts w:ascii="Book Antiqua" w:hAnsi="Book Antiqua" w:cs="Arial"/>
          <w:i/>
        </w:rPr>
        <w:t>vs</w:t>
      </w:r>
      <w:r w:rsidR="00190691" w:rsidRPr="00C311AE">
        <w:rPr>
          <w:rFonts w:ascii="Book Antiqua" w:eastAsiaTheme="minorEastAsia" w:hAnsi="Book Antiqua" w:cs="Arial" w:hint="eastAsia"/>
          <w:lang w:eastAsia="zh-CN"/>
        </w:rPr>
        <w:t xml:space="preserve"> </w:t>
      </w:r>
      <w:r w:rsidR="000B6131" w:rsidRPr="00C311AE">
        <w:rPr>
          <w:rFonts w:ascii="Book Antiqua" w:hAnsi="Book Antiqua" w:cs="Arial"/>
        </w:rPr>
        <w:t>2 for GpNO</w:t>
      </w:r>
      <w:r w:rsidR="008A1AE5" w:rsidRPr="00C311AE">
        <w:rPr>
          <w:rFonts w:ascii="Book Antiqua" w:hAnsi="Book Antiqua" w:cs="Arial"/>
        </w:rPr>
        <w:t xml:space="preserve">, </w:t>
      </w:r>
      <w:r w:rsidR="00190691" w:rsidRPr="00C311AE">
        <w:rPr>
          <w:rFonts w:ascii="Book Antiqua" w:hAnsi="Book Antiqua" w:cs="Arial"/>
          <w:i/>
          <w:caps/>
        </w:rPr>
        <w:t>p</w:t>
      </w:r>
      <w:r w:rsidR="00190691" w:rsidRPr="00C311AE">
        <w:rPr>
          <w:rFonts w:ascii="Book Antiqua" w:hAnsi="Book Antiqua" w:cs="Arial"/>
        </w:rPr>
        <w:t xml:space="preserve"> </w:t>
      </w:r>
      <w:r w:rsidR="008A1AE5"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8A1AE5" w:rsidRPr="00C311AE">
        <w:rPr>
          <w:rFonts w:ascii="Book Antiqua" w:hAnsi="Book Antiqua" w:cs="Arial"/>
        </w:rPr>
        <w:t>0.002)</w:t>
      </w:r>
      <w:r w:rsidR="000A5945" w:rsidRPr="00C311AE">
        <w:rPr>
          <w:rFonts w:ascii="Book Antiqua" w:hAnsi="Book Antiqua" w:cs="Arial"/>
        </w:rPr>
        <w:t>. Their abdominal pain more frequently woke them up at night</w:t>
      </w:r>
      <w:r w:rsidR="00E53200" w:rsidRPr="00C311AE">
        <w:rPr>
          <w:rFonts w:ascii="Book Antiqua" w:hAnsi="Book Antiqua" w:cs="Arial"/>
        </w:rPr>
        <w:t xml:space="preserve"> (78.1% </w:t>
      </w:r>
      <w:r w:rsidR="00E53200" w:rsidRPr="00C311AE">
        <w:rPr>
          <w:rFonts w:ascii="Book Antiqua" w:hAnsi="Book Antiqua" w:cs="Arial"/>
          <w:i/>
        </w:rPr>
        <w:t>vs</w:t>
      </w:r>
      <w:r w:rsidR="00E53200" w:rsidRPr="00C311AE">
        <w:rPr>
          <w:rFonts w:ascii="Book Antiqua" w:hAnsi="Book Antiqua" w:cs="Arial"/>
        </w:rPr>
        <w:t xml:space="preserve"> 57.3%, </w:t>
      </w:r>
      <w:r w:rsidR="00190691" w:rsidRPr="00C311AE">
        <w:rPr>
          <w:rFonts w:ascii="Book Antiqua" w:hAnsi="Book Antiqua" w:cs="Arial"/>
          <w:i/>
          <w:caps/>
        </w:rPr>
        <w:t>p</w:t>
      </w:r>
      <w:r w:rsidR="00190691" w:rsidRPr="00C311AE">
        <w:rPr>
          <w:rFonts w:ascii="Book Antiqua" w:hAnsi="Book Antiqua" w:cs="Arial"/>
        </w:rPr>
        <w:t xml:space="preserve"> </w:t>
      </w:r>
      <w:r w:rsidR="00E53200"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E53200" w:rsidRPr="00C311AE">
        <w:rPr>
          <w:rFonts w:ascii="Book Antiqua" w:hAnsi="Book Antiqua" w:cs="Arial"/>
        </w:rPr>
        <w:t>0.031)</w:t>
      </w:r>
      <w:r w:rsidR="000A5945" w:rsidRPr="00C311AE">
        <w:rPr>
          <w:rFonts w:ascii="Book Antiqua" w:hAnsi="Book Antiqua" w:cs="Arial"/>
        </w:rPr>
        <w:t>. The</w:t>
      </w:r>
      <w:r w:rsidR="008A1AE5" w:rsidRPr="00C311AE">
        <w:rPr>
          <w:rFonts w:ascii="Book Antiqua" w:hAnsi="Book Antiqua" w:cs="Arial"/>
        </w:rPr>
        <w:t>y</w:t>
      </w:r>
      <w:r w:rsidR="000A5945" w:rsidRPr="00C311AE">
        <w:rPr>
          <w:rFonts w:ascii="Book Antiqua" w:hAnsi="Book Antiqua" w:cs="Arial"/>
        </w:rPr>
        <w:t xml:space="preserve"> </w:t>
      </w:r>
      <w:r w:rsidR="008A1AE5" w:rsidRPr="00C311AE">
        <w:rPr>
          <w:rFonts w:ascii="Book Antiqua" w:hAnsi="Book Antiqua" w:cs="Arial"/>
        </w:rPr>
        <w:t xml:space="preserve">had a lower </w:t>
      </w:r>
      <w:r w:rsidR="000A5945" w:rsidRPr="00C311AE">
        <w:rPr>
          <w:rFonts w:ascii="Book Antiqua" w:hAnsi="Book Antiqua" w:cs="Arial"/>
        </w:rPr>
        <w:t>employment rate</w:t>
      </w:r>
      <w:r w:rsidR="00E53200" w:rsidRPr="00C311AE">
        <w:rPr>
          <w:rFonts w:ascii="Book Antiqua" w:hAnsi="Book Antiqua" w:cs="Arial"/>
        </w:rPr>
        <w:t xml:space="preserve"> (33.3%</w:t>
      </w:r>
      <w:r w:rsidR="00190691" w:rsidRPr="00C311AE">
        <w:rPr>
          <w:rFonts w:ascii="Book Antiqua" w:hAnsi="Book Antiqua" w:cs="Arial"/>
          <w:i/>
        </w:rPr>
        <w:t xml:space="preserve"> vs</w:t>
      </w:r>
      <w:r w:rsidR="00190691" w:rsidRPr="00C311AE">
        <w:rPr>
          <w:rFonts w:ascii="Book Antiqua" w:hAnsi="Book Antiqua" w:cs="Arial"/>
        </w:rPr>
        <w:t xml:space="preserve"> </w:t>
      </w:r>
      <w:r w:rsidR="00E53200" w:rsidRPr="00C311AE">
        <w:rPr>
          <w:rFonts w:ascii="Book Antiqua" w:hAnsi="Book Antiqua" w:cs="Arial"/>
        </w:rPr>
        <w:t xml:space="preserve">54.2%, </w:t>
      </w:r>
      <w:r w:rsidR="00190691" w:rsidRPr="00C311AE">
        <w:rPr>
          <w:rFonts w:ascii="Book Antiqua" w:hAnsi="Book Antiqua" w:cs="Arial"/>
          <w:i/>
          <w:caps/>
        </w:rPr>
        <w:t>p</w:t>
      </w:r>
      <w:r w:rsidR="00190691" w:rsidRPr="00C311AE">
        <w:rPr>
          <w:rFonts w:ascii="Book Antiqua" w:hAnsi="Book Antiqua" w:cs="Arial"/>
        </w:rPr>
        <w:t xml:space="preserve"> </w:t>
      </w:r>
      <w:r w:rsidR="00E53200"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190691" w:rsidRPr="00C311AE">
        <w:rPr>
          <w:rFonts w:ascii="Book Antiqua" w:hAnsi="Book Antiqua" w:cs="Arial"/>
        </w:rPr>
        <w:t>0.016</w:t>
      </w:r>
      <w:r w:rsidR="00E53200" w:rsidRPr="00C311AE">
        <w:rPr>
          <w:rFonts w:ascii="Book Antiqua" w:hAnsi="Book Antiqua" w:cs="Arial"/>
        </w:rPr>
        <w:t>)</w:t>
      </w:r>
      <w:r w:rsidR="000A5945" w:rsidRPr="00C311AE">
        <w:rPr>
          <w:rFonts w:ascii="Book Antiqua" w:hAnsi="Book Antiqua" w:cs="Arial"/>
        </w:rPr>
        <w:t xml:space="preserve"> and </w:t>
      </w:r>
      <w:r w:rsidR="00420CE5" w:rsidRPr="00C311AE">
        <w:rPr>
          <w:rFonts w:ascii="Book Antiqua" w:hAnsi="Book Antiqua" w:cs="Arial"/>
        </w:rPr>
        <w:t>amongst those who were employed l</w:t>
      </w:r>
      <w:r w:rsidR="00E43297" w:rsidRPr="00C311AE">
        <w:rPr>
          <w:rFonts w:ascii="Book Antiqua" w:hAnsi="Book Antiqua" w:cs="Arial"/>
        </w:rPr>
        <w:t>ess number of</w:t>
      </w:r>
      <w:r w:rsidR="00420CE5" w:rsidRPr="00C311AE">
        <w:rPr>
          <w:rFonts w:ascii="Book Antiqua" w:hAnsi="Book Antiqua" w:cs="Arial"/>
        </w:rPr>
        <w:t xml:space="preserve"> </w:t>
      </w:r>
      <w:r w:rsidR="000A5945" w:rsidRPr="00C311AE">
        <w:rPr>
          <w:rFonts w:ascii="Book Antiqua" w:hAnsi="Book Antiqua" w:cs="Arial"/>
        </w:rPr>
        <w:t>working hours</w:t>
      </w:r>
      <w:r w:rsidR="00E53200" w:rsidRPr="00C311AE">
        <w:rPr>
          <w:rFonts w:ascii="Book Antiqua" w:hAnsi="Book Antiqua" w:cs="Arial"/>
        </w:rPr>
        <w:t xml:space="preserve"> per week (</w:t>
      </w:r>
      <w:r w:rsidR="000B6131" w:rsidRPr="00C311AE">
        <w:rPr>
          <w:rFonts w:ascii="Book Antiqua" w:hAnsi="Book Antiqua" w:cs="Arial"/>
        </w:rPr>
        <w:t>median of 23</w:t>
      </w:r>
      <w:r w:rsidR="00190691" w:rsidRPr="00C311AE">
        <w:rPr>
          <w:rFonts w:ascii="Book Antiqua" w:hAnsi="Book Antiqua" w:cs="Arial"/>
          <w:i/>
        </w:rPr>
        <w:t xml:space="preserve"> vs</w:t>
      </w:r>
      <w:r w:rsidR="00190691" w:rsidRPr="00C311AE">
        <w:rPr>
          <w:rFonts w:ascii="Book Antiqua" w:hAnsi="Book Antiqua" w:cs="Arial"/>
        </w:rPr>
        <w:t xml:space="preserve"> </w:t>
      </w:r>
      <w:r w:rsidR="000B6131" w:rsidRPr="00C311AE">
        <w:rPr>
          <w:rFonts w:ascii="Book Antiqua" w:hAnsi="Book Antiqua" w:cs="Arial"/>
        </w:rPr>
        <w:t>40</w:t>
      </w:r>
      <w:r w:rsidR="00E53200" w:rsidRPr="00C311AE">
        <w:rPr>
          <w:rFonts w:ascii="Book Antiqua" w:hAnsi="Book Antiqua" w:cs="Arial"/>
        </w:rPr>
        <w:t xml:space="preserve">, </w:t>
      </w:r>
      <w:r w:rsidR="00190691" w:rsidRPr="00C311AE">
        <w:rPr>
          <w:rFonts w:ascii="Book Antiqua" w:hAnsi="Book Antiqua" w:cs="Arial"/>
          <w:i/>
          <w:caps/>
        </w:rPr>
        <w:t>p</w:t>
      </w:r>
      <w:r w:rsidR="00190691" w:rsidRPr="00C311AE">
        <w:rPr>
          <w:rFonts w:ascii="Book Antiqua" w:hAnsi="Book Antiqua" w:cs="Arial"/>
        </w:rPr>
        <w:t xml:space="preserve"> </w:t>
      </w:r>
      <w:r w:rsidR="00E53200"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E53200" w:rsidRPr="00C311AE">
        <w:rPr>
          <w:rFonts w:ascii="Book Antiqua" w:hAnsi="Book Antiqua" w:cs="Arial"/>
        </w:rPr>
        <w:t>0.005</w:t>
      </w:r>
      <w:r w:rsidR="00AF69E3" w:rsidRPr="00C311AE">
        <w:rPr>
          <w:rFonts w:ascii="Book Antiqua" w:hAnsi="Book Antiqua" w:cs="Arial"/>
        </w:rPr>
        <w:t>)</w:t>
      </w:r>
      <w:r w:rsidR="008A1AE5" w:rsidRPr="00C311AE">
        <w:rPr>
          <w:rFonts w:ascii="Book Antiqua" w:hAnsi="Book Antiqua" w:cs="Arial"/>
        </w:rPr>
        <w:t xml:space="preserve">. </w:t>
      </w:r>
      <w:r w:rsidR="00E53200" w:rsidRPr="00C311AE">
        <w:rPr>
          <w:rFonts w:ascii="Book Antiqua" w:hAnsi="Book Antiqua" w:cs="Arial"/>
        </w:rPr>
        <w:t>They reported higher number of hospitalizations in the last 1 year (</w:t>
      </w:r>
      <w:r w:rsidR="00B721E5" w:rsidRPr="00C311AE">
        <w:rPr>
          <w:rFonts w:ascii="Book Antiqua" w:hAnsi="Book Antiqua" w:cs="Arial"/>
        </w:rPr>
        <w:t xml:space="preserve">mean ± </w:t>
      </w:r>
      <w:r w:rsidR="00190691" w:rsidRPr="00C311AE">
        <w:rPr>
          <w:rFonts w:ascii="Book Antiqua" w:eastAsiaTheme="minorEastAsia" w:hAnsi="Book Antiqua" w:cs="Arial" w:hint="eastAsia"/>
          <w:lang w:eastAsia="zh-CN"/>
        </w:rPr>
        <w:t xml:space="preserve">SE </w:t>
      </w:r>
      <w:r w:rsidR="00B721E5" w:rsidRPr="00C311AE">
        <w:rPr>
          <w:rFonts w:ascii="Book Antiqua" w:hAnsi="Book Antiqua" w:cs="Arial"/>
        </w:rPr>
        <w:t xml:space="preserve">of mean of </w:t>
      </w:r>
      <w:r w:rsidR="00E53200" w:rsidRPr="00C311AE">
        <w:rPr>
          <w:rFonts w:ascii="Book Antiqua" w:hAnsi="Book Antiqua" w:cs="Arial"/>
        </w:rPr>
        <w:t>2.9</w:t>
      </w:r>
      <w:r w:rsidR="000B6131" w:rsidRPr="00C311AE">
        <w:rPr>
          <w:rFonts w:ascii="Book Antiqua" w:hAnsi="Book Antiqua" w:cs="Arial"/>
        </w:rPr>
        <w:t>0</w:t>
      </w:r>
      <w:r w:rsidR="00190691" w:rsidRPr="00C311AE">
        <w:rPr>
          <w:rFonts w:ascii="Book Antiqua" w:eastAsiaTheme="minorEastAsia" w:hAnsi="Book Antiqua" w:cs="Arial" w:hint="eastAsia"/>
          <w:lang w:eastAsia="zh-CN"/>
        </w:rPr>
        <w:t xml:space="preserve"> </w:t>
      </w:r>
      <w:r w:rsidR="00E53200" w:rsidRPr="00C311AE">
        <w:rPr>
          <w:rFonts w:ascii="Book Antiqua" w:hAnsi="Book Antiqua" w:cs="Arial"/>
        </w:rPr>
        <w:t>±</w:t>
      </w:r>
      <w:r w:rsidR="000B6131" w:rsidRPr="00C311AE">
        <w:rPr>
          <w:rFonts w:ascii="Book Antiqua" w:hAnsi="Book Antiqua" w:cs="Arial"/>
        </w:rPr>
        <w:t xml:space="preserve"> 0.77</w:t>
      </w:r>
      <w:r w:rsidR="00190691" w:rsidRPr="00C311AE">
        <w:rPr>
          <w:rFonts w:ascii="Book Antiqua" w:hAnsi="Book Antiqua" w:cs="Arial"/>
          <w:i/>
        </w:rPr>
        <w:t xml:space="preserve"> vs</w:t>
      </w:r>
      <w:r w:rsidR="00190691" w:rsidRPr="00C311AE">
        <w:rPr>
          <w:rFonts w:ascii="Book Antiqua" w:hAnsi="Book Antiqua" w:cs="Arial"/>
        </w:rPr>
        <w:t xml:space="preserve"> </w:t>
      </w:r>
      <w:r w:rsidR="00E53200" w:rsidRPr="00C311AE">
        <w:rPr>
          <w:rFonts w:ascii="Book Antiqua" w:hAnsi="Book Antiqua" w:cs="Arial"/>
        </w:rPr>
        <w:t>1.</w:t>
      </w:r>
      <w:r w:rsidR="000B6131" w:rsidRPr="00C311AE">
        <w:rPr>
          <w:rFonts w:ascii="Book Antiqua" w:hAnsi="Book Antiqua" w:cs="Arial"/>
        </w:rPr>
        <w:t xml:space="preserve">26 </w:t>
      </w:r>
      <w:r w:rsidR="00E53200" w:rsidRPr="00C311AE">
        <w:rPr>
          <w:rFonts w:ascii="Book Antiqua" w:hAnsi="Book Antiqua" w:cs="Arial"/>
        </w:rPr>
        <w:t>±</w:t>
      </w:r>
      <w:r w:rsidR="000B6131" w:rsidRPr="00C311AE">
        <w:rPr>
          <w:rFonts w:ascii="Book Antiqua" w:hAnsi="Book Antiqua" w:cs="Arial"/>
        </w:rPr>
        <w:t xml:space="preserve"> 0.23</w:t>
      </w:r>
      <w:r w:rsidR="00E53200" w:rsidRPr="00C311AE">
        <w:rPr>
          <w:rFonts w:ascii="Book Antiqua" w:hAnsi="Book Antiqua" w:cs="Arial"/>
        </w:rPr>
        <w:t xml:space="preserve">, </w:t>
      </w:r>
      <w:r w:rsidR="00190691" w:rsidRPr="00C311AE">
        <w:rPr>
          <w:rFonts w:ascii="Book Antiqua" w:hAnsi="Book Antiqua" w:cs="Arial"/>
          <w:i/>
          <w:caps/>
        </w:rPr>
        <w:t>p</w:t>
      </w:r>
      <w:r w:rsidR="00190691" w:rsidRPr="00C311AE">
        <w:rPr>
          <w:rFonts w:ascii="Book Antiqua" w:hAnsi="Book Antiqua" w:cs="Arial"/>
        </w:rPr>
        <w:t xml:space="preserve"> </w:t>
      </w:r>
      <w:r w:rsidR="00E53200"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E53200" w:rsidRPr="00C311AE">
        <w:rPr>
          <w:rFonts w:ascii="Book Antiqua" w:hAnsi="Book Antiqua" w:cs="Arial"/>
        </w:rPr>
        <w:t xml:space="preserve">0.047). </w:t>
      </w:r>
    </w:p>
    <w:p w14:paraId="7E1C9C26" w14:textId="77777777" w:rsidR="008D2D18" w:rsidRPr="00C311AE" w:rsidRDefault="008D2D18" w:rsidP="00020CC7">
      <w:pPr>
        <w:snapToGrid w:val="0"/>
        <w:spacing w:line="360" w:lineRule="auto"/>
        <w:jc w:val="both"/>
        <w:rPr>
          <w:rFonts w:ascii="Book Antiqua" w:hAnsi="Book Antiqua" w:cs="Arial"/>
        </w:rPr>
      </w:pPr>
    </w:p>
    <w:p w14:paraId="239EF914" w14:textId="77777777" w:rsidR="00190691" w:rsidRPr="00C311AE" w:rsidRDefault="00646A48" w:rsidP="00020CC7">
      <w:pPr>
        <w:snapToGrid w:val="0"/>
        <w:spacing w:line="360" w:lineRule="auto"/>
        <w:jc w:val="both"/>
        <w:rPr>
          <w:rFonts w:ascii="Book Antiqua" w:eastAsiaTheme="minorEastAsia" w:hAnsi="Book Antiqua" w:cs="Arial"/>
          <w:b/>
          <w:i/>
          <w:caps/>
          <w:lang w:eastAsia="zh-CN"/>
        </w:rPr>
      </w:pPr>
      <w:r w:rsidRPr="00C311AE">
        <w:rPr>
          <w:rFonts w:ascii="Book Antiqua" w:hAnsi="Book Antiqua" w:cs="Arial"/>
          <w:b/>
          <w:i/>
          <w:caps/>
        </w:rPr>
        <w:t>Conclusion</w:t>
      </w:r>
    </w:p>
    <w:p w14:paraId="496B5944" w14:textId="24C62EA3" w:rsidR="000A5945" w:rsidRPr="00C311AE" w:rsidRDefault="000A5945" w:rsidP="00020CC7">
      <w:pPr>
        <w:snapToGrid w:val="0"/>
        <w:spacing w:line="360" w:lineRule="auto"/>
        <w:jc w:val="both"/>
        <w:rPr>
          <w:rFonts w:ascii="Book Antiqua" w:hAnsi="Book Antiqua" w:cs="Arial"/>
        </w:rPr>
      </w:pPr>
      <w:r w:rsidRPr="00C311AE">
        <w:rPr>
          <w:rFonts w:ascii="Book Antiqua" w:hAnsi="Book Antiqua" w:cs="Arial"/>
        </w:rPr>
        <w:t>GpCO had</w:t>
      </w:r>
      <w:r w:rsidRPr="00C311AE">
        <w:rPr>
          <w:rFonts w:ascii="Book Antiqua" w:hAnsi="Book Antiqua" w:cs="Arial"/>
          <w:b/>
        </w:rPr>
        <w:t xml:space="preserve"> </w:t>
      </w:r>
      <w:r w:rsidRPr="00C311AE">
        <w:rPr>
          <w:rFonts w:ascii="Book Antiqua" w:hAnsi="Book Antiqua" w:cs="Arial"/>
        </w:rPr>
        <w:t>a</w:t>
      </w:r>
      <w:r w:rsidRPr="00C311AE">
        <w:rPr>
          <w:rFonts w:ascii="Book Antiqua" w:hAnsi="Book Antiqua" w:cs="Arial"/>
          <w:b/>
        </w:rPr>
        <w:t xml:space="preserve"> </w:t>
      </w:r>
      <w:r w:rsidRPr="00C311AE">
        <w:rPr>
          <w:rFonts w:ascii="Book Antiqua" w:hAnsi="Book Antiqua" w:cs="Arial"/>
        </w:rPr>
        <w:t xml:space="preserve">higher severity of many </w:t>
      </w:r>
      <w:r w:rsidR="00934E59" w:rsidRPr="00C311AE">
        <w:rPr>
          <w:rFonts w:ascii="Book Antiqua" w:hAnsi="Book Antiqua" w:cs="Arial"/>
        </w:rPr>
        <w:t>gastrointestinal symptoms</w:t>
      </w:r>
      <w:r w:rsidR="00AF69E3" w:rsidRPr="00C311AE">
        <w:rPr>
          <w:rFonts w:ascii="Book Antiqua" w:hAnsi="Book Antiqua" w:cs="Arial"/>
        </w:rPr>
        <w:t xml:space="preserve">, </w:t>
      </w:r>
      <w:r w:rsidR="00731957" w:rsidRPr="00C311AE">
        <w:rPr>
          <w:rFonts w:ascii="Book Antiqua" w:hAnsi="Book Antiqua" w:cs="Arial"/>
        </w:rPr>
        <w:t>compared to GpNO. H</w:t>
      </w:r>
      <w:r w:rsidR="00AF69E3" w:rsidRPr="00C311AE">
        <w:rPr>
          <w:rFonts w:ascii="Book Antiqua" w:hAnsi="Book Antiqua" w:cs="Arial"/>
        </w:rPr>
        <w:t>ospitalization</w:t>
      </w:r>
      <w:r w:rsidR="00731957" w:rsidRPr="00C311AE">
        <w:rPr>
          <w:rFonts w:ascii="Book Antiqua" w:hAnsi="Book Antiqua" w:cs="Arial"/>
        </w:rPr>
        <w:t xml:space="preserve"> rates were more than 2-fold higher in GpCO than GpNO. GpCO also had</w:t>
      </w:r>
      <w:r w:rsidR="00AF69E3" w:rsidRPr="00C311AE">
        <w:rPr>
          <w:rFonts w:ascii="Book Antiqua" w:hAnsi="Book Antiqua" w:cs="Arial"/>
        </w:rPr>
        <w:t xml:space="preserve"> </w:t>
      </w:r>
      <w:r w:rsidRPr="00C311AE">
        <w:rPr>
          <w:rFonts w:ascii="Book Antiqua" w:hAnsi="Book Antiqua" w:cs="Arial"/>
        </w:rPr>
        <w:t>lower employment rate and working hours</w:t>
      </w:r>
      <w:r w:rsidR="00934E59" w:rsidRPr="00C311AE">
        <w:rPr>
          <w:rFonts w:ascii="Book Antiqua" w:hAnsi="Book Antiqua" w:cs="Arial"/>
        </w:rPr>
        <w:t xml:space="preserve">, </w:t>
      </w:r>
      <w:r w:rsidR="00AF69E3" w:rsidRPr="00C311AE">
        <w:rPr>
          <w:rFonts w:ascii="Book Antiqua" w:hAnsi="Book Antiqua" w:cs="Arial"/>
        </w:rPr>
        <w:t>when compared to GpNO</w:t>
      </w:r>
      <w:r w:rsidRPr="00C311AE">
        <w:rPr>
          <w:rFonts w:ascii="Book Antiqua" w:hAnsi="Book Antiqua" w:cs="Arial"/>
        </w:rPr>
        <w:t xml:space="preserve">. </w:t>
      </w:r>
    </w:p>
    <w:p w14:paraId="2A9F6BDF" w14:textId="77777777" w:rsidR="008D2D18" w:rsidRPr="00C311AE" w:rsidRDefault="008D2D18" w:rsidP="00020CC7">
      <w:pPr>
        <w:snapToGrid w:val="0"/>
        <w:spacing w:line="360" w:lineRule="auto"/>
        <w:jc w:val="both"/>
        <w:rPr>
          <w:rFonts w:ascii="Book Antiqua" w:hAnsi="Book Antiqua" w:cs="Arial"/>
        </w:rPr>
      </w:pPr>
    </w:p>
    <w:p w14:paraId="3FA5A3D4" w14:textId="4D58E947" w:rsidR="00E8498F" w:rsidRPr="00C311AE" w:rsidRDefault="00E8498F" w:rsidP="00020CC7">
      <w:pPr>
        <w:snapToGrid w:val="0"/>
        <w:spacing w:line="360" w:lineRule="auto"/>
        <w:jc w:val="both"/>
        <w:rPr>
          <w:rFonts w:ascii="Book Antiqua" w:eastAsiaTheme="minorEastAsia" w:hAnsi="Book Antiqua" w:cs="Arial"/>
          <w:lang w:eastAsia="zh-CN"/>
        </w:rPr>
      </w:pPr>
      <w:r w:rsidRPr="00C311AE">
        <w:rPr>
          <w:rFonts w:ascii="Book Antiqua" w:hAnsi="Book Antiqua" w:cs="Arial"/>
          <w:b/>
        </w:rPr>
        <w:t>Key words:</w:t>
      </w:r>
      <w:r w:rsidR="00190691" w:rsidRPr="00C311AE">
        <w:rPr>
          <w:rFonts w:ascii="Book Antiqua" w:eastAsiaTheme="minorEastAsia" w:hAnsi="Book Antiqua" w:cs="Arial" w:hint="eastAsia"/>
          <w:lang w:eastAsia="zh-CN"/>
        </w:rPr>
        <w:t xml:space="preserve"> </w:t>
      </w:r>
      <w:r w:rsidRPr="00C311AE">
        <w:rPr>
          <w:rFonts w:ascii="Book Antiqua" w:hAnsi="Book Antiqua" w:cs="Arial"/>
        </w:rPr>
        <w:t xml:space="preserve">Opioid; </w:t>
      </w:r>
      <w:r w:rsidRPr="00C311AE">
        <w:rPr>
          <w:rFonts w:ascii="Book Antiqua" w:hAnsi="Book Antiqua" w:cs="Arial"/>
          <w:caps/>
        </w:rPr>
        <w:t>g</w:t>
      </w:r>
      <w:r w:rsidRPr="00C311AE">
        <w:rPr>
          <w:rFonts w:ascii="Book Antiqua" w:hAnsi="Book Antiqua" w:cs="Arial"/>
        </w:rPr>
        <w:t xml:space="preserve">astroparesis; </w:t>
      </w:r>
      <w:r w:rsidR="000A5945" w:rsidRPr="00C311AE">
        <w:rPr>
          <w:rFonts w:ascii="Book Antiqua" w:hAnsi="Book Antiqua" w:cs="Arial"/>
          <w:caps/>
        </w:rPr>
        <w:t>s</w:t>
      </w:r>
      <w:r w:rsidR="000A5945" w:rsidRPr="00C311AE">
        <w:rPr>
          <w:rFonts w:ascii="Book Antiqua" w:hAnsi="Book Antiqua" w:cs="Arial"/>
        </w:rPr>
        <w:t xml:space="preserve">ymptoms; </w:t>
      </w:r>
      <w:r w:rsidR="000A5945" w:rsidRPr="00C311AE">
        <w:rPr>
          <w:rFonts w:ascii="Book Antiqua" w:hAnsi="Book Antiqua" w:cs="Arial"/>
          <w:caps/>
        </w:rPr>
        <w:t>h</w:t>
      </w:r>
      <w:r w:rsidR="000A5945" w:rsidRPr="00C311AE">
        <w:rPr>
          <w:rFonts w:ascii="Book Antiqua" w:hAnsi="Book Antiqua" w:cs="Arial"/>
        </w:rPr>
        <w:t xml:space="preserve">ospitalizations; </w:t>
      </w:r>
      <w:r w:rsidRPr="00C311AE">
        <w:rPr>
          <w:rFonts w:ascii="Book Antiqua" w:hAnsi="Book Antiqua" w:cs="Arial"/>
          <w:caps/>
        </w:rPr>
        <w:t>e</w:t>
      </w:r>
      <w:r w:rsidR="00190691" w:rsidRPr="00C311AE">
        <w:rPr>
          <w:rFonts w:ascii="Book Antiqua" w:hAnsi="Book Antiqua" w:cs="Arial"/>
        </w:rPr>
        <w:t>mployment</w:t>
      </w:r>
    </w:p>
    <w:p w14:paraId="21A403AD" w14:textId="77777777" w:rsidR="00AF69E3" w:rsidRPr="00C311AE" w:rsidRDefault="00AF69E3" w:rsidP="00020CC7">
      <w:pPr>
        <w:snapToGrid w:val="0"/>
        <w:spacing w:line="360" w:lineRule="auto"/>
        <w:jc w:val="both"/>
        <w:rPr>
          <w:rFonts w:ascii="Book Antiqua" w:eastAsiaTheme="minorEastAsia" w:hAnsi="Book Antiqua" w:cs="Arial"/>
          <w:b/>
          <w:lang w:eastAsia="zh-CN"/>
        </w:rPr>
      </w:pPr>
    </w:p>
    <w:p w14:paraId="170F9E87" w14:textId="77777777" w:rsidR="00190691" w:rsidRPr="00C311AE" w:rsidRDefault="00190691" w:rsidP="00020CC7">
      <w:pPr>
        <w:adjustRightInd w:val="0"/>
        <w:snapToGrid w:val="0"/>
        <w:spacing w:line="360" w:lineRule="auto"/>
        <w:jc w:val="both"/>
        <w:rPr>
          <w:rFonts w:ascii="Book Antiqua" w:hAnsi="Book Antiqua"/>
        </w:rPr>
      </w:pPr>
      <w:bookmarkStart w:id="41" w:name="OLE_LINK994"/>
      <w:bookmarkStart w:id="42" w:name="OLE_LINK956"/>
      <w:bookmarkStart w:id="43" w:name="OLE_LINK916"/>
      <w:bookmarkStart w:id="44" w:name="OLE_LINK500"/>
      <w:bookmarkStart w:id="45" w:name="OLE_LINK1062"/>
      <w:bookmarkStart w:id="46" w:name="OLE_LINK1140"/>
      <w:bookmarkStart w:id="47" w:name="OLE_LINK1195"/>
      <w:bookmarkStart w:id="48" w:name="OLE_LINK1037"/>
      <w:bookmarkStart w:id="49" w:name="OLE_LINK359"/>
      <w:bookmarkStart w:id="50" w:name="OLE_LINK364"/>
      <w:bookmarkStart w:id="51" w:name="OLE_LINK363"/>
      <w:r w:rsidRPr="00C311AE">
        <w:rPr>
          <w:rFonts w:ascii="Book Antiqua" w:hAnsi="Book Antiqua"/>
          <w:b/>
        </w:rPr>
        <w:t>© The Author(s) 2017.</w:t>
      </w:r>
      <w:r w:rsidRPr="00C311AE">
        <w:rPr>
          <w:rFonts w:ascii="Book Antiqua" w:hAnsi="Book Antiqua"/>
        </w:rPr>
        <w:t xml:space="preserve"> Published by Baishideng Publishing Group Inc. All rights reserved.</w:t>
      </w:r>
      <w:bookmarkEnd w:id="41"/>
      <w:bookmarkEnd w:id="42"/>
      <w:bookmarkEnd w:id="43"/>
      <w:bookmarkEnd w:id="44"/>
      <w:bookmarkEnd w:id="45"/>
      <w:bookmarkEnd w:id="46"/>
      <w:bookmarkEnd w:id="47"/>
      <w:bookmarkEnd w:id="48"/>
      <w:bookmarkEnd w:id="49"/>
      <w:bookmarkEnd w:id="50"/>
      <w:bookmarkEnd w:id="51"/>
    </w:p>
    <w:p w14:paraId="66FA32F7" w14:textId="77777777" w:rsidR="00190691" w:rsidRPr="00C311AE" w:rsidRDefault="00190691" w:rsidP="00020CC7">
      <w:pPr>
        <w:snapToGrid w:val="0"/>
        <w:spacing w:line="360" w:lineRule="auto"/>
        <w:jc w:val="both"/>
        <w:rPr>
          <w:rFonts w:ascii="Book Antiqua" w:eastAsiaTheme="minorEastAsia" w:hAnsi="Book Antiqua" w:cs="Arial"/>
          <w:b/>
          <w:lang w:eastAsia="zh-CN"/>
        </w:rPr>
      </w:pPr>
    </w:p>
    <w:p w14:paraId="6B4BFA98" w14:textId="7ED114FE" w:rsidR="000A5945" w:rsidRPr="00C311AE" w:rsidRDefault="00190691" w:rsidP="00020CC7">
      <w:pPr>
        <w:snapToGrid w:val="0"/>
        <w:spacing w:line="360" w:lineRule="auto"/>
        <w:jc w:val="both"/>
        <w:rPr>
          <w:rFonts w:ascii="Book Antiqua" w:hAnsi="Book Antiqua" w:cs="Arial"/>
          <w:b/>
        </w:rPr>
      </w:pPr>
      <w:r w:rsidRPr="00C311AE">
        <w:rPr>
          <w:rFonts w:ascii="Book Antiqua" w:hAnsi="Book Antiqua" w:cs="Arial"/>
          <w:b/>
        </w:rPr>
        <w:t>Core tip:</w:t>
      </w:r>
      <w:r w:rsidRPr="00C311AE">
        <w:rPr>
          <w:rFonts w:ascii="Book Antiqua" w:eastAsiaTheme="minorEastAsia" w:hAnsi="Book Antiqua" w:cs="Arial" w:hint="eastAsia"/>
          <w:b/>
          <w:lang w:eastAsia="zh-CN"/>
        </w:rPr>
        <w:t xml:space="preserve"> </w:t>
      </w:r>
      <w:r w:rsidR="000A5945" w:rsidRPr="00C311AE">
        <w:rPr>
          <w:rFonts w:ascii="Book Antiqua" w:hAnsi="Book Antiqua" w:cs="Arial"/>
        </w:rPr>
        <w:t>Chronic opioid use can cause gastrointestinal side effects and negatively influence the quality of life. The impact of chronic opioid use on symptoms, healthcare utilization, and employment of gastroparesis patients is not well studied. In our study, gastroparesis patients on chronic scheduled opioids h</w:t>
      </w:r>
      <w:r w:rsidR="00C45FAF" w:rsidRPr="00C311AE">
        <w:rPr>
          <w:rFonts w:ascii="Book Antiqua" w:hAnsi="Book Antiqua" w:cs="Arial"/>
        </w:rPr>
        <w:t>ad more severe gastrointestinal</w:t>
      </w:r>
      <w:r w:rsidR="00643F2E" w:rsidRPr="00C311AE">
        <w:rPr>
          <w:rFonts w:ascii="Book Antiqua" w:hAnsi="Book Antiqua" w:cs="Arial"/>
        </w:rPr>
        <w:t xml:space="preserve"> symptoms, </w:t>
      </w:r>
      <w:r w:rsidR="000A5945" w:rsidRPr="00C311AE">
        <w:rPr>
          <w:rFonts w:ascii="Book Antiqua" w:hAnsi="Book Antiqua" w:cs="Arial"/>
        </w:rPr>
        <w:t xml:space="preserve">less work productivity </w:t>
      </w:r>
      <w:r w:rsidR="00643F2E" w:rsidRPr="00C311AE">
        <w:rPr>
          <w:rFonts w:ascii="Book Antiqua" w:hAnsi="Book Antiqua" w:cs="Arial"/>
        </w:rPr>
        <w:t xml:space="preserve">and more frequent hospitalizations </w:t>
      </w:r>
      <w:r w:rsidR="000A5945" w:rsidRPr="00C311AE">
        <w:rPr>
          <w:rFonts w:ascii="Book Antiqua" w:hAnsi="Book Antiqua" w:cs="Arial"/>
        </w:rPr>
        <w:t>compared to gastroparesis patients without opioid use. Whether opioid use is to treat a higher symptom severity from gastroparesis, or the opioid use worsens symptoms requires further study.</w:t>
      </w:r>
    </w:p>
    <w:p w14:paraId="5E7B3739" w14:textId="77777777" w:rsidR="00415C7E" w:rsidRPr="00C311AE" w:rsidRDefault="00415C7E" w:rsidP="00020CC7">
      <w:pPr>
        <w:snapToGrid w:val="0"/>
        <w:spacing w:line="360" w:lineRule="auto"/>
        <w:jc w:val="both"/>
        <w:rPr>
          <w:rFonts w:ascii="Book Antiqua" w:eastAsiaTheme="minorEastAsia" w:hAnsi="Book Antiqua" w:cs="Arial"/>
          <w:b/>
          <w:lang w:eastAsia="zh-CN"/>
        </w:rPr>
      </w:pPr>
    </w:p>
    <w:p w14:paraId="719A3202" w14:textId="28FA26E1" w:rsidR="00415C7E" w:rsidRPr="00C311AE" w:rsidRDefault="00415C7E" w:rsidP="00020CC7">
      <w:pPr>
        <w:snapToGrid w:val="0"/>
        <w:spacing w:line="360" w:lineRule="auto"/>
        <w:jc w:val="both"/>
        <w:rPr>
          <w:rFonts w:ascii="Book Antiqua" w:eastAsiaTheme="minorEastAsia" w:hAnsi="Book Antiqua" w:cs="Arial"/>
          <w:lang w:eastAsia="zh-CN"/>
        </w:rPr>
      </w:pPr>
      <w:r w:rsidRPr="00C311AE">
        <w:rPr>
          <w:rFonts w:ascii="Book Antiqua" w:hAnsi="Book Antiqua" w:cs="Arial"/>
        </w:rPr>
        <w:lastRenderedPageBreak/>
        <w:t>Jehangir A,</w:t>
      </w:r>
      <w:r w:rsidR="00190691" w:rsidRPr="00C311AE">
        <w:rPr>
          <w:rFonts w:ascii="Book Antiqua" w:eastAsiaTheme="minorEastAsia" w:hAnsi="Book Antiqua" w:cs="Arial" w:hint="eastAsia"/>
          <w:lang w:eastAsia="zh-CN"/>
        </w:rPr>
        <w:t xml:space="preserve"> </w:t>
      </w:r>
      <w:r w:rsidRPr="00C311AE">
        <w:rPr>
          <w:rFonts w:ascii="Book Antiqua" w:hAnsi="Book Antiqua" w:cs="Arial"/>
        </w:rPr>
        <w:t xml:space="preserve">Parkman HP. </w:t>
      </w:r>
      <w:r w:rsidR="00B26D39" w:rsidRPr="00B26D39">
        <w:rPr>
          <w:rFonts w:ascii="Book Antiqua" w:hAnsi="Book Antiqua" w:cs="Arial"/>
        </w:rPr>
        <w:t>Chronic opioids in gastroparesis: Relationship with gastrointestinal symptoms, healthcare utilization and employment</w:t>
      </w:r>
      <w:r w:rsidR="00190691" w:rsidRPr="00C311AE">
        <w:rPr>
          <w:rFonts w:ascii="Book Antiqua" w:eastAsiaTheme="minorEastAsia" w:hAnsi="Book Antiqua" w:cs="Arial" w:hint="eastAsia"/>
          <w:lang w:eastAsia="zh-CN"/>
        </w:rPr>
        <w:t xml:space="preserve">. </w:t>
      </w:r>
      <w:bookmarkStart w:id="52" w:name="OLE_LINK1107"/>
      <w:bookmarkStart w:id="53" w:name="OLE_LINK1105"/>
      <w:r w:rsidR="00190691" w:rsidRPr="00C311AE">
        <w:rPr>
          <w:rFonts w:ascii="Book Antiqua" w:eastAsiaTheme="minorEastAsia" w:hAnsi="Book Antiqua" w:cs="Arial"/>
          <w:i/>
          <w:lang w:eastAsia="zh-CN"/>
        </w:rPr>
        <w:t xml:space="preserve">World J Gastroenterol </w:t>
      </w:r>
      <w:r w:rsidR="00190691" w:rsidRPr="00C311AE">
        <w:rPr>
          <w:rFonts w:ascii="Book Antiqua" w:eastAsiaTheme="minorEastAsia" w:hAnsi="Book Antiqua" w:cs="Arial"/>
          <w:lang w:eastAsia="zh-CN"/>
        </w:rPr>
        <w:t>2017; In press</w:t>
      </w:r>
      <w:bookmarkEnd w:id="52"/>
      <w:bookmarkEnd w:id="53"/>
    </w:p>
    <w:p w14:paraId="33613595" w14:textId="77777777" w:rsidR="00415C7E" w:rsidRPr="00C311AE" w:rsidRDefault="00415C7E" w:rsidP="00020CC7">
      <w:pPr>
        <w:snapToGrid w:val="0"/>
        <w:spacing w:line="360" w:lineRule="auto"/>
        <w:jc w:val="both"/>
        <w:rPr>
          <w:rFonts w:ascii="Book Antiqua" w:hAnsi="Book Antiqua" w:cs="Arial"/>
          <w:b/>
        </w:rPr>
      </w:pPr>
    </w:p>
    <w:p w14:paraId="0BFB6193" w14:textId="77777777" w:rsidR="00190691" w:rsidRPr="00C311AE" w:rsidRDefault="00190691" w:rsidP="00020CC7">
      <w:pPr>
        <w:snapToGrid w:val="0"/>
        <w:spacing w:line="360" w:lineRule="auto"/>
        <w:jc w:val="both"/>
        <w:rPr>
          <w:rFonts w:ascii="Book Antiqua" w:hAnsi="Book Antiqua" w:cs="Arial"/>
          <w:b/>
        </w:rPr>
      </w:pPr>
      <w:r w:rsidRPr="00C311AE">
        <w:rPr>
          <w:rFonts w:ascii="Book Antiqua" w:hAnsi="Book Antiqua" w:cs="Arial"/>
          <w:b/>
        </w:rPr>
        <w:br w:type="page"/>
      </w:r>
    </w:p>
    <w:p w14:paraId="402445E8" w14:textId="7B0E33CC" w:rsidR="008D2D18" w:rsidRPr="00C311AE" w:rsidRDefault="00190691" w:rsidP="00020CC7">
      <w:pPr>
        <w:snapToGrid w:val="0"/>
        <w:spacing w:line="360" w:lineRule="auto"/>
        <w:jc w:val="both"/>
        <w:rPr>
          <w:rFonts w:ascii="Book Antiqua" w:eastAsiaTheme="minorEastAsia" w:hAnsi="Book Antiqua" w:cs="Arial"/>
          <w:b/>
          <w:lang w:eastAsia="zh-CN"/>
        </w:rPr>
      </w:pPr>
      <w:r w:rsidRPr="00C311AE">
        <w:rPr>
          <w:rFonts w:ascii="Book Antiqua" w:hAnsi="Book Antiqua" w:cs="Arial"/>
          <w:b/>
        </w:rPr>
        <w:lastRenderedPageBreak/>
        <w:t>INTRODUCTION</w:t>
      </w:r>
    </w:p>
    <w:p w14:paraId="24ABAB74" w14:textId="64C37221" w:rsidR="00F71AC4" w:rsidRPr="00C311AE" w:rsidRDefault="006C69B0" w:rsidP="00020CC7">
      <w:pPr>
        <w:snapToGrid w:val="0"/>
        <w:spacing w:line="360" w:lineRule="auto"/>
        <w:jc w:val="both"/>
        <w:rPr>
          <w:rFonts w:ascii="Book Antiqua" w:hAnsi="Book Antiqua" w:cs="Arial"/>
          <w:b/>
        </w:rPr>
      </w:pPr>
      <w:r w:rsidRPr="00C311AE">
        <w:rPr>
          <w:rFonts w:ascii="Book Antiqua" w:hAnsi="Book Antiqua" w:cs="Arial"/>
        </w:rPr>
        <w:t>Opioid use</w:t>
      </w:r>
      <w:r w:rsidRPr="00C311AE">
        <w:rPr>
          <w:rFonts w:ascii="Book Antiqua" w:hAnsi="Book Antiqua" w:cs="Arial"/>
          <w:b/>
        </w:rPr>
        <w:t xml:space="preserve"> </w:t>
      </w:r>
      <w:r w:rsidR="00D24E2A" w:rsidRPr="00C311AE">
        <w:rPr>
          <w:rFonts w:ascii="Book Antiqua" w:hAnsi="Book Antiqua" w:cs="Arial"/>
        </w:rPr>
        <w:t>has become</w:t>
      </w:r>
      <w:r w:rsidRPr="00C311AE">
        <w:rPr>
          <w:rFonts w:ascii="Book Antiqua" w:hAnsi="Book Antiqua" w:cs="Arial"/>
        </w:rPr>
        <w:t xml:space="preserve"> a healthcare epidemic</w:t>
      </w:r>
      <w:r w:rsidR="00BE0C5A" w:rsidRPr="00C311AE">
        <w:rPr>
          <w:rFonts w:ascii="Book Antiqua" w:hAnsi="Book Antiqua" w:cs="Arial"/>
        </w:rPr>
        <w:t xml:space="preserve"> in United States with increasing </w:t>
      </w:r>
      <w:r w:rsidRPr="00C311AE">
        <w:rPr>
          <w:rFonts w:ascii="Book Antiqua" w:hAnsi="Book Antiqua" w:cs="Arial"/>
        </w:rPr>
        <w:t>prescription rates in the recent years</w:t>
      </w:r>
      <w:r w:rsidR="00DC473F" w:rsidRPr="00C311AE">
        <w:rPr>
          <w:rFonts w:ascii="Book Antiqua" w:hAnsi="Book Antiqua" w:cs="Arial"/>
        </w:rPr>
        <w:t>, and over 3% of the adults are now chronically using opioids</w:t>
      </w:r>
      <w:r w:rsidR="004F060B" w:rsidRPr="00C311AE">
        <w:rPr>
          <w:rFonts w:ascii="Book Antiqua" w:hAnsi="Book Antiqua" w:cs="Arial"/>
          <w:vertAlign w:val="superscript"/>
        </w:rPr>
        <w:fldChar w:fldCharType="begin"/>
      </w:r>
      <w:r w:rsidR="0063332F" w:rsidRPr="00C311AE">
        <w:rPr>
          <w:rFonts w:ascii="Book Antiqua" w:hAnsi="Book Antiqua" w:cs="Arial"/>
          <w:vertAlign w:val="superscript"/>
        </w:rPr>
        <w:instrText xml:space="preserve"> ADDIN ZOTERO_ITEM CSL_CITATION {"citationID":"IdJ9QtbL","properties":{"formattedCitation":"{\\rtf (1\\uc0\\u8211{}3)}","plainCitation":"(1–3)"},"citationItems":[{"id":45,"uris":["http://zotero.org/users/local/Y25qLmSx/items/HTHV6EV4"],"uri":["http://zotero.org/users/local/Y25qLmSx/items/HTHV6EV4"],"itemData":{"id":45,"type":"article-journal","title":"Association of Overall Opioid Prescriptions on Adolescent Opioid Abuse","container-title":"The Journal of Emergency Medicine","page":"485-490","volume":"51","issue":"5","source":"PubMed","abstract":"BACKGROUND: Opioid abuse is a public health epidemic in the United States. Much literature has focused on the prescribing practices of physicians and opioid misuse by adults. However, there are limited data on the effect of opioid prescriptions on adolescent recreational ingestion of these medications.\nOBJECTIVES: The objective of this study was to assess for a relationship between opioid prescribing practices across the United States and adolescent opioid ingestion calls to poison centers.\nMETHODS: This was an observational study using the National Poison Data System. The study population consisted of poison center calls regarding adolescents between 2005 and 2010 in the database with a coding of \"intentional abuse\" and an opioid ingestion. National opioid prescription estimates were generated using nationally representative outpatient and inpatient databases.\nRESULTS: There were 4186 adolescent opioid ingestion calls during the study period. There was a general increase between 2005 and 2010 in both teen opioid abuse calls (617 in 2005 to 782 in 2010) and national opioid prescriptions (approximately 78 million in 2005 to 108 million in 2010). For each opioid prescription increase per 100 persons per year, the annual teen opioid abuse calls increased by 1.8% (95% confidence interval 0.9-2.8%), equivalent to an absolute increase of about 0.04 to 0.05 calls per 100,000 teens annually.\nCONCLUSIONS: There appears to be an association between opioid prescriptions nationally and poison center calls for adolescent opioid ingestions. This is particularly important in this patient population because of impulsivity and early exposure to substance abuse. Providers should be aware of the nonmedical use of opioids by adolescents and educate patients accordingly.","DOI":"10.1016/j.jemermed.2016.06.049","ISSN":"0736-4679","note":"PMID: 27596964","journalAbbreviation":"J Emerg Med","language":"eng","author":[{"family":"Sheridan","given":"David C."},{"family":"Laurie","given":"Amber"},{"family":"Hendrickson","given":"Robert G."},{"family":"Fu","given":"Rongwei"},{"family":"Kea","given":"Bory"},{"family":"Horowitz","given":"B. Zane"}],"issued":{"date-parts":[["2016",11]]}}},{"id":47,"uris":["http://zotero.org/users/local/Y25qLmSx/items/NHZ7PCV7"],"uri":["http://zotero.org/users/local/Y25qLmSx/items/NHZ7PCV7"],"itemData":{"id":47,"type":"article-journal","title":"Opioid-induced bowel disorders and narcotic bowel syndrome in patients with chronic non-cancer pain","container-title":"Neurogastroenterology and Motility: The Official Journal of the European Gastrointestinal Motility Society","page":"424-430, e96","volume":"22","issue":"4","source":"PubMed","abstract":"BACKGROUND: Opioids are used increasingly in the management of moderate-to-severe chronic non-cancer pain (CNCP). Opioid-induced bowel disorders (OBD) markedly impact health-related quality of life (HRQoL) and frequently limit medically indicated opioid pharmacotherapy. We assessed the risk factors, and effect of OBD on HRQoL in CNCP patients. We also estimated the likely prevalence of narcotic bowel syndrome (NBS). These effects have been reported in cancer patients but not in CNCP previously.\nMETHODS: Ambulatory CNCP patients (n = 146) taking regularly scheduled opioids were invited to complete the Bowel-Disease-Questionnaire and a pain-sensitive HRQoL instrument. The Rome-II criteria were used to define bowel disorders. Narcotic bowel syndrome was defined as presence of daily severe to very-severe abdominal pain of more than 3 months duration requiring more than 100 mg of morphine equivalent per day.\nKEY RESULTS: Ninety-eight patients (69%) returned the survey. Respondents had taken opioids for 10 days to 10 years (median 365 days) at a median daily dose of 127.5 mg morphine-equivalent (range 7.5-600 mg). Constipation prevalence was 46.9% (95% CI 36.8-57.3), nausea 27% (95% CI 17.2-35.3), vomiting 9% (95% CI 17.2-35.3), and gastro-esophageal reflux disease 33% (95% CI 23.5-42.9). Chronic abdominal pain was reported by 58.2% (95% CI 53.2-73.9) and 6.4%, (95% CI 2.4-13.5) fulfilled the criteria of NBS. Prevalence of constipation increased with duration of treatment. Health-related quality of life was low in patients with chronic abdominal pain.\nCONCLUSION &amp; INFERENCES: Bowel disorders including chronic abdominal pain and NBS are common in patients taking opioids for CNCP. Decreased HRQoL in patients with CNCP is driven by chronic abdominal pain.","DOI":"10.1111/j.1365-2982.2009.01458.x","ISSN":"1365-2982","note":"PMID: 20100280","journalAbbreviation":"Neurogastroenterol. Motil.","language":"eng","author":[{"family":"Tuteja","given":"A. K."},{"family":"Biskupiak","given":"J."},{"family":"Stoddard","given":"G. J."},{"family":"Lipman","given":"A. G."}],"issued":{"date-parts":[["2010",4]]}}},{"id":49,"uris":["http://zotero.org/users/local/Y25qLmSx/items/WCEM8JJ9"],"uri":["http://zotero.org/users/local/Y25qLmSx/items/WCEM8JJ9"],"itemData":{"id":49,"type":"article-journal","title":"Opioid prescriptions for chronic pain and overdose: a cohort study","container-title":"Annals of Internal Medicine","page":"85-92","volume":"152","issue":"2","source":"PubMed","abstract":"BACKGROUND: Long-term opioid therapy for chronic noncancer pain is becoming increasingly common in community practice. Concomitant with this change in practice, rates of fatal opioid overdose have increased. The extent to which overdose risks are elevated among patients receiving medically prescribed long-term opioid therapy is unknown.\nOBJECTIVE: To estimate rates of opioid overdose and their association with an average prescribed daily opioid dose among patients receiving medically prescribed, long-term opioid therapy.\nDESIGN: Cox proportional hazards models were used to estimate overdose risk as a function of average daily opioid dose (morphine equivalents) received at the time of overdose.\nSETTING: HMO.\nPATIENTS: 9940 persons who received 3 or more opioid prescriptions within 90 days for chronic noncancer pain between 1997 and 2005.\nMEASUREMENTS: Average daily opioid dose over the previous 90 days from automated pharmacy data. Primary outcomes--nonfatal and fatal overdoses--were identified through diagnostic codes from inpatient and outpatient care and death certificates and were confirmed by medical record review.\nRESULTS: 51 opioid-related overdoses were identified, including 6 deaths. Compared with patients receiving 1 to 20 mg/d of opioids (0.2% annual overdose rate), patients receiving 50 to 99 mg/d had a 3.7-fold increase in overdose risk (95% CI, 1.5 to 9.5) and a 0.7% annual overdose rate. Patients receiving 100 mg/d or more had an 8.9-fold increase in overdose risk (CI, 4.0 to 19.7) and a 1.8% annual overdose rate.\nLIMITATIONS: Increased overdose risk among patients receiving higher dose regimens may be due to confounding by patient differences and by use of opioids in ways not intended by prescribing physicians. The small number of overdoses in the study cohort is also a limitation.\nCONCLUSION: Patients receiving higher doses of prescribed opioids are at increased risk for overdose, which underscores the need for close supervision of these patients.\nPRIMARY FUNDING SOURCE: National Institute of Drug Abuse.","DOI":"10.7326/0003-4819-152-2-201001190-00006","ISSN":"1539-3704","note":"PMID: 20083827\nPMCID: PMC3000551","shortTitle":"Opioid prescriptions for chronic pain and overdose","journalAbbreviation":"Ann. Intern. Med.","language":"eng","author":[{"family":"Dunn","given":"Kate M."},{"family":"Saunders","given":"Kathleen W."},{"family":"Rutter","given":"Carolyn M."},{"family":"Banta-Green","given":"Caleb J."},{"family":"Merrill","given":"Joseph O."},{"family":"Sullivan","given":"Mark D."},{"family":"Weisner","given":"Constance M."},{"family":"Silverberg","given":"Michael J."},{"family":"Campbell","given":"Cynthia I."},{"family":"Psaty","given":"Bruce M."},{"family":"Von Korff","given":"Michael"}],"issued":{"date-parts":[["2010",1,19]]}}}],"schema":"https://github.com/citation-style-language/schema/raw/master/csl-citation.json"} </w:instrText>
      </w:r>
      <w:r w:rsidR="004F060B" w:rsidRPr="00C311AE">
        <w:rPr>
          <w:rFonts w:ascii="Book Antiqua" w:hAnsi="Book Antiqua" w:cs="Arial"/>
          <w:vertAlign w:val="superscript"/>
        </w:rPr>
        <w:fldChar w:fldCharType="separate"/>
      </w:r>
      <w:r w:rsidR="0078648C" w:rsidRPr="00C311AE">
        <w:rPr>
          <w:rFonts w:ascii="Book Antiqua" w:hAnsi="Book Antiqua"/>
          <w:vertAlign w:val="superscript"/>
        </w:rPr>
        <w:t>[</w:t>
      </w:r>
      <w:r w:rsidR="00B160C4" w:rsidRPr="00C311AE">
        <w:rPr>
          <w:rFonts w:ascii="Book Antiqua" w:hAnsi="Book Antiqua"/>
          <w:vertAlign w:val="superscript"/>
        </w:rPr>
        <w:t>1–3</w:t>
      </w:r>
      <w:r w:rsidR="0078648C" w:rsidRPr="00C311AE">
        <w:rPr>
          <w:rFonts w:ascii="Book Antiqua" w:hAnsi="Book Antiqua"/>
          <w:vertAlign w:val="superscript"/>
        </w:rPr>
        <w:t>]</w:t>
      </w:r>
      <w:r w:rsidR="004F060B" w:rsidRPr="00C311AE">
        <w:rPr>
          <w:rFonts w:ascii="Book Antiqua" w:hAnsi="Book Antiqua" w:cs="Arial"/>
          <w:vertAlign w:val="superscript"/>
        </w:rPr>
        <w:fldChar w:fldCharType="end"/>
      </w:r>
      <w:r w:rsidRPr="00C311AE">
        <w:rPr>
          <w:rFonts w:ascii="Book Antiqua" w:hAnsi="Book Antiqua" w:cs="Arial"/>
        </w:rPr>
        <w:t>.</w:t>
      </w:r>
      <w:r w:rsidR="00DC473F" w:rsidRPr="00C311AE">
        <w:rPr>
          <w:rFonts w:ascii="Book Antiqua" w:hAnsi="Book Antiqua" w:cs="Arial"/>
        </w:rPr>
        <w:t xml:space="preserve"> </w:t>
      </w:r>
      <w:r w:rsidR="00AD5EFC" w:rsidRPr="00C311AE">
        <w:rPr>
          <w:rFonts w:ascii="Book Antiqua" w:hAnsi="Book Antiqua" w:cs="Arial"/>
        </w:rPr>
        <w:t>In 2013, t</w:t>
      </w:r>
      <w:r w:rsidR="007506C7" w:rsidRPr="00C311AE">
        <w:rPr>
          <w:rFonts w:ascii="Book Antiqua" w:hAnsi="Book Antiqua" w:cs="Arial"/>
        </w:rPr>
        <w:t>he overall cost burden from opioid</w:t>
      </w:r>
      <w:r w:rsidR="00AD5EFC" w:rsidRPr="00C311AE">
        <w:rPr>
          <w:rFonts w:ascii="Book Antiqua" w:hAnsi="Book Antiqua" w:cs="Arial"/>
        </w:rPr>
        <w:t xml:space="preserve">s in </w:t>
      </w:r>
      <w:r w:rsidR="0013365D" w:rsidRPr="00C311AE">
        <w:rPr>
          <w:rFonts w:ascii="Book Antiqua" w:hAnsi="Book Antiqua" w:cs="Arial"/>
        </w:rPr>
        <w:t>United States</w:t>
      </w:r>
      <w:r w:rsidR="00AD5EFC" w:rsidRPr="00C311AE">
        <w:rPr>
          <w:rFonts w:ascii="Book Antiqua" w:hAnsi="Book Antiqua" w:cs="Arial"/>
        </w:rPr>
        <w:t xml:space="preserve"> </w:t>
      </w:r>
      <w:r w:rsidR="00D2414B" w:rsidRPr="00C311AE">
        <w:rPr>
          <w:rFonts w:ascii="Book Antiqua" w:hAnsi="Book Antiqua" w:cs="Arial"/>
        </w:rPr>
        <w:t>was</w:t>
      </w:r>
      <w:r w:rsidR="000F6C17" w:rsidRPr="00C311AE">
        <w:rPr>
          <w:rFonts w:ascii="Book Antiqua" w:hAnsi="Book Antiqua" w:cs="Arial"/>
        </w:rPr>
        <w:t xml:space="preserve"> estimated to be $78.5 billion</w:t>
      </w:r>
      <w:r w:rsidR="0063332F" w:rsidRPr="00C311AE">
        <w:rPr>
          <w:rFonts w:ascii="Book Antiqua" w:hAnsi="Book Antiqua" w:cs="Arial"/>
          <w:vertAlign w:val="superscript"/>
        </w:rPr>
        <w:fldChar w:fldCharType="begin"/>
      </w:r>
      <w:r w:rsidR="009C065D" w:rsidRPr="00C311AE">
        <w:rPr>
          <w:rFonts w:ascii="Book Antiqua" w:hAnsi="Book Antiqua" w:cs="Arial"/>
          <w:vertAlign w:val="superscript"/>
        </w:rPr>
        <w:instrText xml:space="preserve"> ADDIN ZOTERO_ITEM CSL_CITATION {"citationID":"7Eoxney4","properties":{"formattedCitation":"(4)","plainCitation":"(4)"},"citationItems":[{"id":53,"uris":["http://zotero.org/users/local/Y25qLmSx/items/A768NKAN"],"uri":["http://zotero.org/users/local/Y25qLmSx/items/A768NKAN"],"itemData":{"id":53,"type":"article-journal","title":"The Economic Burden of Prescription Opioid Overdose, Abuse, and Dependence in the United States, 2013","container-title":"Medical Care","page":"901-906","volume":"54","issue":"10","source":"PubMed","abstract":"IMPORTANCE: It is important to understand the magnitude and distribution of the economic burden of prescription opioid overdose, abuse, and dependence to inform clinical practice, research, and other decision makers. Decision makers choosing approaches to address this epidemic need cost information to evaluate the cost effectiveness of their choices.\nOBJECTIVE: To estimate the economic burden of prescription opioid overdose, abuse, and dependence from a societal perspective.\nDESIGN, SETTING, AND PARTICIPANTS: Incidence of fatal prescription opioid overdose from the National Vital Statistics System, prevalence of abuse and dependence from the National Survey of Drug Use and Health. Fatal data are for the US population, nonfatal data are a nationally representative sample of the US civilian noninstitutionalized population ages 12 and older. Cost data are from various sources including health care claims data from the Truven Health MarketScan Research Databases, and cost of fatal cases from the WISQARS (Web-based Injury Statistics Query and Reporting System) cost module. Criminal justice costs were derived from the Justice Expenditure and Employment Extracts published by the Department of Justice. Estimates of lost productivity were based on a previously published study.\nEXPOSURE: Calendar year 2013.\nMAIN OUTCOMES AND MEASURES: Monetized burden of fatal overdose and abuse and dependence of prescription opioids.\nRESULTS: The total economic burden is estimated to be $78.5 billion. Over one third of this amount is due to increased health care and substance abuse treatment costs ($28.9 billion). Approximately one quarter of the cost is borne by the public sector in health care, substance abuse treatment, and criminal justice costs.\nCONCLUSIONS AND RELEVANCE: These estimates can assist decision makers in understanding the magnitude of adverse health outcomes associated with prescription opioid use such as overdose, abuse, and dependence.","DOI":"10.1097/MLR.0000000000000625","ISSN":"1537-1948","note":"PMID: 27623005","journalAbbreviation":"Med Care","language":"eng","author":[{"family":"Florence","given":"Curtis S."},{"family":"Zhou","given":"Chao"},{"family":"Luo","given":"Feijun"},{"family":"Xu","given":"Likang"}],"issued":{"date-parts":[["2016",10]]}}}],"schema":"https://github.com/citation-style-language/schema/raw/master/csl-citation.json"} </w:instrText>
      </w:r>
      <w:r w:rsidR="0063332F" w:rsidRPr="00C311AE">
        <w:rPr>
          <w:rFonts w:ascii="Book Antiqua" w:hAnsi="Book Antiqua" w:cs="Arial"/>
          <w:vertAlign w:val="superscript"/>
        </w:rPr>
        <w:fldChar w:fldCharType="separate"/>
      </w:r>
      <w:r w:rsidR="00B82C49" w:rsidRPr="00C311AE">
        <w:rPr>
          <w:rFonts w:ascii="Book Antiqua" w:hAnsi="Book Antiqua" w:cs="Arial"/>
          <w:vertAlign w:val="superscript"/>
        </w:rPr>
        <w:t>[</w:t>
      </w:r>
      <w:r w:rsidR="00B160C4" w:rsidRPr="00C311AE">
        <w:rPr>
          <w:rFonts w:ascii="Book Antiqua" w:hAnsi="Book Antiqua" w:cs="Arial"/>
          <w:vertAlign w:val="superscript"/>
        </w:rPr>
        <w:t>4</w:t>
      </w:r>
      <w:r w:rsidR="00B82C49" w:rsidRPr="00C311AE">
        <w:rPr>
          <w:rFonts w:ascii="Book Antiqua" w:hAnsi="Book Antiqua" w:cs="Arial"/>
          <w:vertAlign w:val="superscript"/>
        </w:rPr>
        <w:t>]</w:t>
      </w:r>
      <w:r w:rsidR="0063332F" w:rsidRPr="00C311AE">
        <w:rPr>
          <w:rFonts w:ascii="Book Antiqua" w:hAnsi="Book Antiqua" w:cs="Arial"/>
          <w:vertAlign w:val="superscript"/>
        </w:rPr>
        <w:fldChar w:fldCharType="end"/>
      </w:r>
      <w:r w:rsidR="000F6C17" w:rsidRPr="00C311AE">
        <w:rPr>
          <w:rFonts w:ascii="Book Antiqua" w:hAnsi="Book Antiqua" w:cs="Arial"/>
        </w:rPr>
        <w:t>.</w:t>
      </w:r>
      <w:r w:rsidR="007506C7" w:rsidRPr="00C311AE">
        <w:rPr>
          <w:rFonts w:ascii="Book Antiqua" w:hAnsi="Book Antiqua" w:cs="Arial"/>
        </w:rPr>
        <w:t xml:space="preserve"> </w:t>
      </w:r>
      <w:r w:rsidR="00465D84" w:rsidRPr="00C311AE">
        <w:rPr>
          <w:rFonts w:ascii="Book Antiqua" w:hAnsi="Book Antiqua" w:cs="Arial"/>
        </w:rPr>
        <w:t xml:space="preserve">A </w:t>
      </w:r>
      <w:r w:rsidR="005A29D1" w:rsidRPr="00C311AE">
        <w:rPr>
          <w:rFonts w:ascii="Book Antiqua" w:hAnsi="Book Antiqua" w:cs="Arial"/>
        </w:rPr>
        <w:t xml:space="preserve">recent </w:t>
      </w:r>
      <w:r w:rsidR="00465D84" w:rsidRPr="00C311AE">
        <w:rPr>
          <w:rFonts w:ascii="Book Antiqua" w:hAnsi="Book Antiqua" w:cs="Arial"/>
        </w:rPr>
        <w:t>systematic review identified mean costs to the payer</w:t>
      </w:r>
      <w:r w:rsidR="00774664" w:rsidRPr="00C311AE">
        <w:rPr>
          <w:rFonts w:ascii="Book Antiqua" w:hAnsi="Book Antiqua" w:cs="Arial"/>
        </w:rPr>
        <w:t xml:space="preserve"> (commercial or private insurance)</w:t>
      </w:r>
      <w:r w:rsidR="00190691" w:rsidRPr="00C311AE">
        <w:rPr>
          <w:rFonts w:ascii="Book Antiqua" w:hAnsi="Book Antiqua" w:cs="Arial"/>
        </w:rPr>
        <w:t xml:space="preserve"> of $23000-$25</w:t>
      </w:r>
      <w:r w:rsidR="00465D84" w:rsidRPr="00C311AE">
        <w:rPr>
          <w:rFonts w:ascii="Book Antiqua" w:hAnsi="Book Antiqua" w:cs="Arial"/>
        </w:rPr>
        <w:t xml:space="preserve">000 </w:t>
      </w:r>
      <w:r w:rsidR="000231F3" w:rsidRPr="00C311AE">
        <w:rPr>
          <w:rFonts w:ascii="Book Antiqua" w:hAnsi="Book Antiqua" w:cs="Arial"/>
        </w:rPr>
        <w:t xml:space="preserve">per year </w:t>
      </w:r>
      <w:r w:rsidR="008C3AC5" w:rsidRPr="00C311AE">
        <w:rPr>
          <w:rFonts w:ascii="Book Antiqua" w:hAnsi="Book Antiqua" w:cs="Arial"/>
        </w:rPr>
        <w:t>for the opioid mis</w:t>
      </w:r>
      <w:r w:rsidR="00FD57DE" w:rsidRPr="00C311AE">
        <w:rPr>
          <w:rFonts w:ascii="Book Antiqua" w:hAnsi="Book Antiqua" w:cs="Arial"/>
        </w:rPr>
        <w:t xml:space="preserve">users, </w:t>
      </w:r>
      <w:r w:rsidR="00190691" w:rsidRPr="00C311AE">
        <w:rPr>
          <w:rFonts w:ascii="Book Antiqua" w:hAnsi="Book Antiqua" w:cs="Arial"/>
        </w:rPr>
        <w:t>approximately $15</w:t>
      </w:r>
      <w:r w:rsidR="00465D84" w:rsidRPr="00C311AE">
        <w:rPr>
          <w:rFonts w:ascii="Book Antiqua" w:hAnsi="Book Antiqua" w:cs="Arial"/>
        </w:rPr>
        <w:t>000</w:t>
      </w:r>
      <w:r w:rsidR="00FD57DE" w:rsidRPr="00C311AE">
        <w:rPr>
          <w:rFonts w:ascii="Book Antiqua" w:hAnsi="Book Antiqua" w:cs="Arial"/>
        </w:rPr>
        <w:t xml:space="preserve"> more than the non-opioid users</w:t>
      </w:r>
      <w:r w:rsidR="0063332F"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244nnj5lvu","properties":{"formattedCitation":"(5)","plainCitation":"(5)"},"citationItems":[{"id":55,"uris":["http://zotero.org/users/local/Y25qLmSx/items/3TNMGMKB"],"uri":["http://zotero.org/users/local/Y25qLmSx/items/3TNMGMKB"],"itemData":{"id":55,"type":"article-journal","title":"Economic Burden of Prescription Opioid Misuse and Abuse: A Systematic Review","container-title":"Journal of Pain &amp; Palliative Care Pharmacotherapy","page":"388-400","volume":"29","issue":"4","source":"PubMed","abstract":"A 2009 systematic review found that the total cost of prescription opioid abuse in 2001 in the United States was approximately $8.6 billion and medical expenses were estimated to be $15,884 for opioid abusers and $1,830 for nonabusers. A search was conducted for English publications on the cost of prescription opioid abuse and misuse from 2009 to 2014. The initial literature search identified 5,412 citations. Title and abstract review selected 59 for further review. The final review process resulted in 16 publications for inclusion that examined cost from the payer perspective. Mean costs to the payer for abusers were $23,000-$25,000 per year and excess costs approximately $15,000 per patient. Three papers were identified that presented societal costs, including direct and indirect costs such as criminal justice costs and costs associated with lost productivity. The strongest evidence suggests that societal cost is in excess of $50 billion per year in the United States. Prescription opioid abuse and misuse is a common and important problem throughout the world that has significant associated societal costs and excess medical costs.","DOI":"10.3109/15360288.2015.1101641","ISSN":"1536-0539","note":"PMID: 26654413","shortTitle":"Economic Burden of Prescription Opioid Misuse and Abuse","journalAbbreviation":"J Pain Palliat Care Pharmacother","language":"eng","author":[{"family":"Oderda","given":"Gary M."},{"family":"Lake","given":"Joanita"},{"family":"Rüdell","given":"Katja"},{"family":"Roland","given":"Carl L."},{"family":"Masters","given":"Elizabeth T."}],"issued":{"date-parts":[["2015"]]}}}],"schema":"https://github.com/citation-style-language/schema/raw/master/csl-citation.json"} </w:instrText>
      </w:r>
      <w:r w:rsidR="0063332F" w:rsidRPr="00C311AE">
        <w:rPr>
          <w:rFonts w:ascii="Book Antiqua" w:hAnsi="Book Antiqua" w:cs="Arial"/>
          <w:vertAlign w:val="superscript"/>
        </w:rPr>
        <w:fldChar w:fldCharType="separate"/>
      </w:r>
      <w:r w:rsidR="00B82C49" w:rsidRPr="00C311AE">
        <w:rPr>
          <w:rFonts w:ascii="Book Antiqua" w:hAnsi="Book Antiqua" w:cs="Arial"/>
          <w:vertAlign w:val="superscript"/>
        </w:rPr>
        <w:t>[</w:t>
      </w:r>
      <w:r w:rsidR="00B160C4" w:rsidRPr="00C311AE">
        <w:rPr>
          <w:rFonts w:ascii="Book Antiqua" w:hAnsi="Book Antiqua" w:cs="Arial"/>
          <w:vertAlign w:val="superscript"/>
        </w:rPr>
        <w:t>5</w:t>
      </w:r>
      <w:r w:rsidR="00B82C49" w:rsidRPr="00C311AE">
        <w:rPr>
          <w:rFonts w:ascii="Book Antiqua" w:hAnsi="Book Antiqua" w:cs="Arial"/>
          <w:vertAlign w:val="superscript"/>
        </w:rPr>
        <w:t>]</w:t>
      </w:r>
      <w:r w:rsidR="0063332F" w:rsidRPr="00C311AE">
        <w:rPr>
          <w:rFonts w:ascii="Book Antiqua" w:hAnsi="Book Antiqua" w:cs="Arial"/>
          <w:vertAlign w:val="superscript"/>
        </w:rPr>
        <w:fldChar w:fldCharType="end"/>
      </w:r>
      <w:r w:rsidR="00465D84" w:rsidRPr="00C311AE">
        <w:rPr>
          <w:rFonts w:ascii="Book Antiqua" w:hAnsi="Book Antiqua" w:cs="Arial"/>
        </w:rPr>
        <w:t xml:space="preserve">. </w:t>
      </w:r>
    </w:p>
    <w:p w14:paraId="68DD4B8B" w14:textId="499D5968" w:rsidR="00F71AC4" w:rsidRPr="00C311AE" w:rsidRDefault="00D24E2A" w:rsidP="00020CC7">
      <w:pPr>
        <w:snapToGrid w:val="0"/>
        <w:spacing w:line="360" w:lineRule="auto"/>
        <w:ind w:firstLineChars="100" w:firstLine="240"/>
        <w:jc w:val="both"/>
        <w:rPr>
          <w:rFonts w:ascii="Book Antiqua" w:hAnsi="Book Antiqua" w:cs="Arial"/>
        </w:rPr>
      </w:pPr>
      <w:r w:rsidRPr="00C311AE">
        <w:rPr>
          <w:rFonts w:ascii="Book Antiqua" w:hAnsi="Book Antiqua" w:cs="Arial"/>
        </w:rPr>
        <w:t>P</w:t>
      </w:r>
      <w:r w:rsidR="00A4094C" w:rsidRPr="00C311AE">
        <w:rPr>
          <w:rFonts w:ascii="Book Antiqua" w:hAnsi="Book Antiqua" w:cs="Arial"/>
        </w:rPr>
        <w:t xml:space="preserve">atients on chronic </w:t>
      </w:r>
      <w:r w:rsidR="00AD5EFC" w:rsidRPr="00C311AE">
        <w:rPr>
          <w:rFonts w:ascii="Book Antiqua" w:hAnsi="Book Antiqua" w:cs="Arial"/>
        </w:rPr>
        <w:t>opioids</w:t>
      </w:r>
      <w:r w:rsidR="00A4094C" w:rsidRPr="00C311AE">
        <w:rPr>
          <w:rFonts w:ascii="Book Antiqua" w:hAnsi="Book Antiqua" w:cs="Arial"/>
        </w:rPr>
        <w:t xml:space="preserve"> are more likely to have bowel related issues</w:t>
      </w:r>
      <w:r w:rsidR="0063332F" w:rsidRPr="00C311AE">
        <w:rPr>
          <w:rFonts w:ascii="Book Antiqua" w:hAnsi="Book Antiqua" w:cs="Arial"/>
          <w:vertAlign w:val="superscript"/>
        </w:rPr>
        <w:fldChar w:fldCharType="begin"/>
      </w:r>
      <w:r w:rsidR="0063332F" w:rsidRPr="00C311AE">
        <w:rPr>
          <w:rFonts w:ascii="Book Antiqua" w:hAnsi="Book Antiqua" w:cs="Arial"/>
          <w:vertAlign w:val="superscript"/>
        </w:rPr>
        <w:instrText xml:space="preserve"> ADDIN ZOTERO_ITEM CSL_CITATION {"citationID":"p4a6l6p8v","properties":{"formattedCitation":"(2)","plainCitation":"(2)"},"citationItems":[{"id":47,"uris":["http://zotero.org/users/local/Y25qLmSx/items/NHZ7PCV7"],"uri":["http://zotero.org/users/local/Y25qLmSx/items/NHZ7PCV7"],"itemData":{"id":47,"type":"article-journal","title":"Opioid-induced bowel disorders and narcotic bowel syndrome in patients with chronic non-cancer pain","container-title":"Neurogastroenterology and Motility: The Official Journal of the European Gastrointestinal Motility Society","page":"424-430, e96","volume":"22","issue":"4","source":"PubMed","abstract":"BACKGROUND: Opioids are used increasingly in the management of moderate-to-severe chronic non-cancer pain (CNCP). Opioid-induced bowel disorders (OBD) markedly impact health-related quality of life (HRQoL) and frequently limit medically indicated opioid pharmacotherapy. We assessed the risk factors, and effect of OBD on HRQoL in CNCP patients. We also estimated the likely prevalence of narcotic bowel syndrome (NBS). These effects have been reported in cancer patients but not in CNCP previously.\nMETHODS: Ambulatory CNCP patients (n = 146) taking regularly scheduled opioids were invited to complete the Bowel-Disease-Questionnaire and a pain-sensitive HRQoL instrument. The Rome-II criteria were used to define bowel disorders. Narcotic bowel syndrome was defined as presence of daily severe to very-severe abdominal pain of more than 3 months duration requiring more than 100 mg of morphine equivalent per day.\nKEY RESULTS: Ninety-eight patients (69%) returned the survey. Respondents had taken opioids for 10 days to 10 years (median 365 days) at a median daily dose of 127.5 mg morphine-equivalent (range 7.5-600 mg). Constipation prevalence was 46.9% (95% CI 36.8-57.3), nausea 27% (95% CI 17.2-35.3), vomiting 9% (95% CI 17.2-35.3), and gastro-esophageal reflux disease 33% (95% CI 23.5-42.9). Chronic abdominal pain was reported by 58.2% (95% CI 53.2-73.9) and 6.4%, (95% CI 2.4-13.5) fulfilled the criteria of NBS. Prevalence of constipation increased with duration of treatment. Health-related quality of life was low in patients with chronic abdominal pain.\nCONCLUSION &amp; INFERENCES: Bowel disorders including chronic abdominal pain and NBS are common in patients taking opioids for CNCP. Decreased HRQoL in patients with CNCP is driven by chronic abdominal pain.","DOI":"10.1111/j.1365-2982.2009.01458.x","ISSN":"1365-2982","note":"PMID: 20100280","journalAbbreviation":"Neurogastroenterol. Motil.","language":"eng","author":[{"family":"Tuteja","given":"A. K."},{"family":"Biskupiak","given":"J."},{"family":"Stoddard","given":"G. J."},{"family":"Lipman","given":"A. G."}],"issued":{"date-parts":[["2010",4]]}}}],"schema":"https://github.com/citation-style-language/schema/raw/master/csl-citation.json"} </w:instrText>
      </w:r>
      <w:r w:rsidR="0063332F" w:rsidRPr="00C311AE">
        <w:rPr>
          <w:rFonts w:ascii="Book Antiqua" w:hAnsi="Book Antiqua" w:cs="Arial"/>
          <w:vertAlign w:val="superscript"/>
        </w:rPr>
        <w:fldChar w:fldCharType="separate"/>
      </w:r>
      <w:r w:rsidR="00B82C49" w:rsidRPr="00C311AE">
        <w:rPr>
          <w:rFonts w:ascii="Book Antiqua" w:hAnsi="Book Antiqua" w:cs="Arial"/>
          <w:vertAlign w:val="superscript"/>
        </w:rPr>
        <w:t>[</w:t>
      </w:r>
      <w:r w:rsidR="00B160C4" w:rsidRPr="00C311AE">
        <w:rPr>
          <w:rFonts w:ascii="Book Antiqua" w:hAnsi="Book Antiqua" w:cs="Arial"/>
          <w:vertAlign w:val="superscript"/>
        </w:rPr>
        <w:t>2</w:t>
      </w:r>
      <w:r w:rsidR="00B82C49" w:rsidRPr="00C311AE">
        <w:rPr>
          <w:rFonts w:ascii="Book Antiqua" w:hAnsi="Book Antiqua" w:cs="Arial"/>
          <w:vertAlign w:val="superscript"/>
        </w:rPr>
        <w:t>]</w:t>
      </w:r>
      <w:r w:rsidR="0063332F" w:rsidRPr="00C311AE">
        <w:rPr>
          <w:rFonts w:ascii="Book Antiqua" w:hAnsi="Book Antiqua" w:cs="Arial"/>
          <w:vertAlign w:val="superscript"/>
        </w:rPr>
        <w:fldChar w:fldCharType="end"/>
      </w:r>
      <w:r w:rsidR="00A4094C" w:rsidRPr="00C311AE">
        <w:rPr>
          <w:rFonts w:ascii="Book Antiqua" w:hAnsi="Book Antiqua" w:cs="Arial"/>
        </w:rPr>
        <w:t>. The wide array of gastrointestinal symptoms that the patients on chronic opioids may experience</w:t>
      </w:r>
      <w:r w:rsidR="00BE3F55" w:rsidRPr="00C311AE">
        <w:rPr>
          <w:rFonts w:ascii="Book Antiqua" w:hAnsi="Book Antiqua" w:cs="Arial"/>
        </w:rPr>
        <w:t>, including constipation</w:t>
      </w:r>
      <w:r w:rsidR="00721CC9" w:rsidRPr="00C311AE">
        <w:rPr>
          <w:rFonts w:ascii="Book Antiqua" w:hAnsi="Book Antiqua" w:cs="Arial"/>
        </w:rPr>
        <w:t xml:space="preserve"> (</w:t>
      </w:r>
      <w:r w:rsidR="00AD1CCA" w:rsidRPr="00C311AE">
        <w:rPr>
          <w:rFonts w:ascii="Book Antiqua" w:hAnsi="Book Antiqua" w:cs="Arial"/>
        </w:rPr>
        <w:t>38</w:t>
      </w:r>
      <w:r w:rsidR="00190691" w:rsidRPr="00C311AE">
        <w:rPr>
          <w:rFonts w:ascii="Book Antiqua" w:hAnsi="Book Antiqua" w:cs="Arial"/>
        </w:rPr>
        <w:t>%</w:t>
      </w:r>
      <w:r w:rsidR="00AD1CCA" w:rsidRPr="00C311AE">
        <w:rPr>
          <w:rFonts w:ascii="Book Antiqua" w:hAnsi="Book Antiqua" w:cs="Arial"/>
        </w:rPr>
        <w:t>-63</w:t>
      </w:r>
      <w:r w:rsidR="00721CC9" w:rsidRPr="00C311AE">
        <w:rPr>
          <w:rFonts w:ascii="Book Antiqua" w:hAnsi="Book Antiqua" w:cs="Arial"/>
        </w:rPr>
        <w:t>%)</w:t>
      </w:r>
      <w:r w:rsidR="00BE3F55" w:rsidRPr="00C311AE">
        <w:rPr>
          <w:rFonts w:ascii="Book Antiqua" w:hAnsi="Book Antiqua" w:cs="Arial"/>
        </w:rPr>
        <w:t xml:space="preserve">, </w:t>
      </w:r>
      <w:r w:rsidR="00721CC9" w:rsidRPr="00C311AE">
        <w:rPr>
          <w:rFonts w:ascii="Book Antiqua" w:hAnsi="Book Antiqua" w:cs="Arial"/>
        </w:rPr>
        <w:t xml:space="preserve">gastroesophageal reflux disease (33%), </w:t>
      </w:r>
      <w:r w:rsidR="00BE3F55" w:rsidRPr="00C311AE">
        <w:rPr>
          <w:rFonts w:ascii="Book Antiqua" w:hAnsi="Book Antiqua" w:cs="Arial"/>
        </w:rPr>
        <w:t>nausea</w:t>
      </w:r>
      <w:r w:rsidR="00DE1866" w:rsidRPr="00C311AE">
        <w:rPr>
          <w:rFonts w:ascii="Book Antiqua" w:hAnsi="Book Antiqua" w:cs="Arial"/>
        </w:rPr>
        <w:t xml:space="preserve"> (20</w:t>
      </w:r>
      <w:r w:rsidR="00190691" w:rsidRPr="00C311AE">
        <w:rPr>
          <w:rFonts w:ascii="Book Antiqua" w:hAnsi="Book Antiqua" w:cs="Arial"/>
        </w:rPr>
        <w:t>%</w:t>
      </w:r>
      <w:r w:rsidR="00A640A8" w:rsidRPr="00C311AE">
        <w:rPr>
          <w:rFonts w:ascii="Book Antiqua" w:hAnsi="Book Antiqua" w:cs="Arial"/>
        </w:rPr>
        <w:t>-90</w:t>
      </w:r>
      <w:r w:rsidR="00721CC9" w:rsidRPr="00C311AE">
        <w:rPr>
          <w:rFonts w:ascii="Book Antiqua" w:hAnsi="Book Antiqua" w:cs="Arial"/>
        </w:rPr>
        <w:t>%)</w:t>
      </w:r>
      <w:r w:rsidR="00BE3F55" w:rsidRPr="00C311AE">
        <w:rPr>
          <w:rFonts w:ascii="Book Antiqua" w:hAnsi="Book Antiqua" w:cs="Arial"/>
        </w:rPr>
        <w:t>, vomiting</w:t>
      </w:r>
      <w:r w:rsidR="00721CC9" w:rsidRPr="00C311AE">
        <w:rPr>
          <w:rFonts w:ascii="Book Antiqua" w:hAnsi="Book Antiqua" w:cs="Arial"/>
        </w:rPr>
        <w:t xml:space="preserve"> (9</w:t>
      </w:r>
      <w:r w:rsidR="00190691" w:rsidRPr="00C311AE">
        <w:rPr>
          <w:rFonts w:ascii="Book Antiqua" w:hAnsi="Book Antiqua" w:cs="Arial"/>
        </w:rPr>
        <w:t>%</w:t>
      </w:r>
      <w:r w:rsidR="00A640A8" w:rsidRPr="00C311AE">
        <w:rPr>
          <w:rFonts w:ascii="Book Antiqua" w:hAnsi="Book Antiqua" w:cs="Arial"/>
        </w:rPr>
        <w:t>-84</w:t>
      </w:r>
      <w:r w:rsidR="00721CC9" w:rsidRPr="00C311AE">
        <w:rPr>
          <w:rFonts w:ascii="Book Antiqua" w:hAnsi="Book Antiqua" w:cs="Arial"/>
        </w:rPr>
        <w:t>%)</w:t>
      </w:r>
      <w:r w:rsidR="00BE3F55" w:rsidRPr="00C311AE">
        <w:rPr>
          <w:rFonts w:ascii="Book Antiqua" w:hAnsi="Book Antiqua" w:cs="Arial"/>
        </w:rPr>
        <w:t xml:space="preserve">, </w:t>
      </w:r>
      <w:r w:rsidR="00DC473F" w:rsidRPr="00C311AE">
        <w:rPr>
          <w:rFonts w:ascii="Book Antiqua" w:hAnsi="Book Antiqua" w:cs="Arial"/>
        </w:rPr>
        <w:t>bloating</w:t>
      </w:r>
      <w:r w:rsidR="00027CB2" w:rsidRPr="00C311AE">
        <w:rPr>
          <w:rFonts w:ascii="Book Antiqua" w:hAnsi="Book Antiqua" w:cs="Arial"/>
        </w:rPr>
        <w:t xml:space="preserve"> (24</w:t>
      </w:r>
      <w:r w:rsidR="00190691" w:rsidRPr="00C311AE">
        <w:rPr>
          <w:rFonts w:ascii="Book Antiqua" w:hAnsi="Book Antiqua" w:cs="Arial"/>
        </w:rPr>
        <w:t>%</w:t>
      </w:r>
      <w:r w:rsidR="00A640A8" w:rsidRPr="00C311AE">
        <w:rPr>
          <w:rFonts w:ascii="Book Antiqua" w:hAnsi="Book Antiqua" w:cs="Arial"/>
        </w:rPr>
        <w:t>-75</w:t>
      </w:r>
      <w:r w:rsidR="00027CB2" w:rsidRPr="00C311AE">
        <w:rPr>
          <w:rFonts w:ascii="Book Antiqua" w:hAnsi="Book Antiqua" w:cs="Arial"/>
        </w:rPr>
        <w:t>%</w:t>
      </w:r>
      <w:r w:rsidR="000D72B2" w:rsidRPr="00C311AE">
        <w:rPr>
          <w:rFonts w:ascii="Book Antiqua" w:hAnsi="Book Antiqua" w:cs="Arial"/>
        </w:rPr>
        <w:t>)</w:t>
      </w:r>
      <w:r w:rsidR="00AD1CCA" w:rsidRPr="00C311AE">
        <w:rPr>
          <w:rFonts w:ascii="Book Antiqua" w:hAnsi="Book Antiqua" w:cs="Arial"/>
        </w:rPr>
        <w:t xml:space="preserve"> and delayed gastric emptying</w:t>
      </w:r>
      <w:r w:rsidR="00DC473F" w:rsidRPr="00C311AE">
        <w:rPr>
          <w:rFonts w:ascii="Book Antiqua" w:hAnsi="Book Antiqua" w:cs="Arial"/>
        </w:rPr>
        <w:t xml:space="preserve"> </w:t>
      </w:r>
      <w:r w:rsidR="00BE3F55" w:rsidRPr="00C311AE">
        <w:rPr>
          <w:rFonts w:ascii="Book Antiqua" w:hAnsi="Book Antiqua" w:cs="Arial"/>
        </w:rPr>
        <w:t>are</w:t>
      </w:r>
      <w:r w:rsidR="00A4094C" w:rsidRPr="00C311AE">
        <w:rPr>
          <w:rFonts w:ascii="Book Antiqua" w:hAnsi="Book Antiqua" w:cs="Arial"/>
        </w:rPr>
        <w:t xml:space="preserve"> known as opi</w:t>
      </w:r>
      <w:r w:rsidR="00E316B0" w:rsidRPr="00C311AE">
        <w:rPr>
          <w:rFonts w:ascii="Book Antiqua" w:hAnsi="Book Antiqua" w:cs="Arial"/>
        </w:rPr>
        <w:t>oid induced bowel dysfunction</w:t>
      </w:r>
      <w:r w:rsidR="0063332F" w:rsidRPr="00C311AE">
        <w:rPr>
          <w:rFonts w:ascii="Book Antiqua" w:hAnsi="Book Antiqua" w:cs="Arial"/>
        </w:rPr>
        <w:fldChar w:fldCharType="begin"/>
      </w:r>
      <w:r w:rsidR="00643F2E" w:rsidRPr="00C311AE">
        <w:rPr>
          <w:rFonts w:ascii="Book Antiqua" w:hAnsi="Book Antiqua" w:cs="Arial"/>
        </w:rPr>
        <w:instrText xml:space="preserve"> ADDIN ZOTERO_ITEM CSL_CITATION {"citationID":"aefK06na","properties":{"formattedCitation":"{\\rtf (2,6\\uc0\\u8211{}13)}","plainCitation":"(2,6–13)"},"citationItems":[{"id":47,"uris":["http://zotero.org/users/local/Y25qLmSx/items/NHZ7PCV7"],"uri":["http://zotero.org/users/local/Y25qLmSx/items/NHZ7PCV7"],"itemData":{"id":47,"type":"article-journal","title":"Opioid-induced bowel disorders and narcotic bowel syndrome in patients with chronic non-cancer pain","container-title":"Neurogastroenterology and Motility: The Official Journal of the European Gastrointestinal Motility Society","page":"424-430, e96","volume":"22","issue":"4","source":"PubMed","abstract":"BACKGROUND: Opioids are used increasingly in the management of moderate-to-severe chronic non-cancer pain (CNCP). Opioid-induced bowel disorders (OBD) markedly impact health-related quality of life (HRQoL) and frequently limit medically indicated opioid pharmacotherapy. We assessed the risk factors, and effect of OBD on HRQoL in CNCP patients. We also estimated the likely prevalence of narcotic bowel syndrome (NBS). These effects have been reported in cancer patients but not in CNCP previously.\nMETHODS: Ambulatory CNCP patients (n = 146) taking regularly scheduled opioids were invited to complete the Bowel-Disease-Questionnaire and a pain-sensitive HRQoL instrument. The Rome-II criteria were used to define bowel disorders. Narcotic bowel syndrome was defined as presence of daily severe to very-severe abdominal pain of more than 3 months duration requiring more than 100 mg of morphine equivalent per day.\nKEY RESULTS: Ninety-eight patients (69%) returned the survey. Respondents had taken opioids for 10 days to 10 years (median 365 days) at a median daily dose of 127.5 mg morphine-equivalent (range 7.5-600 mg). Constipation prevalence was 46.9% (95% CI 36.8-57.3), nausea 27% (95% CI 17.2-35.3), vomiting 9% (95% CI 17.2-35.3), and gastro-esophageal reflux disease 33% (95% CI 23.5-42.9). Chronic abdominal pain was reported by 58.2% (95% CI 53.2-73.9) and 6.4%, (95% CI 2.4-13.5) fulfilled the criteria of NBS. Prevalence of constipation increased with duration of treatment. Health-related quality of life was low in patients with chronic abdominal pain.\nCONCLUSION &amp; INFERENCES: Bowel disorders including chronic abdominal pain and NBS are common in patients taking opioids for CNCP. Decreased HRQoL in patients with CNCP is driven by chronic abdominal pain.","DOI":"10.1111/j.1365-2982.2009.01458.x","ISSN":"1365-2982","note":"PMID: 20100280","journalAbbreviation":"Neurogastroenterol. Motil.","language":"eng","author":[{"family":"Tuteja","given":"A. K."},{"family":"Biskupiak","given":"J."},{"family":"Stoddard","given":"G. J."},{"family":"Lipman","given":"A. G."}],"issued":{"date-parts":[["2010",4]]}}},{"id":57,"uris":["http://zotero.org/users/local/Y25qLmSx/items/57JT573V"],"uri":["http://zotero.org/users/local/Y25qLmSx/items/57JT573V"],"itemData":{"id":57,"type":"article-journal","title":"Incidence, prevalence, and management of opioid bowel dysfunction","container-title":"American Journal of Surgery","page":"11S-18S","volume":"182","issue":"5A Suppl","source":"PubMed","abstract":"Opioid bowel dysfunction (OBD) is a common adverse effect associated with opioid therapy. OBD is commonly described as constipation; however, it is a constellation of adverse gastrointestinal (GI) effects, which also includes abdominal cramping, bloating, and gastroesophageal reflux. The mechanism for these effects is mediated primarily by stimulation of opioid receptors in the GI tract. In patients with pain, uncontrolled symptoms of OBD can add to their discomfort and may serve as a barrier to effective pain management, limiting therapy, or prompting discontinuation. Patients with cancer may have disease-related constipation, which is usually worsened by opioid therapy. However, OBD is not limited to cancer patients. A recent survey of patients taking opioid therapy for pain of noncancer origin found that approximately 40% of patients experienced constipation related to opioid therapy (&lt;3 complete bowel movements per week) compared with 7.6% in a control group. Of subjects who required laxative therapy, only 46% of opioid-treated patients (control subjects, 84%) reported achieving the desired treatment results &gt;50% of the time. Laxatives prescribed prophylactically and throughout opioid therapy may improve bowel movements in many patients. Nevertheless, a substantial number of patients will not obtain adequate relief of OBD because of its refractory nature. Naloxone and other tertiary opioid receptor antagonists effectively reduce the symptoms of constipation in opioid-treated patients. However, because they also act centrally, they may provoke opioid withdrawal symptoms or reverse analgesia in some patients. There are 2 peripherally selective opioid receptor antagonists, methylnaltrexone and ADL 8-2698 (Adolor Corporation, Exton, PA, USA), that are currently under investigation for their use in treating OBD. Early studies confirm that they are effective at normalizing bowel function in opioid-treated patients without entering the central nervous system and affecting analgesia. With a better understanding of the prevalence of OBD and its pathophysiology, a more aggressive approach to preventing and treating OBD is possible and will likely improve the quality of life of patients with pain.","ISSN":"0002-9610","note":"PMID: 11755892","journalAbbreviation":"Am. J. Surg.","language":"eng","author":[{"family":"Pappagallo","given":"M."}],"issued":{"date-parts":[["2001",11]]}}},{"id":59,"uris":["http://zotero.org/users/local/Y25qLmSx/items/9SHS6DHM"],"uri":["http://zotero.org/users/local/Y25qLmSx/items/9SHS6DHM"],"itemData":{"id":59,"type":"article-journal","title":"Randomised crossover trial of transdermal fentanyl and sustained release oral morphine for treating chronic non-cancer pain","container-title":"BMJ (Clinical research ed.)","page":"1154-1158","volume":"322","issue":"7295","source":"PubMed","abstract":"OBJECTIVES: To compare patients' preference for transdermal fentanyl or sustained release oral morphine, their level of pain control, and their quality of life after treatment.\nDESIGN: Randomised, multicentre, international, open label, crossover trial.\nSETTING: 35 centres in Belgium, Canada, Denmark, Finland, the United Kingdom, the Netherlands, and South Africa.\nPARTICIPANTS: 256 patients (aged 26-82 years) with chronic non-cancer pain who had been treated with opioids.\nMAIN OUTCOME MEASURES: Patients' preference for transdermal fentanyl or sustained release oral morphine, pain control, quality of life, and safety assessments.\nRESULTS: Of 212 patients, 138 (65%) preferred transdermal fentanyl, whereas 59 (28%) preferred sustained release oral morphine and 15 (7%) expressed no preference. Better pain relief was the main reason for preference for fentanyl given by 35% of patients. More patients considered pain control as being \"good\" or \"very good\" with fentanyl than with morphine (35% v 23%, P=0.002). These results were reflected in both patients' and investigators' opinions on the global efficacy of transdermal fentanyl. Patients receiving fentanyl had on average higher quality of life scores than those receiving morphine. The incidence of adverse events was similar in both treatment groups; however, more patients experienced constipation with morphine than with fentanyl (48% v 29%, P&lt;0.001). Overall, 41% of patients experienced mild or moderate cutaneous problems associated with wearing the transdermal fentanyl patch, and more patients withdrew because of adverse events during treatment with fentanyl than with morphine (10% v 5%). However, within the subgroup of patients naive to both fentanyl and morphine, similar numbers of patients withdrew owing to adverse effects (11% v 10%, respectively).\nCONCLUSION: Transdermal fentanyl was preferred to sustained release oral morphine by patients with chronic non-cancer pain previously treated with opioids. The main reason for preference was better pain relief, achieved with less constipation and an enhanced quality of life.","ISSN":"0959-8138","note":"PMID: 11348910\nPMCID: PMC31593","journalAbbreviation":"BMJ","language":"eng","author":[{"family":"Allan","given":"L."},{"family":"Hays","given":"H."},{"family":"Jensen","given":"N. H."},{"family":"Waroux","given":"B. L.","non-dropping-particle":"de"},{"family":"Bolt","given":"M."},{"family":"Donald","given":"R."},{"family":"Kalso","given":"E."}],"issued":{"date-parts":[["2001",5,12]]}}},{"id":61,"uris":["http://zotero.org/users/local/Y25qLmSx/items/XUK3IEEZ"],"uri":["http://zotero.org/users/local/Y25qLmSx/items/XUK3IEEZ"],"itemData":{"id":61,"type":"article-journal","title":"The narcotic bowel syndrome: a recent update","container-title":"American Journal of Gastroenterology Supplements (Print)","page":"22-30","volume":"2","issue":"1","source":"PubMed","abstract":"OBJECTIVES: The paradoxical development of chronic abdominal pain is an underrecognized side effect of opioid use. Narcotic bowel syndrome (NBS), occurring in a small proportion of chronic opioid users, consists of chronic or intermittent abdominal pain, which often increases in severity despite continued or escalating dosages of opioids prescribed to relieve pain.\nMETHODS: A PubMed search was conducted using terms such as \"narcotic bowel syndrome\" and \"opioid hyperalgesia\" through January 2014.\nRESULTS: Abdominal pain is the defining symptom of NBS and is thought to be mediated by central nervous system dysfunction; it should be distinguished from the peripheral side effects of opioids, such as nausea, bloating, intermittent vomiting, abdominal distension, and constipation. This latter cluster of symptoms is called opioid bowel dysfunction, although it may co-occur with NBS. Hypothesized mechanisms of the central effects of opioids on nociception in NBS include spinal cord inflammation and dysfunction in opioid receptor activity and related neuroanatomical substrates. With continued use, </w:instrText>
      </w:r>
      <w:r w:rsidR="00643F2E" w:rsidRPr="00C311AE">
        <w:rPr>
          <w:rFonts w:ascii="Cambria Math" w:hAnsi="Cambria Math" w:cs="Cambria Math"/>
        </w:rPr>
        <w:instrText>∼</w:instrText>
      </w:r>
      <w:r w:rsidR="00643F2E" w:rsidRPr="00C311AE">
        <w:rPr>
          <w:rFonts w:ascii="Book Antiqua" w:hAnsi="Book Antiqua" w:cs="Arial"/>
        </w:rPr>
        <w:instrText xml:space="preserve">6% of patients taking narcotics chronically will develop NBS, with profound consequences in terms of daily function. The primary management paradigm for NBS is a structured opioid withdrawal program accompanied by centrally acting adjunctive therapy comprising antidepressants, benzodiazepines, and clonidine to target pain, anxiety, and depression, and prevent withdrawal effects, in addition to peripherally acting agents such as laxatives (e.g., osmotic laxatives and chloride channel activators) to control transient constipation. Such structured withdrawal programs have been prospectively evaluated in small clinical trials and have met with considerable success in the short term.\nCONCLUSIONS: Because rates of NBS are likely to rise, integrated intensive pharmacotherapy and psychosocial interventions are needed to help patients with NBS go off and stay off opioids. These programs will likely also reduce comorbid psychopathology and lead to adequate pain control and improved quality of life.","DOI":"10.1038/ajgsup.2014.6","ISSN":"1948-9501","note":"PMID: 25207609","shortTitle":"The narcotic bowel syndrome","journalAbbreviation":"Am J Gastroenterol Suppl","language":"eng","author":[{"family":"Drossman","given":"Douglas"},{"family":"Szigethy","given":"Eva"}],"issued":{"date-parts":[["2014",9,10]]}}},{"id":63,"uris":["http://zotero.org/users/local/Y25qLmSx/items/PEVQX833"],"uri":["http://zotero.org/users/local/Y25qLmSx/items/PEVQX833"],"itemData":{"id":63,"type":"article-journal","title":"Opioid induced bowel disease: a twenty-first century physicians' dilemma. Considering pathophysiology and treatment strategies","container-title":"Current Gastroenterology Reports","page":"334","volume":"15","issue":"7","source":"PubMed","abstract":"The treatment of cancer-associated pain as well as chronic non-cancer-related pain (CNCP) is an increasingly relevant topic in medicine. However, it has long been recognized that opiates can adversely affect many organ systems, most notably the gastrointestinal system. These are referred to as the spectrum of \"opioid-induced bowel dysfunction\" (OBD) or what we will refer to as \"opioid-induced bowel disease\" (OIBD) which include constipation, nausea, vomiting, delayed gastric emptying, and gastro-esophageal reflux disease (GERD), and a newer entity known as narcotic bowel syndrome (NBS). Opioid analgesics are increasingly being used for the treatment of cancer pain, non-cancer-associated pain, and postoperative pain. As we achieve our goals towards pain control, we need to be cognizant of and competent in how to prevent and treat OIBD. The basis is due in part to µ-receptor activation, decreasing the peristaltic contraction and leading to sequelae of OIBD. Treatment beyond lifestyle interventional strategy will employ laxatives and stool softeners. However, studies performed while patients were already using laxativies and stool softeners have elicited the necessity of peripherally acting agents such as methylnaltrexone (MNTX) and alvimopan. Patients responded dramatically to both medications, but these studies were limited to patients that were deemed to have advanced illness. Lubiprostone, while different in its mechanism of action from MNTX and alvimopan, has proven effective and should be considered for use in OIBD. Further investigational research will promulgate more information and allow for better and more efficient treatment options for OIBD.","DOI":"10.1007/s11894-013-0334-4","ISSN":"1534-312X","note":"PMID: 23836088","shortTitle":"Opioid induced bowel disease","journalAbbreviation":"Curr Gastroenterol Rep","language":"eng","author":[{"family":"Sharma","given":"Ankush"},{"family":"Jamal","given":"M. Mazen"}],"issued":{"date-parts":[["2013",7]]}}},{"id":65,"uris":["http://zotero.org/users/local/Y25qLmSx/items/TIVI7MS6"],"uri":["http://zotero.org/users/local/Y25qLmSx/items/TIVI7MS6"],"itemData":{"id":65,"type":"article-journal","title":"Different faces of gastroparesis","container-title":"World Journal of Gastroenterology","page":"6052-6060","volume":"15","issue":"48","source":"PubMed","abstract":"AIM: To test the hypothesis that pain and affect rather than impaired emptying determine symptom severity in patients with gastroparesis.\nMETHODS: Adult patients with documented gastroparesis were enrolled prospectively in a single center and asked to complete the Gastroparesis Cardinal Symptom Index (GCSI), Hospital Anxiety and Depression Scale (HADS), the Short Form 12 (SF-12) as quality of life index, rate pain severity and answer 10 open-ended questions.\nRESULTS: A total of 55 patients (44 women) participated. Idiopathic (n = 29) or diabetic (n = 11) gastroparesis and connective tissue disease (n = 8) were the most common underlying causes. Antiemetics (n = 30) and prokinetics (n = 32) were most often prescribed. Seventeen patients used opioids on a daily basis. Nausea and/or vomiting (n = 28), pain (n = 24) and bloating (n = 14) were most commonly listed as dominant symptoms. Patients subjectively attributed symptom improvement to nutritional and dietary therapy (n = 11), prokinetics (n = 11), antiemetics (n = 10) or analgesic agents (n = 3). In univariate analyses, the physical subscore of the SF-12 and HADS, but not gastric emptying delay or symptom duration significantly correlated with disease severity as measured by the GCSI. In multivariate analyses, the combination of vomiting, bloating and depression best predicted the overall impact on quality of life.\nCONCLUSION: The study confirms the importance of pain and affect in gastroparesis, which requires novel approaches to improve more effectively the quality of life in patients with this disorder.","ISSN":"2219-2840","note":"PMID: 20027677\nPMCID: PMC2797661","journalAbbreviation":"World J. Gastroenterol.","language":"eng","author":[{"family":"Bielefeldt","given":"Klaus"},{"family":"Raza","given":"Naeem"},{"family":"Zickmund","given":"Susan L."}],"issued":{"date-parts":[["2009",12,28]]}}},{"id":67,"uris":["http://zotero.org/users/local/Y25qLmSx/items/E3943EIQ"],"uri":["http://zotero.org/users/local/Y25qLmSx/items/E3943EIQ"],"itemData":{"id":67,"type":"article-journal","title":"Opioids and GI Motility-Friend or Foe?","container-title":"Current Treatment Options in Gastroenterology","page":"478-494","volume":"14","issue":"4","source":"PubMed","abstract":"OPINION STATEMENT: The use of opioids for the treatment of chronic non-cancer pain is growing at an alarming rate. Opioid-induced bowel dysfunction (OBD) is a common adverse effect of long-term opioid treatment manifesting as constipation, nausea, and vomiting. These effects are primarily mediated by peripheral μ-opioid receptors with resultant altered GI motility and function. As a result, patients may present with opioid-induced constipation (OIC), opioid-induced nausea and vomiting (OINV), and/or narcotic bowel syndrome (NBS). This often leads to decreased quality of life and in many cases, discontinuation of opioid therapy. There is limited evidence to support the use of traditional anti-emetics and laxatives in the treatment of OBD. Tapering the dose of opioids, switching to transdermal application, opioid rotation, or dual-action opioids, such as tapentadol, may be helpful in the treatment of OBD. Novel agents, such as peripherally acting μ-opioid receptor antagonists which target the cause of OIC, show promise in the treatment of OBD and should be considered when conventional laxatives fail. This chapter will review the pathophysiology of OBD, including OINV and OIC, and treatment options available.","DOI":"10.1007/s11938-016-0112-0","ISSN":"1092-8472","note":"PMID: 27807793","journalAbbreviation":"Curr Treat Options Gastroenterol","language":"eng","author":[{"family":"Lee","given":"Allen A."},{"family":"Hasler","given":"William L."}],"issued":{"date-parts":[["2016",12]]}}},{"id":69,"uris":["http://zotero.org/users/local/Y25qLmSx/items/EKJPKCTI"],"uri":["http://zotero.org/users/local/Y25qLmSx/items/EKJPKCTI"],"itemData":{"id":69,"type":"article-journal","title":"Economic and clinical burden of opioid-induced nausea and vomiting","container-title":"Postgraduate Medicine","page":"111-117","volume":"129","issue":"1","source":"PubMed","abstract":"Opioids are the standard of care for treating moderate-to-severe pain; however, their efficacy can be limited by adverse events (AEs), including nausea and vomiting. Opioid-induced nausea and vomiting (OINV) is an inherent adverse effect of opioid treatment, exerting effects centrally and peripherally. Opioid-related AEs can impact treatment adherence and discontinuation, which can result in inadequate pain management. OINV may persist long-term, negatively affecting patient functional outcomes, physical and mental health, patient satisfaction, and overall costs of treatment. Multiple factors may contribute to OINV, including activation of opioid receptors in the chemoreceptor trigger zone, vestibular apparatus, and gastrointestinal tract. Prophylactic or early treatment with antiemetics may be appropriate for patients who are at high risk for OINV.","DOI":"10.1080/00325481.2017.1243004","ISSN":"1941-9260","note":"PMID: 27690715","journalAbbreviation":"Postgrad Med","language":"eng","author":[{"family":"Nicholson","given":"Bruce D."}],"issued":{"date-parts":[["2017",1]]}}},{"id":71,"uris":["http://zotero.org/users/local/Y25qLmSx/items/DB97BUBT"],"uri":["http://zotero.org/users/local/Y25qLmSx/items/DB97BUBT"],"itemData":{"id":71,"type":"article-journal","title":"Prevalence of hidden gastroparesis in the community: the gastroparesis \"iceberg\"","container-title":"Journal of Neurogastroenterology and Motility","page":"34-42","volume":"18","issue":"1","source":"PubMed","abstract":"BACKGROUND/AIMS: The prevalence of diagnosed gastroparesis is 24.2/100,000 inhabitants, but a large group of people with gastroparesis-like symptoms have never had a gastric emptying (GE) test. Some of them may have undiagnosed gastroparesis. Our aim was to estimate the prevalence of hidden gastroparesis in the community.\nMETHODS: The study was conducted in 2 parts: (1) Patients referred for a scintigraphic GE test completed a validated questionnaire (Bowel Disease Questionnaire). Multiple linear regression models to predict 2 hours and 4 hours GE rates were developed. (2) A revised Bowel Disease Questionnaire was mailed to a random sample of 4,194 Olmsted County residents. GE rates were estimated with the models for each subject and delayed GE was considered when they were lower than normal values. Hidden gastroparesis was defined in community subjects with predicted delayed GE that had not been diagnosed with gastroparesis prior to the survey.\nRESULTS: The regression models for GE rates were constructed using data from 450 patients. In addition to age and gender, the symptoms found significant were nausea/vomiting, early satiety, upper abdominal pain, bloating, loss of appetite and weight loss more than 7 pounds. 2,298 (55%) community subjects returned a questionnaire. Five subjects were excluded due to a prior diagnosis of gastroparesis. When models were applied to the community survey data, 42 (1.8%) subjects were estimated to have delayed GE.\nCONCLUSIONS: Delayed GE was estimated to occur in 1.8% of community subjects. Since the prevalence of diagnosed gastroparesis is low (0.02%), many subjects with gastroparesis may remain undiagnosed.","DOI":"10.5056/jnm.2012.18.1.34","ISSN":"2093-0887","note":"PMID: 22323986\nPMCID: PMC3271251","shortTitle":"Prevalence of hidden gastroparesis in the community","journalAbbreviation":"J Neurogastroenterol Motil","language":"eng","author":[{"family":"Rey","given":"Enrique"},{"family":"Choung","given":"Rok Seon"},{"family":"Schleck","given":"Cathy D."},{"family":"Zinsmeister","given":"Alan R."},{"family":"Talley","given":"Nicholas J."},{"family":"Locke","given":"G. Richard"}],"issued":{"date-parts":[["2012",1]]}}}],"schema":"https://github.com/citation-style-language/schema/raw/master/csl-citation.json"} </w:instrText>
      </w:r>
      <w:r w:rsidR="0063332F" w:rsidRPr="00C311AE">
        <w:rPr>
          <w:rFonts w:ascii="Book Antiqua" w:hAnsi="Book Antiqua" w:cs="Arial"/>
        </w:rPr>
        <w:fldChar w:fldCharType="separate"/>
      </w:r>
      <w:r w:rsidR="00B82C49" w:rsidRPr="00C311AE">
        <w:rPr>
          <w:rFonts w:ascii="Book Antiqua" w:hAnsi="Book Antiqua" w:cs="Arial"/>
          <w:vertAlign w:val="superscript"/>
        </w:rPr>
        <w:t>[</w:t>
      </w:r>
      <w:r w:rsidR="00B160C4" w:rsidRPr="00C311AE">
        <w:rPr>
          <w:rFonts w:ascii="Book Antiqua" w:hAnsi="Book Antiqua" w:cs="Arial"/>
          <w:vertAlign w:val="superscript"/>
        </w:rPr>
        <w:t>2,6</w:t>
      </w:r>
      <w:r w:rsidR="00192C0B">
        <w:rPr>
          <w:rFonts w:ascii="Book Antiqua" w:eastAsiaTheme="minorEastAsia" w:hAnsi="Book Antiqua" w:cs="Arial" w:hint="eastAsia"/>
          <w:vertAlign w:val="superscript"/>
          <w:lang w:eastAsia="zh-CN"/>
        </w:rPr>
        <w:t>-</w:t>
      </w:r>
      <w:r w:rsidR="00B160C4" w:rsidRPr="00C311AE">
        <w:rPr>
          <w:rFonts w:ascii="Book Antiqua" w:hAnsi="Book Antiqua" w:cs="Arial"/>
          <w:vertAlign w:val="superscript"/>
        </w:rPr>
        <w:t>13</w:t>
      </w:r>
      <w:r w:rsidR="00B82C49" w:rsidRPr="00192C0B">
        <w:rPr>
          <w:rFonts w:ascii="Book Antiqua" w:hAnsi="Book Antiqua" w:cs="Arial"/>
          <w:vertAlign w:val="superscript"/>
        </w:rPr>
        <w:t>]</w:t>
      </w:r>
      <w:r w:rsidR="0063332F" w:rsidRPr="00C311AE">
        <w:rPr>
          <w:rFonts w:ascii="Book Antiqua" w:hAnsi="Book Antiqua" w:cs="Arial"/>
        </w:rPr>
        <w:fldChar w:fldCharType="end"/>
      </w:r>
      <w:r w:rsidR="00A4094C" w:rsidRPr="00C311AE">
        <w:rPr>
          <w:rFonts w:ascii="Book Antiqua" w:hAnsi="Book Antiqua" w:cs="Arial"/>
        </w:rPr>
        <w:t>.</w:t>
      </w:r>
      <w:r w:rsidR="000F6C17" w:rsidRPr="00C311AE">
        <w:rPr>
          <w:rFonts w:ascii="Book Antiqua" w:hAnsi="Book Antiqua" w:cs="Arial"/>
        </w:rPr>
        <w:t xml:space="preserve"> </w:t>
      </w:r>
      <w:r w:rsidR="0084535A" w:rsidRPr="00C311AE">
        <w:rPr>
          <w:rFonts w:ascii="Book Antiqua" w:hAnsi="Book Antiqua" w:cs="Arial"/>
        </w:rPr>
        <w:t xml:space="preserve">The actual incidence of some of these side effects may </w:t>
      </w:r>
      <w:r w:rsidR="00D2414B" w:rsidRPr="00C311AE">
        <w:rPr>
          <w:rFonts w:ascii="Book Antiqua" w:hAnsi="Book Antiqua" w:cs="Arial"/>
        </w:rPr>
        <w:t>even</w:t>
      </w:r>
      <w:r w:rsidR="0084535A" w:rsidRPr="00C311AE">
        <w:rPr>
          <w:rFonts w:ascii="Book Antiqua" w:hAnsi="Book Antiqua" w:cs="Arial"/>
        </w:rPr>
        <w:t xml:space="preserve"> </w:t>
      </w:r>
      <w:r w:rsidR="00F42AB4" w:rsidRPr="00C311AE">
        <w:rPr>
          <w:rFonts w:ascii="Book Antiqua" w:hAnsi="Book Antiqua" w:cs="Arial"/>
        </w:rPr>
        <w:t xml:space="preserve">be </w:t>
      </w:r>
      <w:r w:rsidR="0084535A" w:rsidRPr="00C311AE">
        <w:rPr>
          <w:rFonts w:ascii="Book Antiqua" w:hAnsi="Book Antiqua" w:cs="Arial"/>
        </w:rPr>
        <w:t>higher as many patients tend to underreport their symptoms, and may self-adjust their regimen to avoid side effects</w:t>
      </w:r>
      <w:r w:rsidR="00647AEA"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pcd344iir","properties":{"formattedCitation":"(12)","plainCitation":"(12)"},"citationItems":[{"id":69,"uris":["http://zotero.org/users/local/Y25qLmSx/items/EKJPKCTI"],"uri":["http://zotero.org/users/local/Y25qLmSx/items/EKJPKCTI"],"itemData":{"id":69,"type":"article-journal","title":"Economic and clinical burden of opioid-induced nausea and vomiting","container-title":"Postgraduate Medicine","page":"111-117","volume":"129","issue":"1","source":"PubMed","abstract":"Opioids are the standard of care for treating moderate-to-severe pain; however, their efficacy can be limited by adverse events (AEs), including nausea and vomiting. Opioid-induced nausea and vomiting (OINV) is an inherent adverse effect of opioid treatment, exerting effects centrally and peripherally. Opioid-related AEs can impact treatment adherence and discontinuation, which can result in inadequate pain management. OINV may persist long-term, negatively affecting patient functional outcomes, physical and mental health, patient satisfaction, and overall costs of treatment. Multiple factors may contribute to OINV, including activation of opioid receptors in the chemoreceptor trigger zone, vestibular apparatus, and gastrointestinal tract. Prophylactic or early treatment with antiemetics may be appropriate for patients who are at high risk for OINV.","DOI":"10.1080/00325481.2017.1243004","ISSN":"1941-9260","note":"PMID: 27690715","journalAbbreviation":"Postgrad Med","language":"eng","author":[{"family":"Nicholson","given":"Bruce D."}],"issued":{"date-parts":[["2017",1]]}}}],"schema":"https://github.com/citation-style-language/schema/raw/master/csl-citation.json"} </w:instrText>
      </w:r>
      <w:r w:rsidR="00647AEA" w:rsidRPr="00C311AE">
        <w:rPr>
          <w:rFonts w:ascii="Book Antiqua" w:hAnsi="Book Antiqua" w:cs="Arial"/>
          <w:vertAlign w:val="superscript"/>
        </w:rPr>
        <w:fldChar w:fldCharType="separate"/>
      </w:r>
      <w:r w:rsidR="00B82C49" w:rsidRPr="00C311AE">
        <w:rPr>
          <w:rFonts w:ascii="Book Antiqua" w:hAnsi="Book Antiqua"/>
          <w:vertAlign w:val="superscript"/>
        </w:rPr>
        <w:t>[</w:t>
      </w:r>
      <w:r w:rsidR="00B160C4" w:rsidRPr="00C311AE">
        <w:rPr>
          <w:rFonts w:ascii="Book Antiqua" w:hAnsi="Book Antiqua"/>
          <w:vertAlign w:val="superscript"/>
        </w:rPr>
        <w:t>12</w:t>
      </w:r>
      <w:r w:rsidR="00B82C49" w:rsidRPr="00C311AE">
        <w:rPr>
          <w:rFonts w:ascii="Book Antiqua" w:hAnsi="Book Antiqua"/>
          <w:vertAlign w:val="superscript"/>
        </w:rPr>
        <w:t>]</w:t>
      </w:r>
      <w:r w:rsidR="00647AEA" w:rsidRPr="00C311AE">
        <w:rPr>
          <w:rFonts w:ascii="Book Antiqua" w:hAnsi="Book Antiqua" w:cs="Arial"/>
          <w:vertAlign w:val="superscript"/>
        </w:rPr>
        <w:fldChar w:fldCharType="end"/>
      </w:r>
      <w:r w:rsidR="0084535A" w:rsidRPr="00C311AE">
        <w:rPr>
          <w:rFonts w:ascii="Book Antiqua" w:hAnsi="Book Antiqua" w:cs="Arial"/>
        </w:rPr>
        <w:t xml:space="preserve">. </w:t>
      </w:r>
      <w:r w:rsidR="00600964" w:rsidRPr="00C311AE">
        <w:rPr>
          <w:rFonts w:ascii="Book Antiqua" w:hAnsi="Book Antiqua" w:cs="Arial"/>
        </w:rPr>
        <w:t xml:space="preserve">Approximately 6% of the chronic opioid patients develop worsening chronic or intermittent abdominal pain </w:t>
      </w:r>
      <w:r w:rsidR="00E65886" w:rsidRPr="00C311AE">
        <w:rPr>
          <w:rFonts w:ascii="Book Antiqua" w:hAnsi="Book Antiqua" w:cs="Arial"/>
        </w:rPr>
        <w:t xml:space="preserve">(AP) </w:t>
      </w:r>
      <w:r w:rsidR="00600964" w:rsidRPr="00C311AE">
        <w:rPr>
          <w:rFonts w:ascii="Book Antiqua" w:hAnsi="Book Antiqua" w:cs="Arial"/>
        </w:rPr>
        <w:t xml:space="preserve">even with continuous or increasing doses of opioids, a condition termed narcotic bowel </w:t>
      </w:r>
      <w:r w:rsidR="00B82C49" w:rsidRPr="00C311AE">
        <w:rPr>
          <w:rFonts w:ascii="Book Antiqua" w:hAnsi="Book Antiqua" w:cs="Arial"/>
        </w:rPr>
        <w:t>syndrome</w:t>
      </w:r>
      <w:r w:rsidR="00647AEA"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2he1ktdd2p","properties":{"formattedCitation":"(8)","plainCitation":"(8)"},"citationItems":[{"id":61,"uris":["http://zotero.org/users/local/Y25qLmSx/items/XUK3IEEZ"],"uri":["http://zotero.org/users/local/Y25qLmSx/items/XUK3IEEZ"],"itemData":{"id":61,"type":"article-journal","title":"The narcotic bowel syndrome: a recent update","container-title":"American Journal of Gastroenterology Supplements (Print)","page":"22-30","volume":"2","issue":"1","source":"PubMed","abstract":"OBJECTIVES: The paradoxical development of chronic abdominal pain is an underrecognized side effect of opioid use. Narcotic bowel syndrome (NBS), occurring in a small proportion of chronic opioid users, consists of chronic or intermittent abdominal pain, which often increases in severity despite continued or escalating dosages of opioids prescribed to relieve pain.\nMETHODS: A PubMed search was conducted using terms such as \"narcotic bowel syndrome\" and \"opioid hyperalgesia\" through January 2014.\nRESULTS: Abdominal pain is the defining symptom of NBS and is thought to be mediated by central nervous system dysfunction; it should be distinguished from the peripheral side effects of opioids, such as nausea, bloating, intermittent vomiting, abdominal distension, and constipation. This latter cluster of symptoms is called opioid bowel dysfunction, although it may co-occur with NBS. Hypothesized mechanisms of the central effects of opioids on nociception in NBS include spinal cord inflammation and dysfunction in opioid receptor activity and related neuroanatomical substrates. With continued use, </w:instrText>
      </w:r>
      <w:r w:rsidR="00643F2E" w:rsidRPr="00C311AE">
        <w:rPr>
          <w:rFonts w:ascii="Cambria Math" w:hAnsi="Cambria Math" w:cs="Cambria Math"/>
          <w:vertAlign w:val="superscript"/>
        </w:rPr>
        <w:instrText>∼</w:instrText>
      </w:r>
      <w:r w:rsidR="00643F2E" w:rsidRPr="00C311AE">
        <w:rPr>
          <w:rFonts w:ascii="Book Antiqua" w:hAnsi="Book Antiqua" w:cs="Arial"/>
          <w:vertAlign w:val="superscript"/>
        </w:rPr>
        <w:instrText xml:space="preserve">6% of patients taking narcotics chronically will develop NBS, with profound consequences in terms of daily function. The primary management paradigm for NBS is a structured opioid withdrawal program accompanied by centrally acting adjunctive therapy comprising antidepressants, benzodiazepines, and clonidine to target pain, anxiety, and depression, and prevent withdrawal effects, in addition to peripherally acting agents such as laxatives (e.g., osmotic laxatives and chloride channel activators) to control transient constipation. Such structured withdrawal programs have been prospectively evaluated in small clinical trials and have met with considerable success in the short term.\nCONCLUSIONS: Because rates of NBS are likely to rise, integrated intensive pharmacotherapy and psychosocial interventions are needed to help patients with NBS go off and stay off opioids. These programs will likely also reduce comorbid psychopathology and lead to adequate pain control and improved quality of life.","DOI":"10.1038/ajgsup.2014.6","ISSN":"1948-9501","note":"PMID: 25207609","shortTitle":"The narcotic bowel syndrome","journalAbbreviation":"Am J Gastroenterol Suppl","language":"eng","author":[{"family":"Drossman","given":"Douglas"},{"family":"Szigethy","given":"Eva"}],"issued":{"date-parts":[["2014",9,10]]}}}],"schema":"https://github.com/citation-style-language/schema/raw/master/csl-citation.json"} </w:instrText>
      </w:r>
      <w:r w:rsidR="00647AEA" w:rsidRPr="00C311AE">
        <w:rPr>
          <w:rFonts w:ascii="Book Antiqua" w:hAnsi="Book Antiqua" w:cs="Arial"/>
          <w:vertAlign w:val="superscript"/>
        </w:rPr>
        <w:fldChar w:fldCharType="separate"/>
      </w:r>
      <w:r w:rsidR="00B82C49" w:rsidRPr="00C311AE">
        <w:rPr>
          <w:rFonts w:ascii="Book Antiqua" w:hAnsi="Book Antiqua" w:cs="Arial"/>
          <w:vertAlign w:val="superscript"/>
        </w:rPr>
        <w:t>[</w:t>
      </w:r>
      <w:r w:rsidR="00B160C4" w:rsidRPr="00C311AE">
        <w:rPr>
          <w:rFonts w:ascii="Book Antiqua" w:hAnsi="Book Antiqua" w:cs="Arial"/>
          <w:vertAlign w:val="superscript"/>
        </w:rPr>
        <w:t>8</w:t>
      </w:r>
      <w:r w:rsidR="00647AEA" w:rsidRPr="00C311AE">
        <w:rPr>
          <w:rFonts w:ascii="Book Antiqua" w:hAnsi="Book Antiqua" w:cs="Arial"/>
          <w:vertAlign w:val="superscript"/>
        </w:rPr>
        <w:fldChar w:fldCharType="end"/>
      </w:r>
      <w:r w:rsidR="00B82C49" w:rsidRPr="00C311AE">
        <w:rPr>
          <w:rFonts w:ascii="Book Antiqua" w:hAnsi="Book Antiqua" w:cs="Arial"/>
          <w:vertAlign w:val="superscript"/>
        </w:rPr>
        <w:t>]</w:t>
      </w:r>
      <w:r w:rsidR="00600964" w:rsidRPr="00C311AE">
        <w:rPr>
          <w:rFonts w:ascii="Book Antiqua" w:hAnsi="Book Antiqua" w:cs="Arial"/>
        </w:rPr>
        <w:t xml:space="preserve">. </w:t>
      </w:r>
      <w:r w:rsidR="00BB4B03" w:rsidRPr="00C311AE">
        <w:rPr>
          <w:rFonts w:ascii="Book Antiqua" w:hAnsi="Book Antiqua" w:cs="Arial"/>
        </w:rPr>
        <w:t>The opioid</w:t>
      </w:r>
      <w:r w:rsidRPr="00C311AE">
        <w:rPr>
          <w:rFonts w:ascii="Book Antiqua" w:hAnsi="Book Antiqua" w:cs="Arial"/>
        </w:rPr>
        <w:t>-</w:t>
      </w:r>
      <w:r w:rsidR="00BB4B03" w:rsidRPr="00C311AE">
        <w:rPr>
          <w:rFonts w:ascii="Book Antiqua" w:hAnsi="Book Antiqua" w:cs="Arial"/>
        </w:rPr>
        <w:t xml:space="preserve">induced gastrointestinal side effects are often not anticipated while prescribing these medications, and </w:t>
      </w:r>
      <w:r w:rsidR="00A44B88" w:rsidRPr="00C311AE">
        <w:rPr>
          <w:rFonts w:ascii="Book Antiqua" w:hAnsi="Book Antiqua" w:cs="Arial"/>
        </w:rPr>
        <w:t xml:space="preserve">may </w:t>
      </w:r>
      <w:r w:rsidR="00BB4B03" w:rsidRPr="00C311AE">
        <w:rPr>
          <w:rFonts w:ascii="Book Antiqua" w:hAnsi="Book Antiqua" w:cs="Arial"/>
        </w:rPr>
        <w:t>lead to increase healthcare utilization</w:t>
      </w:r>
      <w:r w:rsidR="00647AEA"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mq5gqtv5a","properties":{"formattedCitation":"(9)","plainCitation":"(9)"},"citationItems":[{"id":63,"uris":["http://zotero.org/users/local/Y25qLmSx/items/PEVQX833"],"uri":["http://zotero.org/users/local/Y25qLmSx/items/PEVQX833"],"itemData":{"id":63,"type":"article-journal","title":"Opioid induced bowel disease: a twenty-first century physicians' dilemma. Considering pathophysiology and treatment strategies","container-title":"Current Gastroenterology Reports","page":"334","volume":"15","issue":"7","source":"PubMed","abstract":"The treatment of cancer-associated pain as well as chronic non-cancer-related pain (CNCP) is an increasingly relevant topic in medicine. However, it has long been recognized that opiates can adversely affect many organ systems, most notably the gastrointestinal system. These are referred to as the spectrum of \"opioid-induced bowel dysfunction\" (OBD) or what we will refer to as \"opioid-induced bowel disease\" (OIBD) which include constipation, nausea, vomiting, delayed gastric emptying, and gastro-esophageal reflux disease (GERD), and a newer entity known as narcotic bowel syndrome (NBS). Opioid analgesics are increasingly being used for the treatment of cancer pain, non-cancer-associated pain, and postoperative pain. As we achieve our goals towards pain control, we need to be cognizant of and competent in how to prevent and treat OIBD. The basis is due in part to µ-receptor activation, decreasing the peristaltic contraction and leading to sequelae of OIBD. Treatment beyond lifestyle interventional strategy will employ laxatives and stool softeners. However, studies performed while patients were already using laxativies and stool softeners have elicited the necessity of peripherally acting agents such as methylnaltrexone (MNTX) and alvimopan. Patients responded dramatically to both medications, but these studies were limited to patients that were deemed to have advanced illness. Lubiprostone, while different in its mechanism of action from MNTX and alvimopan, has proven effective and should be considered for use in OIBD. Further investigational research will promulgate more information and allow for better and more efficient treatment options for OIBD.","DOI":"10.1007/s11894-013-0334-4","ISSN":"1534-312X","note":"PMID: 23836088","shortTitle":"Opioid induced bowel disease","journalAbbreviation":"Curr Gastroenterol Rep","language":"eng","author":[{"family":"Sharma","given":"Ankush"},{"family":"Jamal","given":"M. Mazen"}],"issued":{"date-parts":[["2013",7]]}}}],"schema":"https://github.com/citation-style-language/schema/raw/master/csl-citation.json"} </w:instrText>
      </w:r>
      <w:r w:rsidR="00647AEA" w:rsidRPr="00C311AE">
        <w:rPr>
          <w:rFonts w:ascii="Book Antiqua" w:hAnsi="Book Antiqua" w:cs="Arial"/>
          <w:vertAlign w:val="superscript"/>
        </w:rPr>
        <w:fldChar w:fldCharType="separate"/>
      </w:r>
      <w:r w:rsidR="00B82C49" w:rsidRPr="00C311AE">
        <w:rPr>
          <w:rFonts w:ascii="Book Antiqua" w:hAnsi="Book Antiqua"/>
          <w:vertAlign w:val="superscript"/>
        </w:rPr>
        <w:t>[</w:t>
      </w:r>
      <w:r w:rsidR="00B160C4" w:rsidRPr="00C311AE">
        <w:rPr>
          <w:rFonts w:ascii="Book Antiqua" w:hAnsi="Book Antiqua"/>
          <w:vertAlign w:val="superscript"/>
        </w:rPr>
        <w:t>9</w:t>
      </w:r>
      <w:r w:rsidR="00647AEA" w:rsidRPr="00C311AE">
        <w:rPr>
          <w:rFonts w:ascii="Book Antiqua" w:hAnsi="Book Antiqua" w:cs="Arial"/>
          <w:vertAlign w:val="superscript"/>
        </w:rPr>
        <w:fldChar w:fldCharType="end"/>
      </w:r>
      <w:r w:rsidR="00B82C49" w:rsidRPr="00C311AE">
        <w:rPr>
          <w:rFonts w:ascii="Book Antiqua" w:hAnsi="Book Antiqua" w:cs="Arial"/>
          <w:vertAlign w:val="superscript"/>
        </w:rPr>
        <w:t>]</w:t>
      </w:r>
      <w:r w:rsidR="00BB4B03" w:rsidRPr="00C311AE">
        <w:rPr>
          <w:rFonts w:ascii="Book Antiqua" w:hAnsi="Book Antiqua" w:cs="Arial"/>
        </w:rPr>
        <w:t>.</w:t>
      </w:r>
      <w:r w:rsidR="000F6C17" w:rsidRPr="00C311AE">
        <w:rPr>
          <w:rFonts w:ascii="Book Antiqua" w:hAnsi="Book Antiqua" w:cs="Arial"/>
        </w:rPr>
        <w:t xml:space="preserve"> </w:t>
      </w:r>
    </w:p>
    <w:p w14:paraId="0CA7FB80" w14:textId="7C194935" w:rsidR="00A4094C" w:rsidRPr="00C311AE" w:rsidRDefault="00446495" w:rsidP="00020CC7">
      <w:pPr>
        <w:snapToGrid w:val="0"/>
        <w:spacing w:line="360" w:lineRule="auto"/>
        <w:ind w:firstLineChars="100" w:firstLine="240"/>
        <w:jc w:val="both"/>
        <w:rPr>
          <w:rFonts w:ascii="Book Antiqua" w:hAnsi="Book Antiqua" w:cs="Arial"/>
        </w:rPr>
      </w:pPr>
      <w:r w:rsidRPr="00C311AE">
        <w:rPr>
          <w:rFonts w:ascii="Book Antiqua" w:hAnsi="Book Antiqua" w:cs="Arial"/>
        </w:rPr>
        <w:t>Despite the known gastrointestinal side effects of opioids, they are used in some patients with gastroparesis</w:t>
      </w:r>
      <w:r w:rsidR="00EE291D" w:rsidRPr="00C311AE">
        <w:rPr>
          <w:rFonts w:ascii="Book Antiqua" w:hAnsi="Book Antiqua" w:cs="Arial"/>
        </w:rPr>
        <w:t xml:space="preserve"> (G</w:t>
      </w:r>
      <w:r w:rsidR="00DA6067" w:rsidRPr="00C311AE">
        <w:rPr>
          <w:rFonts w:ascii="Book Antiqua" w:hAnsi="Book Antiqua" w:cs="Arial"/>
        </w:rPr>
        <w:t>p</w:t>
      </w:r>
      <w:r w:rsidR="00EE291D" w:rsidRPr="00C311AE">
        <w:rPr>
          <w:rFonts w:ascii="Book Antiqua" w:hAnsi="Book Antiqua" w:cs="Arial"/>
        </w:rPr>
        <w:t>)</w:t>
      </w:r>
      <w:r w:rsidR="00255C24" w:rsidRPr="00C311AE">
        <w:rPr>
          <w:rFonts w:ascii="Book Antiqua" w:hAnsi="Book Antiqua" w:cs="Arial"/>
        </w:rPr>
        <w:t>. P</w:t>
      </w:r>
      <w:r w:rsidR="002C4020" w:rsidRPr="00C311AE">
        <w:rPr>
          <w:rFonts w:ascii="Book Antiqua" w:hAnsi="Book Antiqua" w:cs="Arial"/>
        </w:rPr>
        <w:t xml:space="preserve">revious studies </w:t>
      </w:r>
      <w:r w:rsidR="00E40796" w:rsidRPr="00C311AE">
        <w:rPr>
          <w:rFonts w:ascii="Book Antiqua" w:hAnsi="Book Antiqua" w:cs="Arial"/>
        </w:rPr>
        <w:t>report</w:t>
      </w:r>
      <w:r w:rsidR="002C4020" w:rsidRPr="00C311AE">
        <w:rPr>
          <w:rFonts w:ascii="Book Antiqua" w:hAnsi="Book Antiqua" w:cs="Arial"/>
        </w:rPr>
        <w:t>ed that</w:t>
      </w:r>
      <w:r w:rsidR="00BB4B03" w:rsidRPr="00C311AE">
        <w:rPr>
          <w:rFonts w:ascii="Book Antiqua" w:hAnsi="Book Antiqua" w:cs="Arial"/>
        </w:rPr>
        <w:t xml:space="preserve"> </w:t>
      </w:r>
      <w:r w:rsidR="00F2011E" w:rsidRPr="00C311AE">
        <w:rPr>
          <w:rFonts w:ascii="Book Antiqua" w:hAnsi="Book Antiqua" w:cs="Arial"/>
        </w:rPr>
        <w:t xml:space="preserve">30-46% </w:t>
      </w:r>
      <w:r w:rsidR="00EC4B8D" w:rsidRPr="00C311AE">
        <w:rPr>
          <w:rFonts w:ascii="Book Antiqua" w:hAnsi="Book Antiqua" w:cs="Arial"/>
        </w:rPr>
        <w:t>of the Gp</w:t>
      </w:r>
      <w:r w:rsidR="001E267D" w:rsidRPr="00C311AE">
        <w:rPr>
          <w:rFonts w:ascii="Book Antiqua" w:hAnsi="Book Antiqua" w:cs="Arial"/>
        </w:rPr>
        <w:t xml:space="preserve"> patients </w:t>
      </w:r>
      <w:r w:rsidR="00BB4B03" w:rsidRPr="00C311AE">
        <w:rPr>
          <w:rFonts w:ascii="Book Antiqua" w:hAnsi="Book Antiqua" w:cs="Arial"/>
        </w:rPr>
        <w:t>regular</w:t>
      </w:r>
      <w:r w:rsidR="001E267D" w:rsidRPr="00C311AE">
        <w:rPr>
          <w:rFonts w:ascii="Book Antiqua" w:hAnsi="Book Antiqua" w:cs="Arial"/>
        </w:rPr>
        <w:t>ly use</w:t>
      </w:r>
      <w:r w:rsidR="00BB4B03" w:rsidRPr="00C311AE">
        <w:rPr>
          <w:rFonts w:ascii="Book Antiqua" w:hAnsi="Book Antiqua" w:cs="Arial"/>
        </w:rPr>
        <w:t xml:space="preserve"> opioids</w:t>
      </w:r>
      <w:r w:rsidR="00647AEA"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hCwhJ5J7","properties":{"formattedCitation":"(10,14,15)","plainCitation":"(10,14,15)"},"citationItems":[{"id":65,"uris":["http://zotero.org/users/local/Y25qLmSx/items/TIVI7MS6"],"uri":["http://zotero.org/users/local/Y25qLmSx/items/TIVI7MS6"],"itemData":{"id":65,"type":"article-journal","title":"Different faces of gastroparesis","container-title":"World Journal of Gastroenterology","page":"6052-6060","volume":"15","issue":"48","source":"PubMed","abstract":"AIM: To test the hypothesis that pain and affect rather than impaired emptying determine symptom severity in patients with gastroparesis.\nMETHODS: Adult patients with documented gastroparesis were enrolled prospectively in a single center and asked to complete the Gastroparesis Cardinal Symptom Index (GCSI), Hospital Anxiety and Depression Scale (HADS), the Short Form 12 (SF-12) as quality of life index, rate pain severity and answer 10 open-ended questions.\nRESULTS: A total of 55 patients (44 women) participated. Idiopathic (n = 29) or diabetic (n = 11) gastroparesis and connective tissue disease (n = 8) were the most common underlying causes. Antiemetics (n = 30) and prokinetics (n = 32) were most often prescribed. Seventeen patients used opioids on a daily basis. Nausea and/or vomiting (n = 28), pain (n = 24) and bloating (n = 14) were most commonly listed as dominant symptoms. Patients subjectively attributed symptom improvement to nutritional and dietary therapy (n = 11), prokinetics (n = 11), antiemetics (n = 10) or analgesic agents (n = 3). In univariate analyses, the physical subscore of the SF-12 and HADS, but not gastric emptying delay or symptom duration significantly correlated with disease severity as measured by the GCSI. In multivariate analyses, the combination of vomiting, bloating and depression best predicted the overall impact on quality of life.\nCONCLUSION: The study confirms the importance of pain and affect in gastroparesis, which requires novel approaches to improve more effectively the quality of life in patients with this disorder.","ISSN":"2219-2840","note":"PMID: 20027677\nPMCID: PMC2797661","journalAbbreviation":"World J. Gastroenterol.","language":"eng","author":[{"family":"Bielefeldt","given":"Klaus"},{"family":"Raza","given":"Naeem"},{"family":"Zickmund","given":"Susan L."}],"issued":{"date-parts":[["2009",12,28]]}}},{"id":73,"uris":["http://zotero.org/users/local/Y25qLmSx/items/CFMFKH96"],"uri":["http://zotero.org/users/local/Y25qLmSx/items/CFMFKH96"],"itemData":{"id":73,"type":"article-journal","title":"Predictive factors for clinical improvement with Enterra gastric electric stimulation treatment for refractory gastroparesis","container-title":"Digestive Diseases and Sciences","page":"2072-2078","volume":"53","issue":"8","source":"PubMed","abstract":"The objectives of this study were to determine the clinical response to Enterra gastric electric stimulation (GES) in patients with refractory gastroparesis and to determine factors associated with a favorable response.\nMETHODS: This study was conducted in patients undergoing Enterra GES for refractory gastroparesis. Symptoms were scored before and after GES implantation using the Gastroparesis Cardinal Symptom Index (GCSI) with additional questions about abdominal pain and global clinical response.\nRESULTS: During an 18-month period, 29 patients underwent GES implantation. Follow-up data were available for 28 patients, with average follow-up of 148 days. At follow-up, 14 of 28 patients felt improved, 8 remained the same, and 6 worsened. The overall GCSI significantly decreased with improvement in the nausea/vomiting subscore and the post-prandial subscore, but no improvement in the bloating subscore or abdominal pain. The decrease in GCSI was greater for diabetic patients than idiopathic patients. Patients with main symptom of nausea/vomiting had a greater improvement than patients with the main symptom of abdominal pain. Patients taking narcotic analgesics at the time of implant had a poorer response compared to patients who were not.\nCONCLUSIONS: GES resulted in clinical improvement in 50% of patients with refractory gastroparesis. Three clinical parameters were associated with a favorable clinical response: (1) diabetic rather than idiopathic gastroparesis, (2) nausea/vomiting rather than abdominal pain as the primary symptom, and (3) independence from narcotic analgesics prior to stimulator implantation. Knowledge of these three factors may allow improved patient selection for GES.","DOI":"10.1007/s10620-007-0124-7","ISSN":"0163-2116","note":"PMID: 18080765\nPMCID: PMC3579617","journalAbbreviation":"Dig. Dis. Sci.","language":"eng","author":[{"family":"Maranki","given":"Jennifer L."},{"family":"Lytes","given":"Vanessa"},{"family":"Meilahn","given":"John E."},{"family":"Harbison","given":"Sean"},{"family":"Friedenberg","given":"Frank K."},{"family":"Fisher","given":"Robert S."},{"family":"Parkman","given":"Henry P."}],"issued":{"date-parts":[["2008",8]]}}},{"id":18,"uris":["http://zotero.org/users/local/Y25qLmSx/items/VGBBUI7Q"],"uri":["http://zotero.org/users/local/Y25qLmSx/items/VGBBUI7Q"],"itemData":{"id":18,"type":"article-journal","title":"Factors related to abdominal pain in gastroparesis: contrast to patients with predominant nausea and vomiting","container-title":"Neurogastroenterology and Motility: The Official Journal of the European Gastrointestinal Motility Society","page":"427-438, e300-301","volume":"25","issue":"5","source":"PubMed","abstract":"BACKGROUND: Factors associated with abdominal pain in gastroparesis are incompletely evaluated and comparisons of pain vs other symptoms are limited. This study related pain to clinical factors in gastroparesis and contrasted pain/discomfort- with nausea/vomiting-predominant disease.\nMETHODS: Clinical and scintigraphy data were compared in 393 patients from seven centers of the NIDDK Gastroparesis Clinical Research Consortium with moderate-severe (Patient Assessment of Upper Gastrointestinal Disorders Symptoms [PAGI-SYM] score ≥ 3) vs none-mild (PAGI-SYM &lt; 3) upper abdominal pain and predominant pain/discomfort vs nausea/vomiting.\nKEY RESULTS: Upper abdominal pain was moderate-severe in 261 (66%). Pain/discomfort was predominant in 81 (21%); nausea/vomiting was predominant in 172 (44%). Moderate-severe pain was more prevalent with idiopathic gastroparesis and with lack of infectious prodrome (P ≤ 0.05) and correlated with scores for nausea/vomiting, bloating, lower abdominal pain/discomfort, bowel disturbances, and opiate and antiemetic use (P &lt; 0.05), but not gastric emptying or diabetic neuropathy or control. Gastroparesis severity, quality of life, and depression and anxiety were worse with moderate-severe pain (P ≤ 0.008). Factors associated with moderate-severe pain were similar in diabetic and idiopathic gastroparesis. Compared to predominant nausea/vomiting, predominant pain/discomfort was associated with impaired quality of life, greater opiate, and less antiemetic use (P &lt; 0.01), but similar severity and gastric retention.\nCONCLUSIONS &amp; INFERENCES: Moderate-severe abdominal pain is prevalent in gastroparesis, impairs quality of life, and is associated with idiopathic etiology, lack of infectious prodrome, and opiate use. Pain is predominant in one fifth of gastroparetics. Predominant pain has at least as great an impact on disease severity and quality of life as predominant nausea/vomiting.","DOI":"10.1111/nmo.12091","ISSN":"1365-2982","note":"PMID: 23414452\nPMCID: PMC3907086","shortTitle":"Factors related to abdominal pain in gastroparesis","journalAbbreviation":"Neurogastroenterol. Motil.","language":"eng","author":[{"family":"Hasler","given":"W. L."},{"family":"Wilson","given":"L. A."},{"family":"Parkman","given":"H. P."},{"family":"Koch","given":"K. L."},{"family":"Abell","given":"T. L."},{"family":"Nguyen","given":"L."},{"family":"Pasricha","given":"P. J."},{"family":"Snape","given":"W. J."},{"family":"McCallum","given":"R. W."},{"family":"Sarosiek","given":"I."},{"family":"Farrugia","given":"G."},{"family":"Calles","given":"J."},{"family":"Lee","given":"L."},{"family":"Tonascia","given":"J."},{"family":"Unalp-Arida","given":"A."},{"family":"Hamilton","given":"F."}],"issued":{"date-parts":[["2013",5]]}}}],"schema":"https://github.com/citation-style-language/schema/raw/master/csl-citation.json"} </w:instrText>
      </w:r>
      <w:r w:rsidR="00647AEA" w:rsidRPr="00C311AE">
        <w:rPr>
          <w:rFonts w:ascii="Book Antiqua" w:hAnsi="Book Antiqua" w:cs="Arial"/>
          <w:vertAlign w:val="superscript"/>
        </w:rPr>
        <w:fldChar w:fldCharType="separate"/>
      </w:r>
      <w:r w:rsidR="00B82C49" w:rsidRPr="00C311AE">
        <w:rPr>
          <w:rFonts w:ascii="Book Antiqua" w:hAnsi="Book Antiqua" w:cs="Arial"/>
          <w:vertAlign w:val="superscript"/>
        </w:rPr>
        <w:t>[</w:t>
      </w:r>
      <w:r w:rsidR="00B160C4" w:rsidRPr="00C311AE">
        <w:rPr>
          <w:rFonts w:ascii="Book Antiqua" w:hAnsi="Book Antiqua" w:cs="Arial"/>
          <w:vertAlign w:val="superscript"/>
        </w:rPr>
        <w:t>10,14,15</w:t>
      </w:r>
      <w:r w:rsidR="00647AEA" w:rsidRPr="00C311AE">
        <w:rPr>
          <w:rFonts w:ascii="Book Antiqua" w:hAnsi="Book Antiqua" w:cs="Arial"/>
          <w:vertAlign w:val="superscript"/>
        </w:rPr>
        <w:fldChar w:fldCharType="end"/>
      </w:r>
      <w:r w:rsidR="00B82C49" w:rsidRPr="00C311AE">
        <w:rPr>
          <w:rFonts w:ascii="Book Antiqua" w:hAnsi="Book Antiqua" w:cs="Arial"/>
          <w:vertAlign w:val="superscript"/>
        </w:rPr>
        <w:t>]</w:t>
      </w:r>
      <w:r w:rsidR="00BB4B03" w:rsidRPr="00C311AE">
        <w:rPr>
          <w:rFonts w:ascii="Book Antiqua" w:hAnsi="Book Antiqua" w:cs="Arial"/>
        </w:rPr>
        <w:t xml:space="preserve">. </w:t>
      </w:r>
      <w:r w:rsidR="00A05E20" w:rsidRPr="00C311AE">
        <w:rPr>
          <w:rFonts w:ascii="Book Antiqua" w:hAnsi="Book Antiqua" w:cs="Arial"/>
        </w:rPr>
        <w:t xml:space="preserve">In addition to opioids causing constipation, opioids slow gastric emptying and also can </w:t>
      </w:r>
      <w:r w:rsidR="006853FD" w:rsidRPr="00C311AE">
        <w:rPr>
          <w:rFonts w:ascii="Book Antiqua" w:hAnsi="Book Antiqua" w:cs="Arial"/>
        </w:rPr>
        <w:t>cause nausea and vomiting</w:t>
      </w:r>
      <w:r w:rsidR="0042626D" w:rsidRPr="00C311AE">
        <w:rPr>
          <w:rFonts w:ascii="Book Antiqua" w:hAnsi="Book Antiqua" w:cs="Arial"/>
        </w:rPr>
        <w:t xml:space="preserve"> by activating the chemoreceptor trigger zone in the area postrema at the floor of the fourth ventricle</w:t>
      </w:r>
      <w:r w:rsidR="00647AEA"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2d5ktanja6","properties":{"formattedCitation":"(9)","plainCitation":"(9)"},"citationItems":[{"id":63,"uris":["http://zotero.org/users/local/Y25qLmSx/items/PEVQX833"],"uri":["http://zotero.org/users/local/Y25qLmSx/items/PEVQX833"],"itemData":{"id":63,"type":"article-journal","title":"Opioid induced bowel disease: a twenty-first century physicians' dilemma. Considering pathophysiology and treatment strategies","container-title":"Current Gastroenterology Reports","page":"334","volume":"15","issue":"7","source":"PubMed","abstract":"The treatment of cancer-associated pain as well as chronic non-cancer-related pain (CNCP) is an increasingly relevant topic in medicine. However, it has long been recognized that opiates can adversely affect many organ systems, most notably the gastrointestinal system. These are referred to as the spectrum of \"opioid-induced bowel dysfunction\" (OBD) or what we will refer to as \"opioid-induced bowel disease\" (OIBD) which include constipation, nausea, vomiting, delayed gastric emptying, and gastro-esophageal reflux disease (GERD), and a newer entity known as narcotic bowel syndrome (NBS). Opioid analgesics are increasingly being used for the treatment of cancer pain, non-cancer-associated pain, and postoperative pain. As we achieve our goals towards pain control, we need to be cognizant of and competent in how to prevent and treat OIBD. The basis is due in part to µ-receptor activation, decreasing the peristaltic contraction and leading to sequelae of OIBD. Treatment beyond lifestyle interventional strategy will employ laxatives and stool softeners. However, studies performed while patients were already using laxativies and stool softeners have elicited the necessity of peripherally acting agents such as methylnaltrexone (MNTX) and alvimopan. Patients responded dramatically to both medications, but these studies were limited to patients that were deemed to have advanced illness. Lubiprostone, while different in its mechanism of action from MNTX and alvimopan, has proven effective and should be considered for use in OIBD. Further investigational research will promulgate more information and allow for better and more efficient treatment options for OIBD.","DOI":"10.1007/s11894-013-0334-4","ISSN":"1534-312X","note":"PMID: 23836088","shortTitle":"Opioid induced bowel disease","journalAbbreviation":"Curr Gastroenterol Rep","language":"eng","author":[{"family":"Sharma","given":"Ankush"},{"family":"Jamal","given":"M. Mazen"}],"issued":{"date-parts":[["2013",7]]}}}],"schema":"https://github.com/citation-style-language/schema/raw/master/csl-citation.json"} </w:instrText>
      </w:r>
      <w:r w:rsidR="00647AEA" w:rsidRPr="00C311AE">
        <w:rPr>
          <w:rFonts w:ascii="Book Antiqua" w:hAnsi="Book Antiqua" w:cs="Arial"/>
          <w:vertAlign w:val="superscript"/>
        </w:rPr>
        <w:fldChar w:fldCharType="separate"/>
      </w:r>
      <w:r w:rsidR="00B82C49" w:rsidRPr="00C311AE">
        <w:rPr>
          <w:rFonts w:ascii="Book Antiqua" w:hAnsi="Book Antiqua"/>
          <w:vertAlign w:val="superscript"/>
        </w:rPr>
        <w:t>[</w:t>
      </w:r>
      <w:r w:rsidR="00B160C4" w:rsidRPr="00C311AE">
        <w:rPr>
          <w:rFonts w:ascii="Book Antiqua" w:hAnsi="Book Antiqua"/>
          <w:vertAlign w:val="superscript"/>
        </w:rPr>
        <w:t>9</w:t>
      </w:r>
      <w:r w:rsidR="00647AEA" w:rsidRPr="00C311AE">
        <w:rPr>
          <w:rFonts w:ascii="Book Antiqua" w:hAnsi="Book Antiqua" w:cs="Arial"/>
          <w:vertAlign w:val="superscript"/>
        </w:rPr>
        <w:fldChar w:fldCharType="end"/>
      </w:r>
      <w:r w:rsidR="00F66335" w:rsidRPr="00C311AE">
        <w:rPr>
          <w:rFonts w:ascii="Book Antiqua" w:hAnsi="Book Antiqua" w:cs="Arial"/>
          <w:vertAlign w:val="superscript"/>
        </w:rPr>
        <w:t>,16</w:t>
      </w:r>
      <w:r w:rsidR="00B82C49" w:rsidRPr="00C311AE">
        <w:rPr>
          <w:rFonts w:ascii="Book Antiqua" w:hAnsi="Book Antiqua" w:cs="Arial"/>
          <w:vertAlign w:val="superscript"/>
        </w:rPr>
        <w:t>]</w:t>
      </w:r>
      <w:r w:rsidR="006853FD" w:rsidRPr="00C311AE">
        <w:rPr>
          <w:rFonts w:ascii="Book Antiqua" w:hAnsi="Book Antiqua" w:cs="Arial"/>
        </w:rPr>
        <w:t xml:space="preserve">. </w:t>
      </w:r>
      <w:r w:rsidR="00E40796" w:rsidRPr="00C311AE">
        <w:rPr>
          <w:rFonts w:ascii="Book Antiqua" w:hAnsi="Book Antiqua" w:cs="Arial"/>
        </w:rPr>
        <w:t xml:space="preserve">Moreover, it has been shown that </w:t>
      </w:r>
      <w:r w:rsidR="00A45DEE" w:rsidRPr="00C311AE">
        <w:rPr>
          <w:rFonts w:ascii="Book Antiqua" w:hAnsi="Book Antiqua" w:cs="Arial"/>
        </w:rPr>
        <w:t>G</w:t>
      </w:r>
      <w:r w:rsidR="00DA6067" w:rsidRPr="00C311AE">
        <w:rPr>
          <w:rFonts w:ascii="Book Antiqua" w:hAnsi="Book Antiqua" w:cs="Arial"/>
        </w:rPr>
        <w:t>p</w:t>
      </w:r>
      <w:r w:rsidR="00E40796" w:rsidRPr="00C311AE">
        <w:rPr>
          <w:rFonts w:ascii="Book Antiqua" w:hAnsi="Book Antiqua" w:cs="Arial"/>
        </w:rPr>
        <w:t xml:space="preserve"> patients on opioids </w:t>
      </w:r>
      <w:r w:rsidR="00A05E20" w:rsidRPr="00C311AE">
        <w:rPr>
          <w:rFonts w:ascii="Book Antiqua" w:hAnsi="Book Antiqua" w:cs="Arial"/>
        </w:rPr>
        <w:t>may have</w:t>
      </w:r>
      <w:r w:rsidR="00D42A92" w:rsidRPr="00C311AE">
        <w:rPr>
          <w:rFonts w:ascii="Book Antiqua" w:hAnsi="Book Antiqua" w:cs="Arial"/>
        </w:rPr>
        <w:t xml:space="preserve"> </w:t>
      </w:r>
      <w:r w:rsidR="00E40796" w:rsidRPr="00C311AE">
        <w:rPr>
          <w:rFonts w:ascii="Book Antiqua" w:hAnsi="Book Antiqua" w:cs="Arial"/>
        </w:rPr>
        <w:t>worse outcomes</w:t>
      </w:r>
      <w:r w:rsidR="00396A88" w:rsidRPr="00C311AE">
        <w:rPr>
          <w:rFonts w:ascii="Book Antiqua" w:hAnsi="Book Antiqua" w:cs="Arial"/>
        </w:rPr>
        <w:t xml:space="preserve"> </w:t>
      </w:r>
      <w:r w:rsidR="00A05E20" w:rsidRPr="00C311AE">
        <w:rPr>
          <w:rFonts w:ascii="Book Antiqua" w:hAnsi="Book Antiqua" w:cs="Arial"/>
        </w:rPr>
        <w:t>with medical treatment with prokinetics agents and</w:t>
      </w:r>
      <w:r w:rsidR="00E40796" w:rsidRPr="00C311AE">
        <w:rPr>
          <w:rFonts w:ascii="Book Antiqua" w:hAnsi="Book Antiqua" w:cs="Arial"/>
        </w:rPr>
        <w:t xml:space="preserve"> af</w:t>
      </w:r>
      <w:r w:rsidR="005A29D1" w:rsidRPr="00C311AE">
        <w:rPr>
          <w:rFonts w:ascii="Book Antiqua" w:hAnsi="Book Antiqua" w:cs="Arial"/>
        </w:rPr>
        <w:t>ter gastric pacemaker placement</w:t>
      </w:r>
      <w:r w:rsidR="00647AEA"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8cd387o49","properties":{"formattedCitation":"(14)","plainCitation":"(14)"},"citationItems":[{"id":73,"uris":["http://zotero.org/users/local/Y25qLmSx/items/CFMFKH96"],"uri":["http://zotero.org/users/local/Y25qLmSx/items/CFMFKH96"],"itemData":{"id":73,"type":"article-journal","title":"Predictive factors for clinical improvement with Enterra gastric electric stimulation treatment for refractory gastroparesis","container-title":"Digestive Diseases and Sciences","page":"2072-2078","volume":"53","issue":"8","source":"PubMed","abstract":"The objectives of this study were to determine the clinical response to Enterra gastric electric stimulation (GES) in patients with refractory gastroparesis and to determine factors associated with a favorable response.\nMETHODS: This study was conducted in patients undergoing Enterra GES for refractory gastroparesis. Symptoms were scored before and after GES implantation using the Gastroparesis Cardinal Symptom Index (GCSI) with additional questions about abdominal pain and global clinical response.\nRESULTS: During an 18-month period, 29 patients underwent GES implantation. Follow-up data were available for 28 patients, with average follow-up of 148 days. At follow-up, 14 of 28 patients felt improved, 8 remained the same, and 6 worsened. The overall GCSI significantly decreased with improvement in the nausea/vomiting subscore and the post-prandial subscore, but no improvement in the bloating subscore or abdominal pain. The decrease in GCSI was greater for diabetic patients than idiopathic patients. Patients with main symptom of nausea/vomiting had a greater improvement than patients with the main symptom of abdominal pain. Patients taking narcotic analgesics at the time of implant had a poorer response compared to patients who were not.\nCONCLUSIONS: GES resulted in clinical improvement in 50% of patients with refractory gastroparesis. Three clinical parameters were associated with a favorable clinical response: (1) diabetic rather than idiopathic gastroparesis, (2) nausea/vomiting rather than abdominal pain as the primary symptom, and (3) independence from narcotic analgesics prior to stimulator implantation. Knowledge of these three factors may allow improved patient selection for GES.","DOI":"10.1007/s10620-007-0124-7","ISSN":"0163-2116","note":"PMID: 18080765\nPMCID: PMC3579617","journalAbbreviation":"Dig. Dis. Sci.","language":"eng","author":[{"family":"Maranki","given":"Jennifer L."},{"family":"Lytes","given":"Vanessa"},{"family":"Meilahn","given":"John E."},{"family":"Harbison","given":"Sean"},{"family":"Friedenberg","given":"Frank K."},{"family":"Fisher","given":"Robert S."},{"family":"Parkman","given":"Henry P."}],"issued":{"date-parts":[["2008",8]]}}}],"schema":"https://github.com/citation-style-language/schema/raw/master/csl-citation.json"} </w:instrText>
      </w:r>
      <w:r w:rsidR="00647AEA" w:rsidRPr="00C311AE">
        <w:rPr>
          <w:rFonts w:ascii="Book Antiqua" w:hAnsi="Book Antiqua" w:cs="Arial"/>
          <w:vertAlign w:val="superscript"/>
        </w:rPr>
        <w:fldChar w:fldCharType="separate"/>
      </w:r>
      <w:r w:rsidR="00B82C49" w:rsidRPr="00C311AE">
        <w:rPr>
          <w:rFonts w:ascii="Book Antiqua" w:hAnsi="Book Antiqua"/>
          <w:vertAlign w:val="superscript"/>
        </w:rPr>
        <w:t>[</w:t>
      </w:r>
      <w:r w:rsidR="00B160C4" w:rsidRPr="00C311AE">
        <w:rPr>
          <w:rFonts w:ascii="Book Antiqua" w:hAnsi="Book Antiqua"/>
          <w:vertAlign w:val="superscript"/>
        </w:rPr>
        <w:t>14</w:t>
      </w:r>
      <w:r w:rsidR="00B82C49" w:rsidRPr="00C311AE">
        <w:rPr>
          <w:rFonts w:ascii="Book Antiqua" w:hAnsi="Book Antiqua"/>
          <w:vertAlign w:val="superscript"/>
        </w:rPr>
        <w:t>]</w:t>
      </w:r>
      <w:r w:rsidR="00647AEA" w:rsidRPr="00C311AE">
        <w:rPr>
          <w:rFonts w:ascii="Book Antiqua" w:hAnsi="Book Antiqua" w:cs="Arial"/>
          <w:vertAlign w:val="superscript"/>
        </w:rPr>
        <w:fldChar w:fldCharType="end"/>
      </w:r>
      <w:r w:rsidR="00E40796" w:rsidRPr="00C311AE">
        <w:rPr>
          <w:rFonts w:ascii="Book Antiqua" w:hAnsi="Book Antiqua" w:cs="Arial"/>
        </w:rPr>
        <w:t>.</w:t>
      </w:r>
      <w:r w:rsidR="000F6C17" w:rsidRPr="00C311AE">
        <w:rPr>
          <w:rFonts w:ascii="Book Antiqua" w:hAnsi="Book Antiqua" w:cs="Arial"/>
        </w:rPr>
        <w:t xml:space="preserve"> </w:t>
      </w:r>
    </w:p>
    <w:p w14:paraId="23681579" w14:textId="37B9DAB7" w:rsidR="00D57058" w:rsidRPr="00C311AE" w:rsidRDefault="00A05E20" w:rsidP="00020CC7">
      <w:pPr>
        <w:snapToGrid w:val="0"/>
        <w:spacing w:line="360" w:lineRule="auto"/>
        <w:ind w:firstLineChars="100" w:firstLine="240"/>
        <w:jc w:val="both"/>
        <w:rPr>
          <w:rFonts w:ascii="Book Antiqua" w:hAnsi="Book Antiqua" w:cs="Arial"/>
        </w:rPr>
      </w:pPr>
      <w:r w:rsidRPr="00C311AE">
        <w:rPr>
          <w:rFonts w:ascii="Book Antiqua" w:hAnsi="Book Antiqua" w:cs="Arial"/>
        </w:rPr>
        <w:t>The</w:t>
      </w:r>
      <w:r w:rsidR="00EC2F0B" w:rsidRPr="00C311AE">
        <w:rPr>
          <w:rFonts w:ascii="Book Antiqua" w:hAnsi="Book Antiqua" w:cs="Arial"/>
        </w:rPr>
        <w:t xml:space="preserve"> aim </w:t>
      </w:r>
      <w:r w:rsidRPr="00C311AE">
        <w:rPr>
          <w:rFonts w:ascii="Book Antiqua" w:hAnsi="Book Antiqua" w:cs="Arial"/>
        </w:rPr>
        <w:t>of this study</w:t>
      </w:r>
      <w:r w:rsidR="00EC2F0B" w:rsidRPr="00C311AE">
        <w:rPr>
          <w:rFonts w:ascii="Book Antiqua" w:hAnsi="Book Antiqua" w:cs="Arial"/>
        </w:rPr>
        <w:t xml:space="preserve"> </w:t>
      </w:r>
      <w:r w:rsidR="00A44B88" w:rsidRPr="00C311AE">
        <w:rPr>
          <w:rFonts w:ascii="Book Antiqua" w:hAnsi="Book Antiqua" w:cs="Arial"/>
        </w:rPr>
        <w:t xml:space="preserve">was </w:t>
      </w:r>
      <w:r w:rsidR="00EC2F0B" w:rsidRPr="00C311AE">
        <w:rPr>
          <w:rFonts w:ascii="Book Antiqua" w:hAnsi="Book Antiqua" w:cs="Arial"/>
        </w:rPr>
        <w:t xml:space="preserve">to </w:t>
      </w:r>
      <w:r w:rsidRPr="00C311AE">
        <w:rPr>
          <w:rFonts w:ascii="Book Antiqua" w:hAnsi="Book Antiqua" w:cs="Arial"/>
        </w:rPr>
        <w:t>examine the relationship of chr</w:t>
      </w:r>
      <w:r w:rsidR="00647AEA" w:rsidRPr="00C311AE">
        <w:rPr>
          <w:rFonts w:ascii="Book Antiqua" w:hAnsi="Book Antiqua" w:cs="Arial"/>
        </w:rPr>
        <w:t xml:space="preserve">onic opioid use on symptoms, </w:t>
      </w:r>
      <w:r w:rsidRPr="00C311AE">
        <w:rPr>
          <w:rFonts w:ascii="Book Antiqua" w:hAnsi="Book Antiqua" w:cs="Arial"/>
        </w:rPr>
        <w:t xml:space="preserve">healthcare utilization </w:t>
      </w:r>
      <w:r w:rsidR="00647AEA" w:rsidRPr="00C311AE">
        <w:rPr>
          <w:rFonts w:ascii="Book Antiqua" w:hAnsi="Book Antiqua" w:cs="Arial"/>
        </w:rPr>
        <w:t xml:space="preserve">and employment </w:t>
      </w:r>
      <w:r w:rsidRPr="00C311AE">
        <w:rPr>
          <w:rFonts w:ascii="Book Antiqua" w:hAnsi="Book Antiqua" w:cs="Arial"/>
        </w:rPr>
        <w:t>in patients referred for Gp.</w:t>
      </w:r>
      <w:r w:rsidR="00190691" w:rsidRPr="00C311AE">
        <w:rPr>
          <w:rFonts w:ascii="Book Antiqua" w:eastAsiaTheme="minorEastAsia" w:hAnsi="Book Antiqua" w:cs="Arial" w:hint="eastAsia"/>
          <w:lang w:eastAsia="zh-CN"/>
        </w:rPr>
        <w:t xml:space="preserve"> </w:t>
      </w:r>
      <w:r w:rsidRPr="00C311AE">
        <w:rPr>
          <w:rFonts w:ascii="Book Antiqua" w:hAnsi="Book Antiqua" w:cs="Arial"/>
        </w:rPr>
        <w:t xml:space="preserve">We </w:t>
      </w:r>
      <w:r w:rsidR="00EC2F0B" w:rsidRPr="00C311AE">
        <w:rPr>
          <w:rFonts w:ascii="Book Antiqua" w:hAnsi="Book Antiqua" w:cs="Arial"/>
        </w:rPr>
        <w:lastRenderedPageBreak/>
        <w:t>s</w:t>
      </w:r>
      <w:r w:rsidR="00BE0C5A" w:rsidRPr="00C311AE">
        <w:rPr>
          <w:rFonts w:ascii="Book Antiqua" w:hAnsi="Book Antiqua" w:cs="Arial"/>
        </w:rPr>
        <w:t>tud</w:t>
      </w:r>
      <w:r w:rsidRPr="00C311AE">
        <w:rPr>
          <w:rFonts w:ascii="Book Antiqua" w:hAnsi="Book Antiqua" w:cs="Arial"/>
        </w:rPr>
        <w:t>ied</w:t>
      </w:r>
      <w:r w:rsidR="00BE0C5A" w:rsidRPr="00C311AE">
        <w:rPr>
          <w:rFonts w:ascii="Book Antiqua" w:hAnsi="Book Antiqua" w:cs="Arial"/>
        </w:rPr>
        <w:t xml:space="preserve"> gastroparesis </w:t>
      </w:r>
      <w:r w:rsidR="00F72229" w:rsidRPr="00C311AE">
        <w:rPr>
          <w:rFonts w:ascii="Book Antiqua" w:hAnsi="Book Antiqua" w:cs="Arial"/>
        </w:rPr>
        <w:t>patients</w:t>
      </w:r>
      <w:r w:rsidR="00774664" w:rsidRPr="00C311AE">
        <w:rPr>
          <w:rFonts w:ascii="Book Antiqua" w:hAnsi="Book Antiqua" w:cs="Arial"/>
        </w:rPr>
        <w:t>; comparing those on</w:t>
      </w:r>
      <w:r w:rsidR="00BE0C5A" w:rsidRPr="00C311AE">
        <w:rPr>
          <w:rFonts w:ascii="Book Antiqua" w:hAnsi="Book Antiqua" w:cs="Arial"/>
        </w:rPr>
        <w:t xml:space="preserve"> chronic </w:t>
      </w:r>
      <w:r w:rsidR="00EE291D" w:rsidRPr="00C311AE">
        <w:rPr>
          <w:rFonts w:ascii="Book Antiqua" w:hAnsi="Book Antiqua" w:cs="Arial"/>
        </w:rPr>
        <w:t xml:space="preserve">scheduled </w:t>
      </w:r>
      <w:r w:rsidR="00BE0C5A" w:rsidRPr="00C311AE">
        <w:rPr>
          <w:rFonts w:ascii="Book Antiqua" w:hAnsi="Book Antiqua" w:cs="Arial"/>
        </w:rPr>
        <w:t>opiates</w:t>
      </w:r>
      <w:r w:rsidR="00EC4B8D" w:rsidRPr="00C311AE">
        <w:rPr>
          <w:rFonts w:ascii="Book Antiqua" w:hAnsi="Book Antiqua" w:cs="Arial"/>
        </w:rPr>
        <w:t xml:space="preserve"> (Gp</w:t>
      </w:r>
      <w:r w:rsidR="00F72229" w:rsidRPr="00C311AE">
        <w:rPr>
          <w:rFonts w:ascii="Book Antiqua" w:hAnsi="Book Antiqua" w:cs="Arial"/>
        </w:rPr>
        <w:t>CO)</w:t>
      </w:r>
      <w:r w:rsidRPr="00C311AE">
        <w:rPr>
          <w:rFonts w:ascii="Book Antiqua" w:hAnsi="Book Antiqua" w:cs="Arial"/>
        </w:rPr>
        <w:t xml:space="preserve"> </w:t>
      </w:r>
      <w:r w:rsidR="00774664" w:rsidRPr="00C311AE">
        <w:rPr>
          <w:rFonts w:ascii="Book Antiqua" w:hAnsi="Book Antiqua" w:cs="Arial"/>
        </w:rPr>
        <w:t xml:space="preserve">to </w:t>
      </w:r>
      <w:r w:rsidR="00BE0C5A" w:rsidRPr="00C311AE">
        <w:rPr>
          <w:rFonts w:ascii="Book Antiqua" w:hAnsi="Book Antiqua" w:cs="Arial"/>
        </w:rPr>
        <w:t>gastro</w:t>
      </w:r>
      <w:r w:rsidR="00F72229" w:rsidRPr="00C311AE">
        <w:rPr>
          <w:rFonts w:ascii="Book Antiqua" w:hAnsi="Book Antiqua" w:cs="Arial"/>
        </w:rPr>
        <w:t xml:space="preserve">paresis patients not </w:t>
      </w:r>
      <w:r w:rsidR="006B650B" w:rsidRPr="00C311AE">
        <w:rPr>
          <w:rFonts w:ascii="Book Antiqua" w:hAnsi="Book Antiqua" w:cs="Arial"/>
        </w:rPr>
        <w:t>taking</w:t>
      </w:r>
      <w:r w:rsidR="00F72229" w:rsidRPr="00C311AE">
        <w:rPr>
          <w:rFonts w:ascii="Book Antiqua" w:hAnsi="Book Antiqua" w:cs="Arial"/>
        </w:rPr>
        <w:t xml:space="preserve"> </w:t>
      </w:r>
      <w:r w:rsidR="00BE0C5A" w:rsidRPr="00C311AE">
        <w:rPr>
          <w:rFonts w:ascii="Book Antiqua" w:hAnsi="Book Antiqua" w:cs="Arial"/>
        </w:rPr>
        <w:t>opiates</w:t>
      </w:r>
      <w:r w:rsidR="00EC4B8D" w:rsidRPr="00C311AE">
        <w:rPr>
          <w:rFonts w:ascii="Book Antiqua" w:hAnsi="Book Antiqua" w:cs="Arial"/>
        </w:rPr>
        <w:t xml:space="preserve"> (Gp</w:t>
      </w:r>
      <w:r w:rsidR="00F72229" w:rsidRPr="00C311AE">
        <w:rPr>
          <w:rFonts w:ascii="Book Antiqua" w:hAnsi="Book Antiqua" w:cs="Arial"/>
        </w:rPr>
        <w:t>NO)</w:t>
      </w:r>
      <w:r w:rsidR="00BE0C5A" w:rsidRPr="00C311AE">
        <w:rPr>
          <w:rFonts w:ascii="Book Antiqua" w:hAnsi="Book Antiqua" w:cs="Arial"/>
        </w:rPr>
        <w:t xml:space="preserve">. </w:t>
      </w:r>
    </w:p>
    <w:p w14:paraId="3E10A35B" w14:textId="77777777" w:rsidR="00190691" w:rsidRPr="00C311AE" w:rsidRDefault="00190691" w:rsidP="00020CC7">
      <w:pPr>
        <w:snapToGrid w:val="0"/>
        <w:spacing w:line="360" w:lineRule="auto"/>
        <w:jc w:val="both"/>
        <w:rPr>
          <w:rFonts w:ascii="Book Antiqua" w:eastAsiaTheme="minorEastAsia" w:hAnsi="Book Antiqua" w:cs="Arial"/>
          <w:lang w:eastAsia="zh-CN"/>
        </w:rPr>
      </w:pPr>
    </w:p>
    <w:p w14:paraId="1C648883" w14:textId="77777777" w:rsidR="00190691" w:rsidRPr="00C311AE" w:rsidRDefault="00190691" w:rsidP="00020CC7">
      <w:pPr>
        <w:snapToGrid w:val="0"/>
        <w:spacing w:line="360" w:lineRule="auto"/>
        <w:jc w:val="both"/>
        <w:rPr>
          <w:rFonts w:ascii="Book Antiqua" w:eastAsiaTheme="minorEastAsia" w:hAnsi="Book Antiqua" w:cs="Arial"/>
          <w:b/>
          <w:lang w:eastAsia="zh-CN"/>
        </w:rPr>
      </w:pPr>
      <w:r w:rsidRPr="00C311AE">
        <w:rPr>
          <w:rFonts w:ascii="Book Antiqua" w:hAnsi="Book Antiqua" w:cs="Arial"/>
          <w:b/>
        </w:rPr>
        <w:t>MATERIALS AND METHODS</w:t>
      </w:r>
    </w:p>
    <w:p w14:paraId="5069ACB9" w14:textId="57D5BF16" w:rsidR="00D33169" w:rsidRPr="00C311AE" w:rsidRDefault="00C32997" w:rsidP="00020CC7">
      <w:pPr>
        <w:snapToGrid w:val="0"/>
        <w:spacing w:line="360" w:lineRule="auto"/>
        <w:jc w:val="both"/>
        <w:rPr>
          <w:rFonts w:ascii="Book Antiqua" w:hAnsi="Book Antiqua" w:cs="Arial"/>
        </w:rPr>
      </w:pPr>
      <w:r w:rsidRPr="00C311AE">
        <w:rPr>
          <w:rFonts w:ascii="Book Antiqua" w:hAnsi="Book Antiqua" w:cs="Arial"/>
        </w:rPr>
        <w:t>Patients referred to our tertiary care academic cente</w:t>
      </w:r>
      <w:r w:rsidR="00F72229" w:rsidRPr="00C311AE">
        <w:rPr>
          <w:rFonts w:ascii="Book Antiqua" w:hAnsi="Book Antiqua" w:cs="Arial"/>
        </w:rPr>
        <w:t xml:space="preserve">r </w:t>
      </w:r>
      <w:r w:rsidR="0004469F" w:rsidRPr="00C311AE">
        <w:rPr>
          <w:rFonts w:ascii="Book Antiqua" w:hAnsi="Book Antiqua" w:cs="Arial"/>
        </w:rPr>
        <w:t>gastroenterology motility clinic at Temple University Hospital</w:t>
      </w:r>
      <w:r w:rsidR="007E6FE7" w:rsidRPr="00C311AE">
        <w:rPr>
          <w:rFonts w:ascii="Book Antiqua" w:hAnsi="Book Antiqua" w:cs="Arial"/>
        </w:rPr>
        <w:t xml:space="preserve"> (TUH)</w:t>
      </w:r>
      <w:r w:rsidR="0004469F" w:rsidRPr="00C311AE">
        <w:rPr>
          <w:rFonts w:ascii="Book Antiqua" w:hAnsi="Book Antiqua" w:cs="Arial"/>
        </w:rPr>
        <w:t xml:space="preserve"> </w:t>
      </w:r>
      <w:r w:rsidR="00F72229" w:rsidRPr="00C311AE">
        <w:rPr>
          <w:rFonts w:ascii="Book Antiqua" w:hAnsi="Book Antiqua" w:cs="Arial"/>
        </w:rPr>
        <w:t xml:space="preserve">with </w:t>
      </w:r>
      <w:r w:rsidR="00F0539B" w:rsidRPr="00C311AE">
        <w:rPr>
          <w:rFonts w:ascii="Book Antiqua" w:hAnsi="Book Antiqua" w:cs="Arial"/>
        </w:rPr>
        <w:t xml:space="preserve">established diagnosis </w:t>
      </w:r>
      <w:r w:rsidR="000B6131" w:rsidRPr="00C311AE">
        <w:rPr>
          <w:rFonts w:ascii="Book Antiqua" w:hAnsi="Book Antiqua" w:cs="Arial"/>
        </w:rPr>
        <w:t xml:space="preserve">of gastroparesis, </w:t>
      </w:r>
      <w:r w:rsidR="00F0539B" w:rsidRPr="00C311AE">
        <w:rPr>
          <w:rFonts w:ascii="Book Antiqua" w:hAnsi="Book Antiqua" w:cs="Arial"/>
        </w:rPr>
        <w:t xml:space="preserve">or </w:t>
      </w:r>
      <w:r w:rsidR="000B6131" w:rsidRPr="00C311AE">
        <w:rPr>
          <w:rFonts w:ascii="Book Antiqua" w:hAnsi="Book Antiqua" w:cs="Arial"/>
        </w:rPr>
        <w:t xml:space="preserve">patients who presented with </w:t>
      </w:r>
      <w:r w:rsidR="00F72229" w:rsidRPr="00C311AE">
        <w:rPr>
          <w:rFonts w:ascii="Book Antiqua" w:hAnsi="Book Antiqua" w:cs="Arial"/>
        </w:rPr>
        <w:t>symptoms suggestive of gastroparesis</w:t>
      </w:r>
      <w:r w:rsidRPr="00C311AE">
        <w:rPr>
          <w:rFonts w:ascii="Book Antiqua" w:hAnsi="Book Antiqua" w:cs="Arial"/>
        </w:rPr>
        <w:t xml:space="preserve"> from May 2016 to </w:t>
      </w:r>
      <w:r w:rsidR="008C3AC5" w:rsidRPr="00C311AE">
        <w:rPr>
          <w:rFonts w:ascii="Book Antiqua" w:hAnsi="Book Antiqua" w:cs="Arial"/>
        </w:rPr>
        <w:t>July</w:t>
      </w:r>
      <w:r w:rsidR="00647AEA" w:rsidRPr="00C311AE">
        <w:rPr>
          <w:rFonts w:ascii="Book Antiqua" w:hAnsi="Book Antiqua" w:cs="Arial"/>
        </w:rPr>
        <w:t xml:space="preserve"> 2017</w:t>
      </w:r>
      <w:r w:rsidRPr="00C311AE">
        <w:rPr>
          <w:rFonts w:ascii="Book Antiqua" w:hAnsi="Book Antiqua" w:cs="Arial"/>
        </w:rPr>
        <w:t xml:space="preserve"> </w:t>
      </w:r>
      <w:r w:rsidR="000D3AB6" w:rsidRPr="00C311AE">
        <w:rPr>
          <w:rFonts w:ascii="Book Antiqua" w:hAnsi="Book Antiqua" w:cs="Arial"/>
        </w:rPr>
        <w:t>(</w:t>
      </w:r>
      <w:r w:rsidR="000D3AB6" w:rsidRPr="00C311AE">
        <w:rPr>
          <w:rFonts w:ascii="Book Antiqua" w:hAnsi="Book Antiqua" w:cs="Arial"/>
          <w:i/>
        </w:rPr>
        <w:t>n</w:t>
      </w:r>
      <w:r w:rsidR="00190691" w:rsidRPr="00C311AE">
        <w:rPr>
          <w:rFonts w:ascii="Book Antiqua" w:eastAsiaTheme="minorEastAsia" w:hAnsi="Book Antiqua" w:cs="Arial" w:hint="eastAsia"/>
          <w:lang w:eastAsia="zh-CN"/>
        </w:rPr>
        <w:t xml:space="preserve"> </w:t>
      </w:r>
      <w:r w:rsidR="000D3AB6"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084BD9" w:rsidRPr="00C311AE">
        <w:rPr>
          <w:rFonts w:ascii="Book Antiqua" w:hAnsi="Book Antiqua" w:cs="Arial"/>
        </w:rPr>
        <w:t>303</w:t>
      </w:r>
      <w:r w:rsidR="001350CF" w:rsidRPr="00C311AE">
        <w:rPr>
          <w:rFonts w:ascii="Book Antiqua" w:hAnsi="Book Antiqua" w:cs="Arial"/>
        </w:rPr>
        <w:t>) were studied.</w:t>
      </w:r>
      <w:r w:rsidR="00760F56" w:rsidRPr="00C311AE">
        <w:rPr>
          <w:rFonts w:ascii="Book Antiqua" w:hAnsi="Book Antiqua" w:cs="Arial"/>
        </w:rPr>
        <w:t xml:space="preserve"> </w:t>
      </w:r>
      <w:r w:rsidR="004A5000" w:rsidRPr="00C311AE">
        <w:rPr>
          <w:rFonts w:ascii="Book Antiqua" w:hAnsi="Book Antiqua" w:cs="Arial"/>
        </w:rPr>
        <w:t xml:space="preserve"> </w:t>
      </w:r>
      <w:r w:rsidR="003521D1" w:rsidRPr="00C311AE">
        <w:rPr>
          <w:rFonts w:ascii="Book Antiqua" w:hAnsi="Book Antiqua" w:cs="Arial"/>
        </w:rPr>
        <w:t xml:space="preserve">This </w:t>
      </w:r>
      <w:r w:rsidR="00AD15B5" w:rsidRPr="00C311AE">
        <w:rPr>
          <w:rFonts w:ascii="Book Antiqua" w:hAnsi="Book Antiqua" w:cs="Arial"/>
        </w:rPr>
        <w:t xml:space="preserve">observational </w:t>
      </w:r>
      <w:r w:rsidR="003521D1" w:rsidRPr="00C311AE">
        <w:rPr>
          <w:rFonts w:ascii="Book Antiqua" w:hAnsi="Book Antiqua" w:cs="Arial"/>
        </w:rPr>
        <w:t xml:space="preserve">study was reviewed and approved by the </w:t>
      </w:r>
      <w:r w:rsidR="00A650FA" w:rsidRPr="00C311AE">
        <w:rPr>
          <w:rFonts w:ascii="Book Antiqua" w:hAnsi="Book Antiqua" w:cs="Arial"/>
        </w:rPr>
        <w:t>TUH</w:t>
      </w:r>
      <w:r w:rsidR="003521D1" w:rsidRPr="00C311AE">
        <w:rPr>
          <w:rFonts w:ascii="Book Antiqua" w:hAnsi="Book Antiqua" w:cs="Arial"/>
        </w:rPr>
        <w:t xml:space="preserve"> Intuitional Review Board. </w:t>
      </w:r>
      <w:r w:rsidR="004A5000" w:rsidRPr="00C311AE">
        <w:rPr>
          <w:rFonts w:ascii="Book Antiqua" w:hAnsi="Book Antiqua" w:cs="Arial"/>
        </w:rPr>
        <w:t xml:space="preserve">Patients are often referred </w:t>
      </w:r>
      <w:r w:rsidR="003521D1" w:rsidRPr="00C311AE">
        <w:rPr>
          <w:rFonts w:ascii="Book Antiqua" w:hAnsi="Book Antiqua" w:cs="Arial"/>
        </w:rPr>
        <w:t xml:space="preserve">to our motility clinic </w:t>
      </w:r>
      <w:r w:rsidR="004A5000" w:rsidRPr="00C311AE">
        <w:rPr>
          <w:rFonts w:ascii="Book Antiqua" w:hAnsi="Book Antiqua" w:cs="Arial"/>
        </w:rPr>
        <w:t>for persistent or refractory symptoms</w:t>
      </w:r>
      <w:r w:rsidR="003521D1" w:rsidRPr="00C311AE">
        <w:rPr>
          <w:rFonts w:ascii="Book Antiqua" w:hAnsi="Book Antiqua" w:cs="Arial"/>
        </w:rPr>
        <w:t xml:space="preserve"> of gastroparesis. </w:t>
      </w:r>
      <w:r w:rsidR="00D33169" w:rsidRPr="00C311AE">
        <w:rPr>
          <w:rFonts w:ascii="Book Antiqua" w:hAnsi="Book Antiqua" w:cs="Arial"/>
        </w:rPr>
        <w:t>Subjects were recruited at the end of their regularly scheduled appointments</w:t>
      </w:r>
      <w:r w:rsidR="00694DC4" w:rsidRPr="00C311AE">
        <w:rPr>
          <w:rFonts w:ascii="Book Antiqua" w:hAnsi="Book Antiqua" w:cs="Arial"/>
        </w:rPr>
        <w:t xml:space="preserve"> after obtaining informed consent</w:t>
      </w:r>
      <w:r w:rsidR="00D33169" w:rsidRPr="00C311AE">
        <w:rPr>
          <w:rFonts w:ascii="Book Antiqua" w:hAnsi="Book Antiqua" w:cs="Arial"/>
        </w:rPr>
        <w:t>. Inclusion criteria were the following:</w:t>
      </w:r>
      <w:r w:rsidR="00A64A33" w:rsidRPr="00C311AE">
        <w:rPr>
          <w:rFonts w:ascii="Book Antiqua" w:hAnsi="Book Antiqua" w:cs="Arial"/>
        </w:rPr>
        <w:t xml:space="preserve"> </w:t>
      </w:r>
      <w:r w:rsidR="00190691" w:rsidRPr="00C311AE">
        <w:rPr>
          <w:rFonts w:ascii="Book Antiqua" w:eastAsiaTheme="minorEastAsia" w:hAnsi="Book Antiqua" w:cs="Arial" w:hint="eastAsia"/>
          <w:lang w:eastAsia="zh-CN"/>
        </w:rPr>
        <w:t>(</w:t>
      </w:r>
      <w:r w:rsidR="00907749" w:rsidRPr="00C311AE">
        <w:rPr>
          <w:rFonts w:ascii="Book Antiqua" w:hAnsi="Book Antiqua" w:cs="Arial"/>
        </w:rPr>
        <w:t xml:space="preserve">1) </w:t>
      </w:r>
      <w:r w:rsidR="00FC4302" w:rsidRPr="00C311AE">
        <w:rPr>
          <w:rFonts w:ascii="Book Antiqua" w:hAnsi="Book Antiqua" w:cs="Arial"/>
        </w:rPr>
        <w:t>adul</w:t>
      </w:r>
      <w:r w:rsidR="002D5019" w:rsidRPr="00C311AE">
        <w:rPr>
          <w:rFonts w:ascii="Book Antiqua" w:hAnsi="Book Antiqua" w:cs="Arial"/>
        </w:rPr>
        <w:t xml:space="preserve">ts aged 18 to 80 years old; </w:t>
      </w:r>
      <w:r w:rsidR="00190691" w:rsidRPr="00C311AE">
        <w:rPr>
          <w:rFonts w:ascii="Book Antiqua" w:eastAsiaTheme="minorEastAsia" w:hAnsi="Book Antiqua" w:cs="Arial" w:hint="eastAsia"/>
          <w:lang w:eastAsia="zh-CN"/>
        </w:rPr>
        <w:t>(</w:t>
      </w:r>
      <w:r w:rsidR="002D5019" w:rsidRPr="00C311AE">
        <w:rPr>
          <w:rFonts w:ascii="Book Antiqua" w:hAnsi="Book Antiqua" w:cs="Arial"/>
        </w:rPr>
        <w:t xml:space="preserve">2) </w:t>
      </w:r>
      <w:r w:rsidR="00FC4302" w:rsidRPr="00C311AE">
        <w:rPr>
          <w:rFonts w:ascii="Book Antiqua" w:hAnsi="Book Antiqua" w:cs="Arial"/>
        </w:rPr>
        <w:t>symptoms suggestive of gastroparesis</w:t>
      </w:r>
      <w:r w:rsidR="002D5019" w:rsidRPr="00C311AE">
        <w:rPr>
          <w:rFonts w:ascii="Book Antiqua" w:hAnsi="Book Antiqua" w:cs="Arial"/>
        </w:rPr>
        <w:t xml:space="preserve">; </w:t>
      </w:r>
      <w:r w:rsidR="00190691" w:rsidRPr="00C311AE">
        <w:rPr>
          <w:rFonts w:ascii="Book Antiqua" w:eastAsiaTheme="minorEastAsia" w:hAnsi="Book Antiqua" w:cs="Arial" w:hint="eastAsia"/>
          <w:lang w:eastAsia="zh-CN"/>
        </w:rPr>
        <w:t>and (</w:t>
      </w:r>
      <w:r w:rsidR="002D5019" w:rsidRPr="00C311AE">
        <w:rPr>
          <w:rFonts w:ascii="Book Antiqua" w:hAnsi="Book Antiqua" w:cs="Arial"/>
        </w:rPr>
        <w:t>3) delayed gastric emptying on scintigraphy</w:t>
      </w:r>
      <w:r w:rsidR="00A64A33" w:rsidRPr="00C311AE">
        <w:rPr>
          <w:rFonts w:ascii="Book Antiqua" w:hAnsi="Book Antiqua" w:cs="Arial"/>
        </w:rPr>
        <w:t>.</w:t>
      </w:r>
      <w:r w:rsidR="00D33169" w:rsidRPr="00C311AE">
        <w:rPr>
          <w:rFonts w:ascii="Book Antiqua" w:hAnsi="Book Antiqua" w:cs="Arial"/>
        </w:rPr>
        <w:t xml:space="preserve"> </w:t>
      </w:r>
    </w:p>
    <w:p w14:paraId="01141AD0" w14:textId="0E47CA9E" w:rsidR="004A5000" w:rsidRPr="00C311AE" w:rsidRDefault="004A5000" w:rsidP="00020CC7">
      <w:pPr>
        <w:snapToGrid w:val="0"/>
        <w:spacing w:line="360" w:lineRule="auto"/>
        <w:ind w:firstLineChars="100" w:firstLine="240"/>
        <w:jc w:val="both"/>
        <w:rPr>
          <w:rFonts w:ascii="Book Antiqua" w:hAnsi="Book Antiqua" w:cs="Arial"/>
        </w:rPr>
      </w:pPr>
      <w:r w:rsidRPr="00C311AE">
        <w:rPr>
          <w:rFonts w:ascii="Book Antiqua" w:hAnsi="Book Antiqua" w:cs="Arial"/>
        </w:rPr>
        <w:t>On their initial evaluation, patients were asked to fill out a questionnaire a</w:t>
      </w:r>
      <w:r w:rsidR="00D20923" w:rsidRPr="00C311AE">
        <w:rPr>
          <w:rFonts w:ascii="Book Antiqua" w:hAnsi="Book Antiqua" w:cs="Arial"/>
        </w:rPr>
        <w:t xml:space="preserve">bout their clinical condition. </w:t>
      </w:r>
      <w:r w:rsidRPr="00C311AE">
        <w:rPr>
          <w:rFonts w:ascii="Book Antiqua" w:hAnsi="Book Antiqua" w:cs="Arial"/>
        </w:rPr>
        <w:t xml:space="preserve">This questionnaire contained the following: </w:t>
      </w:r>
      <w:r w:rsidR="00EC4B8D" w:rsidRPr="00C311AE">
        <w:rPr>
          <w:rFonts w:ascii="Book Antiqua" w:hAnsi="Book Antiqua" w:cs="Arial"/>
        </w:rPr>
        <w:t>Patient Assessment of Upper Gastrointestinal Symptom</w:t>
      </w:r>
      <w:r w:rsidR="00EC4B8D" w:rsidRPr="00C311AE">
        <w:rPr>
          <w:rFonts w:ascii="Book Antiqua" w:hAnsi="Book Antiqua" w:cs="Arial"/>
          <w:i/>
        </w:rPr>
        <w:t xml:space="preserve"> </w:t>
      </w:r>
      <w:r w:rsidR="00EC4B8D" w:rsidRPr="00C311AE">
        <w:rPr>
          <w:rFonts w:ascii="Book Antiqua" w:hAnsi="Book Antiqua" w:cs="Arial"/>
        </w:rPr>
        <w:t>(</w:t>
      </w:r>
      <w:r w:rsidRPr="00C311AE">
        <w:rPr>
          <w:rFonts w:ascii="Book Antiqua" w:hAnsi="Book Antiqua" w:cs="Arial"/>
        </w:rPr>
        <w:t>PAGI-SYM</w:t>
      </w:r>
      <w:r w:rsidR="00EC4B8D" w:rsidRPr="00C311AE">
        <w:rPr>
          <w:rFonts w:ascii="Book Antiqua" w:hAnsi="Book Antiqua" w:cs="Arial"/>
        </w:rPr>
        <w:t>)</w:t>
      </w:r>
      <w:r w:rsidRPr="00C311AE">
        <w:rPr>
          <w:rFonts w:ascii="Book Antiqua" w:hAnsi="Book Antiqua" w:cs="Arial"/>
        </w:rPr>
        <w:t xml:space="preserve">, </w:t>
      </w:r>
      <w:r w:rsidR="00891A91" w:rsidRPr="00C311AE">
        <w:rPr>
          <w:rFonts w:ascii="Book Antiqua" w:hAnsi="Book Antiqua" w:cs="Arial"/>
        </w:rPr>
        <w:t>Abdominal Pain Questionnaire</w:t>
      </w:r>
      <w:r w:rsidRPr="00C311AE">
        <w:rPr>
          <w:rFonts w:ascii="Book Antiqua" w:hAnsi="Book Antiqua" w:cs="Arial"/>
        </w:rPr>
        <w:t xml:space="preserve">, </w:t>
      </w:r>
      <w:r w:rsidR="00891A91" w:rsidRPr="00C311AE">
        <w:rPr>
          <w:rFonts w:ascii="Book Antiqua" w:hAnsi="Book Antiqua" w:cs="Arial"/>
        </w:rPr>
        <w:t xml:space="preserve">and demographic questionnaire. </w:t>
      </w:r>
      <w:r w:rsidR="0004469F" w:rsidRPr="00C311AE">
        <w:rPr>
          <w:rFonts w:ascii="Book Antiqua" w:hAnsi="Book Antiqua" w:cs="Arial"/>
        </w:rPr>
        <w:t xml:space="preserve">Patients underwent </w:t>
      </w:r>
      <w:r w:rsidR="00A44B88" w:rsidRPr="00C311AE">
        <w:rPr>
          <w:rFonts w:ascii="Book Antiqua" w:hAnsi="Book Antiqua" w:cs="Arial"/>
        </w:rPr>
        <w:t>4-h</w:t>
      </w:r>
      <w:r w:rsidR="00190691" w:rsidRPr="00C311AE">
        <w:rPr>
          <w:rFonts w:ascii="Book Antiqua" w:eastAsiaTheme="minorEastAsia" w:hAnsi="Book Antiqua" w:cs="Arial" w:hint="eastAsia"/>
          <w:lang w:eastAsia="zh-CN"/>
        </w:rPr>
        <w:t xml:space="preserve"> </w:t>
      </w:r>
      <w:r w:rsidR="00B82C49" w:rsidRPr="00C311AE">
        <w:rPr>
          <w:rFonts w:ascii="Book Antiqua" w:hAnsi="Book Antiqua" w:cs="Arial"/>
        </w:rPr>
        <w:t>gastric emptying scintigraphy</w:t>
      </w:r>
      <w:r w:rsidR="00AD2D1F" w:rsidRPr="00C311AE">
        <w:rPr>
          <w:rFonts w:ascii="Book Antiqua" w:hAnsi="Book Antiqua" w:cs="Arial"/>
        </w:rPr>
        <w:t xml:space="preserve"> (GES)</w:t>
      </w:r>
      <w:r w:rsidR="00A44B88"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a2o03fvv0sp","properties":{"formattedCitation":"(16)","plainCitation":"(16)"},"citationItems":[{"id":130,"uris":["http://zotero.org/users/local/Y25qLmSx/items/7W758M8G"],"uri":["http://zotero.org/users/local/Y25qLmSx/items/7W758M8G"],"itemData":{"id":130,"type":"article-journal","title":"Assessment of gastric emptying using a low fat meal: establishment of international control values","container-title":"The American Journal of Gastroenterology","page":"1456-1462","volume":"95","issue":"6","source":"PubMed","abstract":"OBJECTIVE: The diagnosis of gastroparesis implies delayed gastric emptying. The diagnostic gold standard is scintigraphy, but techniques and measured endpoints vary widely among institutions. In this study, a simplified scintigraphic measurement of gastric emptying was compared to conventional gastric scintigraphic techniques and normal gastric emptying values defined in healthy subjects.\nMETHODS: In 123 volunteers (aged 19-73 yr, 60 women and 63 men) from 11 centers, scintigraphy was used to assess gastric emptying of a 99Tc-labeled low fat meal (egg substitute) and percent intragastric residual contents 60, 120, and 240 min after completion of the meal. In 42 subjects, additional measurements were taken every 10 min for 1 h. In 20 subjects, gastric emptying of a 99Tc-labeled liver meal was compared with that of the 99Tc-labeled low fat meal.\nRESULTS: Median values (95th percentile) for percent gastric retention at 60, 120, and 240 min were 69% (90%), 24% (60%) and 1.2% (10%) respectively. A power exponential model yielded similar emptying curves and estimated T50 when using images only taken at 1, 2 and 4 h, or with imaging taken every 10 min. Gastric emptying was initially more rapid in men but was comparable in men and women at 4 h; it was faster in older subjects (p &lt; 0.05) but was independent of body mass index.\nCONCLUSIONS: This multicenter study provides gastric emptying values in healthy subjects based on data obtained using a large sample size and consistent meal and methodology. Gastric retention of &gt;10% at 4 h is indicative of delayed emptying, a value comparable to those provided by more intensive scanning approaches. Gastric emptying of a low fat meal is initially faster in men but is comparable in women at 4 h; it is also faster in older individuals but is independent of body mass.","DOI":"10.1111/j.1572-0241.2000.02076.x","ISSN":"0002-9270","note":"PMID: 10894578","shortTitle":"Assessment of gastric emptying using a low fat meal","journalAbbreviation":"Am. J. Gastroenterol.","language":"eng","author":[{"family":"Tougas","given":"G."},{"family":"Eaker","given":"E. Y."},{"family":"Abell","given":"T. L."},{"family":"Abrahamsson","given":"H."},{"family":"Boivin","given":"M."},{"family":"Chen","given":"J."},{"family":"Hocking","given":"M. P."},{"family":"Quigley","given":"E. M."},{"family":"Koch","given":"K. L."},{"family":"Tokayer","given":"A. Z."},{"family":"Stanghellini","given":"V."},{"family":"Chen","given":"Y."},{"family":"Huizinga","given":"J. D."},{"family":"Rydén","given":"J."},{"family":"Bourgeois","given":"I."},{"family":"McCallum","given":"R. W."}],"issued":{"date-parts":[["2000",6]]}}}],"schema":"https://github.com/citation-style-language/schema/raw/master/csl-citation.json"} </w:instrText>
      </w:r>
      <w:r w:rsidR="00A44B88" w:rsidRPr="00C311AE">
        <w:rPr>
          <w:rFonts w:ascii="Book Antiqua" w:hAnsi="Book Antiqua" w:cs="Arial"/>
          <w:vertAlign w:val="superscript"/>
        </w:rPr>
        <w:fldChar w:fldCharType="separate"/>
      </w:r>
      <w:r w:rsidR="00B82C49" w:rsidRPr="00C311AE">
        <w:rPr>
          <w:rFonts w:ascii="Book Antiqua" w:hAnsi="Book Antiqua"/>
          <w:vertAlign w:val="superscript"/>
        </w:rPr>
        <w:t>[</w:t>
      </w:r>
      <w:r w:rsidR="001E140A" w:rsidRPr="00C311AE">
        <w:rPr>
          <w:rFonts w:ascii="Book Antiqua" w:hAnsi="Book Antiqua"/>
          <w:vertAlign w:val="superscript"/>
        </w:rPr>
        <w:t>17</w:t>
      </w:r>
      <w:r w:rsidR="00B82C49" w:rsidRPr="00C311AE">
        <w:rPr>
          <w:rFonts w:ascii="Book Antiqua" w:hAnsi="Book Antiqua"/>
          <w:vertAlign w:val="superscript"/>
        </w:rPr>
        <w:t>]</w:t>
      </w:r>
      <w:r w:rsidR="00A44B88" w:rsidRPr="00C311AE">
        <w:rPr>
          <w:rFonts w:ascii="Book Antiqua" w:hAnsi="Book Antiqua" w:cs="Arial"/>
          <w:vertAlign w:val="superscript"/>
        </w:rPr>
        <w:fldChar w:fldCharType="end"/>
      </w:r>
      <w:r w:rsidR="00A44B88" w:rsidRPr="00C311AE">
        <w:rPr>
          <w:rFonts w:ascii="Book Antiqua" w:hAnsi="Book Antiqua" w:cs="Arial"/>
        </w:rPr>
        <w:t xml:space="preserve"> </w:t>
      </w:r>
      <w:r w:rsidR="0004469F" w:rsidRPr="00C311AE">
        <w:rPr>
          <w:rFonts w:ascii="Book Antiqua" w:hAnsi="Book Antiqua" w:cs="Arial"/>
        </w:rPr>
        <w:t>if had not already recently been performed.</w:t>
      </w:r>
      <w:r w:rsidR="00A3662A" w:rsidRPr="00C311AE">
        <w:rPr>
          <w:rFonts w:ascii="Book Antiqua" w:hAnsi="Book Antiqua" w:cs="Arial"/>
        </w:rPr>
        <w:t xml:space="preserve"> Blood tests were obtained (see below). </w:t>
      </w:r>
      <w:r w:rsidR="00694DC4" w:rsidRPr="00C311AE">
        <w:rPr>
          <w:rFonts w:ascii="Book Antiqua" w:hAnsi="Book Antiqua" w:cs="Arial"/>
        </w:rPr>
        <w:t xml:space="preserve">A retrospective review </w:t>
      </w:r>
      <w:r w:rsidR="007019A6" w:rsidRPr="00C311AE">
        <w:rPr>
          <w:rFonts w:ascii="Book Antiqua" w:hAnsi="Book Antiqua" w:cs="Arial"/>
        </w:rPr>
        <w:t>of the questionnaires, gastric emptying scintigraphy and blood tests was subsequently performed.</w:t>
      </w:r>
    </w:p>
    <w:p w14:paraId="7B555CB9" w14:textId="77777777" w:rsidR="00A03616" w:rsidRPr="00C311AE" w:rsidRDefault="00A03616" w:rsidP="00020CC7">
      <w:pPr>
        <w:snapToGrid w:val="0"/>
        <w:spacing w:line="360" w:lineRule="auto"/>
        <w:jc w:val="both"/>
        <w:rPr>
          <w:rFonts w:ascii="Book Antiqua" w:eastAsiaTheme="minorEastAsia" w:hAnsi="Book Antiqua" w:cs="Arial"/>
          <w:lang w:eastAsia="zh-CN"/>
        </w:rPr>
      </w:pPr>
    </w:p>
    <w:p w14:paraId="14D32A22" w14:textId="77777777" w:rsidR="00E71B95" w:rsidRPr="00C311AE" w:rsidRDefault="00E71B95" w:rsidP="00020CC7">
      <w:pPr>
        <w:pStyle w:val="NoSpacing"/>
        <w:snapToGrid w:val="0"/>
        <w:spacing w:line="360" w:lineRule="auto"/>
        <w:jc w:val="both"/>
        <w:rPr>
          <w:rFonts w:ascii="Book Antiqua" w:hAnsi="Book Antiqua" w:cs="Arial"/>
          <w:b/>
          <w:i/>
        </w:rPr>
      </w:pPr>
      <w:r w:rsidRPr="00C311AE">
        <w:rPr>
          <w:rFonts w:ascii="Book Antiqua" w:hAnsi="Book Antiqua" w:cs="Arial"/>
          <w:b/>
          <w:i/>
        </w:rPr>
        <w:t>Questionnaires</w:t>
      </w:r>
    </w:p>
    <w:p w14:paraId="04042236" w14:textId="4BECE111" w:rsidR="004A5000" w:rsidRPr="00C311AE" w:rsidRDefault="00EC4B8D" w:rsidP="00020CC7">
      <w:pPr>
        <w:pStyle w:val="NoSpacing"/>
        <w:snapToGrid w:val="0"/>
        <w:spacing w:line="360" w:lineRule="auto"/>
        <w:jc w:val="both"/>
        <w:rPr>
          <w:rFonts w:ascii="Book Antiqua" w:hAnsi="Book Antiqua" w:cs="Arial"/>
        </w:rPr>
      </w:pPr>
      <w:r w:rsidRPr="00C311AE">
        <w:rPr>
          <w:rFonts w:ascii="Book Antiqua" w:hAnsi="Book Antiqua" w:cs="Arial"/>
          <w:b/>
        </w:rPr>
        <w:t>PAGI-SYM</w:t>
      </w:r>
      <w:r w:rsidR="000464C7" w:rsidRPr="00C311AE">
        <w:rPr>
          <w:rFonts w:ascii="Book Antiqua" w:hAnsi="Book Antiqua" w:cs="Arial"/>
          <w:b/>
        </w:rPr>
        <w:t>:</w:t>
      </w:r>
      <w:r w:rsidR="000464C7" w:rsidRPr="00C311AE">
        <w:rPr>
          <w:rFonts w:ascii="Book Antiqua" w:hAnsi="Book Antiqua" w:cs="Arial"/>
          <w:i/>
        </w:rPr>
        <w:t xml:space="preserve"> </w:t>
      </w:r>
      <w:r w:rsidR="000464C7" w:rsidRPr="00C311AE">
        <w:rPr>
          <w:rFonts w:ascii="Book Antiqua" w:hAnsi="Book Antiqua" w:cs="Arial"/>
        </w:rPr>
        <w:t>T</w:t>
      </w:r>
      <w:r w:rsidR="00074BC5" w:rsidRPr="00C311AE">
        <w:rPr>
          <w:rFonts w:ascii="Book Antiqua" w:hAnsi="Book Antiqua" w:cs="Arial"/>
        </w:rPr>
        <w:t xml:space="preserve">his validated questionnaire </w:t>
      </w:r>
      <w:r w:rsidR="00636041" w:rsidRPr="00C311AE">
        <w:rPr>
          <w:rFonts w:ascii="Book Antiqua" w:hAnsi="Book Antiqua" w:cs="Arial"/>
        </w:rPr>
        <w:t>for upper gastrointestinal symptoms</w:t>
      </w:r>
      <w:r w:rsidR="0072356D" w:rsidRPr="00C311AE">
        <w:rPr>
          <w:rFonts w:ascii="Book Antiqua" w:hAnsi="Book Antiqua" w:cs="Arial"/>
        </w:rPr>
        <w:t xml:space="preserve"> of gastroparesis, dyspepsia, and gastroesophageal reflux disease</w:t>
      </w:r>
      <w:r w:rsidR="00636041" w:rsidRPr="00C311AE">
        <w:rPr>
          <w:rFonts w:ascii="Book Antiqua" w:hAnsi="Book Antiqua" w:cs="Arial"/>
        </w:rPr>
        <w:t xml:space="preserve"> </w:t>
      </w:r>
      <w:r w:rsidR="00074BC5" w:rsidRPr="00C311AE">
        <w:rPr>
          <w:rFonts w:ascii="Book Antiqua" w:hAnsi="Book Antiqua" w:cs="Arial"/>
        </w:rPr>
        <w:t>asked</w:t>
      </w:r>
      <w:r w:rsidR="000464C7" w:rsidRPr="00C311AE">
        <w:rPr>
          <w:rFonts w:ascii="Book Antiqua" w:hAnsi="Book Antiqua" w:cs="Arial"/>
        </w:rPr>
        <w:t xml:space="preserve"> pat</w:t>
      </w:r>
      <w:r w:rsidR="00C35E7A" w:rsidRPr="00C311AE">
        <w:rPr>
          <w:rFonts w:ascii="Book Antiqua" w:hAnsi="Book Antiqua" w:cs="Arial"/>
        </w:rPr>
        <w:t>ients to rate the severity of 20</w:t>
      </w:r>
      <w:r w:rsidR="000464C7" w:rsidRPr="00C311AE">
        <w:rPr>
          <w:rFonts w:ascii="Book Antiqua" w:hAnsi="Book Antiqua" w:cs="Arial"/>
        </w:rPr>
        <w:t xml:space="preserve"> common gastrointestinal symptoms over the past two weeks</w:t>
      </w:r>
      <w:r w:rsidR="00647AEA"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1pj7mnsvte","properties":{"formattedCitation":"(17)","plainCitation":"(17)"},"citationItems":[{"id":13,"uris":["http://zotero.org/users/local/Y25qLmSx/items/CIZ52NG2"],"uri":["http://zotero.org/users/local/Y25qLmSx/items/CIZ52NG2"],"itemData":{"id":13,"type":"article-journal","title":"Development and psychometric evaluation of the patient assessment of upper gastrointestinal symptom severity index (PAGI-SYM) in patients with upper gastrointestinal disorders","container-title":"Quality of Life Research: An International Journal of Quality of Life Aspects of Treatment, Care and Rehabilitation","page":"1737-1749","volume":"13","issue":"10","source":"PubMed","abstract":"OBJECTIVE: Describe the development and evaluation of a new self-report instrument, the patient assessment of upper gastrointestinal disorders-symptom severity index (PAGI-SYM) in subjects with gastroesophageal reflux disease (GERD), dyspepsia, or gastroparesis.\nMETHODS: Recruited subjects with GERD (n=810), dyspepsia (n = 767), or gastroparesis (n = 169) from the US, France, Germany, Italy, the Netherlands, and Poland. Subjects completed the PAGI-SYM, SF-36, a disease-specific HRQL measure (PAGI-QOL), and disability day questions. Two-week reproducibility was evaluated in 277 stable subjects. We evaluated construct validity by correlating subscale scores with SF-36, PAGI-QOL, disability days, and global symptom severity scores.\nRESULTS: The final 20-item PAGI-SYM has six subscales: heartburn/regurgitation, fullness/early satiety, nausea/vomiting, bloating, upper abdominal pain, and lower abdominal pain. Internal consistency reliability was good (alpha = 0.79-0.91); test-retest reliability was acceptable (Intraclass correlation coefficients alpha=0.60-0.82). PAGI-SYM subscale scores correlated significantly with SF-36 scores (all p &lt; 0.0001), PAGI-QOL scores (all p &lt; 0.0001), disability days (p &lt; 0.0001), and global symptom severity (p &lt; 0.0001). Mean PAGI-SYM scores varied significantly in groups defined by disability days (all p &lt; 0.0001), where greater symptom severity was associated with more disability days.\nCONCLUSIONS: Results suggest the PAGI-SYM, a brief symptom severity instrument, has good reliability and evidence supporting construct validity in subjects with GERD, dyspepsia, or gastroparesis.","DOI":"10.1007/s11136-004-9567-x","ISSN":"0962-9343","note":"PMID: 15651544","journalAbbreviation":"Qual Life Res","language":"eng","author":[{"family":"Rentz","given":"A. M."},{"family":"Kahrilas","given":"P."},{"family":"Stanghellini","given":"V."},{"family":"Tack","given":"J."},{"family":"Talley","given":"N. J."},{"family":"Loge","given":"C.","non-dropping-particle":"de la"},{"family":"Trudeau","given":"E."},{"family":"Dubois","given":"D."},{"family":"Revicki","given":"D. A."}],"issued":{"date-parts":[["2004",12]]}}}],"schema":"https://github.com/citation-style-language/schema/raw/master/csl-citation.json"} </w:instrText>
      </w:r>
      <w:r w:rsidR="00647AEA" w:rsidRPr="00C311AE">
        <w:rPr>
          <w:rFonts w:ascii="Book Antiqua" w:hAnsi="Book Antiqua" w:cs="Arial"/>
          <w:vertAlign w:val="superscript"/>
        </w:rPr>
        <w:fldChar w:fldCharType="separate"/>
      </w:r>
      <w:r w:rsidR="00B82C49" w:rsidRPr="00C311AE">
        <w:rPr>
          <w:rFonts w:ascii="Book Antiqua" w:hAnsi="Book Antiqua"/>
          <w:vertAlign w:val="superscript"/>
        </w:rPr>
        <w:t>[</w:t>
      </w:r>
      <w:r w:rsidR="00B160C4" w:rsidRPr="00C311AE">
        <w:rPr>
          <w:rFonts w:ascii="Book Antiqua" w:hAnsi="Book Antiqua"/>
          <w:vertAlign w:val="superscript"/>
        </w:rPr>
        <w:t>1</w:t>
      </w:r>
      <w:r w:rsidR="001E140A" w:rsidRPr="00C311AE">
        <w:rPr>
          <w:rFonts w:ascii="Book Antiqua" w:hAnsi="Book Antiqua"/>
          <w:vertAlign w:val="superscript"/>
        </w:rPr>
        <w:t>8</w:t>
      </w:r>
      <w:r w:rsidR="00B82C49" w:rsidRPr="00C311AE">
        <w:rPr>
          <w:rFonts w:ascii="Book Antiqua" w:hAnsi="Book Antiqua"/>
          <w:vertAlign w:val="superscript"/>
        </w:rPr>
        <w:t>]</w:t>
      </w:r>
      <w:r w:rsidR="00647AEA" w:rsidRPr="00C311AE">
        <w:rPr>
          <w:rFonts w:ascii="Book Antiqua" w:hAnsi="Book Antiqua" w:cs="Arial"/>
          <w:vertAlign w:val="superscript"/>
        </w:rPr>
        <w:fldChar w:fldCharType="end"/>
      </w:r>
      <w:r w:rsidR="00B82C49" w:rsidRPr="00C311AE">
        <w:rPr>
          <w:rFonts w:ascii="Book Antiqua" w:hAnsi="Book Antiqua" w:cs="Arial"/>
        </w:rPr>
        <w:t>.</w:t>
      </w:r>
      <w:r w:rsidR="000464C7" w:rsidRPr="00C311AE">
        <w:rPr>
          <w:rFonts w:ascii="Book Antiqua" w:hAnsi="Book Antiqua" w:cs="Arial"/>
        </w:rPr>
        <w:t xml:space="preserve"> Patients were asked to rate symptoms</w:t>
      </w:r>
      <w:r w:rsidR="0045594F" w:rsidRPr="00C311AE">
        <w:rPr>
          <w:rFonts w:ascii="Book Antiqua" w:hAnsi="Book Antiqua" w:cs="Arial"/>
        </w:rPr>
        <w:t xml:space="preserve"> over the prior two weeks</w:t>
      </w:r>
      <w:r w:rsidR="000464C7" w:rsidRPr="00C311AE">
        <w:rPr>
          <w:rFonts w:ascii="Book Antiqua" w:hAnsi="Book Antiqua" w:cs="Arial"/>
        </w:rPr>
        <w:t xml:space="preserve"> as none (0), very mild (1), mild (2), moderate (3), severe (4), and very severe (5). </w:t>
      </w:r>
      <w:r w:rsidR="00C35E7A" w:rsidRPr="00C311AE">
        <w:rPr>
          <w:rFonts w:ascii="Book Antiqua" w:hAnsi="Book Antiqua" w:cs="Arial"/>
        </w:rPr>
        <w:t xml:space="preserve">They were also asked to rate </w:t>
      </w:r>
      <w:r w:rsidR="00E42F8F" w:rsidRPr="00C311AE">
        <w:rPr>
          <w:rFonts w:ascii="Book Antiqua" w:hAnsi="Book Antiqua" w:cs="Arial"/>
        </w:rPr>
        <w:t xml:space="preserve">symptoms of </w:t>
      </w:r>
      <w:r w:rsidR="00C35E7A" w:rsidRPr="00C311AE">
        <w:rPr>
          <w:rFonts w:ascii="Book Antiqua" w:hAnsi="Book Antiqua" w:cs="Arial"/>
        </w:rPr>
        <w:t xml:space="preserve">diarrhea and constipation on the same scale. </w:t>
      </w:r>
      <w:r w:rsidR="00E42F8F" w:rsidRPr="00C311AE">
        <w:rPr>
          <w:rFonts w:ascii="Book Antiqua" w:hAnsi="Book Antiqua" w:cs="Arial"/>
        </w:rPr>
        <w:t xml:space="preserve">In addition, </w:t>
      </w:r>
      <w:r w:rsidR="005D2633" w:rsidRPr="00C311AE">
        <w:rPr>
          <w:rFonts w:ascii="Book Antiqua" w:hAnsi="Book Antiqua" w:cs="Arial"/>
        </w:rPr>
        <w:t>they</w:t>
      </w:r>
      <w:r w:rsidR="001350CF" w:rsidRPr="00C311AE">
        <w:rPr>
          <w:rFonts w:ascii="Book Antiqua" w:hAnsi="Book Antiqua" w:cs="Arial"/>
        </w:rPr>
        <w:t xml:space="preserve"> were asked about </w:t>
      </w:r>
      <w:r w:rsidR="005D2633" w:rsidRPr="00C311AE">
        <w:rPr>
          <w:rFonts w:ascii="Book Antiqua" w:hAnsi="Book Antiqua" w:cs="Arial"/>
        </w:rPr>
        <w:t xml:space="preserve">the </w:t>
      </w:r>
      <w:r w:rsidR="007B3E16" w:rsidRPr="00C311AE">
        <w:rPr>
          <w:rFonts w:ascii="Book Antiqua" w:hAnsi="Book Antiqua" w:cs="Arial"/>
        </w:rPr>
        <w:t>duration of nausea per day in the past week, number of episodes of vomiting and bo</w:t>
      </w:r>
      <w:r w:rsidR="005D2633" w:rsidRPr="00C311AE">
        <w:rPr>
          <w:rFonts w:ascii="Book Antiqua" w:hAnsi="Book Antiqua" w:cs="Arial"/>
        </w:rPr>
        <w:t xml:space="preserve">wel </w:t>
      </w:r>
      <w:r w:rsidR="005D2633" w:rsidRPr="00C311AE">
        <w:rPr>
          <w:rFonts w:ascii="Book Antiqua" w:hAnsi="Book Antiqua" w:cs="Arial"/>
        </w:rPr>
        <w:lastRenderedPageBreak/>
        <w:t xml:space="preserve">movements in the past week. </w:t>
      </w:r>
      <w:r w:rsidR="008D26CB" w:rsidRPr="00C311AE">
        <w:rPr>
          <w:rFonts w:ascii="Book Antiqua" w:hAnsi="Book Antiqua" w:cs="Arial"/>
        </w:rPr>
        <w:t>We</w:t>
      </w:r>
      <w:r w:rsidR="007B3E16" w:rsidRPr="00C311AE">
        <w:rPr>
          <w:rFonts w:ascii="Book Antiqua" w:hAnsi="Book Antiqua" w:cs="Arial"/>
        </w:rPr>
        <w:t xml:space="preserve"> also asked </w:t>
      </w:r>
      <w:r w:rsidR="008D26CB" w:rsidRPr="00C311AE">
        <w:rPr>
          <w:rFonts w:ascii="Book Antiqua" w:hAnsi="Book Antiqua" w:cs="Arial"/>
        </w:rPr>
        <w:t xml:space="preserve">the patients </w:t>
      </w:r>
      <w:r w:rsidR="007B3E16" w:rsidRPr="00C311AE">
        <w:rPr>
          <w:rFonts w:ascii="Book Antiqua" w:hAnsi="Book Antiqua" w:cs="Arial"/>
        </w:rPr>
        <w:t xml:space="preserve">about the frequency of </w:t>
      </w:r>
      <w:r w:rsidR="00074BC5" w:rsidRPr="00C311AE">
        <w:rPr>
          <w:rFonts w:ascii="Book Antiqua" w:hAnsi="Book Antiqua" w:cs="Arial"/>
        </w:rPr>
        <w:t xml:space="preserve">some of </w:t>
      </w:r>
      <w:r w:rsidR="007B3E16" w:rsidRPr="00C311AE">
        <w:rPr>
          <w:rFonts w:ascii="Book Antiqua" w:hAnsi="Book Antiqua" w:cs="Arial"/>
        </w:rPr>
        <w:t>their gastrointestinal symptoms over the preceding 3 mo</w:t>
      </w:r>
      <w:r w:rsidR="00613E2E">
        <w:rPr>
          <w:rFonts w:ascii="Book Antiqua" w:hAnsi="Book Antiqua" w:cs="Arial" w:hint="eastAsia"/>
          <w:lang w:eastAsia="zh-CN"/>
        </w:rPr>
        <w:t xml:space="preserve"> </w:t>
      </w:r>
      <w:r w:rsidR="00E97FAF" w:rsidRPr="00C311AE">
        <w:rPr>
          <w:rFonts w:ascii="Book Antiqua" w:hAnsi="Book Antiqua" w:cs="Arial"/>
        </w:rPr>
        <w:t>using the Rome IV questionnaires</w:t>
      </w:r>
      <w:r w:rsidR="00647AEA"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29npek7ust","properties":{"formattedCitation":"(18)","plainCitation":"(18)"},"citationItems":[{"id":75,"uris":["http://zotero.org/users/local/Y25qLmSx/items/K3QE2EGT"],"uri":["http://zotero.org/users/local/Y25qLmSx/items/K3QE2EGT"],"itemData":{"id":75,"type":"article-journal","title":"Rome IV Diagnostic Questionnaires and Tables for Investigators and Clinicians","container-title":"Gastroenterology","source":"PubMed","abstract":"The Rome IV Diagnostic Questionnaires were developed to screen for functional gastrointestinal disorders (FGIDs), serve as inclusion criteria in clinical trials, and support epidemiological surveys. Separate questionnaires were developed for adults, children/adolescents, and infants/toddlers. For the adult questionnaire, we first surveyed 1,162 adults without gastrointestinal disorders, and recommended the 90(th) percentile symptom frequency as the threshold for defining what is abnormal. Diagnostic questions were formulated and verified with clinical experts using a recursive process. The diagnostic sensitivity of the questionnaire was tested in 843 patients from 9 gastroenterology clinics, with a focus on clinical diagnoses of irritable bowel syndrome (IBS), functional constipation (FC), and functional dyspepsia (FD). Sensitivity was 62.7% for IBS, 54.7% for FD, and 32.2% for FC. Specificity, assessed in a population sample of 5,931 adults, was 97.1% for IBS, 93.3% for FD, and 93.6% for FC. Excess overlap among IBS, FC, and FD was a major contributor to reduced diagnostic sensitivity, and when overlap of IBS with FC was permitted, sensitivity for FC diagnosis increased to 73.2%. All questions were understandable to at least 90% of individuals, and Rome IV diagnoses were reproducible in ¾ of patients after one month. Validation of the pediatric questionnaires is ongoing.","DOI":"10.1053/j.gastro.2016.02.014","ISSN":"1528-0012","note":"PMID: 27144634","journalAbbreviation":"Gastroenterology","language":"eng","author":[{"family":"Palsson","given":"Olafur S."},{"family":"Whitehead","given":"William E."},{"family":"Tilburg","given":"Miranda A. L.","non-dropping-particle":"van"},{"family":"Chang","given":"Lin"},{"family":"Chey","given":"William"},{"family":"Crowell","given":"Michael D."},{"family":"Keefer","given":"Laurie"},{"family":"Lembo","given":"Anthony J."},{"family":"Parkman","given":"Henry P."},{"family":"Rao","given":"Satish Sc"},{"family":"Sperber","given":"Ami"},{"family":"Spiegel","given":"Brennan"},{"family":"Tack","given":"Jan"},{"family":"Vanner","given":"Stephen"},{"family":"Walker","given":"Lynn S."},{"family":"Whorwell","given":"Peter"},{"family":"Yang","given":"Yunsheng"}],"issued":{"date-parts":[["2016",2,13]]}}}],"schema":"https://github.com/citation-style-language/schema/raw/master/csl-citation.json"} </w:instrText>
      </w:r>
      <w:r w:rsidR="00647AEA" w:rsidRPr="00C311AE">
        <w:rPr>
          <w:rFonts w:ascii="Book Antiqua" w:hAnsi="Book Antiqua" w:cs="Arial"/>
          <w:vertAlign w:val="superscript"/>
        </w:rPr>
        <w:fldChar w:fldCharType="separate"/>
      </w:r>
      <w:r w:rsidR="00B82C49" w:rsidRPr="00C311AE">
        <w:rPr>
          <w:rFonts w:ascii="Book Antiqua" w:hAnsi="Book Antiqua"/>
          <w:vertAlign w:val="superscript"/>
        </w:rPr>
        <w:t>[</w:t>
      </w:r>
      <w:r w:rsidR="001E140A" w:rsidRPr="00C311AE">
        <w:rPr>
          <w:rFonts w:ascii="Book Antiqua" w:hAnsi="Book Antiqua"/>
          <w:vertAlign w:val="superscript"/>
        </w:rPr>
        <w:t>19</w:t>
      </w:r>
      <w:r w:rsidR="00B82C49" w:rsidRPr="00C311AE">
        <w:rPr>
          <w:rFonts w:ascii="Book Antiqua" w:hAnsi="Book Antiqua"/>
          <w:vertAlign w:val="superscript"/>
        </w:rPr>
        <w:t>]</w:t>
      </w:r>
      <w:r w:rsidR="00647AEA" w:rsidRPr="00C311AE">
        <w:rPr>
          <w:rFonts w:ascii="Book Antiqua" w:hAnsi="Book Antiqua" w:cs="Arial"/>
          <w:vertAlign w:val="superscript"/>
        </w:rPr>
        <w:fldChar w:fldCharType="end"/>
      </w:r>
      <w:r w:rsidR="007B3E16" w:rsidRPr="00C311AE">
        <w:rPr>
          <w:rFonts w:ascii="Book Antiqua" w:hAnsi="Book Antiqua" w:cs="Arial"/>
        </w:rPr>
        <w:t>.</w:t>
      </w:r>
    </w:p>
    <w:p w14:paraId="2DA12C83" w14:textId="77777777" w:rsidR="00A03616" w:rsidRPr="00C311AE" w:rsidRDefault="00A03616" w:rsidP="00020CC7">
      <w:pPr>
        <w:pStyle w:val="NoSpacing"/>
        <w:snapToGrid w:val="0"/>
        <w:spacing w:line="360" w:lineRule="auto"/>
        <w:jc w:val="both"/>
        <w:rPr>
          <w:rFonts w:ascii="Book Antiqua" w:hAnsi="Book Antiqua" w:cs="Arial"/>
        </w:rPr>
      </w:pPr>
    </w:p>
    <w:p w14:paraId="1B356E97" w14:textId="6BEB7D0F" w:rsidR="000464C7" w:rsidRPr="00C311AE" w:rsidRDefault="000464C7" w:rsidP="00020CC7">
      <w:pPr>
        <w:pStyle w:val="NoSpacing"/>
        <w:snapToGrid w:val="0"/>
        <w:spacing w:line="360" w:lineRule="auto"/>
        <w:jc w:val="both"/>
        <w:rPr>
          <w:rFonts w:ascii="Book Antiqua" w:hAnsi="Book Antiqua" w:cs="Arial"/>
          <w:b/>
        </w:rPr>
      </w:pPr>
      <w:r w:rsidRPr="00C311AE">
        <w:rPr>
          <w:rFonts w:ascii="Book Antiqua" w:hAnsi="Book Antiqua" w:cs="Arial"/>
          <w:b/>
        </w:rPr>
        <w:t xml:space="preserve">Abdominal </w:t>
      </w:r>
      <w:r w:rsidR="00190691" w:rsidRPr="00C311AE">
        <w:rPr>
          <w:rFonts w:ascii="Book Antiqua" w:hAnsi="Book Antiqua" w:cs="Arial"/>
          <w:b/>
        </w:rPr>
        <w:t>p</w:t>
      </w:r>
      <w:r w:rsidRPr="00C311AE">
        <w:rPr>
          <w:rFonts w:ascii="Book Antiqua" w:hAnsi="Book Antiqua" w:cs="Arial"/>
          <w:b/>
        </w:rPr>
        <w:t xml:space="preserve">ain </w:t>
      </w:r>
      <w:r w:rsidR="00190691" w:rsidRPr="00C311AE">
        <w:rPr>
          <w:rFonts w:ascii="Book Antiqua" w:hAnsi="Book Antiqua" w:cs="Arial"/>
          <w:b/>
        </w:rPr>
        <w:t>q</w:t>
      </w:r>
      <w:r w:rsidRPr="00C311AE">
        <w:rPr>
          <w:rFonts w:ascii="Book Antiqua" w:hAnsi="Book Antiqua" w:cs="Arial"/>
          <w:b/>
        </w:rPr>
        <w:t xml:space="preserve">uestionnaire: </w:t>
      </w:r>
      <w:r w:rsidRPr="00C311AE">
        <w:rPr>
          <w:rFonts w:ascii="Book Antiqua" w:hAnsi="Book Antiqua" w:cs="Arial"/>
        </w:rPr>
        <w:t xml:space="preserve">This questionnaire was modified from previous studies assessing the presence and severity of </w:t>
      </w:r>
      <w:r w:rsidR="00F0361C" w:rsidRPr="00C311AE">
        <w:rPr>
          <w:rFonts w:ascii="Book Antiqua" w:hAnsi="Book Antiqua" w:cs="Arial"/>
        </w:rPr>
        <w:t>abdominal pain</w:t>
      </w:r>
      <w:r w:rsidRPr="00C311AE">
        <w:rPr>
          <w:rFonts w:ascii="Book Antiqua" w:hAnsi="Book Antiqua" w:cs="Arial"/>
        </w:rPr>
        <w:t xml:space="preserve"> in chronic pancreatitis</w:t>
      </w:r>
      <w:r w:rsidR="00647AEA"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DOTjRBKL","properties":{"formattedCitation":"(19,20)","plainCitation":"(19,20)"},"citationItems":[{"id":79,"uris":["http://zotero.org/users/local/Y25qLmSx/items/KX26WCX4"],"uri":["http://zotero.org/users/local/Y25qLmSx/items/KX26WCX4"],"itemData":{"id":79,"type":"article-journal","title":"Type of pain, pain-associated complications, quality of life, disability and resource utilisation in chronic pancreatitis: a prospective cohort study","container-title":"Gut","page":"77-84","volume":"60","issue":"1","source":"PubMed","abstract":"OBJECTIVE: To compare patients with chronic pancreatitis (CP) with constant pain patterns to patients with CP with intermittent pain patterns.\nMETHODS: This was a prospective cohort study conducted at 20 tertiary medical centers in the USA comprising 540 subjects with CP. Patients with CP were asked to identify their pain from five pain patterns (A-E) defined by the temporal nature (intermittent or constant) and the severity of the pain (mild, moderate or severe). Pain pattern types were compared with respect to a variety of demographic, quality of life (QOL) and clinical parameters. Rates of disability were the primary outcome. Secondary outcomes included: use of pain medications, days lost from school or work, hospitalisations (preceding year and lifetime) and QOL as measured using the Short Form-12 (SF-12) questionnaire.\nRESULTS: Of the 540 CP patients, 414 patients (77%) self-identified with a particular pain pattern and were analysed. Patients with constant pain, regardless of severity, had higher rates of disability, hospitalisation and pain medication use than patients with intermittent pain. Patients with constant pain had lower QOL (by SF-12) compared with patients who had intermittent pain. Additionally, patients with constant pain were more likely to have alcohol as the aetiology for their pancreatitis. There was no association between the duration of the disease and the quality or severity of the pain.\nCONCLUSIONS: This is the largest study ever conducted of pain in CP. These findings suggest that the temporal nature of pain is a more important determinant of health-related QOL and healthcare utilisation than pain severity. In contrast to previous studies, the pain associated with CP was not found to change in quality over time. These results have important implications for improving our understanding of the mechanisms underlying pain in CP and for the goals of future treatments and interventions.","DOI":"10.1136/gut.2010.213835","ISSN":"1468-3288","note":"PMID: 21148579","shortTitle":"Type of pain, pain-associated complications, quality of life, disability and resource utilisation in chronic pancreatitis","journalAbbreviation":"Gut","language":"eng","author":[{"family":"Mullady","given":"Daniel K."},{"family":"Yadav","given":"Dhiraj"},{"family":"Amann","given":"Stephen T."},{"family":"O'Connell","given":"Michael R."},{"family":"Barmada","given":"Michael M."},{"family":"Elta","given":"Grace H."},{"family":"Scheiman","given":"James M."},{"family":"Wamsteker","given":"Erik-Jan"},{"family":"Chey","given":"William D."},{"family":"Korneffel","given":"Meredith L."},{"family":"Weinman","given":"Beth M."},{"family":"Slivka","given":"Adam"},{"family":"Sherman","given":"Stuart"},{"family":"Hawes","given":"Robert H."},{"family":"Brand","given":"Randall E."},{"family":"Burton","given":"Frank R."},{"family":"Lewis","given":"Michele D."},{"family":"Gardner","given":"Timothy B."},{"family":"Gelrud","given":"Andres"},{"family":"DiSario","given":"James"},{"family":"Baillie","given":"John"},{"family":"Banks","given":"Peter A."},{"family":"Whitcomb","given":"David C."},{"family":"Anderson","given":"Michelle A."},{"literal":"NAPS2 Consortium"}],"issued":{"date-parts":[["2011",1]]}}},{"id":81,"uris":["http://zotero.org/users/local/Y25qLmSx/items/QE3EGRFI"],"uri":["http://zotero.org/users/local/Y25qLmSx/items/QE3EGRFI"],"itemData":{"id":81,"type":"article-journal","title":"Multicenter approach to recurrent acute and chronic pancreatitis in the United States: the North American Pancreatitis Study 2 (NAPS2)","container-title":"Pancreatology: official journal of the International Association of Pancreatology (IAP) ... [et al.]","page":"520-531","volume":"8","issue":"4-5","source":"PubMed","abstract":"BACKGROUND: Recurrent acute pancreatitis (RAP) and chronic pancreatitis (CP) are complex syndromes associated with numerous etiologies, clinical variables and complications. We developed the North American Pancreatitis Study 2 (NAPS2) to be sufficiently powered to understand the complex environmental, metabolic and genetic mechanisms underlying RAP and CP.\nMETHODS: Between August 2000 and September 2006, a consortium of 20 expert academic and private sites prospectively ascertained 1,000 human subjects with RAP or CP, plus 695 controls (spouse, family, friend or unrelated). Standardized questionnaires were completed by both the physicians and study subjects and blood was drawn for genomic DNA and biomarker studies. All data were double-entered into a database and systematically reviewed to minimize errors and include missing data.\nRESULTS: A total of 1,000 subjects (460 RAP, 540 CP) and 695 controls who completed consent forms and questionnaires and donated blood samples comprised the final dataset. Data were organized according to diagnosis, supporting documentation, etiological classification, clinical signs and symptoms (including pain patterns and duration, and quality of life), past medical history, family history, environmental exposures (including alcohol and tobacco use), medication use and therapeutic interventions. Upon achieving the target enrollment, data were organized and classified to facilitate future analysis. The approaches, rationale and datasets are described, along with final demographic results.\nCONCLUSION: The NAPS2 consortium has successfully completed a prospective ascertainment of 1,000 subjects with RAP and CP from the USA. These data will be useful in elucidating the environmental, metabolic and genetic conditions, and to investigate the complex interactions that underlie RAP and CP.","DOI":"10.1159/000152001","ISSN":"1424-3911","note":"PMID: 18765957\nPMCID: PMC2790781","shortTitle":"Multicenter approach to recurrent acute and chronic pancreatitis in the United States","journalAbbreviation":"Pancreatology","language":"eng","author":[{"family":"Whitcomb","given":"David C."},{"family":"Yadav","given":"Dhiraj"},{"family":"Adam","given":"Slivka"},{"family":"Hawes","given":"Robert H."},{"family":"Brand","given":"Randall E."},{"family":"Anderson","given":"Michelle A."},{"family":"Money","given":"Mary E."},{"family":"Banks","given":"Peter A."},{"family":"Bishop","given":"Michele D."},{"family":"Baillie","given":"John"},{"family":"Sherman","given":"Stuart"},{"family":"DiSario","given":"James"},{"family":"Burton","given":"Frank R."},{"family":"Gardner","given":"Timothy B."},{"family":"Amann","given":"Stephen T."},{"family":"Gelrud","given":"Andres"},{"family":"Lo","given":"Simon K."},{"family":"DeMeo","given":"Mark T."},{"family":"Steinberg","given":"William M."},{"family":"Kochman","given":"Michael L."},{"family":"Etemad","given":"Babak"},{"family":"Forsmark","given":"Christopher E."},{"family":"Elinoff","given":"Beth"},{"family":"Greer","given":"Julia B."},{"family":"O'Connell","given":"Michael"},{"family":"Lamb","given":"Janette"},{"family":"Barmada","given":"M. Michael"},{"literal":"North American Pancreatic Study Group"}],"issued":{"date-parts":[["2008"]]}}}],"schema":"https://github.com/citation-style-language/schema/raw/master/csl-citation.json"} </w:instrText>
      </w:r>
      <w:r w:rsidR="00647AEA" w:rsidRPr="00C311AE">
        <w:rPr>
          <w:rFonts w:ascii="Book Antiqua" w:hAnsi="Book Antiqua" w:cs="Arial"/>
          <w:vertAlign w:val="superscript"/>
        </w:rPr>
        <w:fldChar w:fldCharType="separate"/>
      </w:r>
      <w:r w:rsidR="00B82C49" w:rsidRPr="00C311AE">
        <w:rPr>
          <w:rFonts w:ascii="Book Antiqua" w:hAnsi="Book Antiqua"/>
          <w:vertAlign w:val="superscript"/>
        </w:rPr>
        <w:t>[</w:t>
      </w:r>
      <w:r w:rsidR="001E140A" w:rsidRPr="00C311AE">
        <w:rPr>
          <w:rFonts w:ascii="Book Antiqua" w:hAnsi="Book Antiqua"/>
          <w:vertAlign w:val="superscript"/>
        </w:rPr>
        <w:t>2</w:t>
      </w:r>
      <w:r w:rsidR="00757CC5" w:rsidRPr="00C311AE">
        <w:rPr>
          <w:rFonts w:ascii="Book Antiqua" w:hAnsi="Book Antiqua"/>
          <w:vertAlign w:val="superscript"/>
        </w:rPr>
        <w:t>0</w:t>
      </w:r>
      <w:r w:rsidR="001E140A" w:rsidRPr="00C311AE">
        <w:rPr>
          <w:rFonts w:ascii="Book Antiqua" w:hAnsi="Book Antiqua"/>
          <w:vertAlign w:val="superscript"/>
        </w:rPr>
        <w:t>,21</w:t>
      </w:r>
      <w:r w:rsidR="00B82C49" w:rsidRPr="00C311AE">
        <w:rPr>
          <w:rFonts w:ascii="Book Antiqua" w:hAnsi="Book Antiqua"/>
          <w:vertAlign w:val="superscript"/>
        </w:rPr>
        <w:t>]</w:t>
      </w:r>
      <w:r w:rsidR="00647AEA" w:rsidRPr="00C311AE">
        <w:rPr>
          <w:rFonts w:ascii="Book Antiqua" w:hAnsi="Book Antiqua" w:cs="Arial"/>
          <w:vertAlign w:val="superscript"/>
        </w:rPr>
        <w:fldChar w:fldCharType="end"/>
      </w:r>
      <w:r w:rsidR="00E42F8F" w:rsidRPr="00C311AE">
        <w:rPr>
          <w:rFonts w:ascii="Book Antiqua" w:hAnsi="Book Antiqua" w:cs="Arial"/>
        </w:rPr>
        <w:t>.</w:t>
      </w:r>
      <w:r w:rsidRPr="00C311AE">
        <w:rPr>
          <w:rFonts w:ascii="Book Antiqua" w:hAnsi="Book Antiqua" w:cs="Arial"/>
        </w:rPr>
        <w:t xml:space="preserve"> If </w:t>
      </w:r>
      <w:r w:rsidR="00F0361C" w:rsidRPr="00C311AE">
        <w:rPr>
          <w:rFonts w:ascii="Book Antiqua" w:hAnsi="Book Antiqua" w:cs="Arial"/>
        </w:rPr>
        <w:t>abdominal pain</w:t>
      </w:r>
      <w:r w:rsidRPr="00C311AE">
        <w:rPr>
          <w:rFonts w:ascii="Book Antiqua" w:hAnsi="Book Antiqua" w:cs="Arial"/>
        </w:rPr>
        <w:t xml:space="preserve"> was present, </w:t>
      </w:r>
      <w:r w:rsidR="0004469F" w:rsidRPr="00C311AE">
        <w:rPr>
          <w:rFonts w:ascii="Book Antiqua" w:hAnsi="Book Antiqua" w:cs="Arial"/>
        </w:rPr>
        <w:t xml:space="preserve">patients filled out the remaining portion of </w:t>
      </w:r>
      <w:r w:rsidRPr="00C311AE">
        <w:rPr>
          <w:rFonts w:ascii="Book Antiqua" w:hAnsi="Book Antiqua" w:cs="Arial"/>
        </w:rPr>
        <w:t>the questionnaire ask</w:t>
      </w:r>
      <w:r w:rsidR="0004469F" w:rsidRPr="00C311AE">
        <w:rPr>
          <w:rFonts w:ascii="Book Antiqua" w:hAnsi="Book Antiqua" w:cs="Arial"/>
        </w:rPr>
        <w:t>ing</w:t>
      </w:r>
      <w:r w:rsidRPr="00C311AE">
        <w:rPr>
          <w:rFonts w:ascii="Book Antiqua" w:hAnsi="Book Antiqua" w:cs="Arial"/>
        </w:rPr>
        <w:t xml:space="preserve"> about the</w:t>
      </w:r>
      <w:r w:rsidR="00FF1587" w:rsidRPr="00C311AE">
        <w:rPr>
          <w:rFonts w:ascii="Book Antiqua" w:hAnsi="Book Antiqua" w:cs="Arial"/>
        </w:rPr>
        <w:t xml:space="preserve"> duration, </w:t>
      </w:r>
      <w:r w:rsidRPr="00C311AE">
        <w:rPr>
          <w:rFonts w:ascii="Book Antiqua" w:hAnsi="Book Antiqua" w:cs="Arial"/>
        </w:rPr>
        <w:t xml:space="preserve">location </w:t>
      </w:r>
      <w:r w:rsidR="00FF1587" w:rsidRPr="00C311AE">
        <w:rPr>
          <w:rFonts w:ascii="Book Antiqua" w:hAnsi="Book Antiqua" w:cs="Arial"/>
        </w:rPr>
        <w:t xml:space="preserve">of </w:t>
      </w:r>
      <w:r w:rsidR="00E42F8F" w:rsidRPr="00C311AE">
        <w:rPr>
          <w:rFonts w:ascii="Book Antiqua" w:hAnsi="Book Antiqua" w:cs="Arial"/>
        </w:rPr>
        <w:t>th</w:t>
      </w:r>
      <w:r w:rsidRPr="00C311AE">
        <w:rPr>
          <w:rFonts w:ascii="Book Antiqua" w:hAnsi="Book Antiqua" w:cs="Arial"/>
        </w:rPr>
        <w:t xml:space="preserve">e </w:t>
      </w:r>
      <w:r w:rsidR="00FF1587" w:rsidRPr="00C311AE">
        <w:rPr>
          <w:rFonts w:ascii="Book Antiqua" w:hAnsi="Book Antiqua" w:cs="Arial"/>
        </w:rPr>
        <w:t xml:space="preserve">most severe </w:t>
      </w:r>
      <w:r w:rsidRPr="00C311AE">
        <w:rPr>
          <w:rFonts w:ascii="Book Antiqua" w:hAnsi="Book Antiqua" w:cs="Arial"/>
        </w:rPr>
        <w:t>pain,</w:t>
      </w:r>
      <w:r w:rsidR="00E42F8F" w:rsidRPr="00C311AE">
        <w:rPr>
          <w:rFonts w:ascii="Book Antiqua" w:hAnsi="Book Antiqua" w:cs="Arial"/>
        </w:rPr>
        <w:t xml:space="preserve"> </w:t>
      </w:r>
      <w:r w:rsidRPr="00C311AE">
        <w:rPr>
          <w:rFonts w:ascii="Book Antiqua" w:hAnsi="Book Antiqua" w:cs="Arial"/>
        </w:rPr>
        <w:t>relationship of pain to meals</w:t>
      </w:r>
      <w:r w:rsidR="00E42F8F" w:rsidRPr="00C311AE">
        <w:rPr>
          <w:rFonts w:ascii="Book Antiqua" w:hAnsi="Book Antiqua" w:cs="Arial"/>
        </w:rPr>
        <w:t xml:space="preserve"> and nocturnal awakenings as a result of the pain. </w:t>
      </w:r>
    </w:p>
    <w:p w14:paraId="6BE057E4" w14:textId="77777777" w:rsidR="00A03616" w:rsidRPr="00C311AE" w:rsidRDefault="00A03616" w:rsidP="00020CC7">
      <w:pPr>
        <w:pStyle w:val="NoSpacing"/>
        <w:snapToGrid w:val="0"/>
        <w:spacing w:line="360" w:lineRule="auto"/>
        <w:jc w:val="both"/>
        <w:rPr>
          <w:rFonts w:ascii="Book Antiqua" w:hAnsi="Book Antiqua" w:cs="Arial"/>
          <w:b/>
        </w:rPr>
      </w:pPr>
    </w:p>
    <w:p w14:paraId="1898B925" w14:textId="0C68E9BB" w:rsidR="0045594F" w:rsidRPr="00C311AE" w:rsidRDefault="00EC4B8D" w:rsidP="00020CC7">
      <w:pPr>
        <w:pStyle w:val="NoSpacing"/>
        <w:snapToGrid w:val="0"/>
        <w:spacing w:line="360" w:lineRule="auto"/>
        <w:jc w:val="both"/>
        <w:rPr>
          <w:rFonts w:ascii="Book Antiqua" w:hAnsi="Book Antiqua" w:cs="Arial"/>
          <w:i/>
        </w:rPr>
      </w:pPr>
      <w:r w:rsidRPr="00C311AE">
        <w:rPr>
          <w:rFonts w:ascii="Book Antiqua" w:hAnsi="Book Antiqua" w:cs="Arial"/>
          <w:b/>
        </w:rPr>
        <w:t xml:space="preserve">Demographics </w:t>
      </w:r>
      <w:r w:rsidR="00190691" w:rsidRPr="00C311AE">
        <w:rPr>
          <w:rFonts w:ascii="Book Antiqua" w:hAnsi="Book Antiqua" w:cs="Arial"/>
          <w:b/>
        </w:rPr>
        <w:t>q</w:t>
      </w:r>
      <w:r w:rsidRPr="00C311AE">
        <w:rPr>
          <w:rFonts w:ascii="Book Antiqua" w:hAnsi="Book Antiqua" w:cs="Arial"/>
          <w:b/>
        </w:rPr>
        <w:t xml:space="preserve">uestionnaire: </w:t>
      </w:r>
      <w:r w:rsidR="00074BC5" w:rsidRPr="00C311AE">
        <w:rPr>
          <w:rFonts w:ascii="Book Antiqua" w:hAnsi="Book Antiqua" w:cs="Arial"/>
        </w:rPr>
        <w:t>This questionnaire asked</w:t>
      </w:r>
      <w:r w:rsidRPr="00C311AE">
        <w:rPr>
          <w:rFonts w:ascii="Book Antiqua" w:hAnsi="Book Antiqua" w:cs="Arial"/>
        </w:rPr>
        <w:t xml:space="preserve"> patients to report information such as age, gender, race/ethnicity, height, weight, smoking history, alcohol usage, employment and </w:t>
      </w:r>
      <w:r w:rsidR="00084BD9" w:rsidRPr="00C311AE">
        <w:rPr>
          <w:rFonts w:ascii="Book Antiqua" w:hAnsi="Book Antiqua" w:cs="Arial"/>
        </w:rPr>
        <w:t>working hours per week if employed</w:t>
      </w:r>
      <w:r w:rsidRPr="00C311AE">
        <w:rPr>
          <w:rFonts w:ascii="Book Antiqua" w:hAnsi="Book Antiqua" w:cs="Arial"/>
        </w:rPr>
        <w:t>. It also ask</w:t>
      </w:r>
      <w:r w:rsidR="00074BC5" w:rsidRPr="00C311AE">
        <w:rPr>
          <w:rFonts w:ascii="Book Antiqua" w:hAnsi="Book Antiqua" w:cs="Arial"/>
        </w:rPr>
        <w:t>ed</w:t>
      </w:r>
      <w:r w:rsidRPr="00C311AE">
        <w:rPr>
          <w:rFonts w:ascii="Book Antiqua" w:hAnsi="Book Antiqua" w:cs="Arial"/>
        </w:rPr>
        <w:t xml:space="preserve"> about the length of diagnosis with Gp, history of diabetes, and prior abdominal surgeries. </w:t>
      </w:r>
      <w:r w:rsidR="0072356D" w:rsidRPr="00C311AE">
        <w:rPr>
          <w:rFonts w:ascii="Book Antiqua" w:hAnsi="Book Antiqua" w:cs="Arial"/>
        </w:rPr>
        <w:t>P</w:t>
      </w:r>
      <w:r w:rsidRPr="00C311AE">
        <w:rPr>
          <w:rFonts w:ascii="Book Antiqua" w:hAnsi="Book Antiqua" w:cs="Arial"/>
        </w:rPr>
        <w:t>atients were asked about taking pain medicines and the types, doses, frequency</w:t>
      </w:r>
      <w:r w:rsidR="00143822" w:rsidRPr="00C311AE">
        <w:rPr>
          <w:rFonts w:ascii="Book Antiqua" w:hAnsi="Book Antiqua" w:cs="Arial"/>
        </w:rPr>
        <w:t>, clinical indication</w:t>
      </w:r>
      <w:r w:rsidRPr="00C311AE">
        <w:rPr>
          <w:rFonts w:ascii="Book Antiqua" w:hAnsi="Book Antiqua" w:cs="Arial"/>
        </w:rPr>
        <w:t xml:space="preserve"> and </w:t>
      </w:r>
      <w:r w:rsidR="00255C24" w:rsidRPr="00C311AE">
        <w:rPr>
          <w:rFonts w:ascii="Book Antiqua" w:hAnsi="Book Antiqua" w:cs="Arial"/>
        </w:rPr>
        <w:t xml:space="preserve">total </w:t>
      </w:r>
      <w:r w:rsidRPr="00C311AE">
        <w:rPr>
          <w:rFonts w:ascii="Book Antiqua" w:hAnsi="Book Antiqua" w:cs="Arial"/>
        </w:rPr>
        <w:t>duration</w:t>
      </w:r>
      <w:r w:rsidR="00E7328C" w:rsidRPr="00C311AE">
        <w:rPr>
          <w:rFonts w:ascii="Book Antiqua" w:hAnsi="Book Antiqua" w:cs="Arial"/>
        </w:rPr>
        <w:t xml:space="preserve"> of pain medicine use</w:t>
      </w:r>
      <w:r w:rsidRPr="00C311AE">
        <w:rPr>
          <w:rFonts w:ascii="Book Antiqua" w:hAnsi="Book Antiqua" w:cs="Arial"/>
        </w:rPr>
        <w:t xml:space="preserve">.  </w:t>
      </w:r>
    </w:p>
    <w:p w14:paraId="360388E6" w14:textId="77777777" w:rsidR="00FF1587" w:rsidRPr="00C311AE" w:rsidRDefault="00FF1587" w:rsidP="00020CC7">
      <w:pPr>
        <w:pStyle w:val="NoSpacing"/>
        <w:snapToGrid w:val="0"/>
        <w:spacing w:line="360" w:lineRule="auto"/>
        <w:jc w:val="both"/>
        <w:rPr>
          <w:rFonts w:ascii="Book Antiqua" w:hAnsi="Book Antiqua" w:cs="Arial"/>
          <w:b/>
          <w:i/>
        </w:rPr>
      </w:pPr>
    </w:p>
    <w:p w14:paraId="40A7ABD5" w14:textId="0D34DA28" w:rsidR="00074BC5" w:rsidRPr="00C311AE" w:rsidRDefault="000464C7" w:rsidP="00020CC7">
      <w:pPr>
        <w:pStyle w:val="NoSpacing"/>
        <w:snapToGrid w:val="0"/>
        <w:spacing w:line="360" w:lineRule="auto"/>
        <w:jc w:val="both"/>
        <w:rPr>
          <w:rFonts w:ascii="Book Antiqua" w:hAnsi="Book Antiqua" w:cs="Arial"/>
          <w:i/>
        </w:rPr>
      </w:pPr>
      <w:r w:rsidRPr="00C311AE">
        <w:rPr>
          <w:rFonts w:ascii="Book Antiqua" w:hAnsi="Book Antiqua" w:cs="Arial"/>
          <w:b/>
          <w:i/>
        </w:rPr>
        <w:t xml:space="preserve">Laboratory </w:t>
      </w:r>
      <w:r w:rsidR="00190691" w:rsidRPr="00C311AE">
        <w:rPr>
          <w:rFonts w:ascii="Book Antiqua" w:hAnsi="Book Antiqua" w:cs="Arial"/>
          <w:b/>
          <w:i/>
        </w:rPr>
        <w:t>a</w:t>
      </w:r>
      <w:r w:rsidRPr="00C311AE">
        <w:rPr>
          <w:rFonts w:ascii="Book Antiqua" w:hAnsi="Book Antiqua" w:cs="Arial"/>
          <w:b/>
          <w:i/>
        </w:rPr>
        <w:t>nalysis</w:t>
      </w:r>
    </w:p>
    <w:p w14:paraId="7B77E0C5" w14:textId="09E48B41" w:rsidR="000464C7" w:rsidRPr="00C311AE" w:rsidRDefault="0045594F" w:rsidP="00020CC7">
      <w:pPr>
        <w:pStyle w:val="NoSpacing"/>
        <w:snapToGrid w:val="0"/>
        <w:spacing w:line="360" w:lineRule="auto"/>
        <w:jc w:val="both"/>
        <w:rPr>
          <w:rFonts w:ascii="Book Antiqua" w:hAnsi="Book Antiqua" w:cs="Arial"/>
          <w:i/>
        </w:rPr>
      </w:pPr>
      <w:r w:rsidRPr="00C311AE">
        <w:rPr>
          <w:rFonts w:ascii="Book Antiqua" w:hAnsi="Book Antiqua" w:cs="Arial"/>
        </w:rPr>
        <w:t>Patients underwent blood drawing</w:t>
      </w:r>
      <w:r w:rsidR="00EC4B8D" w:rsidRPr="00C311AE">
        <w:rPr>
          <w:rFonts w:ascii="Book Antiqua" w:hAnsi="Book Antiqua" w:cs="Arial"/>
        </w:rPr>
        <w:t xml:space="preserve"> including</w:t>
      </w:r>
      <w:r w:rsidR="00EC1D7F" w:rsidRPr="00C311AE">
        <w:rPr>
          <w:rFonts w:ascii="Book Antiqua" w:hAnsi="Book Antiqua" w:cs="Arial"/>
        </w:rPr>
        <w:t xml:space="preserve"> hemoglobin A1</w:t>
      </w:r>
      <w:r w:rsidR="0072356D" w:rsidRPr="00C311AE">
        <w:rPr>
          <w:rFonts w:ascii="Book Antiqua" w:hAnsi="Book Antiqua" w:cs="Arial"/>
        </w:rPr>
        <w:t>c</w:t>
      </w:r>
      <w:r w:rsidR="00EC1D7F" w:rsidRPr="00C311AE">
        <w:rPr>
          <w:rFonts w:ascii="Book Antiqua" w:hAnsi="Book Antiqua" w:cs="Arial"/>
        </w:rPr>
        <w:t xml:space="preserve"> and thyroid stimulating hormone</w:t>
      </w:r>
      <w:r w:rsidR="00757CC5" w:rsidRPr="00C311AE">
        <w:rPr>
          <w:rFonts w:ascii="Book Antiqua" w:hAnsi="Book Antiqua" w:cs="Arial"/>
        </w:rPr>
        <w:t>,</w:t>
      </w:r>
      <w:r w:rsidR="00EC1D7F" w:rsidRPr="00C311AE">
        <w:rPr>
          <w:rFonts w:ascii="Book Antiqua" w:hAnsi="Book Antiqua" w:cs="Arial"/>
        </w:rPr>
        <w:t xml:space="preserve"> as hyperglycemia and hypothyroidism are risk factors for delayed gastric</w:t>
      </w:r>
      <w:r w:rsidR="006F6025" w:rsidRPr="00C311AE">
        <w:rPr>
          <w:rFonts w:ascii="Book Antiqua" w:hAnsi="Book Antiqua" w:cs="Arial"/>
        </w:rPr>
        <w:t xml:space="preserve"> </w:t>
      </w:r>
      <w:r w:rsidR="00EC1D7F" w:rsidRPr="00C311AE">
        <w:rPr>
          <w:rFonts w:ascii="Book Antiqua" w:hAnsi="Book Antiqua" w:cs="Arial"/>
        </w:rPr>
        <w:t>emptying</w:t>
      </w:r>
      <w:r w:rsidR="006F6025" w:rsidRPr="00C311AE">
        <w:rPr>
          <w:rFonts w:ascii="Book Antiqua" w:hAnsi="Book Antiqua" w:cs="Arial"/>
          <w:vertAlign w:val="superscript"/>
        </w:rPr>
        <w:t>[22,23]</w:t>
      </w:r>
      <w:r w:rsidR="00EC1D7F" w:rsidRPr="00C311AE">
        <w:rPr>
          <w:rFonts w:ascii="Book Antiqua" w:hAnsi="Book Antiqua" w:cs="Arial"/>
        </w:rPr>
        <w:t>.</w:t>
      </w:r>
      <w:r w:rsidR="00EC4B8D" w:rsidRPr="00C311AE">
        <w:rPr>
          <w:rFonts w:ascii="Book Antiqua" w:hAnsi="Book Antiqua" w:cs="Arial"/>
        </w:rPr>
        <w:t xml:space="preserve"> </w:t>
      </w:r>
      <w:r w:rsidR="00757CC5" w:rsidRPr="00C311AE">
        <w:rPr>
          <w:rFonts w:ascii="Book Antiqua" w:hAnsi="Book Antiqua" w:cs="Arial"/>
        </w:rPr>
        <w:t xml:space="preserve">We also checked serum </w:t>
      </w:r>
      <w:r w:rsidR="001428C3" w:rsidRPr="00C311AE">
        <w:rPr>
          <w:rFonts w:ascii="Book Antiqua" w:hAnsi="Book Antiqua" w:cs="Arial"/>
        </w:rPr>
        <w:t>trypsin</w:t>
      </w:r>
      <w:r w:rsidR="00757CC5" w:rsidRPr="00C311AE">
        <w:rPr>
          <w:rFonts w:ascii="Book Antiqua" w:hAnsi="Book Antiqua" w:cs="Arial"/>
        </w:rPr>
        <w:t>ogen level as symptoms of Gp can resemble those of chronic pancreatitis</w:t>
      </w:r>
      <w:r w:rsidR="00BA3CE1" w:rsidRPr="00C311AE">
        <w:rPr>
          <w:rFonts w:ascii="Book Antiqua" w:hAnsi="Book Antiqua" w:cs="Arial"/>
        </w:rPr>
        <w:t xml:space="preserve"> (CP)</w:t>
      </w:r>
      <w:r w:rsidR="002B43FA" w:rsidRPr="00C311AE">
        <w:rPr>
          <w:rFonts w:ascii="Book Antiqua" w:hAnsi="Book Antiqua" w:cs="Arial"/>
          <w:vertAlign w:val="superscript"/>
        </w:rPr>
        <w:t>[24]</w:t>
      </w:r>
      <w:r w:rsidR="00757CC5" w:rsidRPr="00C311AE">
        <w:rPr>
          <w:rFonts w:ascii="Book Antiqua" w:hAnsi="Book Antiqua" w:cs="Arial"/>
        </w:rPr>
        <w:t>.</w:t>
      </w:r>
      <w:r w:rsidR="001428C3" w:rsidRPr="00C311AE">
        <w:rPr>
          <w:rFonts w:ascii="Book Antiqua" w:hAnsi="Book Antiqua" w:cs="Arial"/>
        </w:rPr>
        <w:t xml:space="preserve"> </w:t>
      </w:r>
      <w:r w:rsidR="00757CC5" w:rsidRPr="00C311AE">
        <w:rPr>
          <w:rFonts w:ascii="Book Antiqua" w:hAnsi="Book Antiqua" w:cs="Arial"/>
        </w:rPr>
        <w:t xml:space="preserve">Lastly, we ordered </w:t>
      </w:r>
      <w:r w:rsidR="00EC4B8D" w:rsidRPr="00C311AE">
        <w:rPr>
          <w:rFonts w:ascii="Book Antiqua" w:hAnsi="Book Antiqua" w:cs="Arial"/>
        </w:rPr>
        <w:t xml:space="preserve">random </w:t>
      </w:r>
      <w:r w:rsidR="00EA2926" w:rsidRPr="00C311AE">
        <w:rPr>
          <w:rFonts w:ascii="Book Antiqua" w:hAnsi="Book Antiqua" w:cs="Arial"/>
        </w:rPr>
        <w:t xml:space="preserve">serum </w:t>
      </w:r>
      <w:r w:rsidR="00EC4B8D" w:rsidRPr="00C311AE">
        <w:rPr>
          <w:rFonts w:ascii="Book Antiqua" w:hAnsi="Book Antiqua" w:cs="Arial"/>
        </w:rPr>
        <w:t>cortisol levels</w:t>
      </w:r>
      <w:r w:rsidR="006F6025" w:rsidRPr="00C311AE">
        <w:rPr>
          <w:rFonts w:ascii="Book Antiqua" w:hAnsi="Book Antiqua" w:cs="Arial"/>
        </w:rPr>
        <w:t xml:space="preserve"> as opioid</w:t>
      </w:r>
      <w:r w:rsidR="0072356D" w:rsidRPr="00C311AE">
        <w:rPr>
          <w:rFonts w:ascii="Book Antiqua" w:hAnsi="Book Antiqua" w:cs="Arial"/>
        </w:rPr>
        <w:t>-</w:t>
      </w:r>
      <w:r w:rsidR="006F6025" w:rsidRPr="00C311AE">
        <w:rPr>
          <w:rFonts w:ascii="Book Antiqua" w:hAnsi="Book Antiqua" w:cs="Arial"/>
        </w:rPr>
        <w:t>induced adrenal insufficiency has been reported in the literature</w:t>
      </w:r>
      <w:r w:rsidR="00C71E9F" w:rsidRPr="00C311AE">
        <w:rPr>
          <w:rFonts w:ascii="Book Antiqua" w:hAnsi="Book Antiqua" w:cs="Arial"/>
          <w:vertAlign w:val="superscript"/>
        </w:rPr>
        <w:t>[25-27]</w:t>
      </w:r>
      <w:r w:rsidR="006F6025" w:rsidRPr="00C311AE">
        <w:rPr>
          <w:rFonts w:ascii="Book Antiqua" w:hAnsi="Book Antiqua" w:cs="Arial"/>
        </w:rPr>
        <w:t>.</w:t>
      </w:r>
    </w:p>
    <w:p w14:paraId="40F6CFF7" w14:textId="77777777" w:rsidR="0045594F" w:rsidRPr="00C311AE" w:rsidRDefault="0045594F" w:rsidP="00020CC7">
      <w:pPr>
        <w:snapToGrid w:val="0"/>
        <w:spacing w:line="360" w:lineRule="auto"/>
        <w:jc w:val="both"/>
        <w:rPr>
          <w:rFonts w:ascii="Book Antiqua" w:hAnsi="Book Antiqua" w:cs="Arial"/>
          <w:b/>
          <w:i/>
        </w:rPr>
      </w:pPr>
    </w:p>
    <w:p w14:paraId="57950DDF" w14:textId="0A9E444F" w:rsidR="001428C3" w:rsidRPr="00C311AE" w:rsidRDefault="001428C3" w:rsidP="00020CC7">
      <w:pPr>
        <w:snapToGrid w:val="0"/>
        <w:spacing w:line="360" w:lineRule="auto"/>
        <w:jc w:val="both"/>
        <w:rPr>
          <w:rFonts w:ascii="Book Antiqua" w:hAnsi="Book Antiqua" w:cs="Arial"/>
        </w:rPr>
      </w:pPr>
      <w:r w:rsidRPr="00C311AE">
        <w:rPr>
          <w:rFonts w:ascii="Book Antiqua" w:hAnsi="Book Antiqua" w:cs="Arial"/>
          <w:b/>
          <w:i/>
        </w:rPr>
        <w:t>Gas</w:t>
      </w:r>
      <w:r w:rsidR="00AD2D1F" w:rsidRPr="00C311AE">
        <w:rPr>
          <w:rFonts w:ascii="Book Antiqua" w:hAnsi="Book Antiqua" w:cs="Arial"/>
          <w:b/>
          <w:i/>
        </w:rPr>
        <w:t>tric emptying scintigraphy</w:t>
      </w:r>
    </w:p>
    <w:p w14:paraId="0C42075F" w14:textId="2D65A4AD" w:rsidR="001428C3" w:rsidRPr="00C311AE" w:rsidRDefault="001428C3" w:rsidP="00020CC7">
      <w:pPr>
        <w:snapToGrid w:val="0"/>
        <w:spacing w:line="360" w:lineRule="auto"/>
        <w:jc w:val="both"/>
        <w:rPr>
          <w:rFonts w:ascii="Book Antiqua" w:hAnsi="Book Antiqua" w:cs="Arial"/>
          <w:b/>
          <w:i/>
        </w:rPr>
      </w:pPr>
      <w:r w:rsidRPr="00C311AE">
        <w:rPr>
          <w:rFonts w:ascii="Book Antiqua" w:hAnsi="Book Antiqua" w:cs="Arial"/>
        </w:rPr>
        <w:t xml:space="preserve">Gastric emptying scintigraphy was performed using a low-fat, egg white meal with imaging at 0, 1, 2, </w:t>
      </w:r>
      <w:r w:rsidR="00A7710B" w:rsidRPr="00C311AE">
        <w:rPr>
          <w:rFonts w:ascii="Book Antiqua" w:hAnsi="Book Antiqua" w:cs="Arial"/>
        </w:rPr>
        <w:t>4 h</w:t>
      </w:r>
      <w:r w:rsidR="00D619C9">
        <w:rPr>
          <w:rFonts w:ascii="Book Antiqua" w:eastAsiaTheme="minorEastAsia" w:hAnsi="Book Antiqua" w:cs="Arial" w:hint="eastAsia"/>
          <w:lang w:eastAsia="zh-CN"/>
        </w:rPr>
        <w:t xml:space="preserve"> </w:t>
      </w:r>
      <w:r w:rsidR="00A7710B" w:rsidRPr="00C311AE">
        <w:rPr>
          <w:rFonts w:ascii="Book Antiqua" w:hAnsi="Book Antiqua" w:cs="Arial"/>
        </w:rPr>
        <w:t>after meal ingestion</w:t>
      </w:r>
      <w:r w:rsidR="002D5019"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akg1iuvgtd","properties":{"formattedCitation":"(16)","plainCitation":"(16)"},"citationItems":[{"id":130,"uris":["http://zotero.org/users/local/Y25qLmSx/items/7W758M8G"],"uri":["http://zotero.org/users/local/Y25qLmSx/items/7W758M8G"],"itemData":{"id":130,"type":"article-journal","title":"Assessment of gastric emptying using a low fat meal: establishment of international control values","container-title":"The American Journal of Gastroenterology","page":"1456-1462","volume":"95","issue":"6","source":"PubMed","abstract":"OBJECTIVE: The diagnosis of gastroparesis implies delayed gastric emptying. The diagnostic gold standard is scintigraphy, but techniques and measured endpoints vary widely among institutions. In this study, a simplified scintigraphic measurement of gastric emptying was compared to conventional gastric scintigraphic techniques and normal gastric emptying values defined in healthy subjects.\nMETHODS: In 123 volunteers (aged 19-73 yr, 60 women and 63 men) from 11 centers, scintigraphy was used to assess gastric emptying of a 99Tc-labeled low fat meal (egg substitute) and percent intragastric residual contents 60, 120, and 240 min after completion of the meal. In 42 subjects, additional measurements were taken every 10 min for 1 h. In 20 subjects, gastric emptying of a 99Tc-labeled liver meal was compared with that of the 99Tc-labeled low fat meal.\nRESULTS: Median values (95th percentile) for percent gastric retention at 60, 120, and 240 min were 69% (90%), 24% (60%) and 1.2% (10%) respectively. A power exponential model yielded similar emptying curves and estimated T50 when using images only taken at 1, 2 and 4 h, or with imaging taken every 10 min. Gastric emptying was initially more rapid in men but was comparable in men and women at 4 h; it was faster in older subjects (p &lt; 0.05) but was independent of body mass index.\nCONCLUSIONS: This multicenter study provides gastric emptying values in healthy subjects based on data obtained using a large sample size and consistent meal and methodology. Gastric retention of &gt;10% at 4 h is indicative of delayed emptying, a value comparable to those provided by more intensive scanning approaches. Gastric emptying of a low fat meal is initially faster in men but is comparable in women at 4 h; it is also faster in older individuals but is independent of body mass.","DOI":"10.1111/j.1572-0241.2000.02076.x","ISSN":"0002-9270","note":"PMID: 10894578","shortTitle":"Assessment of gastric emptying using a low fat meal","journalAbbreviation":"Am. J. Gastroenterol.","language":"eng","author":[{"family":"Tougas","given":"G."},{"family":"Eaker","given":"E. Y."},{"family":"Abell","given":"T. L."},{"family":"Abrahamsson","given":"H."},{"family":"Boivin","given":"M."},{"family":"Chen","given":"J."},{"family":"Hocking","given":"M. P."},{"family":"Quigley","given":"E. M."},{"family":"Koch","given":"K. L."},{"family":"Tokayer","given":"A. Z."},{"family":"Stanghellini","given":"V."},{"family":"Chen","given":"Y."},{"family":"Huizinga","given":"J. D."},{"family":"Rydén","given":"J."},{"family":"Bourgeois","given":"I."},{"family":"McCallum","given":"R. W."}],"issued":{"date-parts":[["2000",6]]}}}],"schema":"https://github.com/citation-style-language/schema/raw/master/csl-citation.json"} </w:instrText>
      </w:r>
      <w:r w:rsidR="002D5019" w:rsidRPr="00C311AE">
        <w:rPr>
          <w:rFonts w:ascii="Book Antiqua" w:hAnsi="Book Antiqua" w:cs="Arial"/>
          <w:vertAlign w:val="superscript"/>
        </w:rPr>
        <w:fldChar w:fldCharType="separate"/>
      </w:r>
      <w:r w:rsidR="00B82C49" w:rsidRPr="00C311AE">
        <w:rPr>
          <w:rFonts w:ascii="Book Antiqua" w:hAnsi="Book Antiqua"/>
          <w:vertAlign w:val="superscript"/>
        </w:rPr>
        <w:t>[</w:t>
      </w:r>
      <w:r w:rsidR="00B160C4" w:rsidRPr="00C311AE">
        <w:rPr>
          <w:rFonts w:ascii="Book Antiqua" w:hAnsi="Book Antiqua"/>
          <w:vertAlign w:val="superscript"/>
        </w:rPr>
        <w:t>1</w:t>
      </w:r>
      <w:r w:rsidR="001E140A" w:rsidRPr="00C311AE">
        <w:rPr>
          <w:rFonts w:ascii="Book Antiqua" w:hAnsi="Book Antiqua"/>
          <w:vertAlign w:val="superscript"/>
        </w:rPr>
        <w:t>7</w:t>
      </w:r>
      <w:r w:rsidR="00B82C49" w:rsidRPr="00C311AE">
        <w:rPr>
          <w:rFonts w:ascii="Book Antiqua" w:hAnsi="Book Antiqua"/>
          <w:vertAlign w:val="superscript"/>
        </w:rPr>
        <w:t>]</w:t>
      </w:r>
      <w:r w:rsidR="002D5019" w:rsidRPr="00C311AE">
        <w:rPr>
          <w:rFonts w:ascii="Book Antiqua" w:hAnsi="Book Antiqua" w:cs="Arial"/>
          <w:vertAlign w:val="superscript"/>
        </w:rPr>
        <w:fldChar w:fldCharType="end"/>
      </w:r>
      <w:r w:rsidRPr="00C311AE">
        <w:rPr>
          <w:rFonts w:ascii="Book Antiqua" w:hAnsi="Book Antiqua" w:cs="Arial"/>
        </w:rPr>
        <w:t xml:space="preserve">. </w:t>
      </w:r>
      <w:r w:rsidR="00FA521A" w:rsidRPr="00C311AE">
        <w:rPr>
          <w:rStyle w:val="pagecontents1"/>
          <w:rFonts w:ascii="Book Antiqua" w:hAnsi="Book Antiqua" w:cs="Arial"/>
          <w:color w:val="auto"/>
          <w:sz w:val="24"/>
          <w:szCs w:val="24"/>
        </w:rPr>
        <w:t>Patients were</w:t>
      </w:r>
      <w:r w:rsidRPr="00C311AE">
        <w:rPr>
          <w:rStyle w:val="pagecontents1"/>
          <w:rFonts w:ascii="Book Antiqua" w:hAnsi="Book Antiqua" w:cs="Arial"/>
          <w:color w:val="auto"/>
          <w:sz w:val="24"/>
          <w:szCs w:val="24"/>
        </w:rPr>
        <w:t xml:space="preserve"> instructed to stop medications that could affect gastrointestinal motility </w:t>
      </w:r>
      <w:r w:rsidR="00A867EB" w:rsidRPr="00C311AE">
        <w:rPr>
          <w:rStyle w:val="pagecontents1"/>
          <w:rFonts w:ascii="Book Antiqua" w:hAnsi="Book Antiqua" w:cs="Arial"/>
          <w:color w:val="auto"/>
          <w:sz w:val="24"/>
          <w:szCs w:val="24"/>
        </w:rPr>
        <w:t xml:space="preserve">(including prokinetics) </w:t>
      </w:r>
      <w:r w:rsidRPr="00C311AE">
        <w:rPr>
          <w:rStyle w:val="pagecontents1"/>
          <w:rFonts w:ascii="Book Antiqua" w:hAnsi="Book Antiqua" w:cs="Arial"/>
          <w:color w:val="auto"/>
          <w:sz w:val="24"/>
          <w:szCs w:val="24"/>
        </w:rPr>
        <w:t>for 48 h</w:t>
      </w:r>
      <w:r w:rsidR="00D619C9">
        <w:rPr>
          <w:rStyle w:val="pagecontents1"/>
          <w:rFonts w:ascii="Book Antiqua" w:eastAsiaTheme="minorEastAsia" w:hAnsi="Book Antiqua" w:cs="Arial" w:hint="eastAsia"/>
          <w:color w:val="auto"/>
          <w:sz w:val="24"/>
          <w:szCs w:val="24"/>
          <w:lang w:eastAsia="zh-CN"/>
        </w:rPr>
        <w:t xml:space="preserve"> </w:t>
      </w:r>
      <w:r w:rsidRPr="00C311AE">
        <w:rPr>
          <w:rStyle w:val="pagecontents1"/>
          <w:rFonts w:ascii="Book Antiqua" w:hAnsi="Book Antiqua" w:cs="Arial"/>
          <w:color w:val="auto"/>
          <w:sz w:val="24"/>
          <w:szCs w:val="24"/>
        </w:rPr>
        <w:lastRenderedPageBreak/>
        <w:t>prior to the study and to come to the Nuclear Medicine Section in the morning after fasting overnight, that is, an 8 h</w:t>
      </w:r>
      <w:r w:rsidR="00D619C9">
        <w:rPr>
          <w:rStyle w:val="pagecontents1"/>
          <w:rFonts w:ascii="Book Antiqua" w:eastAsiaTheme="minorEastAsia" w:hAnsi="Book Antiqua" w:cs="Arial" w:hint="eastAsia"/>
          <w:color w:val="auto"/>
          <w:sz w:val="24"/>
          <w:szCs w:val="24"/>
          <w:lang w:eastAsia="zh-CN"/>
        </w:rPr>
        <w:t xml:space="preserve"> </w:t>
      </w:r>
      <w:r w:rsidRPr="00C311AE">
        <w:rPr>
          <w:rStyle w:val="pagecontents1"/>
          <w:rFonts w:ascii="Book Antiqua" w:hAnsi="Book Antiqua" w:cs="Arial"/>
          <w:color w:val="auto"/>
          <w:sz w:val="24"/>
          <w:szCs w:val="24"/>
        </w:rPr>
        <w:t xml:space="preserve">fast. </w:t>
      </w:r>
      <w:r w:rsidR="007E3D5A" w:rsidRPr="00C311AE">
        <w:rPr>
          <w:rStyle w:val="pagecontents1"/>
          <w:rFonts w:ascii="Book Antiqua" w:hAnsi="Book Antiqua" w:cs="Arial"/>
          <w:color w:val="auto"/>
          <w:sz w:val="24"/>
          <w:szCs w:val="24"/>
        </w:rPr>
        <w:t xml:space="preserve">The patients on chronic opioids were </w:t>
      </w:r>
      <w:r w:rsidR="00B721E5" w:rsidRPr="00C311AE">
        <w:rPr>
          <w:rStyle w:val="pagecontents1"/>
          <w:rFonts w:ascii="Book Antiqua" w:hAnsi="Book Antiqua" w:cs="Arial"/>
          <w:color w:val="auto"/>
          <w:sz w:val="24"/>
          <w:szCs w:val="24"/>
        </w:rPr>
        <w:t>advised</w:t>
      </w:r>
      <w:r w:rsidR="007E3D5A" w:rsidRPr="00C311AE">
        <w:rPr>
          <w:rStyle w:val="pagecontents1"/>
          <w:rFonts w:ascii="Book Antiqua" w:hAnsi="Book Antiqua" w:cs="Arial"/>
          <w:color w:val="auto"/>
          <w:sz w:val="24"/>
          <w:szCs w:val="24"/>
        </w:rPr>
        <w:t xml:space="preserve"> to gradually taper off their opioids as tolerated prior to their scheduled GES to prevent opioid withdrawal. </w:t>
      </w:r>
      <w:r w:rsidRPr="00C311AE">
        <w:rPr>
          <w:rFonts w:ascii="Book Antiqua" w:hAnsi="Book Antiqua" w:cs="Arial"/>
        </w:rPr>
        <w:t>Diabetics have their glucose checked at the beginning of the study, with appropriate treatment measures being taken if low blood sugar (hypoglycemia) or high blood sugar (hyperglycemia &gt;</w:t>
      </w:r>
      <w:r w:rsidR="00190691" w:rsidRPr="00C311AE">
        <w:rPr>
          <w:rFonts w:ascii="Book Antiqua" w:eastAsiaTheme="minorEastAsia" w:hAnsi="Book Antiqua" w:cs="Arial" w:hint="eastAsia"/>
          <w:lang w:eastAsia="zh-CN"/>
        </w:rPr>
        <w:t xml:space="preserve"> </w:t>
      </w:r>
      <w:r w:rsidRPr="00C311AE">
        <w:rPr>
          <w:rFonts w:ascii="Book Antiqua" w:hAnsi="Book Antiqua" w:cs="Arial"/>
        </w:rPr>
        <w:t>250 mg/d</w:t>
      </w:r>
      <w:r w:rsidRPr="00C311AE">
        <w:rPr>
          <w:rFonts w:ascii="Book Antiqua" w:hAnsi="Book Antiqua" w:cs="Arial"/>
          <w:caps/>
        </w:rPr>
        <w:t>l</w:t>
      </w:r>
      <w:r w:rsidRPr="00C311AE">
        <w:rPr>
          <w:rFonts w:ascii="Book Antiqua" w:hAnsi="Book Antiqua" w:cs="Arial"/>
        </w:rPr>
        <w:t xml:space="preserve">) is detected. </w:t>
      </w:r>
      <w:r w:rsidRPr="00C311AE">
        <w:rPr>
          <w:rStyle w:val="pagecontents1"/>
          <w:rFonts w:ascii="Book Antiqua" w:hAnsi="Book Antiqua" w:cs="Arial"/>
          <w:color w:val="auto"/>
          <w:sz w:val="24"/>
          <w:szCs w:val="24"/>
        </w:rPr>
        <w:t>Gastric emptying scintigraphy is performed using a standard low-fat, Eggbeaters</w:t>
      </w:r>
      <w:r w:rsidRPr="00C311AE">
        <w:rPr>
          <w:rStyle w:val="pagecontents1"/>
          <w:rFonts w:ascii="Book Antiqua" w:hAnsi="Book Antiqua" w:cs="Arial"/>
          <w:color w:val="auto"/>
          <w:sz w:val="24"/>
          <w:szCs w:val="24"/>
          <w:vertAlign w:val="superscript"/>
        </w:rPr>
        <w:t xml:space="preserve">® </w:t>
      </w:r>
      <w:r w:rsidRPr="00C311AE">
        <w:rPr>
          <w:rStyle w:val="pagecontents1"/>
          <w:rFonts w:ascii="Book Antiqua" w:hAnsi="Book Antiqua" w:cs="Arial"/>
          <w:color w:val="auto"/>
          <w:sz w:val="24"/>
          <w:szCs w:val="24"/>
        </w:rPr>
        <w:t>meal to measure solid emptying.</w:t>
      </w:r>
      <w:r w:rsidR="00190691" w:rsidRPr="00C311AE">
        <w:rPr>
          <w:rStyle w:val="pagecontents1"/>
          <w:rFonts w:ascii="Book Antiqua" w:eastAsiaTheme="minorEastAsia" w:hAnsi="Book Antiqua" w:cs="Arial" w:hint="eastAsia"/>
          <w:color w:val="auto"/>
          <w:sz w:val="24"/>
          <w:szCs w:val="24"/>
          <w:lang w:eastAsia="zh-CN"/>
        </w:rPr>
        <w:t xml:space="preserve"> </w:t>
      </w:r>
      <w:r w:rsidRPr="00C311AE">
        <w:rPr>
          <w:rStyle w:val="pagecontents1"/>
          <w:rFonts w:ascii="Book Antiqua" w:hAnsi="Book Antiqua" w:cs="Arial"/>
          <w:color w:val="auto"/>
          <w:sz w:val="24"/>
          <w:szCs w:val="24"/>
        </w:rPr>
        <w:t>The meal consists of the equivalent of two large eggs radiolabeled with 0.5-1 mCi Tc-99m sulfur colloid served with two pieces of white bread and jelly. Patients are given 120 m</w:t>
      </w:r>
      <w:r w:rsidRPr="00C311AE">
        <w:rPr>
          <w:rStyle w:val="pagecontents1"/>
          <w:rFonts w:ascii="Book Antiqua" w:hAnsi="Book Antiqua" w:cs="Arial"/>
          <w:caps/>
          <w:color w:val="auto"/>
          <w:sz w:val="24"/>
          <w:szCs w:val="24"/>
        </w:rPr>
        <w:t>l</w:t>
      </w:r>
      <w:r w:rsidR="00190691" w:rsidRPr="00C311AE">
        <w:rPr>
          <w:rStyle w:val="pagecontents1"/>
          <w:rFonts w:ascii="Book Antiqua" w:eastAsiaTheme="minorEastAsia" w:hAnsi="Book Antiqua" w:cs="Arial" w:hint="eastAsia"/>
          <w:color w:val="auto"/>
          <w:sz w:val="24"/>
          <w:szCs w:val="24"/>
          <w:lang w:eastAsia="zh-CN"/>
        </w:rPr>
        <w:t xml:space="preserve"> </w:t>
      </w:r>
      <w:r w:rsidRPr="00C311AE">
        <w:rPr>
          <w:rStyle w:val="pagecontents1"/>
          <w:rFonts w:ascii="Book Antiqua" w:hAnsi="Book Antiqua" w:cs="Arial"/>
          <w:color w:val="auto"/>
          <w:sz w:val="24"/>
          <w:szCs w:val="24"/>
        </w:rPr>
        <w:t>water. Following ingestion of the meal, imaging i</w:t>
      </w:r>
      <w:r w:rsidR="00DB75D4" w:rsidRPr="00C311AE">
        <w:rPr>
          <w:rStyle w:val="pagecontents1"/>
          <w:rFonts w:ascii="Book Antiqua" w:hAnsi="Book Antiqua" w:cs="Arial"/>
          <w:color w:val="auto"/>
          <w:sz w:val="24"/>
          <w:szCs w:val="24"/>
        </w:rPr>
        <w:t>s performed at 0, 1, 2 and 4 h</w:t>
      </w:r>
      <w:r w:rsidR="00190691" w:rsidRPr="00C311AE">
        <w:rPr>
          <w:rStyle w:val="pagecontents1"/>
          <w:rFonts w:ascii="Book Antiqua" w:eastAsiaTheme="minorEastAsia" w:hAnsi="Book Antiqua" w:cs="Arial" w:hint="eastAsia"/>
          <w:color w:val="auto"/>
          <w:sz w:val="24"/>
          <w:szCs w:val="24"/>
          <w:lang w:eastAsia="zh-CN"/>
        </w:rPr>
        <w:t xml:space="preserve"> </w:t>
      </w:r>
      <w:r w:rsidRPr="00C311AE">
        <w:rPr>
          <w:rStyle w:val="pagecontents1"/>
          <w:rFonts w:ascii="Book Antiqua" w:hAnsi="Book Antiqua" w:cs="Arial"/>
          <w:color w:val="auto"/>
          <w:sz w:val="24"/>
          <w:szCs w:val="24"/>
        </w:rPr>
        <w:t xml:space="preserve">with the patient </w:t>
      </w:r>
      <w:r w:rsidR="00FC4302" w:rsidRPr="00C311AE">
        <w:rPr>
          <w:rStyle w:val="pagecontents1"/>
          <w:rFonts w:ascii="Book Antiqua" w:hAnsi="Book Antiqua" w:cs="Arial"/>
          <w:color w:val="auto"/>
          <w:sz w:val="24"/>
          <w:szCs w:val="24"/>
        </w:rPr>
        <w:t xml:space="preserve">standing </w:t>
      </w:r>
      <w:r w:rsidRPr="00C311AE">
        <w:rPr>
          <w:rStyle w:val="pagecontents1"/>
          <w:rFonts w:ascii="Book Antiqua" w:hAnsi="Book Antiqua" w:cs="Arial"/>
          <w:color w:val="auto"/>
          <w:sz w:val="24"/>
          <w:szCs w:val="24"/>
        </w:rPr>
        <w:t xml:space="preserve">upright for measuring gastric </w:t>
      </w:r>
      <w:r w:rsidR="00A845CE" w:rsidRPr="00C311AE">
        <w:rPr>
          <w:rStyle w:val="pagecontents1"/>
          <w:rFonts w:ascii="Book Antiqua" w:hAnsi="Book Antiqua" w:cs="Arial"/>
          <w:color w:val="auto"/>
          <w:sz w:val="24"/>
          <w:szCs w:val="24"/>
        </w:rPr>
        <w:t xml:space="preserve">emptying of Tc-labeled solids. </w:t>
      </w:r>
      <w:r w:rsidRPr="00C311AE">
        <w:rPr>
          <w:rFonts w:ascii="Book Antiqua" w:hAnsi="Book Antiqua" w:cs="Arial"/>
        </w:rPr>
        <w:t xml:space="preserve">Gastric emptying is analyzed as percent of radioactivity retained in the stomach over time using the geometric center of the decay-corrected anterior and posterior counts for each time point. </w:t>
      </w:r>
      <w:r w:rsidRPr="00C311AE">
        <w:rPr>
          <w:rStyle w:val="pagecontents1"/>
          <w:rFonts w:ascii="Book Antiqua" w:hAnsi="Book Antiqua" w:cs="Arial"/>
          <w:color w:val="auto"/>
          <w:sz w:val="24"/>
          <w:szCs w:val="24"/>
        </w:rPr>
        <w:t>Gastric retention of Tc-99m &gt;</w:t>
      </w:r>
      <w:r w:rsidR="00190691" w:rsidRPr="00C311AE">
        <w:rPr>
          <w:rStyle w:val="pagecontents1"/>
          <w:rFonts w:ascii="Book Antiqua" w:eastAsiaTheme="minorEastAsia" w:hAnsi="Book Antiqua" w:cs="Arial" w:hint="eastAsia"/>
          <w:color w:val="auto"/>
          <w:sz w:val="24"/>
          <w:szCs w:val="24"/>
          <w:lang w:eastAsia="zh-CN"/>
        </w:rPr>
        <w:t xml:space="preserve"> </w:t>
      </w:r>
      <w:r w:rsidR="00190691" w:rsidRPr="00C311AE">
        <w:rPr>
          <w:rStyle w:val="pagecontents1"/>
          <w:rFonts w:ascii="Book Antiqua" w:hAnsi="Book Antiqua" w:cs="Arial"/>
          <w:color w:val="auto"/>
          <w:sz w:val="24"/>
          <w:szCs w:val="24"/>
        </w:rPr>
        <w:t>60% at 2 h</w:t>
      </w:r>
      <w:r w:rsidR="00FA521A" w:rsidRPr="00C311AE">
        <w:rPr>
          <w:rStyle w:val="pagecontents1"/>
          <w:rFonts w:ascii="Book Antiqua" w:hAnsi="Book Antiqua" w:cs="Arial"/>
          <w:color w:val="auto"/>
          <w:sz w:val="24"/>
          <w:szCs w:val="24"/>
        </w:rPr>
        <w:t>.</w:t>
      </w:r>
      <w:r w:rsidR="00DB75D4" w:rsidRPr="00C311AE">
        <w:rPr>
          <w:rStyle w:val="pagecontents1"/>
          <w:rFonts w:ascii="Book Antiqua" w:hAnsi="Book Antiqua" w:cs="Arial"/>
          <w:color w:val="auto"/>
          <w:sz w:val="24"/>
          <w:szCs w:val="24"/>
        </w:rPr>
        <w:t xml:space="preserve"> and/or &gt;</w:t>
      </w:r>
      <w:r w:rsidR="00190691" w:rsidRPr="00C311AE">
        <w:rPr>
          <w:rStyle w:val="pagecontents1"/>
          <w:rFonts w:ascii="Book Antiqua" w:eastAsiaTheme="minorEastAsia" w:hAnsi="Book Antiqua" w:cs="Arial" w:hint="eastAsia"/>
          <w:color w:val="auto"/>
          <w:sz w:val="24"/>
          <w:szCs w:val="24"/>
          <w:lang w:eastAsia="zh-CN"/>
        </w:rPr>
        <w:t xml:space="preserve"> </w:t>
      </w:r>
      <w:r w:rsidR="00DB75D4" w:rsidRPr="00C311AE">
        <w:rPr>
          <w:rStyle w:val="pagecontents1"/>
          <w:rFonts w:ascii="Book Antiqua" w:hAnsi="Book Antiqua" w:cs="Arial"/>
          <w:color w:val="auto"/>
          <w:sz w:val="24"/>
          <w:szCs w:val="24"/>
        </w:rPr>
        <w:t>10% at 4 h</w:t>
      </w:r>
      <w:r w:rsidR="00190691" w:rsidRPr="00C311AE">
        <w:rPr>
          <w:rStyle w:val="pagecontents1"/>
          <w:rFonts w:ascii="Book Antiqua" w:eastAsiaTheme="minorEastAsia" w:hAnsi="Book Antiqua" w:cs="Arial" w:hint="eastAsia"/>
          <w:color w:val="auto"/>
          <w:sz w:val="24"/>
          <w:szCs w:val="24"/>
          <w:lang w:eastAsia="zh-CN"/>
        </w:rPr>
        <w:t xml:space="preserve"> </w:t>
      </w:r>
      <w:r w:rsidRPr="00C311AE">
        <w:rPr>
          <w:rStyle w:val="pagecontents1"/>
          <w:rFonts w:ascii="Book Antiqua" w:hAnsi="Book Antiqua" w:cs="Arial"/>
          <w:color w:val="auto"/>
          <w:sz w:val="24"/>
          <w:szCs w:val="24"/>
        </w:rPr>
        <w:t xml:space="preserve">is considered delayed gastric emptying of solids.  </w:t>
      </w:r>
    </w:p>
    <w:p w14:paraId="5C217571" w14:textId="77777777" w:rsidR="004A5000" w:rsidRPr="00C311AE" w:rsidRDefault="004A5000" w:rsidP="00020CC7">
      <w:pPr>
        <w:snapToGrid w:val="0"/>
        <w:spacing w:line="360" w:lineRule="auto"/>
        <w:jc w:val="both"/>
        <w:rPr>
          <w:rFonts w:ascii="Book Antiqua" w:hAnsi="Book Antiqua" w:cs="Arial"/>
        </w:rPr>
      </w:pPr>
    </w:p>
    <w:p w14:paraId="0AA35728" w14:textId="43548873" w:rsidR="007B3E16" w:rsidRPr="00C311AE" w:rsidRDefault="004A5000" w:rsidP="00020CC7">
      <w:pPr>
        <w:snapToGrid w:val="0"/>
        <w:spacing w:line="360" w:lineRule="auto"/>
        <w:jc w:val="both"/>
        <w:rPr>
          <w:rFonts w:ascii="Book Antiqua" w:hAnsi="Book Antiqua" w:cs="Arial"/>
          <w:b/>
          <w:i/>
        </w:rPr>
      </w:pPr>
      <w:r w:rsidRPr="00C311AE">
        <w:rPr>
          <w:rFonts w:ascii="Book Antiqua" w:hAnsi="Book Antiqua" w:cs="Arial"/>
          <w:b/>
          <w:i/>
        </w:rPr>
        <w:t xml:space="preserve">Statistical </w:t>
      </w:r>
      <w:r w:rsidR="00190691" w:rsidRPr="00C311AE">
        <w:rPr>
          <w:rFonts w:ascii="Book Antiqua" w:hAnsi="Book Antiqua" w:cs="Arial"/>
          <w:b/>
          <w:i/>
        </w:rPr>
        <w:t>a</w:t>
      </w:r>
      <w:r w:rsidRPr="00C311AE">
        <w:rPr>
          <w:rFonts w:ascii="Book Antiqua" w:hAnsi="Book Antiqua" w:cs="Arial"/>
          <w:b/>
          <w:i/>
        </w:rPr>
        <w:t>nalysis</w:t>
      </w:r>
      <w:r w:rsidR="007B3E16" w:rsidRPr="00C311AE">
        <w:rPr>
          <w:rFonts w:ascii="Book Antiqua" w:hAnsi="Book Antiqua" w:cs="Arial"/>
          <w:b/>
          <w:i/>
        </w:rPr>
        <w:t xml:space="preserve">  </w:t>
      </w:r>
    </w:p>
    <w:p w14:paraId="37534A9C" w14:textId="0C4A8AA5" w:rsidR="00C32997" w:rsidRPr="00C311AE" w:rsidRDefault="00E20164" w:rsidP="00020CC7">
      <w:pPr>
        <w:snapToGrid w:val="0"/>
        <w:spacing w:line="360" w:lineRule="auto"/>
        <w:jc w:val="both"/>
        <w:rPr>
          <w:rFonts w:ascii="Book Antiqua" w:hAnsi="Book Antiqua" w:cs="Arial"/>
        </w:rPr>
      </w:pPr>
      <w:r w:rsidRPr="00C311AE">
        <w:rPr>
          <w:rFonts w:ascii="Book Antiqua" w:hAnsi="Book Antiqua" w:cs="Arial"/>
        </w:rPr>
        <w:t>We used Kolmogorov-Smirnov test to determine the normal distribution of continuous variables; Student’s t-test was used for variables with normal distribution</w:t>
      </w:r>
      <w:r w:rsidR="005E68DF" w:rsidRPr="00C311AE">
        <w:rPr>
          <w:rFonts w:ascii="Book Antiqua" w:hAnsi="Book Antiqua" w:cs="Arial"/>
        </w:rPr>
        <w:t>,</w:t>
      </w:r>
      <w:r w:rsidRPr="00C311AE">
        <w:rPr>
          <w:rFonts w:ascii="Book Antiqua" w:hAnsi="Book Antiqua" w:cs="Arial"/>
        </w:rPr>
        <w:t xml:space="preserve"> while Mann Whitney</w:t>
      </w:r>
      <w:r w:rsidRPr="00020CC7">
        <w:rPr>
          <w:rFonts w:ascii="Book Antiqua" w:hAnsi="Book Antiqua" w:cs="Arial"/>
          <w:i/>
        </w:rPr>
        <w:t xml:space="preserve"> U</w:t>
      </w:r>
      <w:r w:rsidRPr="00C311AE">
        <w:rPr>
          <w:rFonts w:ascii="Book Antiqua" w:hAnsi="Book Antiqua" w:cs="Arial"/>
        </w:rPr>
        <w:t xml:space="preserve"> Test was used for variables with skewed distribution</w:t>
      </w:r>
      <w:r w:rsidR="005E68DF" w:rsidRPr="00C311AE">
        <w:rPr>
          <w:rFonts w:ascii="Book Antiqua" w:hAnsi="Book Antiqua" w:cs="Arial"/>
        </w:rPr>
        <w:t xml:space="preserve"> and symptoms assessed on ordinal scale</w:t>
      </w:r>
      <w:r w:rsidRPr="00C311AE">
        <w:rPr>
          <w:rFonts w:ascii="Book Antiqua" w:hAnsi="Book Antiqua" w:cs="Arial"/>
        </w:rPr>
        <w:t xml:space="preserve">. These results are expressed as mean ± </w:t>
      </w:r>
      <w:r w:rsidR="00190691" w:rsidRPr="00C311AE">
        <w:rPr>
          <w:rFonts w:ascii="Book Antiqua" w:eastAsiaTheme="minorEastAsia" w:hAnsi="Book Antiqua" w:cs="Arial" w:hint="eastAsia"/>
          <w:lang w:eastAsia="zh-CN"/>
        </w:rPr>
        <w:t xml:space="preserve">SE </w:t>
      </w:r>
      <w:r w:rsidR="003521D1" w:rsidRPr="00C311AE">
        <w:rPr>
          <w:rFonts w:ascii="Book Antiqua" w:hAnsi="Book Antiqua" w:cs="Arial"/>
        </w:rPr>
        <w:t>of mean, or median with interquartile range as appropriate</w:t>
      </w:r>
      <w:r w:rsidRPr="00C311AE">
        <w:rPr>
          <w:rFonts w:ascii="Book Antiqua" w:hAnsi="Book Antiqua" w:cs="Arial"/>
        </w:rPr>
        <w:t xml:space="preserve">. </w:t>
      </w:r>
      <w:r w:rsidR="00020CC7">
        <w:rPr>
          <w:rFonts w:ascii="Book Antiqua" w:hAnsi="Book Antiqua" w:cs="Arial"/>
        </w:rPr>
        <w:sym w:font="Symbol" w:char="F063"/>
      </w:r>
      <w:r w:rsidR="00020CC7">
        <w:rPr>
          <w:rFonts w:ascii="Book Antiqua" w:eastAsiaTheme="minorEastAsia" w:hAnsi="Book Antiqua" w:cs="Arial" w:hint="eastAsia"/>
          <w:vertAlign w:val="superscript"/>
          <w:lang w:eastAsia="zh-CN"/>
        </w:rPr>
        <w:t>2</w:t>
      </w:r>
      <w:r w:rsidR="00C32997" w:rsidRPr="00C311AE">
        <w:rPr>
          <w:rFonts w:ascii="Book Antiqua" w:hAnsi="Book Antiqua" w:cs="Arial"/>
        </w:rPr>
        <w:t xml:space="preserve"> test </w:t>
      </w:r>
      <w:r w:rsidRPr="00C311AE">
        <w:rPr>
          <w:rFonts w:ascii="Book Antiqua" w:hAnsi="Book Antiqua" w:cs="Arial"/>
        </w:rPr>
        <w:t xml:space="preserve">was used </w:t>
      </w:r>
      <w:r w:rsidR="00C32997" w:rsidRPr="00C311AE">
        <w:rPr>
          <w:rFonts w:ascii="Book Antiqua" w:hAnsi="Book Antiqua" w:cs="Arial"/>
        </w:rPr>
        <w:t>for categorical data</w:t>
      </w:r>
      <w:r w:rsidRPr="00C311AE">
        <w:rPr>
          <w:rFonts w:ascii="Book Antiqua" w:hAnsi="Book Antiqua" w:cs="Arial"/>
        </w:rPr>
        <w:t>, with results expressed as percentages</w:t>
      </w:r>
      <w:r w:rsidR="001E682B"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130pd29ba0","properties":{"formattedCitation":"(21)","plainCitation":"(21)"},"citationItems":[{"id":83,"uris":["http://zotero.org/users/local/Y25qLmSx/items/DIINP2Z6"],"uri":["http://zotero.org/users/local/Y25qLmSx/items/DIINP2Z6"],"itemData":{"id":83,"type":"article-journal","title":"Statistics: a brief overview","container-title":"The Ochsner Journal","page":"213-216","volume":"10","issue":"3","source":"PubMed","abstract":"The Accreditation Council for Graduate Medical Education sets forth a number of required educational topics that must be addressed in residency and fellowship programs. We sought to provide a primer on some of the important basic statistical concepts to consider when examining the medical literature. It is not essential to understand the exact workings and methodology of every statistical test encountered, but it is necessary to understand selected concepts such as parametric and nonparametric tests, correlation, and numerical versus categorical data. This working knowledge will allow you to spot obvious irregularities in statistical analyses that you encounter.","ISSN":"1524-5012","note":"PMID: 21603381\nPMCID: PMC3096219","shortTitle":"Statistics","journalAbbreviation":"Ochsner J","language":"eng","author":[{"family":"Winters","given":"Ryan"},{"family":"Winters","given":"Andrew"},{"family":"Amedee","given":"Ronald G."}],"issued":{"date-parts":[["2010"]]}}}],"schema":"https://github.com/citation-style-language/schema/raw/master/csl-citation.json"} </w:instrText>
      </w:r>
      <w:r w:rsidR="001E682B" w:rsidRPr="00C311AE">
        <w:rPr>
          <w:rFonts w:ascii="Book Antiqua" w:hAnsi="Book Antiqua" w:cs="Arial"/>
          <w:vertAlign w:val="superscript"/>
        </w:rPr>
        <w:fldChar w:fldCharType="separate"/>
      </w:r>
      <w:r w:rsidR="00B82C49" w:rsidRPr="00C311AE">
        <w:rPr>
          <w:rFonts w:ascii="Book Antiqua" w:hAnsi="Book Antiqua"/>
          <w:vertAlign w:val="superscript"/>
        </w:rPr>
        <w:t>[</w:t>
      </w:r>
      <w:r w:rsidR="001E140A" w:rsidRPr="00C311AE">
        <w:rPr>
          <w:rFonts w:ascii="Book Antiqua" w:hAnsi="Book Antiqua"/>
          <w:vertAlign w:val="superscript"/>
        </w:rPr>
        <w:t>2</w:t>
      </w:r>
      <w:r w:rsidR="00C71E9F" w:rsidRPr="00C311AE">
        <w:rPr>
          <w:rFonts w:ascii="Book Antiqua" w:hAnsi="Book Antiqua"/>
          <w:vertAlign w:val="superscript"/>
        </w:rPr>
        <w:t>8</w:t>
      </w:r>
      <w:r w:rsidR="00B82C49" w:rsidRPr="00C311AE">
        <w:rPr>
          <w:rFonts w:ascii="Book Antiqua" w:hAnsi="Book Antiqua"/>
          <w:vertAlign w:val="superscript"/>
        </w:rPr>
        <w:t>]</w:t>
      </w:r>
      <w:r w:rsidR="001E682B" w:rsidRPr="00C311AE">
        <w:rPr>
          <w:rFonts w:ascii="Book Antiqua" w:hAnsi="Book Antiqua" w:cs="Arial"/>
          <w:vertAlign w:val="superscript"/>
        </w:rPr>
        <w:fldChar w:fldCharType="end"/>
      </w:r>
      <w:r w:rsidR="00C32997" w:rsidRPr="00C311AE">
        <w:rPr>
          <w:rFonts w:ascii="Book Antiqua" w:hAnsi="Book Antiqua" w:cs="Arial"/>
        </w:rPr>
        <w:t xml:space="preserve">. </w:t>
      </w:r>
      <w:r w:rsidR="00F72229" w:rsidRPr="00C311AE">
        <w:rPr>
          <w:rFonts w:ascii="Book Antiqua" w:hAnsi="Book Antiqua" w:cs="Arial"/>
        </w:rPr>
        <w:t xml:space="preserve">A two-tailed </w:t>
      </w:r>
      <w:r w:rsidR="00760F56" w:rsidRPr="00020CC7">
        <w:rPr>
          <w:rFonts w:ascii="Book Antiqua" w:hAnsi="Book Antiqua" w:cs="Arial"/>
          <w:i/>
        </w:rPr>
        <w:t>P</w:t>
      </w:r>
      <w:r w:rsidR="00760F56" w:rsidRPr="00C311AE">
        <w:rPr>
          <w:rFonts w:ascii="Book Antiqua" w:hAnsi="Book Antiqua" w:cs="Arial"/>
        </w:rPr>
        <w:t xml:space="preserve"> value less than 0.05 was considered as statistically significant</w:t>
      </w:r>
      <w:r w:rsidR="005C4B8F" w:rsidRPr="00C311AE">
        <w:rPr>
          <w:rFonts w:ascii="Book Antiqua" w:hAnsi="Book Antiqua" w:cs="Arial"/>
        </w:rPr>
        <w:t xml:space="preserve"> while comparing chronic opioid using </w:t>
      </w:r>
      <w:r w:rsidR="004A44C4" w:rsidRPr="00C311AE">
        <w:rPr>
          <w:rFonts w:ascii="Book Antiqua" w:hAnsi="Book Antiqua" w:cs="Arial"/>
        </w:rPr>
        <w:t>Gp patients to non-opioid users;</w:t>
      </w:r>
      <w:r w:rsidR="005C4B8F" w:rsidRPr="00C311AE">
        <w:rPr>
          <w:rFonts w:ascii="Book Antiqua" w:hAnsi="Book Antiqua" w:cs="Arial"/>
        </w:rPr>
        <w:t xml:space="preserve"> no adjustment for multiple comparisons was made</w:t>
      </w:r>
      <w:r w:rsidR="00760F56" w:rsidRPr="00C311AE">
        <w:rPr>
          <w:rFonts w:ascii="Book Antiqua" w:hAnsi="Book Antiqua" w:cs="Arial"/>
        </w:rPr>
        <w:t xml:space="preserve">. </w:t>
      </w:r>
      <w:r w:rsidR="00E445F2" w:rsidRPr="00C311AE">
        <w:rPr>
          <w:rFonts w:ascii="Book Antiqua" w:hAnsi="Book Antiqua" w:cs="Arial"/>
        </w:rPr>
        <w:t>Analysis of Variance</w:t>
      </w:r>
      <w:r w:rsidR="005C4B8F" w:rsidRPr="00C311AE">
        <w:rPr>
          <w:rFonts w:ascii="Book Antiqua" w:hAnsi="Book Antiqua" w:cs="Arial"/>
        </w:rPr>
        <w:t xml:space="preserve"> (ANOVA) was used for com</w:t>
      </w:r>
      <w:r w:rsidR="0072356D" w:rsidRPr="00C311AE">
        <w:rPr>
          <w:rFonts w:ascii="Book Antiqua" w:hAnsi="Book Antiqua" w:cs="Arial"/>
        </w:rPr>
        <w:t>parison of multiple groups, followed by Student;s t-test with p value</w:t>
      </w:r>
      <w:r w:rsidR="005C4B8F" w:rsidRPr="00C311AE">
        <w:rPr>
          <w:rFonts w:ascii="Book Antiqua" w:hAnsi="Book Antiqua" w:cs="Arial"/>
        </w:rPr>
        <w:t xml:space="preserve"> adjusted with Bonferroni correction for </w:t>
      </w:r>
      <w:r w:rsidR="0072356D" w:rsidRPr="00C311AE">
        <w:rPr>
          <w:rFonts w:ascii="Book Antiqua" w:hAnsi="Book Antiqua" w:cs="Arial"/>
        </w:rPr>
        <w:t>multiple comparisons</w:t>
      </w:r>
      <w:r w:rsidR="005C4B8F" w:rsidRPr="00C311AE">
        <w:rPr>
          <w:rFonts w:ascii="Book Antiqua" w:hAnsi="Book Antiqua" w:cs="Arial"/>
        </w:rPr>
        <w:t xml:space="preserve">. Unanswered questions were excluded from the analyses. </w:t>
      </w:r>
      <w:r w:rsidR="00140CBB" w:rsidRPr="00C311AE">
        <w:rPr>
          <w:rFonts w:ascii="Book Antiqua" w:hAnsi="Book Antiqua" w:cs="Arial"/>
        </w:rPr>
        <w:t>G</w:t>
      </w:r>
      <w:r w:rsidR="00EC2F0B" w:rsidRPr="00C311AE">
        <w:rPr>
          <w:rFonts w:ascii="Book Antiqua" w:hAnsi="Book Antiqua" w:cs="Arial"/>
        </w:rPr>
        <w:t>p</w:t>
      </w:r>
      <w:r w:rsidR="00140CBB" w:rsidRPr="00C311AE">
        <w:rPr>
          <w:rFonts w:ascii="Book Antiqua" w:hAnsi="Book Antiqua" w:cs="Arial"/>
        </w:rPr>
        <w:t xml:space="preserve"> patients </w:t>
      </w:r>
      <w:r w:rsidR="00F30838" w:rsidRPr="00C311AE">
        <w:rPr>
          <w:rFonts w:ascii="Book Antiqua" w:hAnsi="Book Antiqua" w:cs="Arial"/>
        </w:rPr>
        <w:t xml:space="preserve">who were using </w:t>
      </w:r>
      <w:r w:rsidR="00140CBB" w:rsidRPr="00C311AE">
        <w:rPr>
          <w:rFonts w:ascii="Book Antiqua" w:hAnsi="Book Antiqua" w:cs="Arial"/>
        </w:rPr>
        <w:lastRenderedPageBreak/>
        <w:t>opioid</w:t>
      </w:r>
      <w:r w:rsidR="00F30838" w:rsidRPr="00C311AE">
        <w:rPr>
          <w:rFonts w:ascii="Book Antiqua" w:hAnsi="Book Antiqua" w:cs="Arial"/>
        </w:rPr>
        <w:t>s as needed</w:t>
      </w:r>
      <w:r w:rsidR="00E97FAF" w:rsidRPr="00C311AE">
        <w:rPr>
          <w:rFonts w:ascii="Book Antiqua" w:hAnsi="Book Antiqua" w:cs="Arial"/>
        </w:rPr>
        <w:t xml:space="preserve"> (</w:t>
      </w:r>
      <w:r w:rsidR="00E97FAF" w:rsidRPr="00C311AE">
        <w:rPr>
          <w:rFonts w:ascii="Book Antiqua" w:hAnsi="Book Antiqua" w:cs="Arial"/>
          <w:i/>
        </w:rPr>
        <w:t>n</w:t>
      </w:r>
      <w:r w:rsidR="00190691" w:rsidRPr="00C311AE">
        <w:rPr>
          <w:rFonts w:ascii="Book Antiqua" w:eastAsiaTheme="minorEastAsia" w:hAnsi="Book Antiqua" w:cs="Arial" w:hint="eastAsia"/>
          <w:lang w:eastAsia="zh-CN"/>
        </w:rPr>
        <w:t xml:space="preserve"> </w:t>
      </w:r>
      <w:r w:rsidR="00E97FAF"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AD681C" w:rsidRPr="00C311AE">
        <w:rPr>
          <w:rFonts w:ascii="Book Antiqua" w:hAnsi="Book Antiqua" w:cs="Arial"/>
        </w:rPr>
        <w:t>22</w:t>
      </w:r>
      <w:r w:rsidR="008D26CB" w:rsidRPr="00C311AE">
        <w:rPr>
          <w:rFonts w:ascii="Book Antiqua" w:hAnsi="Book Antiqua" w:cs="Arial"/>
        </w:rPr>
        <w:t xml:space="preserve">) </w:t>
      </w:r>
      <w:r w:rsidR="00D2414B" w:rsidRPr="00C311AE">
        <w:rPr>
          <w:rFonts w:ascii="Book Antiqua" w:hAnsi="Book Antiqua" w:cs="Arial"/>
        </w:rPr>
        <w:t>were not included in the analyse</w:t>
      </w:r>
      <w:r w:rsidR="00140CBB" w:rsidRPr="00C311AE">
        <w:rPr>
          <w:rFonts w:ascii="Book Antiqua" w:hAnsi="Book Antiqua" w:cs="Arial"/>
        </w:rPr>
        <w:t xml:space="preserve">s. </w:t>
      </w:r>
      <w:r w:rsidR="00887BE4" w:rsidRPr="00C311AE">
        <w:rPr>
          <w:rFonts w:ascii="Book Antiqua" w:hAnsi="Book Antiqua" w:cs="Arial"/>
        </w:rPr>
        <w:t xml:space="preserve">Statistical review of the study was performed by an epidemiologist/statistician of our department. </w:t>
      </w:r>
    </w:p>
    <w:p w14:paraId="11621B8A" w14:textId="77777777" w:rsidR="00402996" w:rsidRPr="00C311AE" w:rsidRDefault="00402996" w:rsidP="00020CC7">
      <w:pPr>
        <w:snapToGrid w:val="0"/>
        <w:spacing w:line="360" w:lineRule="auto"/>
        <w:jc w:val="both"/>
        <w:rPr>
          <w:rFonts w:ascii="Book Antiqua" w:hAnsi="Book Antiqua" w:cs="Arial"/>
        </w:rPr>
      </w:pPr>
    </w:p>
    <w:p w14:paraId="7BC740F1" w14:textId="02E32DFD" w:rsidR="00EC2F0B" w:rsidRPr="00C311AE" w:rsidRDefault="008D2D18" w:rsidP="00020CC7">
      <w:pPr>
        <w:autoSpaceDE w:val="0"/>
        <w:autoSpaceDN w:val="0"/>
        <w:adjustRightInd w:val="0"/>
        <w:snapToGrid w:val="0"/>
        <w:spacing w:line="360" w:lineRule="auto"/>
        <w:jc w:val="both"/>
        <w:rPr>
          <w:rFonts w:ascii="Book Antiqua" w:eastAsiaTheme="minorEastAsia" w:hAnsi="Book Antiqua" w:cs="Arial"/>
          <w:lang w:eastAsia="zh-CN"/>
        </w:rPr>
      </w:pPr>
      <w:r w:rsidRPr="00C311AE">
        <w:rPr>
          <w:rFonts w:ascii="Book Antiqua" w:hAnsi="Book Antiqua" w:cs="Arial"/>
          <w:b/>
        </w:rPr>
        <w:t xml:space="preserve">RESULTS </w:t>
      </w:r>
    </w:p>
    <w:p w14:paraId="26134627" w14:textId="77777777" w:rsidR="00B56E45" w:rsidRPr="00C311AE" w:rsidRDefault="00B56E45" w:rsidP="00020CC7">
      <w:pPr>
        <w:autoSpaceDE w:val="0"/>
        <w:autoSpaceDN w:val="0"/>
        <w:adjustRightInd w:val="0"/>
        <w:snapToGrid w:val="0"/>
        <w:spacing w:line="360" w:lineRule="auto"/>
        <w:jc w:val="both"/>
        <w:rPr>
          <w:rFonts w:ascii="Book Antiqua" w:hAnsi="Book Antiqua" w:cs="Arial"/>
          <w:b/>
          <w:i/>
        </w:rPr>
      </w:pPr>
      <w:r w:rsidRPr="00C311AE">
        <w:rPr>
          <w:rFonts w:ascii="Book Antiqua" w:hAnsi="Book Antiqua" w:cs="Arial"/>
          <w:b/>
          <w:i/>
        </w:rPr>
        <w:t>Patients</w:t>
      </w:r>
    </w:p>
    <w:p w14:paraId="28EEB1D1" w14:textId="672F4AFC" w:rsidR="00A845CE" w:rsidRPr="00C311AE" w:rsidRDefault="00593CA3" w:rsidP="00020CC7">
      <w:pPr>
        <w:autoSpaceDE w:val="0"/>
        <w:autoSpaceDN w:val="0"/>
        <w:adjustRightInd w:val="0"/>
        <w:snapToGrid w:val="0"/>
        <w:spacing w:line="360" w:lineRule="auto"/>
        <w:jc w:val="both"/>
        <w:rPr>
          <w:rFonts w:ascii="Book Antiqua" w:hAnsi="Book Antiqua" w:cs="Arial"/>
        </w:rPr>
      </w:pPr>
      <w:r w:rsidRPr="00C311AE">
        <w:rPr>
          <w:rFonts w:ascii="Book Antiqua" w:hAnsi="Book Antiqua" w:cs="Arial"/>
        </w:rPr>
        <w:t xml:space="preserve">Of </w:t>
      </w:r>
      <w:r w:rsidR="00084BD9" w:rsidRPr="00C311AE">
        <w:rPr>
          <w:rFonts w:ascii="Book Antiqua" w:hAnsi="Book Antiqua" w:cs="Arial"/>
        </w:rPr>
        <w:t>303</w:t>
      </w:r>
      <w:r w:rsidR="001E682B" w:rsidRPr="00C311AE">
        <w:rPr>
          <w:rFonts w:ascii="Book Antiqua" w:hAnsi="Book Antiqua" w:cs="Arial"/>
        </w:rPr>
        <w:t xml:space="preserve"> </w:t>
      </w:r>
      <w:r w:rsidRPr="00C311AE">
        <w:rPr>
          <w:rFonts w:ascii="Book Antiqua" w:hAnsi="Book Antiqua" w:cs="Arial"/>
        </w:rPr>
        <w:t xml:space="preserve">patients referred for </w:t>
      </w:r>
      <w:r w:rsidR="001E682B" w:rsidRPr="00C311AE">
        <w:rPr>
          <w:rFonts w:ascii="Book Antiqua" w:hAnsi="Book Antiqua" w:cs="Arial"/>
        </w:rPr>
        <w:t xml:space="preserve">symptoms suggestive of </w:t>
      </w:r>
      <w:r w:rsidRPr="00C311AE">
        <w:rPr>
          <w:rFonts w:ascii="Book Antiqua" w:hAnsi="Book Antiqua" w:cs="Arial"/>
        </w:rPr>
        <w:t>gastroparesis</w:t>
      </w:r>
      <w:r w:rsidR="001E682B" w:rsidRPr="00C311AE">
        <w:rPr>
          <w:rFonts w:ascii="Book Antiqua" w:hAnsi="Book Antiqua" w:cs="Arial"/>
        </w:rPr>
        <w:t xml:space="preserve"> in 1</w:t>
      </w:r>
      <w:r w:rsidR="00A80159" w:rsidRPr="00C311AE">
        <w:rPr>
          <w:rFonts w:ascii="Book Antiqua" w:hAnsi="Book Antiqua" w:cs="Arial"/>
        </w:rPr>
        <w:t>5</w:t>
      </w:r>
      <w:r w:rsidR="00C32997" w:rsidRPr="00C311AE">
        <w:rPr>
          <w:rFonts w:ascii="Book Antiqua" w:hAnsi="Book Antiqua" w:cs="Arial"/>
        </w:rPr>
        <w:t xml:space="preserve"> mo, </w:t>
      </w:r>
      <w:r w:rsidR="00084BD9" w:rsidRPr="00C311AE">
        <w:rPr>
          <w:rFonts w:ascii="Book Antiqua" w:hAnsi="Book Antiqua" w:cs="Arial"/>
        </w:rPr>
        <w:t>80</w:t>
      </w:r>
      <w:r w:rsidR="001E682B" w:rsidRPr="00C311AE">
        <w:rPr>
          <w:rFonts w:ascii="Book Antiqua" w:hAnsi="Book Antiqua" w:cs="Arial"/>
        </w:rPr>
        <w:t xml:space="preserve"> patients had normal gastric emptying tests and we</w:t>
      </w:r>
      <w:r w:rsidR="009134B6" w:rsidRPr="00C311AE">
        <w:rPr>
          <w:rFonts w:ascii="Book Antiqua" w:hAnsi="Book Antiqua" w:cs="Arial"/>
        </w:rPr>
        <w:t>re excluded from the analyse</w:t>
      </w:r>
      <w:r w:rsidR="00F0361C" w:rsidRPr="00C311AE">
        <w:rPr>
          <w:rFonts w:ascii="Book Antiqua" w:hAnsi="Book Antiqua" w:cs="Arial"/>
        </w:rPr>
        <w:t>s</w:t>
      </w:r>
      <w:r w:rsidR="00A44B88" w:rsidRPr="00C311AE">
        <w:rPr>
          <w:rFonts w:ascii="Book Antiqua" w:hAnsi="Book Antiqua" w:cs="Arial"/>
        </w:rPr>
        <w:t xml:space="preserve">. </w:t>
      </w:r>
      <w:r w:rsidR="00084BD9" w:rsidRPr="00C311AE">
        <w:rPr>
          <w:rFonts w:ascii="Book Antiqua" w:hAnsi="Book Antiqua" w:cs="Arial"/>
        </w:rPr>
        <w:t>Of the remaining 223</w:t>
      </w:r>
      <w:r w:rsidR="001E682B" w:rsidRPr="00C311AE">
        <w:rPr>
          <w:rFonts w:ascii="Book Antiqua" w:hAnsi="Book Antiqua" w:cs="Arial"/>
        </w:rPr>
        <w:t xml:space="preserve"> patients</w:t>
      </w:r>
      <w:r w:rsidR="00084BD9" w:rsidRPr="00C311AE">
        <w:rPr>
          <w:rFonts w:ascii="Book Antiqua" w:hAnsi="Book Antiqua" w:cs="Arial"/>
        </w:rPr>
        <w:t xml:space="preserve">, </w:t>
      </w:r>
      <w:r w:rsidR="005577AD" w:rsidRPr="00C311AE">
        <w:rPr>
          <w:rFonts w:ascii="Book Antiqua" w:hAnsi="Book Antiqua" w:cs="Arial"/>
        </w:rPr>
        <w:t>the majority (</w:t>
      </w:r>
      <w:r w:rsidR="005577AD" w:rsidRPr="00C311AE">
        <w:rPr>
          <w:rFonts w:ascii="Book Antiqua" w:hAnsi="Book Antiqua" w:cs="Arial"/>
          <w:i/>
        </w:rPr>
        <w:t>n</w:t>
      </w:r>
      <w:r w:rsidR="00190691" w:rsidRPr="00C311AE">
        <w:rPr>
          <w:rFonts w:ascii="Book Antiqua" w:eastAsiaTheme="minorEastAsia" w:hAnsi="Book Antiqua" w:cs="Arial" w:hint="eastAsia"/>
          <w:lang w:eastAsia="zh-CN"/>
        </w:rPr>
        <w:t xml:space="preserve"> </w:t>
      </w:r>
      <w:r w:rsidR="005577AD"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7E6FE7" w:rsidRPr="00C311AE">
        <w:rPr>
          <w:rFonts w:ascii="Book Antiqua" w:hAnsi="Book Antiqua" w:cs="Arial"/>
        </w:rPr>
        <w:t>196, 87.9</w:t>
      </w:r>
      <w:r w:rsidR="005577AD" w:rsidRPr="00C311AE">
        <w:rPr>
          <w:rFonts w:ascii="Book Antiqua" w:hAnsi="Book Antiqua" w:cs="Arial"/>
        </w:rPr>
        <w:t xml:space="preserve">%) had previously been diagnosed with Gp. </w:t>
      </w:r>
      <w:r w:rsidR="007E6FE7" w:rsidRPr="00C311AE">
        <w:rPr>
          <w:rFonts w:ascii="Book Antiqua" w:hAnsi="Book Antiqua" w:cs="Arial"/>
        </w:rPr>
        <w:t xml:space="preserve">More than half (52%) of the Gp patients came from outside the catchment area of TUH that we defined as </w:t>
      </w:r>
      <w:r w:rsidR="00E92FC1" w:rsidRPr="00C311AE">
        <w:rPr>
          <w:rFonts w:ascii="Book Antiqua" w:hAnsi="Book Antiqua" w:cs="Arial"/>
        </w:rPr>
        <w:t>more than</w:t>
      </w:r>
      <w:r w:rsidR="007E6FE7" w:rsidRPr="00C311AE">
        <w:rPr>
          <w:rFonts w:ascii="Book Antiqua" w:hAnsi="Book Antiqua" w:cs="Arial"/>
        </w:rPr>
        <w:t xml:space="preserve"> 50 miles from our center. </w:t>
      </w:r>
      <w:r w:rsidR="005577AD" w:rsidRPr="00C311AE">
        <w:rPr>
          <w:rFonts w:ascii="Book Antiqua" w:hAnsi="Book Antiqua" w:cs="Arial"/>
        </w:rPr>
        <w:t>T</w:t>
      </w:r>
      <w:r w:rsidR="004A515E" w:rsidRPr="00C311AE">
        <w:rPr>
          <w:rFonts w:ascii="Book Antiqua" w:hAnsi="Book Antiqua" w:cs="Arial"/>
        </w:rPr>
        <w:t>he most frequent type of Gp was idiopathic Gp (</w:t>
      </w:r>
      <w:r w:rsidR="00190691" w:rsidRPr="00C311AE">
        <w:rPr>
          <w:rFonts w:ascii="Book Antiqua" w:hAnsi="Book Antiqua" w:cs="Arial"/>
          <w:i/>
        </w:rPr>
        <w:t>n</w:t>
      </w:r>
      <w:r w:rsidR="00190691" w:rsidRPr="00C311AE">
        <w:rPr>
          <w:rFonts w:ascii="Book Antiqua" w:hAnsi="Book Antiqua" w:cs="Arial"/>
        </w:rPr>
        <w:t xml:space="preserve"> </w:t>
      </w:r>
      <w:r w:rsidR="004A515E"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084BD9" w:rsidRPr="00C311AE">
        <w:rPr>
          <w:rFonts w:ascii="Book Antiqua" w:hAnsi="Book Antiqua" w:cs="Arial"/>
        </w:rPr>
        <w:t>122</w:t>
      </w:r>
      <w:r w:rsidR="004A515E" w:rsidRPr="00C311AE">
        <w:rPr>
          <w:rFonts w:ascii="Book Antiqua" w:hAnsi="Book Antiqua" w:cs="Arial"/>
        </w:rPr>
        <w:t xml:space="preserve">; </w:t>
      </w:r>
      <w:r w:rsidR="00084BD9" w:rsidRPr="00C311AE">
        <w:rPr>
          <w:rFonts w:ascii="Book Antiqua" w:hAnsi="Book Antiqua" w:cs="Arial"/>
        </w:rPr>
        <w:t>54.7</w:t>
      </w:r>
      <w:r w:rsidR="004A515E" w:rsidRPr="00C311AE">
        <w:rPr>
          <w:rFonts w:ascii="Book Antiqua" w:hAnsi="Book Antiqua" w:cs="Arial"/>
        </w:rPr>
        <w:t>%), followed by diabetic Gp (</w:t>
      </w:r>
      <w:r w:rsidR="00190691" w:rsidRPr="00C311AE">
        <w:rPr>
          <w:rFonts w:ascii="Book Antiqua" w:hAnsi="Book Antiqua" w:cs="Arial"/>
          <w:i/>
        </w:rPr>
        <w:t>n</w:t>
      </w:r>
      <w:r w:rsidR="00190691" w:rsidRPr="00C311AE">
        <w:rPr>
          <w:rFonts w:ascii="Book Antiqua" w:hAnsi="Book Antiqua" w:cs="Arial"/>
        </w:rPr>
        <w:t xml:space="preserve"> </w:t>
      </w:r>
      <w:r w:rsidR="004A515E"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084BD9" w:rsidRPr="00C311AE">
        <w:rPr>
          <w:rFonts w:ascii="Book Antiqua" w:hAnsi="Book Antiqua" w:cs="Arial"/>
        </w:rPr>
        <w:t>62</w:t>
      </w:r>
      <w:r w:rsidR="004A515E" w:rsidRPr="00C311AE">
        <w:rPr>
          <w:rFonts w:ascii="Book Antiqua" w:hAnsi="Book Antiqua" w:cs="Arial"/>
        </w:rPr>
        <w:t xml:space="preserve">, </w:t>
      </w:r>
      <w:r w:rsidR="00084BD9" w:rsidRPr="00C311AE">
        <w:rPr>
          <w:rFonts w:ascii="Book Antiqua" w:hAnsi="Book Antiqua" w:cs="Arial"/>
        </w:rPr>
        <w:t>27.8</w:t>
      </w:r>
      <w:r w:rsidR="004A515E" w:rsidRPr="00C311AE">
        <w:rPr>
          <w:rFonts w:ascii="Book Antiqua" w:hAnsi="Book Antiqua" w:cs="Arial"/>
        </w:rPr>
        <w:t>%), post-surgical Gp (</w:t>
      </w:r>
      <w:r w:rsidR="00190691" w:rsidRPr="00C311AE">
        <w:rPr>
          <w:rFonts w:ascii="Book Antiqua" w:hAnsi="Book Antiqua" w:cs="Arial"/>
          <w:i/>
        </w:rPr>
        <w:t>n</w:t>
      </w:r>
      <w:r w:rsidR="00190691" w:rsidRPr="00C311AE">
        <w:rPr>
          <w:rFonts w:ascii="Book Antiqua" w:hAnsi="Book Antiqua" w:cs="Arial"/>
        </w:rPr>
        <w:t xml:space="preserve"> </w:t>
      </w:r>
      <w:r w:rsidR="004A515E"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920D91" w:rsidRPr="00C311AE">
        <w:rPr>
          <w:rFonts w:ascii="Book Antiqua" w:hAnsi="Book Antiqua" w:cs="Arial"/>
        </w:rPr>
        <w:t>20</w:t>
      </w:r>
      <w:r w:rsidR="004A515E" w:rsidRPr="00C311AE">
        <w:rPr>
          <w:rFonts w:ascii="Book Antiqua" w:hAnsi="Book Antiqua" w:cs="Arial"/>
        </w:rPr>
        <w:t xml:space="preserve">; </w:t>
      </w:r>
      <w:r w:rsidR="00920D91" w:rsidRPr="00C311AE">
        <w:rPr>
          <w:rFonts w:ascii="Book Antiqua" w:hAnsi="Book Antiqua" w:cs="Arial"/>
        </w:rPr>
        <w:t>9.0</w:t>
      </w:r>
      <w:r w:rsidR="004A515E" w:rsidRPr="00C311AE">
        <w:rPr>
          <w:rFonts w:ascii="Book Antiqua" w:hAnsi="Book Antiqua" w:cs="Arial"/>
        </w:rPr>
        <w:t>%), and atypical Gp (</w:t>
      </w:r>
      <w:r w:rsidR="00190691" w:rsidRPr="00C311AE">
        <w:rPr>
          <w:rFonts w:ascii="Book Antiqua" w:hAnsi="Book Antiqua" w:cs="Arial"/>
          <w:i/>
        </w:rPr>
        <w:t>n</w:t>
      </w:r>
      <w:r w:rsidR="00190691" w:rsidRPr="00C311AE">
        <w:rPr>
          <w:rFonts w:ascii="Book Antiqua" w:hAnsi="Book Antiqua" w:cs="Arial"/>
        </w:rPr>
        <w:t xml:space="preserve"> </w:t>
      </w:r>
      <w:r w:rsidR="004A515E"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920D91" w:rsidRPr="00C311AE">
        <w:rPr>
          <w:rFonts w:ascii="Book Antiqua" w:hAnsi="Book Antiqua" w:cs="Arial"/>
        </w:rPr>
        <w:t>19</w:t>
      </w:r>
      <w:r w:rsidR="004A515E" w:rsidRPr="00C311AE">
        <w:rPr>
          <w:rFonts w:ascii="Book Antiqua" w:hAnsi="Book Antiqua" w:cs="Arial"/>
        </w:rPr>
        <w:t xml:space="preserve">; </w:t>
      </w:r>
      <w:r w:rsidR="00920D91" w:rsidRPr="00C311AE">
        <w:rPr>
          <w:rFonts w:ascii="Book Antiqua" w:hAnsi="Book Antiqua" w:cs="Arial"/>
        </w:rPr>
        <w:t>8.5</w:t>
      </w:r>
      <w:r w:rsidR="004A515E" w:rsidRPr="00C311AE">
        <w:rPr>
          <w:rFonts w:ascii="Book Antiqua" w:hAnsi="Book Antiqua" w:cs="Arial"/>
        </w:rPr>
        <w:t>%</w:t>
      </w:r>
      <w:r w:rsidR="00A845CE" w:rsidRPr="00C311AE">
        <w:rPr>
          <w:rFonts w:ascii="Book Antiqua" w:hAnsi="Book Antiqua" w:cs="Arial"/>
        </w:rPr>
        <w:t>)</w:t>
      </w:r>
      <w:r w:rsidR="00A3662A" w:rsidRPr="00C311AE">
        <w:rPr>
          <w:rFonts w:ascii="Book Antiqua" w:hAnsi="Book Antiqua" w:cs="Arial"/>
        </w:rPr>
        <w:t xml:space="preserve"> (Table 1)</w:t>
      </w:r>
      <w:r w:rsidR="00A845CE" w:rsidRPr="00C311AE">
        <w:rPr>
          <w:rFonts w:ascii="Book Antiqua" w:hAnsi="Book Antiqua" w:cs="Arial"/>
        </w:rPr>
        <w:t xml:space="preserve">. </w:t>
      </w:r>
      <w:r w:rsidR="004A515E" w:rsidRPr="00C311AE">
        <w:rPr>
          <w:rFonts w:ascii="Book Antiqua" w:hAnsi="Book Antiqua" w:cs="Arial"/>
        </w:rPr>
        <w:t>The</w:t>
      </w:r>
      <w:r w:rsidR="00920D91" w:rsidRPr="00C311AE">
        <w:rPr>
          <w:rFonts w:ascii="Book Antiqua" w:hAnsi="Book Antiqua" w:cs="Arial"/>
        </w:rPr>
        <w:t xml:space="preserve"> me</w:t>
      </w:r>
      <w:r w:rsidR="00E4606B" w:rsidRPr="00C311AE">
        <w:rPr>
          <w:rFonts w:ascii="Book Antiqua" w:hAnsi="Book Antiqua" w:cs="Arial"/>
        </w:rPr>
        <w:t>dian</w:t>
      </w:r>
      <w:r w:rsidR="00920D91" w:rsidRPr="00C311AE">
        <w:rPr>
          <w:rFonts w:ascii="Book Antiqua" w:hAnsi="Book Antiqua" w:cs="Arial"/>
        </w:rPr>
        <w:t xml:space="preserve"> age of these patients was 44</w:t>
      </w:r>
      <w:r w:rsidR="00D04B9B" w:rsidRPr="00C311AE">
        <w:rPr>
          <w:rFonts w:ascii="Book Antiqua" w:hAnsi="Book Antiqua" w:cs="Arial"/>
        </w:rPr>
        <w:t xml:space="preserve"> years</w:t>
      </w:r>
      <w:r w:rsidR="004A515E" w:rsidRPr="00C311AE">
        <w:rPr>
          <w:rFonts w:ascii="Book Antiqua" w:hAnsi="Book Antiqua" w:cs="Arial"/>
        </w:rPr>
        <w:t xml:space="preserve"> (</w:t>
      </w:r>
      <w:r w:rsidR="00E4606B" w:rsidRPr="00C311AE">
        <w:rPr>
          <w:rFonts w:ascii="Book Antiqua" w:hAnsi="Book Antiqua" w:cs="Arial"/>
        </w:rPr>
        <w:t>interquartile range of 32 to 56 years</w:t>
      </w:r>
      <w:r w:rsidR="00920D91" w:rsidRPr="00C311AE">
        <w:rPr>
          <w:rFonts w:ascii="Book Antiqua" w:hAnsi="Book Antiqua" w:cs="Arial"/>
        </w:rPr>
        <w:t>), and 80.7</w:t>
      </w:r>
      <w:r w:rsidR="004A515E" w:rsidRPr="00C311AE">
        <w:rPr>
          <w:rFonts w:ascii="Book Antiqua" w:hAnsi="Book Antiqua" w:cs="Arial"/>
        </w:rPr>
        <w:t xml:space="preserve">% were females. </w:t>
      </w:r>
      <w:r w:rsidR="00B82C49" w:rsidRPr="00C311AE">
        <w:rPr>
          <w:rFonts w:ascii="Book Antiqua" w:hAnsi="Book Antiqua" w:cs="Arial"/>
        </w:rPr>
        <w:t>Amongst 210 patients who reported their race, t</w:t>
      </w:r>
      <w:r w:rsidR="004A515E" w:rsidRPr="00C311AE">
        <w:rPr>
          <w:rFonts w:ascii="Book Antiqua" w:hAnsi="Book Antiqua" w:cs="Arial"/>
        </w:rPr>
        <w:t>he most common races were Whites (</w:t>
      </w:r>
      <w:r w:rsidR="00B82C49" w:rsidRPr="00C311AE">
        <w:rPr>
          <w:rFonts w:ascii="Book Antiqua" w:hAnsi="Book Antiqua" w:cs="Arial"/>
        </w:rPr>
        <w:t>79.4)</w:t>
      </w:r>
      <w:r w:rsidR="004A515E" w:rsidRPr="00C311AE">
        <w:rPr>
          <w:rFonts w:ascii="Book Antiqua" w:hAnsi="Book Antiqua" w:cs="Arial"/>
        </w:rPr>
        <w:t xml:space="preserve">, </w:t>
      </w:r>
      <w:r w:rsidR="00920D91" w:rsidRPr="00C311AE">
        <w:rPr>
          <w:rFonts w:ascii="Book Antiqua" w:hAnsi="Book Antiqua" w:cs="Arial"/>
        </w:rPr>
        <w:t>African Americans</w:t>
      </w:r>
      <w:r w:rsidR="00B82C49" w:rsidRPr="00C311AE">
        <w:rPr>
          <w:rFonts w:ascii="Book Antiqua" w:hAnsi="Book Antiqua" w:cs="Arial"/>
        </w:rPr>
        <w:t xml:space="preserve"> (7.6%) and Hispanics (6.7%</w:t>
      </w:r>
      <w:r w:rsidR="00DE7757" w:rsidRPr="00C311AE">
        <w:rPr>
          <w:rFonts w:ascii="Book Antiqua" w:hAnsi="Book Antiqua" w:cs="Arial"/>
        </w:rPr>
        <w:t>)</w:t>
      </w:r>
      <w:r w:rsidR="004A515E" w:rsidRPr="00C311AE">
        <w:rPr>
          <w:rFonts w:ascii="Book Antiqua" w:hAnsi="Book Antiqua" w:cs="Arial"/>
        </w:rPr>
        <w:t xml:space="preserve">. </w:t>
      </w:r>
      <w:r w:rsidR="00A845CE" w:rsidRPr="00C311AE">
        <w:rPr>
          <w:rFonts w:ascii="Book Antiqua" w:hAnsi="Book Antiqua" w:cs="Arial"/>
        </w:rPr>
        <w:t>Over two third of patients with Gp (</w:t>
      </w:r>
      <w:r w:rsidR="00190691" w:rsidRPr="00C311AE">
        <w:rPr>
          <w:rFonts w:ascii="Book Antiqua" w:hAnsi="Book Antiqua" w:cs="Arial"/>
          <w:i/>
        </w:rPr>
        <w:t>n</w:t>
      </w:r>
      <w:r w:rsidR="00190691" w:rsidRPr="00C311AE">
        <w:rPr>
          <w:rFonts w:ascii="Book Antiqua" w:hAnsi="Book Antiqua" w:cs="Arial"/>
        </w:rPr>
        <w:t xml:space="preserve"> </w:t>
      </w:r>
      <w:r w:rsidR="00A845CE"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DE7757" w:rsidRPr="00C311AE">
        <w:rPr>
          <w:rFonts w:ascii="Book Antiqua" w:hAnsi="Book Antiqua" w:cs="Arial"/>
        </w:rPr>
        <w:t>158</w:t>
      </w:r>
      <w:r w:rsidR="00A845CE" w:rsidRPr="00C311AE">
        <w:rPr>
          <w:rFonts w:ascii="Book Antiqua" w:hAnsi="Book Antiqua" w:cs="Arial"/>
        </w:rPr>
        <w:t xml:space="preserve">, </w:t>
      </w:r>
      <w:r w:rsidR="00DE7757" w:rsidRPr="00C311AE">
        <w:rPr>
          <w:rFonts w:ascii="Book Antiqua" w:hAnsi="Book Antiqua" w:cs="Arial"/>
        </w:rPr>
        <w:t>70.9</w:t>
      </w:r>
      <w:r w:rsidR="00A845CE" w:rsidRPr="00C311AE">
        <w:rPr>
          <w:rFonts w:ascii="Book Antiqua" w:hAnsi="Book Antiqua" w:cs="Arial"/>
        </w:rPr>
        <w:t xml:space="preserve">%) were not taking opioids, </w:t>
      </w:r>
      <w:r w:rsidR="00DE7757" w:rsidRPr="00C311AE">
        <w:rPr>
          <w:rFonts w:ascii="Book Antiqua" w:hAnsi="Book Antiqua" w:cs="Arial"/>
        </w:rPr>
        <w:t>22</w:t>
      </w:r>
      <w:r w:rsidR="00A845CE" w:rsidRPr="00C311AE">
        <w:rPr>
          <w:rFonts w:ascii="Book Antiqua" w:hAnsi="Book Antiqua" w:cs="Arial"/>
        </w:rPr>
        <w:t xml:space="preserve"> (9.9%) wer</w:t>
      </w:r>
      <w:r w:rsidR="00DE7757" w:rsidRPr="00C311AE">
        <w:rPr>
          <w:rFonts w:ascii="Book Antiqua" w:hAnsi="Book Antiqua" w:cs="Arial"/>
        </w:rPr>
        <w:t>e taking opioids only as needed,</w:t>
      </w:r>
      <w:r w:rsidR="00A845CE" w:rsidRPr="00C311AE">
        <w:rPr>
          <w:rFonts w:ascii="Book Antiqua" w:hAnsi="Book Antiqua" w:cs="Arial"/>
        </w:rPr>
        <w:t xml:space="preserve"> while </w:t>
      </w:r>
      <w:r w:rsidR="00DE7757" w:rsidRPr="00C311AE">
        <w:rPr>
          <w:rFonts w:ascii="Book Antiqua" w:hAnsi="Book Antiqua" w:cs="Arial"/>
        </w:rPr>
        <w:t>43 (19.3</w:t>
      </w:r>
      <w:r w:rsidR="00A845CE" w:rsidRPr="00C311AE">
        <w:rPr>
          <w:rFonts w:ascii="Book Antiqua" w:hAnsi="Book Antiqua" w:cs="Arial"/>
        </w:rPr>
        <w:t>%) were on chronic scheduled opioids (Table 1).</w:t>
      </w:r>
    </w:p>
    <w:p w14:paraId="253F4500" w14:textId="77777777" w:rsidR="00143822" w:rsidRPr="00C311AE" w:rsidRDefault="00143822" w:rsidP="00020CC7">
      <w:pPr>
        <w:autoSpaceDE w:val="0"/>
        <w:autoSpaceDN w:val="0"/>
        <w:adjustRightInd w:val="0"/>
        <w:snapToGrid w:val="0"/>
        <w:spacing w:line="360" w:lineRule="auto"/>
        <w:ind w:firstLine="720"/>
        <w:jc w:val="both"/>
        <w:rPr>
          <w:rFonts w:ascii="Book Antiqua" w:hAnsi="Book Antiqua" w:cs="Arial"/>
        </w:rPr>
      </w:pPr>
    </w:p>
    <w:p w14:paraId="465B8F66" w14:textId="77777777" w:rsidR="00143822" w:rsidRPr="00C311AE" w:rsidRDefault="00143822" w:rsidP="00020CC7">
      <w:pPr>
        <w:autoSpaceDE w:val="0"/>
        <w:autoSpaceDN w:val="0"/>
        <w:adjustRightInd w:val="0"/>
        <w:snapToGrid w:val="0"/>
        <w:spacing w:line="360" w:lineRule="auto"/>
        <w:jc w:val="both"/>
        <w:rPr>
          <w:rFonts w:ascii="Book Antiqua" w:hAnsi="Book Antiqua" w:cs="Arial"/>
          <w:b/>
          <w:i/>
        </w:rPr>
      </w:pPr>
      <w:r w:rsidRPr="00C311AE">
        <w:rPr>
          <w:rFonts w:ascii="Book Antiqua" w:hAnsi="Book Antiqua" w:cs="Arial"/>
          <w:b/>
          <w:i/>
        </w:rPr>
        <w:t xml:space="preserve">Gastroparesis patients on chronic scheduled opioids </w:t>
      </w:r>
    </w:p>
    <w:p w14:paraId="1B8E1323" w14:textId="6C87D48B" w:rsidR="00100ACD" w:rsidRPr="00C311AE" w:rsidRDefault="00143822" w:rsidP="00020CC7">
      <w:pPr>
        <w:autoSpaceDE w:val="0"/>
        <w:autoSpaceDN w:val="0"/>
        <w:adjustRightInd w:val="0"/>
        <w:snapToGrid w:val="0"/>
        <w:spacing w:line="360" w:lineRule="auto"/>
        <w:jc w:val="both"/>
        <w:rPr>
          <w:rFonts w:ascii="Book Antiqua" w:hAnsi="Book Antiqua" w:cs="Arial"/>
        </w:rPr>
      </w:pPr>
      <w:r w:rsidRPr="00C311AE">
        <w:rPr>
          <w:rFonts w:ascii="Book Antiqua" w:hAnsi="Book Antiqua" w:cs="Arial"/>
        </w:rPr>
        <w:t>Amongst the</w:t>
      </w:r>
      <w:r w:rsidR="00DE7757" w:rsidRPr="00C311AE">
        <w:rPr>
          <w:rFonts w:ascii="Book Antiqua" w:hAnsi="Book Antiqua" w:cs="Arial"/>
        </w:rPr>
        <w:t xml:space="preserve"> 43</w:t>
      </w:r>
      <w:r w:rsidRPr="00C311AE">
        <w:rPr>
          <w:rFonts w:ascii="Book Antiqua" w:hAnsi="Book Antiqua" w:cs="Arial"/>
        </w:rPr>
        <w:t xml:space="preserve"> patients on chronic scheduled opioids, </w:t>
      </w:r>
      <w:r w:rsidR="00E92FC1" w:rsidRPr="00C311AE">
        <w:rPr>
          <w:rFonts w:ascii="Book Antiqua" w:hAnsi="Book Antiqua" w:cs="Arial"/>
        </w:rPr>
        <w:t xml:space="preserve">6 (14%) were taking opioids exclusively for Gp and/or stomach pain, while another </w:t>
      </w:r>
      <w:r w:rsidR="00DE7757" w:rsidRPr="00C311AE">
        <w:rPr>
          <w:rFonts w:ascii="Book Antiqua" w:hAnsi="Book Antiqua" w:cs="Arial"/>
        </w:rPr>
        <w:t>1</w:t>
      </w:r>
      <w:r w:rsidR="00E92FC1" w:rsidRPr="00C311AE">
        <w:rPr>
          <w:rFonts w:ascii="Book Antiqua" w:hAnsi="Book Antiqua" w:cs="Arial"/>
        </w:rPr>
        <w:t>2</w:t>
      </w:r>
      <w:r w:rsidR="00DE7757" w:rsidRPr="00C311AE">
        <w:rPr>
          <w:rFonts w:ascii="Book Antiqua" w:hAnsi="Book Antiqua" w:cs="Arial"/>
        </w:rPr>
        <w:t xml:space="preserve"> (</w:t>
      </w:r>
      <w:r w:rsidR="00E92FC1" w:rsidRPr="00C311AE">
        <w:rPr>
          <w:rFonts w:ascii="Book Antiqua" w:hAnsi="Book Antiqua" w:cs="Arial"/>
        </w:rPr>
        <w:t>27</w:t>
      </w:r>
      <w:r w:rsidR="00DE7757" w:rsidRPr="00C311AE">
        <w:rPr>
          <w:rFonts w:ascii="Book Antiqua" w:hAnsi="Book Antiqua" w:cs="Arial"/>
        </w:rPr>
        <w:t>.9</w:t>
      </w:r>
      <w:r w:rsidRPr="00C311AE">
        <w:rPr>
          <w:rFonts w:ascii="Book Antiqua" w:hAnsi="Book Antiqua" w:cs="Arial"/>
        </w:rPr>
        <w:t xml:space="preserve">%) were taking opioids for </w:t>
      </w:r>
      <w:r w:rsidR="00DE7757" w:rsidRPr="00C311AE">
        <w:rPr>
          <w:rFonts w:ascii="Book Antiqua" w:hAnsi="Book Antiqua" w:cs="Arial"/>
        </w:rPr>
        <w:t xml:space="preserve">reasons that included </w:t>
      </w:r>
      <w:r w:rsidRPr="00C311AE">
        <w:rPr>
          <w:rFonts w:ascii="Book Antiqua" w:hAnsi="Book Antiqua" w:cs="Arial"/>
        </w:rPr>
        <w:t xml:space="preserve">Gp and/or stomach pain. Other frequent causes of opioid use included back pain </w:t>
      </w:r>
      <w:r w:rsidR="00DE7757" w:rsidRPr="00C311AE">
        <w:rPr>
          <w:rFonts w:ascii="Book Antiqua" w:hAnsi="Book Antiqua" w:cs="Arial"/>
        </w:rPr>
        <w:t>(</w:t>
      </w:r>
      <w:r w:rsidR="00190691" w:rsidRPr="00C311AE">
        <w:rPr>
          <w:rFonts w:ascii="Book Antiqua" w:hAnsi="Book Antiqua" w:cs="Arial"/>
          <w:i/>
        </w:rPr>
        <w:t>n</w:t>
      </w:r>
      <w:r w:rsidR="00190691" w:rsidRPr="00C311AE">
        <w:rPr>
          <w:rFonts w:ascii="Book Antiqua" w:hAnsi="Book Antiqua" w:cs="Arial"/>
        </w:rPr>
        <w:t xml:space="preserve"> </w:t>
      </w:r>
      <w:r w:rsidR="00B82C49"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DE7757" w:rsidRPr="00C311AE">
        <w:rPr>
          <w:rFonts w:ascii="Book Antiqua" w:hAnsi="Book Antiqua" w:cs="Arial"/>
        </w:rPr>
        <w:t>27, 62.8</w:t>
      </w:r>
      <w:r w:rsidR="00F0361C" w:rsidRPr="00C311AE">
        <w:rPr>
          <w:rFonts w:ascii="Book Antiqua" w:hAnsi="Book Antiqua" w:cs="Arial"/>
        </w:rPr>
        <w:t>%</w:t>
      </w:r>
      <w:r w:rsidRPr="00C311AE">
        <w:rPr>
          <w:rFonts w:ascii="Book Antiqua" w:hAnsi="Book Antiqua" w:cs="Arial"/>
        </w:rPr>
        <w:t>), leg pain (</w:t>
      </w:r>
      <w:r w:rsidR="00190691" w:rsidRPr="00C311AE">
        <w:rPr>
          <w:rFonts w:ascii="Book Antiqua" w:hAnsi="Book Antiqua" w:cs="Arial"/>
          <w:i/>
        </w:rPr>
        <w:t>n</w:t>
      </w:r>
      <w:r w:rsidR="00190691" w:rsidRPr="00C311AE">
        <w:rPr>
          <w:rFonts w:ascii="Book Antiqua" w:hAnsi="Book Antiqua" w:cs="Arial"/>
        </w:rPr>
        <w:t xml:space="preserve"> </w:t>
      </w:r>
      <w:r w:rsidR="00F0361C" w:rsidRPr="00C311AE">
        <w:rPr>
          <w:rFonts w:ascii="Book Antiqua" w:hAnsi="Book Antiqua" w:cs="Arial"/>
        </w:rPr>
        <w:t>=</w:t>
      </w:r>
      <w:r w:rsidR="00190691" w:rsidRPr="00C311AE">
        <w:rPr>
          <w:rFonts w:ascii="Book Antiqua" w:eastAsiaTheme="minorEastAsia" w:hAnsi="Book Antiqua" w:cs="Arial" w:hint="eastAsia"/>
          <w:lang w:eastAsia="zh-CN"/>
        </w:rPr>
        <w:t xml:space="preserve"> </w:t>
      </w:r>
      <w:r w:rsidR="00DE7757" w:rsidRPr="00C311AE">
        <w:rPr>
          <w:rFonts w:ascii="Book Antiqua" w:hAnsi="Book Antiqua" w:cs="Arial"/>
        </w:rPr>
        <w:t>10), arthritis (5</w:t>
      </w:r>
      <w:r w:rsidRPr="00C311AE">
        <w:rPr>
          <w:rFonts w:ascii="Book Antiqua" w:hAnsi="Book Antiqua" w:cs="Arial"/>
        </w:rPr>
        <w:t>), fibromyalgia (4), Reflux Sympathetic Dystrophy (</w:t>
      </w:r>
      <w:r w:rsidR="00DE7757" w:rsidRPr="00C311AE">
        <w:rPr>
          <w:rFonts w:ascii="Book Antiqua" w:hAnsi="Book Antiqua" w:cs="Arial"/>
        </w:rPr>
        <w:t>3</w:t>
      </w:r>
      <w:r w:rsidRPr="00C311AE">
        <w:rPr>
          <w:rFonts w:ascii="Book Antiqua" w:hAnsi="Book Antiqua" w:cs="Arial"/>
        </w:rPr>
        <w:t>)</w:t>
      </w:r>
      <w:r w:rsidR="00DE7757" w:rsidRPr="00C311AE">
        <w:rPr>
          <w:rFonts w:ascii="Book Antiqua" w:hAnsi="Book Antiqua" w:cs="Arial"/>
        </w:rPr>
        <w:t>, and neuropathy (2)</w:t>
      </w:r>
      <w:r w:rsidR="00374C25" w:rsidRPr="00C311AE">
        <w:rPr>
          <w:rFonts w:ascii="Book Antiqua" w:hAnsi="Book Antiqua" w:cs="Arial"/>
        </w:rPr>
        <w:t>. Nearly one fourth</w:t>
      </w:r>
      <w:r w:rsidRPr="00C311AE">
        <w:rPr>
          <w:rFonts w:ascii="Book Antiqua" w:hAnsi="Book Antiqua" w:cs="Arial"/>
        </w:rPr>
        <w:t xml:space="preserve"> of these patients (</w:t>
      </w:r>
      <w:r w:rsidR="00374C25" w:rsidRPr="00C311AE">
        <w:rPr>
          <w:rFonts w:ascii="Book Antiqua" w:hAnsi="Book Antiqua" w:cs="Arial"/>
        </w:rPr>
        <w:t>n=10, 23.3</w:t>
      </w:r>
      <w:r w:rsidRPr="00C311AE">
        <w:rPr>
          <w:rFonts w:ascii="Book Antiqua" w:hAnsi="Book Antiqua" w:cs="Arial"/>
        </w:rPr>
        <w:t>%) were taking more than 1 opioid. The opioids used chronically included</w:t>
      </w:r>
      <w:r w:rsidR="00374C25" w:rsidRPr="00C311AE">
        <w:rPr>
          <w:rFonts w:ascii="Book Antiqua" w:hAnsi="Book Antiqua" w:cs="Arial"/>
        </w:rPr>
        <w:t xml:space="preserve"> oxycodone (18</w:t>
      </w:r>
      <w:r w:rsidRPr="00C311AE">
        <w:rPr>
          <w:rFonts w:ascii="Book Antiqua" w:hAnsi="Book Antiqua" w:cs="Arial"/>
        </w:rPr>
        <w:t xml:space="preserve"> patients), fentanyl (9),</w:t>
      </w:r>
      <w:r w:rsidR="00374C25" w:rsidRPr="00C311AE">
        <w:rPr>
          <w:rFonts w:ascii="Book Antiqua" w:hAnsi="Book Antiqua" w:cs="Arial"/>
        </w:rPr>
        <w:t xml:space="preserve"> methadone (5), morphine (5</w:t>
      </w:r>
      <w:r w:rsidRPr="00C311AE">
        <w:rPr>
          <w:rFonts w:ascii="Book Antiqua" w:hAnsi="Book Antiqua" w:cs="Arial"/>
        </w:rPr>
        <w:t xml:space="preserve">), </w:t>
      </w:r>
      <w:r w:rsidR="00374C25" w:rsidRPr="00C311AE">
        <w:rPr>
          <w:rFonts w:ascii="Book Antiqua" w:hAnsi="Book Antiqua" w:cs="Arial"/>
        </w:rPr>
        <w:t xml:space="preserve">tramadol (5), hydromorphone (4), </w:t>
      </w:r>
      <w:r w:rsidRPr="00C311AE">
        <w:rPr>
          <w:rFonts w:ascii="Book Antiqua" w:hAnsi="Book Antiqua" w:cs="Arial"/>
        </w:rPr>
        <w:t xml:space="preserve">hydrocodone (3), </w:t>
      </w:r>
      <w:r w:rsidR="00374C25" w:rsidRPr="00C311AE">
        <w:rPr>
          <w:rFonts w:ascii="Book Antiqua" w:hAnsi="Book Antiqua" w:cs="Arial"/>
        </w:rPr>
        <w:t xml:space="preserve">and oxymorphone (2). </w:t>
      </w:r>
      <w:r w:rsidR="00E4606B" w:rsidRPr="00C311AE">
        <w:rPr>
          <w:rFonts w:ascii="Book Antiqua" w:hAnsi="Book Antiqua" w:cs="Arial"/>
        </w:rPr>
        <w:t xml:space="preserve">Median </w:t>
      </w:r>
      <w:r w:rsidRPr="00C311AE">
        <w:rPr>
          <w:rFonts w:ascii="Book Antiqua" w:hAnsi="Book Antiqua" w:cs="Arial"/>
        </w:rPr>
        <w:t xml:space="preserve">duration of narcotic use was </w:t>
      </w:r>
      <w:r w:rsidR="00E4606B" w:rsidRPr="00C311AE">
        <w:rPr>
          <w:rFonts w:ascii="Book Antiqua" w:hAnsi="Book Antiqua" w:cs="Arial"/>
        </w:rPr>
        <w:t>2 years (interquartile range of 0.6-6.5 years)</w:t>
      </w:r>
      <w:r w:rsidRPr="00C311AE">
        <w:rPr>
          <w:rFonts w:ascii="Book Antiqua" w:hAnsi="Book Antiqua" w:cs="Arial"/>
        </w:rPr>
        <w:t xml:space="preserve">. </w:t>
      </w:r>
      <w:r w:rsidR="00100ACD" w:rsidRPr="00C311AE">
        <w:rPr>
          <w:rFonts w:ascii="Book Antiqua" w:hAnsi="Book Antiqua" w:cs="Arial"/>
        </w:rPr>
        <w:t xml:space="preserve">Median oral morphine </w:t>
      </w:r>
      <w:r w:rsidR="00100ACD" w:rsidRPr="00C311AE">
        <w:rPr>
          <w:rFonts w:ascii="Book Antiqua" w:hAnsi="Book Antiqua" w:cs="Arial"/>
        </w:rPr>
        <w:lastRenderedPageBreak/>
        <w:t>equivalent dose for GpCO was</w:t>
      </w:r>
      <w:r w:rsidR="00374C25" w:rsidRPr="00C311AE">
        <w:rPr>
          <w:rFonts w:ascii="Book Antiqua" w:hAnsi="Book Antiqua" w:cs="Arial"/>
        </w:rPr>
        <w:t xml:space="preserve"> </w:t>
      </w:r>
      <w:r w:rsidR="00190691" w:rsidRPr="00C311AE">
        <w:rPr>
          <w:rFonts w:ascii="Book Antiqua" w:hAnsi="Book Antiqua" w:cs="Arial"/>
        </w:rPr>
        <w:t>60 mg/d</w:t>
      </w:r>
      <w:r w:rsidR="00374C25" w:rsidRPr="00C311AE">
        <w:rPr>
          <w:rFonts w:ascii="Book Antiqua" w:hAnsi="Book Antiqua" w:cs="Arial"/>
        </w:rPr>
        <w:t>, with interquartile range of 22.5 mg to 112.5</w:t>
      </w:r>
      <w:r w:rsidR="00100ACD" w:rsidRPr="00C311AE">
        <w:rPr>
          <w:rFonts w:ascii="Book Antiqua" w:hAnsi="Book Antiqua" w:cs="Arial"/>
        </w:rPr>
        <w:t xml:space="preserve"> mg per day.  </w:t>
      </w:r>
    </w:p>
    <w:p w14:paraId="419915BE" w14:textId="5D20A153" w:rsidR="00143822" w:rsidRPr="00C311AE" w:rsidRDefault="007E1291" w:rsidP="00020CC7">
      <w:pPr>
        <w:autoSpaceDE w:val="0"/>
        <w:autoSpaceDN w:val="0"/>
        <w:adjustRightInd w:val="0"/>
        <w:snapToGrid w:val="0"/>
        <w:spacing w:line="360" w:lineRule="auto"/>
        <w:ind w:firstLineChars="100" w:firstLine="240"/>
        <w:jc w:val="both"/>
        <w:rPr>
          <w:rFonts w:ascii="Book Antiqua" w:hAnsi="Book Antiqua" w:cs="Arial"/>
        </w:rPr>
      </w:pPr>
      <w:r w:rsidRPr="00C311AE">
        <w:rPr>
          <w:rFonts w:ascii="Book Antiqua" w:hAnsi="Book Antiqua" w:cs="Arial"/>
        </w:rPr>
        <w:t>P</w:t>
      </w:r>
      <w:r w:rsidR="00620EA3" w:rsidRPr="00C311AE">
        <w:rPr>
          <w:rFonts w:ascii="Book Antiqua" w:hAnsi="Book Antiqua" w:cs="Arial"/>
        </w:rPr>
        <w:t>atients with diabetic gastroparesis were more likely to be on chronic scheduled opioids</w:t>
      </w:r>
      <w:r w:rsidRPr="00C311AE">
        <w:rPr>
          <w:rFonts w:ascii="Book Antiqua" w:hAnsi="Book Antiqua" w:cs="Arial"/>
        </w:rPr>
        <w:t xml:space="preserve"> (</w:t>
      </w:r>
      <w:r w:rsidR="00981776" w:rsidRPr="00C311AE">
        <w:rPr>
          <w:rFonts w:ascii="Book Antiqua" w:hAnsi="Book Antiqua" w:cs="Arial"/>
        </w:rPr>
        <w:t xml:space="preserve">24.2 % </w:t>
      </w:r>
      <w:r w:rsidRPr="00C311AE">
        <w:rPr>
          <w:rFonts w:ascii="Book Antiqua" w:hAnsi="Book Antiqua" w:cs="Arial"/>
          <w:i/>
        </w:rPr>
        <w:t>vs</w:t>
      </w:r>
      <w:r w:rsidR="00190691" w:rsidRPr="00C311AE">
        <w:rPr>
          <w:rFonts w:ascii="Book Antiqua" w:eastAsiaTheme="minorEastAsia" w:hAnsi="Book Antiqua" w:cs="Arial" w:hint="eastAsia"/>
          <w:lang w:eastAsia="zh-CN"/>
        </w:rPr>
        <w:t xml:space="preserve"> </w:t>
      </w:r>
      <w:r w:rsidR="00981776" w:rsidRPr="00C311AE">
        <w:rPr>
          <w:rFonts w:ascii="Book Antiqua" w:hAnsi="Book Antiqua" w:cs="Arial"/>
        </w:rPr>
        <w:t>18.9%</w:t>
      </w:r>
      <w:r w:rsidRPr="00C311AE">
        <w:rPr>
          <w:rFonts w:ascii="Book Antiqua" w:hAnsi="Book Antiqua" w:cs="Arial"/>
        </w:rPr>
        <w:t>)</w:t>
      </w:r>
      <w:r w:rsidR="00620EA3" w:rsidRPr="00C311AE">
        <w:rPr>
          <w:rFonts w:ascii="Book Antiqua" w:hAnsi="Book Antiqua" w:cs="Arial"/>
        </w:rPr>
        <w:t>, or as needed opioids</w:t>
      </w:r>
      <w:r w:rsidRPr="00C311AE">
        <w:rPr>
          <w:rFonts w:ascii="Book Antiqua" w:hAnsi="Book Antiqua" w:cs="Arial"/>
        </w:rPr>
        <w:t xml:space="preserve"> (</w:t>
      </w:r>
      <w:r w:rsidR="00981776" w:rsidRPr="00C311AE">
        <w:rPr>
          <w:rFonts w:ascii="Book Antiqua" w:hAnsi="Book Antiqua" w:cs="Arial"/>
        </w:rPr>
        <w:t>14.5%</w:t>
      </w:r>
      <w:r w:rsidR="00190691" w:rsidRPr="00C311AE">
        <w:rPr>
          <w:rFonts w:ascii="Book Antiqua" w:hAnsi="Book Antiqua" w:cs="Arial"/>
          <w:i/>
        </w:rPr>
        <w:t xml:space="preserve"> vs</w:t>
      </w:r>
      <w:r w:rsidR="00190691" w:rsidRPr="00C311AE">
        <w:rPr>
          <w:rFonts w:ascii="Book Antiqua" w:hAnsi="Book Antiqua" w:cs="Arial"/>
        </w:rPr>
        <w:t xml:space="preserve"> </w:t>
      </w:r>
      <w:r w:rsidR="00981776" w:rsidRPr="00C311AE">
        <w:rPr>
          <w:rFonts w:ascii="Book Antiqua" w:hAnsi="Book Antiqua" w:cs="Arial"/>
        </w:rPr>
        <w:t>4.9%</w:t>
      </w:r>
      <w:r w:rsidRPr="00C311AE">
        <w:rPr>
          <w:rFonts w:ascii="Book Antiqua" w:hAnsi="Book Antiqua" w:cs="Arial"/>
        </w:rPr>
        <w:t>)</w:t>
      </w:r>
      <w:r w:rsidR="00981776" w:rsidRPr="00C311AE">
        <w:rPr>
          <w:rFonts w:ascii="Book Antiqua" w:hAnsi="Book Antiqua" w:cs="Arial"/>
        </w:rPr>
        <w:t xml:space="preserve">, </w:t>
      </w:r>
      <w:r w:rsidR="009134B6" w:rsidRPr="00C311AE">
        <w:rPr>
          <w:rFonts w:ascii="Book Antiqua" w:hAnsi="Book Antiqua" w:cs="Arial"/>
        </w:rPr>
        <w:t xml:space="preserve">when </w:t>
      </w:r>
      <w:r w:rsidR="00981776" w:rsidRPr="00C311AE">
        <w:rPr>
          <w:rFonts w:ascii="Book Antiqua" w:hAnsi="Book Antiqua" w:cs="Arial"/>
        </w:rPr>
        <w:t xml:space="preserve">compared to the patients with </w:t>
      </w:r>
      <w:r w:rsidR="00620EA3" w:rsidRPr="00C311AE">
        <w:rPr>
          <w:rFonts w:ascii="Book Antiqua" w:hAnsi="Book Antiqua" w:cs="Arial"/>
        </w:rPr>
        <w:t xml:space="preserve">idiopathic gastroparesis </w:t>
      </w:r>
      <w:r w:rsidR="00981776" w:rsidRPr="00C311AE">
        <w:rPr>
          <w:rFonts w:ascii="Book Antiqua" w:hAnsi="Book Antiqua" w:cs="Arial"/>
        </w:rPr>
        <w:t xml:space="preserve">who </w:t>
      </w:r>
      <w:r w:rsidR="00620EA3" w:rsidRPr="00C311AE">
        <w:rPr>
          <w:rFonts w:ascii="Book Antiqua" w:hAnsi="Book Antiqua" w:cs="Arial"/>
        </w:rPr>
        <w:t>were more likely to be non-opioid users (</w:t>
      </w:r>
      <w:r w:rsidR="00981776" w:rsidRPr="00C311AE">
        <w:rPr>
          <w:rFonts w:ascii="Book Antiqua" w:hAnsi="Book Antiqua" w:cs="Arial"/>
        </w:rPr>
        <w:t>76.2%</w:t>
      </w:r>
      <w:r w:rsidR="00190691" w:rsidRPr="00C311AE">
        <w:rPr>
          <w:rFonts w:ascii="Book Antiqua" w:hAnsi="Book Antiqua" w:cs="Arial"/>
          <w:i/>
        </w:rPr>
        <w:t xml:space="preserve"> vs</w:t>
      </w:r>
      <w:r w:rsidR="00190691" w:rsidRPr="00C311AE">
        <w:rPr>
          <w:rFonts w:ascii="Book Antiqua" w:hAnsi="Book Antiqua" w:cs="Arial"/>
        </w:rPr>
        <w:t xml:space="preserve"> </w:t>
      </w:r>
      <w:r w:rsidR="00981776" w:rsidRPr="00C311AE">
        <w:rPr>
          <w:rFonts w:ascii="Book Antiqua" w:hAnsi="Book Antiqua" w:cs="Arial"/>
        </w:rPr>
        <w:t>61.3%</w:t>
      </w:r>
      <w:r w:rsidR="00620EA3" w:rsidRPr="00C311AE">
        <w:rPr>
          <w:rFonts w:ascii="Book Antiqua" w:hAnsi="Book Antiqua" w:cs="Arial"/>
        </w:rPr>
        <w:t>)</w:t>
      </w:r>
      <w:r w:rsidR="00981776" w:rsidRPr="00C311AE">
        <w:rPr>
          <w:rFonts w:ascii="Book Antiqua" w:hAnsi="Book Antiqua" w:cs="Arial"/>
        </w:rPr>
        <w:t xml:space="preserve">, </w:t>
      </w:r>
      <w:r w:rsidRPr="00C311AE">
        <w:rPr>
          <w:rFonts w:ascii="Book Antiqua" w:hAnsi="Book Antiqua" w:cs="Arial"/>
          <w:i/>
          <w:caps/>
        </w:rPr>
        <w:t>p</w:t>
      </w:r>
      <w:r w:rsidR="00653A50" w:rsidRPr="00C311AE">
        <w:rPr>
          <w:rFonts w:ascii="Book Antiqua" w:eastAsiaTheme="minorEastAsia" w:hAnsi="Book Antiqua" w:cs="Arial" w:hint="eastAsia"/>
          <w:lang w:eastAsia="zh-CN"/>
        </w:rPr>
        <w:t xml:space="preserve"> </w:t>
      </w:r>
      <w:r w:rsidRPr="00C311AE">
        <w:rPr>
          <w:rFonts w:ascii="Book Antiqua" w:hAnsi="Book Antiqua" w:cs="Arial"/>
        </w:rPr>
        <w:t>=</w:t>
      </w:r>
      <w:r w:rsidR="00653A50" w:rsidRPr="00C311AE">
        <w:rPr>
          <w:rFonts w:ascii="Book Antiqua" w:eastAsiaTheme="minorEastAsia" w:hAnsi="Book Antiqua" w:cs="Arial" w:hint="eastAsia"/>
          <w:lang w:eastAsia="zh-CN"/>
        </w:rPr>
        <w:t xml:space="preserve"> </w:t>
      </w:r>
      <w:r w:rsidR="00981776" w:rsidRPr="00C311AE">
        <w:rPr>
          <w:rFonts w:ascii="Book Antiqua" w:hAnsi="Book Antiqua" w:cs="Arial"/>
        </w:rPr>
        <w:t>0.039</w:t>
      </w:r>
      <w:r w:rsidR="00620EA3" w:rsidRPr="00C311AE">
        <w:rPr>
          <w:rFonts w:ascii="Book Antiqua" w:hAnsi="Book Antiqua" w:cs="Arial"/>
        </w:rPr>
        <w:t>.</w:t>
      </w:r>
      <w:r w:rsidR="00620EA3" w:rsidRPr="00C311AE">
        <w:rPr>
          <w:rFonts w:ascii="Book Antiqua" w:hAnsi="Book Antiqua" w:cs="Arial"/>
          <w:b/>
        </w:rPr>
        <w:t xml:space="preserve"> </w:t>
      </w:r>
      <w:r w:rsidR="00FC58EB" w:rsidRPr="00C311AE">
        <w:rPr>
          <w:rFonts w:ascii="Book Antiqua" w:hAnsi="Book Antiqua" w:cs="Arial"/>
        </w:rPr>
        <w:t>Thirty-three Gp patients on chronic opioids were able to recall the duration of their Gp symptoms as well as chronic opioid use. Out of these, a</w:t>
      </w:r>
      <w:r w:rsidR="00143822" w:rsidRPr="00C311AE">
        <w:rPr>
          <w:rFonts w:ascii="Book Antiqua" w:hAnsi="Book Antiqua" w:cs="Arial"/>
        </w:rPr>
        <w:t>bout 1 in every 4 GpCO (</w:t>
      </w:r>
      <w:r w:rsidR="00FC58EB" w:rsidRPr="00C311AE">
        <w:rPr>
          <w:rFonts w:ascii="Book Antiqua" w:hAnsi="Book Antiqua" w:cs="Arial"/>
        </w:rPr>
        <w:t>27.3</w:t>
      </w:r>
      <w:r w:rsidR="00143822" w:rsidRPr="00C311AE">
        <w:rPr>
          <w:rFonts w:ascii="Book Antiqua" w:hAnsi="Book Antiqua" w:cs="Arial"/>
        </w:rPr>
        <w:t xml:space="preserve">%) </w:t>
      </w:r>
      <w:r w:rsidR="00F0361C" w:rsidRPr="00C311AE">
        <w:rPr>
          <w:rFonts w:ascii="Book Antiqua" w:hAnsi="Book Antiqua" w:cs="Arial"/>
        </w:rPr>
        <w:t xml:space="preserve">stated that they </w:t>
      </w:r>
      <w:r w:rsidR="00143822" w:rsidRPr="00C311AE">
        <w:rPr>
          <w:rFonts w:ascii="Book Antiqua" w:hAnsi="Book Antiqua" w:cs="Arial"/>
        </w:rPr>
        <w:t>started using opioids chronically before the</w:t>
      </w:r>
      <w:r w:rsidR="002D5019" w:rsidRPr="00C311AE">
        <w:rPr>
          <w:rFonts w:ascii="Book Antiqua" w:hAnsi="Book Antiqua" w:cs="Arial"/>
        </w:rPr>
        <w:t>ir symptoms of Gp started. F</w:t>
      </w:r>
      <w:r w:rsidR="00143822" w:rsidRPr="00C311AE">
        <w:rPr>
          <w:rFonts w:ascii="Book Antiqua" w:hAnsi="Book Antiqua" w:cs="Arial"/>
        </w:rPr>
        <w:t xml:space="preserve">or another </w:t>
      </w:r>
      <w:r w:rsidR="00FC58EB" w:rsidRPr="00C311AE">
        <w:rPr>
          <w:rFonts w:ascii="Book Antiqua" w:hAnsi="Book Antiqua" w:cs="Arial"/>
        </w:rPr>
        <w:t>21.2</w:t>
      </w:r>
      <w:r w:rsidR="00143822" w:rsidRPr="00C311AE">
        <w:rPr>
          <w:rFonts w:ascii="Book Antiqua" w:hAnsi="Book Antiqua" w:cs="Arial"/>
        </w:rPr>
        <w:t xml:space="preserve">% </w:t>
      </w:r>
      <w:r w:rsidR="00FC58EB" w:rsidRPr="00C311AE">
        <w:rPr>
          <w:rFonts w:ascii="Book Antiqua" w:hAnsi="Book Antiqua" w:cs="Arial"/>
        </w:rPr>
        <w:t xml:space="preserve">of </w:t>
      </w:r>
      <w:r w:rsidR="00143822" w:rsidRPr="00C311AE">
        <w:rPr>
          <w:rFonts w:ascii="Book Antiqua" w:hAnsi="Book Antiqua" w:cs="Arial"/>
        </w:rPr>
        <w:t>GpCO</w:t>
      </w:r>
      <w:r w:rsidR="00100ACD" w:rsidRPr="00C311AE">
        <w:rPr>
          <w:rFonts w:ascii="Book Antiqua" w:hAnsi="Book Antiqua" w:cs="Arial"/>
        </w:rPr>
        <w:t>,</w:t>
      </w:r>
      <w:r w:rsidR="00143822" w:rsidRPr="00C311AE">
        <w:rPr>
          <w:rFonts w:ascii="Book Antiqua" w:hAnsi="Book Antiqua" w:cs="Arial"/>
        </w:rPr>
        <w:t xml:space="preserve"> the duration of opioid use was the same as the duration of their Gp symptoms. </w:t>
      </w:r>
      <w:r w:rsidR="00F0361C" w:rsidRPr="00C311AE">
        <w:rPr>
          <w:rFonts w:ascii="Book Antiqua" w:hAnsi="Book Antiqua" w:cs="Arial"/>
        </w:rPr>
        <w:t xml:space="preserve">For </w:t>
      </w:r>
      <w:r w:rsidR="00FC58EB" w:rsidRPr="00C311AE">
        <w:rPr>
          <w:rFonts w:ascii="Book Antiqua" w:hAnsi="Book Antiqua" w:cs="Arial"/>
        </w:rPr>
        <w:t>51</w:t>
      </w:r>
      <w:r w:rsidR="00F0361C" w:rsidRPr="00C311AE">
        <w:rPr>
          <w:rFonts w:ascii="Book Antiqua" w:hAnsi="Book Antiqua" w:cs="Arial"/>
        </w:rPr>
        <w:t>.5% of GpCO, the Gp symptoms started before the use of chronic opioids.</w:t>
      </w:r>
      <w:r w:rsidR="00B4035F" w:rsidRPr="00C311AE">
        <w:rPr>
          <w:rFonts w:ascii="Book Antiqua" w:hAnsi="Book Antiqua" w:cs="Arial"/>
        </w:rPr>
        <w:t xml:space="preserve"> Of note</w:t>
      </w:r>
      <w:r w:rsidR="005056E4" w:rsidRPr="00C311AE">
        <w:rPr>
          <w:rFonts w:ascii="Book Antiqua" w:hAnsi="Book Antiqua" w:cs="Arial"/>
        </w:rPr>
        <w:t xml:space="preserve"> however</w:t>
      </w:r>
      <w:r w:rsidR="00B4035F" w:rsidRPr="00C311AE">
        <w:rPr>
          <w:rFonts w:ascii="Book Antiqua" w:hAnsi="Book Antiqua" w:cs="Arial"/>
        </w:rPr>
        <w:t xml:space="preserve">, we had to rely on patients’ recall for the duration of their opioids use, and patients reported </w:t>
      </w:r>
      <w:r w:rsidR="004A5AC0" w:rsidRPr="00C311AE">
        <w:rPr>
          <w:rFonts w:ascii="Book Antiqua" w:hAnsi="Book Antiqua" w:cs="Arial"/>
        </w:rPr>
        <w:t xml:space="preserve">drug ingestion histories can </w:t>
      </w:r>
      <w:r w:rsidR="00B4035F" w:rsidRPr="00C311AE">
        <w:rPr>
          <w:rFonts w:ascii="Book Antiqua" w:hAnsi="Book Antiqua" w:cs="Arial"/>
        </w:rPr>
        <w:t xml:space="preserve">often </w:t>
      </w:r>
      <w:r w:rsidR="004A5AC0" w:rsidRPr="00C311AE">
        <w:rPr>
          <w:rFonts w:ascii="Book Antiqua" w:hAnsi="Book Antiqua" w:cs="Arial"/>
        </w:rPr>
        <w:t xml:space="preserve">be </w:t>
      </w:r>
      <w:r w:rsidR="00B4035F" w:rsidRPr="00C311AE">
        <w:rPr>
          <w:rFonts w:ascii="Book Antiqua" w:hAnsi="Book Antiqua" w:cs="Arial"/>
        </w:rPr>
        <w:t>inaccurate</w:t>
      </w:r>
      <w:r w:rsidR="005056E4" w:rsidRPr="00C311AE">
        <w:rPr>
          <w:rFonts w:ascii="Book Antiqua" w:hAnsi="Book Antiqua" w:cs="Arial"/>
          <w:vertAlign w:val="superscript"/>
        </w:rPr>
        <w:t>[2</w:t>
      </w:r>
      <w:r w:rsidR="00C71E9F" w:rsidRPr="00C311AE">
        <w:rPr>
          <w:rFonts w:ascii="Book Antiqua" w:hAnsi="Book Antiqua" w:cs="Arial"/>
          <w:vertAlign w:val="superscript"/>
        </w:rPr>
        <w:t>9</w:t>
      </w:r>
      <w:r w:rsidR="005056E4" w:rsidRPr="00C311AE">
        <w:rPr>
          <w:rFonts w:ascii="Book Antiqua" w:hAnsi="Book Antiqua" w:cs="Arial"/>
          <w:vertAlign w:val="superscript"/>
        </w:rPr>
        <w:t>]</w:t>
      </w:r>
      <w:r w:rsidR="00B4035F" w:rsidRPr="00C311AE">
        <w:rPr>
          <w:rFonts w:ascii="Book Antiqua" w:hAnsi="Book Antiqua" w:cs="Arial"/>
        </w:rPr>
        <w:t xml:space="preserve">. </w:t>
      </w:r>
    </w:p>
    <w:p w14:paraId="78F9287F" w14:textId="38BE73ED" w:rsidR="00B56E45" w:rsidRPr="00C311AE" w:rsidRDefault="00B56E45" w:rsidP="00020CC7">
      <w:pPr>
        <w:autoSpaceDE w:val="0"/>
        <w:autoSpaceDN w:val="0"/>
        <w:adjustRightInd w:val="0"/>
        <w:snapToGrid w:val="0"/>
        <w:spacing w:line="360" w:lineRule="auto"/>
        <w:ind w:firstLine="720"/>
        <w:jc w:val="both"/>
        <w:rPr>
          <w:rFonts w:ascii="Book Antiqua" w:hAnsi="Book Antiqua" w:cs="Arial"/>
        </w:rPr>
      </w:pPr>
      <w:r w:rsidRPr="00C311AE">
        <w:rPr>
          <w:rFonts w:ascii="Book Antiqua" w:hAnsi="Book Antiqua" w:cs="Arial"/>
        </w:rPr>
        <w:t xml:space="preserve">GpCO and GpNO did not have any statistically significant difference in their age, </w:t>
      </w:r>
      <w:r w:rsidR="004A515E" w:rsidRPr="00C311AE">
        <w:rPr>
          <w:rFonts w:ascii="Book Antiqua" w:hAnsi="Book Antiqua" w:cs="Arial"/>
        </w:rPr>
        <w:t xml:space="preserve">duration of symptoms, </w:t>
      </w:r>
      <w:r w:rsidRPr="00C311AE">
        <w:rPr>
          <w:rFonts w:ascii="Book Antiqua" w:hAnsi="Book Antiqua" w:cs="Arial"/>
        </w:rPr>
        <w:t>gender, body mass index, racial distribution, history of diabetes, and past surgeries o</w:t>
      </w:r>
      <w:r w:rsidR="00A7710B" w:rsidRPr="00C311AE">
        <w:rPr>
          <w:rFonts w:ascii="Book Antiqua" w:hAnsi="Book Antiqua" w:cs="Arial"/>
        </w:rPr>
        <w:t>n esophagus and stomach (Table 2</w:t>
      </w:r>
      <w:r w:rsidR="00A51F6E" w:rsidRPr="00C311AE">
        <w:rPr>
          <w:rFonts w:ascii="Book Antiqua" w:hAnsi="Book Antiqua" w:cs="Arial"/>
        </w:rPr>
        <w:t xml:space="preserve">). </w:t>
      </w:r>
      <w:r w:rsidR="001B425C" w:rsidRPr="00C311AE">
        <w:rPr>
          <w:rFonts w:ascii="Book Antiqua" w:hAnsi="Book Antiqua" w:cs="Arial"/>
        </w:rPr>
        <w:t>GpCO</w:t>
      </w:r>
      <w:r w:rsidR="00B06D66" w:rsidRPr="00C311AE">
        <w:rPr>
          <w:rFonts w:ascii="Book Antiqua" w:hAnsi="Book Antiqua" w:cs="Arial"/>
        </w:rPr>
        <w:t xml:space="preserve"> were more likely to be act</w:t>
      </w:r>
      <w:r w:rsidR="007C44C7" w:rsidRPr="00C311AE">
        <w:rPr>
          <w:rFonts w:ascii="Book Antiqua" w:hAnsi="Book Antiqua" w:cs="Arial"/>
        </w:rPr>
        <w:t>ive smokers (</w:t>
      </w:r>
      <w:r w:rsidR="00FC58EB" w:rsidRPr="00C311AE">
        <w:rPr>
          <w:rFonts w:ascii="Book Antiqua" w:hAnsi="Book Antiqua" w:cs="Arial"/>
        </w:rPr>
        <w:t>31.7%</w:t>
      </w:r>
      <w:r w:rsidR="00190691" w:rsidRPr="00C311AE">
        <w:rPr>
          <w:rFonts w:ascii="Book Antiqua" w:hAnsi="Book Antiqua" w:cs="Arial"/>
          <w:i/>
        </w:rPr>
        <w:t xml:space="preserve"> vs</w:t>
      </w:r>
      <w:r w:rsidR="00190691" w:rsidRPr="00C311AE">
        <w:rPr>
          <w:rFonts w:ascii="Book Antiqua" w:hAnsi="Book Antiqua" w:cs="Arial"/>
        </w:rPr>
        <w:t xml:space="preserve"> </w:t>
      </w:r>
      <w:r w:rsidR="00FC58EB" w:rsidRPr="00C311AE">
        <w:rPr>
          <w:rFonts w:ascii="Book Antiqua" w:hAnsi="Book Antiqua" w:cs="Arial"/>
        </w:rPr>
        <w:t>13.0</w:t>
      </w:r>
      <w:r w:rsidR="007C44C7" w:rsidRPr="00C311AE">
        <w:rPr>
          <w:rFonts w:ascii="Book Antiqua" w:hAnsi="Book Antiqua" w:cs="Arial"/>
        </w:rPr>
        <w:t xml:space="preserve">%, </w:t>
      </w:r>
      <w:r w:rsidR="007C44C7"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00FC58EB" w:rsidRPr="00C311AE">
        <w:rPr>
          <w:rFonts w:ascii="Book Antiqua" w:hAnsi="Book Antiqua" w:cs="Arial"/>
        </w:rPr>
        <w:t>= 0.004</w:t>
      </w:r>
      <w:r w:rsidRPr="00C311AE">
        <w:rPr>
          <w:rFonts w:ascii="Book Antiqua" w:hAnsi="Book Antiqua" w:cs="Arial"/>
        </w:rPr>
        <w:t xml:space="preserve">). There was </w:t>
      </w:r>
      <w:r w:rsidR="00CA01E9" w:rsidRPr="00C311AE">
        <w:rPr>
          <w:rFonts w:ascii="Book Antiqua" w:hAnsi="Book Antiqua" w:cs="Arial"/>
        </w:rPr>
        <w:t xml:space="preserve">a trend towards higher </w:t>
      </w:r>
      <w:r w:rsidR="00F50B74" w:rsidRPr="00C311AE">
        <w:rPr>
          <w:rFonts w:ascii="Book Antiqua" w:hAnsi="Book Antiqua" w:cs="Arial"/>
        </w:rPr>
        <w:t xml:space="preserve">prior </w:t>
      </w:r>
      <w:r w:rsidR="002B43FA" w:rsidRPr="00C311AE">
        <w:rPr>
          <w:rFonts w:ascii="Book Antiqua" w:hAnsi="Book Antiqua" w:cs="Arial"/>
        </w:rPr>
        <w:t>and/</w:t>
      </w:r>
      <w:r w:rsidR="00F50B74" w:rsidRPr="00C311AE">
        <w:rPr>
          <w:rFonts w:ascii="Book Antiqua" w:hAnsi="Book Antiqua" w:cs="Arial"/>
        </w:rPr>
        <w:t xml:space="preserve">or current </w:t>
      </w:r>
      <w:r w:rsidR="00CA01E9" w:rsidRPr="00C311AE">
        <w:rPr>
          <w:rFonts w:ascii="Book Antiqua" w:hAnsi="Book Antiqua" w:cs="Arial"/>
        </w:rPr>
        <w:t>alcohol use in GpNO compared to GpCO</w:t>
      </w:r>
      <w:r w:rsidR="00B06D66" w:rsidRPr="00C311AE">
        <w:rPr>
          <w:rFonts w:ascii="Book Antiqua" w:hAnsi="Book Antiqua" w:cs="Arial"/>
        </w:rPr>
        <w:t xml:space="preserve"> (</w:t>
      </w:r>
      <w:r w:rsidR="002B43FA" w:rsidRPr="00C311AE">
        <w:rPr>
          <w:rFonts w:ascii="Book Antiqua" w:hAnsi="Book Antiqua" w:cs="Arial"/>
        </w:rPr>
        <w:t>37.4</w:t>
      </w:r>
      <w:r w:rsidR="00FC58EB" w:rsidRPr="00C311AE">
        <w:rPr>
          <w:rFonts w:ascii="Book Antiqua" w:hAnsi="Book Antiqua" w:cs="Arial"/>
        </w:rPr>
        <w:t xml:space="preserve"> %</w:t>
      </w:r>
      <w:r w:rsidR="00190691" w:rsidRPr="00C311AE">
        <w:rPr>
          <w:rFonts w:ascii="Book Antiqua" w:hAnsi="Book Antiqua" w:cs="Arial"/>
          <w:i/>
        </w:rPr>
        <w:t xml:space="preserve"> vs</w:t>
      </w:r>
      <w:r w:rsidR="00190691" w:rsidRPr="00C311AE">
        <w:rPr>
          <w:rFonts w:ascii="Book Antiqua" w:hAnsi="Book Antiqua" w:cs="Arial"/>
        </w:rPr>
        <w:t xml:space="preserve"> </w:t>
      </w:r>
      <w:r w:rsidR="002B43FA" w:rsidRPr="00C311AE">
        <w:rPr>
          <w:rFonts w:ascii="Book Antiqua" w:hAnsi="Book Antiqua" w:cs="Arial"/>
        </w:rPr>
        <w:t>23.8</w:t>
      </w:r>
      <w:r w:rsidR="0001599A" w:rsidRPr="00C311AE">
        <w:rPr>
          <w:rFonts w:ascii="Book Antiqua" w:hAnsi="Book Antiqua" w:cs="Arial"/>
        </w:rPr>
        <w:t xml:space="preserve">% respectively, </w:t>
      </w:r>
      <w:r w:rsidR="00653A50" w:rsidRPr="00C311AE">
        <w:rPr>
          <w:rFonts w:ascii="Book Antiqua" w:hAnsi="Book Antiqua" w:cs="Arial"/>
          <w:i/>
          <w:caps/>
        </w:rPr>
        <w:t>p</w:t>
      </w:r>
      <w:r w:rsidR="00653A50" w:rsidRPr="00C311AE">
        <w:rPr>
          <w:rFonts w:ascii="Book Antiqua" w:hAnsi="Book Antiqua" w:cs="Arial"/>
        </w:rPr>
        <w:t xml:space="preserve"> </w:t>
      </w:r>
      <w:r w:rsidR="0001599A" w:rsidRPr="00C311AE">
        <w:rPr>
          <w:rFonts w:ascii="Book Antiqua" w:hAnsi="Book Antiqua" w:cs="Arial"/>
        </w:rPr>
        <w:t>=</w:t>
      </w:r>
      <w:r w:rsidR="00653A50" w:rsidRPr="00C311AE">
        <w:rPr>
          <w:rFonts w:ascii="Book Antiqua" w:eastAsiaTheme="minorEastAsia" w:hAnsi="Book Antiqua" w:cs="Arial" w:hint="eastAsia"/>
          <w:lang w:eastAsia="zh-CN"/>
        </w:rPr>
        <w:t xml:space="preserve"> </w:t>
      </w:r>
      <w:r w:rsidR="0001599A" w:rsidRPr="00C311AE">
        <w:rPr>
          <w:rFonts w:ascii="Book Antiqua" w:hAnsi="Book Antiqua" w:cs="Arial"/>
        </w:rPr>
        <w:t>0.100</w:t>
      </w:r>
      <w:r w:rsidRPr="00C311AE">
        <w:rPr>
          <w:rFonts w:ascii="Book Antiqua" w:hAnsi="Book Antiqua" w:cs="Arial"/>
        </w:rPr>
        <w:t xml:space="preserve">), as </w:t>
      </w:r>
      <w:r w:rsidR="00B06D66" w:rsidRPr="00C311AE">
        <w:rPr>
          <w:rFonts w:ascii="Book Antiqua" w:hAnsi="Book Antiqua" w:cs="Arial"/>
        </w:rPr>
        <w:t>well as current alcohol use (</w:t>
      </w:r>
      <w:r w:rsidR="002B43FA" w:rsidRPr="00C311AE">
        <w:rPr>
          <w:rFonts w:ascii="Book Antiqua" w:hAnsi="Book Antiqua" w:cs="Arial"/>
        </w:rPr>
        <w:t>20.0</w:t>
      </w:r>
      <w:r w:rsidR="0001599A" w:rsidRPr="00C311AE">
        <w:rPr>
          <w:rFonts w:ascii="Book Antiqua" w:hAnsi="Book Antiqua" w:cs="Arial"/>
        </w:rPr>
        <w:t>%</w:t>
      </w:r>
      <w:r w:rsidR="00190691" w:rsidRPr="00C311AE">
        <w:rPr>
          <w:rFonts w:ascii="Book Antiqua" w:hAnsi="Book Antiqua" w:cs="Arial"/>
          <w:i/>
        </w:rPr>
        <w:t xml:space="preserve"> vs</w:t>
      </w:r>
      <w:r w:rsidR="00190691" w:rsidRPr="00C311AE">
        <w:rPr>
          <w:rFonts w:ascii="Book Antiqua" w:hAnsi="Book Antiqua" w:cs="Arial"/>
        </w:rPr>
        <w:t xml:space="preserve"> </w:t>
      </w:r>
      <w:r w:rsidR="002B43FA" w:rsidRPr="00C311AE">
        <w:rPr>
          <w:rFonts w:ascii="Book Antiqua" w:hAnsi="Book Antiqua" w:cs="Arial"/>
        </w:rPr>
        <w:t>7.3</w:t>
      </w:r>
      <w:r w:rsidR="00B06D66" w:rsidRPr="00C311AE">
        <w:rPr>
          <w:rFonts w:ascii="Book Antiqua" w:hAnsi="Book Antiqua" w:cs="Arial"/>
        </w:rPr>
        <w:t>%</w:t>
      </w:r>
      <w:r w:rsidR="001B425C" w:rsidRPr="00C311AE">
        <w:rPr>
          <w:rFonts w:ascii="Book Antiqua" w:hAnsi="Book Antiqua" w:cs="Arial"/>
        </w:rPr>
        <w:t xml:space="preserve"> respectively</w:t>
      </w:r>
      <w:r w:rsidR="009134B6" w:rsidRPr="00C311AE">
        <w:rPr>
          <w:rFonts w:ascii="Book Antiqua" w:hAnsi="Book Antiqua" w:cs="Arial"/>
        </w:rPr>
        <w:t xml:space="preserve">; </w:t>
      </w:r>
      <w:r w:rsidR="007875F6"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009134B6"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01599A" w:rsidRPr="00C311AE">
        <w:rPr>
          <w:rFonts w:ascii="Book Antiqua" w:hAnsi="Book Antiqua" w:cs="Arial"/>
        </w:rPr>
        <w:t>0.057</w:t>
      </w:r>
      <w:r w:rsidRPr="00C311AE">
        <w:rPr>
          <w:rFonts w:ascii="Book Antiqua" w:hAnsi="Book Antiqua" w:cs="Arial"/>
        </w:rPr>
        <w:t>).</w:t>
      </w:r>
    </w:p>
    <w:p w14:paraId="75EA8F9C" w14:textId="77777777" w:rsidR="00020989" w:rsidRPr="00C311AE" w:rsidRDefault="00020989" w:rsidP="00020CC7">
      <w:pPr>
        <w:autoSpaceDE w:val="0"/>
        <w:autoSpaceDN w:val="0"/>
        <w:adjustRightInd w:val="0"/>
        <w:snapToGrid w:val="0"/>
        <w:spacing w:line="360" w:lineRule="auto"/>
        <w:jc w:val="both"/>
        <w:rPr>
          <w:rFonts w:ascii="Book Antiqua" w:hAnsi="Book Antiqua" w:cs="Arial"/>
          <w:b/>
          <w:i/>
        </w:rPr>
      </w:pPr>
    </w:p>
    <w:p w14:paraId="7A7D2926" w14:textId="77777777" w:rsidR="00A54D38" w:rsidRPr="00C311AE" w:rsidRDefault="00A54D38" w:rsidP="00020CC7">
      <w:pPr>
        <w:autoSpaceDE w:val="0"/>
        <w:autoSpaceDN w:val="0"/>
        <w:adjustRightInd w:val="0"/>
        <w:snapToGrid w:val="0"/>
        <w:spacing w:line="360" w:lineRule="auto"/>
        <w:jc w:val="both"/>
        <w:rPr>
          <w:rFonts w:ascii="Book Antiqua" w:hAnsi="Book Antiqua" w:cs="Arial"/>
          <w:b/>
          <w:i/>
        </w:rPr>
      </w:pPr>
      <w:r w:rsidRPr="00C311AE">
        <w:rPr>
          <w:rFonts w:ascii="Book Antiqua" w:hAnsi="Book Antiqua" w:cs="Arial"/>
          <w:b/>
          <w:i/>
        </w:rPr>
        <w:t>Laboratory studies</w:t>
      </w:r>
    </w:p>
    <w:p w14:paraId="40CD3681" w14:textId="110022BE" w:rsidR="00B71D45" w:rsidRPr="00C311AE" w:rsidRDefault="0001599A" w:rsidP="00020CC7">
      <w:pPr>
        <w:autoSpaceDE w:val="0"/>
        <w:autoSpaceDN w:val="0"/>
        <w:adjustRightInd w:val="0"/>
        <w:snapToGrid w:val="0"/>
        <w:spacing w:line="360" w:lineRule="auto"/>
        <w:jc w:val="both"/>
        <w:rPr>
          <w:rFonts w:ascii="Book Antiqua" w:hAnsi="Book Antiqua" w:cs="Arial"/>
        </w:rPr>
      </w:pPr>
      <w:r w:rsidRPr="00C311AE">
        <w:rPr>
          <w:rFonts w:ascii="Book Antiqua" w:hAnsi="Book Antiqua" w:cs="Arial"/>
        </w:rPr>
        <w:t>GpCO were also more likely to have low trypsin</w:t>
      </w:r>
      <w:r w:rsidR="004A5AC0" w:rsidRPr="00C311AE">
        <w:rPr>
          <w:rFonts w:ascii="Book Antiqua" w:hAnsi="Book Antiqua" w:cs="Arial"/>
        </w:rPr>
        <w:t>ogen</w:t>
      </w:r>
      <w:r w:rsidRPr="00C311AE">
        <w:rPr>
          <w:rFonts w:ascii="Book Antiqua" w:hAnsi="Book Antiqua" w:cs="Arial"/>
        </w:rPr>
        <w:t xml:space="preserve"> levels compared to GpNO (23.1% </w:t>
      </w:r>
      <w:r w:rsidR="00190691" w:rsidRPr="00C311AE">
        <w:rPr>
          <w:rFonts w:ascii="Book Antiqua" w:hAnsi="Book Antiqua" w:cs="Arial"/>
          <w:i/>
        </w:rPr>
        <w:t>vs</w:t>
      </w:r>
      <w:r w:rsidRPr="00C311AE">
        <w:rPr>
          <w:rFonts w:ascii="Book Antiqua" w:hAnsi="Book Antiqua" w:cs="Arial"/>
        </w:rPr>
        <w:t xml:space="preserve"> 4.2% respectively, </w:t>
      </w:r>
      <w:r w:rsidR="007875F6"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Pr="00C311AE">
        <w:rPr>
          <w:rFonts w:ascii="Book Antiqua" w:hAnsi="Book Antiqua" w:cs="Arial"/>
        </w:rPr>
        <w:t>0.004). However, only about half of these patients had their trypsin</w:t>
      </w:r>
      <w:r w:rsidR="004A5AC0" w:rsidRPr="00C311AE">
        <w:rPr>
          <w:rFonts w:ascii="Book Antiqua" w:hAnsi="Book Antiqua" w:cs="Arial"/>
        </w:rPr>
        <w:t>ogen</w:t>
      </w:r>
      <w:r w:rsidRPr="00C311AE">
        <w:rPr>
          <w:rFonts w:ascii="Book Antiqua" w:hAnsi="Book Antiqua" w:cs="Arial"/>
        </w:rPr>
        <w:t xml:space="preserve"> levels drawn (Table 2). </w:t>
      </w:r>
      <w:r w:rsidR="00B71D45" w:rsidRPr="00C311AE">
        <w:rPr>
          <w:rFonts w:ascii="Book Antiqua" w:hAnsi="Book Antiqua" w:cs="Arial"/>
        </w:rPr>
        <w:t xml:space="preserve">Among GpCO, </w:t>
      </w:r>
      <w:r w:rsidRPr="00C311AE">
        <w:rPr>
          <w:rFonts w:ascii="Book Antiqua" w:hAnsi="Book Antiqua" w:cs="Arial"/>
        </w:rPr>
        <w:t>16.2</w:t>
      </w:r>
      <w:r w:rsidR="00B71D45" w:rsidRPr="00C311AE">
        <w:rPr>
          <w:rFonts w:ascii="Book Antiqua" w:hAnsi="Book Antiqua" w:cs="Arial"/>
        </w:rPr>
        <w:t>% had low random serum cortis</w:t>
      </w:r>
      <w:r w:rsidRPr="00C311AE">
        <w:rPr>
          <w:rFonts w:ascii="Book Antiqua" w:hAnsi="Book Antiqua" w:cs="Arial"/>
        </w:rPr>
        <w:t xml:space="preserve">ol levels, </w:t>
      </w:r>
      <w:r w:rsidR="00653A50" w:rsidRPr="00C311AE">
        <w:rPr>
          <w:rFonts w:ascii="Book Antiqua" w:hAnsi="Book Antiqua" w:cs="Arial"/>
          <w:i/>
        </w:rPr>
        <w:t>vs</w:t>
      </w:r>
      <w:r w:rsidR="00653A50" w:rsidRPr="00C311AE">
        <w:rPr>
          <w:rFonts w:ascii="Book Antiqua" w:eastAsiaTheme="minorEastAsia" w:hAnsi="Book Antiqua" w:cs="Arial" w:hint="eastAsia"/>
          <w:lang w:eastAsia="zh-CN"/>
        </w:rPr>
        <w:t xml:space="preserve"> </w:t>
      </w:r>
      <w:r w:rsidRPr="00C311AE">
        <w:rPr>
          <w:rFonts w:ascii="Book Antiqua" w:hAnsi="Book Antiqua" w:cs="Arial"/>
        </w:rPr>
        <w:t xml:space="preserve">10.4% among GpNO, </w:t>
      </w:r>
      <w:r w:rsidR="00653A50" w:rsidRPr="00C311AE">
        <w:rPr>
          <w:rFonts w:ascii="Book Antiqua" w:hAnsi="Book Antiqua" w:cs="Arial"/>
          <w:i/>
          <w:caps/>
        </w:rPr>
        <w:t>p</w:t>
      </w:r>
      <w:r w:rsidR="00653A50" w:rsidRPr="00C311AE">
        <w:rPr>
          <w:rFonts w:ascii="Book Antiqua" w:hAnsi="Book Antiqua" w:cs="Arial"/>
        </w:rPr>
        <w:t xml:space="preserve"> </w:t>
      </w:r>
      <w:r w:rsidRPr="00C311AE">
        <w:rPr>
          <w:rFonts w:ascii="Book Antiqua" w:hAnsi="Book Antiqua" w:cs="Arial"/>
        </w:rPr>
        <w:t>=</w:t>
      </w:r>
      <w:r w:rsidR="00653A50" w:rsidRPr="00C311AE">
        <w:rPr>
          <w:rFonts w:ascii="Book Antiqua" w:eastAsiaTheme="minorEastAsia" w:hAnsi="Book Antiqua" w:cs="Arial" w:hint="eastAsia"/>
          <w:lang w:eastAsia="zh-CN"/>
        </w:rPr>
        <w:t xml:space="preserve"> </w:t>
      </w:r>
      <w:r w:rsidRPr="00C311AE">
        <w:rPr>
          <w:rFonts w:ascii="Book Antiqua" w:hAnsi="Book Antiqua" w:cs="Arial"/>
        </w:rPr>
        <w:t>0.345 (</w:t>
      </w:r>
      <w:r w:rsidR="00B71D45" w:rsidRPr="00C311AE">
        <w:rPr>
          <w:rFonts w:ascii="Book Antiqua" w:hAnsi="Book Antiqua" w:cs="Arial"/>
        </w:rPr>
        <w:t>Table 2</w:t>
      </w:r>
      <w:r w:rsidRPr="00C311AE">
        <w:rPr>
          <w:rFonts w:ascii="Book Antiqua" w:hAnsi="Book Antiqua" w:cs="Arial"/>
        </w:rPr>
        <w:t xml:space="preserve">). </w:t>
      </w:r>
      <w:r w:rsidR="004A5AC0" w:rsidRPr="00C311AE">
        <w:rPr>
          <w:rFonts w:ascii="Book Antiqua" w:hAnsi="Book Antiqua" w:cs="Arial"/>
        </w:rPr>
        <w:t xml:space="preserve">We did not confirm the diagnosis of adrenal insufficiency by checking adrenocorticotrophic hormone or by performing stimulation test; this requires further study to determine the actual incidence of adrenal insufficiency in chronic opioid using Gp patients. </w:t>
      </w:r>
      <w:r w:rsidR="00B71D45" w:rsidRPr="00C311AE">
        <w:rPr>
          <w:rFonts w:ascii="Book Antiqua" w:hAnsi="Book Antiqua" w:cs="Arial"/>
        </w:rPr>
        <w:t xml:space="preserve">There was no </w:t>
      </w:r>
      <w:r w:rsidR="00B71D45" w:rsidRPr="00C311AE">
        <w:rPr>
          <w:rFonts w:ascii="Book Antiqua" w:hAnsi="Book Antiqua" w:cs="Arial"/>
        </w:rPr>
        <w:lastRenderedPageBreak/>
        <w:t>statistically significant difference in the other laboratory tests, including hemoglobin A1</w:t>
      </w:r>
      <w:r w:rsidR="000F10DE" w:rsidRPr="00C311AE">
        <w:rPr>
          <w:rFonts w:ascii="Book Antiqua" w:hAnsi="Book Antiqua" w:cs="Arial"/>
        </w:rPr>
        <w:t>c</w:t>
      </w:r>
      <w:r w:rsidR="00143822" w:rsidRPr="00C311AE">
        <w:rPr>
          <w:rFonts w:ascii="Book Antiqua" w:hAnsi="Book Antiqua" w:cs="Arial"/>
        </w:rPr>
        <w:t xml:space="preserve">, </w:t>
      </w:r>
      <w:r w:rsidR="00B71D45" w:rsidRPr="00C311AE">
        <w:rPr>
          <w:rFonts w:ascii="Book Antiqua" w:hAnsi="Book Antiqua" w:cs="Arial"/>
        </w:rPr>
        <w:t xml:space="preserve">thyroid stimulating hormone. </w:t>
      </w:r>
    </w:p>
    <w:p w14:paraId="7D6B2016" w14:textId="77777777" w:rsidR="0046170C" w:rsidRPr="00C311AE" w:rsidRDefault="0046170C" w:rsidP="00020CC7">
      <w:pPr>
        <w:autoSpaceDE w:val="0"/>
        <w:autoSpaceDN w:val="0"/>
        <w:adjustRightInd w:val="0"/>
        <w:snapToGrid w:val="0"/>
        <w:spacing w:line="360" w:lineRule="auto"/>
        <w:jc w:val="both"/>
        <w:rPr>
          <w:rFonts w:ascii="Book Antiqua" w:eastAsiaTheme="minorEastAsia" w:hAnsi="Book Antiqua" w:cs="Arial"/>
          <w:lang w:eastAsia="zh-CN"/>
        </w:rPr>
      </w:pPr>
    </w:p>
    <w:p w14:paraId="3423903B" w14:textId="77777777" w:rsidR="00A54D38" w:rsidRPr="00C311AE" w:rsidRDefault="00A54D38" w:rsidP="00020CC7">
      <w:pPr>
        <w:autoSpaceDE w:val="0"/>
        <w:autoSpaceDN w:val="0"/>
        <w:adjustRightInd w:val="0"/>
        <w:snapToGrid w:val="0"/>
        <w:spacing w:line="360" w:lineRule="auto"/>
        <w:jc w:val="both"/>
        <w:rPr>
          <w:rFonts w:ascii="Book Antiqua" w:hAnsi="Book Antiqua" w:cs="Arial"/>
          <w:b/>
          <w:i/>
        </w:rPr>
      </w:pPr>
      <w:r w:rsidRPr="00C311AE">
        <w:rPr>
          <w:rFonts w:ascii="Book Antiqua" w:hAnsi="Book Antiqua" w:cs="Arial"/>
          <w:b/>
          <w:i/>
        </w:rPr>
        <w:t>Gastric emptying scintigraphy</w:t>
      </w:r>
    </w:p>
    <w:p w14:paraId="58E0FD97" w14:textId="2F6B5E49" w:rsidR="007E3D5A" w:rsidRPr="00C311AE" w:rsidRDefault="00A54D38" w:rsidP="00020CC7">
      <w:pPr>
        <w:snapToGrid w:val="0"/>
        <w:spacing w:line="360" w:lineRule="auto"/>
        <w:jc w:val="both"/>
        <w:rPr>
          <w:rFonts w:ascii="Book Antiqua" w:hAnsi="Book Antiqua" w:cs="Arial"/>
        </w:rPr>
      </w:pPr>
      <w:r w:rsidRPr="00C311AE">
        <w:rPr>
          <w:rFonts w:ascii="Book Antiqua" w:hAnsi="Book Antiqua" w:cs="Arial"/>
        </w:rPr>
        <w:t xml:space="preserve">On gastric emptying tests, </w:t>
      </w:r>
      <w:r w:rsidR="00B06D66" w:rsidRPr="00C311AE">
        <w:rPr>
          <w:rFonts w:ascii="Book Antiqua" w:hAnsi="Book Antiqua" w:cs="Arial"/>
        </w:rPr>
        <w:t>there was no difference between</w:t>
      </w:r>
      <w:r w:rsidRPr="00C311AE">
        <w:rPr>
          <w:rFonts w:ascii="Book Antiqua" w:hAnsi="Book Antiqua" w:cs="Arial"/>
        </w:rPr>
        <w:t xml:space="preserve"> GpCO </w:t>
      </w:r>
      <w:r w:rsidR="00B06D66" w:rsidRPr="00C311AE">
        <w:rPr>
          <w:rFonts w:ascii="Book Antiqua" w:hAnsi="Book Antiqua" w:cs="Arial"/>
        </w:rPr>
        <w:t>and GpNO at 2 h</w:t>
      </w:r>
      <w:r w:rsidR="007875F6" w:rsidRPr="00C311AE">
        <w:rPr>
          <w:rFonts w:ascii="Book Antiqua" w:eastAsiaTheme="minorEastAsia" w:hAnsi="Book Antiqua" w:cs="Arial" w:hint="eastAsia"/>
          <w:lang w:eastAsia="zh-CN"/>
        </w:rPr>
        <w:t xml:space="preserve"> </w:t>
      </w:r>
      <w:r w:rsidR="00B06D66" w:rsidRPr="00C311AE">
        <w:rPr>
          <w:rFonts w:ascii="Book Antiqua" w:hAnsi="Book Antiqua" w:cs="Arial"/>
        </w:rPr>
        <w:t>(</w:t>
      </w:r>
      <w:r w:rsidR="00CA01E9" w:rsidRPr="00C311AE">
        <w:rPr>
          <w:rFonts w:ascii="Book Antiqua" w:hAnsi="Book Antiqua" w:cs="Arial"/>
        </w:rPr>
        <w:t xml:space="preserve">median of </w:t>
      </w:r>
      <w:r w:rsidR="0001599A" w:rsidRPr="00C311AE">
        <w:rPr>
          <w:rFonts w:ascii="Book Antiqua" w:hAnsi="Book Antiqua" w:cs="Arial"/>
        </w:rPr>
        <w:t>6</w:t>
      </w:r>
      <w:r w:rsidR="00CA01E9" w:rsidRPr="00C311AE">
        <w:rPr>
          <w:rFonts w:ascii="Book Antiqua" w:hAnsi="Book Antiqua" w:cs="Arial"/>
        </w:rPr>
        <w:t>2</w:t>
      </w:r>
      <w:r w:rsidR="0001599A" w:rsidRPr="00C311AE">
        <w:rPr>
          <w:rFonts w:ascii="Book Antiqua" w:hAnsi="Book Antiqua" w:cs="Arial"/>
        </w:rPr>
        <w:t>%</w:t>
      </w:r>
      <w:r w:rsidR="00190691" w:rsidRPr="00C311AE">
        <w:rPr>
          <w:rFonts w:ascii="Book Antiqua" w:hAnsi="Book Antiqua" w:cs="Arial"/>
          <w:i/>
        </w:rPr>
        <w:t xml:space="preserve"> vs</w:t>
      </w:r>
      <w:r w:rsidR="00190691" w:rsidRPr="00C311AE">
        <w:rPr>
          <w:rFonts w:ascii="Book Antiqua" w:hAnsi="Book Antiqua" w:cs="Arial"/>
        </w:rPr>
        <w:t xml:space="preserve"> </w:t>
      </w:r>
      <w:r w:rsidR="0001599A" w:rsidRPr="00C311AE">
        <w:rPr>
          <w:rFonts w:ascii="Book Antiqua" w:hAnsi="Book Antiqua" w:cs="Arial"/>
        </w:rPr>
        <w:t>6</w:t>
      </w:r>
      <w:r w:rsidR="00CA01E9" w:rsidRPr="00C311AE">
        <w:rPr>
          <w:rFonts w:ascii="Book Antiqua" w:hAnsi="Book Antiqua" w:cs="Arial"/>
        </w:rPr>
        <w:t>6</w:t>
      </w:r>
      <w:r w:rsidR="00B06D66" w:rsidRPr="00C311AE">
        <w:rPr>
          <w:rFonts w:ascii="Book Antiqua" w:hAnsi="Book Antiqua" w:cs="Arial"/>
        </w:rPr>
        <w:t xml:space="preserve">%, normal </w:t>
      </w:r>
      <w:r w:rsidR="008C1EC5" w:rsidRPr="00C311AE">
        <w:rPr>
          <w:rStyle w:val="tgc"/>
          <w:rFonts w:ascii="Book Antiqua" w:hAnsi="Book Antiqua" w:cs="Arial"/>
          <w:lang w:val="en"/>
        </w:rPr>
        <w:t>≤</w:t>
      </w:r>
      <w:r w:rsidR="007875F6" w:rsidRPr="00C311AE">
        <w:rPr>
          <w:rStyle w:val="tgc"/>
          <w:rFonts w:ascii="Book Antiqua" w:eastAsiaTheme="minorEastAsia" w:hAnsi="Book Antiqua" w:cs="Arial" w:hint="eastAsia"/>
          <w:lang w:val="en" w:eastAsia="zh-CN"/>
        </w:rPr>
        <w:t xml:space="preserve"> </w:t>
      </w:r>
      <w:r w:rsidR="00B06D66" w:rsidRPr="00C311AE">
        <w:rPr>
          <w:rFonts w:ascii="Book Antiqua" w:hAnsi="Book Antiqua" w:cs="Arial"/>
        </w:rPr>
        <w:t>60%) and 4 h</w:t>
      </w:r>
      <w:r w:rsidR="007875F6" w:rsidRPr="00C311AE">
        <w:rPr>
          <w:rFonts w:ascii="Book Antiqua" w:eastAsiaTheme="minorEastAsia" w:hAnsi="Book Antiqua" w:cs="Arial" w:hint="eastAsia"/>
          <w:lang w:eastAsia="zh-CN"/>
        </w:rPr>
        <w:t xml:space="preserve"> </w:t>
      </w:r>
      <w:r w:rsidR="00B06D66" w:rsidRPr="00C311AE">
        <w:rPr>
          <w:rFonts w:ascii="Book Antiqua" w:hAnsi="Book Antiqua" w:cs="Arial"/>
        </w:rPr>
        <w:t>(</w:t>
      </w:r>
      <w:r w:rsidR="00CA01E9" w:rsidRPr="00C311AE">
        <w:rPr>
          <w:rFonts w:ascii="Book Antiqua" w:hAnsi="Book Antiqua" w:cs="Arial"/>
        </w:rPr>
        <w:t>median of 22</w:t>
      </w:r>
      <w:r w:rsidR="0001599A" w:rsidRPr="00C311AE">
        <w:rPr>
          <w:rFonts w:ascii="Book Antiqua" w:hAnsi="Book Antiqua" w:cs="Arial"/>
        </w:rPr>
        <w:t>%</w:t>
      </w:r>
      <w:r w:rsidR="00190691" w:rsidRPr="00C311AE">
        <w:rPr>
          <w:rFonts w:ascii="Book Antiqua" w:hAnsi="Book Antiqua" w:cs="Arial"/>
          <w:i/>
        </w:rPr>
        <w:t xml:space="preserve"> vs</w:t>
      </w:r>
      <w:r w:rsidR="00190691" w:rsidRPr="00C311AE">
        <w:rPr>
          <w:rFonts w:ascii="Book Antiqua" w:hAnsi="Book Antiqua" w:cs="Arial"/>
        </w:rPr>
        <w:t xml:space="preserve"> </w:t>
      </w:r>
      <w:r w:rsidR="0001599A" w:rsidRPr="00C311AE">
        <w:rPr>
          <w:rFonts w:ascii="Book Antiqua" w:hAnsi="Book Antiqua" w:cs="Arial"/>
        </w:rPr>
        <w:t>2</w:t>
      </w:r>
      <w:r w:rsidR="00CA01E9" w:rsidRPr="00C311AE">
        <w:rPr>
          <w:rFonts w:ascii="Book Antiqua" w:hAnsi="Book Antiqua" w:cs="Arial"/>
        </w:rPr>
        <w:t>4</w:t>
      </w:r>
      <w:r w:rsidRPr="00C311AE">
        <w:rPr>
          <w:rFonts w:ascii="Book Antiqua" w:hAnsi="Book Antiqua" w:cs="Arial"/>
        </w:rPr>
        <w:t xml:space="preserve">%, normal </w:t>
      </w:r>
      <w:r w:rsidR="008C1EC5" w:rsidRPr="00C311AE">
        <w:rPr>
          <w:rStyle w:val="tgc"/>
          <w:rFonts w:ascii="Book Antiqua" w:hAnsi="Book Antiqua" w:cs="Arial"/>
          <w:lang w:val="en"/>
        </w:rPr>
        <w:t>≤</w:t>
      </w:r>
      <w:r w:rsidR="007875F6" w:rsidRPr="00C311AE">
        <w:rPr>
          <w:rStyle w:val="tgc"/>
          <w:rFonts w:ascii="Book Antiqua" w:eastAsiaTheme="minorEastAsia" w:hAnsi="Book Antiqua" w:cs="Arial" w:hint="eastAsia"/>
          <w:lang w:val="en" w:eastAsia="zh-CN"/>
        </w:rPr>
        <w:t xml:space="preserve"> </w:t>
      </w:r>
      <w:r w:rsidRPr="00C311AE">
        <w:rPr>
          <w:rFonts w:ascii="Book Antiqua" w:hAnsi="Book Antiqua" w:cs="Arial"/>
        </w:rPr>
        <w:t>10%) (</w:t>
      </w:r>
      <w:r w:rsidRPr="009622FB">
        <w:rPr>
          <w:rFonts w:ascii="Book Antiqua" w:hAnsi="Book Antiqua" w:cs="Arial"/>
          <w:i/>
          <w:caps/>
        </w:rPr>
        <w:t>p</w:t>
      </w:r>
      <w:r w:rsidR="00190691" w:rsidRPr="00C311AE">
        <w:rPr>
          <w:rFonts w:ascii="Book Antiqua" w:eastAsiaTheme="minorEastAsia" w:hAnsi="Book Antiqua" w:cs="Arial" w:hint="eastAsia"/>
          <w:lang w:eastAsia="zh-CN"/>
        </w:rPr>
        <w:t xml:space="preserve"> </w:t>
      </w:r>
      <w:r w:rsidRPr="00C311AE">
        <w:rPr>
          <w:rFonts w:ascii="Book Antiqua" w:hAnsi="Book Antiqua" w:cs="Arial"/>
        </w:rPr>
        <w:t>&gt;</w:t>
      </w:r>
      <w:r w:rsidR="00190691" w:rsidRPr="00C311AE">
        <w:rPr>
          <w:rFonts w:ascii="Book Antiqua" w:eastAsiaTheme="minorEastAsia" w:hAnsi="Book Antiqua" w:cs="Arial" w:hint="eastAsia"/>
          <w:lang w:eastAsia="zh-CN"/>
        </w:rPr>
        <w:t xml:space="preserve"> </w:t>
      </w:r>
      <w:r w:rsidRPr="00C311AE">
        <w:rPr>
          <w:rFonts w:ascii="Book Antiqua" w:hAnsi="Book Antiqua" w:cs="Arial"/>
        </w:rPr>
        <w:t xml:space="preserve">0.05) (Table 2). </w:t>
      </w:r>
      <w:r w:rsidR="004142B0" w:rsidRPr="00C311AE">
        <w:rPr>
          <w:rFonts w:ascii="Book Antiqua" w:hAnsi="Book Antiqua" w:cs="Arial"/>
        </w:rPr>
        <w:t>Amongst</w:t>
      </w:r>
      <w:r w:rsidR="00CA01E9" w:rsidRPr="00C311AE">
        <w:rPr>
          <w:rFonts w:ascii="Book Antiqua" w:hAnsi="Book Antiqua" w:cs="Arial"/>
        </w:rPr>
        <w:t xml:space="preserve"> GpCO </w:t>
      </w:r>
      <w:r w:rsidR="004142B0" w:rsidRPr="00C311AE">
        <w:rPr>
          <w:rFonts w:ascii="Book Antiqua" w:hAnsi="Book Antiqua" w:cs="Arial"/>
        </w:rPr>
        <w:t xml:space="preserve">11 patients (25.6%) </w:t>
      </w:r>
      <w:r w:rsidR="00CA01E9" w:rsidRPr="00C311AE">
        <w:rPr>
          <w:rFonts w:ascii="Book Antiqua" w:hAnsi="Book Antiqua" w:cs="Arial"/>
        </w:rPr>
        <w:t>had severe delays in gastric emptying (&gt;</w:t>
      </w:r>
      <w:r w:rsidR="007875F6" w:rsidRPr="00C311AE">
        <w:rPr>
          <w:rFonts w:ascii="Book Antiqua" w:eastAsiaTheme="minorEastAsia" w:hAnsi="Book Antiqua" w:cs="Arial" w:hint="eastAsia"/>
          <w:lang w:eastAsia="zh-CN"/>
        </w:rPr>
        <w:t xml:space="preserve"> </w:t>
      </w:r>
      <w:r w:rsidR="00CA01E9" w:rsidRPr="00C311AE">
        <w:rPr>
          <w:rFonts w:ascii="Book Antiqua" w:hAnsi="Book Antiqua" w:cs="Arial"/>
        </w:rPr>
        <w:t xml:space="preserve">35% retention at 4 h), compared to </w:t>
      </w:r>
      <w:r w:rsidR="004142B0" w:rsidRPr="00C311AE">
        <w:rPr>
          <w:rFonts w:ascii="Book Antiqua" w:hAnsi="Book Antiqua" w:cs="Arial"/>
        </w:rPr>
        <w:t>30 patients (19%)</w:t>
      </w:r>
      <w:r w:rsidR="00CA01E9" w:rsidRPr="00C311AE">
        <w:rPr>
          <w:rFonts w:ascii="Book Antiqua" w:hAnsi="Book Antiqua" w:cs="Arial"/>
        </w:rPr>
        <w:t xml:space="preserve"> in G</w:t>
      </w:r>
      <w:r w:rsidR="004142B0" w:rsidRPr="00C311AE">
        <w:rPr>
          <w:rFonts w:ascii="Book Antiqua" w:hAnsi="Book Antiqua" w:cs="Arial"/>
        </w:rPr>
        <w:t>pNO (</w:t>
      </w:r>
      <w:r w:rsidR="007875F6"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004142B0"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4142B0" w:rsidRPr="00C311AE">
        <w:rPr>
          <w:rFonts w:ascii="Book Antiqua" w:hAnsi="Book Antiqua" w:cs="Arial"/>
        </w:rPr>
        <w:t>0.341</w:t>
      </w:r>
      <w:r w:rsidR="00CA01E9" w:rsidRPr="00C311AE">
        <w:rPr>
          <w:rFonts w:ascii="Book Antiqua" w:hAnsi="Book Antiqua" w:cs="Arial"/>
        </w:rPr>
        <w:t>).</w:t>
      </w:r>
    </w:p>
    <w:p w14:paraId="5360EDF1" w14:textId="19968BD1" w:rsidR="00A54D38" w:rsidRPr="00C311AE" w:rsidRDefault="00FE1F5C" w:rsidP="00020CC7">
      <w:pPr>
        <w:snapToGrid w:val="0"/>
        <w:spacing w:line="360" w:lineRule="auto"/>
        <w:ind w:firstLineChars="100" w:firstLine="240"/>
        <w:jc w:val="both"/>
        <w:rPr>
          <w:rFonts w:ascii="Book Antiqua" w:hAnsi="Book Antiqua" w:cs="Arial"/>
        </w:rPr>
      </w:pPr>
      <w:r w:rsidRPr="00C311AE">
        <w:rPr>
          <w:rFonts w:ascii="Book Antiqua" w:hAnsi="Book Antiqua" w:cs="Arial"/>
        </w:rPr>
        <w:t>Opio</w:t>
      </w:r>
      <w:r w:rsidR="00BF44A9" w:rsidRPr="00C311AE">
        <w:rPr>
          <w:rFonts w:ascii="Book Antiqua" w:hAnsi="Book Antiqua" w:cs="Arial"/>
        </w:rPr>
        <w:t>ids did not seem to have a dose-</w:t>
      </w:r>
      <w:r w:rsidRPr="00C311AE">
        <w:rPr>
          <w:rFonts w:ascii="Book Antiqua" w:hAnsi="Book Antiqua" w:cs="Arial"/>
        </w:rPr>
        <w:t xml:space="preserve">related effect on the delay in gastric emptying, as we did not find any difference in the four quartiles </w:t>
      </w:r>
      <w:r w:rsidR="00CB20AE" w:rsidRPr="00C311AE">
        <w:rPr>
          <w:rFonts w:ascii="Book Antiqua" w:hAnsi="Book Antiqua" w:cs="Arial"/>
        </w:rPr>
        <w:t xml:space="preserve">of GpCO based </w:t>
      </w:r>
      <w:r w:rsidR="00A80159" w:rsidRPr="00C311AE">
        <w:rPr>
          <w:rFonts w:ascii="Book Antiqua" w:hAnsi="Book Antiqua" w:cs="Arial"/>
        </w:rPr>
        <w:t xml:space="preserve">on </w:t>
      </w:r>
      <w:r w:rsidRPr="00C311AE">
        <w:rPr>
          <w:rFonts w:ascii="Book Antiqua" w:hAnsi="Book Antiqua" w:cs="Arial"/>
        </w:rPr>
        <w:t>morphine equivalents per day</w:t>
      </w:r>
      <w:r w:rsidR="00A80159" w:rsidRPr="00C311AE">
        <w:rPr>
          <w:rFonts w:ascii="Book Antiqua" w:hAnsi="Book Antiqua" w:cs="Arial"/>
        </w:rPr>
        <w:t xml:space="preserve"> </w:t>
      </w:r>
      <w:r w:rsidR="00741CE3" w:rsidRPr="00C311AE">
        <w:rPr>
          <w:rFonts w:ascii="Book Antiqua" w:hAnsi="Book Antiqua" w:cs="Arial"/>
        </w:rPr>
        <w:t>by comparing the gastric emptying results of these</w:t>
      </w:r>
      <w:r w:rsidR="004A5AC0" w:rsidRPr="00C311AE">
        <w:rPr>
          <w:rFonts w:ascii="Book Antiqua" w:hAnsi="Book Antiqua" w:cs="Arial"/>
        </w:rPr>
        <w:t xml:space="preserve"> groups</w:t>
      </w:r>
      <w:r w:rsidRPr="00C311AE">
        <w:rPr>
          <w:rFonts w:ascii="Book Antiqua" w:hAnsi="Book Antiqua" w:cs="Arial"/>
        </w:rPr>
        <w:t xml:space="preserve"> </w:t>
      </w:r>
      <w:r w:rsidR="00061D2A" w:rsidRPr="00C311AE">
        <w:rPr>
          <w:rFonts w:ascii="Book Antiqua" w:hAnsi="Book Antiqua" w:cs="Arial"/>
        </w:rPr>
        <w:t xml:space="preserve">using </w:t>
      </w:r>
      <w:r w:rsidRPr="00C311AE">
        <w:rPr>
          <w:rFonts w:ascii="Book Antiqua" w:hAnsi="Book Antiqua" w:cs="Arial"/>
        </w:rPr>
        <w:t>ANOVA</w:t>
      </w:r>
      <w:r w:rsidR="00E445F2" w:rsidRPr="00C311AE">
        <w:rPr>
          <w:rFonts w:ascii="Book Antiqua" w:hAnsi="Book Antiqua" w:cs="Arial"/>
        </w:rPr>
        <w:t xml:space="preserve"> (Table 3)</w:t>
      </w:r>
      <w:r w:rsidR="004142B0" w:rsidRPr="00C311AE">
        <w:rPr>
          <w:rFonts w:ascii="Book Antiqua" w:hAnsi="Book Antiqua" w:cs="Arial"/>
        </w:rPr>
        <w:t>.</w:t>
      </w:r>
      <w:r w:rsidR="00D53588" w:rsidRPr="00C311AE">
        <w:rPr>
          <w:rFonts w:ascii="Book Antiqua" w:hAnsi="Book Antiqua" w:cs="Arial"/>
        </w:rPr>
        <w:t xml:space="preserve"> We also calculated </w:t>
      </w:r>
      <w:r w:rsidR="00F940C7" w:rsidRPr="00C311AE">
        <w:rPr>
          <w:rFonts w:ascii="Book Antiqua" w:hAnsi="Book Antiqua" w:cs="Arial"/>
        </w:rPr>
        <w:t xml:space="preserve">Pearson </w:t>
      </w:r>
      <w:r w:rsidR="00D53588" w:rsidRPr="00C311AE">
        <w:rPr>
          <w:rFonts w:ascii="Book Antiqua" w:hAnsi="Book Antiqua" w:cs="Arial"/>
        </w:rPr>
        <w:t>correlation coefficient</w:t>
      </w:r>
      <w:r w:rsidR="004B0D9B" w:rsidRPr="00C311AE">
        <w:rPr>
          <w:rFonts w:ascii="Book Antiqua" w:hAnsi="Book Antiqua" w:cs="Arial"/>
        </w:rPr>
        <w:t xml:space="preserve"> between opioid dose and delay in gastric emptying</w:t>
      </w:r>
      <w:r w:rsidR="00D53588" w:rsidRPr="00C311AE">
        <w:rPr>
          <w:rFonts w:ascii="Book Antiqua" w:hAnsi="Book Antiqua" w:cs="Arial"/>
        </w:rPr>
        <w:t>, and there was no significant correlation between morphine equivalents per day and gastric retention at 2 h</w:t>
      </w:r>
      <w:r w:rsidR="00D619C9">
        <w:rPr>
          <w:rFonts w:ascii="Book Antiqua" w:eastAsiaTheme="minorEastAsia" w:hAnsi="Book Antiqua" w:cs="Arial" w:hint="eastAsia"/>
          <w:lang w:eastAsia="zh-CN"/>
        </w:rPr>
        <w:t xml:space="preserve"> </w:t>
      </w:r>
      <w:r w:rsidR="00D53588" w:rsidRPr="00C311AE">
        <w:rPr>
          <w:rFonts w:ascii="Book Antiqua" w:hAnsi="Book Antiqua" w:cs="Arial"/>
        </w:rPr>
        <w:t>(</w:t>
      </w:r>
      <w:r w:rsidR="00D53588" w:rsidRPr="00C311AE">
        <w:rPr>
          <w:rFonts w:ascii="Book Antiqua" w:hAnsi="Book Antiqua" w:cs="Arial"/>
          <w:i/>
        </w:rPr>
        <w:t>r</w:t>
      </w:r>
      <w:r w:rsidR="007875F6" w:rsidRPr="00C311AE">
        <w:rPr>
          <w:rFonts w:ascii="Book Antiqua" w:eastAsiaTheme="minorEastAsia" w:hAnsi="Book Antiqua" w:cs="Arial" w:hint="eastAsia"/>
          <w:lang w:eastAsia="zh-CN"/>
        </w:rPr>
        <w:t xml:space="preserve"> </w:t>
      </w:r>
      <w:r w:rsidR="00D53588" w:rsidRPr="00C311AE">
        <w:rPr>
          <w:rFonts w:ascii="Book Antiqua" w:hAnsi="Book Antiqua" w:cs="Arial"/>
        </w:rPr>
        <w:t>&lt;</w:t>
      </w:r>
      <w:r w:rsidR="007875F6" w:rsidRPr="00C311AE">
        <w:rPr>
          <w:rFonts w:ascii="Book Antiqua" w:eastAsiaTheme="minorEastAsia" w:hAnsi="Book Antiqua" w:cs="Arial" w:hint="eastAsia"/>
          <w:lang w:eastAsia="zh-CN"/>
        </w:rPr>
        <w:t xml:space="preserve"> </w:t>
      </w:r>
      <w:r w:rsidR="00D53588" w:rsidRPr="00C311AE">
        <w:rPr>
          <w:rFonts w:ascii="Book Antiqua" w:hAnsi="Book Antiqua" w:cs="Arial"/>
        </w:rPr>
        <w:t xml:space="preserve">0.01, </w:t>
      </w:r>
      <w:r w:rsidR="007875F6" w:rsidRPr="00C311AE">
        <w:rPr>
          <w:rFonts w:ascii="Book Antiqua" w:hAnsi="Book Antiqua" w:cs="Arial"/>
          <w:i/>
          <w:caps/>
        </w:rPr>
        <w:t>p</w:t>
      </w:r>
      <w:r w:rsidR="007875F6" w:rsidRPr="00C311AE">
        <w:rPr>
          <w:rFonts w:ascii="Book Antiqua" w:eastAsiaTheme="minorEastAsia" w:hAnsi="Book Antiqua" w:cs="Arial" w:hint="eastAsia"/>
          <w:lang w:eastAsia="zh-CN"/>
        </w:rPr>
        <w:t xml:space="preserve"> </w:t>
      </w:r>
      <w:r w:rsidR="00D53588"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D53588" w:rsidRPr="00C311AE">
        <w:rPr>
          <w:rFonts w:ascii="Book Antiqua" w:hAnsi="Book Antiqua" w:cs="Arial"/>
        </w:rPr>
        <w:t xml:space="preserve">0.988) </w:t>
      </w:r>
      <w:r w:rsidR="00A650FA" w:rsidRPr="00C311AE">
        <w:rPr>
          <w:rFonts w:ascii="Book Antiqua" w:hAnsi="Book Antiqua" w:cs="Arial"/>
        </w:rPr>
        <w:t>or</w:t>
      </w:r>
      <w:r w:rsidR="00D53588" w:rsidRPr="00C311AE">
        <w:rPr>
          <w:rFonts w:ascii="Book Antiqua" w:hAnsi="Book Antiqua" w:cs="Arial"/>
        </w:rPr>
        <w:t xml:space="preserve"> 4 h</w:t>
      </w:r>
      <w:r w:rsidR="007875F6" w:rsidRPr="00C311AE">
        <w:rPr>
          <w:rFonts w:ascii="Book Antiqua" w:eastAsiaTheme="minorEastAsia" w:hAnsi="Book Antiqua" w:cs="Arial" w:hint="eastAsia"/>
          <w:lang w:eastAsia="zh-CN"/>
        </w:rPr>
        <w:t xml:space="preserve"> </w:t>
      </w:r>
      <w:r w:rsidR="00D53588" w:rsidRPr="00C311AE">
        <w:rPr>
          <w:rFonts w:ascii="Book Antiqua" w:hAnsi="Book Antiqua" w:cs="Arial"/>
        </w:rPr>
        <w:t>(</w:t>
      </w:r>
      <w:r w:rsidR="00D53588" w:rsidRPr="00C311AE">
        <w:rPr>
          <w:rFonts w:ascii="Book Antiqua" w:hAnsi="Book Antiqua" w:cs="Arial"/>
          <w:i/>
        </w:rPr>
        <w:t>r</w:t>
      </w:r>
      <w:r w:rsidR="007875F6" w:rsidRPr="00C311AE">
        <w:rPr>
          <w:rFonts w:ascii="Book Antiqua" w:eastAsiaTheme="minorEastAsia" w:hAnsi="Book Antiqua" w:cs="Arial" w:hint="eastAsia"/>
          <w:lang w:eastAsia="zh-CN"/>
        </w:rPr>
        <w:t xml:space="preserve"> </w:t>
      </w:r>
      <w:r w:rsidR="00D53588"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D53588" w:rsidRPr="00C311AE">
        <w:rPr>
          <w:rFonts w:ascii="Book Antiqua" w:hAnsi="Book Antiqua" w:cs="Arial"/>
        </w:rPr>
        <w:t xml:space="preserve">0.19, </w:t>
      </w:r>
      <w:r w:rsidR="007875F6"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00D53588"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D53588" w:rsidRPr="00C311AE">
        <w:rPr>
          <w:rFonts w:ascii="Book Antiqua" w:hAnsi="Book Antiqua" w:cs="Arial"/>
        </w:rPr>
        <w:t>-0.356).</w:t>
      </w:r>
    </w:p>
    <w:p w14:paraId="61BEB386" w14:textId="749E8A18" w:rsidR="007E3D5A" w:rsidRPr="00C311AE" w:rsidRDefault="007E3D5A" w:rsidP="00020CC7">
      <w:pPr>
        <w:snapToGrid w:val="0"/>
        <w:spacing w:line="360" w:lineRule="auto"/>
        <w:ind w:firstLineChars="100" w:firstLine="240"/>
        <w:jc w:val="both"/>
        <w:rPr>
          <w:rFonts w:ascii="Book Antiqua" w:hAnsi="Book Antiqua" w:cs="Arial"/>
          <w:lang w:val="en"/>
        </w:rPr>
      </w:pPr>
      <w:r w:rsidRPr="00C311AE">
        <w:rPr>
          <w:rFonts w:ascii="Book Antiqua" w:hAnsi="Book Antiqua" w:cs="Arial"/>
        </w:rPr>
        <w:t>Of note, 14 patients on chronic scheduled opioids were still taking opioids at the time of their GES, which may have resulted in the delay in their gastric emptying. However, when we compared these patients to GpCO who were able to taper off the opioids prior to the study,</w:t>
      </w:r>
      <w:r w:rsidR="0080387C" w:rsidRPr="00C311AE">
        <w:rPr>
          <w:rFonts w:ascii="Book Antiqua" w:hAnsi="Book Antiqua" w:cs="Arial"/>
        </w:rPr>
        <w:t xml:space="preserve"> there was no difference in gastric retention at 2 </w:t>
      </w:r>
      <w:r w:rsidR="00B721E5" w:rsidRPr="00C311AE">
        <w:rPr>
          <w:rFonts w:ascii="Book Antiqua" w:hAnsi="Book Antiqua" w:cs="Arial"/>
        </w:rPr>
        <w:t>h</w:t>
      </w:r>
      <w:r w:rsidR="007875F6" w:rsidRPr="00C311AE">
        <w:rPr>
          <w:rFonts w:ascii="Book Antiqua" w:eastAsiaTheme="minorEastAsia" w:hAnsi="Book Antiqua" w:cs="Arial" w:hint="eastAsia"/>
          <w:lang w:eastAsia="zh-CN"/>
        </w:rPr>
        <w:t xml:space="preserve"> </w:t>
      </w:r>
      <w:r w:rsidR="00B721E5" w:rsidRPr="00C311AE">
        <w:rPr>
          <w:rFonts w:ascii="Book Antiqua" w:hAnsi="Book Antiqua" w:cs="Arial"/>
        </w:rPr>
        <w:t xml:space="preserve">(median </w:t>
      </w:r>
      <w:r w:rsidR="00420CE5" w:rsidRPr="00C311AE">
        <w:rPr>
          <w:rFonts w:ascii="Book Antiqua" w:hAnsi="Book Antiqua" w:cs="Arial"/>
        </w:rPr>
        <w:t xml:space="preserve">of 60% </w:t>
      </w:r>
      <w:r w:rsidR="00420CE5" w:rsidRPr="00C311AE">
        <w:rPr>
          <w:rFonts w:ascii="Book Antiqua" w:hAnsi="Book Antiqua" w:cs="Arial"/>
          <w:i/>
        </w:rPr>
        <w:t>vs</w:t>
      </w:r>
      <w:r w:rsidR="007875F6" w:rsidRPr="00C311AE">
        <w:rPr>
          <w:rFonts w:ascii="Book Antiqua" w:eastAsiaTheme="minorEastAsia" w:hAnsi="Book Antiqua" w:cs="Arial" w:hint="eastAsia"/>
          <w:lang w:eastAsia="zh-CN"/>
        </w:rPr>
        <w:t xml:space="preserve"> </w:t>
      </w:r>
      <w:r w:rsidR="00420CE5" w:rsidRPr="00C311AE">
        <w:rPr>
          <w:rFonts w:ascii="Book Antiqua" w:hAnsi="Book Antiqua" w:cs="Arial"/>
        </w:rPr>
        <w:t xml:space="preserve">70% respectively, </w:t>
      </w:r>
      <w:r w:rsidR="007875F6"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00420CE5"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B721E5" w:rsidRPr="00C311AE">
        <w:rPr>
          <w:rFonts w:ascii="Book Antiqua" w:hAnsi="Book Antiqua" w:cs="Arial"/>
        </w:rPr>
        <w:t xml:space="preserve">0.461) </w:t>
      </w:r>
      <w:r w:rsidR="0080387C" w:rsidRPr="00C311AE">
        <w:rPr>
          <w:rFonts w:ascii="Book Antiqua" w:hAnsi="Book Antiqua" w:cs="Arial"/>
        </w:rPr>
        <w:t>and 4 h</w:t>
      </w:r>
      <w:r w:rsidR="00D619C9">
        <w:rPr>
          <w:rFonts w:ascii="Book Antiqua" w:eastAsiaTheme="minorEastAsia" w:hAnsi="Book Antiqua" w:cs="Arial" w:hint="eastAsia"/>
          <w:lang w:eastAsia="zh-CN"/>
        </w:rPr>
        <w:t xml:space="preserve"> </w:t>
      </w:r>
      <w:r w:rsidR="00B721E5" w:rsidRPr="00C311AE">
        <w:rPr>
          <w:rFonts w:ascii="Book Antiqua" w:hAnsi="Book Antiqua" w:cs="Arial"/>
        </w:rPr>
        <w:t xml:space="preserve">(16% </w:t>
      </w:r>
      <w:r w:rsidR="00B721E5" w:rsidRPr="00C311AE">
        <w:rPr>
          <w:rFonts w:ascii="Book Antiqua" w:hAnsi="Book Antiqua" w:cs="Arial"/>
          <w:i/>
        </w:rPr>
        <w:t>vs</w:t>
      </w:r>
      <w:r w:rsidR="007875F6" w:rsidRPr="00C311AE">
        <w:rPr>
          <w:rFonts w:ascii="Book Antiqua" w:eastAsiaTheme="minorEastAsia" w:hAnsi="Book Antiqua" w:cs="Arial" w:hint="eastAsia"/>
          <w:lang w:eastAsia="zh-CN"/>
        </w:rPr>
        <w:t xml:space="preserve"> </w:t>
      </w:r>
      <w:r w:rsidR="00B721E5" w:rsidRPr="00C311AE">
        <w:rPr>
          <w:rFonts w:ascii="Book Antiqua" w:hAnsi="Book Antiqua" w:cs="Arial"/>
        </w:rPr>
        <w:t xml:space="preserve">20%, </w:t>
      </w:r>
      <w:r w:rsidR="007875F6"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00B721E5"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B721E5" w:rsidRPr="00C311AE">
        <w:rPr>
          <w:rFonts w:ascii="Book Antiqua" w:hAnsi="Book Antiqua" w:cs="Arial"/>
        </w:rPr>
        <w:t>0.718)</w:t>
      </w:r>
      <w:r w:rsidR="0080387C" w:rsidRPr="00C311AE">
        <w:rPr>
          <w:rFonts w:ascii="Book Antiqua" w:hAnsi="Book Antiqua" w:cs="Arial"/>
        </w:rPr>
        <w:t xml:space="preserve">. </w:t>
      </w:r>
    </w:p>
    <w:p w14:paraId="48950D78" w14:textId="77777777" w:rsidR="00A54D38" w:rsidRPr="00C311AE" w:rsidRDefault="00A54D38" w:rsidP="00020CC7">
      <w:pPr>
        <w:autoSpaceDE w:val="0"/>
        <w:autoSpaceDN w:val="0"/>
        <w:adjustRightInd w:val="0"/>
        <w:snapToGrid w:val="0"/>
        <w:spacing w:line="360" w:lineRule="auto"/>
        <w:jc w:val="both"/>
        <w:rPr>
          <w:rFonts w:ascii="Book Antiqua" w:hAnsi="Book Antiqua" w:cs="Arial"/>
        </w:rPr>
      </w:pPr>
    </w:p>
    <w:p w14:paraId="366925B7" w14:textId="77777777" w:rsidR="00EC047E" w:rsidRPr="00C311AE" w:rsidRDefault="00EC047E" w:rsidP="00020CC7">
      <w:pPr>
        <w:autoSpaceDE w:val="0"/>
        <w:autoSpaceDN w:val="0"/>
        <w:adjustRightInd w:val="0"/>
        <w:snapToGrid w:val="0"/>
        <w:spacing w:line="360" w:lineRule="auto"/>
        <w:jc w:val="both"/>
        <w:rPr>
          <w:rFonts w:ascii="Book Antiqua" w:hAnsi="Book Antiqua" w:cs="Arial"/>
          <w:b/>
          <w:i/>
        </w:rPr>
      </w:pPr>
      <w:r w:rsidRPr="00C311AE">
        <w:rPr>
          <w:rFonts w:ascii="Book Antiqua" w:hAnsi="Book Antiqua" w:cs="Arial"/>
          <w:b/>
          <w:i/>
        </w:rPr>
        <w:t>GI Symptoms</w:t>
      </w:r>
    </w:p>
    <w:p w14:paraId="41B07AC3" w14:textId="6EF5F1FA" w:rsidR="00CC36AD" w:rsidRPr="00C311AE" w:rsidRDefault="00EC047E" w:rsidP="00020CC7">
      <w:pPr>
        <w:autoSpaceDE w:val="0"/>
        <w:autoSpaceDN w:val="0"/>
        <w:adjustRightInd w:val="0"/>
        <w:snapToGrid w:val="0"/>
        <w:spacing w:line="360" w:lineRule="auto"/>
        <w:jc w:val="both"/>
        <w:rPr>
          <w:rFonts w:ascii="Book Antiqua" w:hAnsi="Book Antiqua" w:cs="Arial"/>
        </w:rPr>
      </w:pPr>
      <w:r w:rsidRPr="00C311AE">
        <w:rPr>
          <w:rFonts w:ascii="Book Antiqua" w:hAnsi="Book Antiqua" w:cs="Arial"/>
        </w:rPr>
        <w:t>GpCO had higher symptom severities of many GI symptoms including nausea, retching, vomiting, early satiety, post-prandial full</w:t>
      </w:r>
      <w:r w:rsidR="00F0361C" w:rsidRPr="00C311AE">
        <w:rPr>
          <w:rFonts w:ascii="Book Antiqua" w:hAnsi="Book Antiqua" w:cs="Arial"/>
        </w:rPr>
        <w:t>ness, loss of appetite, upper abdominal pain</w:t>
      </w:r>
      <w:r w:rsidRPr="00C311AE">
        <w:rPr>
          <w:rFonts w:ascii="Book Antiqua" w:hAnsi="Book Antiqua" w:cs="Arial"/>
        </w:rPr>
        <w:t xml:space="preserve">, upper abdominal discomfort, heartburn during day, heartburn on lying down, </w:t>
      </w:r>
      <w:r w:rsidR="0001599A" w:rsidRPr="00C311AE">
        <w:rPr>
          <w:rFonts w:ascii="Book Antiqua" w:hAnsi="Book Antiqua" w:cs="Arial"/>
        </w:rPr>
        <w:t xml:space="preserve">chest discomfort during day, </w:t>
      </w:r>
      <w:r w:rsidRPr="00C311AE">
        <w:rPr>
          <w:rFonts w:ascii="Book Antiqua" w:hAnsi="Book Antiqua" w:cs="Arial"/>
        </w:rPr>
        <w:t xml:space="preserve">chest discomfort at night, </w:t>
      </w:r>
      <w:r w:rsidR="0001599A" w:rsidRPr="00C311AE">
        <w:rPr>
          <w:rFonts w:ascii="Book Antiqua" w:hAnsi="Book Antiqua" w:cs="Arial"/>
        </w:rPr>
        <w:t xml:space="preserve">regurgitation/reflux during day, </w:t>
      </w:r>
      <w:r w:rsidRPr="00C311AE">
        <w:rPr>
          <w:rFonts w:ascii="Book Antiqua" w:hAnsi="Book Antiqua" w:cs="Arial"/>
        </w:rPr>
        <w:t>and bitter/acid/sour taste in the mouth comp</w:t>
      </w:r>
      <w:r w:rsidR="00E445F2" w:rsidRPr="00C311AE">
        <w:rPr>
          <w:rFonts w:ascii="Book Antiqua" w:hAnsi="Book Antiqua" w:cs="Arial"/>
        </w:rPr>
        <w:t>ared to GpNO (</w:t>
      </w:r>
      <w:r w:rsidR="007875F6"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00E445F2" w:rsidRPr="00C311AE">
        <w:rPr>
          <w:rFonts w:ascii="Book Antiqua" w:hAnsi="Book Antiqua" w:cs="Arial"/>
        </w:rPr>
        <w:t>&lt; 0.05) (Table 4</w:t>
      </w:r>
      <w:r w:rsidRPr="00C311AE">
        <w:rPr>
          <w:rFonts w:ascii="Book Antiqua" w:hAnsi="Book Antiqua" w:cs="Arial"/>
        </w:rPr>
        <w:t>). The severity of constipation was not statistically different between the two groups (</w:t>
      </w:r>
      <w:r w:rsidR="0001599A" w:rsidRPr="00C311AE">
        <w:rPr>
          <w:rFonts w:ascii="Book Antiqua" w:hAnsi="Book Antiqua" w:cs="Arial"/>
        </w:rPr>
        <w:t>2.9</w:t>
      </w:r>
      <w:r w:rsidR="00CA01E9" w:rsidRPr="00C311AE">
        <w:rPr>
          <w:rFonts w:ascii="Book Antiqua" w:hAnsi="Book Antiqua" w:cs="Arial"/>
        </w:rPr>
        <w:t xml:space="preserve">2 </w:t>
      </w:r>
      <w:r w:rsidR="009134B6" w:rsidRPr="00C311AE">
        <w:rPr>
          <w:rFonts w:ascii="Book Antiqua" w:hAnsi="Book Antiqua" w:cs="Arial"/>
        </w:rPr>
        <w:t>±</w:t>
      </w:r>
      <w:r w:rsidR="00CA01E9" w:rsidRPr="00C311AE">
        <w:rPr>
          <w:rFonts w:ascii="Book Antiqua" w:hAnsi="Book Antiqua" w:cs="Arial"/>
        </w:rPr>
        <w:t xml:space="preserve"> 0.30</w:t>
      </w:r>
      <w:r w:rsidR="0001599A" w:rsidRPr="00C311AE">
        <w:rPr>
          <w:rFonts w:ascii="Book Antiqua" w:hAnsi="Book Antiqua" w:cs="Arial"/>
        </w:rPr>
        <w:t xml:space="preserve"> in GpCO, compared to 2.6</w:t>
      </w:r>
      <w:r w:rsidR="00CA01E9" w:rsidRPr="00C311AE">
        <w:rPr>
          <w:rFonts w:ascii="Book Antiqua" w:hAnsi="Book Antiqua" w:cs="Arial"/>
        </w:rPr>
        <w:t xml:space="preserve">3 </w:t>
      </w:r>
      <w:r w:rsidR="009134B6" w:rsidRPr="00C311AE">
        <w:rPr>
          <w:rFonts w:ascii="Book Antiqua" w:hAnsi="Book Antiqua" w:cs="Arial"/>
        </w:rPr>
        <w:t>±</w:t>
      </w:r>
      <w:r w:rsidR="00CA01E9" w:rsidRPr="00C311AE">
        <w:rPr>
          <w:rFonts w:ascii="Book Antiqua" w:hAnsi="Book Antiqua" w:cs="Arial"/>
        </w:rPr>
        <w:t xml:space="preserve"> 0.14</w:t>
      </w:r>
      <w:r w:rsidR="0001599A" w:rsidRPr="00C311AE">
        <w:rPr>
          <w:rFonts w:ascii="Book Antiqua" w:hAnsi="Book Antiqua" w:cs="Arial"/>
        </w:rPr>
        <w:t xml:space="preserve"> in GpNO, </w:t>
      </w:r>
      <w:r w:rsidR="007875F6"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0001599A"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01599A" w:rsidRPr="00C311AE">
        <w:rPr>
          <w:rFonts w:ascii="Book Antiqua" w:hAnsi="Book Antiqua" w:cs="Arial"/>
        </w:rPr>
        <w:lastRenderedPageBreak/>
        <w:t>0.296</w:t>
      </w:r>
      <w:r w:rsidRPr="00C311AE">
        <w:rPr>
          <w:rFonts w:ascii="Book Antiqua" w:hAnsi="Book Antiqua" w:cs="Arial"/>
        </w:rPr>
        <w:t xml:space="preserve">). </w:t>
      </w:r>
      <w:r w:rsidR="00D04B9B" w:rsidRPr="00C311AE">
        <w:rPr>
          <w:rFonts w:ascii="Book Antiqua" w:hAnsi="Book Antiqua" w:cs="Arial"/>
        </w:rPr>
        <w:t>On PAGI-SYM questionnaire, the total symptom severity score in GpCO wa</w:t>
      </w:r>
      <w:r w:rsidR="00E445F2" w:rsidRPr="00C311AE">
        <w:rPr>
          <w:rFonts w:ascii="Book Antiqua" w:hAnsi="Book Antiqua" w:cs="Arial"/>
        </w:rPr>
        <w:t>s also higher than GpNO (Table 4</w:t>
      </w:r>
      <w:r w:rsidR="00D04B9B" w:rsidRPr="00C311AE">
        <w:rPr>
          <w:rFonts w:ascii="Book Antiqua" w:hAnsi="Book Antiqua" w:cs="Arial"/>
        </w:rPr>
        <w:t>).</w:t>
      </w:r>
    </w:p>
    <w:p w14:paraId="656E086F" w14:textId="5E82E84A" w:rsidR="00EC047E" w:rsidRPr="00C311AE" w:rsidRDefault="00F0361C" w:rsidP="00020CC7">
      <w:pPr>
        <w:autoSpaceDE w:val="0"/>
        <w:autoSpaceDN w:val="0"/>
        <w:adjustRightInd w:val="0"/>
        <w:snapToGrid w:val="0"/>
        <w:spacing w:line="360" w:lineRule="auto"/>
        <w:ind w:firstLineChars="100" w:firstLine="240"/>
        <w:jc w:val="both"/>
        <w:rPr>
          <w:rFonts w:ascii="Book Antiqua" w:hAnsi="Book Antiqua" w:cs="Arial"/>
        </w:rPr>
      </w:pPr>
      <w:r w:rsidRPr="00C311AE">
        <w:rPr>
          <w:rFonts w:ascii="Book Antiqua" w:hAnsi="Book Antiqua" w:cs="Arial"/>
        </w:rPr>
        <w:t xml:space="preserve">As stated previously the median morphine equivalent use in GpCO was 60 mg per day. </w:t>
      </w:r>
      <w:r w:rsidR="00EC047E" w:rsidRPr="00C311AE">
        <w:rPr>
          <w:rFonts w:ascii="Book Antiqua" w:hAnsi="Book Antiqua" w:cs="Arial"/>
        </w:rPr>
        <w:t xml:space="preserve">When we compared GpCO taking more than 60 mg morphine equivalents per day to GpCO taking 60 mg per day or less, the patients taking more than 60 mg per day reported more severe </w:t>
      </w:r>
      <w:r w:rsidR="0088310E" w:rsidRPr="00C311AE">
        <w:rPr>
          <w:rFonts w:ascii="Book Antiqua" w:hAnsi="Book Antiqua" w:cs="Arial"/>
        </w:rPr>
        <w:t>heartburn during the day (3.3</w:t>
      </w:r>
      <w:r w:rsidR="00CA01E9" w:rsidRPr="00C311AE">
        <w:rPr>
          <w:rFonts w:ascii="Book Antiqua" w:hAnsi="Book Antiqua" w:cs="Arial"/>
        </w:rPr>
        <w:t xml:space="preserve">0 </w:t>
      </w:r>
      <w:r w:rsidR="00AF787D" w:rsidRPr="00C311AE">
        <w:rPr>
          <w:rFonts w:ascii="Book Antiqua" w:hAnsi="Book Antiqua" w:cs="Arial"/>
        </w:rPr>
        <w:t>±</w:t>
      </w:r>
      <w:r w:rsidR="00CA01E9" w:rsidRPr="00C311AE">
        <w:rPr>
          <w:rFonts w:ascii="Book Antiqua" w:hAnsi="Book Antiqua" w:cs="Arial"/>
        </w:rPr>
        <w:t xml:space="preserve"> 0.45</w:t>
      </w:r>
      <w:r w:rsidR="00190691" w:rsidRPr="00C311AE">
        <w:rPr>
          <w:rFonts w:ascii="Book Antiqua" w:hAnsi="Book Antiqua" w:cs="Arial"/>
          <w:i/>
        </w:rPr>
        <w:t xml:space="preserve"> vs</w:t>
      </w:r>
      <w:r w:rsidR="00190691" w:rsidRPr="00C311AE">
        <w:rPr>
          <w:rFonts w:ascii="Book Antiqua" w:hAnsi="Book Antiqua" w:cs="Arial"/>
        </w:rPr>
        <w:t xml:space="preserve"> </w:t>
      </w:r>
      <w:r w:rsidR="00AF787D" w:rsidRPr="00C311AE">
        <w:rPr>
          <w:rFonts w:ascii="Book Antiqua" w:hAnsi="Book Antiqua" w:cs="Arial"/>
        </w:rPr>
        <w:t>2.0</w:t>
      </w:r>
      <w:r w:rsidR="00CA01E9" w:rsidRPr="00C311AE">
        <w:rPr>
          <w:rFonts w:ascii="Book Antiqua" w:hAnsi="Book Antiqua" w:cs="Arial"/>
        </w:rPr>
        <w:t xml:space="preserve"> </w:t>
      </w:r>
      <w:r w:rsidR="00AF787D" w:rsidRPr="00C311AE">
        <w:rPr>
          <w:rFonts w:ascii="Book Antiqua" w:hAnsi="Book Antiqua" w:cs="Arial"/>
        </w:rPr>
        <w:t>±</w:t>
      </w:r>
      <w:r w:rsidR="00CA01E9" w:rsidRPr="00C311AE">
        <w:rPr>
          <w:rFonts w:ascii="Book Antiqua" w:hAnsi="Book Antiqua" w:cs="Arial"/>
        </w:rPr>
        <w:t xml:space="preserve"> 0.21</w:t>
      </w:r>
      <w:r w:rsidR="00AF787D" w:rsidRPr="00C311AE">
        <w:rPr>
          <w:rFonts w:ascii="Book Antiqua" w:hAnsi="Book Antiqua" w:cs="Arial"/>
        </w:rPr>
        <w:t xml:space="preserve">, </w:t>
      </w:r>
      <w:r w:rsidR="007875F6"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00AF787D"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AF787D" w:rsidRPr="00C311AE">
        <w:rPr>
          <w:rFonts w:ascii="Book Antiqua" w:hAnsi="Book Antiqua" w:cs="Arial"/>
        </w:rPr>
        <w:t>0.023</w:t>
      </w:r>
      <w:r w:rsidR="0088310E" w:rsidRPr="00C311AE">
        <w:rPr>
          <w:rFonts w:ascii="Book Antiqua" w:hAnsi="Book Antiqua" w:cs="Arial"/>
        </w:rPr>
        <w:t>)</w:t>
      </w:r>
      <w:r w:rsidR="00AF787D" w:rsidRPr="00C311AE">
        <w:rPr>
          <w:rFonts w:ascii="Book Antiqua" w:hAnsi="Book Antiqua" w:cs="Arial"/>
        </w:rPr>
        <w:t xml:space="preserve">. </w:t>
      </w:r>
      <w:r w:rsidR="00EC047E" w:rsidRPr="00C311AE">
        <w:rPr>
          <w:rFonts w:ascii="Book Antiqua" w:hAnsi="Book Antiqua" w:cs="Arial"/>
        </w:rPr>
        <w:t>There was also a t</w:t>
      </w:r>
      <w:r w:rsidR="003816FC" w:rsidRPr="00C311AE">
        <w:rPr>
          <w:rFonts w:ascii="Book Antiqua" w:hAnsi="Book Antiqua" w:cs="Arial"/>
        </w:rPr>
        <w:t xml:space="preserve">rend towards more severe </w:t>
      </w:r>
      <w:r w:rsidR="00EC047E" w:rsidRPr="00C311AE">
        <w:rPr>
          <w:rFonts w:ascii="Book Antiqua" w:hAnsi="Book Antiqua" w:cs="Arial"/>
        </w:rPr>
        <w:t>heartburn in recumbent position</w:t>
      </w:r>
      <w:r w:rsidR="00AF787D" w:rsidRPr="00C311AE">
        <w:rPr>
          <w:rFonts w:ascii="Book Antiqua" w:hAnsi="Book Antiqua" w:cs="Arial"/>
        </w:rPr>
        <w:t xml:space="preserve"> (3.3</w:t>
      </w:r>
      <w:r w:rsidR="002F775D" w:rsidRPr="00C311AE">
        <w:rPr>
          <w:rFonts w:ascii="Book Antiqua" w:hAnsi="Book Antiqua" w:cs="Arial"/>
        </w:rPr>
        <w:t xml:space="preserve">0 </w:t>
      </w:r>
      <w:r w:rsidR="00AF787D" w:rsidRPr="00C311AE">
        <w:rPr>
          <w:rFonts w:ascii="Book Antiqua" w:hAnsi="Book Antiqua" w:cs="Arial"/>
        </w:rPr>
        <w:t>±</w:t>
      </w:r>
      <w:r w:rsidR="002F775D" w:rsidRPr="00C311AE">
        <w:rPr>
          <w:rFonts w:ascii="Book Antiqua" w:hAnsi="Book Antiqua" w:cs="Arial"/>
        </w:rPr>
        <w:t xml:space="preserve"> 0.46</w:t>
      </w:r>
      <w:r w:rsidR="00190691" w:rsidRPr="00C311AE">
        <w:rPr>
          <w:rFonts w:ascii="Book Antiqua" w:hAnsi="Book Antiqua" w:cs="Arial"/>
          <w:i/>
        </w:rPr>
        <w:t xml:space="preserve"> vs</w:t>
      </w:r>
      <w:r w:rsidR="00190691" w:rsidRPr="00C311AE">
        <w:rPr>
          <w:rFonts w:ascii="Book Antiqua" w:hAnsi="Book Antiqua" w:cs="Arial"/>
        </w:rPr>
        <w:t xml:space="preserve"> </w:t>
      </w:r>
      <w:r w:rsidR="00AF787D" w:rsidRPr="00C311AE">
        <w:rPr>
          <w:rFonts w:ascii="Book Antiqua" w:hAnsi="Book Antiqua" w:cs="Arial"/>
        </w:rPr>
        <w:t>2.3</w:t>
      </w:r>
      <w:r w:rsidR="002F775D" w:rsidRPr="00C311AE">
        <w:rPr>
          <w:rFonts w:ascii="Book Antiqua" w:hAnsi="Book Antiqua" w:cs="Arial"/>
        </w:rPr>
        <w:t xml:space="preserve">0 </w:t>
      </w:r>
      <w:r w:rsidR="00AF787D" w:rsidRPr="00C311AE">
        <w:rPr>
          <w:rFonts w:ascii="Book Antiqua" w:hAnsi="Book Antiqua" w:cs="Arial"/>
        </w:rPr>
        <w:t>±</w:t>
      </w:r>
      <w:r w:rsidR="002F775D" w:rsidRPr="00C311AE">
        <w:rPr>
          <w:rFonts w:ascii="Book Antiqua" w:hAnsi="Book Antiqua" w:cs="Arial"/>
        </w:rPr>
        <w:t xml:space="preserve"> 0.38</w:t>
      </w:r>
      <w:r w:rsidR="00AF787D" w:rsidRPr="00C311AE">
        <w:rPr>
          <w:rFonts w:ascii="Book Antiqua" w:hAnsi="Book Antiqua" w:cs="Arial"/>
        </w:rPr>
        <w:t xml:space="preserve">, </w:t>
      </w:r>
      <w:r w:rsidR="007875F6"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00AF787D"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AF787D" w:rsidRPr="00C311AE">
        <w:rPr>
          <w:rFonts w:ascii="Book Antiqua" w:hAnsi="Book Antiqua" w:cs="Arial"/>
        </w:rPr>
        <w:t>0.116)</w:t>
      </w:r>
      <w:r w:rsidR="00EC047E" w:rsidRPr="00C311AE">
        <w:rPr>
          <w:rFonts w:ascii="Book Antiqua" w:hAnsi="Book Antiqua" w:cs="Arial"/>
        </w:rPr>
        <w:t xml:space="preserve">, </w:t>
      </w:r>
      <w:r w:rsidR="00AF787D" w:rsidRPr="00C311AE">
        <w:rPr>
          <w:rFonts w:ascii="Book Antiqua" w:hAnsi="Book Antiqua" w:cs="Arial"/>
        </w:rPr>
        <w:t>and bitter, acid or sour taste in the mouth (3.5</w:t>
      </w:r>
      <w:r w:rsidR="002F775D" w:rsidRPr="00C311AE">
        <w:rPr>
          <w:rFonts w:ascii="Book Antiqua" w:hAnsi="Book Antiqua" w:cs="Arial"/>
        </w:rPr>
        <w:t xml:space="preserve">0 </w:t>
      </w:r>
      <w:r w:rsidR="00AF787D" w:rsidRPr="00C311AE">
        <w:rPr>
          <w:rFonts w:ascii="Book Antiqua" w:hAnsi="Book Antiqua" w:cs="Arial"/>
        </w:rPr>
        <w:t>±</w:t>
      </w:r>
      <w:r w:rsidR="002F775D" w:rsidRPr="00C311AE">
        <w:rPr>
          <w:rFonts w:ascii="Book Antiqua" w:hAnsi="Book Antiqua" w:cs="Arial"/>
        </w:rPr>
        <w:t xml:space="preserve"> 0.44</w:t>
      </w:r>
      <w:r w:rsidR="00190691" w:rsidRPr="00C311AE">
        <w:rPr>
          <w:rFonts w:ascii="Book Antiqua" w:hAnsi="Book Antiqua" w:cs="Arial"/>
          <w:i/>
        </w:rPr>
        <w:t xml:space="preserve"> vs</w:t>
      </w:r>
      <w:r w:rsidR="00190691" w:rsidRPr="00C311AE">
        <w:rPr>
          <w:rFonts w:ascii="Book Antiqua" w:hAnsi="Book Antiqua" w:cs="Arial"/>
        </w:rPr>
        <w:t xml:space="preserve"> </w:t>
      </w:r>
      <w:r w:rsidR="00AF787D" w:rsidRPr="00C311AE">
        <w:rPr>
          <w:rFonts w:ascii="Book Antiqua" w:hAnsi="Book Antiqua" w:cs="Arial"/>
        </w:rPr>
        <w:t>2.3</w:t>
      </w:r>
      <w:r w:rsidR="002F775D" w:rsidRPr="00C311AE">
        <w:rPr>
          <w:rFonts w:ascii="Book Antiqua" w:hAnsi="Book Antiqua" w:cs="Arial"/>
        </w:rPr>
        <w:t xml:space="preserve">0 </w:t>
      </w:r>
      <w:r w:rsidR="00AF787D" w:rsidRPr="00C311AE">
        <w:rPr>
          <w:rFonts w:ascii="Book Antiqua" w:hAnsi="Book Antiqua" w:cs="Arial"/>
        </w:rPr>
        <w:t>±</w:t>
      </w:r>
      <w:r w:rsidR="002F775D" w:rsidRPr="00C311AE">
        <w:rPr>
          <w:rFonts w:ascii="Book Antiqua" w:hAnsi="Book Antiqua" w:cs="Arial"/>
        </w:rPr>
        <w:t xml:space="preserve"> 0.36</w:t>
      </w:r>
      <w:r w:rsidR="00AF787D" w:rsidRPr="00C311AE">
        <w:rPr>
          <w:rFonts w:ascii="Book Antiqua" w:hAnsi="Book Antiqua" w:cs="Arial"/>
        </w:rPr>
        <w:t xml:space="preserve">, </w:t>
      </w:r>
      <w:r w:rsidR="007875F6"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00AF787D"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AF787D" w:rsidRPr="00C311AE">
        <w:rPr>
          <w:rFonts w:ascii="Book Antiqua" w:hAnsi="Book Antiqua" w:cs="Arial"/>
        </w:rPr>
        <w:t>0.058) amongst GpCO taking more than 60 mg morphine equivalents per day (</w:t>
      </w:r>
      <w:r w:rsidR="001A62BE" w:rsidRPr="00C311AE">
        <w:rPr>
          <w:rFonts w:ascii="Book Antiqua" w:hAnsi="Book Antiqua" w:cs="Arial"/>
        </w:rPr>
        <w:t>results not shown</w:t>
      </w:r>
      <w:r w:rsidR="003816FC" w:rsidRPr="00C311AE">
        <w:rPr>
          <w:rFonts w:ascii="Book Antiqua" w:hAnsi="Book Antiqua" w:cs="Arial"/>
        </w:rPr>
        <w:t xml:space="preserve">). </w:t>
      </w:r>
    </w:p>
    <w:p w14:paraId="325DFD18" w14:textId="75A9FEEC" w:rsidR="00CB20AE" w:rsidRPr="00C311AE" w:rsidRDefault="00CB20AE" w:rsidP="00020CC7">
      <w:pPr>
        <w:autoSpaceDE w:val="0"/>
        <w:autoSpaceDN w:val="0"/>
        <w:adjustRightInd w:val="0"/>
        <w:snapToGrid w:val="0"/>
        <w:spacing w:line="360" w:lineRule="auto"/>
        <w:ind w:firstLineChars="100" w:firstLine="240"/>
        <w:jc w:val="both"/>
        <w:rPr>
          <w:rFonts w:ascii="Book Antiqua" w:hAnsi="Book Antiqua" w:cs="Arial"/>
        </w:rPr>
      </w:pPr>
      <w:r w:rsidRPr="00C311AE">
        <w:rPr>
          <w:rFonts w:ascii="Book Antiqua" w:hAnsi="Book Antiqua" w:cs="Arial"/>
        </w:rPr>
        <w:t xml:space="preserve">When we </w:t>
      </w:r>
      <w:r w:rsidR="00420CE5" w:rsidRPr="00C311AE">
        <w:rPr>
          <w:rFonts w:ascii="Book Antiqua" w:hAnsi="Book Antiqua" w:cs="Arial"/>
        </w:rPr>
        <w:t>compared GpCO with severe delay</w:t>
      </w:r>
      <w:r w:rsidRPr="00C311AE">
        <w:rPr>
          <w:rFonts w:ascii="Book Antiqua" w:hAnsi="Book Antiqua" w:cs="Arial"/>
        </w:rPr>
        <w:t xml:space="preserve"> in gastric emptying (&gt;</w:t>
      </w:r>
      <w:r w:rsidR="007875F6" w:rsidRPr="00C311AE">
        <w:rPr>
          <w:rFonts w:ascii="Book Antiqua" w:eastAsiaTheme="minorEastAsia" w:hAnsi="Book Antiqua" w:cs="Arial" w:hint="eastAsia"/>
          <w:lang w:eastAsia="zh-CN"/>
        </w:rPr>
        <w:t xml:space="preserve"> </w:t>
      </w:r>
      <w:r w:rsidRPr="00C311AE">
        <w:rPr>
          <w:rFonts w:ascii="Book Antiqua" w:hAnsi="Book Antiqua" w:cs="Arial"/>
        </w:rPr>
        <w:t>35% at 4 h) with GpCO with mild to moderate</w:t>
      </w:r>
      <w:r w:rsidR="00420CE5" w:rsidRPr="00C311AE">
        <w:rPr>
          <w:rFonts w:ascii="Book Antiqua" w:hAnsi="Book Antiqua" w:cs="Arial"/>
        </w:rPr>
        <w:t xml:space="preserve"> delay</w:t>
      </w:r>
      <w:r w:rsidR="00741CE3" w:rsidRPr="00C311AE">
        <w:rPr>
          <w:rFonts w:ascii="Book Antiqua" w:hAnsi="Book Antiqua" w:cs="Arial"/>
        </w:rPr>
        <w:t xml:space="preserve"> in gastric emptying, there was no difference in symptom severity on PAGI</w:t>
      </w:r>
      <w:r w:rsidR="004A44C4" w:rsidRPr="00C311AE">
        <w:rPr>
          <w:rFonts w:ascii="Book Antiqua" w:hAnsi="Book Antiqua" w:cs="Arial"/>
        </w:rPr>
        <w:t xml:space="preserve">-SYM questionnaire, and we </w:t>
      </w:r>
      <w:r w:rsidR="00741CE3" w:rsidRPr="00C311AE">
        <w:rPr>
          <w:rFonts w:ascii="Book Antiqua" w:hAnsi="Book Antiqua" w:cs="Arial"/>
        </w:rPr>
        <w:t xml:space="preserve">did not notice any differences </w:t>
      </w:r>
      <w:r w:rsidR="00061D2A" w:rsidRPr="00C311AE">
        <w:rPr>
          <w:rFonts w:ascii="Book Antiqua" w:hAnsi="Book Antiqua" w:cs="Arial"/>
        </w:rPr>
        <w:t>in</w:t>
      </w:r>
      <w:r w:rsidR="00741CE3" w:rsidRPr="00C311AE">
        <w:rPr>
          <w:rFonts w:ascii="Book Antiqua" w:hAnsi="Book Antiqua" w:cs="Arial"/>
        </w:rPr>
        <w:t xml:space="preserve"> the impact of gastroparesis on their employment and healthcare utilization (results not shown).</w:t>
      </w:r>
    </w:p>
    <w:p w14:paraId="49468787" w14:textId="00ABCD8B" w:rsidR="00EC047E" w:rsidRPr="00C311AE" w:rsidRDefault="00EC047E" w:rsidP="00020CC7">
      <w:pPr>
        <w:autoSpaceDE w:val="0"/>
        <w:autoSpaceDN w:val="0"/>
        <w:adjustRightInd w:val="0"/>
        <w:snapToGrid w:val="0"/>
        <w:spacing w:line="360" w:lineRule="auto"/>
        <w:ind w:firstLineChars="100" w:firstLine="240"/>
        <w:jc w:val="both"/>
        <w:rPr>
          <w:rFonts w:ascii="Book Antiqua" w:hAnsi="Book Antiqua" w:cs="Arial"/>
        </w:rPr>
      </w:pPr>
      <w:r w:rsidRPr="00C311AE">
        <w:rPr>
          <w:rFonts w:ascii="Book Antiqua" w:hAnsi="Book Antiqua" w:cs="Arial"/>
        </w:rPr>
        <w:t>GpCO had a longer duration of nausea per day in the past week (</w:t>
      </w:r>
      <w:r w:rsidR="002F775D" w:rsidRPr="00C311AE">
        <w:rPr>
          <w:rFonts w:ascii="Book Antiqua" w:hAnsi="Book Antiqua" w:cs="Arial"/>
        </w:rPr>
        <w:t>median of 7</w:t>
      </w:r>
      <w:r w:rsidR="00AF787D" w:rsidRPr="00C311AE">
        <w:rPr>
          <w:rFonts w:ascii="Book Antiqua" w:hAnsi="Book Antiqua" w:cs="Arial"/>
        </w:rPr>
        <w:t xml:space="preserve"> h</w:t>
      </w:r>
      <w:r w:rsidR="007875F6" w:rsidRPr="00C311AE">
        <w:rPr>
          <w:rFonts w:ascii="Book Antiqua" w:eastAsiaTheme="minorEastAsia" w:hAnsi="Book Antiqua" w:cs="Arial" w:hint="eastAsia"/>
          <w:lang w:eastAsia="zh-CN"/>
        </w:rPr>
        <w:t xml:space="preserve"> </w:t>
      </w:r>
      <w:r w:rsidR="00AF787D" w:rsidRPr="00C311AE">
        <w:rPr>
          <w:rFonts w:ascii="Book Antiqua" w:hAnsi="Book Antiqua" w:cs="Arial"/>
          <w:i/>
        </w:rPr>
        <w:t>vs</w:t>
      </w:r>
      <w:r w:rsidR="007875F6" w:rsidRPr="00C311AE">
        <w:rPr>
          <w:rFonts w:ascii="Book Antiqua" w:eastAsiaTheme="minorEastAsia" w:hAnsi="Book Antiqua" w:cs="Arial" w:hint="eastAsia"/>
          <w:lang w:eastAsia="zh-CN"/>
        </w:rPr>
        <w:t xml:space="preserve"> </w:t>
      </w:r>
      <w:r w:rsidR="002F775D" w:rsidRPr="00C311AE">
        <w:rPr>
          <w:rFonts w:ascii="Book Antiqua" w:hAnsi="Book Antiqua" w:cs="Arial"/>
        </w:rPr>
        <w:t>4</w:t>
      </w:r>
      <w:r w:rsidR="00AF787D" w:rsidRPr="00C311AE">
        <w:rPr>
          <w:rFonts w:ascii="Book Antiqua" w:hAnsi="Book Antiqua" w:cs="Arial"/>
        </w:rPr>
        <w:t xml:space="preserve"> h</w:t>
      </w:r>
      <w:r w:rsidR="007875F6" w:rsidRPr="00C311AE">
        <w:rPr>
          <w:rFonts w:ascii="Book Antiqua" w:eastAsiaTheme="minorEastAsia" w:hAnsi="Book Antiqua" w:cs="Arial" w:hint="eastAsia"/>
          <w:lang w:eastAsia="zh-CN"/>
        </w:rPr>
        <w:t xml:space="preserve"> </w:t>
      </w:r>
      <w:r w:rsidR="002F775D" w:rsidRPr="00C311AE">
        <w:rPr>
          <w:rFonts w:ascii="Book Antiqua" w:hAnsi="Book Antiqua" w:cs="Arial"/>
        </w:rPr>
        <w:t>in GpNO</w:t>
      </w:r>
      <w:r w:rsidR="00AF787D" w:rsidRPr="00C311AE">
        <w:rPr>
          <w:rFonts w:ascii="Book Antiqua" w:hAnsi="Book Antiqua" w:cs="Arial"/>
        </w:rPr>
        <w:t xml:space="preserve">; </w:t>
      </w:r>
      <w:r w:rsidR="00653A50" w:rsidRPr="00C311AE">
        <w:rPr>
          <w:rFonts w:ascii="Book Antiqua" w:hAnsi="Book Antiqua" w:cs="Arial"/>
          <w:i/>
          <w:caps/>
        </w:rPr>
        <w:t>p</w:t>
      </w:r>
      <w:r w:rsidR="00653A50" w:rsidRPr="00C311AE">
        <w:rPr>
          <w:rFonts w:ascii="Book Antiqua" w:hAnsi="Book Antiqua" w:cs="Arial"/>
        </w:rPr>
        <w:t xml:space="preserve"> </w:t>
      </w:r>
      <w:r w:rsidR="00AF787D" w:rsidRPr="00C311AE">
        <w:rPr>
          <w:rFonts w:ascii="Book Antiqua" w:hAnsi="Book Antiqua" w:cs="Arial"/>
        </w:rPr>
        <w:t>=</w:t>
      </w:r>
      <w:r w:rsidR="00653A50" w:rsidRPr="00C311AE">
        <w:rPr>
          <w:rFonts w:ascii="Book Antiqua" w:eastAsiaTheme="minorEastAsia" w:hAnsi="Book Antiqua" w:cs="Arial" w:hint="eastAsia"/>
          <w:lang w:eastAsia="zh-CN"/>
        </w:rPr>
        <w:t xml:space="preserve"> </w:t>
      </w:r>
      <w:r w:rsidR="00AF787D" w:rsidRPr="00C311AE">
        <w:rPr>
          <w:rFonts w:ascii="Book Antiqua" w:hAnsi="Book Antiqua" w:cs="Arial"/>
        </w:rPr>
        <w:t>0.037</w:t>
      </w:r>
      <w:r w:rsidRPr="00C311AE">
        <w:rPr>
          <w:rFonts w:ascii="Book Antiqua" w:hAnsi="Book Antiqua" w:cs="Arial"/>
        </w:rPr>
        <w:t xml:space="preserve">), </w:t>
      </w:r>
      <w:r w:rsidR="00AF787D" w:rsidRPr="00C311AE">
        <w:rPr>
          <w:rFonts w:ascii="Book Antiqua" w:hAnsi="Book Antiqua" w:cs="Arial"/>
        </w:rPr>
        <w:t>as well as higher number of vomiting episodes per day (</w:t>
      </w:r>
      <w:r w:rsidR="002F775D" w:rsidRPr="00C311AE">
        <w:rPr>
          <w:rFonts w:ascii="Book Antiqua" w:hAnsi="Book Antiqua" w:cs="Arial"/>
        </w:rPr>
        <w:t>median of 3</w:t>
      </w:r>
      <w:r w:rsidR="00AF787D" w:rsidRPr="00C311AE">
        <w:rPr>
          <w:rFonts w:ascii="Book Antiqua" w:hAnsi="Book Antiqua" w:cs="Arial"/>
        </w:rPr>
        <w:t xml:space="preserve"> </w:t>
      </w:r>
      <w:r w:rsidR="00190691" w:rsidRPr="00C311AE">
        <w:rPr>
          <w:rFonts w:ascii="Book Antiqua" w:hAnsi="Book Antiqua" w:cs="Arial"/>
          <w:i/>
        </w:rPr>
        <w:t>vs</w:t>
      </w:r>
      <w:r w:rsidR="00190691" w:rsidRPr="00C311AE">
        <w:rPr>
          <w:rFonts w:ascii="Book Antiqua" w:hAnsi="Book Antiqua" w:cs="Arial"/>
        </w:rPr>
        <w:t xml:space="preserve"> </w:t>
      </w:r>
      <w:r w:rsidR="002F775D" w:rsidRPr="00C311AE">
        <w:rPr>
          <w:rFonts w:ascii="Book Antiqua" w:hAnsi="Book Antiqua" w:cs="Arial"/>
        </w:rPr>
        <w:t>1 in GpNO</w:t>
      </w:r>
      <w:r w:rsidR="00AF787D" w:rsidRPr="00C311AE">
        <w:rPr>
          <w:rFonts w:ascii="Book Antiqua" w:hAnsi="Book Antiqua" w:cs="Arial"/>
        </w:rPr>
        <w:t xml:space="preserve">, </w:t>
      </w:r>
      <w:r w:rsidR="007875F6"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00AF787D"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AF787D" w:rsidRPr="00C311AE">
        <w:rPr>
          <w:rFonts w:ascii="Book Antiqua" w:hAnsi="Book Antiqua" w:cs="Arial"/>
        </w:rPr>
        <w:t xml:space="preserve">0.002) </w:t>
      </w:r>
      <w:r w:rsidRPr="00C311AE">
        <w:rPr>
          <w:rFonts w:ascii="Book Antiqua" w:hAnsi="Book Antiqua" w:cs="Arial"/>
        </w:rPr>
        <w:t>but the</w:t>
      </w:r>
      <w:r w:rsidR="00A845CE" w:rsidRPr="00C311AE">
        <w:rPr>
          <w:rFonts w:ascii="Book Antiqua" w:hAnsi="Book Antiqua" w:cs="Arial"/>
        </w:rPr>
        <w:t>re was no statistically significant difference</w:t>
      </w:r>
      <w:r w:rsidRPr="00C311AE">
        <w:rPr>
          <w:rFonts w:ascii="Book Antiqua" w:hAnsi="Book Antiqua" w:cs="Arial"/>
        </w:rPr>
        <w:t xml:space="preserve"> </w:t>
      </w:r>
      <w:r w:rsidR="00A845CE" w:rsidRPr="00C311AE">
        <w:rPr>
          <w:rFonts w:ascii="Book Antiqua" w:hAnsi="Book Antiqua" w:cs="Arial"/>
        </w:rPr>
        <w:t xml:space="preserve">in the </w:t>
      </w:r>
      <w:r w:rsidRPr="00C311AE">
        <w:rPr>
          <w:rFonts w:ascii="Book Antiqua" w:hAnsi="Book Antiqua" w:cs="Arial"/>
        </w:rPr>
        <w:t>number</w:t>
      </w:r>
      <w:r w:rsidR="00AF787D" w:rsidRPr="00C311AE">
        <w:rPr>
          <w:rFonts w:ascii="Book Antiqua" w:hAnsi="Book Antiqua" w:cs="Arial"/>
        </w:rPr>
        <w:t xml:space="preserve"> </w:t>
      </w:r>
      <w:r w:rsidRPr="00C311AE">
        <w:rPr>
          <w:rFonts w:ascii="Book Antiqua" w:hAnsi="Book Antiqua" w:cs="Arial"/>
        </w:rPr>
        <w:t>bowel move</w:t>
      </w:r>
      <w:r w:rsidR="00A845CE" w:rsidRPr="00C311AE">
        <w:rPr>
          <w:rFonts w:ascii="Book Antiqua" w:hAnsi="Book Antiqua" w:cs="Arial"/>
        </w:rPr>
        <w:t xml:space="preserve">ments in the past week </w:t>
      </w:r>
      <w:r w:rsidR="00E445F2" w:rsidRPr="00C311AE">
        <w:rPr>
          <w:rFonts w:ascii="Book Antiqua" w:hAnsi="Book Antiqua" w:cs="Arial"/>
        </w:rPr>
        <w:t>(Table 5</w:t>
      </w:r>
      <w:r w:rsidR="004A515E" w:rsidRPr="00C311AE">
        <w:rPr>
          <w:rFonts w:ascii="Book Antiqua" w:hAnsi="Book Antiqua" w:cs="Arial"/>
        </w:rPr>
        <w:t>)</w:t>
      </w:r>
      <w:r w:rsidRPr="00C311AE">
        <w:rPr>
          <w:rFonts w:ascii="Book Antiqua" w:hAnsi="Book Antiqua" w:cs="Arial"/>
        </w:rPr>
        <w:t xml:space="preserve">. </w:t>
      </w:r>
    </w:p>
    <w:p w14:paraId="31CA33E4" w14:textId="07298891" w:rsidR="00EC047E" w:rsidRPr="00C311AE" w:rsidRDefault="00AF787D" w:rsidP="00020CC7">
      <w:pPr>
        <w:autoSpaceDE w:val="0"/>
        <w:autoSpaceDN w:val="0"/>
        <w:adjustRightInd w:val="0"/>
        <w:snapToGrid w:val="0"/>
        <w:spacing w:line="360" w:lineRule="auto"/>
        <w:ind w:firstLineChars="100" w:firstLine="240"/>
        <w:jc w:val="both"/>
        <w:rPr>
          <w:rFonts w:ascii="Book Antiqua" w:hAnsi="Book Antiqua" w:cs="Arial"/>
        </w:rPr>
      </w:pPr>
      <w:r w:rsidRPr="00C311AE">
        <w:rPr>
          <w:rFonts w:ascii="Book Antiqua" w:hAnsi="Book Antiqua" w:cs="Arial"/>
        </w:rPr>
        <w:t xml:space="preserve">AP was frequently present </w:t>
      </w:r>
      <w:r w:rsidR="00EC047E" w:rsidRPr="00C311AE">
        <w:rPr>
          <w:rFonts w:ascii="Book Antiqua" w:hAnsi="Book Antiqua" w:cs="Arial"/>
        </w:rPr>
        <w:t>in GpCO and GpNO (</w:t>
      </w:r>
      <w:r w:rsidRPr="00C311AE">
        <w:rPr>
          <w:rFonts w:ascii="Book Antiqua" w:hAnsi="Book Antiqua" w:cs="Arial"/>
        </w:rPr>
        <w:t>84.1% and 85</w:t>
      </w:r>
      <w:r w:rsidR="00EC047E" w:rsidRPr="00C311AE">
        <w:rPr>
          <w:rFonts w:ascii="Book Antiqua" w:hAnsi="Book Antiqua" w:cs="Arial"/>
        </w:rPr>
        <w:t xml:space="preserve">.2% respectively, </w:t>
      </w:r>
      <w:r w:rsidR="007875F6"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00EC047E"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EC047E" w:rsidRPr="00C311AE">
        <w:rPr>
          <w:rFonts w:ascii="Book Antiqua" w:hAnsi="Book Antiqua" w:cs="Arial"/>
        </w:rPr>
        <w:t>0.</w:t>
      </w:r>
      <w:r w:rsidRPr="00C311AE">
        <w:rPr>
          <w:rFonts w:ascii="Book Antiqua" w:hAnsi="Book Antiqua" w:cs="Arial"/>
        </w:rPr>
        <w:t>861</w:t>
      </w:r>
      <w:r w:rsidR="00EC047E" w:rsidRPr="00C311AE">
        <w:rPr>
          <w:rFonts w:ascii="Book Antiqua" w:hAnsi="Book Antiqua" w:cs="Arial"/>
        </w:rPr>
        <w:t>). Epigastrium was the most common location of the most severe AP</w:t>
      </w:r>
      <w:r w:rsidRPr="00C311AE">
        <w:rPr>
          <w:rFonts w:ascii="Book Antiqua" w:hAnsi="Book Antiqua" w:cs="Arial"/>
        </w:rPr>
        <w:t xml:space="preserve"> in GpNO</w:t>
      </w:r>
      <w:r w:rsidR="00EC047E" w:rsidRPr="00C311AE">
        <w:rPr>
          <w:rFonts w:ascii="Book Antiqua" w:hAnsi="Book Antiqua" w:cs="Arial"/>
        </w:rPr>
        <w:t xml:space="preserve"> (</w:t>
      </w:r>
      <w:r w:rsidR="00B2174B" w:rsidRPr="00C311AE">
        <w:rPr>
          <w:rFonts w:ascii="Book Antiqua" w:hAnsi="Book Antiqua" w:cs="Arial"/>
        </w:rPr>
        <w:t>44</w:t>
      </w:r>
      <w:r w:rsidR="00EC047E" w:rsidRPr="00C311AE">
        <w:rPr>
          <w:rFonts w:ascii="Book Antiqua" w:hAnsi="Book Antiqua" w:cs="Arial"/>
        </w:rPr>
        <w:t>.2%</w:t>
      </w:r>
      <w:r w:rsidR="009134B6" w:rsidRPr="00C311AE">
        <w:rPr>
          <w:rFonts w:ascii="Book Antiqua" w:hAnsi="Book Antiqua" w:cs="Arial"/>
        </w:rPr>
        <w:t>); while GpC</w:t>
      </w:r>
      <w:r w:rsidR="00B2174B" w:rsidRPr="00C311AE">
        <w:rPr>
          <w:rFonts w:ascii="Book Antiqua" w:hAnsi="Book Antiqua" w:cs="Arial"/>
        </w:rPr>
        <w:t>O most commonly had their most seve</w:t>
      </w:r>
      <w:r w:rsidR="00453FD2" w:rsidRPr="00C311AE">
        <w:rPr>
          <w:rFonts w:ascii="Book Antiqua" w:hAnsi="Book Antiqua" w:cs="Arial"/>
        </w:rPr>
        <w:t>re AP in periumbilical area (41.</w:t>
      </w:r>
      <w:r w:rsidR="00B2174B" w:rsidRPr="00C311AE">
        <w:rPr>
          <w:rFonts w:ascii="Book Antiqua" w:hAnsi="Book Antiqua" w:cs="Arial"/>
        </w:rPr>
        <w:t xml:space="preserve">7%) followed by epigastric area (38.9%), </w:t>
      </w:r>
      <w:r w:rsidR="007875F6"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00B2174B"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B2174B" w:rsidRPr="00C311AE">
        <w:rPr>
          <w:rFonts w:ascii="Book Antiqua" w:hAnsi="Book Antiqua" w:cs="Arial"/>
        </w:rPr>
        <w:t xml:space="preserve">0.863. </w:t>
      </w:r>
      <w:r w:rsidR="00EC047E" w:rsidRPr="00C311AE">
        <w:rPr>
          <w:rFonts w:ascii="Book Antiqua" w:hAnsi="Book Antiqua" w:cs="Arial"/>
        </w:rPr>
        <w:t>AP got worse with meal intake in majority of patients (</w:t>
      </w:r>
      <w:r w:rsidR="00B2174B" w:rsidRPr="00C311AE">
        <w:rPr>
          <w:rFonts w:ascii="Book Antiqua" w:hAnsi="Book Antiqua" w:cs="Arial"/>
        </w:rPr>
        <w:t>76.5% in GpCO</w:t>
      </w:r>
      <w:r w:rsidR="00B2174B" w:rsidRPr="00C311AE">
        <w:rPr>
          <w:rFonts w:ascii="Book Antiqua" w:hAnsi="Book Antiqua" w:cs="Arial"/>
          <w:i/>
        </w:rPr>
        <w:t xml:space="preserve"> vs</w:t>
      </w:r>
      <w:r w:rsidR="007875F6" w:rsidRPr="00C311AE">
        <w:rPr>
          <w:rFonts w:ascii="Book Antiqua" w:eastAsiaTheme="minorEastAsia" w:hAnsi="Book Antiqua" w:cs="Arial" w:hint="eastAsia"/>
          <w:lang w:eastAsia="zh-CN"/>
        </w:rPr>
        <w:t xml:space="preserve"> </w:t>
      </w:r>
      <w:r w:rsidR="00B2174B" w:rsidRPr="00C311AE">
        <w:rPr>
          <w:rFonts w:ascii="Book Antiqua" w:hAnsi="Book Antiqua" w:cs="Arial"/>
        </w:rPr>
        <w:t xml:space="preserve">80.0% in GpNO, </w:t>
      </w:r>
      <w:r w:rsidR="007875F6"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00B2174B"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B2174B" w:rsidRPr="00C311AE">
        <w:rPr>
          <w:rFonts w:ascii="Book Antiqua" w:hAnsi="Book Antiqua" w:cs="Arial"/>
        </w:rPr>
        <w:t>0.508</w:t>
      </w:r>
      <w:r w:rsidR="00EC047E" w:rsidRPr="00C311AE">
        <w:rPr>
          <w:rFonts w:ascii="Book Antiqua" w:hAnsi="Book Antiqua" w:cs="Arial"/>
        </w:rPr>
        <w:t>). There was no difference in the overall duration of AP (</w:t>
      </w:r>
      <w:r w:rsidR="002F775D" w:rsidRPr="00C311AE">
        <w:rPr>
          <w:rFonts w:ascii="Book Antiqua" w:hAnsi="Book Antiqua" w:cs="Arial"/>
        </w:rPr>
        <w:t>median of 2</w:t>
      </w:r>
      <w:r w:rsidR="00B2174B" w:rsidRPr="00C311AE">
        <w:rPr>
          <w:rFonts w:ascii="Book Antiqua" w:hAnsi="Book Antiqua" w:cs="Arial"/>
        </w:rPr>
        <w:t xml:space="preserve"> years in GpCO </w:t>
      </w:r>
      <w:r w:rsidR="00B2174B" w:rsidRPr="00C311AE">
        <w:rPr>
          <w:rFonts w:ascii="Book Antiqua" w:hAnsi="Book Antiqua" w:cs="Arial"/>
          <w:i/>
        </w:rPr>
        <w:t>vs</w:t>
      </w:r>
      <w:r w:rsidR="007875F6" w:rsidRPr="00C311AE">
        <w:rPr>
          <w:rFonts w:ascii="Book Antiqua" w:eastAsiaTheme="minorEastAsia" w:hAnsi="Book Antiqua" w:cs="Arial" w:hint="eastAsia"/>
          <w:lang w:eastAsia="zh-CN"/>
        </w:rPr>
        <w:t xml:space="preserve"> </w:t>
      </w:r>
      <w:r w:rsidR="002F775D" w:rsidRPr="00C311AE">
        <w:rPr>
          <w:rFonts w:ascii="Book Antiqua" w:hAnsi="Book Antiqua" w:cs="Arial"/>
        </w:rPr>
        <w:t>1.5</w:t>
      </w:r>
      <w:r w:rsidR="00B2174B" w:rsidRPr="00C311AE">
        <w:rPr>
          <w:rFonts w:ascii="Book Antiqua" w:hAnsi="Book Antiqua" w:cs="Arial"/>
        </w:rPr>
        <w:t xml:space="preserve"> years in GpNO, </w:t>
      </w:r>
      <w:r w:rsidR="00653A50" w:rsidRPr="00C311AE">
        <w:rPr>
          <w:rFonts w:ascii="Book Antiqua" w:hAnsi="Book Antiqua" w:cs="Arial"/>
          <w:i/>
          <w:caps/>
        </w:rPr>
        <w:t>p</w:t>
      </w:r>
      <w:r w:rsidR="00653A50" w:rsidRPr="00C311AE">
        <w:rPr>
          <w:rFonts w:ascii="Book Antiqua" w:hAnsi="Book Antiqua" w:cs="Arial"/>
        </w:rPr>
        <w:t xml:space="preserve"> </w:t>
      </w:r>
      <w:r w:rsidR="00B2174B" w:rsidRPr="00C311AE">
        <w:rPr>
          <w:rFonts w:ascii="Book Antiqua" w:hAnsi="Book Antiqua" w:cs="Arial"/>
        </w:rPr>
        <w:t>=</w:t>
      </w:r>
      <w:r w:rsidR="00653A50" w:rsidRPr="00C311AE">
        <w:rPr>
          <w:rFonts w:ascii="Book Antiqua" w:eastAsiaTheme="minorEastAsia" w:hAnsi="Book Antiqua" w:cs="Arial" w:hint="eastAsia"/>
          <w:lang w:eastAsia="zh-CN"/>
        </w:rPr>
        <w:t xml:space="preserve"> </w:t>
      </w:r>
      <w:r w:rsidR="00B2174B" w:rsidRPr="00C311AE">
        <w:rPr>
          <w:rFonts w:ascii="Book Antiqua" w:hAnsi="Book Antiqua" w:cs="Arial"/>
        </w:rPr>
        <w:t>0.526</w:t>
      </w:r>
      <w:r w:rsidR="00EC047E" w:rsidRPr="00C311AE">
        <w:rPr>
          <w:rFonts w:ascii="Book Antiqua" w:hAnsi="Book Antiqua" w:cs="Arial"/>
        </w:rPr>
        <w:t>). AP more frequently woke up GpCO at night compared to GpNO (</w:t>
      </w:r>
      <w:r w:rsidR="00B2174B" w:rsidRPr="00C311AE">
        <w:rPr>
          <w:rFonts w:ascii="Book Antiqua" w:hAnsi="Book Antiqua" w:cs="Arial"/>
        </w:rPr>
        <w:t xml:space="preserve">78.1% </w:t>
      </w:r>
      <w:r w:rsidR="00B2174B" w:rsidRPr="00C311AE">
        <w:rPr>
          <w:rFonts w:ascii="Book Antiqua" w:hAnsi="Book Antiqua" w:cs="Arial"/>
          <w:i/>
        </w:rPr>
        <w:t>vs</w:t>
      </w:r>
      <w:r w:rsidR="007875F6" w:rsidRPr="00C311AE">
        <w:rPr>
          <w:rFonts w:ascii="Book Antiqua" w:eastAsiaTheme="minorEastAsia" w:hAnsi="Book Antiqua" w:cs="Arial" w:hint="eastAsia"/>
          <w:lang w:eastAsia="zh-CN"/>
        </w:rPr>
        <w:t xml:space="preserve"> </w:t>
      </w:r>
      <w:r w:rsidR="00B2174B" w:rsidRPr="00C311AE">
        <w:rPr>
          <w:rFonts w:ascii="Book Antiqua" w:hAnsi="Book Antiqua" w:cs="Arial"/>
        </w:rPr>
        <w:t>57.3%</w:t>
      </w:r>
      <w:r w:rsidR="00020CC7">
        <w:rPr>
          <w:rFonts w:ascii="Book Antiqua" w:eastAsiaTheme="minorEastAsia" w:hAnsi="Book Antiqua" w:cs="Arial" w:hint="eastAsia"/>
          <w:lang w:eastAsia="zh-CN"/>
        </w:rPr>
        <w:t>,</w:t>
      </w:r>
      <w:r w:rsidR="00B2174B" w:rsidRPr="00C311AE">
        <w:rPr>
          <w:rFonts w:ascii="Book Antiqua" w:hAnsi="Book Antiqua" w:cs="Arial"/>
        </w:rPr>
        <w:t xml:space="preserve"> </w:t>
      </w:r>
      <w:r w:rsidR="007875F6"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00B2174B"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B2174B" w:rsidRPr="00C311AE">
        <w:rPr>
          <w:rFonts w:ascii="Book Antiqua" w:hAnsi="Book Antiqua" w:cs="Arial"/>
        </w:rPr>
        <w:t>0.031</w:t>
      </w:r>
      <w:r w:rsidR="00EC047E" w:rsidRPr="00C311AE">
        <w:rPr>
          <w:rFonts w:ascii="Book Antiqua" w:hAnsi="Book Antiqua" w:cs="Arial"/>
        </w:rPr>
        <w:t xml:space="preserve">). </w:t>
      </w:r>
    </w:p>
    <w:p w14:paraId="3535703F" w14:textId="52CD0BC4" w:rsidR="00EC047E" w:rsidRPr="00C311AE" w:rsidRDefault="00EC047E" w:rsidP="00020CC7">
      <w:pPr>
        <w:autoSpaceDE w:val="0"/>
        <w:autoSpaceDN w:val="0"/>
        <w:adjustRightInd w:val="0"/>
        <w:snapToGrid w:val="0"/>
        <w:spacing w:line="360" w:lineRule="auto"/>
        <w:ind w:firstLineChars="100" w:firstLine="240"/>
        <w:jc w:val="both"/>
        <w:rPr>
          <w:rFonts w:ascii="Book Antiqua" w:hAnsi="Book Antiqua" w:cs="Arial"/>
        </w:rPr>
      </w:pPr>
      <w:r w:rsidRPr="00C311AE">
        <w:rPr>
          <w:rFonts w:ascii="Book Antiqua" w:hAnsi="Book Antiqua" w:cs="Arial"/>
        </w:rPr>
        <w:lastRenderedPageBreak/>
        <w:t>Nausea and vomiting were more frequent in GpCO in the past 3 mo</w:t>
      </w:r>
      <w:r w:rsidR="00613E2E">
        <w:rPr>
          <w:rFonts w:ascii="Book Antiqua" w:eastAsiaTheme="minorEastAsia" w:hAnsi="Book Antiqua" w:cs="Arial" w:hint="eastAsia"/>
          <w:lang w:eastAsia="zh-CN"/>
        </w:rPr>
        <w:t xml:space="preserve"> </w:t>
      </w:r>
      <w:r w:rsidRPr="00C311AE">
        <w:rPr>
          <w:rFonts w:ascii="Book Antiqua" w:hAnsi="Book Antiqua" w:cs="Arial"/>
        </w:rPr>
        <w:t xml:space="preserve">(Table </w:t>
      </w:r>
      <w:r w:rsidR="00E445F2" w:rsidRPr="00C311AE">
        <w:rPr>
          <w:rFonts w:ascii="Book Antiqua" w:hAnsi="Book Antiqua" w:cs="Arial"/>
        </w:rPr>
        <w:t>6</w:t>
      </w:r>
      <w:r w:rsidRPr="00C311AE">
        <w:rPr>
          <w:rFonts w:ascii="Book Antiqua" w:hAnsi="Book Antiqua" w:cs="Arial"/>
        </w:rPr>
        <w:t>);</w:t>
      </w:r>
      <w:r w:rsidR="00020CC7">
        <w:rPr>
          <w:rFonts w:ascii="Book Antiqua" w:eastAsiaTheme="minorEastAsia" w:hAnsi="Book Antiqua" w:cs="Arial" w:hint="eastAsia"/>
          <w:lang w:eastAsia="zh-CN"/>
        </w:rPr>
        <w:t xml:space="preserve"> </w:t>
      </w:r>
      <w:r w:rsidR="00B2174B" w:rsidRPr="00C311AE">
        <w:rPr>
          <w:rFonts w:ascii="Book Antiqua" w:hAnsi="Book Antiqua" w:cs="Arial"/>
        </w:rPr>
        <w:t>92.5</w:t>
      </w:r>
      <w:r w:rsidRPr="00C311AE">
        <w:rPr>
          <w:rFonts w:ascii="Book Antiqua" w:hAnsi="Book Antiqua" w:cs="Arial"/>
        </w:rPr>
        <w:t xml:space="preserve">% of GpCO had nausea interfering with their activities at least once </w:t>
      </w:r>
      <w:r w:rsidR="00B2174B" w:rsidRPr="00C311AE">
        <w:rPr>
          <w:rFonts w:ascii="Book Antiqua" w:hAnsi="Book Antiqua" w:cs="Arial"/>
        </w:rPr>
        <w:t>a week or more frequently</w:t>
      </w:r>
      <w:r w:rsidR="00653A50" w:rsidRPr="00C311AE">
        <w:rPr>
          <w:rFonts w:ascii="Book Antiqua" w:eastAsiaTheme="minorEastAsia" w:hAnsi="Book Antiqua" w:cs="Arial" w:hint="eastAsia"/>
          <w:lang w:eastAsia="zh-CN"/>
        </w:rPr>
        <w:t xml:space="preserve"> </w:t>
      </w:r>
      <w:r w:rsidR="00653A50" w:rsidRPr="00C311AE">
        <w:rPr>
          <w:rFonts w:ascii="Book Antiqua" w:hAnsi="Book Antiqua" w:cs="Arial"/>
          <w:i/>
        </w:rPr>
        <w:t>vs</w:t>
      </w:r>
      <w:r w:rsidR="00653A50" w:rsidRPr="00C311AE">
        <w:rPr>
          <w:rFonts w:ascii="Book Antiqua" w:eastAsiaTheme="minorEastAsia" w:hAnsi="Book Antiqua" w:cs="Arial" w:hint="eastAsia"/>
          <w:lang w:eastAsia="zh-CN"/>
        </w:rPr>
        <w:t xml:space="preserve"> </w:t>
      </w:r>
      <w:r w:rsidR="00B2174B" w:rsidRPr="00C311AE">
        <w:rPr>
          <w:rFonts w:ascii="Book Antiqua" w:hAnsi="Book Antiqua" w:cs="Arial"/>
        </w:rPr>
        <w:t>76% amongst GpNO (</w:t>
      </w:r>
      <w:r w:rsidR="007875F6"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00B2174B"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B2174B" w:rsidRPr="00C311AE">
        <w:rPr>
          <w:rFonts w:ascii="Book Antiqua" w:hAnsi="Book Antiqua" w:cs="Arial"/>
        </w:rPr>
        <w:t>0.021</w:t>
      </w:r>
      <w:r w:rsidRPr="00C311AE">
        <w:rPr>
          <w:rFonts w:ascii="Book Antiqua" w:hAnsi="Book Antiqua" w:cs="Arial"/>
        </w:rPr>
        <w:t xml:space="preserve">). </w:t>
      </w:r>
    </w:p>
    <w:p w14:paraId="5AFD1DC0" w14:textId="77777777" w:rsidR="00143822" w:rsidRPr="00C311AE" w:rsidRDefault="00143822" w:rsidP="00020CC7">
      <w:pPr>
        <w:autoSpaceDE w:val="0"/>
        <w:autoSpaceDN w:val="0"/>
        <w:adjustRightInd w:val="0"/>
        <w:snapToGrid w:val="0"/>
        <w:spacing w:line="360" w:lineRule="auto"/>
        <w:ind w:firstLine="720"/>
        <w:jc w:val="both"/>
        <w:rPr>
          <w:rFonts w:ascii="Book Antiqua" w:hAnsi="Book Antiqua" w:cs="Arial"/>
        </w:rPr>
      </w:pPr>
    </w:p>
    <w:p w14:paraId="4132F566" w14:textId="59F6EDAE" w:rsidR="00143822" w:rsidRPr="00C311AE" w:rsidRDefault="00143822" w:rsidP="00020CC7">
      <w:pPr>
        <w:autoSpaceDE w:val="0"/>
        <w:autoSpaceDN w:val="0"/>
        <w:adjustRightInd w:val="0"/>
        <w:snapToGrid w:val="0"/>
        <w:spacing w:line="360" w:lineRule="auto"/>
        <w:jc w:val="both"/>
        <w:rPr>
          <w:rFonts w:ascii="Book Antiqua" w:hAnsi="Book Antiqua" w:cs="Arial"/>
          <w:b/>
          <w:i/>
        </w:rPr>
      </w:pPr>
      <w:r w:rsidRPr="00C311AE">
        <w:rPr>
          <w:rFonts w:ascii="Book Antiqua" w:hAnsi="Book Antiqua" w:cs="Arial"/>
          <w:b/>
          <w:i/>
        </w:rPr>
        <w:t>Employment</w:t>
      </w:r>
    </w:p>
    <w:p w14:paraId="17F7DF7D" w14:textId="76E4A40C" w:rsidR="009C09C9" w:rsidRPr="00C311AE" w:rsidRDefault="0035681A" w:rsidP="00020CC7">
      <w:pPr>
        <w:autoSpaceDE w:val="0"/>
        <w:autoSpaceDN w:val="0"/>
        <w:adjustRightInd w:val="0"/>
        <w:snapToGrid w:val="0"/>
        <w:spacing w:line="360" w:lineRule="auto"/>
        <w:jc w:val="both"/>
        <w:rPr>
          <w:rFonts w:ascii="Book Antiqua" w:hAnsi="Book Antiqua" w:cs="Arial"/>
        </w:rPr>
      </w:pPr>
      <w:r w:rsidRPr="00C311AE">
        <w:rPr>
          <w:rFonts w:ascii="Book Antiqua" w:hAnsi="Book Antiqua" w:cs="Arial"/>
        </w:rPr>
        <w:t>The e</w:t>
      </w:r>
      <w:r w:rsidR="00143822" w:rsidRPr="00C311AE">
        <w:rPr>
          <w:rFonts w:ascii="Book Antiqua" w:hAnsi="Book Antiqua" w:cs="Arial"/>
        </w:rPr>
        <w:t>mployment rate was lower in GpCO compared to GpNO (</w:t>
      </w:r>
      <w:r w:rsidR="00B2174B" w:rsidRPr="00C311AE">
        <w:rPr>
          <w:rFonts w:ascii="Book Antiqua" w:hAnsi="Book Antiqua" w:cs="Arial"/>
        </w:rPr>
        <w:t xml:space="preserve">33.3% </w:t>
      </w:r>
      <w:r w:rsidR="00B2174B" w:rsidRPr="00C311AE">
        <w:rPr>
          <w:rFonts w:ascii="Book Antiqua" w:hAnsi="Book Antiqua" w:cs="Arial"/>
          <w:i/>
        </w:rPr>
        <w:t>vs</w:t>
      </w:r>
      <w:r w:rsidR="007875F6" w:rsidRPr="00C311AE">
        <w:rPr>
          <w:rFonts w:ascii="Book Antiqua" w:eastAsiaTheme="minorEastAsia" w:hAnsi="Book Antiqua" w:cs="Arial" w:hint="eastAsia"/>
          <w:lang w:eastAsia="zh-CN"/>
        </w:rPr>
        <w:t xml:space="preserve"> </w:t>
      </w:r>
      <w:r w:rsidR="00B2174B" w:rsidRPr="00C311AE">
        <w:rPr>
          <w:rFonts w:ascii="Book Antiqua" w:hAnsi="Book Antiqua" w:cs="Arial"/>
        </w:rPr>
        <w:t xml:space="preserve">54.2%, </w:t>
      </w:r>
      <w:r w:rsidR="007875F6"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00B2174B"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B2174B" w:rsidRPr="00C311AE">
        <w:rPr>
          <w:rFonts w:ascii="Book Antiqua" w:hAnsi="Book Antiqua" w:cs="Arial"/>
        </w:rPr>
        <w:t>0.016</w:t>
      </w:r>
      <w:r w:rsidR="00143822" w:rsidRPr="00C311AE">
        <w:rPr>
          <w:rFonts w:ascii="Book Antiqua" w:hAnsi="Book Antiqua" w:cs="Arial"/>
        </w:rPr>
        <w:t>). The average number of working hours per week in GpCO (who were employed) was also lower than GpNO (</w:t>
      </w:r>
      <w:r w:rsidR="002F775D" w:rsidRPr="00C311AE">
        <w:rPr>
          <w:rFonts w:ascii="Book Antiqua" w:hAnsi="Book Antiqua" w:cs="Arial"/>
        </w:rPr>
        <w:t>median of 23 h</w:t>
      </w:r>
      <w:r w:rsidR="00190691" w:rsidRPr="00C311AE">
        <w:rPr>
          <w:rFonts w:ascii="Book Antiqua" w:eastAsiaTheme="minorEastAsia" w:hAnsi="Book Antiqua" w:cs="Arial" w:hint="eastAsia"/>
          <w:lang w:eastAsia="zh-CN"/>
        </w:rPr>
        <w:t xml:space="preserve"> </w:t>
      </w:r>
      <w:r w:rsidR="00190691" w:rsidRPr="00C311AE">
        <w:rPr>
          <w:rFonts w:ascii="Book Antiqua" w:hAnsi="Book Antiqua" w:cs="Arial"/>
          <w:i/>
        </w:rPr>
        <w:t>vs</w:t>
      </w:r>
      <w:r w:rsidR="00190691" w:rsidRPr="00C311AE">
        <w:rPr>
          <w:rFonts w:ascii="Book Antiqua" w:hAnsi="Book Antiqua" w:cs="Arial"/>
        </w:rPr>
        <w:t xml:space="preserve"> </w:t>
      </w:r>
      <w:r w:rsidR="002F775D" w:rsidRPr="00C311AE">
        <w:rPr>
          <w:rFonts w:ascii="Book Antiqua" w:hAnsi="Book Antiqua" w:cs="Arial"/>
        </w:rPr>
        <w:t>40 h</w:t>
      </w:r>
      <w:r w:rsidR="00190691" w:rsidRPr="00C311AE">
        <w:rPr>
          <w:rFonts w:ascii="Book Antiqua" w:eastAsiaTheme="minorEastAsia" w:hAnsi="Book Antiqua" w:cs="Arial" w:hint="eastAsia"/>
          <w:lang w:eastAsia="zh-CN"/>
        </w:rPr>
        <w:t xml:space="preserve"> </w:t>
      </w:r>
      <w:r w:rsidR="002F775D" w:rsidRPr="00C311AE">
        <w:rPr>
          <w:rFonts w:ascii="Book Antiqua" w:hAnsi="Book Antiqua" w:cs="Arial"/>
        </w:rPr>
        <w:t>respectively</w:t>
      </w:r>
      <w:r w:rsidR="00B2174B" w:rsidRPr="00C311AE">
        <w:rPr>
          <w:rFonts w:ascii="Book Antiqua" w:hAnsi="Book Antiqua" w:cs="Arial"/>
        </w:rPr>
        <w:t xml:space="preserve">, </w:t>
      </w:r>
      <w:r w:rsidR="007875F6"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00B2174B"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B2174B" w:rsidRPr="00C311AE">
        <w:rPr>
          <w:rFonts w:ascii="Book Antiqua" w:hAnsi="Book Antiqua" w:cs="Arial"/>
        </w:rPr>
        <w:t>0.005</w:t>
      </w:r>
      <w:r w:rsidR="00143822" w:rsidRPr="00C311AE">
        <w:rPr>
          <w:rFonts w:ascii="Book Antiqua" w:hAnsi="Book Antiqua" w:cs="Arial"/>
        </w:rPr>
        <w:t xml:space="preserve">). </w:t>
      </w:r>
    </w:p>
    <w:p w14:paraId="14D8E97B" w14:textId="275C4A0F" w:rsidR="00B56E45" w:rsidRPr="00C311AE" w:rsidRDefault="00143822" w:rsidP="00020CC7">
      <w:pPr>
        <w:autoSpaceDE w:val="0"/>
        <w:autoSpaceDN w:val="0"/>
        <w:adjustRightInd w:val="0"/>
        <w:snapToGrid w:val="0"/>
        <w:spacing w:line="360" w:lineRule="auto"/>
        <w:ind w:firstLineChars="100" w:firstLine="240"/>
        <w:jc w:val="both"/>
        <w:rPr>
          <w:rFonts w:ascii="Book Antiqua" w:hAnsi="Book Antiqua" w:cs="Arial"/>
        </w:rPr>
      </w:pPr>
      <w:r w:rsidRPr="00C311AE">
        <w:rPr>
          <w:rFonts w:ascii="Book Antiqua" w:hAnsi="Book Antiqua" w:cs="Arial"/>
        </w:rPr>
        <w:t>It is plausible that a higher severity of abdominal pain in GpCO compared to GpNO was affecting employment. However, when we studied only those patients who had moderate to very severe abdominal pain as one of the symptoms from gastroparesis, GpCO still had a lower rate of employment (</w:t>
      </w:r>
      <w:r w:rsidR="00CC20B5" w:rsidRPr="00C311AE">
        <w:rPr>
          <w:rFonts w:ascii="Book Antiqua" w:hAnsi="Book Antiqua" w:cs="Arial"/>
        </w:rPr>
        <w:t xml:space="preserve">35.9% </w:t>
      </w:r>
      <w:r w:rsidR="00CC20B5" w:rsidRPr="00C311AE">
        <w:rPr>
          <w:rFonts w:ascii="Book Antiqua" w:hAnsi="Book Antiqua" w:cs="Arial"/>
          <w:i/>
        </w:rPr>
        <w:t>vs</w:t>
      </w:r>
      <w:r w:rsidR="007875F6" w:rsidRPr="00C311AE">
        <w:rPr>
          <w:rFonts w:ascii="Book Antiqua" w:eastAsiaTheme="minorEastAsia" w:hAnsi="Book Antiqua" w:cs="Arial" w:hint="eastAsia"/>
          <w:lang w:eastAsia="zh-CN"/>
        </w:rPr>
        <w:t xml:space="preserve"> </w:t>
      </w:r>
      <w:r w:rsidR="00CC20B5" w:rsidRPr="00C311AE">
        <w:rPr>
          <w:rFonts w:ascii="Book Antiqua" w:hAnsi="Book Antiqua" w:cs="Arial"/>
        </w:rPr>
        <w:t>54.5</w:t>
      </w:r>
      <w:r w:rsidR="00FC564F" w:rsidRPr="00C311AE">
        <w:rPr>
          <w:rFonts w:ascii="Book Antiqua" w:hAnsi="Book Antiqua" w:cs="Arial"/>
        </w:rPr>
        <w:t xml:space="preserve">%, </w:t>
      </w:r>
      <w:r w:rsidR="007875F6"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00FC564F"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FC564F" w:rsidRPr="00C311AE">
        <w:rPr>
          <w:rFonts w:ascii="Book Antiqua" w:hAnsi="Book Antiqua" w:cs="Arial"/>
        </w:rPr>
        <w:t>0.037</w:t>
      </w:r>
      <w:r w:rsidRPr="00C311AE">
        <w:rPr>
          <w:rFonts w:ascii="Book Antiqua" w:hAnsi="Book Antiqua" w:cs="Arial"/>
        </w:rPr>
        <w:t xml:space="preserve">), </w:t>
      </w:r>
      <w:r w:rsidR="00CC20B5" w:rsidRPr="00C311AE">
        <w:rPr>
          <w:rFonts w:ascii="Book Antiqua" w:hAnsi="Book Antiqua" w:cs="Arial"/>
        </w:rPr>
        <w:t xml:space="preserve">and </w:t>
      </w:r>
      <w:r w:rsidRPr="00C311AE">
        <w:rPr>
          <w:rFonts w:ascii="Book Antiqua" w:hAnsi="Book Antiqua" w:cs="Arial"/>
        </w:rPr>
        <w:t>lower number of working hours per week (</w:t>
      </w:r>
      <w:r w:rsidR="007A6B21" w:rsidRPr="00C311AE">
        <w:rPr>
          <w:rFonts w:ascii="Book Antiqua" w:hAnsi="Book Antiqua" w:cs="Arial"/>
        </w:rPr>
        <w:t>median of 20</w:t>
      </w:r>
      <w:r w:rsidR="00FC564F" w:rsidRPr="00C311AE">
        <w:rPr>
          <w:rFonts w:ascii="Book Antiqua" w:hAnsi="Book Antiqua" w:cs="Arial"/>
        </w:rPr>
        <w:t xml:space="preserve"> h</w:t>
      </w:r>
      <w:r w:rsidR="007875F6" w:rsidRPr="00C311AE">
        <w:rPr>
          <w:rFonts w:ascii="Book Antiqua" w:eastAsiaTheme="minorEastAsia" w:hAnsi="Book Antiqua" w:cs="Arial" w:hint="eastAsia"/>
          <w:lang w:eastAsia="zh-CN"/>
        </w:rPr>
        <w:t xml:space="preserve"> </w:t>
      </w:r>
      <w:r w:rsidR="007875F6" w:rsidRPr="00C311AE">
        <w:rPr>
          <w:rFonts w:ascii="Book Antiqua" w:hAnsi="Book Antiqua" w:cs="Arial"/>
          <w:i/>
        </w:rPr>
        <w:t>vs</w:t>
      </w:r>
      <w:r w:rsidR="00FC564F" w:rsidRPr="00C311AE">
        <w:rPr>
          <w:rFonts w:ascii="Book Antiqua" w:hAnsi="Book Antiqua" w:cs="Arial"/>
        </w:rPr>
        <w:t xml:space="preserve"> </w:t>
      </w:r>
      <w:r w:rsidR="007A6B21" w:rsidRPr="00C311AE">
        <w:rPr>
          <w:rFonts w:ascii="Book Antiqua" w:hAnsi="Book Antiqua" w:cs="Arial"/>
        </w:rPr>
        <w:t>40</w:t>
      </w:r>
      <w:r w:rsidR="00FC564F" w:rsidRPr="00C311AE">
        <w:rPr>
          <w:rFonts w:ascii="Book Antiqua" w:hAnsi="Book Antiqua" w:cs="Arial"/>
        </w:rPr>
        <w:t xml:space="preserve"> h</w:t>
      </w:r>
      <w:r w:rsidR="00CC20B5" w:rsidRPr="00C311AE">
        <w:rPr>
          <w:rFonts w:ascii="Book Antiqua" w:hAnsi="Book Antiqua" w:cs="Arial"/>
        </w:rPr>
        <w:t xml:space="preserve">, </w:t>
      </w:r>
      <w:r w:rsidR="007875F6"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00CC20B5"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CC20B5" w:rsidRPr="00C311AE">
        <w:rPr>
          <w:rFonts w:ascii="Book Antiqua" w:hAnsi="Book Antiqua" w:cs="Arial"/>
        </w:rPr>
        <w:t>0.003</w:t>
      </w:r>
      <w:r w:rsidRPr="00C311AE">
        <w:rPr>
          <w:rFonts w:ascii="Book Antiqua" w:hAnsi="Book Antiqua" w:cs="Arial"/>
        </w:rPr>
        <w:t xml:space="preserve">), compared to GpNO. </w:t>
      </w:r>
      <w:r w:rsidR="00100ACD" w:rsidRPr="00C311AE">
        <w:rPr>
          <w:rFonts w:ascii="Book Antiqua" w:hAnsi="Book Antiqua" w:cs="Arial"/>
        </w:rPr>
        <w:t xml:space="preserve">In GpCO on more than 60 mg morphine equivalents per day, there was a trend towards </w:t>
      </w:r>
      <w:r w:rsidR="00FC564F" w:rsidRPr="00C311AE">
        <w:rPr>
          <w:rFonts w:ascii="Book Antiqua" w:hAnsi="Book Antiqua" w:cs="Arial"/>
        </w:rPr>
        <w:t xml:space="preserve">less working hours per week </w:t>
      </w:r>
      <w:r w:rsidR="00100ACD" w:rsidRPr="00C311AE">
        <w:rPr>
          <w:rFonts w:ascii="Book Antiqua" w:hAnsi="Book Antiqua" w:cs="Arial"/>
        </w:rPr>
        <w:t>compared to GpCO on 60 mg or less morphine equivalents per day</w:t>
      </w:r>
      <w:r w:rsidR="00FC564F" w:rsidRPr="00C311AE">
        <w:rPr>
          <w:rFonts w:ascii="Book Antiqua" w:hAnsi="Book Antiqua" w:cs="Arial"/>
        </w:rPr>
        <w:t xml:space="preserve"> (</w:t>
      </w:r>
      <w:r w:rsidR="007A6B21" w:rsidRPr="00C311AE">
        <w:rPr>
          <w:rFonts w:ascii="Book Antiqua" w:hAnsi="Book Antiqua" w:cs="Arial"/>
        </w:rPr>
        <w:t>median of 17.5</w:t>
      </w:r>
      <w:r w:rsidR="00FC564F" w:rsidRPr="00C311AE">
        <w:rPr>
          <w:rFonts w:ascii="Book Antiqua" w:hAnsi="Book Antiqua" w:cs="Arial"/>
        </w:rPr>
        <w:t xml:space="preserve"> h</w:t>
      </w:r>
      <w:r w:rsidR="007875F6" w:rsidRPr="00C311AE">
        <w:rPr>
          <w:rFonts w:ascii="Book Antiqua" w:eastAsiaTheme="minorEastAsia" w:hAnsi="Book Antiqua" w:cs="Arial" w:hint="eastAsia"/>
          <w:lang w:eastAsia="zh-CN"/>
        </w:rPr>
        <w:t xml:space="preserve"> </w:t>
      </w:r>
      <w:r w:rsidR="007875F6" w:rsidRPr="00C311AE">
        <w:rPr>
          <w:rFonts w:ascii="Book Antiqua" w:hAnsi="Book Antiqua" w:cs="Arial"/>
          <w:i/>
        </w:rPr>
        <w:t>vs</w:t>
      </w:r>
      <w:r w:rsidR="00FC564F" w:rsidRPr="00C311AE">
        <w:rPr>
          <w:rFonts w:ascii="Book Antiqua" w:hAnsi="Book Antiqua" w:cs="Arial"/>
        </w:rPr>
        <w:t xml:space="preserve"> </w:t>
      </w:r>
      <w:r w:rsidR="007A6B21" w:rsidRPr="00C311AE">
        <w:rPr>
          <w:rFonts w:ascii="Book Antiqua" w:hAnsi="Book Antiqua" w:cs="Arial"/>
        </w:rPr>
        <w:t>26</w:t>
      </w:r>
      <w:r w:rsidR="00C24B3B" w:rsidRPr="00C311AE">
        <w:rPr>
          <w:rFonts w:ascii="Book Antiqua" w:hAnsi="Book Antiqua" w:cs="Arial"/>
        </w:rPr>
        <w:t xml:space="preserve"> h, </w:t>
      </w:r>
      <w:r w:rsidR="007875F6"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00C24B3B"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C24B3B" w:rsidRPr="00C311AE">
        <w:rPr>
          <w:rFonts w:ascii="Book Antiqua" w:hAnsi="Book Antiqua" w:cs="Arial"/>
        </w:rPr>
        <w:t>0.07</w:t>
      </w:r>
      <w:r w:rsidR="00FC564F" w:rsidRPr="00C311AE">
        <w:rPr>
          <w:rFonts w:ascii="Book Antiqua" w:hAnsi="Book Antiqua" w:cs="Arial"/>
        </w:rPr>
        <w:t>1)</w:t>
      </w:r>
      <w:r w:rsidR="00100ACD" w:rsidRPr="00C311AE">
        <w:rPr>
          <w:rFonts w:ascii="Book Antiqua" w:hAnsi="Book Antiqua" w:cs="Arial"/>
        </w:rPr>
        <w:t>.</w:t>
      </w:r>
      <w:r w:rsidRPr="00C311AE">
        <w:rPr>
          <w:rFonts w:ascii="Book Antiqua" w:hAnsi="Book Antiqua" w:cs="Arial"/>
        </w:rPr>
        <w:t xml:space="preserve"> </w:t>
      </w:r>
    </w:p>
    <w:p w14:paraId="25970FE5" w14:textId="77777777" w:rsidR="003816FC" w:rsidRPr="00C311AE" w:rsidRDefault="003816FC" w:rsidP="00020CC7">
      <w:pPr>
        <w:autoSpaceDE w:val="0"/>
        <w:autoSpaceDN w:val="0"/>
        <w:adjustRightInd w:val="0"/>
        <w:snapToGrid w:val="0"/>
        <w:spacing w:line="360" w:lineRule="auto"/>
        <w:jc w:val="both"/>
        <w:rPr>
          <w:rFonts w:ascii="Book Antiqua" w:hAnsi="Book Antiqua" w:cs="Arial"/>
          <w:b/>
          <w:i/>
        </w:rPr>
      </w:pPr>
    </w:p>
    <w:p w14:paraId="6081DB17" w14:textId="77777777" w:rsidR="00B56E45" w:rsidRPr="00C311AE" w:rsidRDefault="00B56E45" w:rsidP="00020CC7">
      <w:pPr>
        <w:autoSpaceDE w:val="0"/>
        <w:autoSpaceDN w:val="0"/>
        <w:adjustRightInd w:val="0"/>
        <w:snapToGrid w:val="0"/>
        <w:spacing w:line="360" w:lineRule="auto"/>
        <w:jc w:val="both"/>
        <w:rPr>
          <w:rFonts w:ascii="Book Antiqua" w:hAnsi="Book Antiqua" w:cs="Arial"/>
          <w:b/>
          <w:i/>
        </w:rPr>
      </w:pPr>
      <w:r w:rsidRPr="00C311AE">
        <w:rPr>
          <w:rFonts w:ascii="Book Antiqua" w:hAnsi="Book Antiqua" w:cs="Arial"/>
          <w:b/>
          <w:i/>
        </w:rPr>
        <w:t>Health care utilization</w:t>
      </w:r>
    </w:p>
    <w:p w14:paraId="70BEDF2A" w14:textId="442C1679" w:rsidR="00B56E45" w:rsidRPr="00C311AE" w:rsidRDefault="007737C7" w:rsidP="00020CC7">
      <w:pPr>
        <w:autoSpaceDE w:val="0"/>
        <w:autoSpaceDN w:val="0"/>
        <w:adjustRightInd w:val="0"/>
        <w:snapToGrid w:val="0"/>
        <w:spacing w:line="360" w:lineRule="auto"/>
        <w:jc w:val="both"/>
        <w:rPr>
          <w:rFonts w:ascii="Book Antiqua" w:hAnsi="Book Antiqua" w:cs="Arial"/>
        </w:rPr>
      </w:pPr>
      <w:r w:rsidRPr="00C311AE">
        <w:rPr>
          <w:rFonts w:ascii="Book Antiqua" w:hAnsi="Book Antiqua" w:cs="Arial"/>
        </w:rPr>
        <w:t>The</w:t>
      </w:r>
      <w:r w:rsidR="009C09C9" w:rsidRPr="00C311AE">
        <w:rPr>
          <w:rFonts w:ascii="Book Antiqua" w:hAnsi="Book Antiqua" w:cs="Arial"/>
        </w:rPr>
        <w:t>re were</w:t>
      </w:r>
      <w:r w:rsidRPr="00C311AE">
        <w:rPr>
          <w:rFonts w:ascii="Book Antiqua" w:hAnsi="Book Antiqua" w:cs="Arial"/>
        </w:rPr>
        <w:t xml:space="preserve"> </w:t>
      </w:r>
      <w:r w:rsidR="00EC0722" w:rsidRPr="00C311AE">
        <w:rPr>
          <w:rFonts w:ascii="Book Antiqua" w:hAnsi="Book Antiqua" w:cs="Arial"/>
        </w:rPr>
        <w:t xml:space="preserve">higher </w:t>
      </w:r>
      <w:r w:rsidR="00C32997" w:rsidRPr="00C311AE">
        <w:rPr>
          <w:rFonts w:ascii="Book Antiqua" w:hAnsi="Book Antiqua" w:cs="Arial"/>
        </w:rPr>
        <w:t xml:space="preserve">number of </w:t>
      </w:r>
      <w:r w:rsidRPr="00C311AE">
        <w:rPr>
          <w:rFonts w:ascii="Book Antiqua" w:hAnsi="Book Antiqua" w:cs="Arial"/>
        </w:rPr>
        <w:t>hospital admissions for G</w:t>
      </w:r>
      <w:r w:rsidR="00FE3F7C" w:rsidRPr="00C311AE">
        <w:rPr>
          <w:rFonts w:ascii="Book Antiqua" w:hAnsi="Book Antiqua" w:cs="Arial"/>
        </w:rPr>
        <w:t>p</w:t>
      </w:r>
      <w:r w:rsidRPr="00C311AE">
        <w:rPr>
          <w:rFonts w:ascii="Book Antiqua" w:hAnsi="Book Antiqua" w:cs="Arial"/>
        </w:rPr>
        <w:t>CO</w:t>
      </w:r>
      <w:r w:rsidR="00C32997" w:rsidRPr="00C311AE">
        <w:rPr>
          <w:rFonts w:ascii="Book Antiqua" w:hAnsi="Book Antiqua" w:cs="Arial"/>
        </w:rPr>
        <w:t xml:space="preserve"> in the past year</w:t>
      </w:r>
      <w:r w:rsidRPr="00C311AE">
        <w:rPr>
          <w:rFonts w:ascii="Book Antiqua" w:hAnsi="Book Antiqua" w:cs="Arial"/>
        </w:rPr>
        <w:t xml:space="preserve"> </w:t>
      </w:r>
      <w:r w:rsidR="00EC0722" w:rsidRPr="00C311AE">
        <w:rPr>
          <w:rFonts w:ascii="Book Antiqua" w:hAnsi="Book Antiqua" w:cs="Arial"/>
        </w:rPr>
        <w:t>compared to Gp</w:t>
      </w:r>
      <w:r w:rsidRPr="00C311AE">
        <w:rPr>
          <w:rFonts w:ascii="Book Antiqua" w:hAnsi="Book Antiqua" w:cs="Arial"/>
        </w:rPr>
        <w:t>NO</w:t>
      </w:r>
      <w:r w:rsidR="00C24B3B" w:rsidRPr="00C311AE">
        <w:rPr>
          <w:rFonts w:ascii="Book Antiqua" w:hAnsi="Book Antiqua" w:cs="Arial"/>
        </w:rPr>
        <w:t xml:space="preserve"> (2.9</w:t>
      </w:r>
      <w:r w:rsidR="007A6B21" w:rsidRPr="00C311AE">
        <w:rPr>
          <w:rFonts w:ascii="Book Antiqua" w:hAnsi="Book Antiqua" w:cs="Arial"/>
        </w:rPr>
        <w:t xml:space="preserve">0 </w:t>
      </w:r>
      <w:r w:rsidR="00C24B3B" w:rsidRPr="00C311AE">
        <w:rPr>
          <w:rFonts w:ascii="Book Antiqua" w:hAnsi="Book Antiqua" w:cs="Arial"/>
        </w:rPr>
        <w:t>±</w:t>
      </w:r>
      <w:r w:rsidR="007A6B21" w:rsidRPr="00C311AE">
        <w:rPr>
          <w:rFonts w:ascii="Book Antiqua" w:hAnsi="Book Antiqua" w:cs="Arial"/>
        </w:rPr>
        <w:t xml:space="preserve"> 0.77</w:t>
      </w:r>
      <w:r w:rsidR="007875F6" w:rsidRPr="00C311AE">
        <w:rPr>
          <w:rFonts w:ascii="Book Antiqua" w:hAnsi="Book Antiqua" w:cs="Arial"/>
          <w:i/>
        </w:rPr>
        <w:t xml:space="preserve"> vs</w:t>
      </w:r>
      <w:r w:rsidR="00C24B3B" w:rsidRPr="00C311AE">
        <w:rPr>
          <w:rFonts w:ascii="Book Antiqua" w:hAnsi="Book Antiqua" w:cs="Arial"/>
        </w:rPr>
        <w:t xml:space="preserve"> 1.</w:t>
      </w:r>
      <w:r w:rsidR="007A6B21" w:rsidRPr="00C311AE">
        <w:rPr>
          <w:rFonts w:ascii="Book Antiqua" w:hAnsi="Book Antiqua" w:cs="Arial"/>
        </w:rPr>
        <w:t xml:space="preserve">26 </w:t>
      </w:r>
      <w:r w:rsidR="00C24B3B" w:rsidRPr="00C311AE">
        <w:rPr>
          <w:rFonts w:ascii="Book Antiqua" w:hAnsi="Book Antiqua" w:cs="Arial"/>
        </w:rPr>
        <w:t>±</w:t>
      </w:r>
      <w:r w:rsidR="007A6B21" w:rsidRPr="00C311AE">
        <w:rPr>
          <w:rFonts w:ascii="Book Antiqua" w:hAnsi="Book Antiqua" w:cs="Arial"/>
        </w:rPr>
        <w:t xml:space="preserve"> 0.23</w:t>
      </w:r>
      <w:r w:rsidR="00C24B3B" w:rsidRPr="00C311AE">
        <w:rPr>
          <w:rFonts w:ascii="Book Antiqua" w:hAnsi="Book Antiqua" w:cs="Arial"/>
        </w:rPr>
        <w:t xml:space="preserve">, </w:t>
      </w:r>
      <w:r w:rsidR="007875F6"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00C24B3B"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C24B3B" w:rsidRPr="00C311AE">
        <w:rPr>
          <w:rFonts w:ascii="Book Antiqua" w:hAnsi="Book Antiqua" w:cs="Arial"/>
        </w:rPr>
        <w:t xml:space="preserve">0.047) </w:t>
      </w:r>
      <w:r w:rsidR="00E445F2" w:rsidRPr="00C311AE">
        <w:rPr>
          <w:rFonts w:ascii="Book Antiqua" w:hAnsi="Book Antiqua" w:cs="Arial"/>
        </w:rPr>
        <w:t>(Table 7</w:t>
      </w:r>
      <w:r w:rsidR="00A7710B" w:rsidRPr="00C311AE">
        <w:rPr>
          <w:rFonts w:ascii="Book Antiqua" w:hAnsi="Book Antiqua" w:cs="Arial"/>
        </w:rPr>
        <w:t>)</w:t>
      </w:r>
      <w:r w:rsidR="00C32997" w:rsidRPr="00C311AE">
        <w:rPr>
          <w:rFonts w:ascii="Book Antiqua" w:hAnsi="Book Antiqua" w:cs="Arial"/>
        </w:rPr>
        <w:t xml:space="preserve">. </w:t>
      </w:r>
      <w:r w:rsidR="00EC0722" w:rsidRPr="00C311AE">
        <w:rPr>
          <w:rFonts w:ascii="Book Antiqua" w:hAnsi="Book Antiqua" w:cs="Arial"/>
        </w:rPr>
        <w:t>The</w:t>
      </w:r>
      <w:r w:rsidR="00C24B3B" w:rsidRPr="00C311AE">
        <w:rPr>
          <w:rFonts w:ascii="Book Antiqua" w:hAnsi="Book Antiqua" w:cs="Arial"/>
        </w:rPr>
        <w:t>re was a trend towards a higher</w:t>
      </w:r>
      <w:r w:rsidR="00EC0722" w:rsidRPr="00C311AE">
        <w:rPr>
          <w:rFonts w:ascii="Book Antiqua" w:hAnsi="Book Antiqua" w:cs="Arial"/>
        </w:rPr>
        <w:t xml:space="preserve"> number </w:t>
      </w:r>
      <w:r w:rsidR="003816FC" w:rsidRPr="00C311AE">
        <w:rPr>
          <w:rFonts w:ascii="Book Antiqua" w:hAnsi="Book Antiqua" w:cs="Arial"/>
        </w:rPr>
        <w:t xml:space="preserve">of </w:t>
      </w:r>
      <w:r w:rsidR="00CD0AC2" w:rsidRPr="00C311AE">
        <w:rPr>
          <w:rFonts w:ascii="Book Antiqua" w:hAnsi="Book Antiqua" w:cs="Arial"/>
        </w:rPr>
        <w:t>emergency room visits in the past year</w:t>
      </w:r>
      <w:r w:rsidR="00C24B3B" w:rsidRPr="00C311AE">
        <w:rPr>
          <w:rFonts w:ascii="Book Antiqua" w:hAnsi="Book Antiqua" w:cs="Arial"/>
        </w:rPr>
        <w:t xml:space="preserve"> in GpCO compared to GpNO (5.1</w:t>
      </w:r>
      <w:r w:rsidR="007A6B21" w:rsidRPr="00C311AE">
        <w:rPr>
          <w:rFonts w:ascii="Book Antiqua" w:hAnsi="Book Antiqua" w:cs="Arial"/>
        </w:rPr>
        <w:t xml:space="preserve">3 </w:t>
      </w:r>
      <w:r w:rsidR="00C24B3B" w:rsidRPr="00C311AE">
        <w:rPr>
          <w:rFonts w:ascii="Book Antiqua" w:hAnsi="Book Antiqua" w:cs="Arial"/>
        </w:rPr>
        <w:t>±</w:t>
      </w:r>
      <w:r w:rsidR="007A6B21" w:rsidRPr="00C311AE">
        <w:rPr>
          <w:rFonts w:ascii="Book Antiqua" w:hAnsi="Book Antiqua" w:cs="Arial"/>
        </w:rPr>
        <w:t xml:space="preserve"> 1.46</w:t>
      </w:r>
      <w:r w:rsidR="007875F6" w:rsidRPr="00C311AE">
        <w:rPr>
          <w:rFonts w:ascii="Book Antiqua" w:hAnsi="Book Antiqua" w:cs="Arial"/>
          <w:i/>
        </w:rPr>
        <w:t xml:space="preserve"> vs</w:t>
      </w:r>
      <w:r w:rsidR="007875F6" w:rsidRPr="00C311AE">
        <w:rPr>
          <w:rFonts w:ascii="Book Antiqua" w:hAnsi="Book Antiqua" w:cs="Arial"/>
        </w:rPr>
        <w:t xml:space="preserve"> </w:t>
      </w:r>
      <w:r w:rsidR="00C24B3B" w:rsidRPr="00C311AE">
        <w:rPr>
          <w:rFonts w:ascii="Book Antiqua" w:hAnsi="Book Antiqua" w:cs="Arial"/>
        </w:rPr>
        <w:t>3.7</w:t>
      </w:r>
      <w:r w:rsidR="007A6B21" w:rsidRPr="00C311AE">
        <w:rPr>
          <w:rFonts w:ascii="Book Antiqua" w:hAnsi="Book Antiqua" w:cs="Arial"/>
        </w:rPr>
        <w:t xml:space="preserve">4 </w:t>
      </w:r>
      <w:r w:rsidR="00C24B3B" w:rsidRPr="00C311AE">
        <w:rPr>
          <w:rFonts w:ascii="Book Antiqua" w:hAnsi="Book Antiqua" w:cs="Arial"/>
        </w:rPr>
        <w:t>±</w:t>
      </w:r>
      <w:r w:rsidR="007A6B21" w:rsidRPr="00C311AE">
        <w:rPr>
          <w:rFonts w:ascii="Book Antiqua" w:hAnsi="Book Antiqua" w:cs="Arial"/>
        </w:rPr>
        <w:t xml:space="preserve"> 0.65</w:t>
      </w:r>
      <w:r w:rsidR="00C24B3B" w:rsidRPr="00C311AE">
        <w:rPr>
          <w:rFonts w:ascii="Book Antiqua" w:hAnsi="Book Antiqua" w:cs="Arial"/>
        </w:rPr>
        <w:t>) but this</w:t>
      </w:r>
      <w:r w:rsidR="00CD0AC2" w:rsidRPr="00C311AE">
        <w:rPr>
          <w:rFonts w:ascii="Book Antiqua" w:hAnsi="Book Antiqua" w:cs="Arial"/>
        </w:rPr>
        <w:t xml:space="preserve"> </w:t>
      </w:r>
      <w:r w:rsidR="00EC0722" w:rsidRPr="00C311AE">
        <w:rPr>
          <w:rFonts w:ascii="Book Antiqua" w:hAnsi="Book Antiqua" w:cs="Arial"/>
        </w:rPr>
        <w:t>did not</w:t>
      </w:r>
      <w:r w:rsidR="00C24B3B" w:rsidRPr="00C311AE">
        <w:rPr>
          <w:rFonts w:ascii="Book Antiqua" w:hAnsi="Book Antiqua" w:cs="Arial"/>
        </w:rPr>
        <w:t xml:space="preserve"> reach statistical significance (</w:t>
      </w:r>
      <w:r w:rsidR="007875F6" w:rsidRPr="00C311AE">
        <w:rPr>
          <w:rFonts w:ascii="Book Antiqua" w:hAnsi="Book Antiqua" w:cs="Arial"/>
          <w:i/>
          <w:caps/>
        </w:rPr>
        <w:t>p</w:t>
      </w:r>
      <w:r w:rsidR="007875F6" w:rsidRPr="00C311AE">
        <w:rPr>
          <w:rFonts w:ascii="Book Antiqua" w:eastAsiaTheme="minorEastAsia" w:hAnsi="Book Antiqua" w:cs="Arial" w:hint="eastAsia"/>
          <w:i/>
          <w:caps/>
          <w:lang w:eastAsia="zh-CN"/>
        </w:rPr>
        <w:t xml:space="preserve"> </w:t>
      </w:r>
      <w:r w:rsidR="00C24B3B"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C24B3B" w:rsidRPr="00C311AE">
        <w:rPr>
          <w:rFonts w:ascii="Book Antiqua" w:hAnsi="Book Antiqua" w:cs="Arial"/>
        </w:rPr>
        <w:t>0.468)</w:t>
      </w:r>
      <w:r w:rsidR="00EC0722" w:rsidRPr="00C311AE">
        <w:rPr>
          <w:rFonts w:ascii="Book Antiqua" w:hAnsi="Book Antiqua" w:cs="Arial"/>
        </w:rPr>
        <w:t xml:space="preserve">. </w:t>
      </w:r>
      <w:r w:rsidR="00CD0AC2" w:rsidRPr="00C311AE">
        <w:rPr>
          <w:rFonts w:ascii="Book Antiqua" w:hAnsi="Book Antiqua" w:cs="Arial"/>
        </w:rPr>
        <w:t xml:space="preserve"> </w:t>
      </w:r>
    </w:p>
    <w:p w14:paraId="658437FB" w14:textId="77777777" w:rsidR="00EC2F0B" w:rsidRPr="00C311AE" w:rsidRDefault="00EC2F0B" w:rsidP="00020CC7">
      <w:pPr>
        <w:autoSpaceDE w:val="0"/>
        <w:autoSpaceDN w:val="0"/>
        <w:adjustRightInd w:val="0"/>
        <w:snapToGrid w:val="0"/>
        <w:spacing w:line="360" w:lineRule="auto"/>
        <w:jc w:val="both"/>
        <w:rPr>
          <w:rFonts w:ascii="Book Antiqua" w:hAnsi="Book Antiqua" w:cs="Arial"/>
        </w:rPr>
      </w:pPr>
    </w:p>
    <w:p w14:paraId="1C647D6A" w14:textId="55B30395" w:rsidR="00EC2F0B" w:rsidRPr="00C311AE" w:rsidRDefault="008D2D18" w:rsidP="00020CC7">
      <w:pPr>
        <w:autoSpaceDE w:val="0"/>
        <w:autoSpaceDN w:val="0"/>
        <w:adjustRightInd w:val="0"/>
        <w:snapToGrid w:val="0"/>
        <w:spacing w:line="360" w:lineRule="auto"/>
        <w:jc w:val="both"/>
        <w:rPr>
          <w:rFonts w:ascii="Book Antiqua" w:hAnsi="Book Antiqua" w:cs="Arial"/>
          <w:b/>
        </w:rPr>
      </w:pPr>
      <w:r w:rsidRPr="00C311AE">
        <w:rPr>
          <w:rFonts w:ascii="Book Antiqua" w:hAnsi="Book Antiqua" w:cs="Arial"/>
          <w:b/>
        </w:rPr>
        <w:t xml:space="preserve">DISCUSSION </w:t>
      </w:r>
    </w:p>
    <w:p w14:paraId="562C0E31" w14:textId="2EC20C76" w:rsidR="00673129" w:rsidRPr="00C311AE" w:rsidRDefault="004C74A6" w:rsidP="00020CC7">
      <w:pPr>
        <w:autoSpaceDE w:val="0"/>
        <w:autoSpaceDN w:val="0"/>
        <w:adjustRightInd w:val="0"/>
        <w:snapToGrid w:val="0"/>
        <w:spacing w:line="360" w:lineRule="auto"/>
        <w:jc w:val="both"/>
        <w:rPr>
          <w:rFonts w:ascii="Book Antiqua" w:hAnsi="Book Antiqua" w:cs="Arial"/>
        </w:rPr>
      </w:pPr>
      <w:r w:rsidRPr="00C311AE">
        <w:rPr>
          <w:rFonts w:ascii="Book Antiqua" w:hAnsi="Book Antiqua" w:cs="Arial"/>
        </w:rPr>
        <w:t>Our st</w:t>
      </w:r>
      <w:r w:rsidR="00BC4CE8" w:rsidRPr="00C311AE">
        <w:rPr>
          <w:rFonts w:ascii="Book Antiqua" w:hAnsi="Book Antiqua" w:cs="Arial"/>
        </w:rPr>
        <w:t xml:space="preserve">udy </w:t>
      </w:r>
      <w:r w:rsidR="009C09C9" w:rsidRPr="00C311AE">
        <w:rPr>
          <w:rFonts w:ascii="Book Antiqua" w:hAnsi="Book Antiqua" w:cs="Arial"/>
        </w:rPr>
        <w:t>shows</w:t>
      </w:r>
      <w:r w:rsidR="001A62BE" w:rsidRPr="00C311AE">
        <w:rPr>
          <w:rFonts w:ascii="Book Antiqua" w:hAnsi="Book Antiqua" w:cs="Arial"/>
        </w:rPr>
        <w:t xml:space="preserve"> that </w:t>
      </w:r>
      <w:r w:rsidRPr="00C311AE">
        <w:rPr>
          <w:rFonts w:ascii="Book Antiqua" w:hAnsi="Book Antiqua" w:cs="Arial"/>
        </w:rPr>
        <w:t>c</w:t>
      </w:r>
      <w:r w:rsidR="00B71000" w:rsidRPr="00C311AE">
        <w:rPr>
          <w:rFonts w:ascii="Book Antiqua" w:hAnsi="Book Antiqua" w:cs="Arial"/>
        </w:rPr>
        <w:t>hronic opioid use is present</w:t>
      </w:r>
      <w:r w:rsidR="003E54E2" w:rsidRPr="00C311AE">
        <w:rPr>
          <w:rFonts w:ascii="Book Antiqua" w:hAnsi="Book Antiqua" w:cs="Arial"/>
        </w:rPr>
        <w:t xml:space="preserve"> in </w:t>
      </w:r>
      <w:r w:rsidR="00433696" w:rsidRPr="00C311AE">
        <w:rPr>
          <w:rFonts w:ascii="Book Antiqua" w:hAnsi="Book Antiqua" w:cs="Arial"/>
        </w:rPr>
        <w:t xml:space="preserve">nearly </w:t>
      </w:r>
      <w:r w:rsidR="00B558C5" w:rsidRPr="00C311AE">
        <w:rPr>
          <w:rFonts w:ascii="Book Antiqua" w:hAnsi="Book Antiqua" w:cs="Arial"/>
        </w:rPr>
        <w:t>one fifth</w:t>
      </w:r>
      <w:r w:rsidR="00433696" w:rsidRPr="00C311AE">
        <w:rPr>
          <w:rFonts w:ascii="Book Antiqua" w:hAnsi="Book Antiqua" w:cs="Arial"/>
        </w:rPr>
        <w:t xml:space="preserve"> </w:t>
      </w:r>
      <w:r w:rsidR="003E54E2" w:rsidRPr="00C311AE">
        <w:rPr>
          <w:rFonts w:ascii="Book Antiqua" w:hAnsi="Book Antiqua" w:cs="Arial"/>
        </w:rPr>
        <w:t>of the gastroparesis patients</w:t>
      </w:r>
      <w:r w:rsidR="00DD7C32" w:rsidRPr="00C311AE">
        <w:rPr>
          <w:rFonts w:ascii="Book Antiqua" w:hAnsi="Book Antiqua" w:cs="Arial"/>
        </w:rPr>
        <w:t xml:space="preserve"> referred for evaluation and treatment of their gastroparesis</w:t>
      </w:r>
      <w:r w:rsidR="003816FC" w:rsidRPr="00C311AE">
        <w:rPr>
          <w:rFonts w:ascii="Book Antiqua" w:hAnsi="Book Antiqua" w:cs="Arial"/>
        </w:rPr>
        <w:t xml:space="preserve">. </w:t>
      </w:r>
      <w:r w:rsidR="00673129" w:rsidRPr="00C311AE">
        <w:rPr>
          <w:rFonts w:ascii="Book Antiqua" w:hAnsi="Book Antiqua" w:cs="Arial"/>
        </w:rPr>
        <w:t>Use of chronic opioids in these gastroparesis patients was</w:t>
      </w:r>
      <w:r w:rsidR="003E54E2" w:rsidRPr="00C311AE">
        <w:rPr>
          <w:rFonts w:ascii="Book Antiqua" w:hAnsi="Book Antiqua" w:cs="Arial"/>
        </w:rPr>
        <w:t xml:space="preserve"> associated with a higher severity of many gastrointestinal symptoms</w:t>
      </w:r>
      <w:r w:rsidR="002C497B" w:rsidRPr="00C311AE">
        <w:rPr>
          <w:rFonts w:ascii="Book Antiqua" w:hAnsi="Book Antiqua" w:cs="Arial"/>
        </w:rPr>
        <w:t xml:space="preserve">, especially the symptoms often </w:t>
      </w:r>
      <w:r w:rsidR="003816FC" w:rsidRPr="00C311AE">
        <w:rPr>
          <w:rFonts w:ascii="Book Antiqua" w:hAnsi="Book Antiqua" w:cs="Arial"/>
        </w:rPr>
        <w:t xml:space="preserve">attributable to </w:t>
      </w:r>
      <w:r w:rsidR="003816FC" w:rsidRPr="00C311AE">
        <w:rPr>
          <w:rFonts w:ascii="Book Antiqua" w:hAnsi="Book Antiqua" w:cs="Arial"/>
        </w:rPr>
        <w:lastRenderedPageBreak/>
        <w:t xml:space="preserve">gastroparesis. </w:t>
      </w:r>
      <w:r w:rsidR="002C497B" w:rsidRPr="00C311AE">
        <w:rPr>
          <w:rFonts w:ascii="Book Antiqua" w:hAnsi="Book Antiqua" w:cs="Arial"/>
        </w:rPr>
        <w:t>In addition, patients on chronic opioids had</w:t>
      </w:r>
      <w:r w:rsidR="003E54E2" w:rsidRPr="00C311AE">
        <w:rPr>
          <w:rFonts w:ascii="Book Antiqua" w:hAnsi="Book Antiqua" w:cs="Arial"/>
        </w:rPr>
        <w:t xml:space="preserve"> decreased work productivity</w:t>
      </w:r>
      <w:r w:rsidR="00F46E53" w:rsidRPr="00C311AE">
        <w:rPr>
          <w:rFonts w:ascii="Book Antiqua" w:hAnsi="Book Antiqua" w:cs="Arial"/>
        </w:rPr>
        <w:t>, and more frequent hospitalizations</w:t>
      </w:r>
      <w:r w:rsidR="003E54E2" w:rsidRPr="00C311AE">
        <w:rPr>
          <w:rFonts w:ascii="Book Antiqua" w:hAnsi="Book Antiqua" w:cs="Arial"/>
        </w:rPr>
        <w:t>.</w:t>
      </w:r>
      <w:r w:rsidR="003E54E2" w:rsidRPr="00C311AE">
        <w:rPr>
          <w:rFonts w:ascii="Book Antiqua" w:hAnsi="Book Antiqua" w:cs="Arial"/>
          <w:b/>
        </w:rPr>
        <w:t xml:space="preserve"> </w:t>
      </w:r>
      <w:r w:rsidR="00CC36AD" w:rsidRPr="00C311AE">
        <w:rPr>
          <w:rFonts w:ascii="Book Antiqua" w:hAnsi="Book Antiqua" w:cs="Arial"/>
          <w:b/>
        </w:rPr>
        <w:t xml:space="preserve"> </w:t>
      </w:r>
    </w:p>
    <w:p w14:paraId="732960F6" w14:textId="175EAAAE" w:rsidR="00F2011E" w:rsidRPr="00C311AE" w:rsidRDefault="00862E29" w:rsidP="00020CC7">
      <w:pPr>
        <w:autoSpaceDE w:val="0"/>
        <w:autoSpaceDN w:val="0"/>
        <w:adjustRightInd w:val="0"/>
        <w:snapToGrid w:val="0"/>
        <w:spacing w:line="360" w:lineRule="auto"/>
        <w:ind w:firstLineChars="100" w:firstLine="240"/>
        <w:jc w:val="both"/>
        <w:rPr>
          <w:rFonts w:ascii="Book Antiqua" w:hAnsi="Book Antiqua" w:cs="Arial"/>
        </w:rPr>
      </w:pPr>
      <w:r w:rsidRPr="00C311AE">
        <w:rPr>
          <w:rFonts w:ascii="Book Antiqua" w:hAnsi="Book Antiqua" w:cs="Arial"/>
        </w:rPr>
        <w:t xml:space="preserve">The prevalence of chronic scheduled opioid use in our </w:t>
      </w:r>
      <w:r w:rsidR="003E54E2" w:rsidRPr="00C311AE">
        <w:rPr>
          <w:rFonts w:ascii="Book Antiqua" w:hAnsi="Book Antiqua" w:cs="Arial"/>
        </w:rPr>
        <w:t>study</w:t>
      </w:r>
      <w:r w:rsidRPr="00C311AE">
        <w:rPr>
          <w:rFonts w:ascii="Book Antiqua" w:hAnsi="Book Antiqua" w:cs="Arial"/>
        </w:rPr>
        <w:t xml:space="preserve"> (</w:t>
      </w:r>
      <w:r w:rsidR="00433696" w:rsidRPr="00C311AE">
        <w:rPr>
          <w:rFonts w:ascii="Book Antiqua" w:hAnsi="Book Antiqua" w:cs="Arial"/>
        </w:rPr>
        <w:t>19.2</w:t>
      </w:r>
      <w:r w:rsidR="00C15CF9" w:rsidRPr="00C311AE">
        <w:rPr>
          <w:rFonts w:ascii="Book Antiqua" w:hAnsi="Book Antiqua" w:cs="Arial"/>
        </w:rPr>
        <w:t>%</w:t>
      </w:r>
      <w:r w:rsidRPr="00C311AE">
        <w:rPr>
          <w:rFonts w:ascii="Book Antiqua" w:hAnsi="Book Antiqua" w:cs="Arial"/>
        </w:rPr>
        <w:t>)</w:t>
      </w:r>
      <w:r w:rsidR="00C15CF9" w:rsidRPr="00C311AE">
        <w:rPr>
          <w:rFonts w:ascii="Book Antiqua" w:hAnsi="Book Antiqua" w:cs="Arial"/>
        </w:rPr>
        <w:t xml:space="preserve"> is less than </w:t>
      </w:r>
      <w:r w:rsidR="000B70CF" w:rsidRPr="00C311AE">
        <w:rPr>
          <w:rFonts w:ascii="Book Antiqua" w:hAnsi="Book Antiqua" w:cs="Arial"/>
        </w:rPr>
        <w:t>30</w:t>
      </w:r>
      <w:r w:rsidR="007875F6" w:rsidRPr="00C311AE">
        <w:rPr>
          <w:rFonts w:ascii="Book Antiqua" w:hAnsi="Book Antiqua" w:cs="Arial"/>
        </w:rPr>
        <w:t>%</w:t>
      </w:r>
      <w:r w:rsidR="000B70CF" w:rsidRPr="00C311AE">
        <w:rPr>
          <w:rFonts w:ascii="Book Antiqua" w:hAnsi="Book Antiqua" w:cs="Arial"/>
        </w:rPr>
        <w:t xml:space="preserve">-46% </w:t>
      </w:r>
      <w:r w:rsidR="00C15CF9" w:rsidRPr="00C311AE">
        <w:rPr>
          <w:rFonts w:ascii="Book Antiqua" w:hAnsi="Book Antiqua" w:cs="Arial"/>
        </w:rPr>
        <w:t xml:space="preserve">reported </w:t>
      </w:r>
      <w:r w:rsidR="000B70CF" w:rsidRPr="00C311AE">
        <w:rPr>
          <w:rFonts w:ascii="Book Antiqua" w:hAnsi="Book Antiqua" w:cs="Arial"/>
        </w:rPr>
        <w:t>in other studies</w:t>
      </w:r>
      <w:r w:rsidR="00AC61B8"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3nXQvbMs","properties":{"formattedCitation":"(10,14,15)","plainCitation":"(10,14,15)"},"citationItems":[{"id":65,"uris":["http://zotero.org/users/local/Y25qLmSx/items/TIVI7MS6"],"uri":["http://zotero.org/users/local/Y25qLmSx/items/TIVI7MS6"],"itemData":{"id":65,"type":"article-journal","title":"Different faces of gastroparesis","container-title":"World Journal of Gastroenterology","page":"6052-6060","volume":"15","issue":"48","source":"PubMed","abstract":"AIM: To test the hypothesis that pain and affect rather than impaired emptying determine symptom severity in patients with gastroparesis.\nMETHODS: Adult patients with documented gastroparesis were enrolled prospectively in a single center and asked to complete the Gastroparesis Cardinal Symptom Index (GCSI), Hospital Anxiety and Depression Scale (HADS), the Short Form 12 (SF-12) as quality of life index, rate pain severity and answer 10 open-ended questions.\nRESULTS: A total of 55 patients (44 women) participated. Idiopathic (n = 29) or diabetic (n = 11) gastroparesis and connective tissue disease (n = 8) were the most common underlying causes. Antiemetics (n = 30) and prokinetics (n = 32) were most often prescribed. Seventeen patients used opioids on a daily basis. Nausea and/or vomiting (n = 28), pain (n = 24) and bloating (n = 14) were most commonly listed as dominant symptoms. Patients subjectively attributed symptom improvement to nutritional and dietary therapy (n = 11), prokinetics (n = 11), antiemetics (n = 10) or analgesic agents (n = 3). In univariate analyses, the physical subscore of the SF-12 and HADS, but not gastric emptying delay or symptom duration significantly correlated with disease severity as measured by the GCSI. In multivariate analyses, the combination of vomiting, bloating and depression best predicted the overall impact on quality of life.\nCONCLUSION: The study confirms the importance of pain and affect in gastroparesis, which requires novel approaches to improve more effectively the quality of life in patients with this disorder.","ISSN":"2219-2840","note":"PMID: 20027677\nPMCID: PMC2797661","journalAbbreviation":"World J. Gastroenterol.","language":"eng","author":[{"family":"Bielefeldt","given":"Klaus"},{"family":"Raza","given":"Naeem"},{"family":"Zickmund","given":"Susan L."}],"issued":{"date-parts":[["2009",12,28]]}}},{"id":73,"uris":["http://zotero.org/users/local/Y25qLmSx/items/CFMFKH96"],"uri":["http://zotero.org/users/local/Y25qLmSx/items/CFMFKH96"],"itemData":{"id":73,"type":"article-journal","title":"Predictive factors for clinical improvement with Enterra gastric electric stimulation treatment for refractory gastroparesis","container-title":"Digestive Diseases and Sciences","page":"2072-2078","volume":"53","issue":"8","source":"PubMed","abstract":"The objectives of this study were to determine the clinical response to Enterra gastric electric stimulation (GES) in patients with refractory gastroparesis and to determine factors associated with a favorable response.\nMETHODS: This study was conducted in patients undergoing Enterra GES for refractory gastroparesis. Symptoms were scored before and after GES implantation using the Gastroparesis Cardinal Symptom Index (GCSI) with additional questions about abdominal pain and global clinical response.\nRESULTS: During an 18-month period, 29 patients underwent GES implantation. Follow-up data were available for 28 patients, with average follow-up of 148 days. At follow-up, 14 of 28 patients felt improved, 8 remained the same, and 6 worsened. The overall GCSI significantly decreased with improvement in the nausea/vomiting subscore and the post-prandial subscore, but no improvement in the bloating subscore or abdominal pain. The decrease in GCSI was greater for diabetic patients than idiopathic patients. Patients with main symptom of nausea/vomiting had a greater improvement than patients with the main symptom of abdominal pain. Patients taking narcotic analgesics at the time of implant had a poorer response compared to patients who were not.\nCONCLUSIONS: GES resulted in clinical improvement in 50% of patients with refractory gastroparesis. Three clinical parameters were associated with a favorable clinical response: (1) diabetic rather than idiopathic gastroparesis, (2) nausea/vomiting rather than abdominal pain as the primary symptom, and (3) independence from narcotic analgesics prior to stimulator implantation. Knowledge of these three factors may allow improved patient selection for GES.","DOI":"10.1007/s10620-007-0124-7","ISSN":"0163-2116","note":"PMID: 18080765\nPMCID: PMC3579617","journalAbbreviation":"Dig. Dis. Sci.","language":"eng","author":[{"family":"Maranki","given":"Jennifer L."},{"family":"Lytes","given":"Vanessa"},{"family":"Meilahn","given":"John E."},{"family":"Harbison","given":"Sean"},{"family":"Friedenberg","given":"Frank K."},{"family":"Fisher","given":"Robert S."},{"family":"Parkman","given":"Henry P."}],"issued":{"date-parts":[["2008",8]]}}},{"id":18,"uris":["http://zotero.org/users/local/Y25qLmSx/items/VGBBUI7Q"],"uri":["http://zotero.org/users/local/Y25qLmSx/items/VGBBUI7Q"],"itemData":{"id":18,"type":"article-journal","title":"Factors related to abdominal pain in gastroparesis: contrast to patients with predominant nausea and vomiting","container-title":"Neurogastroenterology and Motility: The Official Journal of the European Gastrointestinal Motility Society","page":"427-438, e300-301","volume":"25","issue":"5","source":"PubMed","abstract":"BACKGROUND: Factors associated with abdominal pain in gastroparesis are incompletely evaluated and comparisons of pain vs other symptoms are limited. This study related pain to clinical factors in gastroparesis and contrasted pain/discomfort- with nausea/vomiting-predominant disease.\nMETHODS: Clinical and scintigraphy data were compared in 393 patients from seven centers of the NIDDK Gastroparesis Clinical Research Consortium with moderate-severe (Patient Assessment of Upper Gastrointestinal Disorders Symptoms [PAGI-SYM] score ≥ 3) vs none-mild (PAGI-SYM &lt; 3) upper abdominal pain and predominant pain/discomfort vs nausea/vomiting.\nKEY RESULTS: Upper abdominal pain was moderate-severe in 261 (66%). Pain/discomfort was predominant in 81 (21%); nausea/vomiting was predominant in 172 (44%). Moderate-severe pain was more prevalent with idiopathic gastroparesis and with lack of infectious prodrome (P ≤ 0.05) and correlated with scores for nausea/vomiting, bloating, lower abdominal pain/discomfort, bowel disturbances, and opiate and antiemetic use (P &lt; 0.05), but not gastric emptying or diabetic neuropathy or control. Gastroparesis severity, quality of life, and depression and anxiety were worse with moderate-severe pain (P ≤ 0.008). Factors associated with moderate-severe pain were similar in diabetic and idiopathic gastroparesis. Compared to predominant nausea/vomiting, predominant pain/discomfort was associated with impaired quality of life, greater opiate, and less antiemetic use (P &lt; 0.01), but similar severity and gastric retention.\nCONCLUSIONS &amp; INFERENCES: Moderate-severe abdominal pain is prevalent in gastroparesis, impairs quality of life, and is associated with idiopathic etiology, lack of infectious prodrome, and opiate use. Pain is predominant in one fifth of gastroparetics. Predominant pain has at least as great an impact on disease severity and quality of life as predominant nausea/vomiting.","DOI":"10.1111/nmo.12091","ISSN":"1365-2982","note":"PMID: 23414452\nPMCID: PMC3907086","shortTitle":"Factors related to abdominal pain in gastroparesis","journalAbbreviation":"Neurogastroenterol. Motil.","language":"eng","author":[{"family":"Hasler","given":"W. L."},{"family":"Wilson","given":"L. A."},{"family":"Parkman","given":"H. P."},{"family":"Koch","given":"K. L."},{"family":"Abell","given":"T. L."},{"family":"Nguyen","given":"L."},{"family":"Pasricha","given":"P. J."},{"family":"Snape","given":"W. J."},{"family":"McCallum","given":"R. W."},{"family":"Sarosiek","given":"I."},{"family":"Farrugia","given":"G."},{"family":"Calles","given":"J."},{"family":"Lee","given":"L."},{"family":"Tonascia","given":"J."},{"family":"Unalp-Arida","given":"A."},{"family":"Hamilton","given":"F."}],"issued":{"date-parts":[["2013",5]]}}}],"schema":"https://github.com/citation-style-language/schema/raw/master/csl-citation.json"} </w:instrText>
      </w:r>
      <w:r w:rsidR="00AC61B8" w:rsidRPr="00C311AE">
        <w:rPr>
          <w:rFonts w:ascii="Book Antiqua" w:hAnsi="Book Antiqua" w:cs="Arial"/>
          <w:vertAlign w:val="superscript"/>
        </w:rPr>
        <w:fldChar w:fldCharType="separate"/>
      </w:r>
      <w:r w:rsidR="00006322" w:rsidRPr="00C311AE">
        <w:rPr>
          <w:rFonts w:ascii="Book Antiqua" w:hAnsi="Book Antiqua"/>
          <w:vertAlign w:val="superscript"/>
        </w:rPr>
        <w:t>[</w:t>
      </w:r>
      <w:r w:rsidR="00B160C4" w:rsidRPr="00C311AE">
        <w:rPr>
          <w:rFonts w:ascii="Book Antiqua" w:hAnsi="Book Antiqua"/>
          <w:vertAlign w:val="superscript"/>
        </w:rPr>
        <w:t>10,14,15</w:t>
      </w:r>
      <w:r w:rsidR="00006322" w:rsidRPr="00C311AE">
        <w:rPr>
          <w:rFonts w:ascii="Book Antiqua" w:hAnsi="Book Antiqua"/>
          <w:vertAlign w:val="superscript"/>
        </w:rPr>
        <w:t>]</w:t>
      </w:r>
      <w:r w:rsidR="00AC61B8" w:rsidRPr="00C311AE">
        <w:rPr>
          <w:rFonts w:ascii="Book Antiqua" w:hAnsi="Book Antiqua" w:cs="Arial"/>
          <w:vertAlign w:val="superscript"/>
        </w:rPr>
        <w:fldChar w:fldCharType="end"/>
      </w:r>
      <w:r w:rsidR="003816FC" w:rsidRPr="00C311AE">
        <w:rPr>
          <w:rFonts w:ascii="Book Antiqua" w:hAnsi="Book Antiqua" w:cs="Arial"/>
        </w:rPr>
        <w:t xml:space="preserve">. </w:t>
      </w:r>
      <w:r w:rsidR="002C497B" w:rsidRPr="00C311AE">
        <w:rPr>
          <w:rFonts w:ascii="Book Antiqua" w:hAnsi="Book Antiqua" w:cs="Arial"/>
        </w:rPr>
        <w:t>It</w:t>
      </w:r>
      <w:r w:rsidR="00C15CF9" w:rsidRPr="00C311AE">
        <w:rPr>
          <w:rFonts w:ascii="Book Antiqua" w:hAnsi="Book Antiqua" w:cs="Arial"/>
        </w:rPr>
        <w:t xml:space="preserve"> is plausible that many </w:t>
      </w:r>
      <w:r w:rsidR="00274CD6" w:rsidRPr="00C311AE">
        <w:rPr>
          <w:rFonts w:ascii="Book Antiqua" w:hAnsi="Book Antiqua" w:cs="Arial"/>
        </w:rPr>
        <w:t xml:space="preserve">of our </w:t>
      </w:r>
      <w:r w:rsidR="00C15CF9" w:rsidRPr="00C311AE">
        <w:rPr>
          <w:rFonts w:ascii="Book Antiqua" w:hAnsi="Book Antiqua" w:cs="Arial"/>
        </w:rPr>
        <w:t xml:space="preserve">patients on opioids as needed were also taking </w:t>
      </w:r>
      <w:r w:rsidR="00E316B0" w:rsidRPr="00C311AE">
        <w:rPr>
          <w:rFonts w:ascii="Book Antiqua" w:hAnsi="Book Antiqua" w:cs="Arial"/>
        </w:rPr>
        <w:t>opioids</w:t>
      </w:r>
      <w:r w:rsidR="00C15CF9" w:rsidRPr="00C311AE">
        <w:rPr>
          <w:rFonts w:ascii="Book Antiqua" w:hAnsi="Book Antiqua" w:cs="Arial"/>
        </w:rPr>
        <w:t xml:space="preserve"> at least once a day</w:t>
      </w:r>
      <w:r w:rsidR="00E316B0" w:rsidRPr="00C311AE">
        <w:rPr>
          <w:rFonts w:ascii="Book Antiqua" w:hAnsi="Book Antiqua" w:cs="Arial"/>
        </w:rPr>
        <w:t>,</w:t>
      </w:r>
      <w:r w:rsidR="00C15CF9" w:rsidRPr="00C311AE">
        <w:rPr>
          <w:rFonts w:ascii="Book Antiqua" w:hAnsi="Book Antiqua" w:cs="Arial"/>
        </w:rPr>
        <w:t xml:space="preserve"> and including these patients give</w:t>
      </w:r>
      <w:r w:rsidR="00274CD6" w:rsidRPr="00C311AE">
        <w:rPr>
          <w:rFonts w:ascii="Book Antiqua" w:hAnsi="Book Antiqua" w:cs="Arial"/>
        </w:rPr>
        <w:t>s</w:t>
      </w:r>
      <w:r w:rsidR="00C15CF9" w:rsidRPr="00C311AE">
        <w:rPr>
          <w:rFonts w:ascii="Book Antiqua" w:hAnsi="Book Antiqua" w:cs="Arial"/>
        </w:rPr>
        <w:t xml:space="preserve"> </w:t>
      </w:r>
      <w:r w:rsidR="00E316B0" w:rsidRPr="00C311AE">
        <w:rPr>
          <w:rFonts w:ascii="Book Antiqua" w:hAnsi="Book Antiqua" w:cs="Arial"/>
        </w:rPr>
        <w:t>a much</w:t>
      </w:r>
      <w:r w:rsidR="00C15CF9" w:rsidRPr="00C311AE">
        <w:rPr>
          <w:rFonts w:ascii="Book Antiqua" w:hAnsi="Book Antiqua" w:cs="Arial"/>
        </w:rPr>
        <w:t xml:space="preserve"> </w:t>
      </w:r>
      <w:r w:rsidR="00E316B0" w:rsidRPr="00C311AE">
        <w:rPr>
          <w:rFonts w:ascii="Book Antiqua" w:hAnsi="Book Antiqua" w:cs="Arial"/>
        </w:rPr>
        <w:t xml:space="preserve">higher </w:t>
      </w:r>
      <w:r w:rsidR="00C15CF9" w:rsidRPr="00C311AE">
        <w:rPr>
          <w:rFonts w:ascii="Book Antiqua" w:hAnsi="Book Antiqua" w:cs="Arial"/>
        </w:rPr>
        <w:t>pr</w:t>
      </w:r>
      <w:r w:rsidR="00F46E53" w:rsidRPr="00C311AE">
        <w:rPr>
          <w:rFonts w:ascii="Book Antiqua" w:hAnsi="Book Antiqua" w:cs="Arial"/>
        </w:rPr>
        <w:t>evalence of opioid use (29.1%</w:t>
      </w:r>
      <w:r w:rsidR="00C15CF9" w:rsidRPr="00C311AE">
        <w:rPr>
          <w:rFonts w:ascii="Book Antiqua" w:hAnsi="Book Antiqua" w:cs="Arial"/>
        </w:rPr>
        <w:t>).</w:t>
      </w:r>
      <w:r w:rsidR="002C497B" w:rsidRPr="00C311AE">
        <w:rPr>
          <w:rFonts w:ascii="Book Antiqua" w:hAnsi="Book Antiqua" w:cs="Arial"/>
        </w:rPr>
        <w:t xml:space="preserve"> </w:t>
      </w:r>
      <w:r w:rsidR="00BD113E" w:rsidRPr="00C311AE">
        <w:rPr>
          <w:rFonts w:ascii="Book Antiqua" w:hAnsi="Book Antiqua" w:cs="Arial"/>
        </w:rPr>
        <w:t>A</w:t>
      </w:r>
      <w:r w:rsidR="00E316B0" w:rsidRPr="00C311AE">
        <w:rPr>
          <w:rFonts w:ascii="Book Antiqua" w:hAnsi="Book Antiqua" w:cs="Arial"/>
        </w:rPr>
        <w:t xml:space="preserve"> signi</w:t>
      </w:r>
      <w:r w:rsidR="008D26CB" w:rsidRPr="00C311AE">
        <w:rPr>
          <w:rFonts w:ascii="Book Antiqua" w:hAnsi="Book Antiqua" w:cs="Arial"/>
        </w:rPr>
        <w:t>ficantly higher proportion of</w:t>
      </w:r>
      <w:r w:rsidR="009C09C9" w:rsidRPr="00C311AE">
        <w:rPr>
          <w:rFonts w:ascii="Book Antiqua" w:hAnsi="Book Antiqua" w:cs="Arial"/>
        </w:rPr>
        <w:t xml:space="preserve"> the</w:t>
      </w:r>
      <w:r w:rsidR="008D26CB" w:rsidRPr="00C311AE">
        <w:rPr>
          <w:rFonts w:ascii="Book Antiqua" w:hAnsi="Book Antiqua" w:cs="Arial"/>
        </w:rPr>
        <w:t xml:space="preserve"> Gp</w:t>
      </w:r>
      <w:r w:rsidR="00E316B0" w:rsidRPr="00C311AE">
        <w:rPr>
          <w:rFonts w:ascii="Book Antiqua" w:hAnsi="Book Antiqua" w:cs="Arial"/>
        </w:rPr>
        <w:t xml:space="preserve"> patients use opioids compared to the general </w:t>
      </w:r>
      <w:r w:rsidR="00BC4CE8" w:rsidRPr="00C311AE">
        <w:rPr>
          <w:rFonts w:ascii="Book Antiqua" w:hAnsi="Book Antiqua" w:cs="Arial"/>
        </w:rPr>
        <w:t xml:space="preserve">adult </w:t>
      </w:r>
      <w:r w:rsidR="00E316B0" w:rsidRPr="00C311AE">
        <w:rPr>
          <w:rFonts w:ascii="Book Antiqua" w:hAnsi="Book Antiqua" w:cs="Arial"/>
        </w:rPr>
        <w:t>population</w:t>
      </w:r>
      <w:r w:rsidR="00BC4CE8" w:rsidRPr="00C311AE">
        <w:rPr>
          <w:rFonts w:ascii="Book Antiqua" w:hAnsi="Book Antiqua" w:cs="Arial"/>
        </w:rPr>
        <w:t>, which is estimated to be 3%</w:t>
      </w:r>
      <w:r w:rsidR="00085053"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a7jcfa8il","properties":{"formattedCitation":"(22)","plainCitation":"(22)"},"citationItems":[{"id":134,"uris":["http://zotero.org/users/local/Y25qLmSx/items/2CQ8D7VS"],"uri":["http://zotero.org/users/local/Y25qLmSx/items/2CQ8D7VS"],"itemData":{"id":134,"type":"article-journal","title":"Trends in long-term opioid therapy for chronic non-cancer pain","container-title":"Pharmacoepidemiology and Drug Safety","page":"1166-1175","volume":"18","issue":"12","source":"PubMed","abstract":"OBJECTIVE: To report trends and characteristics of long-term opioid use for non-cancer pain.\nMETHODS: CONSORT (CONsortium to Study Opioid Risks and Trends) includes adult enrollees of two health plans serving over 1 per cent of the US population. Using automated data, we constructed episodes of opioid use between 1997 and 2005. We estimated age-sex standardized rates of opioid use episodes beginning in each year (incident) and on-going in each year (prevalent), and the per cent change in rates annualized (PCA) over the 9-year period. Long-term episodes were defined as &gt; 90 days with 120+ days supply or 10+ opioid prescriptions in a given year.\nRESULTS: Over the study period, incident long-term use increased from 8.5 to 12.1 per 1000 at Group Health (GH) (6.0% PCA), and 6.3 to 8.6 per 1000 at Kaiser Permanente of Northern California (KPNC) (5.5% PCA). Prevalent long-term use doubled from 23.9 to 46.8 per 1000 at GH (8.5% PCA), and 21.5 to 39.2 per 1000 at KPNC (8.1% PCA). Non-Schedule II opioids were the most commonly used opioid among patients engaged in long-term opioid therapy, particularly at KPNC. Long-term use of Schedule II opioids also increased substantially at both health plans. Among prevalent long-term users in 2005, 28.6% at GH and 30.2% at KPNC were also regular users of sedative hypnotics.\nCONCLUSION: Long-term opioid therapy for non-cancer pain is increasingly prevalent, but the benefits and risks associated with such therapy are inadequately understood. Concurrent use of opioids and sedative-hypnotics was unexpectedly common and deserves further study.","DOI":"10.1002/pds.1833","ISSN":"1099-1557","note":"PMID: 19718704\nPMCID: PMC3280087","journalAbbreviation":"Pharmacoepidemiol Drug Saf","language":"eng","author":[{"family":"Boudreau","given":"Denise"},{"family":"Von Korff","given":"Michael"},{"family":"Rutter","given":"Carolyn M."},{"family":"Saunders","given":"Kathleen"},{"family":"Ray","given":"G. Thomas"},{"family":"Sullivan","given":"Mark D."},{"family":"Campbell","given":"Cynthia I."},{"family":"Merrill","given":"Joseph O."},{"family":"Silverberg","given":"Michael J."},{"family":"Banta-Green","given":"Caleb"},{"family":"Weisner","given":"Constance"}],"issued":{"date-parts":[["2009",12]]}}}],"schema":"https://github.com/citation-style-language/schema/raw/master/csl-citation.json"} </w:instrText>
      </w:r>
      <w:r w:rsidR="00085053" w:rsidRPr="00C311AE">
        <w:rPr>
          <w:rFonts w:ascii="Book Antiqua" w:hAnsi="Book Antiqua" w:cs="Arial"/>
          <w:vertAlign w:val="superscript"/>
        </w:rPr>
        <w:fldChar w:fldCharType="separate"/>
      </w:r>
      <w:r w:rsidR="00006322" w:rsidRPr="00C311AE">
        <w:rPr>
          <w:rFonts w:ascii="Book Antiqua" w:hAnsi="Book Antiqua"/>
          <w:vertAlign w:val="superscript"/>
        </w:rPr>
        <w:t>[</w:t>
      </w:r>
      <w:r w:rsidR="00C71E9F" w:rsidRPr="00C311AE">
        <w:rPr>
          <w:rFonts w:ascii="Book Antiqua" w:hAnsi="Book Antiqua"/>
          <w:vertAlign w:val="superscript"/>
        </w:rPr>
        <w:t>30</w:t>
      </w:r>
      <w:r w:rsidR="00006322" w:rsidRPr="00C311AE">
        <w:rPr>
          <w:rFonts w:ascii="Book Antiqua" w:hAnsi="Book Antiqua"/>
          <w:vertAlign w:val="superscript"/>
        </w:rPr>
        <w:t>]</w:t>
      </w:r>
      <w:r w:rsidR="00085053" w:rsidRPr="00C311AE">
        <w:rPr>
          <w:rFonts w:ascii="Book Antiqua" w:hAnsi="Book Antiqua" w:cs="Arial"/>
          <w:vertAlign w:val="superscript"/>
        </w:rPr>
        <w:fldChar w:fldCharType="end"/>
      </w:r>
      <w:r w:rsidR="00E316B0" w:rsidRPr="00C311AE">
        <w:rPr>
          <w:rFonts w:ascii="Book Antiqua" w:hAnsi="Book Antiqua" w:cs="Arial"/>
        </w:rPr>
        <w:t xml:space="preserve">. </w:t>
      </w:r>
    </w:p>
    <w:p w14:paraId="3D5B2377" w14:textId="32F52294" w:rsidR="00F64C3E" w:rsidRPr="00C311AE" w:rsidRDefault="00AD4F04" w:rsidP="00020CC7">
      <w:pPr>
        <w:autoSpaceDE w:val="0"/>
        <w:autoSpaceDN w:val="0"/>
        <w:adjustRightInd w:val="0"/>
        <w:snapToGrid w:val="0"/>
        <w:spacing w:line="360" w:lineRule="auto"/>
        <w:ind w:firstLineChars="100" w:firstLine="240"/>
        <w:jc w:val="both"/>
        <w:rPr>
          <w:rFonts w:ascii="Book Antiqua" w:hAnsi="Book Antiqua" w:cs="Arial"/>
          <w:b/>
        </w:rPr>
      </w:pPr>
      <w:r w:rsidRPr="00C311AE">
        <w:rPr>
          <w:rFonts w:ascii="Book Antiqua" w:hAnsi="Book Antiqua" w:cs="Arial"/>
        </w:rPr>
        <w:t>Our study shows that Gp patients on chronic scheduled opioids have a higher severity of many upper gastrointestinal symptoms</w:t>
      </w:r>
      <w:r w:rsidR="00DD7C32" w:rsidRPr="00C311AE">
        <w:rPr>
          <w:rFonts w:ascii="Book Antiqua" w:hAnsi="Book Antiqua" w:cs="Arial"/>
        </w:rPr>
        <w:t xml:space="preserve"> especially in those symptoms often attributable to gastroparesis</w:t>
      </w:r>
      <w:r w:rsidR="003816FC" w:rsidRPr="00C311AE">
        <w:rPr>
          <w:rFonts w:ascii="Book Antiqua" w:hAnsi="Book Antiqua" w:cs="Arial"/>
        </w:rPr>
        <w:t xml:space="preserve">. </w:t>
      </w:r>
      <w:r w:rsidR="00355581" w:rsidRPr="00C311AE">
        <w:rPr>
          <w:rFonts w:ascii="Book Antiqua" w:hAnsi="Book Antiqua" w:cs="Arial"/>
        </w:rPr>
        <w:t xml:space="preserve">A higher frequency of upper gastrointestinal symptoms in patients taking opioids for chronic non-cancer pain </w:t>
      </w:r>
      <w:r w:rsidR="00B47253" w:rsidRPr="00C311AE">
        <w:rPr>
          <w:rFonts w:ascii="Book Antiqua" w:hAnsi="Book Antiqua" w:cs="Arial"/>
        </w:rPr>
        <w:t xml:space="preserve">(CNCP) </w:t>
      </w:r>
      <w:r w:rsidR="00355581" w:rsidRPr="00C311AE">
        <w:rPr>
          <w:rFonts w:ascii="Book Antiqua" w:hAnsi="Book Antiqua" w:cs="Arial"/>
        </w:rPr>
        <w:t>has previously been reported</w:t>
      </w:r>
      <w:r w:rsidR="00AC61B8" w:rsidRPr="00C311AE">
        <w:rPr>
          <w:rFonts w:ascii="Book Antiqua" w:hAnsi="Book Antiqua" w:cs="Arial"/>
          <w:vertAlign w:val="superscript"/>
        </w:rPr>
        <w:fldChar w:fldCharType="begin"/>
      </w:r>
      <w:r w:rsidR="00AC61B8" w:rsidRPr="00C311AE">
        <w:rPr>
          <w:rFonts w:ascii="Book Antiqua" w:hAnsi="Book Antiqua" w:cs="Arial"/>
          <w:vertAlign w:val="superscript"/>
        </w:rPr>
        <w:instrText xml:space="preserve"> ADDIN ZOTERO_ITEM CSL_CITATION {"citationID":"1ai6bhmg6e","properties":{"formattedCitation":"(2)","plainCitation":"(2)"},"citationItems":[{"id":47,"uris":["http://zotero.org/users/local/Y25qLmSx/items/NHZ7PCV7"],"uri":["http://zotero.org/users/local/Y25qLmSx/items/NHZ7PCV7"],"itemData":{"id":47,"type":"article-journal","title":"Opioid-induced bowel disorders and narcotic bowel syndrome in patients with chronic non-cancer pain","container-title":"Neurogastroenterology and Motility: The Official Journal of the European Gastrointestinal Motility Society","page":"424-430, e96","volume":"22","issue":"4","source":"PubMed","abstract":"BACKGROUND: Opioids are used increasingly in the management of moderate-to-severe chronic non-cancer pain (CNCP). Opioid-induced bowel disorders (OBD) markedly impact health-related quality of life (HRQoL) and frequently limit medically indicated opioid pharmacotherapy. We assessed the risk factors, and effect of OBD on HRQoL in CNCP patients. We also estimated the likely prevalence of narcotic bowel syndrome (NBS). These effects have been reported in cancer patients but not in CNCP previously.\nMETHODS: Ambulatory CNCP patients (n = 146) taking regularly scheduled opioids were invited to complete the Bowel-Disease-Questionnaire and a pain-sensitive HRQoL instrument. The Rome-II criteria were used to define bowel disorders. Narcotic bowel syndrome was defined as presence of daily severe to very-severe abdominal pain of more than 3 months duration requiring more than 100 mg of morphine equivalent per day.\nKEY RESULTS: Ninety-eight patients (69%) returned the survey. Respondents had taken opioids for 10 days to 10 years (median 365 days) at a median daily dose of 127.5 mg morphine-equivalent (range 7.5-600 mg). Constipation prevalence was 46.9% (95% CI 36.8-57.3), nausea 27% (95% CI 17.2-35.3), vomiting 9% (95% CI 17.2-35.3), and gastro-esophageal reflux disease 33% (95% CI 23.5-42.9). Chronic abdominal pain was reported by 58.2% (95% CI 53.2-73.9) and 6.4%, (95% CI 2.4-13.5) fulfilled the criteria of NBS. Prevalence of constipation increased with duration of treatment. Health-related quality of life was low in patients with chronic abdominal pain.\nCONCLUSION &amp; INFERENCES: Bowel disorders including chronic abdominal pain and NBS are common in patients taking opioids for CNCP. Decreased HRQoL in patients with CNCP is driven by chronic abdominal pain.","DOI":"10.1111/j.1365-2982.2009.01458.x","ISSN":"1365-2982","note":"PMID: 20100280","journalAbbreviation":"Neurogastroenterol. Motil.","language":"eng","author":[{"family":"Tuteja","given":"A. K."},{"family":"Biskupiak","given":"J."},{"family":"Stoddard","given":"G. J."},{"family":"Lipman","given":"A. G."}],"issued":{"date-parts":[["2010",4]]}}}],"schema":"https://github.com/citation-style-language/schema/raw/master/csl-citation.json"} </w:instrText>
      </w:r>
      <w:r w:rsidR="00AC61B8" w:rsidRPr="00C311AE">
        <w:rPr>
          <w:rFonts w:ascii="Book Antiqua" w:hAnsi="Book Antiqua" w:cs="Arial"/>
          <w:vertAlign w:val="superscript"/>
        </w:rPr>
        <w:fldChar w:fldCharType="separate"/>
      </w:r>
      <w:r w:rsidR="00006322" w:rsidRPr="00C311AE">
        <w:rPr>
          <w:rFonts w:ascii="Book Antiqua" w:hAnsi="Book Antiqua"/>
          <w:vertAlign w:val="superscript"/>
        </w:rPr>
        <w:t>[</w:t>
      </w:r>
      <w:r w:rsidR="00B160C4" w:rsidRPr="00C311AE">
        <w:rPr>
          <w:rFonts w:ascii="Book Antiqua" w:hAnsi="Book Antiqua"/>
          <w:vertAlign w:val="superscript"/>
        </w:rPr>
        <w:t>2</w:t>
      </w:r>
      <w:r w:rsidR="00006322" w:rsidRPr="00C311AE">
        <w:rPr>
          <w:rFonts w:ascii="Book Antiqua" w:hAnsi="Book Antiqua"/>
          <w:vertAlign w:val="superscript"/>
        </w:rPr>
        <w:t>]</w:t>
      </w:r>
      <w:r w:rsidR="00AC61B8" w:rsidRPr="00C311AE">
        <w:rPr>
          <w:rFonts w:ascii="Book Antiqua" w:hAnsi="Book Antiqua" w:cs="Arial"/>
          <w:vertAlign w:val="superscript"/>
        </w:rPr>
        <w:fldChar w:fldCharType="end"/>
      </w:r>
      <w:r w:rsidRPr="00C311AE">
        <w:rPr>
          <w:rFonts w:ascii="Book Antiqua" w:hAnsi="Book Antiqua" w:cs="Arial"/>
        </w:rPr>
        <w:t>.</w:t>
      </w:r>
      <w:r w:rsidR="00355581" w:rsidRPr="00C311AE">
        <w:rPr>
          <w:rFonts w:ascii="Book Antiqua" w:hAnsi="Book Antiqua" w:cs="Arial"/>
        </w:rPr>
        <w:t xml:space="preserve"> </w:t>
      </w:r>
      <w:r w:rsidR="00B47253" w:rsidRPr="00C311AE">
        <w:rPr>
          <w:rFonts w:ascii="Book Antiqua" w:hAnsi="Book Antiqua" w:cs="Arial"/>
        </w:rPr>
        <w:t>F</w:t>
      </w:r>
      <w:r w:rsidR="00E316B0" w:rsidRPr="00C311AE">
        <w:rPr>
          <w:rFonts w:ascii="Book Antiqua" w:hAnsi="Book Antiqua" w:cs="Arial"/>
        </w:rPr>
        <w:t>emales</w:t>
      </w:r>
      <w:r w:rsidR="00E65886" w:rsidRPr="00C311AE">
        <w:rPr>
          <w:rFonts w:ascii="Book Antiqua" w:hAnsi="Book Antiqua" w:cs="Arial"/>
        </w:rPr>
        <w:t xml:space="preserve"> </w:t>
      </w:r>
      <w:r w:rsidR="00C909ED" w:rsidRPr="00C311AE">
        <w:rPr>
          <w:rFonts w:ascii="Book Antiqua" w:hAnsi="Book Antiqua" w:cs="Arial"/>
        </w:rPr>
        <w:t xml:space="preserve">have </w:t>
      </w:r>
      <w:r w:rsidR="00E65886" w:rsidRPr="00C311AE">
        <w:rPr>
          <w:rFonts w:ascii="Book Antiqua" w:hAnsi="Book Antiqua" w:cs="Arial"/>
        </w:rPr>
        <w:t xml:space="preserve">been shown to have </w:t>
      </w:r>
      <w:r w:rsidR="00C909ED" w:rsidRPr="00C311AE">
        <w:rPr>
          <w:rFonts w:ascii="Book Antiqua" w:hAnsi="Book Antiqua" w:cs="Arial"/>
        </w:rPr>
        <w:t>a 60% greater</w:t>
      </w:r>
      <w:r w:rsidR="00BF0F46" w:rsidRPr="00C311AE">
        <w:rPr>
          <w:rFonts w:ascii="Book Antiqua" w:hAnsi="Book Antiqua" w:cs="Arial"/>
        </w:rPr>
        <w:t xml:space="preserve"> chance of experiencing nausea and vomiting after receiving opioid therapy</w:t>
      </w:r>
      <w:r w:rsidR="00E316B0" w:rsidRPr="00C311AE">
        <w:rPr>
          <w:rFonts w:ascii="Book Antiqua" w:hAnsi="Book Antiqua" w:cs="Arial"/>
        </w:rPr>
        <w:t>,</w:t>
      </w:r>
      <w:r w:rsidR="00E65886" w:rsidRPr="00C311AE">
        <w:rPr>
          <w:rFonts w:ascii="Book Antiqua" w:hAnsi="Book Antiqua" w:cs="Arial"/>
        </w:rPr>
        <w:t xml:space="preserve"> which</w:t>
      </w:r>
      <w:r w:rsidR="00BF0F46" w:rsidRPr="00C311AE">
        <w:rPr>
          <w:rFonts w:ascii="Book Antiqua" w:hAnsi="Book Antiqua" w:cs="Arial"/>
        </w:rPr>
        <w:t xml:space="preserve"> </w:t>
      </w:r>
      <w:r w:rsidR="00E85ACE" w:rsidRPr="00C311AE">
        <w:rPr>
          <w:rFonts w:ascii="Book Antiqua" w:hAnsi="Book Antiqua" w:cs="Arial"/>
        </w:rPr>
        <w:t>is noteworthy as majorit</w:t>
      </w:r>
      <w:r w:rsidR="0038763F" w:rsidRPr="00C311AE">
        <w:rPr>
          <w:rFonts w:ascii="Book Antiqua" w:hAnsi="Book Antiqua" w:cs="Arial"/>
        </w:rPr>
        <w:t>y of patients who suffer from Gp</w:t>
      </w:r>
      <w:r w:rsidR="00E85ACE" w:rsidRPr="00C311AE">
        <w:rPr>
          <w:rFonts w:ascii="Book Antiqua" w:hAnsi="Book Antiqua" w:cs="Arial"/>
        </w:rPr>
        <w:t xml:space="preserve"> are females</w:t>
      </w:r>
      <w:r w:rsidR="00AC61B8"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bv8mv5sjo","properties":{"formattedCitation":"(12)","plainCitation":"(12)"},"citationItems":[{"id":69,"uris":["http://zotero.org/users/local/Y25qLmSx/items/EKJPKCTI"],"uri":["http://zotero.org/users/local/Y25qLmSx/items/EKJPKCTI"],"itemData":{"id":69,"type":"article-journal","title":"Economic and clinical burden of opioid-induced nausea and vomiting","container-title":"Postgraduate Medicine","page":"111-117","volume":"129","issue":"1","source":"PubMed","abstract":"Opioids are the standard of care for treating moderate-to-severe pain; however, their efficacy can be limited by adverse events (AEs), including nausea and vomiting. Opioid-induced nausea and vomiting (OINV) is an inherent adverse effect of opioid treatment, exerting effects centrally and peripherally. Opioid-related AEs can impact treatment adherence and discontinuation, which can result in inadequate pain management. OINV may persist long-term, negatively affecting patient functional outcomes, physical and mental health, patient satisfaction, and overall costs of treatment. Multiple factors may contribute to OINV, including activation of opioid receptors in the chemoreceptor trigger zone, vestibular apparatus, and gastrointestinal tract. Prophylactic or early treatment with antiemetics may be appropriate for patients who are at high risk for OINV.","DOI":"10.1080/00325481.2017.1243004","ISSN":"1941-9260","note":"PMID: 27690715","journalAbbreviation":"Postgrad Med","language":"eng","author":[{"family":"Nicholson","given":"Bruce D."}],"issued":{"date-parts":[["2017",1]]}}}],"schema":"https://github.com/citation-style-language/schema/raw/master/csl-citation.json"} </w:instrText>
      </w:r>
      <w:r w:rsidR="00AC61B8" w:rsidRPr="00C311AE">
        <w:rPr>
          <w:rFonts w:ascii="Book Antiqua" w:hAnsi="Book Antiqua" w:cs="Arial"/>
          <w:vertAlign w:val="superscript"/>
        </w:rPr>
        <w:fldChar w:fldCharType="separate"/>
      </w:r>
      <w:r w:rsidR="00006322" w:rsidRPr="00C311AE">
        <w:rPr>
          <w:rFonts w:ascii="Book Antiqua" w:hAnsi="Book Antiqua"/>
          <w:vertAlign w:val="superscript"/>
        </w:rPr>
        <w:t>[</w:t>
      </w:r>
      <w:r w:rsidR="00B160C4" w:rsidRPr="00C311AE">
        <w:rPr>
          <w:rFonts w:ascii="Book Antiqua" w:hAnsi="Book Antiqua"/>
          <w:vertAlign w:val="superscript"/>
        </w:rPr>
        <w:t>12</w:t>
      </w:r>
      <w:r w:rsidR="00006322" w:rsidRPr="00C311AE">
        <w:rPr>
          <w:rFonts w:ascii="Book Antiqua" w:hAnsi="Book Antiqua"/>
          <w:vertAlign w:val="superscript"/>
        </w:rPr>
        <w:t>]</w:t>
      </w:r>
      <w:r w:rsidR="00AC61B8" w:rsidRPr="00C311AE">
        <w:rPr>
          <w:rFonts w:ascii="Book Antiqua" w:hAnsi="Book Antiqua" w:cs="Arial"/>
          <w:vertAlign w:val="superscript"/>
        </w:rPr>
        <w:fldChar w:fldCharType="end"/>
      </w:r>
      <w:r w:rsidR="00BF0F46" w:rsidRPr="00C311AE">
        <w:rPr>
          <w:rFonts w:ascii="Book Antiqua" w:hAnsi="Book Antiqua" w:cs="Arial"/>
        </w:rPr>
        <w:t xml:space="preserve">. </w:t>
      </w:r>
      <w:r w:rsidRPr="00C311AE">
        <w:rPr>
          <w:rFonts w:ascii="Book Antiqua" w:hAnsi="Book Antiqua" w:cs="Arial"/>
        </w:rPr>
        <w:t>The female preponderance in our study is consistent with the previous literature that shows a higher prevalence of Gp and other functional gastrointestinal disorders in females</w:t>
      </w:r>
      <w:r w:rsidR="00351E42"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a8bil6eu9f","properties":{"formattedCitation":"(23)","plainCitation":"(23)"},"citationItems":[{"id":113,"uris":["http://zotero.org/users/local/Y25qLmSx/items/E9K5IE6C"],"uri":["http://zotero.org/users/local/Y25qLmSx/items/E9K5IE6C"],"itemData":{"id":113,"type":"article-journal","title":"Mo1100 Increasing Burden of Functional Gastrointestinal Disorders: An Analysis of Hospitalizations and Emergency Room Visits","container-title":"Gastroenterology","page":"S634","volume":"150","issue":"4","source":"ScienceDirect","DOI":"10.1016/S0016-5085(16)32177-1","ISSN":"0016-5085","shortTitle":"Mo1100 Increasing Burden of Functional Gastrointestinal Disorders","journalAbbreviation":"Gastroenterology","author":[{"family":"Bashir","given":"Muhammad H."},{"family":"Bielefeldt","given":"Klaus"},{"family":"Nusrat","given":"Salman"}],"issued":{"date-parts":[["2016",4,1]]}}}],"schema":"https://github.com/citation-style-language/schema/raw/master/csl-citation.json"} </w:instrText>
      </w:r>
      <w:r w:rsidR="00351E42" w:rsidRPr="00C311AE">
        <w:rPr>
          <w:rFonts w:ascii="Book Antiqua" w:hAnsi="Book Antiqua" w:cs="Arial"/>
          <w:vertAlign w:val="superscript"/>
        </w:rPr>
        <w:fldChar w:fldCharType="separate"/>
      </w:r>
      <w:r w:rsidR="00006322" w:rsidRPr="00C311AE">
        <w:rPr>
          <w:rFonts w:ascii="Book Antiqua" w:hAnsi="Book Antiqua"/>
          <w:vertAlign w:val="superscript"/>
        </w:rPr>
        <w:t>[</w:t>
      </w:r>
      <w:r w:rsidR="00C71E9F" w:rsidRPr="00C311AE">
        <w:rPr>
          <w:rFonts w:ascii="Book Antiqua" w:hAnsi="Book Antiqua"/>
          <w:vertAlign w:val="superscript"/>
        </w:rPr>
        <w:t>31</w:t>
      </w:r>
      <w:r w:rsidR="00006322" w:rsidRPr="00C311AE">
        <w:rPr>
          <w:rFonts w:ascii="Book Antiqua" w:hAnsi="Book Antiqua"/>
          <w:vertAlign w:val="superscript"/>
        </w:rPr>
        <w:t>]</w:t>
      </w:r>
      <w:r w:rsidR="00351E42" w:rsidRPr="00C311AE">
        <w:rPr>
          <w:rFonts w:ascii="Book Antiqua" w:hAnsi="Book Antiqua" w:cs="Arial"/>
          <w:vertAlign w:val="superscript"/>
        </w:rPr>
        <w:fldChar w:fldCharType="end"/>
      </w:r>
      <w:r w:rsidRPr="00C311AE">
        <w:rPr>
          <w:rFonts w:ascii="Book Antiqua" w:hAnsi="Book Antiqua" w:cs="Arial"/>
        </w:rPr>
        <w:t>.</w:t>
      </w:r>
      <w:r w:rsidR="000F6C17" w:rsidRPr="00C311AE">
        <w:rPr>
          <w:rFonts w:ascii="Book Antiqua" w:hAnsi="Book Antiqua" w:cs="Arial"/>
        </w:rPr>
        <w:t xml:space="preserve"> </w:t>
      </w:r>
      <w:r w:rsidRPr="00C311AE">
        <w:rPr>
          <w:rFonts w:ascii="Book Antiqua" w:hAnsi="Book Antiqua" w:cs="Arial"/>
        </w:rPr>
        <w:t>The most common types of G</w:t>
      </w:r>
      <w:r w:rsidR="000B70CF" w:rsidRPr="00C311AE">
        <w:rPr>
          <w:rFonts w:ascii="Book Antiqua" w:hAnsi="Book Antiqua" w:cs="Arial"/>
        </w:rPr>
        <w:t>p</w:t>
      </w:r>
      <w:r w:rsidRPr="00C311AE">
        <w:rPr>
          <w:rFonts w:ascii="Book Antiqua" w:hAnsi="Book Antiqua" w:cs="Arial"/>
        </w:rPr>
        <w:t xml:space="preserve"> in our population (idiopathic and diabetic) were also similar to previous studies on Gp</w:t>
      </w:r>
      <w:r w:rsidR="00AC61B8"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tjTTrOwL","properties":{"formattedCitation":"(10,23)","plainCitation":"(10,23)"},"citationItems":[{"id":65,"uris":["http://zotero.org/users/local/Y25qLmSx/items/TIVI7MS6"],"uri":["http://zotero.org/users/local/Y25qLmSx/items/TIVI7MS6"],"itemData":{"id":65,"type":"article-journal","title":"Different faces of gastroparesis","container-title":"World Journal of Gastroenterology","page":"6052-6060","volume":"15","issue":"48","source":"PubMed","abstract":"AIM: To test the hypothesis that pain and affect rather than impaired emptying determine symptom severity in patients with gastroparesis.\nMETHODS: Adult patients with documented gastroparesis were enrolled prospectively in a single center and asked to complete the Gastroparesis Cardinal Symptom Index (GCSI), Hospital Anxiety and Depression Scale (HADS), the Short Form 12 (SF-12) as quality of life index, rate pain severity and answer 10 open-ended questions.\nRESULTS: A total of 55 patients (44 women) participated. Idiopathic (n = 29) or diabetic (n = 11) gastroparesis and connective tissue disease (n = 8) were the most common underlying causes. Antiemetics (n = 30) and prokinetics (n = 32) were most often prescribed. Seventeen patients used opioids on a daily basis. Nausea and/or vomiting (n = 28), pain (n = 24) and bloating (n = 14) were most commonly listed as dominant symptoms. Patients subjectively attributed symptom improvement to nutritional and dietary therapy (n = 11), prokinetics (n = 11), antiemetics (n = 10) or analgesic agents (n = 3). In univariate analyses, the physical subscore of the SF-12 and HADS, but not gastric emptying delay or symptom duration significantly correlated with disease severity as measured by the GCSI. In multivariate analyses, the combination of vomiting, bloating and depression best predicted the overall impact on quality of life.\nCONCLUSION: The study confirms the importance of pain and affect in gastroparesis, which requires novel approaches to improve more effectively the quality of life in patients with this disorder.","ISSN":"2219-2840","note":"PMID: 20027677\nPMCID: PMC2797661","journalAbbreviation":"World J. Gastroenterol.","language":"eng","author":[{"family":"Bielefeldt","given":"Klaus"},{"family":"Raza","given":"Naeem"},{"family":"Zickmund","given":"Susan L."}],"issued":{"date-parts":[["2009",12,28]]}}},{"id":113,"uris":["http://zotero.org/users/local/Y25qLmSx/items/E9K5IE6C"],"uri":["http://zotero.org/users/local/Y25qLmSx/items/E9K5IE6C"],"itemData":{"id":113,"type":"article-journal","title":"Mo1100 Increasing Burden of Functional Gastrointestinal Disorders: An Analysis of Hospitalizations and Emergency Room Visits","container-title":"Gastroenterology","page":"S634","volume":"150","issue":"4","source":"ScienceDirect","DOI":"10.1016/S0016-5085(16)32177-1","ISSN":"0016-5085","shortTitle":"Mo1100 Increasing Burden of Functional Gastrointestinal Disorders","journalAbbreviation":"Gastroenterology","author":[{"family":"Bashir","given":"Muhammad H."},{"family":"Bielefeldt","given":"Klaus"},{"family":"Nusrat","given":"Salman"}],"issued":{"date-parts":[["2016",4,1]]}}}],"schema":"https://github.com/citation-style-language/schema/raw/master/csl-citation.json"} </w:instrText>
      </w:r>
      <w:r w:rsidR="00AC61B8" w:rsidRPr="00C311AE">
        <w:rPr>
          <w:rFonts w:ascii="Book Antiqua" w:hAnsi="Book Antiqua" w:cs="Arial"/>
          <w:vertAlign w:val="superscript"/>
        </w:rPr>
        <w:fldChar w:fldCharType="separate"/>
      </w:r>
      <w:r w:rsidR="00006322" w:rsidRPr="00C311AE">
        <w:rPr>
          <w:rFonts w:ascii="Book Antiqua" w:hAnsi="Book Antiqua"/>
          <w:vertAlign w:val="superscript"/>
        </w:rPr>
        <w:t>[</w:t>
      </w:r>
      <w:r w:rsidR="00C71E9F" w:rsidRPr="00C311AE">
        <w:rPr>
          <w:rFonts w:ascii="Book Antiqua" w:hAnsi="Book Antiqua"/>
          <w:vertAlign w:val="superscript"/>
        </w:rPr>
        <w:t>10,31</w:t>
      </w:r>
      <w:r w:rsidR="00006322" w:rsidRPr="00C311AE">
        <w:rPr>
          <w:rFonts w:ascii="Book Antiqua" w:hAnsi="Book Antiqua"/>
          <w:vertAlign w:val="superscript"/>
        </w:rPr>
        <w:t>]</w:t>
      </w:r>
      <w:r w:rsidR="00AC61B8" w:rsidRPr="00C311AE">
        <w:rPr>
          <w:rFonts w:ascii="Book Antiqua" w:hAnsi="Book Antiqua" w:cs="Arial"/>
          <w:vertAlign w:val="superscript"/>
        </w:rPr>
        <w:fldChar w:fldCharType="end"/>
      </w:r>
      <w:r w:rsidR="000F6C17" w:rsidRPr="00C311AE">
        <w:rPr>
          <w:rFonts w:ascii="Book Antiqua" w:hAnsi="Book Antiqua" w:cs="Arial"/>
        </w:rPr>
        <w:t>.</w:t>
      </w:r>
      <w:r w:rsidR="000F6C17" w:rsidRPr="00C311AE">
        <w:rPr>
          <w:rFonts w:ascii="Book Antiqua" w:hAnsi="Book Antiqua" w:cs="Arial"/>
          <w:b/>
        </w:rPr>
        <w:t xml:space="preserve"> </w:t>
      </w:r>
    </w:p>
    <w:p w14:paraId="1579C48A" w14:textId="50592CDD" w:rsidR="00AD4F04" w:rsidRPr="00C311AE" w:rsidRDefault="00981776" w:rsidP="00020CC7">
      <w:pPr>
        <w:autoSpaceDE w:val="0"/>
        <w:autoSpaceDN w:val="0"/>
        <w:adjustRightInd w:val="0"/>
        <w:snapToGrid w:val="0"/>
        <w:spacing w:line="360" w:lineRule="auto"/>
        <w:ind w:firstLineChars="100" w:firstLine="240"/>
        <w:jc w:val="both"/>
        <w:rPr>
          <w:rFonts w:ascii="Book Antiqua" w:hAnsi="Book Antiqua" w:cs="Arial"/>
          <w:b/>
        </w:rPr>
      </w:pPr>
      <w:r w:rsidRPr="00C311AE">
        <w:rPr>
          <w:rFonts w:ascii="Book Antiqua" w:hAnsi="Book Antiqua" w:cs="Arial"/>
        </w:rPr>
        <w:t>In our study, t</w:t>
      </w:r>
      <w:r w:rsidR="00CD2610" w:rsidRPr="00C311AE">
        <w:rPr>
          <w:rFonts w:ascii="Book Antiqua" w:hAnsi="Book Antiqua" w:cs="Arial"/>
        </w:rPr>
        <w:t xml:space="preserve">he higher prevalence of opioid use in </w:t>
      </w:r>
      <w:r w:rsidRPr="00C311AE">
        <w:rPr>
          <w:rFonts w:ascii="Book Antiqua" w:hAnsi="Book Antiqua" w:cs="Arial"/>
        </w:rPr>
        <w:t xml:space="preserve">patients with </w:t>
      </w:r>
      <w:r w:rsidR="00CD2610" w:rsidRPr="00C311AE">
        <w:rPr>
          <w:rFonts w:ascii="Book Antiqua" w:hAnsi="Book Antiqua" w:cs="Arial"/>
        </w:rPr>
        <w:t>diabetic</w:t>
      </w:r>
      <w:r w:rsidR="000B0C18" w:rsidRPr="00C311AE">
        <w:rPr>
          <w:rFonts w:ascii="Book Antiqua" w:hAnsi="Book Antiqua" w:cs="Arial"/>
        </w:rPr>
        <w:t xml:space="preserve"> gastroparesis compared to patients with</w:t>
      </w:r>
      <w:r w:rsidRPr="00C311AE">
        <w:rPr>
          <w:rFonts w:ascii="Book Antiqua" w:hAnsi="Book Antiqua" w:cs="Arial"/>
        </w:rPr>
        <w:t xml:space="preserve"> idiopathic</w:t>
      </w:r>
      <w:r w:rsidR="00CD2610" w:rsidRPr="00C311AE">
        <w:rPr>
          <w:rFonts w:ascii="Book Antiqua" w:hAnsi="Book Antiqua" w:cs="Arial"/>
        </w:rPr>
        <w:t xml:space="preserve"> gastroparesis</w:t>
      </w:r>
      <w:r w:rsidRPr="00C311AE">
        <w:rPr>
          <w:rFonts w:ascii="Book Antiqua" w:hAnsi="Book Antiqua" w:cs="Arial"/>
        </w:rPr>
        <w:t xml:space="preserve"> </w:t>
      </w:r>
      <w:r w:rsidR="00CD2610" w:rsidRPr="00C311AE">
        <w:rPr>
          <w:rFonts w:ascii="Book Antiqua" w:hAnsi="Book Antiqua" w:cs="Arial"/>
        </w:rPr>
        <w:t>is possibly related to other co-morbidities, as both diabetic and idiopathic gastroparesis patients were equally likely to have abdominal pain as one of their symptoms of Gp, and there was no statistically significant difference in the severity of their abdominal pain</w:t>
      </w:r>
      <w:r w:rsidR="000B0C18" w:rsidRPr="00C311AE">
        <w:rPr>
          <w:rFonts w:ascii="Book Antiqua" w:hAnsi="Book Antiqua" w:cs="Arial"/>
        </w:rPr>
        <w:t xml:space="preserve"> or discomfort</w:t>
      </w:r>
      <w:r w:rsidR="00CD2610" w:rsidRPr="00C311AE">
        <w:rPr>
          <w:rFonts w:ascii="Book Antiqua" w:hAnsi="Book Antiqua" w:cs="Arial"/>
        </w:rPr>
        <w:t xml:space="preserve"> on PAGI-SYM questionnaire (results not shown).</w:t>
      </w:r>
      <w:r w:rsidR="00F64C3E" w:rsidRPr="00C311AE">
        <w:rPr>
          <w:rFonts w:ascii="Book Antiqua" w:hAnsi="Book Antiqua" w:cs="Arial"/>
        </w:rPr>
        <w:t xml:space="preserve"> </w:t>
      </w:r>
      <w:r w:rsidR="00BF44A9" w:rsidRPr="00C311AE">
        <w:rPr>
          <w:rFonts w:ascii="Book Antiqua" w:hAnsi="Book Antiqua" w:cs="Arial"/>
        </w:rPr>
        <w:t>GpCO with diabetes more frequently reported using opioids for leg pain and/or neuropathy (33.3%)</w:t>
      </w:r>
      <w:r w:rsidR="007875F6" w:rsidRPr="00C311AE">
        <w:rPr>
          <w:rFonts w:ascii="Book Antiqua" w:eastAsiaTheme="minorEastAsia" w:hAnsi="Book Antiqua" w:cs="Arial" w:hint="eastAsia"/>
          <w:i/>
          <w:lang w:eastAsia="zh-CN"/>
        </w:rPr>
        <w:t xml:space="preserve"> </w:t>
      </w:r>
      <w:r w:rsidR="007875F6" w:rsidRPr="00C311AE">
        <w:rPr>
          <w:rFonts w:ascii="Book Antiqua" w:hAnsi="Book Antiqua" w:cs="Arial"/>
          <w:i/>
        </w:rPr>
        <w:t>vs</w:t>
      </w:r>
      <w:r w:rsidR="007875F6" w:rsidRPr="00C311AE">
        <w:rPr>
          <w:rFonts w:ascii="Book Antiqua" w:hAnsi="Book Antiqua" w:cs="Arial"/>
        </w:rPr>
        <w:t xml:space="preserve"> </w:t>
      </w:r>
      <w:r w:rsidR="00BF44A9" w:rsidRPr="00C311AE">
        <w:rPr>
          <w:rFonts w:ascii="Book Antiqua" w:hAnsi="Book Antiqua" w:cs="Arial"/>
        </w:rPr>
        <w:t>GpCO with idiopathic gastroparesis (21.7%), though the difference was not significant</w:t>
      </w:r>
      <w:r w:rsidR="00FC305D" w:rsidRPr="00C311AE">
        <w:rPr>
          <w:rFonts w:ascii="Book Antiqua" w:hAnsi="Book Antiqua" w:cs="Arial"/>
        </w:rPr>
        <w:t xml:space="preserve"> (</w:t>
      </w:r>
      <w:r w:rsidR="00FC305D" w:rsidRPr="00C311AE">
        <w:rPr>
          <w:rFonts w:ascii="Book Antiqua" w:hAnsi="Book Antiqua" w:cs="Arial"/>
          <w:i/>
          <w:caps/>
        </w:rPr>
        <w:t>p</w:t>
      </w:r>
      <w:r w:rsidR="007875F6" w:rsidRPr="00C311AE">
        <w:rPr>
          <w:rFonts w:ascii="Book Antiqua" w:eastAsiaTheme="minorEastAsia" w:hAnsi="Book Antiqua" w:cs="Arial" w:hint="eastAsia"/>
          <w:lang w:eastAsia="zh-CN"/>
        </w:rPr>
        <w:t xml:space="preserve"> </w:t>
      </w:r>
      <w:r w:rsidR="00FC305D" w:rsidRPr="00C311AE">
        <w:rPr>
          <w:rFonts w:ascii="Book Antiqua" w:hAnsi="Book Antiqua" w:cs="Arial"/>
        </w:rPr>
        <w:t>&gt;</w:t>
      </w:r>
      <w:r w:rsidR="007875F6" w:rsidRPr="00C311AE">
        <w:rPr>
          <w:rFonts w:ascii="Book Antiqua" w:eastAsiaTheme="minorEastAsia" w:hAnsi="Book Antiqua" w:cs="Arial" w:hint="eastAsia"/>
          <w:lang w:eastAsia="zh-CN"/>
        </w:rPr>
        <w:t xml:space="preserve"> </w:t>
      </w:r>
      <w:r w:rsidR="00FC305D" w:rsidRPr="00C311AE">
        <w:rPr>
          <w:rFonts w:ascii="Book Antiqua" w:hAnsi="Book Antiqua" w:cs="Arial"/>
        </w:rPr>
        <w:t>0.05)</w:t>
      </w:r>
      <w:r w:rsidR="00BF44A9" w:rsidRPr="00C311AE">
        <w:rPr>
          <w:rFonts w:ascii="Book Antiqua" w:hAnsi="Book Antiqua" w:cs="Arial"/>
        </w:rPr>
        <w:t>.</w:t>
      </w:r>
    </w:p>
    <w:p w14:paraId="7B75AFAE" w14:textId="0C0BCD33" w:rsidR="002C497B" w:rsidRPr="00C311AE" w:rsidRDefault="002C497B" w:rsidP="00020CC7">
      <w:pPr>
        <w:snapToGrid w:val="0"/>
        <w:spacing w:line="360" w:lineRule="auto"/>
        <w:ind w:firstLineChars="100" w:firstLine="240"/>
        <w:jc w:val="both"/>
        <w:rPr>
          <w:rFonts w:ascii="Book Antiqua" w:hAnsi="Book Antiqua" w:cs="Arial"/>
        </w:rPr>
      </w:pPr>
      <w:r w:rsidRPr="00C311AE">
        <w:rPr>
          <w:rFonts w:ascii="Book Antiqua" w:hAnsi="Book Antiqua" w:cs="Arial"/>
        </w:rPr>
        <w:t>The prevalence of abdomi</w:t>
      </w:r>
      <w:r w:rsidR="00173D48" w:rsidRPr="00C311AE">
        <w:rPr>
          <w:rFonts w:ascii="Book Antiqua" w:hAnsi="Book Antiqua" w:cs="Arial"/>
        </w:rPr>
        <w:t>nal pain in our study groups (&gt;</w:t>
      </w:r>
      <w:r w:rsidR="007875F6" w:rsidRPr="00C311AE">
        <w:rPr>
          <w:rFonts w:ascii="Book Antiqua" w:eastAsiaTheme="minorEastAsia" w:hAnsi="Book Antiqua" w:cs="Arial" w:hint="eastAsia"/>
          <w:lang w:eastAsia="zh-CN"/>
        </w:rPr>
        <w:t xml:space="preserve"> </w:t>
      </w:r>
      <w:r w:rsidR="00173D48" w:rsidRPr="00C311AE">
        <w:rPr>
          <w:rFonts w:ascii="Book Antiqua" w:hAnsi="Book Antiqua" w:cs="Arial"/>
        </w:rPr>
        <w:t>80%</w:t>
      </w:r>
      <w:r w:rsidRPr="00C311AE">
        <w:rPr>
          <w:rFonts w:ascii="Book Antiqua" w:hAnsi="Book Antiqua" w:cs="Arial"/>
        </w:rPr>
        <w:t>) is towards the higher end of the reported prevalence of abdominal pain in Gp (42</w:t>
      </w:r>
      <w:r w:rsidR="007875F6" w:rsidRPr="00C311AE">
        <w:rPr>
          <w:rFonts w:ascii="Book Antiqua" w:hAnsi="Book Antiqua" w:cs="Arial"/>
        </w:rPr>
        <w:t>%</w:t>
      </w:r>
      <w:r w:rsidRPr="00C311AE">
        <w:rPr>
          <w:rFonts w:ascii="Book Antiqua" w:hAnsi="Book Antiqua" w:cs="Arial"/>
        </w:rPr>
        <w:t>-89%)</w:t>
      </w:r>
      <w:r w:rsidR="00173D48"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36tkqdmsu","properties":{"formattedCitation":"(15)","plainCitation":"(15)"},"citationItems":[{"id":18,"uris":["http://zotero.org/users/local/Y25qLmSx/items/VGBBUI7Q"],"uri":["http://zotero.org/users/local/Y25qLmSx/items/VGBBUI7Q"],"itemData":{"id":18,"type":"article-journal","title":"Factors related to abdominal pain in gastroparesis: contrast to patients with predominant nausea and vomiting","container-title":"Neurogastroenterology and Motility: The Official Journal of the European Gastrointestinal Motility Society","page":"427-438, e300-301","volume":"25","issue":"5","source":"PubMed","abstract":"BACKGROUND: Factors associated with abdominal pain in gastroparesis are incompletely evaluated and comparisons of pain vs other symptoms are limited. This study related pain to clinical factors in gastroparesis and contrasted pain/discomfort- with nausea/vomiting-predominant disease.\nMETHODS: Clinical and scintigraphy data were compared in 393 patients from seven centers of the NIDDK Gastroparesis Clinical Research Consortium with moderate-severe (Patient Assessment of Upper Gastrointestinal Disorders Symptoms [PAGI-SYM] score ≥ 3) vs none-mild (PAGI-SYM &lt; 3) upper abdominal pain and predominant pain/discomfort vs nausea/vomiting.\nKEY RESULTS: Upper abdominal pain was moderate-severe in 261 (66%). Pain/discomfort was predominant in 81 (21%); nausea/vomiting was predominant in 172 (44%). Moderate-severe pain was more prevalent with idiopathic gastroparesis and with lack of infectious prodrome (P ≤ 0.05) and correlated with scores for nausea/vomiting, bloating, lower abdominal pain/discomfort, bowel disturbances, and opiate and antiemetic use (P &lt; 0.05), but not gastric emptying or diabetic neuropathy or control. Gastroparesis severity, quality of life, and depression and anxiety were worse with moderate-severe pain (P ≤ 0.008). Factors associated with moderate-severe pain were similar in diabetic and idiopathic gastroparesis. Compared to predominant nausea/vomiting, predominant pain/discomfort was associated with impaired quality of life, greater opiate, and less antiemetic use (P &lt; 0.01), but similar severity and gastric retention.\nCONCLUSIONS &amp; INFERENCES: Moderate-severe abdominal pain is prevalent in gastroparesis, impairs quality of life, and is associated with idiopathic etiology, lack of infectious prodrome, and opiate use. Pain is predominant in one fifth of gastroparetics. Predominant pain has at least as great an impact on disease severity and quality of life as predominant nausea/vomiting.","DOI":"10.1111/nmo.12091","ISSN":"1365-2982","note":"PMID: 23414452\nPMCID: PMC3907086","shortTitle":"Factors related to abdominal pain in gastroparesis","journalAbbreviation":"Neurogastroenterol. Motil.","language":"eng","author":[{"family":"Hasler","given":"W. L."},{"family":"Wilson","given":"L. A."},{"family":"Parkman","given":"H. P."},{"family":"Koch","given":"K. L."},{"family":"Abell","given":"T. L."},{"family":"Nguyen","given":"L."},{"family":"Pasricha","given":"P. J."},{"family":"Snape","given":"W. J."},{"family":"McCallum","given":"R. W."},{"family":"Sarosiek","given":"I."},{"family":"Farrugia","given":"G."},{"family":"Calles","given":"J."},{"family":"Lee","given":"L."},{"family":"Tonascia","given":"J."},{"family":"Unalp-Arida","given":"A."},{"family":"Hamilton","given":"F."}],"issued":{"date-parts":[["2013",5]]}}}],"schema":"https://github.com/citation-style-language/schema/raw/master/csl-citation.json"} </w:instrText>
      </w:r>
      <w:r w:rsidR="00173D48" w:rsidRPr="00C311AE">
        <w:rPr>
          <w:rFonts w:ascii="Book Antiqua" w:hAnsi="Book Antiqua" w:cs="Arial"/>
          <w:vertAlign w:val="superscript"/>
        </w:rPr>
        <w:fldChar w:fldCharType="separate"/>
      </w:r>
      <w:r w:rsidR="00006322" w:rsidRPr="00C311AE">
        <w:rPr>
          <w:rFonts w:ascii="Book Antiqua" w:hAnsi="Book Antiqua"/>
          <w:vertAlign w:val="superscript"/>
        </w:rPr>
        <w:t>[</w:t>
      </w:r>
      <w:r w:rsidR="00B160C4" w:rsidRPr="00C311AE">
        <w:rPr>
          <w:rFonts w:ascii="Book Antiqua" w:hAnsi="Book Antiqua"/>
          <w:vertAlign w:val="superscript"/>
        </w:rPr>
        <w:t>15</w:t>
      </w:r>
      <w:r w:rsidR="00006322" w:rsidRPr="00C311AE">
        <w:rPr>
          <w:rFonts w:ascii="Book Antiqua" w:hAnsi="Book Antiqua"/>
          <w:vertAlign w:val="superscript"/>
        </w:rPr>
        <w:t>]</w:t>
      </w:r>
      <w:r w:rsidR="00173D48" w:rsidRPr="00C311AE">
        <w:rPr>
          <w:rFonts w:ascii="Book Antiqua" w:hAnsi="Book Antiqua" w:cs="Arial"/>
          <w:vertAlign w:val="superscript"/>
        </w:rPr>
        <w:fldChar w:fldCharType="end"/>
      </w:r>
      <w:r w:rsidR="00173D48" w:rsidRPr="00C311AE">
        <w:rPr>
          <w:rFonts w:ascii="Book Antiqua" w:hAnsi="Book Antiqua" w:cs="Arial"/>
        </w:rPr>
        <w:t>.</w:t>
      </w:r>
      <w:r w:rsidRPr="00C311AE">
        <w:rPr>
          <w:rFonts w:ascii="Book Antiqua" w:hAnsi="Book Antiqua" w:cs="Arial"/>
        </w:rPr>
        <w:t xml:space="preserve"> Epigastrium was the most common location of the most severe AP, and majority of the patients with AP </w:t>
      </w:r>
      <w:r w:rsidRPr="00C311AE">
        <w:rPr>
          <w:rFonts w:ascii="Book Antiqua" w:hAnsi="Book Antiqua" w:cs="Arial"/>
        </w:rPr>
        <w:lastRenderedPageBreak/>
        <w:t>experienced post-prandial worsening of pain, s</w:t>
      </w:r>
      <w:r w:rsidR="009C09C9" w:rsidRPr="00C311AE">
        <w:rPr>
          <w:rFonts w:ascii="Book Antiqua" w:hAnsi="Book Antiqua" w:cs="Arial"/>
        </w:rPr>
        <w:t xml:space="preserve">imilar to a previous study performed </w:t>
      </w:r>
      <w:r w:rsidRPr="00C311AE">
        <w:rPr>
          <w:rFonts w:ascii="Book Antiqua" w:hAnsi="Book Antiqua" w:cs="Arial"/>
        </w:rPr>
        <w:t>at our center on a different cohort of Gp patients</w:t>
      </w:r>
      <w:r w:rsidR="00173D48"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65r4s0qh3","properties":{"formattedCitation":"(24)","plainCitation":"(24)"},"citationItems":[{"id":15,"uris":["http://zotero.org/users/local/Y25qLmSx/items/JPP7684A"],"uri":["http://zotero.org/users/local/Y25qLmSx/items/JPP7684A"],"itemData":{"id":15,"type":"article-journal","title":"Abdominal pain is a frequent symptom of gastroparesis","container-title":"Clinical Gastroenterology and Hepatology: The Official Clinical Practice Journal of the American Gastroenterological Association","page":"676-681","volume":"8","issue":"8","source":"PubMed","abstract":"BACKGROUND &amp; AIMS: Although the most commonly recognized symptoms of gastroparesis (GP) are nausea and vomiting, patients also report abdominal pain. We aimed to define the prevalence, severity, and quality of abdominal pain in GP and to correlate abdominal pain with gastric emptying (GE) and quality of life.\nMETHODS: Patients presumed to have GP underwent 4-hour GE scintigraphy and upper endoscopy examinations and completed the following: patient assessments of gastrointestinal symptoms (Patient Assessment of Upper Gastrointestinal Symptom Severity Index), abdominal pain questionnaires (Short-Form of the McGill Pain Questionnaire), and quality-of-life questionnaires.\nRESULTS: The study group consisted of 68 patients (58 female; 10 male) with delayed GE (18 diabetic gastroparesis [DG] and 50 idiopathic gastroparesis [IG]). Abdominal pain was present in 90% of patients (89% DG, 90% IG) and nausea was present in 96% (100% DG, 94% IG). Abdominal pain was epigastric in 43% and umbilical in 13%. Pain occurred daily in 43% and was constant in 38%. Pain often was induced by eating (72%), was nocturnal (74%), and interfered with sleep (66%). Severity ranking of symptoms based on the Patient Assessment of Upper Gastrointestinal Symptom Severity Index was as follows: abdominal fullness (3.8 +/- 0.2), bloating (3.6 +/- 0.2), nausea (3.6 +/- 0.2), upper abdominal discomfort (3.3 +/- 0.2), upper abdominal pain (3.0 +/- 0.2), and vomiting (2.2 +/- 0.2). Abdominal pain severity did not correlate with GE, but had moderate correlation with quality of life.\nCONCLUSIONS: Abdominal pain is a frequent symptom in patients with GP, comparable with nausea and vomiting. Abdominal pain correlates with impaired quality of life but not with GE.","DOI":"10.1016/j.cgh.2010.04.027","ISSN":"1542-7714","note":"PMID: 20472097","journalAbbreviation":"Clin. Gastroenterol. Hepatol.","language":"eng","author":[{"family":"Cherian","given":"Dinu"},{"family":"Sachdeva","given":"Priyanka"},{"family":"Fisher","given":"Robert S."},{"family":"Parkman","given":"Henry P."}],"issued":{"date-parts":[["2010",8]]}}}],"schema":"https://github.com/citation-style-language/schema/raw/master/csl-citation.json"} </w:instrText>
      </w:r>
      <w:r w:rsidR="00173D48" w:rsidRPr="00C311AE">
        <w:rPr>
          <w:rFonts w:ascii="Book Antiqua" w:hAnsi="Book Antiqua" w:cs="Arial"/>
          <w:vertAlign w:val="superscript"/>
        </w:rPr>
        <w:fldChar w:fldCharType="separate"/>
      </w:r>
      <w:r w:rsidR="00006322" w:rsidRPr="00C311AE">
        <w:rPr>
          <w:rFonts w:ascii="Book Antiqua" w:hAnsi="Book Antiqua"/>
          <w:vertAlign w:val="superscript"/>
        </w:rPr>
        <w:t>[</w:t>
      </w:r>
      <w:r w:rsidR="00C71E9F" w:rsidRPr="00C311AE">
        <w:rPr>
          <w:rFonts w:ascii="Book Antiqua" w:hAnsi="Book Antiqua"/>
          <w:vertAlign w:val="superscript"/>
        </w:rPr>
        <w:t>32</w:t>
      </w:r>
      <w:r w:rsidR="00006322" w:rsidRPr="00C311AE">
        <w:rPr>
          <w:rFonts w:ascii="Book Antiqua" w:hAnsi="Book Antiqua"/>
          <w:vertAlign w:val="superscript"/>
        </w:rPr>
        <w:t>]</w:t>
      </w:r>
      <w:r w:rsidR="00173D48" w:rsidRPr="00C311AE">
        <w:rPr>
          <w:rFonts w:ascii="Book Antiqua" w:hAnsi="Book Antiqua" w:cs="Arial"/>
          <w:vertAlign w:val="superscript"/>
        </w:rPr>
        <w:fldChar w:fldCharType="end"/>
      </w:r>
      <w:r w:rsidRPr="00C311AE">
        <w:rPr>
          <w:rFonts w:ascii="Book Antiqua" w:hAnsi="Book Antiqua" w:cs="Arial"/>
        </w:rPr>
        <w:t xml:space="preserve">. Every 3 in 4 GpCO in our study woke up at night from AP, higher than </w:t>
      </w:r>
      <w:r w:rsidR="000D469B" w:rsidRPr="00C311AE">
        <w:rPr>
          <w:rFonts w:ascii="Book Antiqua" w:hAnsi="Book Antiqua" w:cs="Arial"/>
        </w:rPr>
        <w:t xml:space="preserve">about </w:t>
      </w:r>
      <w:r w:rsidR="00F2286F" w:rsidRPr="00C311AE">
        <w:rPr>
          <w:rFonts w:ascii="Book Antiqua" w:hAnsi="Book Antiqua" w:cs="Arial"/>
        </w:rPr>
        <w:t xml:space="preserve">1 in 2 of our GpNO patients and </w:t>
      </w:r>
      <w:r w:rsidR="000D469B" w:rsidRPr="00C311AE">
        <w:rPr>
          <w:rFonts w:ascii="Book Antiqua" w:hAnsi="Book Antiqua" w:cs="Arial"/>
        </w:rPr>
        <w:t xml:space="preserve">significantly </w:t>
      </w:r>
      <w:r w:rsidR="00F2286F" w:rsidRPr="00C311AE">
        <w:rPr>
          <w:rFonts w:ascii="Book Antiqua" w:hAnsi="Book Antiqua" w:cs="Arial"/>
        </w:rPr>
        <w:t xml:space="preserve">higher than the reported </w:t>
      </w:r>
      <w:r w:rsidRPr="00C311AE">
        <w:rPr>
          <w:rFonts w:ascii="Book Antiqua" w:hAnsi="Book Antiqua" w:cs="Arial"/>
        </w:rPr>
        <w:t>1 in 4 patients on opioids for CNCP reported by Tuteja</w:t>
      </w:r>
      <w:r w:rsidRPr="00FF520E">
        <w:rPr>
          <w:rFonts w:ascii="Book Antiqua" w:hAnsi="Book Antiqua" w:cs="Arial"/>
          <w:i/>
        </w:rPr>
        <w:t xml:space="preserve"> et al</w:t>
      </w:r>
      <w:r w:rsidR="000D469B" w:rsidRPr="00C311AE">
        <w:rPr>
          <w:rFonts w:ascii="Book Antiqua" w:hAnsi="Book Antiqua" w:cs="Arial"/>
          <w:vertAlign w:val="superscript"/>
        </w:rPr>
        <w:fldChar w:fldCharType="begin"/>
      </w:r>
      <w:r w:rsidR="000D469B" w:rsidRPr="00C311AE">
        <w:rPr>
          <w:rFonts w:ascii="Book Antiqua" w:hAnsi="Book Antiqua" w:cs="Arial"/>
          <w:vertAlign w:val="superscript"/>
        </w:rPr>
        <w:instrText xml:space="preserve"> ADDIN ZOTERO_ITEM CSL_CITATION {"citationID":"11u72n1d04","properties":{"formattedCitation":"(2)","plainCitation":"(2)"},"citationItems":[{"id":47,"uris":["http://zotero.org/users/local/Y25qLmSx/items/NHZ7PCV7"],"uri":["http://zotero.org/users/local/Y25qLmSx/items/NHZ7PCV7"],"itemData":{"id":47,"type":"article-journal","title":"Opioid-induced bowel disorders and narcotic bowel syndrome in patients with chronic non-cancer pain","container-title":"Neurogastroenterology and Motility: The Official Journal of the European Gastrointestinal Motility Society","page":"424-430, e96","volume":"22","issue":"4","source":"PubMed","abstract":"BACKGROUND: Opioids are used increasingly in the management of moderate-to-severe chronic non-cancer pain (CNCP). Opioid-induced bowel disorders (OBD) markedly impact health-related quality of life (HRQoL) and frequently limit medically indicated opioid pharmacotherapy. We assessed the risk factors, and effect of OBD on HRQoL in CNCP patients. We also estimated the likely prevalence of narcotic bowel syndrome (NBS). These effects have been reported in cancer patients but not in CNCP previously.\nMETHODS: Ambulatory CNCP patients (n = 146) taking regularly scheduled opioids were invited to complete the Bowel-Disease-Questionnaire and a pain-sensitive HRQoL instrument. The Rome-II criteria were used to define bowel disorders. Narcotic bowel syndrome was defined as presence of daily severe to very-severe abdominal pain of more than 3 months duration requiring more than 100 mg of morphine equivalent per day.\nKEY RESULTS: Ninety-eight patients (69%) returned the survey. Respondents had taken opioids for 10 days to 10 years (median 365 days) at a median daily dose of 127.5 mg morphine-equivalent (range 7.5-600 mg). Constipation prevalence was 46.9% (95% CI 36.8-57.3), nausea 27% (95% CI 17.2-35.3), vomiting 9% (95% CI 17.2-35.3), and gastro-esophageal reflux disease 33% (95% CI 23.5-42.9). Chronic abdominal pain was reported by 58.2% (95% CI 53.2-73.9) and 6.4%, (95% CI 2.4-13.5) fulfilled the criteria of NBS. Prevalence of constipation increased with duration of treatment. Health-related quality of life was low in patients with chronic abdominal pain.\nCONCLUSION &amp; INFERENCES: Bowel disorders including chronic abdominal pain and NBS are common in patients taking opioids for CNCP. Decreased HRQoL in patients with CNCP is driven by chronic abdominal pain.","DOI":"10.1111/j.1365-2982.2009.01458.x","ISSN":"1365-2982","note":"PMID: 20100280","journalAbbreviation":"Neurogastroenterol. Motil.","language":"eng","author":[{"family":"Tuteja","given":"A. K."},{"family":"Biskupiak","given":"J."},{"family":"Stoddard","given":"G. J."},{"family":"Lipman","given":"A. G."}],"issued":{"date-parts":[["2010",4]]}}}],"schema":"https://github.com/citation-style-language/schema/raw/master/csl-citation.json"} </w:instrText>
      </w:r>
      <w:r w:rsidR="000D469B" w:rsidRPr="00C311AE">
        <w:rPr>
          <w:rFonts w:ascii="Book Antiqua" w:hAnsi="Book Antiqua" w:cs="Arial"/>
          <w:vertAlign w:val="superscript"/>
        </w:rPr>
        <w:fldChar w:fldCharType="separate"/>
      </w:r>
      <w:r w:rsidR="00006322" w:rsidRPr="00C311AE">
        <w:rPr>
          <w:rFonts w:ascii="Book Antiqua" w:hAnsi="Book Antiqua"/>
          <w:vertAlign w:val="superscript"/>
        </w:rPr>
        <w:t>[</w:t>
      </w:r>
      <w:r w:rsidR="00B160C4" w:rsidRPr="00C311AE">
        <w:rPr>
          <w:rFonts w:ascii="Book Antiqua" w:hAnsi="Book Antiqua"/>
          <w:vertAlign w:val="superscript"/>
        </w:rPr>
        <w:t>2</w:t>
      </w:r>
      <w:r w:rsidR="00006322" w:rsidRPr="00C311AE">
        <w:rPr>
          <w:rFonts w:ascii="Book Antiqua" w:hAnsi="Book Antiqua"/>
          <w:vertAlign w:val="superscript"/>
        </w:rPr>
        <w:t>]</w:t>
      </w:r>
      <w:r w:rsidR="000D469B" w:rsidRPr="00C311AE">
        <w:rPr>
          <w:rFonts w:ascii="Book Antiqua" w:hAnsi="Book Antiqua" w:cs="Arial"/>
          <w:vertAlign w:val="superscript"/>
        </w:rPr>
        <w:fldChar w:fldCharType="end"/>
      </w:r>
      <w:r w:rsidRPr="00C311AE">
        <w:rPr>
          <w:rFonts w:ascii="Book Antiqua" w:hAnsi="Book Antiqua" w:cs="Arial"/>
        </w:rPr>
        <w:t>.</w:t>
      </w:r>
      <w:r w:rsidR="000F6C17" w:rsidRPr="00C311AE">
        <w:rPr>
          <w:rFonts w:ascii="Book Antiqua" w:hAnsi="Book Antiqua" w:cs="Arial"/>
        </w:rPr>
        <w:t xml:space="preserve"> </w:t>
      </w:r>
      <w:r w:rsidR="00770575" w:rsidRPr="00C311AE">
        <w:rPr>
          <w:rFonts w:ascii="Book Antiqua" w:hAnsi="Book Antiqua" w:cs="Arial"/>
        </w:rPr>
        <w:t xml:space="preserve">It is possible that the abdominal pain may be the reason these patients were taking opioids. Alternatively, there could be enhanced pain perception in disabling narcotic bowel syndrome. </w:t>
      </w:r>
    </w:p>
    <w:p w14:paraId="454C616C" w14:textId="37CFB0DA" w:rsidR="0047078B" w:rsidRPr="00C311AE" w:rsidRDefault="00F2286F" w:rsidP="00020CC7">
      <w:pPr>
        <w:snapToGrid w:val="0"/>
        <w:spacing w:line="360" w:lineRule="auto"/>
        <w:ind w:firstLineChars="100" w:firstLine="240"/>
        <w:jc w:val="both"/>
        <w:rPr>
          <w:rFonts w:ascii="Book Antiqua" w:hAnsi="Book Antiqua" w:cs="Arial"/>
        </w:rPr>
      </w:pPr>
      <w:r w:rsidRPr="00C311AE">
        <w:rPr>
          <w:rFonts w:ascii="Book Antiqua" w:hAnsi="Book Antiqua" w:cs="Arial"/>
        </w:rPr>
        <w:t>In this cohort</w:t>
      </w:r>
      <w:r w:rsidR="00BE3F55" w:rsidRPr="00C311AE">
        <w:rPr>
          <w:rFonts w:ascii="Book Antiqua" w:hAnsi="Book Antiqua" w:cs="Arial"/>
        </w:rPr>
        <w:t xml:space="preserve">, </w:t>
      </w:r>
      <w:r w:rsidR="0038763F" w:rsidRPr="00C311AE">
        <w:rPr>
          <w:rFonts w:ascii="Book Antiqua" w:hAnsi="Book Antiqua" w:cs="Arial"/>
        </w:rPr>
        <w:t>Gp</w:t>
      </w:r>
      <w:r w:rsidR="007752A0" w:rsidRPr="00C311AE">
        <w:rPr>
          <w:rFonts w:ascii="Book Antiqua" w:hAnsi="Book Antiqua" w:cs="Arial"/>
        </w:rPr>
        <w:t>CO</w:t>
      </w:r>
      <w:r w:rsidR="00B47253" w:rsidRPr="00C311AE">
        <w:rPr>
          <w:rFonts w:ascii="Book Antiqua" w:hAnsi="Book Antiqua" w:cs="Arial"/>
        </w:rPr>
        <w:t xml:space="preserve"> did not have increased </w:t>
      </w:r>
      <w:r w:rsidR="00BE3F55" w:rsidRPr="00C311AE">
        <w:rPr>
          <w:rFonts w:ascii="Book Antiqua" w:hAnsi="Book Antiqua" w:cs="Arial"/>
        </w:rPr>
        <w:t xml:space="preserve">severity of constipation, </w:t>
      </w:r>
      <w:r w:rsidR="00B47253" w:rsidRPr="00C311AE">
        <w:rPr>
          <w:rFonts w:ascii="Book Antiqua" w:hAnsi="Book Antiqua" w:cs="Arial"/>
        </w:rPr>
        <w:t xml:space="preserve">which is </w:t>
      </w:r>
      <w:r w:rsidR="00F30838" w:rsidRPr="00C311AE">
        <w:rPr>
          <w:rFonts w:ascii="Book Antiqua" w:hAnsi="Book Antiqua" w:cs="Arial"/>
        </w:rPr>
        <w:t xml:space="preserve">historically </w:t>
      </w:r>
      <w:r w:rsidR="00BE3F55" w:rsidRPr="00C311AE">
        <w:rPr>
          <w:rFonts w:ascii="Book Antiqua" w:hAnsi="Book Antiqua" w:cs="Arial"/>
        </w:rPr>
        <w:t>one of the most commonly reported symptoms of opioid induced bowel dysfunction</w:t>
      </w:r>
      <w:r w:rsidR="000D469B" w:rsidRPr="00C311AE">
        <w:rPr>
          <w:rFonts w:ascii="Book Antiqua" w:hAnsi="Book Antiqua" w:cs="Arial"/>
          <w:vertAlign w:val="superscript"/>
        </w:rPr>
        <w:fldChar w:fldCharType="begin"/>
      </w:r>
      <w:r w:rsidR="000D469B" w:rsidRPr="00C311AE">
        <w:rPr>
          <w:rFonts w:ascii="Book Antiqua" w:hAnsi="Book Antiqua" w:cs="Arial"/>
          <w:vertAlign w:val="superscript"/>
        </w:rPr>
        <w:instrText xml:space="preserve"> ADDIN ZOTERO_ITEM CSL_CITATION {"citationID":"2a43aenmnf","properties":{"formattedCitation":"(2)","plainCitation":"(2)"},"citationItems":[{"id":47,"uris":["http://zotero.org/users/local/Y25qLmSx/items/NHZ7PCV7"],"uri":["http://zotero.org/users/local/Y25qLmSx/items/NHZ7PCV7"],"itemData":{"id":47,"type":"article-journal","title":"Opioid-induced bowel disorders and narcotic bowel syndrome in patients with chronic non-cancer pain","container-title":"Neurogastroenterology and Motility: The Official Journal of the European Gastrointestinal Motility Society","page":"424-430, e96","volume":"22","issue":"4","source":"PubMed","abstract":"BACKGROUND: Opioids are used increasingly in the management of moderate-to-severe chronic non-cancer pain (CNCP). Opioid-induced bowel disorders (OBD) markedly impact health-related quality of life (HRQoL) and frequently limit medically indicated opioid pharmacotherapy. We assessed the risk factors, and effect of OBD on HRQoL in CNCP patients. We also estimated the likely prevalence of narcotic bowel syndrome (NBS). These effects have been reported in cancer patients but not in CNCP previously.\nMETHODS: Ambulatory CNCP patients (n = 146) taking regularly scheduled opioids were invited to complete the Bowel-Disease-Questionnaire and a pain-sensitive HRQoL instrument. The Rome-II criteria were used to define bowel disorders. Narcotic bowel syndrome was defined as presence of daily severe to very-severe abdominal pain of more than 3 months duration requiring more than 100 mg of morphine equivalent per day.\nKEY RESULTS: Ninety-eight patients (69%) returned the survey. Respondents had taken opioids for 10 days to 10 years (median 365 days) at a median daily dose of 127.5 mg morphine-equivalent (range 7.5-600 mg). Constipation prevalence was 46.9% (95% CI 36.8-57.3), nausea 27% (95% CI 17.2-35.3), vomiting 9% (95% CI 17.2-35.3), and gastro-esophageal reflux disease 33% (95% CI 23.5-42.9). Chronic abdominal pain was reported by 58.2% (95% CI 53.2-73.9) and 6.4%, (95% CI 2.4-13.5) fulfilled the criteria of NBS. Prevalence of constipation increased with duration of treatment. Health-related quality of life was low in patients with chronic abdominal pain.\nCONCLUSION &amp; INFERENCES: Bowel disorders including chronic abdominal pain and NBS are common in patients taking opioids for CNCP. Decreased HRQoL in patients with CNCP is driven by chronic abdominal pain.","DOI":"10.1111/j.1365-2982.2009.01458.x","ISSN":"1365-2982","note":"PMID: 20100280","journalAbbreviation":"Neurogastroenterol. Motil.","language":"eng","author":[{"family":"Tuteja","given":"A. K."},{"family":"Biskupiak","given":"J."},{"family":"Stoddard","given":"G. J."},{"family":"Lipman","given":"A. G."}],"issued":{"date-parts":[["2010",4]]}}}],"schema":"https://github.com/citation-style-language/schema/raw/master/csl-citation.json"} </w:instrText>
      </w:r>
      <w:r w:rsidR="000D469B" w:rsidRPr="00C311AE">
        <w:rPr>
          <w:rFonts w:ascii="Book Antiqua" w:hAnsi="Book Antiqua" w:cs="Arial"/>
          <w:vertAlign w:val="superscript"/>
        </w:rPr>
        <w:fldChar w:fldCharType="separate"/>
      </w:r>
      <w:r w:rsidR="00006322" w:rsidRPr="00C311AE">
        <w:rPr>
          <w:rFonts w:ascii="Book Antiqua" w:hAnsi="Book Antiqua"/>
          <w:vertAlign w:val="superscript"/>
        </w:rPr>
        <w:t>[</w:t>
      </w:r>
      <w:r w:rsidR="00B160C4" w:rsidRPr="00C311AE">
        <w:rPr>
          <w:rFonts w:ascii="Book Antiqua" w:hAnsi="Book Antiqua"/>
          <w:vertAlign w:val="superscript"/>
        </w:rPr>
        <w:t>2</w:t>
      </w:r>
      <w:r w:rsidR="00006322" w:rsidRPr="00C311AE">
        <w:rPr>
          <w:rFonts w:ascii="Book Antiqua" w:hAnsi="Book Antiqua"/>
          <w:vertAlign w:val="superscript"/>
        </w:rPr>
        <w:t>]</w:t>
      </w:r>
      <w:r w:rsidR="000D469B" w:rsidRPr="00C311AE">
        <w:rPr>
          <w:rFonts w:ascii="Book Antiqua" w:hAnsi="Book Antiqua" w:cs="Arial"/>
          <w:vertAlign w:val="superscript"/>
        </w:rPr>
        <w:fldChar w:fldCharType="end"/>
      </w:r>
      <w:r w:rsidR="00240901" w:rsidRPr="00C311AE">
        <w:rPr>
          <w:rFonts w:ascii="Book Antiqua" w:hAnsi="Book Antiqua" w:cs="Arial"/>
        </w:rPr>
        <w:t xml:space="preserve">. </w:t>
      </w:r>
      <w:r w:rsidR="004A44C4" w:rsidRPr="00C311AE">
        <w:rPr>
          <w:rFonts w:ascii="Book Antiqua" w:hAnsi="Book Antiqua" w:cs="Arial"/>
        </w:rPr>
        <w:t>Fentanyl was the second most commonly used opioid in GpCO, and a randomized cross over trial showed a lower prevalence of constipation in patients taking transdermal fentanyl compared to sustained release oral morphine</w:t>
      </w:r>
      <w:r w:rsidR="004A44C4" w:rsidRPr="00C311AE">
        <w:rPr>
          <w:rFonts w:ascii="Book Antiqua" w:hAnsi="Book Antiqua" w:cs="Arial"/>
          <w:vertAlign w:val="superscript"/>
        </w:rPr>
        <w:fldChar w:fldCharType="begin"/>
      </w:r>
      <w:r w:rsidR="004A44C4" w:rsidRPr="00C311AE">
        <w:rPr>
          <w:rFonts w:ascii="Book Antiqua" w:hAnsi="Book Antiqua" w:cs="Arial"/>
          <w:vertAlign w:val="superscript"/>
        </w:rPr>
        <w:instrText xml:space="preserve"> ADDIN ZOTERO_ITEM CSL_CITATION {"citationID":"25ss59q9lg","properties":{"formattedCitation":"(7)","plainCitation":"(7)"},"citationItems":[{"id":59,"uris":["http://zotero.org/users/local/Y25qLmSx/items/9SHS6DHM"],"uri":["http://zotero.org/users/local/Y25qLmSx/items/9SHS6DHM"],"itemData":{"id":59,"type":"article-journal","title":"Randomised crossover trial of transdermal fentanyl and sustained release oral morphine for treating chronic non-cancer pain","container-title":"BMJ (Clinical research ed.)","page":"1154-1158","volume":"322","issue":"7295","source":"PubMed","abstract":"OBJECTIVES: To compare patients' preference for transdermal fentanyl or sustained release oral morphine, their level of pain control, and their quality of life after treatment.\nDESIGN: Randomised, multicentre, international, open label, crossover trial.\nSETTING: 35 centres in Belgium, Canada, Denmark, Finland, the United Kingdom, the Netherlands, and South Africa.\nPARTICIPANTS: 256 patients (aged 26-82 years) with chronic non-cancer pain who had been treated with opioids.\nMAIN OUTCOME MEASURES: Patients' preference for transdermal fentanyl or sustained release oral morphine, pain control, quality of life, and safety assessments.\nRESULTS: Of 212 patients, 138 (65%) preferred transdermal fentanyl, whereas 59 (28%) preferred sustained release oral morphine and 15 (7%) expressed no preference. Better pain relief was the main reason for preference for fentanyl given by 35% of patients. More patients considered pain control as being \"good\" or \"very good\" with fentanyl than with morphine (35% v 23%, P=0.002). These results were reflected in both patients' and investigators' opinions on the global efficacy of transdermal fentanyl. Patients receiving fentanyl had on average higher quality of life scores than those receiving morphine. The incidence of adverse events was similar in both treatment groups; however, more patients experienced constipation with morphine than with fentanyl (48% v 29%, P&lt;0.001). Overall, 41% of patients experienced mild or moderate cutaneous problems associated with wearing the transdermal fentanyl patch, and more patients withdrew because of adverse events during treatment with fentanyl than with morphine (10% v 5%). However, within the subgroup of patients naive to both fentanyl and morphine, similar numbers of patients withdrew owing to adverse effects (11% v 10%, respectively).\nCONCLUSION: Transdermal fentanyl was preferred to sustained release oral morphine by patients with chronic non-cancer pain previously treated with opioids. The main reason for preference was better pain relief, achieved with less constipation and an enhanced quality of life.","ISSN":"0959-8138","note":"PMID: 11348910\nPMCID: PMC31593","journalAbbreviation":"BMJ","language":"eng","author":[{"family":"Allan","given":"L."},{"family":"Hays","given":"H."},{"family":"Jensen","given":"N. H."},{"family":"Waroux","given":"B. L.","non-dropping-particle":"de"},{"family":"Bolt","given":"M."},{"family":"Donald","given":"R."},{"family":"Kalso","given":"E."}],"issued":{"date-parts":[["2001",5,12]]}}}],"schema":"https://github.com/citation-style-language/schema/raw/master/csl-citation.json"} </w:instrText>
      </w:r>
      <w:r w:rsidR="004A44C4" w:rsidRPr="00C311AE">
        <w:rPr>
          <w:rFonts w:ascii="Book Antiqua" w:hAnsi="Book Antiqua" w:cs="Arial"/>
          <w:vertAlign w:val="superscript"/>
        </w:rPr>
        <w:fldChar w:fldCharType="separate"/>
      </w:r>
      <w:r w:rsidR="004A44C4" w:rsidRPr="00C311AE">
        <w:rPr>
          <w:rFonts w:ascii="Book Antiqua" w:hAnsi="Book Antiqua"/>
          <w:vertAlign w:val="superscript"/>
        </w:rPr>
        <w:t>[7]</w:t>
      </w:r>
      <w:r w:rsidR="004A44C4" w:rsidRPr="00C311AE">
        <w:rPr>
          <w:rFonts w:ascii="Book Antiqua" w:hAnsi="Book Antiqua" w:cs="Arial"/>
          <w:vertAlign w:val="superscript"/>
        </w:rPr>
        <w:fldChar w:fldCharType="end"/>
      </w:r>
      <w:r w:rsidR="004A44C4" w:rsidRPr="00C311AE">
        <w:rPr>
          <w:rFonts w:ascii="Book Antiqua" w:hAnsi="Book Antiqua" w:cs="Arial"/>
        </w:rPr>
        <w:t xml:space="preserve">. </w:t>
      </w:r>
      <w:r w:rsidR="00562927" w:rsidRPr="00C311AE">
        <w:rPr>
          <w:rFonts w:ascii="Book Antiqua" w:hAnsi="Book Antiqua" w:cs="Arial"/>
        </w:rPr>
        <w:t>Even though our questionnaire did not ask specifically about usage of stool softeners or laxatives, some of these patients had stool softeners (</w:t>
      </w:r>
      <w:r w:rsidR="00562927" w:rsidRPr="00C311AE">
        <w:rPr>
          <w:rFonts w:ascii="Book Antiqua" w:hAnsi="Book Antiqua" w:cs="Arial"/>
          <w:i/>
        </w:rPr>
        <w:t>n</w:t>
      </w:r>
      <w:r w:rsidR="007875F6" w:rsidRPr="00C311AE">
        <w:rPr>
          <w:rFonts w:ascii="Book Antiqua" w:eastAsiaTheme="minorEastAsia" w:hAnsi="Book Antiqua" w:cs="Arial" w:hint="eastAsia"/>
          <w:lang w:eastAsia="zh-CN"/>
        </w:rPr>
        <w:t xml:space="preserve"> </w:t>
      </w:r>
      <w:r w:rsidR="00562927" w:rsidRPr="00C311AE">
        <w:rPr>
          <w:rFonts w:ascii="Book Antiqua" w:hAnsi="Book Antiqua" w:cs="Arial"/>
        </w:rPr>
        <w:t>=</w:t>
      </w:r>
      <w:r w:rsidR="007875F6" w:rsidRPr="00C311AE">
        <w:rPr>
          <w:rFonts w:ascii="Book Antiqua" w:eastAsiaTheme="minorEastAsia" w:hAnsi="Book Antiqua" w:cs="Arial" w:hint="eastAsia"/>
          <w:lang w:eastAsia="zh-CN"/>
        </w:rPr>
        <w:t xml:space="preserve"> </w:t>
      </w:r>
      <w:r w:rsidR="00562927" w:rsidRPr="00C311AE">
        <w:rPr>
          <w:rFonts w:ascii="Book Antiqua" w:hAnsi="Book Antiqua" w:cs="Arial"/>
        </w:rPr>
        <w:t xml:space="preserve">4), stimulant laxatives (2) and osmotic laxative (1) listed on their medication list, and it is plausible that </w:t>
      </w:r>
      <w:r w:rsidR="00C621B7" w:rsidRPr="00C311AE">
        <w:rPr>
          <w:rFonts w:ascii="Book Antiqua" w:hAnsi="Book Antiqua" w:cs="Arial"/>
        </w:rPr>
        <w:t xml:space="preserve">many </w:t>
      </w:r>
      <w:r w:rsidR="00562927" w:rsidRPr="00C311AE">
        <w:rPr>
          <w:rFonts w:ascii="Book Antiqua" w:hAnsi="Book Antiqua" w:cs="Arial"/>
        </w:rPr>
        <w:t xml:space="preserve">other patients were </w:t>
      </w:r>
      <w:r w:rsidR="004A44C4" w:rsidRPr="00C311AE">
        <w:rPr>
          <w:rFonts w:ascii="Book Antiqua" w:hAnsi="Book Antiqua" w:cs="Arial"/>
        </w:rPr>
        <w:t>on</w:t>
      </w:r>
      <w:r w:rsidR="00562927" w:rsidRPr="00C311AE">
        <w:rPr>
          <w:rFonts w:ascii="Book Antiqua" w:hAnsi="Book Antiqua" w:cs="Arial"/>
        </w:rPr>
        <w:t xml:space="preserve"> these over-the-counter medications </w:t>
      </w:r>
      <w:r w:rsidR="00C621B7" w:rsidRPr="00C311AE">
        <w:rPr>
          <w:rFonts w:ascii="Book Antiqua" w:hAnsi="Book Antiqua" w:cs="Arial"/>
        </w:rPr>
        <w:t xml:space="preserve">as well, as these medications are </w:t>
      </w:r>
      <w:r w:rsidR="00562927" w:rsidRPr="00C311AE">
        <w:rPr>
          <w:rFonts w:ascii="Book Antiqua" w:hAnsi="Book Antiqua" w:cs="Arial"/>
        </w:rPr>
        <w:t xml:space="preserve">often </w:t>
      </w:r>
      <w:r w:rsidRPr="00C311AE">
        <w:rPr>
          <w:rFonts w:ascii="Book Antiqua" w:hAnsi="Book Antiqua" w:cs="Arial"/>
        </w:rPr>
        <w:t>taken</w:t>
      </w:r>
      <w:r w:rsidR="00BE3F55" w:rsidRPr="00C311AE">
        <w:rPr>
          <w:rFonts w:ascii="Book Antiqua" w:hAnsi="Book Antiqua" w:cs="Arial"/>
        </w:rPr>
        <w:t xml:space="preserve"> prophylactically in</w:t>
      </w:r>
      <w:r w:rsidR="00F30838" w:rsidRPr="00C311AE">
        <w:rPr>
          <w:rFonts w:ascii="Book Antiqua" w:hAnsi="Book Antiqua" w:cs="Arial"/>
        </w:rPr>
        <w:t xml:space="preserve"> </w:t>
      </w:r>
      <w:r w:rsidR="00BE3F55" w:rsidRPr="00C311AE">
        <w:rPr>
          <w:rFonts w:ascii="Book Antiqua" w:hAnsi="Book Antiqua" w:cs="Arial"/>
        </w:rPr>
        <w:t>patients on chronic opioids</w:t>
      </w:r>
      <w:r w:rsidR="000D469B"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pc0gku1fp","properties":{"formattedCitation":"(6)","plainCitation":"(6)"},"citationItems":[{"id":57,"uris":["http://zotero.org/users/local/Y25qLmSx/items/57JT573V"],"uri":["http://zotero.org/users/local/Y25qLmSx/items/57JT573V"],"itemData":{"id":57,"type":"article-journal","title":"Incidence, prevalence, and management of opioid bowel dysfunction","container-title":"American Journal of Surgery","page":"11S-18S","volume":"182","issue":"5A Suppl","source":"PubMed","abstract":"Opioid bowel dysfunction (OBD) is a common adverse effect associated with opioid therapy. OBD is commonly described as constipation; however, it is a constellation of adverse gastrointestinal (GI) effects, which also includes abdominal cramping, bloating, and gastroesophageal reflux. The mechanism for these effects is mediated primarily by stimulation of opioid receptors in the GI tract. In patients with pain, uncontrolled symptoms of OBD can add to their discomfort and may serve as a barrier to effective pain management, limiting therapy, or prompting discontinuation. Patients with cancer may have disease-related constipation, which is usually worsened by opioid therapy. However, OBD is not limited to cancer patients. A recent survey of patients taking opioid therapy for pain of noncancer origin found that approximately 40% of patients experienced constipation related to opioid therapy (&lt;3 complete bowel movements per week) compared with 7.6% in a control group. Of subjects who required laxative therapy, only 46% of opioid-treated patients (control subjects, 84%) reported achieving the desired treatment results &gt;50% of the time. Laxatives prescribed prophylactically and throughout opioid therapy may improve bowel movements in many patients. Nevertheless, a substantial number of patients will not obtain adequate relief of OBD because of its refractory nature. Naloxone and other tertiary opioid receptor antagonists effectively reduce the symptoms of constipation in opioid-treated patients. However, because they also act centrally, they may provoke opioid withdrawal symptoms or reverse analgesia in some patients. There are 2 peripherally selective opioid receptor antagonists, methylnaltrexone and ADL 8-2698 (Adolor Corporation, Exton, PA, USA), that are currently under investigation for their use in treating OBD. Early studies confirm that they are effective at normalizing bowel function in opioid-treated patients without entering the central nervous system and affecting analgesia. With a better understanding of the prevalence of OBD and its pathophysiology, a more aggressive approach to preventing and treating OBD is possible and will likely improve the quality of life of patients with pain.","ISSN":"0002-9610","note":"PMID: 11755892","journalAbbreviation":"Am. J. Surg.","language":"eng","author":[{"family":"Pappagallo","given":"M."}],"issued":{"date-parts":[["2001",11]]}}}],"schema":"https://github.com/citation-style-language/schema/raw/master/csl-citation.json"} </w:instrText>
      </w:r>
      <w:r w:rsidR="000D469B" w:rsidRPr="00C311AE">
        <w:rPr>
          <w:rFonts w:ascii="Book Antiqua" w:hAnsi="Book Antiqua" w:cs="Arial"/>
          <w:vertAlign w:val="superscript"/>
        </w:rPr>
        <w:fldChar w:fldCharType="separate"/>
      </w:r>
      <w:r w:rsidR="00006322" w:rsidRPr="00C311AE">
        <w:rPr>
          <w:rFonts w:ascii="Book Antiqua" w:hAnsi="Book Antiqua"/>
          <w:vertAlign w:val="superscript"/>
        </w:rPr>
        <w:t>[</w:t>
      </w:r>
      <w:r w:rsidR="00B160C4" w:rsidRPr="00C311AE">
        <w:rPr>
          <w:rFonts w:ascii="Book Antiqua" w:hAnsi="Book Antiqua"/>
          <w:vertAlign w:val="superscript"/>
        </w:rPr>
        <w:t>6</w:t>
      </w:r>
      <w:r w:rsidR="00271585" w:rsidRPr="00C311AE">
        <w:rPr>
          <w:rFonts w:ascii="Book Antiqua" w:hAnsi="Book Antiqua"/>
          <w:vertAlign w:val="superscript"/>
        </w:rPr>
        <w:t>,33</w:t>
      </w:r>
      <w:r w:rsidR="00006322" w:rsidRPr="00C311AE">
        <w:rPr>
          <w:rFonts w:ascii="Book Antiqua" w:hAnsi="Book Antiqua"/>
          <w:vertAlign w:val="superscript"/>
        </w:rPr>
        <w:t>]</w:t>
      </w:r>
      <w:r w:rsidR="000D469B" w:rsidRPr="00C311AE">
        <w:rPr>
          <w:rFonts w:ascii="Book Antiqua" w:hAnsi="Book Antiqua" w:cs="Arial"/>
          <w:vertAlign w:val="superscript"/>
        </w:rPr>
        <w:fldChar w:fldCharType="end"/>
      </w:r>
      <w:r w:rsidR="00BE3F55" w:rsidRPr="00C311AE">
        <w:rPr>
          <w:rFonts w:ascii="Book Antiqua" w:hAnsi="Book Antiqua" w:cs="Arial"/>
        </w:rPr>
        <w:t xml:space="preserve">. </w:t>
      </w:r>
      <w:r w:rsidR="00271585" w:rsidRPr="00C311AE">
        <w:rPr>
          <w:rFonts w:ascii="Book Antiqua" w:hAnsi="Book Antiqua" w:cs="Arial"/>
        </w:rPr>
        <w:t xml:space="preserve">Future studies can look into the prevalence of laxative use in opioid using gastroparesis patients. </w:t>
      </w:r>
      <w:r w:rsidR="0047078B" w:rsidRPr="00C311AE">
        <w:rPr>
          <w:rFonts w:ascii="Book Antiqua" w:hAnsi="Book Antiqua" w:cs="Arial"/>
        </w:rPr>
        <w:t xml:space="preserve">Our finding of higher severity of many gastrointestinal symptoms in GpCO compared to opioid-naïve Gp patients, despite no statistically significant difference in the </w:t>
      </w:r>
      <w:r w:rsidR="00061D2A" w:rsidRPr="00C311AE">
        <w:rPr>
          <w:rFonts w:ascii="Book Antiqua" w:hAnsi="Book Antiqua" w:cs="Arial"/>
        </w:rPr>
        <w:t>2 and 4 h</w:t>
      </w:r>
      <w:r w:rsidR="007875F6" w:rsidRPr="00C311AE">
        <w:rPr>
          <w:rFonts w:ascii="Book Antiqua" w:eastAsiaTheme="minorEastAsia" w:hAnsi="Book Antiqua" w:cs="Arial" w:hint="eastAsia"/>
          <w:lang w:eastAsia="zh-CN"/>
        </w:rPr>
        <w:t xml:space="preserve"> </w:t>
      </w:r>
      <w:r w:rsidR="00BC1C6D">
        <w:rPr>
          <w:rFonts w:ascii="Book Antiqua" w:eastAsiaTheme="minorEastAsia" w:hAnsi="Book Antiqua" w:cs="Arial"/>
          <w:lang w:eastAsia="zh-CN"/>
        </w:rPr>
        <w:t>r</w:t>
      </w:r>
      <w:r w:rsidR="00061D2A" w:rsidRPr="00C311AE">
        <w:rPr>
          <w:rFonts w:ascii="Book Antiqua" w:hAnsi="Book Antiqua" w:cs="Arial"/>
        </w:rPr>
        <w:t xml:space="preserve">etention in </w:t>
      </w:r>
      <w:r w:rsidR="0047078B" w:rsidRPr="00C311AE">
        <w:rPr>
          <w:rFonts w:ascii="Book Antiqua" w:hAnsi="Book Antiqua" w:cs="Arial"/>
        </w:rPr>
        <w:t>gastric emptying tests between the two groups is not novel, as Karamanolis et al showed that the symptom pattern in Gp is not determined by the severi</w:t>
      </w:r>
      <w:r w:rsidR="00006322" w:rsidRPr="00C311AE">
        <w:rPr>
          <w:rFonts w:ascii="Book Antiqua" w:hAnsi="Book Antiqua" w:cs="Arial"/>
        </w:rPr>
        <w:t>ty of delay in gastric emptying</w:t>
      </w:r>
      <w:r w:rsidR="0047078B"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13virfo9ib","properties":{"formattedCitation":"(26)","plainCitation":"(26)"},"citationItems":[{"id":"TFto28VN/ahSY0tLl","uris":["http://zotero.org/users/1947443/items/48J4J735"],"uri":["http://zotero.org/users/1947443/items/48J4J735"],"itemData":{"id":"TFto28VN/ahSY0tLl","type":"article-journal","title":"Determinants of symptom pattern in idiopathic severely delayed gastric emptying: gastric emptying rate or proximal stomach dysfunction?","container-title":"Gut","page":"29-36","volume":"56","issue":"1","source":"PubMed","abstract":"BACKGROUND: Idiopathic gastroparesis is a syndrome characterised by severely delayed gastric emptying of solids without an obvious underlying organic cause. Although delayed gastric emptying is traditionally considered the mechanism underlying the symptoms in these patients, poor correlations with symptom severity have been reported.\nAIMS: To investigate proximal stomach function and to study the correlation of delayed gastric emptying and proximal stomach dysfunction with symptom pattern and severity in idiopathic gastroparesis.\nMETHODS: 58 consecutive patients (19 men, mean (standard deviation) age 41 (2) years) with severely delayed solid gastric emptying (gastric half-emptying time (t(1/2))&gt;109 min) without an organic cause were recruited. They filled out a symptom-severity questionnaire and underwent a gastric barostat study for assessment of gastric sensitivity and accommodation. Correlation of these mechanisms with symptom pattern and overall symptom severity (sum of individual symptoms) was analysed.\nRESULTS: At two different cut-off levels for gastric emptying (upper limit of normal t(1/2) up to 1.5 and 2 times), no significant change in symptom pattern occurred. 25 (43%) patients had impaired accommodation, and this was associated with higher prevalence of early satiety (p&lt;0.005) and weight loss (p = 0.009). 17 (29%) patients had hypersensitivity to gastric distension, and this was associated with higher prevalences of epigastric pain (p = 0.005), early satiety (p = 0.04) and weight loss (p&lt;0.005). Overall symptom severity was not correlated with gastric emptying or accommodation, but only with sensitivity to gastric distension (R = -0.3898, p = 0.003) and body weight (R = -0.4233, p = 0.001).\nCONCLUSIONS: In patients with idiopathic gastroparesis, the symptom pattern is determined by proximal stomach dysfunction rather than by the severity of delayed emptying.","DOI":"10.1136/gut.2005.089508","ISSN":"0017-5749","note":"PMID: 16840507\nPMCID: PMC1856678","shortTitle":"Determinants of symptom pattern in idiopathic severely delayed gastric emptying","journalAbbreviation":"Gut","language":"eng","author":[{"family":"Karamanolis","given":"G."},{"family":"Caenepeel","given":"P."},{"family":"Arts","given":"J."},{"family":"Tack","given":"J."}],"issued":{"date-parts":[["2007",1]]}}}],"schema":"https://github.com/citation-style-language/schema/raw/master/csl-citation.json"} </w:instrText>
      </w:r>
      <w:r w:rsidR="0047078B" w:rsidRPr="00C311AE">
        <w:rPr>
          <w:rFonts w:ascii="Book Antiqua" w:hAnsi="Book Antiqua" w:cs="Arial"/>
          <w:vertAlign w:val="superscript"/>
        </w:rPr>
        <w:fldChar w:fldCharType="separate"/>
      </w:r>
      <w:r w:rsidR="00006322" w:rsidRPr="00C311AE">
        <w:rPr>
          <w:rFonts w:ascii="Book Antiqua" w:hAnsi="Book Antiqua"/>
          <w:vertAlign w:val="superscript"/>
        </w:rPr>
        <w:t>[</w:t>
      </w:r>
      <w:r w:rsidR="00F50B74" w:rsidRPr="00C311AE">
        <w:rPr>
          <w:rFonts w:ascii="Book Antiqua" w:hAnsi="Book Antiqua"/>
          <w:vertAlign w:val="superscript"/>
        </w:rPr>
        <w:t>3</w:t>
      </w:r>
      <w:r w:rsidR="00C71E9F" w:rsidRPr="00C311AE">
        <w:rPr>
          <w:rFonts w:ascii="Book Antiqua" w:hAnsi="Book Antiqua"/>
          <w:vertAlign w:val="superscript"/>
        </w:rPr>
        <w:t>4</w:t>
      </w:r>
      <w:r w:rsidR="00006322" w:rsidRPr="00C311AE">
        <w:rPr>
          <w:rFonts w:ascii="Book Antiqua" w:hAnsi="Book Antiqua"/>
          <w:vertAlign w:val="superscript"/>
        </w:rPr>
        <w:t>]</w:t>
      </w:r>
      <w:r w:rsidR="0047078B" w:rsidRPr="00C311AE">
        <w:rPr>
          <w:rFonts w:ascii="Book Antiqua" w:hAnsi="Book Antiqua" w:cs="Arial"/>
          <w:vertAlign w:val="superscript"/>
        </w:rPr>
        <w:fldChar w:fldCharType="end"/>
      </w:r>
      <w:r w:rsidR="0047078B" w:rsidRPr="00C311AE">
        <w:rPr>
          <w:rFonts w:ascii="Book Antiqua" w:hAnsi="Book Antiqua" w:cs="Arial"/>
        </w:rPr>
        <w:t xml:space="preserve">. </w:t>
      </w:r>
      <w:r w:rsidR="0047078B" w:rsidRPr="00C311AE">
        <w:rPr>
          <w:rFonts w:ascii="Book Antiqua" w:hAnsi="Book Antiqua" w:cs="Arial"/>
        </w:rPr>
        <w:fldChar w:fldCharType="begin"/>
      </w:r>
      <w:r w:rsidR="0047078B" w:rsidRPr="00C311AE">
        <w:rPr>
          <w:rFonts w:ascii="Book Antiqua" w:hAnsi="Book Antiqua" w:cs="Arial"/>
        </w:rPr>
        <w:instrText xml:space="preserve"> ADDIN ZOTERO_ITEM CSL_CITATION {"citationID":"1ucrcnl7l1","properties":{"formattedCitation":"{\\rtf \\super 25\\nosupersub{}}","plainCitation":"25","dontUpdate":true},"citationItems":[{"id":1035,"uris":["http://zotero.org/users/1947443/items/48J4J735"],"uri":["http://zotero.org/users/1947443/items/48J4J735"],"itemData":{"id":1035,"type":"article-journal","title":"Determinants of symptom pattern in idiopathic severely delayed gastric emptying: gastric emptying rate or proximal stomach dysfunction?","container-title":"Gut","page":"29-36","volume":"56","issue":"1","source":"PubMed","abstract":"BACKGROUND: Idiopathic gastroparesis is a syndrome characterised by severely delayed gastric emptying of solids without an obvious underlying organic cause. Although delayed gastric emptying is traditionally considered the mechanism underlying the symptoms in these patients, poor correlations with symptom severity have been reported.\nAIMS: To investigate proximal stomach function and to study the correlation of delayed gastric emptying and proximal stomach dysfunction with symptom pattern and severity in idiopathic gastroparesis.\nMETHODS: 58 consecutive patients (19 men, mean (standard deviation) age 41 (2) years) with severely delayed solid gastric emptying (gastric half-emptying time (t(1/2))&gt;109 min) without an organic cause were recruited. They filled out a symptom-severity questionnaire and underwent a gastric barostat study for assessment of gastric sensitivity and accommodation. Correlation of these mechanisms with symptom pattern and overall symptom severity (sum of individual symptoms) was analysed.\nRESULTS: At two different cut-off levels for gastric emptying (upper limit of normal t(1/2) up to 1.5 and 2 times), no significant change in symptom pattern occurred. 25 (43%) patients had impaired accommodation, and this was associated with higher prevalence of early satiety (p&lt;0.005) and weight loss (p = 0.009). 17 (29%) patients had hypersensitivity to gastric distension, and this was associated with higher prevalences of epigastric pain (p = 0.005), early satiety (p = 0.04) and weight loss (p&lt;0.005). Overall symptom severity was not correlated with gastric emptying or accommodation, but only with sensitivity to gastric distension (R = -0.3898, p = 0.003) and body weight (R = -0.4233, p = 0.001).\nCONCLUSIONS: In patients with idiopathic gastroparesis, the symptom pattern is determined by proximal stomach dysfunction rather than by the severity of delayed emptying.","DOI":"10.1136/gut.2005.089508","ISSN":"0017-5749","note":"PMID: 16840507\nPMCID: PMC1856678","shortTitle":"Determinants of symptom pattern in idiopathic severely delayed gastric emptying","journalAbbreviation":"Gut","language":"eng","author":[{"family":"Karamanolis","given":"G."},{"family":"Caenepeel","given":"P."},{"family":"Arts","given":"J."},{"family":"Tack","given":"J."}],"issued":{"date-parts":[["2007",1]]}}}],"schema":"https://github.com/citation-style-language/schema/raw/master/csl-citation.json"} </w:instrText>
      </w:r>
      <w:r w:rsidR="0047078B" w:rsidRPr="00C311AE">
        <w:rPr>
          <w:rFonts w:ascii="Book Antiqua" w:hAnsi="Book Antiqua" w:cs="Arial"/>
        </w:rPr>
        <w:fldChar w:fldCharType="end"/>
      </w:r>
    </w:p>
    <w:p w14:paraId="3F48C34C" w14:textId="7450B5C2" w:rsidR="00020989" w:rsidRPr="00C311AE" w:rsidRDefault="00020989" w:rsidP="00020CC7">
      <w:pPr>
        <w:snapToGrid w:val="0"/>
        <w:spacing w:line="360" w:lineRule="auto"/>
        <w:ind w:firstLineChars="100" w:firstLine="240"/>
        <w:jc w:val="both"/>
        <w:rPr>
          <w:rFonts w:ascii="Book Antiqua" w:hAnsi="Book Antiqua" w:cs="Arial"/>
        </w:rPr>
      </w:pPr>
      <w:r w:rsidRPr="00C311AE">
        <w:rPr>
          <w:rFonts w:ascii="Book Antiqua" w:hAnsi="Book Antiqua" w:cs="Arial"/>
        </w:rPr>
        <w:t>Patients with Gp may have symptoms that mimic clinical manife</w:t>
      </w:r>
      <w:r w:rsidR="00BA3CE1" w:rsidRPr="00C311AE">
        <w:rPr>
          <w:rFonts w:ascii="Book Antiqua" w:hAnsi="Book Antiqua" w:cs="Arial"/>
        </w:rPr>
        <w:t>stations of CP.</w:t>
      </w:r>
      <w:r w:rsidRPr="00C311AE">
        <w:rPr>
          <w:rFonts w:ascii="Book Antiqua" w:hAnsi="Book Antiqua" w:cs="Arial"/>
        </w:rPr>
        <w:t xml:space="preserve"> In fact, Chowdhury </w:t>
      </w:r>
      <w:r w:rsidRPr="00020CC7">
        <w:rPr>
          <w:rFonts w:ascii="Book Antiqua" w:hAnsi="Book Antiqua" w:cs="Arial"/>
          <w:i/>
        </w:rPr>
        <w:t>et al</w:t>
      </w:r>
      <w:r w:rsidR="00020CC7" w:rsidRPr="00C311AE">
        <w:rPr>
          <w:rFonts w:ascii="Book Antiqua" w:hAnsi="Book Antiqua" w:cs="Arial"/>
          <w:vertAlign w:val="superscript"/>
        </w:rPr>
        <w:fldChar w:fldCharType="begin"/>
      </w:r>
      <w:r w:rsidR="00020CC7" w:rsidRPr="00C311AE">
        <w:rPr>
          <w:rFonts w:ascii="Book Antiqua" w:hAnsi="Book Antiqua" w:cs="Arial"/>
          <w:vertAlign w:val="superscript"/>
        </w:rPr>
        <w:instrText xml:space="preserve"> ADDIN ZOTERO_ITEM CSL_CITATION {"citationID":"a2dtapmc9mv","properties":{"formattedCitation":"(31)","plainCitation":"(31)"},"citationItems":[{"id":141,"uris":["http://zotero.org/users/local/Y25qLmSx/items/4RBAQHEK"],"uri":["http://zotero.org/users/local/Y25qLmSx/items/4RBAQHEK"],"itemData":{"id":141,"type":"article-journal","title":"Prevalence of gastroparesis in patients with small duct chronic pancreatitis","container-title":"Pancreas","page":"235-238","volume":"26","issue":"3","source":"PubMed","abstract":"INTRODUCTION: The most common symptoms of chronic pancreatitis are abdominal pain, diarrhea, and weight loss. The abdominal pain has no consistent pattern, and nausea and vomiting commonly occur simultaneously. Gastroparesis may produce similar symptoms. These similar symptoms may cause diagnostic confusion, particularly with regard to patients with small-duct chronic pancreatitis, for whom diagnosis of chronic pancreatitis is most difficult. We have observed that coexistent gastroparesis may also interfere with the effectiveness of pancreatic enzyme therapy by failing to deliver proteases into the duodenum and therefore not restoring feedback control of pancreatic secretion.\nAIM: To estimate the prevalence of gastroparesis in patients with minimal-change chronic pancreatitis.\nMETHODOLOGY: Patients with chronic pancreatitis diagnosed on the basis of secretin test results but with otherwise normal pancreatic imaging (ultrasonographic or computed tomographic) findings who had also undergone a gastric emptying study were retrospectively identified. An abnormal secretin test value was defined as a peak bicarbonate concentration in pancreatic secretions of &lt;80 mEq/L after secretin stimulation. Gastroparesis was defined as an emptying half-time greater than 90 minutes.\nRESULTS: Fifty-six patients were identified. Twenty-five of the 56 patients (44%) had concomitant gastroparesis and small-duct chronic pancreatitis. Twenty-four of these 25 were women, and 22 of the 25 had idiopathic small-duct chronic pancreatitis.\nCONCLUSION: In our referral population, gastroparesis is frequently seen in patients with small-duct chronic pancreatitis. For patients with small-duct disease whose abdominal pain does not respond to pancreatic enzyme therapy, clinicians should consider an evaluation for gastroparesis.","ISSN":"1536-4828","note":"PMID: 12657948","journalAbbreviation":"Pancreas","language":"eng","author":[{"family":"Chowdhury","given":"Riaz S."},{"family":"Forsmark","given":"Chris E."},{"family":"Davis","given":"Richard H."},{"family":"Toskes","given":"Phillip P."},{"family":"Verne","given":"G. Nicholas"}],"issued":{"date-parts":[["2003",4]]}}}],"schema":"https://github.com/citation-style-language/schema/raw/master/csl-citation.json"} </w:instrText>
      </w:r>
      <w:r w:rsidR="00020CC7" w:rsidRPr="00C311AE">
        <w:rPr>
          <w:rFonts w:ascii="Book Antiqua" w:hAnsi="Book Antiqua" w:cs="Arial"/>
          <w:vertAlign w:val="superscript"/>
        </w:rPr>
        <w:fldChar w:fldCharType="separate"/>
      </w:r>
      <w:r w:rsidR="00020CC7" w:rsidRPr="00C311AE">
        <w:rPr>
          <w:rFonts w:ascii="Book Antiqua" w:hAnsi="Book Antiqua"/>
          <w:vertAlign w:val="superscript"/>
        </w:rPr>
        <w:t>[24]</w:t>
      </w:r>
      <w:r w:rsidR="00020CC7" w:rsidRPr="00C311AE">
        <w:rPr>
          <w:rFonts w:ascii="Book Antiqua" w:hAnsi="Book Antiqua" w:cs="Arial"/>
          <w:vertAlign w:val="superscript"/>
        </w:rPr>
        <w:fldChar w:fldCharType="end"/>
      </w:r>
      <w:r w:rsidRPr="00C311AE">
        <w:rPr>
          <w:rFonts w:ascii="Book Antiqua" w:hAnsi="Book Antiqua" w:cs="Arial"/>
        </w:rPr>
        <w:t xml:space="preserve"> reported that 44% of </w:t>
      </w:r>
      <w:r w:rsidR="0070675A" w:rsidRPr="00C311AE">
        <w:rPr>
          <w:rFonts w:ascii="Book Antiqua" w:hAnsi="Book Antiqua" w:cs="Arial"/>
        </w:rPr>
        <w:t xml:space="preserve">small duct </w:t>
      </w:r>
      <w:r w:rsidR="001D7D80" w:rsidRPr="00C311AE">
        <w:rPr>
          <w:rFonts w:ascii="Book Antiqua" w:hAnsi="Book Antiqua" w:cs="Arial"/>
        </w:rPr>
        <w:t>CP</w:t>
      </w:r>
      <w:r w:rsidRPr="00C311AE">
        <w:rPr>
          <w:rFonts w:ascii="Book Antiqua" w:hAnsi="Book Antiqua" w:cs="Arial"/>
        </w:rPr>
        <w:t xml:space="preserve"> patients may have concomitant Gp. </w:t>
      </w:r>
      <w:r w:rsidR="001D7D80" w:rsidRPr="00C311AE">
        <w:rPr>
          <w:rFonts w:ascii="Book Antiqua" w:hAnsi="Book Antiqua" w:cs="Arial"/>
        </w:rPr>
        <w:t>While t</w:t>
      </w:r>
      <w:r w:rsidR="00916638" w:rsidRPr="00C311AE">
        <w:rPr>
          <w:rFonts w:ascii="Book Antiqua" w:hAnsi="Book Antiqua" w:cs="Arial"/>
        </w:rPr>
        <w:t xml:space="preserve">he </w:t>
      </w:r>
      <w:r w:rsidR="00916638" w:rsidRPr="00C311AE">
        <w:rPr>
          <w:rStyle w:val="st1"/>
          <w:rFonts w:ascii="Book Antiqua" w:hAnsi="Book Antiqua" w:cs="Arial"/>
          <w:lang w:val="en"/>
        </w:rPr>
        <w:t xml:space="preserve">prevalence of </w:t>
      </w:r>
      <w:r w:rsidR="001D7D80" w:rsidRPr="00C311AE">
        <w:rPr>
          <w:rStyle w:val="st1"/>
          <w:rFonts w:ascii="Book Antiqua" w:hAnsi="Book Antiqua" w:cs="Arial"/>
          <w:lang w:val="en"/>
        </w:rPr>
        <w:t>CP</w:t>
      </w:r>
      <w:r w:rsidR="00916638" w:rsidRPr="00C311AE">
        <w:rPr>
          <w:rStyle w:val="st1"/>
          <w:rFonts w:ascii="Book Antiqua" w:hAnsi="Book Antiqua" w:cs="Arial"/>
          <w:lang w:val="en"/>
        </w:rPr>
        <w:t xml:space="preserve"> in the general population</w:t>
      </w:r>
      <w:r w:rsidR="00916638" w:rsidRPr="00C311AE">
        <w:rPr>
          <w:rStyle w:val="st1"/>
          <w:rFonts w:ascii="Book Antiqua" w:hAnsi="Book Antiqua" w:cs="Arial"/>
          <w:vertAlign w:val="superscript"/>
          <w:lang w:val="en"/>
        </w:rPr>
        <w:t xml:space="preserve"> </w:t>
      </w:r>
      <w:r w:rsidR="006A640C" w:rsidRPr="00C311AE">
        <w:rPr>
          <w:rStyle w:val="st1"/>
          <w:rFonts w:ascii="Book Antiqua" w:hAnsi="Book Antiqua" w:cs="Arial"/>
          <w:lang w:val="en"/>
        </w:rPr>
        <w:t>is</w:t>
      </w:r>
      <w:r w:rsidR="007875F6" w:rsidRPr="00C311AE">
        <w:rPr>
          <w:rStyle w:val="st1"/>
          <w:rFonts w:ascii="Book Antiqua" w:hAnsi="Book Antiqua" w:cs="Arial"/>
          <w:lang w:val="en"/>
        </w:rPr>
        <w:t xml:space="preserve"> only 41.76 per 100</w:t>
      </w:r>
      <w:r w:rsidR="00916638" w:rsidRPr="00C311AE">
        <w:rPr>
          <w:rStyle w:val="st1"/>
          <w:rFonts w:ascii="Book Antiqua" w:hAnsi="Book Antiqua" w:cs="Arial"/>
          <w:lang w:val="en"/>
        </w:rPr>
        <w:t>000</w:t>
      </w:r>
      <w:r w:rsidR="00916638" w:rsidRPr="00C311AE">
        <w:rPr>
          <w:rStyle w:val="st1"/>
          <w:rFonts w:ascii="Book Antiqua" w:hAnsi="Book Antiqua" w:cs="Arial"/>
          <w:vertAlign w:val="superscript"/>
          <w:lang w:val="en"/>
        </w:rPr>
        <w:t>[35]</w:t>
      </w:r>
      <w:r w:rsidR="006A640C" w:rsidRPr="00C311AE">
        <w:rPr>
          <w:rStyle w:val="st1"/>
          <w:rFonts w:ascii="Book Antiqua" w:hAnsi="Book Antiqua" w:cs="Arial"/>
          <w:lang w:val="en"/>
        </w:rPr>
        <w:t xml:space="preserve">, </w:t>
      </w:r>
      <w:r w:rsidR="00916638" w:rsidRPr="00C311AE">
        <w:rPr>
          <w:rFonts w:ascii="Book Antiqua" w:hAnsi="Book Antiqua" w:cs="Arial"/>
        </w:rPr>
        <w:t>the prevalen</w:t>
      </w:r>
      <w:r w:rsidR="006A640C" w:rsidRPr="00C311AE">
        <w:rPr>
          <w:rFonts w:ascii="Book Antiqua" w:hAnsi="Book Antiqua" w:cs="Arial"/>
        </w:rPr>
        <w:t>ce</w:t>
      </w:r>
      <w:r w:rsidR="00BA3CE1" w:rsidRPr="00C311AE">
        <w:rPr>
          <w:rFonts w:ascii="Book Antiqua" w:hAnsi="Book Antiqua" w:cs="Arial"/>
        </w:rPr>
        <w:t xml:space="preserve"> of CP</w:t>
      </w:r>
      <w:r w:rsidR="006A640C" w:rsidRPr="00C311AE">
        <w:rPr>
          <w:rFonts w:ascii="Book Antiqua" w:hAnsi="Book Antiqua" w:cs="Arial"/>
        </w:rPr>
        <w:t xml:space="preserve"> in patients</w:t>
      </w:r>
      <w:r w:rsidR="00916638" w:rsidRPr="00C311AE">
        <w:rPr>
          <w:rFonts w:ascii="Book Antiqua" w:hAnsi="Book Antiqua" w:cs="Arial"/>
        </w:rPr>
        <w:t xml:space="preserve"> </w:t>
      </w:r>
      <w:r w:rsidR="006A640C" w:rsidRPr="00C311AE">
        <w:rPr>
          <w:rFonts w:ascii="Book Antiqua" w:hAnsi="Book Antiqua" w:cs="Arial"/>
        </w:rPr>
        <w:t xml:space="preserve">with </w:t>
      </w:r>
      <w:r w:rsidR="001D7D80" w:rsidRPr="00C311AE">
        <w:rPr>
          <w:rFonts w:ascii="Book Antiqua" w:hAnsi="Book Antiqua" w:cs="Arial"/>
        </w:rPr>
        <w:t>Gp</w:t>
      </w:r>
      <w:r w:rsidR="006A640C" w:rsidRPr="00C311AE">
        <w:rPr>
          <w:rFonts w:ascii="Book Antiqua" w:hAnsi="Book Antiqua" w:cs="Arial"/>
        </w:rPr>
        <w:t xml:space="preserve"> </w:t>
      </w:r>
      <w:r w:rsidR="00916638" w:rsidRPr="00C311AE">
        <w:rPr>
          <w:rFonts w:ascii="Book Antiqua" w:hAnsi="Book Antiqua" w:cs="Arial"/>
        </w:rPr>
        <w:t xml:space="preserve">is not known. </w:t>
      </w:r>
      <w:r w:rsidR="006F127A" w:rsidRPr="00C311AE">
        <w:rPr>
          <w:rFonts w:ascii="Book Antiqua" w:hAnsi="Book Antiqua" w:cs="Arial"/>
        </w:rPr>
        <w:t>In our study, GpCO (7%) were more likely to have a history</w:t>
      </w:r>
      <w:r w:rsidR="006A640C" w:rsidRPr="00C311AE">
        <w:rPr>
          <w:rFonts w:ascii="Book Antiqua" w:hAnsi="Book Antiqua" w:cs="Arial"/>
        </w:rPr>
        <w:t xml:space="preserve"> of </w:t>
      </w:r>
      <w:r w:rsidR="00BA3CE1" w:rsidRPr="00C311AE">
        <w:rPr>
          <w:rFonts w:ascii="Book Antiqua" w:hAnsi="Book Antiqua" w:cs="Arial"/>
        </w:rPr>
        <w:t>CP</w:t>
      </w:r>
      <w:r w:rsidR="006A640C" w:rsidRPr="00C311AE">
        <w:rPr>
          <w:rFonts w:ascii="Book Antiqua" w:hAnsi="Book Antiqua" w:cs="Arial"/>
        </w:rPr>
        <w:t xml:space="preserve"> compare</w:t>
      </w:r>
      <w:r w:rsidR="001D7D80" w:rsidRPr="00C311AE">
        <w:rPr>
          <w:rFonts w:ascii="Book Antiqua" w:hAnsi="Book Antiqua" w:cs="Arial"/>
        </w:rPr>
        <w:t>d</w:t>
      </w:r>
      <w:r w:rsidR="006A640C" w:rsidRPr="00C311AE">
        <w:rPr>
          <w:rFonts w:ascii="Book Antiqua" w:hAnsi="Book Antiqua" w:cs="Arial"/>
        </w:rPr>
        <w:t xml:space="preserve"> to</w:t>
      </w:r>
      <w:r w:rsidR="006F127A" w:rsidRPr="00C311AE">
        <w:rPr>
          <w:rFonts w:ascii="Book Antiqua" w:hAnsi="Book Antiqua" w:cs="Arial"/>
        </w:rPr>
        <w:t xml:space="preserve"> GpNO (1.3%)</w:t>
      </w:r>
      <w:r w:rsidR="006A640C" w:rsidRPr="00C311AE">
        <w:rPr>
          <w:rFonts w:ascii="Book Antiqua" w:hAnsi="Book Antiqua" w:cs="Arial"/>
        </w:rPr>
        <w:t>.</w:t>
      </w:r>
      <w:r w:rsidR="006F127A" w:rsidRPr="00C311AE">
        <w:rPr>
          <w:rFonts w:ascii="Book Antiqua" w:hAnsi="Book Antiqua" w:cs="Arial"/>
        </w:rPr>
        <w:t xml:space="preserve"> </w:t>
      </w:r>
      <w:r w:rsidRPr="00C311AE">
        <w:rPr>
          <w:rFonts w:ascii="Book Antiqua" w:hAnsi="Book Antiqua" w:cs="Arial"/>
        </w:rPr>
        <w:t xml:space="preserve">In </w:t>
      </w:r>
      <w:r w:rsidR="00377628" w:rsidRPr="00C311AE">
        <w:rPr>
          <w:rFonts w:ascii="Book Antiqua" w:hAnsi="Book Antiqua" w:cs="Arial"/>
        </w:rPr>
        <w:t>addition</w:t>
      </w:r>
      <w:r w:rsidRPr="00C311AE">
        <w:rPr>
          <w:rFonts w:ascii="Book Antiqua" w:hAnsi="Book Antiqua" w:cs="Arial"/>
        </w:rPr>
        <w:t>, nearly one fourth (23</w:t>
      </w:r>
      <w:r w:rsidR="005778B8" w:rsidRPr="00C311AE">
        <w:rPr>
          <w:rFonts w:ascii="Book Antiqua" w:hAnsi="Book Antiqua" w:cs="Arial"/>
        </w:rPr>
        <w:t>.1</w:t>
      </w:r>
      <w:r w:rsidRPr="00C311AE">
        <w:rPr>
          <w:rFonts w:ascii="Book Antiqua" w:hAnsi="Book Antiqua" w:cs="Arial"/>
        </w:rPr>
        <w:t xml:space="preserve">%) of GpCO </w:t>
      </w:r>
      <w:r w:rsidR="00377628" w:rsidRPr="00C311AE">
        <w:rPr>
          <w:rFonts w:ascii="Book Antiqua" w:hAnsi="Book Antiqua" w:cs="Arial"/>
        </w:rPr>
        <w:t xml:space="preserve">who </w:t>
      </w:r>
      <w:r w:rsidRPr="00C311AE">
        <w:rPr>
          <w:rFonts w:ascii="Book Antiqua" w:hAnsi="Book Antiqua" w:cs="Arial"/>
        </w:rPr>
        <w:t xml:space="preserve">had </w:t>
      </w:r>
      <w:r w:rsidR="00377628" w:rsidRPr="00C311AE">
        <w:rPr>
          <w:rFonts w:ascii="Book Antiqua" w:hAnsi="Book Antiqua" w:cs="Arial"/>
        </w:rPr>
        <w:t>their</w:t>
      </w:r>
      <w:r w:rsidRPr="00C311AE">
        <w:rPr>
          <w:rFonts w:ascii="Book Antiqua" w:hAnsi="Book Antiqua" w:cs="Arial"/>
        </w:rPr>
        <w:t xml:space="preserve"> trypsin</w:t>
      </w:r>
      <w:r w:rsidR="00377628" w:rsidRPr="00C311AE">
        <w:rPr>
          <w:rFonts w:ascii="Book Antiqua" w:hAnsi="Book Antiqua" w:cs="Arial"/>
        </w:rPr>
        <w:t>ogen</w:t>
      </w:r>
      <w:r w:rsidRPr="00C311AE">
        <w:rPr>
          <w:rFonts w:ascii="Book Antiqua" w:hAnsi="Book Antiqua" w:cs="Arial"/>
        </w:rPr>
        <w:t xml:space="preserve"> levels</w:t>
      </w:r>
      <w:r w:rsidR="00377628" w:rsidRPr="00C311AE">
        <w:rPr>
          <w:rFonts w:ascii="Book Antiqua" w:hAnsi="Book Antiqua" w:cs="Arial"/>
        </w:rPr>
        <w:t xml:space="preserve"> checked had low </w:t>
      </w:r>
      <w:r w:rsidR="00377628" w:rsidRPr="00C311AE">
        <w:rPr>
          <w:rFonts w:ascii="Book Antiqua" w:hAnsi="Book Antiqua" w:cs="Arial"/>
        </w:rPr>
        <w:lastRenderedPageBreak/>
        <w:t>levels</w:t>
      </w:r>
      <w:r w:rsidRPr="00C311AE">
        <w:rPr>
          <w:rFonts w:ascii="Book Antiqua" w:hAnsi="Book Antiqua" w:cs="Arial"/>
        </w:rPr>
        <w:t>, compared to &lt;</w:t>
      </w:r>
      <w:r w:rsidR="007875F6" w:rsidRPr="00C311AE">
        <w:rPr>
          <w:rFonts w:ascii="Book Antiqua" w:eastAsiaTheme="minorEastAsia" w:hAnsi="Book Antiqua" w:cs="Arial" w:hint="eastAsia"/>
          <w:lang w:eastAsia="zh-CN"/>
        </w:rPr>
        <w:t xml:space="preserve"> </w:t>
      </w:r>
      <w:r w:rsidRPr="00C311AE">
        <w:rPr>
          <w:rFonts w:ascii="Book Antiqua" w:hAnsi="Book Antiqua" w:cs="Arial"/>
        </w:rPr>
        <w:t xml:space="preserve">5% in GpNO, suggesting some of our Gp patients using opioids chronically possibly had </w:t>
      </w:r>
      <w:r w:rsidR="00377628" w:rsidRPr="00C311AE">
        <w:rPr>
          <w:rFonts w:ascii="Book Antiqua" w:hAnsi="Book Antiqua" w:cs="Arial"/>
        </w:rPr>
        <w:t>severe</w:t>
      </w:r>
      <w:r w:rsidR="00BA3CE1" w:rsidRPr="00C311AE">
        <w:rPr>
          <w:rFonts w:ascii="Book Antiqua" w:hAnsi="Book Antiqua" w:cs="Arial"/>
        </w:rPr>
        <w:t xml:space="preserve"> </w:t>
      </w:r>
      <w:r w:rsidR="00377628" w:rsidRPr="00C311AE">
        <w:rPr>
          <w:rFonts w:ascii="Book Antiqua" w:hAnsi="Book Antiqua" w:cs="Arial"/>
        </w:rPr>
        <w:t xml:space="preserve">calcific </w:t>
      </w:r>
      <w:r w:rsidR="00BA3CE1" w:rsidRPr="00C311AE">
        <w:rPr>
          <w:rFonts w:ascii="Book Antiqua" w:hAnsi="Book Antiqua" w:cs="Arial"/>
        </w:rPr>
        <w:t>CP</w:t>
      </w:r>
      <w:r w:rsidRPr="00C311AE">
        <w:rPr>
          <w:rFonts w:ascii="Book Antiqua" w:hAnsi="Book Antiqua" w:cs="Arial"/>
        </w:rPr>
        <w:t xml:space="preserve"> with associated Gp, which might have been causing them abdominal pain.</w:t>
      </w:r>
      <w:r w:rsidR="0070675A" w:rsidRPr="00C311AE">
        <w:rPr>
          <w:rFonts w:ascii="Book Antiqua" w:hAnsi="Book Antiqua" w:cs="Arial"/>
        </w:rPr>
        <w:t xml:space="preserve"> </w:t>
      </w:r>
      <w:r w:rsidR="00916638" w:rsidRPr="00C311AE">
        <w:rPr>
          <w:rFonts w:ascii="Book Antiqua" w:hAnsi="Book Antiqua" w:cs="Arial"/>
        </w:rPr>
        <w:t>While</w:t>
      </w:r>
      <w:r w:rsidR="00271585" w:rsidRPr="00C311AE">
        <w:rPr>
          <w:rFonts w:ascii="Book Antiqua" w:hAnsi="Book Antiqua" w:cs="Arial"/>
        </w:rPr>
        <w:t xml:space="preserve"> the sensitivity of serum trypsinogen level in diagnosing </w:t>
      </w:r>
      <w:r w:rsidR="00BA3CE1" w:rsidRPr="00C311AE">
        <w:rPr>
          <w:rFonts w:ascii="Book Antiqua" w:hAnsi="Book Antiqua" w:cs="Arial"/>
        </w:rPr>
        <w:t>CP was</w:t>
      </w:r>
      <w:r w:rsidR="006A640C" w:rsidRPr="00C311AE">
        <w:rPr>
          <w:rFonts w:ascii="Book Antiqua" w:hAnsi="Book Antiqua" w:cs="Arial"/>
        </w:rPr>
        <w:t xml:space="preserve"> only</w:t>
      </w:r>
      <w:r w:rsidR="00271585" w:rsidRPr="00C311AE">
        <w:rPr>
          <w:rFonts w:ascii="Book Antiqua" w:hAnsi="Book Antiqua" w:cs="Arial"/>
        </w:rPr>
        <w:t xml:space="preserve"> </w:t>
      </w:r>
      <w:r w:rsidR="00916638" w:rsidRPr="00C311AE">
        <w:rPr>
          <w:rFonts w:ascii="Book Antiqua" w:hAnsi="Book Antiqua" w:cs="Arial"/>
        </w:rPr>
        <w:t xml:space="preserve">28%, the specificity was 100% in a study by Pezzilli </w:t>
      </w:r>
      <w:r w:rsidR="00916638" w:rsidRPr="00FF520E">
        <w:rPr>
          <w:rFonts w:ascii="Book Antiqua" w:hAnsi="Book Antiqua" w:cs="Arial"/>
          <w:i/>
        </w:rPr>
        <w:t>et al</w:t>
      </w:r>
      <w:r w:rsidR="006A640C" w:rsidRPr="00C311AE">
        <w:rPr>
          <w:rFonts w:ascii="Book Antiqua" w:hAnsi="Book Antiqua" w:cs="Arial"/>
          <w:vertAlign w:val="superscript"/>
        </w:rPr>
        <w:t>[3</w:t>
      </w:r>
      <w:r w:rsidR="001D7D80" w:rsidRPr="00C311AE">
        <w:rPr>
          <w:rFonts w:ascii="Book Antiqua" w:hAnsi="Book Antiqua" w:cs="Arial"/>
          <w:vertAlign w:val="superscript"/>
        </w:rPr>
        <w:t>6</w:t>
      </w:r>
      <w:r w:rsidR="006A640C" w:rsidRPr="00C311AE">
        <w:rPr>
          <w:rFonts w:ascii="Book Antiqua" w:hAnsi="Book Antiqua" w:cs="Arial"/>
          <w:vertAlign w:val="superscript"/>
        </w:rPr>
        <w:t>]</w:t>
      </w:r>
      <w:r w:rsidR="00271585" w:rsidRPr="00C311AE">
        <w:rPr>
          <w:rFonts w:ascii="Book Antiqua" w:hAnsi="Book Antiqua" w:cs="Arial"/>
        </w:rPr>
        <w:t xml:space="preserve">. </w:t>
      </w:r>
    </w:p>
    <w:p w14:paraId="27B72276" w14:textId="4B41B153" w:rsidR="00BF0F46" w:rsidRPr="00C311AE" w:rsidRDefault="003816FC" w:rsidP="00020CC7">
      <w:pPr>
        <w:snapToGrid w:val="0"/>
        <w:spacing w:line="360" w:lineRule="auto"/>
        <w:ind w:firstLineChars="100" w:firstLine="240"/>
        <w:jc w:val="both"/>
        <w:rPr>
          <w:rFonts w:ascii="Book Antiqua" w:hAnsi="Book Antiqua" w:cs="Arial"/>
          <w:b/>
        </w:rPr>
      </w:pPr>
      <w:r w:rsidRPr="00C311AE">
        <w:rPr>
          <w:rFonts w:ascii="Book Antiqua" w:hAnsi="Book Antiqua" w:cs="Arial"/>
        </w:rPr>
        <w:t xml:space="preserve">Gp patients have </w:t>
      </w:r>
      <w:r w:rsidR="00A3662A" w:rsidRPr="00C311AE">
        <w:rPr>
          <w:rFonts w:ascii="Book Antiqua" w:hAnsi="Book Antiqua" w:cs="Arial"/>
        </w:rPr>
        <w:t xml:space="preserve">been reported to have </w:t>
      </w:r>
      <w:r w:rsidRPr="00C311AE">
        <w:rPr>
          <w:rFonts w:ascii="Book Antiqua" w:hAnsi="Book Antiqua" w:cs="Arial"/>
        </w:rPr>
        <w:t xml:space="preserve">the longest length of </w:t>
      </w:r>
      <w:r w:rsidR="0035681A" w:rsidRPr="00C311AE">
        <w:rPr>
          <w:rFonts w:ascii="Book Antiqua" w:hAnsi="Book Antiqua" w:cs="Arial"/>
        </w:rPr>
        <w:t xml:space="preserve">hospital </w:t>
      </w:r>
      <w:r w:rsidRPr="00C311AE">
        <w:rPr>
          <w:rFonts w:ascii="Book Antiqua" w:hAnsi="Book Antiqua" w:cs="Arial"/>
        </w:rPr>
        <w:t xml:space="preserve">stay (5 </w:t>
      </w:r>
      <w:r w:rsidR="00020CC7">
        <w:rPr>
          <w:rFonts w:ascii="Book Antiqua" w:eastAsiaTheme="minorEastAsia" w:hAnsi="Book Antiqua" w:cs="Arial" w:hint="eastAsia"/>
          <w:lang w:eastAsia="zh-CN"/>
        </w:rPr>
        <w:t>d</w:t>
      </w:r>
      <w:r w:rsidRPr="00C311AE">
        <w:rPr>
          <w:rFonts w:ascii="Book Antiqua" w:hAnsi="Book Antiqua" w:cs="Arial"/>
        </w:rPr>
        <w:t>) amongst the functi</w:t>
      </w:r>
      <w:r w:rsidR="00C45FAF" w:rsidRPr="00C311AE">
        <w:rPr>
          <w:rFonts w:ascii="Book Antiqua" w:hAnsi="Book Antiqua" w:cs="Arial"/>
        </w:rPr>
        <w:t>onal gastrointestinal disorders</w:t>
      </w:r>
      <w:r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at5d3cf84f","properties":{"formattedCitation":"(23)","plainCitation":"(23)"},"citationItems":[{"id":113,"uris":["http://zotero.org/users/local/Y25qLmSx/items/E9K5IE6C"],"uri":["http://zotero.org/users/local/Y25qLmSx/items/E9K5IE6C"],"itemData":{"id":113,"type":"article-journal","title":"Mo1100 Increasing Burden of Functional Gastrointestinal Disorders: An Analysis of Hospitalizations and Emergency Room Visits","container-title":"Gastroenterology","page":"S634","volume":"150","issue":"4","source":"ScienceDirect","DOI":"10.1016/S0016-5085(16)32177-1","ISSN":"0016-5085","shortTitle":"Mo1100 Increasing Burden of Functional Gastrointestinal Disorders","journalAbbreviation":"Gastroenterology","author":[{"family":"Bashir","given":"Muhammad H."},{"family":"Bielefeldt","given":"Klaus"},{"family":"Nusrat","given":"Salman"}],"issued":{"date-parts":[["2016",4,1]]}}}],"schema":"https://github.com/citation-style-language/schema/raw/master/csl-citation.json"} </w:instrText>
      </w:r>
      <w:r w:rsidRPr="00C311AE">
        <w:rPr>
          <w:rFonts w:ascii="Book Antiqua" w:hAnsi="Book Antiqua" w:cs="Arial"/>
          <w:vertAlign w:val="superscript"/>
        </w:rPr>
        <w:fldChar w:fldCharType="separate"/>
      </w:r>
      <w:r w:rsidR="00C45FAF" w:rsidRPr="00C311AE">
        <w:rPr>
          <w:rFonts w:ascii="Book Antiqua" w:hAnsi="Book Antiqua"/>
          <w:vertAlign w:val="superscript"/>
        </w:rPr>
        <w:t>[</w:t>
      </w:r>
      <w:r w:rsidR="00C71E9F" w:rsidRPr="00C311AE">
        <w:rPr>
          <w:rFonts w:ascii="Book Antiqua" w:hAnsi="Book Antiqua"/>
          <w:vertAlign w:val="superscript"/>
        </w:rPr>
        <w:t>31</w:t>
      </w:r>
      <w:r w:rsidR="00C45FAF" w:rsidRPr="00C311AE">
        <w:rPr>
          <w:rFonts w:ascii="Book Antiqua" w:hAnsi="Book Antiqua"/>
          <w:vertAlign w:val="superscript"/>
        </w:rPr>
        <w:t>]</w:t>
      </w:r>
      <w:r w:rsidRPr="00C311AE">
        <w:rPr>
          <w:rFonts w:ascii="Book Antiqua" w:hAnsi="Book Antiqua" w:cs="Arial"/>
          <w:vertAlign w:val="superscript"/>
        </w:rPr>
        <w:fldChar w:fldCharType="end"/>
      </w:r>
      <w:r w:rsidRPr="00C311AE">
        <w:rPr>
          <w:rFonts w:ascii="Book Antiqua" w:hAnsi="Book Antiqua" w:cs="Arial"/>
        </w:rPr>
        <w:t xml:space="preserve">. </w:t>
      </w:r>
      <w:r w:rsidR="00E1688A" w:rsidRPr="00C311AE">
        <w:rPr>
          <w:rFonts w:ascii="Book Antiqua" w:hAnsi="Book Antiqua" w:cs="Arial"/>
        </w:rPr>
        <w:t>Recent s</w:t>
      </w:r>
      <w:r w:rsidR="00C32997" w:rsidRPr="00C311AE">
        <w:rPr>
          <w:rFonts w:ascii="Book Antiqua" w:hAnsi="Book Antiqua" w:cs="Arial"/>
        </w:rPr>
        <w:t xml:space="preserve">tudies suggest increasing hospitalization due to </w:t>
      </w:r>
      <w:r w:rsidR="008D26CB" w:rsidRPr="00C311AE">
        <w:rPr>
          <w:rFonts w:ascii="Book Antiqua" w:hAnsi="Book Antiqua" w:cs="Arial"/>
        </w:rPr>
        <w:t>Gp</w:t>
      </w:r>
      <w:r w:rsidR="00C32997" w:rsidRPr="00C311AE">
        <w:rPr>
          <w:rFonts w:ascii="Book Antiqua" w:hAnsi="Book Antiqua" w:cs="Arial"/>
        </w:rPr>
        <w:t xml:space="preserve"> over the </w:t>
      </w:r>
      <w:r w:rsidR="00BD113E" w:rsidRPr="00C311AE">
        <w:rPr>
          <w:rFonts w:ascii="Book Antiqua" w:hAnsi="Book Antiqua" w:cs="Arial"/>
        </w:rPr>
        <w:t xml:space="preserve">past 20 </w:t>
      </w:r>
      <w:r w:rsidR="00C32997" w:rsidRPr="00C311AE">
        <w:rPr>
          <w:rFonts w:ascii="Book Antiqua" w:hAnsi="Book Antiqua" w:cs="Arial"/>
        </w:rPr>
        <w:t>years</w:t>
      </w:r>
      <w:r w:rsidR="000D469B"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{"citationID":"Loubm0L8","properties":{"formattedCitation":"{\\rtf (32\\uc0\\u8211{}34)}","plainCitation":"(32–34)"},"citationItems":[{"id":90,"uris":["http://zotero.org/users/local/Y25qLmSx/items/T9NF9EJU"],"uri":["http://zotero.org/users/local/Y25qLmSx/items/T9NF9EJU"],"itemData":{"id":90,"type":"article-journal","title":"Factors influencing admission and outcomes in gastroparesis","container-title":"Neurogastroenterology and Motility: The Official Journal of the European Gastrointestinal Motility Society","page":"389-398, e294","volume":"25","issue":"5","source":"PubMed","abstract":"BACKGROUND: Current data suggest that gastroparesis is associated with an increased mortality, with reported rates ranging from 4% to nearly 40%. Considering this variability, the goal of this study was to determine mortality rates and risk factors for adverse outcomes in gastroparesis.\nMETHODS: Using the diagnosis code for gastroparesis, admission rates, duration of hospitalizations, discharge status, and inpatient mortality were determined for emergency department encounters and admissions compiled in the Nationwide Emergency Department Sample and Nationwide Inpatient Sample of the Agency for Healthcare Research and Quality. Comorbid conditions, procedural evaluations, age cohort, and gender distribution were examined as potential risk factors.\nKEY RESULTS: More than 50% of the emergency encounters for gastroparesis resulted in admission with age, cardiovascular, renal, and infectious disorders, but not diabetes mellitus being associated with higher admission rates. Inpatient mortality was 1.2 ± 0.1%, was not negatively affected by diabetes mellitus as comorbidity, and increased with coexisting infections and with more aggressive therapy. Discharge status was similarly affected by comorbidities, treatment complications, and more aggressive therapy.\nCONCLUSIONS &amp; INFERENCES: These results demonstrate that gastroparesis does not come with a high mortality risk, with most deaths being due to comorbid conditions. Although gastrostomies and/or nutritional support were used in only a minority of admissions, the associated increase in morbidity and mortality highlights the need to carefully select the right candidates for such interventions and to discuss the common occurrence of adverse outcomes with patients.","DOI":"10.1111/nmo.12079","ISSN":"1365-2982","note":"PMID: 23360151","journalAbbreviation":"Neurogastroenterol. Motil.","language":"eng","author":[{"family":"Bielefeldt","given":"K."}],"issued":{"date-parts":[["2013",5]]}}},{"id":92,"uris":["http://zotero.org/users/local/Y25qLmSx/items/SNEFIBJX"],"uri":["http://zotero.org/users/local/Y25qLmSx/items/SNEFIBJX"],"itemData":{"id":92,"type":"article-journal","title":"Gastroparesis-related hospitalizations in the United States: trends, characteristics, and outcomes, 1995-2004","container-title":"The American Journal of Gastroenterology","page":"313-322","volume":"103","issue":"2","source":"PubMed","abstract":"OBJECTIVES: Gastroparesis is an increasingly recognized disorder. Its prevalence in the United States is unknown. We examined the trends, characteristics, and outcomes of gastroparesis-related hospitalizations during 1995-2004.\nMETHODS: The publicly available Healthcare Cost and Utilization Project (HCUP) Nationwide Inpatient Sample (NIS) comprises a nationally representative sample of 5-8 million hospitalizations per year. Gastroparesis-related hospitalizations were identified using the International Classification of Diseases (ICD-9) code 536.3 and compared with other hospitalizations. Multivariate regressions were used to compare for differences in the outcomes including length of stay, total charges, and in-hospital deaths.\nRESULTS: Hospitalizations with gastroparesis as the primary diagnosis increased from 3,977 in 1995 to 10,252 in 2004 (+158%) and hospitalizations with gastroparesis as the secondary diagnosis increased from 56,726 to 134,146 (+136%). These compared to smaller changes in diabetes-related hospitalizations (+53%), all hospitalizations (+13%), and hospitalizations with gastroesophageal reflux disease (GERD), gastric ulcer, gastritis, or nonspecific nausea/vomiting as the primary diagnosis (-3% to +76%). Of the five upper gastrointestinal conditions studied as the primary diagnosis, gastroparesis had the longest length of stay (+15.4% to +66.2%, all P &lt; 0.001) and the highest or second highest total charges (-7.2% to +60.6%, all P &lt; 0.01) in 2004, with similar results in 1995.\nCONCLUSIONS: The number of gastroparesis-related hospitalizations has been increasing in the United States, suggesting an increasing prevalence of gastroparesis. The economic impact of gastroparesis-related hospitalizations is significant and increasing.","DOI":"10.1111/j.1572-0241.2007.01658.x","ISSN":"0002-9270","note":"PMID: 18047541","shortTitle":"Gastroparesis-related hospitalizations in the United States","journalAbbreviation":"Am. J. Gastroenterol.","language":"eng","author":[{"family":"Wang","given":"Yize R."},{"family":"Fisher","given":"Robert S."},{"family":"Parkman","given":"Henry P."}],"issued":{"date-parts":[["2008",2]]}}},{"id":7,"uris":["http://zotero.org/users/local/Y25qLmSx/items/EGP79ZDH"],"uri":["http://zotero.org/users/local/Y25qLmSx/items/EGP79ZDH"],"itemData":{"id":7,"type":"article-journal","title":"Using screening tools to identify neuropathic pain","container-title":"Pain","page":"199-203","volume":"127","issue":"3","source":"PubMed","DOI":"10.1016/j.pain.2006.10.034","ISSN":"1872-6623","note":"PMID: 17182186","journalAbbreviation":"Pain","language":"eng","author":[{"family":"Bennett","given":"Michael I."},{"family":"Attal","given":"Nadine"},{"family":"Backonja","given":"Miroslav M."},{"family":"Baron","given":"Ralf"},{"family":"Bouhassira","given":"Didier"},{"family":"Freynhagen","given":"Rainer"},{"family":"Scholz","given":"Joachim"},{"family":"Tölle","given":"Thomas R."},{"family":"Wittchen","given":"Hans-Ulrich"},{"family":"Jensen","given":"Troels Staehelin"}],"issued":{"date-parts":[["2007",2]]}}}],"schema":"https://github.com/citation-style-language/schema/raw/master/csl-citation.json"} </w:instrText>
      </w:r>
      <w:r w:rsidR="000D469B" w:rsidRPr="00C311AE">
        <w:rPr>
          <w:rFonts w:ascii="Book Antiqua" w:hAnsi="Book Antiqua" w:cs="Arial"/>
          <w:vertAlign w:val="superscript"/>
        </w:rPr>
        <w:fldChar w:fldCharType="separate"/>
      </w:r>
      <w:r w:rsidR="00C45FAF" w:rsidRPr="00C311AE">
        <w:rPr>
          <w:rFonts w:ascii="Book Antiqua" w:hAnsi="Book Antiqua"/>
          <w:vertAlign w:val="superscript"/>
        </w:rPr>
        <w:t>[</w:t>
      </w:r>
      <w:r w:rsidR="00B160C4" w:rsidRPr="00C311AE">
        <w:rPr>
          <w:rFonts w:ascii="Book Antiqua" w:hAnsi="Book Antiqua"/>
          <w:vertAlign w:val="superscript"/>
        </w:rPr>
        <w:t>3</w:t>
      </w:r>
      <w:r w:rsidR="001D7D80" w:rsidRPr="00C311AE">
        <w:rPr>
          <w:rFonts w:ascii="Book Antiqua" w:hAnsi="Book Antiqua"/>
          <w:vertAlign w:val="superscript"/>
        </w:rPr>
        <w:t>7</w:t>
      </w:r>
      <w:r w:rsidR="007875F6" w:rsidRPr="00C311AE">
        <w:rPr>
          <w:rFonts w:ascii="Book Antiqua" w:eastAsiaTheme="minorEastAsia" w:hAnsi="Book Antiqua" w:hint="eastAsia"/>
          <w:vertAlign w:val="superscript"/>
          <w:lang w:eastAsia="zh-CN"/>
        </w:rPr>
        <w:t>-</w:t>
      </w:r>
      <w:r w:rsidR="00286E81" w:rsidRPr="00C311AE">
        <w:rPr>
          <w:rFonts w:ascii="Book Antiqua" w:hAnsi="Book Antiqua"/>
          <w:vertAlign w:val="superscript"/>
        </w:rPr>
        <w:t>3</w:t>
      </w:r>
      <w:r w:rsidR="001D7D80" w:rsidRPr="00C311AE">
        <w:rPr>
          <w:rFonts w:ascii="Book Antiqua" w:hAnsi="Book Antiqua"/>
          <w:vertAlign w:val="superscript"/>
        </w:rPr>
        <w:t>9</w:t>
      </w:r>
      <w:r w:rsidR="00C45FAF" w:rsidRPr="00C311AE">
        <w:rPr>
          <w:rFonts w:ascii="Book Antiqua" w:hAnsi="Book Antiqua"/>
          <w:vertAlign w:val="superscript"/>
        </w:rPr>
        <w:t>]</w:t>
      </w:r>
      <w:r w:rsidR="000D469B" w:rsidRPr="00C311AE">
        <w:rPr>
          <w:rFonts w:ascii="Book Antiqua" w:hAnsi="Book Antiqua" w:cs="Arial"/>
          <w:vertAlign w:val="superscript"/>
        </w:rPr>
        <w:fldChar w:fldCharType="end"/>
      </w:r>
      <w:r w:rsidR="00C32997" w:rsidRPr="00C311AE">
        <w:rPr>
          <w:rFonts w:ascii="Book Antiqua" w:hAnsi="Book Antiqua" w:cs="Arial"/>
        </w:rPr>
        <w:t>. A Nationwide Inp</w:t>
      </w:r>
      <w:r w:rsidR="00020CC7">
        <w:rPr>
          <w:rFonts w:ascii="Book Antiqua" w:hAnsi="Book Antiqua" w:cs="Arial"/>
        </w:rPr>
        <w:t>atient Sample Study reported 17</w:t>
      </w:r>
      <w:r w:rsidR="00C32997" w:rsidRPr="00C311AE">
        <w:rPr>
          <w:rFonts w:ascii="Book Antiqua" w:hAnsi="Book Antiqua" w:cs="Arial"/>
        </w:rPr>
        <w:t xml:space="preserve">220 admissions from </w:t>
      </w:r>
      <w:r w:rsidR="008D26CB" w:rsidRPr="00C311AE">
        <w:rPr>
          <w:rFonts w:ascii="Book Antiqua" w:hAnsi="Book Antiqua" w:cs="Arial"/>
        </w:rPr>
        <w:t>Gp</w:t>
      </w:r>
      <w:r w:rsidR="00C32997" w:rsidRPr="00C311AE">
        <w:rPr>
          <w:rFonts w:ascii="Book Antiqua" w:hAnsi="Book Antiqua" w:cs="Arial"/>
        </w:rPr>
        <w:t xml:space="preserve"> in 2012, a more than 400% increase compared to 1997</w:t>
      </w:r>
      <w:r w:rsidR="00286E81" w:rsidRPr="00C311AE">
        <w:rPr>
          <w:rFonts w:ascii="Book Antiqua" w:hAnsi="Book Antiqua" w:cs="Arial"/>
          <w:vertAlign w:val="superscript"/>
        </w:rPr>
        <w:t>[3</w:t>
      </w:r>
      <w:r w:rsidR="000A0C94" w:rsidRPr="00C311AE">
        <w:rPr>
          <w:rFonts w:ascii="Book Antiqua" w:hAnsi="Book Antiqua" w:cs="Arial"/>
          <w:vertAlign w:val="superscript"/>
        </w:rPr>
        <w:t>9</w:t>
      </w:r>
      <w:r w:rsidR="00286E81" w:rsidRPr="00C311AE">
        <w:rPr>
          <w:rFonts w:ascii="Book Antiqua" w:hAnsi="Book Antiqua" w:cs="Arial"/>
          <w:vertAlign w:val="superscript"/>
        </w:rPr>
        <w:t>]</w:t>
      </w:r>
      <w:r w:rsidR="00C32997" w:rsidRPr="00C311AE">
        <w:rPr>
          <w:rFonts w:ascii="Book Antiqua" w:hAnsi="Book Antiqua" w:cs="Arial"/>
        </w:rPr>
        <w:t xml:space="preserve">. </w:t>
      </w:r>
      <w:r w:rsidR="00D742C8" w:rsidRPr="00C311AE">
        <w:rPr>
          <w:rFonts w:ascii="Book Antiqua" w:hAnsi="Book Antiqua" w:cs="Arial"/>
        </w:rPr>
        <w:t>S</w:t>
      </w:r>
      <w:r w:rsidR="00C32997" w:rsidRPr="00C311AE">
        <w:rPr>
          <w:rFonts w:ascii="Book Antiqua" w:hAnsi="Book Antiqua" w:cs="Arial"/>
        </w:rPr>
        <w:t xml:space="preserve">ome authors suggest that the increasing hospitalization due to </w:t>
      </w:r>
      <w:r w:rsidR="0038763F" w:rsidRPr="00C311AE">
        <w:rPr>
          <w:rFonts w:ascii="Book Antiqua" w:hAnsi="Book Antiqua" w:cs="Arial"/>
        </w:rPr>
        <w:t>Gp</w:t>
      </w:r>
      <w:r w:rsidR="00C32997" w:rsidRPr="00C311AE">
        <w:rPr>
          <w:rFonts w:ascii="Book Antiqua" w:hAnsi="Book Antiqua" w:cs="Arial"/>
        </w:rPr>
        <w:t xml:space="preserve"> comes from better recognition of this disorder</w:t>
      </w:r>
      <w:r w:rsidR="000D469B"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1fetk5a8mp","properties":{"formattedCitation":"(35)","plainCitation":"(35)"},"citationItems":[{"id":94,"uris":["http://zotero.org/users/local/Y25qLmSx/items/AUX7XWEZ"],"uri":["http://zotero.org/users/local/Y25qLmSx/items/AUX7XWEZ"],"itemData":{"id":94,"type":"article-journal","title":"Gastroparesis on the rise: incidence vs awareness?","container-title":"Neurogastroenterology and Motility: The Official Journal of the European Gastrointestinal Motility Society","page":"16-22","volume":"25","issue":"1","source":"PubMed","abstract":"BACKGROUND: Recent reports provide a conflicting picture with a stable prevalence of gastroparesis (GP) in a population-based study, but a more than doubling in hospitalizations for gastroparesis within the last 10 years. We hypothesized that this apparent discrepancy is due to changes in disease recognition and coding rather than prevalence.\nMETHODS: Using data from the Nationwide Inpatient Sample, Healthcare cost and utilization project, Agency for Healthcare Research and Quality, we examined time trends of resource utilization for GP and related disorders.\nKEY RESULTS: Between 1994 and 2009, annual hospitalizations for gastroparesis as primary diagnosis increased more than 18-fold from 918 to 16,736. In the same time frame, hospitalizations for not otherwise specified functional disorders of the stomach decreased by nearly 50% from 13,430 to 6480 per year.\nCONCLUSIONS &amp; INFERENCES: Although hospitalizations rates and emergency encounters for gastroparesis have increased dramatically within the last 2 decades, there was a concomitant decrease in resource utilization for other functional disorders of the stomach, suggesting that increased awareness contributed to this trend, which represents a shift in diagnoses rather than a true difference in the incidence and/or prevalence of these illnesses.","DOI":"10.1111/j.1365-2982.2012.02002.x","ISSN":"1365-2982","note":"PMID: 22937956","shortTitle":"Gastroparesis on the rise","journalAbbreviation":"Neurogastroenterol. Motil.","language":"eng","author":[{"family":"Nusrat","given":"S."},{"family":"Bielefeldt","given":"K."}],"issued":{"date-parts":[["2013",1]]}}}],"schema":"https://github.com/citation-style-language/schema/raw/master/csl-citation.json"} </w:instrText>
      </w:r>
      <w:r w:rsidR="000D469B" w:rsidRPr="00C311AE">
        <w:rPr>
          <w:rFonts w:ascii="Book Antiqua" w:hAnsi="Book Antiqua" w:cs="Arial"/>
          <w:vertAlign w:val="superscript"/>
        </w:rPr>
        <w:fldChar w:fldCharType="separate"/>
      </w:r>
      <w:r w:rsidR="00C45FAF" w:rsidRPr="00C311AE">
        <w:rPr>
          <w:rFonts w:ascii="Book Antiqua" w:hAnsi="Book Antiqua"/>
          <w:vertAlign w:val="superscript"/>
        </w:rPr>
        <w:t>[</w:t>
      </w:r>
      <w:r w:rsidR="001D7D80" w:rsidRPr="00C311AE">
        <w:rPr>
          <w:rFonts w:ascii="Book Antiqua" w:hAnsi="Book Antiqua"/>
          <w:vertAlign w:val="superscript"/>
        </w:rPr>
        <w:t>40</w:t>
      </w:r>
      <w:r w:rsidR="00C45FAF" w:rsidRPr="00C311AE">
        <w:rPr>
          <w:rFonts w:ascii="Book Antiqua" w:hAnsi="Book Antiqua"/>
          <w:vertAlign w:val="superscript"/>
        </w:rPr>
        <w:t>]</w:t>
      </w:r>
      <w:r w:rsidR="000D469B" w:rsidRPr="00C311AE">
        <w:rPr>
          <w:rFonts w:ascii="Book Antiqua" w:hAnsi="Book Antiqua" w:cs="Arial"/>
          <w:vertAlign w:val="superscript"/>
        </w:rPr>
        <w:fldChar w:fldCharType="end"/>
      </w:r>
      <w:r w:rsidR="00C32997" w:rsidRPr="00C311AE">
        <w:rPr>
          <w:rFonts w:ascii="Book Antiqua" w:hAnsi="Book Antiqua" w:cs="Arial"/>
        </w:rPr>
        <w:t>.</w:t>
      </w:r>
      <w:r w:rsidR="009C0392" w:rsidRPr="00C311AE">
        <w:rPr>
          <w:rFonts w:ascii="Book Antiqua" w:hAnsi="Book Antiqua" w:cs="Arial"/>
        </w:rPr>
        <w:t xml:space="preserve"> </w:t>
      </w:r>
      <w:r w:rsidR="000D469B" w:rsidRPr="00C311AE">
        <w:rPr>
          <w:rFonts w:ascii="Book Antiqua" w:hAnsi="Book Antiqua" w:cs="Arial"/>
        </w:rPr>
        <w:t>O</w:t>
      </w:r>
      <w:r w:rsidR="009C0392" w:rsidRPr="00C311AE">
        <w:rPr>
          <w:rFonts w:ascii="Book Antiqua" w:hAnsi="Book Antiqua" w:cs="Arial"/>
        </w:rPr>
        <w:t xml:space="preserve">ur study </w:t>
      </w:r>
      <w:r w:rsidR="000D469B" w:rsidRPr="00C311AE">
        <w:rPr>
          <w:rFonts w:ascii="Book Antiqua" w:hAnsi="Book Antiqua" w:cs="Arial"/>
        </w:rPr>
        <w:t xml:space="preserve">suggests a </w:t>
      </w:r>
      <w:r w:rsidR="00BF0F46" w:rsidRPr="00C311AE">
        <w:rPr>
          <w:rFonts w:ascii="Book Antiqua" w:hAnsi="Book Antiqua" w:cs="Arial"/>
        </w:rPr>
        <w:t xml:space="preserve">higher </w:t>
      </w:r>
      <w:r w:rsidR="00C32997" w:rsidRPr="00C311AE">
        <w:rPr>
          <w:rFonts w:ascii="Book Antiqua" w:hAnsi="Book Antiqua" w:cs="Arial"/>
        </w:rPr>
        <w:t>number of hospitalization</w:t>
      </w:r>
      <w:r w:rsidR="001D317E" w:rsidRPr="00C311AE">
        <w:rPr>
          <w:rFonts w:ascii="Book Antiqua" w:hAnsi="Book Antiqua" w:cs="Arial"/>
        </w:rPr>
        <w:t>s</w:t>
      </w:r>
      <w:r w:rsidR="00C32997" w:rsidRPr="00C311AE">
        <w:rPr>
          <w:rFonts w:ascii="Book Antiqua" w:hAnsi="Book Antiqua" w:cs="Arial"/>
        </w:rPr>
        <w:t xml:space="preserve"> in </w:t>
      </w:r>
      <w:r w:rsidR="008D26CB" w:rsidRPr="00C311AE">
        <w:rPr>
          <w:rFonts w:ascii="Book Antiqua" w:hAnsi="Book Antiqua" w:cs="Arial"/>
        </w:rPr>
        <w:t>Gp</w:t>
      </w:r>
      <w:r w:rsidR="003E54E2" w:rsidRPr="00C311AE">
        <w:rPr>
          <w:rFonts w:ascii="Book Antiqua" w:hAnsi="Book Antiqua" w:cs="Arial"/>
        </w:rPr>
        <w:t>CO</w:t>
      </w:r>
      <w:r w:rsidR="00D742C8" w:rsidRPr="00C311AE">
        <w:rPr>
          <w:rFonts w:ascii="Book Antiqua" w:hAnsi="Book Antiqua" w:cs="Arial"/>
        </w:rPr>
        <w:t xml:space="preserve"> than in Gp patients not taking opiates</w:t>
      </w:r>
      <w:r w:rsidR="000D469B" w:rsidRPr="00C311AE">
        <w:rPr>
          <w:rFonts w:ascii="Book Antiqua" w:hAnsi="Book Antiqua" w:cs="Arial"/>
        </w:rPr>
        <w:t xml:space="preserve">. </w:t>
      </w:r>
    </w:p>
    <w:p w14:paraId="37B1CE07" w14:textId="53F4CCDF" w:rsidR="00E54495" w:rsidRPr="00C311AE" w:rsidRDefault="00F71AC4" w:rsidP="00020CC7">
      <w:pPr>
        <w:snapToGrid w:val="0"/>
        <w:spacing w:line="360" w:lineRule="auto"/>
        <w:ind w:firstLineChars="100" w:firstLine="240"/>
        <w:jc w:val="both"/>
        <w:rPr>
          <w:rFonts w:ascii="Book Antiqua" w:hAnsi="Book Antiqua" w:cs="Arial"/>
        </w:rPr>
      </w:pPr>
      <w:r w:rsidRPr="00C311AE">
        <w:rPr>
          <w:rFonts w:ascii="Book Antiqua" w:hAnsi="Book Antiqua" w:cs="Arial"/>
        </w:rPr>
        <w:t>Our finding</w:t>
      </w:r>
      <w:r w:rsidR="0065173D" w:rsidRPr="00C311AE">
        <w:rPr>
          <w:rFonts w:ascii="Book Antiqua" w:hAnsi="Book Antiqua" w:cs="Arial"/>
        </w:rPr>
        <w:t xml:space="preserve"> that </w:t>
      </w:r>
      <w:r w:rsidR="008D26CB" w:rsidRPr="00C311AE">
        <w:rPr>
          <w:rFonts w:ascii="Book Antiqua" w:hAnsi="Book Antiqua" w:cs="Arial"/>
        </w:rPr>
        <w:t>Gp</w:t>
      </w:r>
      <w:r w:rsidR="00A130F4" w:rsidRPr="00C311AE">
        <w:rPr>
          <w:rFonts w:ascii="Book Antiqua" w:hAnsi="Book Antiqua" w:cs="Arial"/>
        </w:rPr>
        <w:t>CO</w:t>
      </w:r>
      <w:r w:rsidR="0065173D" w:rsidRPr="00C311AE">
        <w:rPr>
          <w:rFonts w:ascii="Book Antiqua" w:hAnsi="Book Antiqua" w:cs="Arial"/>
        </w:rPr>
        <w:t xml:space="preserve"> are </w:t>
      </w:r>
      <w:r w:rsidR="0027028B" w:rsidRPr="00C311AE">
        <w:rPr>
          <w:rFonts w:ascii="Book Antiqua" w:hAnsi="Book Antiqua" w:cs="Arial"/>
        </w:rPr>
        <w:t xml:space="preserve">more likely to </w:t>
      </w:r>
      <w:r w:rsidR="005778B8" w:rsidRPr="00C311AE">
        <w:rPr>
          <w:rFonts w:ascii="Book Antiqua" w:hAnsi="Book Antiqua" w:cs="Arial"/>
        </w:rPr>
        <w:t>be unemployed and work less</w:t>
      </w:r>
      <w:r w:rsidR="0065173D" w:rsidRPr="00C311AE">
        <w:rPr>
          <w:rFonts w:ascii="Book Antiqua" w:hAnsi="Book Antiqua" w:cs="Arial"/>
        </w:rPr>
        <w:t xml:space="preserve"> is consistent with the multi-national questionnaire based study showing that the chronic use of opiates negatively influences the quality of life</w:t>
      </w:r>
      <w:r w:rsidR="00C45FAF" w:rsidRPr="00C311AE">
        <w:rPr>
          <w:rFonts w:ascii="Book Antiqua" w:hAnsi="Book Antiqua" w:cs="Arial"/>
          <w:vertAlign w:val="superscript"/>
        </w:rPr>
        <w:t>[</w:t>
      </w:r>
      <w:r w:rsidR="00AC08A4"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2mhrq5v04a","properties":{"formattedCitation":"(36)","plainCitation":"(36)"},"citationItems":[{"id":98,"uris":["http://zotero.org/users/local/Y25qLmSx/items/5DA7IW6D"],"uri":["http://zotero.org/users/local/Y25qLmSx/items/5DA7IW6D"],"itemData":{"id":98,"type":"article-journal","title":"The prevalence, severity, and impact of opioid-induced bowel dysfunction: results of a US and European Patient Survey (PROBE 1)","container-title":"Pain Medicine (Malden, Mass.)","page":"35-42","volume":"10","issue":"1","source":"PubMed","abstract":"OBJECTIVE: This multinational, Internet-based survey was designed to assess the prevalence, frequency, severity, and impact of opioid-induced bowel dysfunction (OBD) in patients receiving opioid therapy for chronic pain and taking laxatives.\nDESIGN: In total, 322 patients taking daily oral opioids and laxatives completed the 45-item questionnaire. At the time of the survey, 45% of patients reported &lt;3 bowel movements per week. The most prevalent opioid-induced side effects were constipation (81%) and straining to pass a bowel movement (58%). Those side effects considered most bothersome by patients were (in order of rank) constipation, straining, fatigue, small or hard bowel movements, and insomnia.\nRESULTS: Most of the OBD symptoms specified in the questionnaire were experienced by the majority of patients &gt;or=4 times a week. Constipation was the OBD symptom that was most often reported as severe. Most patients reported that their OBD symptoms had at least a moderate negative impact on their overall quality of life and activities of daily living. A third of patients had missed, decreased or stopped using opioids in order to make it easier to have a bowel movement.\nCONCLUSION: The survey findings confirm that OBD occurs frequently, despite the use of laxatives, in individuals taking daily oral opioids for chronic pain. These gastrointestinal symptoms add to the burden already experienced by chronic pain patients, negatively impacting quality of life and, in some cases, affecting opioid treatment itself.","DOI":"10.1111/j.1526-4637.2008.00495.x","ISSN":"1526-4637","note":"PMID: 18721170","shortTitle":"The prevalence, severity, and impact of opioid-induced bowel dysfunction","journalAbbreviation":"Pain Med","language":"eng","author":[{"family":"Bell","given":"Timothy J."},{"family":"Panchal","given":"Sunil J."},{"family":"Miaskowski","given":"Christine"},{"family":"Bolge","given":"Susan C."},{"family":"Milanova","given":"Tsveta"},{"family":"Williamson","given":"Russell"}],"issued":{"date-parts":[["2009",1]]}}}],"schema":"https://github.com/citation-style-language/schema/raw/master/csl-citation.json"} </w:instrText>
      </w:r>
      <w:r w:rsidR="00AC08A4" w:rsidRPr="00C311AE">
        <w:rPr>
          <w:rFonts w:ascii="Book Antiqua" w:hAnsi="Book Antiqua" w:cs="Arial"/>
          <w:vertAlign w:val="superscript"/>
        </w:rPr>
        <w:fldChar w:fldCharType="separate"/>
      </w:r>
      <w:r w:rsidR="001D7D80" w:rsidRPr="00C311AE">
        <w:rPr>
          <w:rFonts w:ascii="Book Antiqua" w:hAnsi="Book Antiqua"/>
          <w:vertAlign w:val="superscript"/>
        </w:rPr>
        <w:t>41</w:t>
      </w:r>
      <w:r w:rsidR="00C45FAF" w:rsidRPr="00C311AE">
        <w:rPr>
          <w:rFonts w:ascii="Book Antiqua" w:hAnsi="Book Antiqua"/>
          <w:vertAlign w:val="superscript"/>
        </w:rPr>
        <w:t>]</w:t>
      </w:r>
      <w:r w:rsidR="00AC08A4" w:rsidRPr="00C311AE">
        <w:rPr>
          <w:rFonts w:ascii="Book Antiqua" w:hAnsi="Book Antiqua" w:cs="Arial"/>
          <w:vertAlign w:val="superscript"/>
        </w:rPr>
        <w:fldChar w:fldCharType="end"/>
      </w:r>
      <w:r w:rsidR="0065173D" w:rsidRPr="00C311AE">
        <w:rPr>
          <w:rFonts w:ascii="Book Antiqua" w:hAnsi="Book Antiqua" w:cs="Arial"/>
        </w:rPr>
        <w:t xml:space="preserve">. </w:t>
      </w:r>
      <w:r w:rsidR="00AE6FAA" w:rsidRPr="00C311AE">
        <w:rPr>
          <w:rFonts w:ascii="Book Antiqua" w:hAnsi="Book Antiqua" w:cs="Arial"/>
        </w:rPr>
        <w:t>We found</w:t>
      </w:r>
      <w:r w:rsidR="0027028B" w:rsidRPr="00C311AE">
        <w:rPr>
          <w:rFonts w:ascii="Book Antiqua" w:hAnsi="Book Antiqua" w:cs="Arial"/>
        </w:rPr>
        <w:t xml:space="preserve"> a higher preva</w:t>
      </w:r>
      <w:r w:rsidR="0035681A" w:rsidRPr="00C311AE">
        <w:rPr>
          <w:rFonts w:ascii="Book Antiqua" w:hAnsi="Book Antiqua" w:cs="Arial"/>
        </w:rPr>
        <w:t>lence of current smoking</w:t>
      </w:r>
      <w:r w:rsidR="0027028B" w:rsidRPr="00C311AE">
        <w:rPr>
          <w:rFonts w:ascii="Book Antiqua" w:hAnsi="Book Antiqua" w:cs="Arial"/>
        </w:rPr>
        <w:t xml:space="preserve"> in</w:t>
      </w:r>
      <w:r w:rsidR="00A130F4" w:rsidRPr="00C311AE">
        <w:rPr>
          <w:rFonts w:ascii="Book Antiqua" w:hAnsi="Book Antiqua" w:cs="Arial"/>
        </w:rPr>
        <w:t xml:space="preserve"> G</w:t>
      </w:r>
      <w:r w:rsidR="001E7C4F" w:rsidRPr="00C311AE">
        <w:rPr>
          <w:rFonts w:ascii="Book Antiqua" w:hAnsi="Book Antiqua" w:cs="Arial"/>
        </w:rPr>
        <w:t>p</w:t>
      </w:r>
      <w:r w:rsidR="00A130F4" w:rsidRPr="00C311AE">
        <w:rPr>
          <w:rFonts w:ascii="Book Antiqua" w:hAnsi="Book Antiqua" w:cs="Arial"/>
        </w:rPr>
        <w:t>CO</w:t>
      </w:r>
      <w:r w:rsidR="0027028B" w:rsidRPr="00C311AE">
        <w:rPr>
          <w:rFonts w:ascii="Book Antiqua" w:hAnsi="Book Antiqua" w:cs="Arial"/>
        </w:rPr>
        <w:t xml:space="preserve">, </w:t>
      </w:r>
      <w:r w:rsidR="00AE6FAA" w:rsidRPr="00C311AE">
        <w:rPr>
          <w:rFonts w:ascii="Book Antiqua" w:hAnsi="Book Antiqua" w:cs="Arial"/>
        </w:rPr>
        <w:t>and</w:t>
      </w:r>
      <w:r w:rsidR="0027028B" w:rsidRPr="00C311AE">
        <w:rPr>
          <w:rFonts w:ascii="Book Antiqua" w:hAnsi="Book Antiqua" w:cs="Arial"/>
        </w:rPr>
        <w:t xml:space="preserve"> a study </w:t>
      </w:r>
      <w:r w:rsidR="00954B51" w:rsidRPr="00C311AE">
        <w:rPr>
          <w:rFonts w:ascii="Book Antiqua" w:hAnsi="Book Antiqua" w:cs="Arial"/>
        </w:rPr>
        <w:t xml:space="preserve">by Young-Wolff </w:t>
      </w:r>
      <w:r w:rsidR="00954B51" w:rsidRPr="000638F7">
        <w:rPr>
          <w:rFonts w:ascii="Book Antiqua" w:hAnsi="Book Antiqua" w:cs="Arial"/>
          <w:i/>
        </w:rPr>
        <w:t>et al</w:t>
      </w:r>
      <w:r w:rsidR="000638F7" w:rsidRPr="00C311AE">
        <w:rPr>
          <w:rFonts w:ascii="Book Antiqua" w:hAnsi="Book Antiqua" w:cs="Arial"/>
          <w:vertAlign w:val="superscript"/>
        </w:rPr>
        <w:fldChar w:fldCharType="begin"/>
      </w:r>
      <w:r w:rsidR="000638F7" w:rsidRPr="00C311AE">
        <w:rPr>
          <w:rFonts w:ascii="Book Antiqua" w:hAnsi="Book Antiqua" w:cs="Arial"/>
          <w:vertAlign w:val="superscript"/>
        </w:rPr>
        <w:instrText xml:space="preserve"> ADDIN ZOTERO_ITEM CSL_CITATION {"citationID":"hluk78pai","properties":{"formattedCitation":"(37)","plainCitation":"(37)"},"citationItems":[{"id":100,"uris":["http://zotero.org/users/local/Y25qLmSx/items/KFE3JTST"],"uri":["http://zotero.org/users/local/Y25qLmSx/items/KFE3JTST"],"itemData":{"id":100,"type":"article-journal","title":"Smoking Status and Opioid Related Problems and Concerns among Men and Women on Chronic Opioid Therapy","container-title":"The Clinical Journal of Pain","source":"PubMed","abstract":"OBJECTIVES: Smokers on chronic opioid therapy for non-cancer pain use prescription opioids at higher dosages and are at increased risk for opioid misuse and dependence relative to non-smokers. The current study aims to assess whether smoking is associated with problems and concerns with chronic opioid therapy from the perspective of the patient.\nMETHODS: In a large sample (N=972) of adult patients prescribed opioids for chronic noncancer pain, we examined sex-specific associations between smoking status and patient perceptions of problems and concerns with chronic opioid therapy using regression analyses, adjusting for covariates.\nRESULTS: The sample self-identified as 27% current smokers, 44% former smokers, and 29% never smokers. Current smoking (vs. never smoking) was associated with increased odds of an opioid use disorder among males and females, and higher daily opioid dose among males only. Current and former smokers reported significantly fewer problems with opioids relative to never smokers, and this was driven primarily by lower endorsement of problems that are affected by the stimulant properties of nicotine (e.g., difficulties thinking clearly, felt less alert or sleepy).\nDISCUSSION: This study contributes to an understanding of perceived problems and concerns with chronic opioid therapy among current, former, and never smokers with chronic noncancer pain. Results suggest that current and former smokers may be a difficult population to target to decrease chronic opioid therapy, given that they perceive fewer problems with prescription opioid use, despite higher odds of having an opioid use disorder (males and females) and greater opioid doses (males only).","DOI":"10.1097/AJP.0000000000000461","ISSN":"1536-5409","note":"PMID: 27898458","journalAbbreviation":"Clin J Pain","language":"eng","author":[{"family":"Young-Wolff","given":"Kelly C."},{"family":"Klebaner","given":"Daniella"},{"family":"Weisner","given":"Constance"},{"family":"Von Korff","given":"Michael"},{"family":"Campbell","given":"Cynthia I."}],"issued":{"date-parts":[["2016",11,28]]}}}],"schema":"https://github.com/citation-style-language/schema/raw/master/csl-citation.json"} </w:instrText>
      </w:r>
      <w:r w:rsidR="000638F7" w:rsidRPr="00C311AE">
        <w:rPr>
          <w:rFonts w:ascii="Book Antiqua" w:hAnsi="Book Antiqua" w:cs="Arial"/>
          <w:vertAlign w:val="superscript"/>
        </w:rPr>
        <w:fldChar w:fldCharType="separate"/>
      </w:r>
      <w:r w:rsidR="000638F7" w:rsidRPr="00C311AE">
        <w:rPr>
          <w:rFonts w:ascii="Book Antiqua" w:hAnsi="Book Antiqua"/>
          <w:vertAlign w:val="superscript"/>
        </w:rPr>
        <w:t>[42]</w:t>
      </w:r>
      <w:r w:rsidR="000638F7" w:rsidRPr="00C311AE">
        <w:rPr>
          <w:rFonts w:ascii="Book Antiqua" w:hAnsi="Book Antiqua" w:cs="Arial"/>
          <w:vertAlign w:val="superscript"/>
        </w:rPr>
        <w:fldChar w:fldCharType="end"/>
      </w:r>
      <w:r w:rsidR="000638F7">
        <w:rPr>
          <w:rFonts w:ascii="Book Antiqua" w:eastAsiaTheme="minorEastAsia" w:hAnsi="Book Antiqua" w:cs="Arial" w:hint="eastAsia"/>
          <w:lang w:eastAsia="zh-CN"/>
        </w:rPr>
        <w:t xml:space="preserve"> </w:t>
      </w:r>
      <w:r w:rsidR="00AE6FAA" w:rsidRPr="00C311AE">
        <w:rPr>
          <w:rFonts w:ascii="Book Antiqua" w:hAnsi="Book Antiqua" w:cs="Arial"/>
        </w:rPr>
        <w:t>suggested a higher likelihood of opioid use</w:t>
      </w:r>
      <w:r w:rsidR="003816FC" w:rsidRPr="00C311AE">
        <w:rPr>
          <w:rFonts w:ascii="Book Antiqua" w:hAnsi="Book Antiqua" w:cs="Arial"/>
        </w:rPr>
        <w:t xml:space="preserve"> disorder in current smokers versus</w:t>
      </w:r>
      <w:r w:rsidR="00AE6FAA" w:rsidRPr="00C311AE">
        <w:rPr>
          <w:rFonts w:ascii="Book Antiqua" w:hAnsi="Book Antiqua" w:cs="Arial"/>
        </w:rPr>
        <w:t xml:space="preserve"> non-smokers.</w:t>
      </w:r>
      <w:r w:rsidR="00A130F4" w:rsidRPr="00C311AE">
        <w:rPr>
          <w:rFonts w:ascii="Book Antiqua" w:hAnsi="Book Antiqua" w:cs="Arial"/>
        </w:rPr>
        <w:t xml:space="preserve"> </w:t>
      </w:r>
    </w:p>
    <w:p w14:paraId="2F00042A" w14:textId="1E98EBB2" w:rsidR="00EC2F0B" w:rsidRPr="00C311AE" w:rsidRDefault="00CA3BFB" w:rsidP="00020CC7">
      <w:pPr>
        <w:snapToGrid w:val="0"/>
        <w:spacing w:line="360" w:lineRule="auto"/>
        <w:ind w:firstLineChars="100" w:firstLine="240"/>
        <w:jc w:val="both"/>
        <w:rPr>
          <w:rFonts w:ascii="Book Antiqua" w:hAnsi="Book Antiqua" w:cs="Arial"/>
        </w:rPr>
      </w:pPr>
      <w:r w:rsidRPr="00C311AE">
        <w:rPr>
          <w:rFonts w:ascii="Book Antiqua" w:hAnsi="Book Antiqua" w:cs="Arial"/>
        </w:rPr>
        <w:t>Our study has some limitations. Whether opioid use is t</w:t>
      </w:r>
      <w:r w:rsidR="0038763F" w:rsidRPr="00C311AE">
        <w:rPr>
          <w:rFonts w:ascii="Book Antiqua" w:hAnsi="Book Antiqua" w:cs="Arial"/>
        </w:rPr>
        <w:t>o manage a higher severity of Gp</w:t>
      </w:r>
      <w:r w:rsidR="00802AF5" w:rsidRPr="00C311AE">
        <w:rPr>
          <w:rFonts w:ascii="Book Antiqua" w:hAnsi="Book Antiqua" w:cs="Arial"/>
        </w:rPr>
        <w:t xml:space="preserve"> symptoms, or is responsible for the</w:t>
      </w:r>
      <w:r w:rsidRPr="00C311AE">
        <w:rPr>
          <w:rFonts w:ascii="Book Antiqua" w:hAnsi="Book Antiqua" w:cs="Arial"/>
        </w:rPr>
        <w:t xml:space="preserve"> higher severity of sy</w:t>
      </w:r>
      <w:r w:rsidR="00D57058" w:rsidRPr="00C311AE">
        <w:rPr>
          <w:rFonts w:ascii="Book Antiqua" w:hAnsi="Book Antiqua" w:cs="Arial"/>
        </w:rPr>
        <w:t>mptoms</w:t>
      </w:r>
      <w:r w:rsidR="00802AF5" w:rsidRPr="00C311AE">
        <w:rPr>
          <w:rFonts w:ascii="Book Antiqua" w:hAnsi="Book Antiqua" w:cs="Arial"/>
        </w:rPr>
        <w:t xml:space="preserve"> </w:t>
      </w:r>
      <w:r w:rsidR="00D57058" w:rsidRPr="00C311AE">
        <w:rPr>
          <w:rFonts w:ascii="Book Antiqua" w:hAnsi="Book Antiqua" w:cs="Arial"/>
        </w:rPr>
        <w:t>is unclear</w:t>
      </w:r>
      <w:r w:rsidR="00BD113E" w:rsidRPr="00C311AE">
        <w:rPr>
          <w:rFonts w:ascii="Book Antiqua" w:hAnsi="Book Antiqua" w:cs="Arial"/>
        </w:rPr>
        <w:t xml:space="preserve"> as we do not have symptoms of patients prior to starting opioids</w:t>
      </w:r>
      <w:r w:rsidR="0038763F" w:rsidRPr="00C311AE">
        <w:rPr>
          <w:rFonts w:ascii="Book Antiqua" w:hAnsi="Book Antiqua" w:cs="Arial"/>
        </w:rPr>
        <w:t>. Increased opioid use in Gp</w:t>
      </w:r>
      <w:r w:rsidR="003D5DE5" w:rsidRPr="00C311AE">
        <w:rPr>
          <w:rFonts w:ascii="Book Antiqua" w:hAnsi="Book Antiqua" w:cs="Arial"/>
        </w:rPr>
        <w:t xml:space="preserve"> patients with moderate to severe abdominal pain has previously been reported</w:t>
      </w:r>
      <w:r w:rsidR="00A5260E" w:rsidRPr="00C311AE">
        <w:rPr>
          <w:rFonts w:ascii="Book Antiqua" w:hAnsi="Book Antiqua" w:cs="Arial"/>
          <w:vertAlign w:val="superscript"/>
        </w:rPr>
        <w:fldChar w:fldCharType="begin"/>
      </w:r>
      <w:r w:rsidR="00643F2E" w:rsidRPr="00C311AE">
        <w:rPr>
          <w:rFonts w:ascii="Book Antiqua" w:hAnsi="Book Antiqua" w:cs="Arial"/>
          <w:vertAlign w:val="superscript"/>
        </w:rPr>
        <w:instrText xml:space="preserve"> ADDIN ZOTERO_ITEM CSL_CITATION {"citationID":"8k0ev1qfd","properties":{"formattedCitation":"(15)","plainCitation":"(15)"},"citationItems":[{"id":18,"uris":["http://zotero.org/users/local/Y25qLmSx/items/VGBBUI7Q"],"uri":["http://zotero.org/users/local/Y25qLmSx/items/VGBBUI7Q"],"itemData":{"id":18,"type":"article-journal","title":"Factors related to abdominal pain in gastroparesis: contrast to patients with predominant nausea and vomiting","container-title":"Neurogastroenterology and Motility: The Official Journal of the European Gastrointestinal Motility Society","page":"427-438, e300-301","volume":"25","issue":"5","source":"PubMed","abstract":"BACKGROUND: Factors associated with abdominal pain in gastroparesis are incompletely evaluated and comparisons of pain vs other symptoms are limited. This study related pain to clinical factors in gastroparesis and contrasted pain/discomfort- with nausea/vomiting-predominant disease.\nMETHODS: Clinical and scintigraphy data were compared in 393 patients from seven centers of the NIDDK Gastroparesis Clinical Research Consortium with moderate-severe (Patient Assessment of Upper Gastrointestinal Disorders Symptoms [PAGI-SYM] score ≥ 3) vs none-mild (PAGI-SYM &lt; 3) upper abdominal pain and predominant pain/discomfort vs nausea/vomiting.\nKEY RESULTS: Upper abdominal pain was moderate-severe in 261 (66%). Pain/discomfort was predominant in 81 (21%); nausea/vomiting was predominant in 172 (44%). Moderate-severe pain was more prevalent with idiopathic gastroparesis and with lack of infectious prodrome (P ≤ 0.05) and correlated with scores for nausea/vomiting, bloating, lower abdominal pain/discomfort, bowel disturbances, and opiate and antiemetic use (P &lt; 0.05), but not gastric emptying or diabetic neuropathy or control. Gastroparesis severity, quality of life, and depression and anxiety were worse with moderate-severe pain (P ≤ 0.008). Factors associated with moderate-severe pain were similar in diabetic and idiopathic gastroparesis. Compared to predominant nausea/vomiting, predominant pain/discomfort was associated with impaired quality of life, greater opiate, and less antiemetic use (P &lt; 0.01), but similar severity and gastric retention.\nCONCLUSIONS &amp; INFERENCES: Moderate-severe abdominal pain is prevalent in gastroparesis, impairs quality of life, and is associated with idiopathic etiology, lack of infectious prodrome, and opiate use. Pain is predominant in one fifth of gastroparetics. Predominant pain has at least as great an impact on disease severity and quality of life as predominant nausea/vomiting.","DOI":"10.1111/nmo.12091","ISSN":"1365-2982","note":"PMID: 23414452\nPMCID: PMC3907086","shortTitle":"Factors related to abdominal pain in gastroparesis","journalAbbreviation":"Neurogastroenterol. Motil.","language":"eng","author":[{"family":"Hasler","given":"W. L."},{"family":"Wilson","given":"L. A."},{"family":"Parkman","given":"H. P."},{"family":"Koch","given":"K. L."},{"family":"Abell","given":"T. L."},{"family":"Nguyen","given":"L."},{"family":"Pasricha","given":"P. J."},{"family":"Snape","given":"W. J."},{"family":"McCallum","given":"R. W."},{"family":"Sarosiek","given":"I."},{"family":"Farrugia","given":"G."},{"family":"Calles","given":"J."},{"family":"Lee","given":"L."},{"family":"Tonascia","given":"J."},{"family":"Unalp-Arida","given":"A."},{"family":"Hamilton","given":"F."}],"issued":{"date-parts":[["2013",5]]}}}],"schema":"https://github.com/citation-style-language/schema/raw/master/csl-citation.json"} </w:instrText>
      </w:r>
      <w:r w:rsidR="00A5260E" w:rsidRPr="00C311AE">
        <w:rPr>
          <w:rFonts w:ascii="Book Antiqua" w:hAnsi="Book Antiqua" w:cs="Arial"/>
          <w:vertAlign w:val="superscript"/>
        </w:rPr>
        <w:fldChar w:fldCharType="separate"/>
      </w:r>
      <w:r w:rsidR="00C45FAF" w:rsidRPr="00C311AE">
        <w:rPr>
          <w:rFonts w:ascii="Book Antiqua" w:hAnsi="Book Antiqua"/>
          <w:vertAlign w:val="superscript"/>
        </w:rPr>
        <w:t>[</w:t>
      </w:r>
      <w:r w:rsidR="00B160C4" w:rsidRPr="00C311AE">
        <w:rPr>
          <w:rFonts w:ascii="Book Antiqua" w:hAnsi="Book Antiqua"/>
          <w:vertAlign w:val="superscript"/>
        </w:rPr>
        <w:t>15</w:t>
      </w:r>
      <w:r w:rsidR="00C45FAF" w:rsidRPr="00C311AE">
        <w:rPr>
          <w:rFonts w:ascii="Book Antiqua" w:hAnsi="Book Antiqua"/>
          <w:vertAlign w:val="superscript"/>
        </w:rPr>
        <w:t>]</w:t>
      </w:r>
      <w:r w:rsidR="00A5260E" w:rsidRPr="00C311AE">
        <w:rPr>
          <w:rFonts w:ascii="Book Antiqua" w:hAnsi="Book Antiqua" w:cs="Arial"/>
          <w:vertAlign w:val="superscript"/>
        </w:rPr>
        <w:fldChar w:fldCharType="end"/>
      </w:r>
      <w:r w:rsidR="003D5DE5" w:rsidRPr="00C311AE">
        <w:rPr>
          <w:rFonts w:ascii="Book Antiqua" w:hAnsi="Book Antiqua" w:cs="Arial"/>
        </w:rPr>
        <w:t>, however nausea, vomiting and retching are frequently reported side effects of opioids and it is plausible that the opioid use itself explains the higher sever</w:t>
      </w:r>
      <w:r w:rsidR="00F30838" w:rsidRPr="00C311AE">
        <w:rPr>
          <w:rFonts w:ascii="Book Antiqua" w:hAnsi="Book Antiqua" w:cs="Arial"/>
        </w:rPr>
        <w:t>ity of these symptoms amongst</w:t>
      </w:r>
      <w:r w:rsidR="003D5DE5" w:rsidRPr="00C311AE">
        <w:rPr>
          <w:rFonts w:ascii="Book Antiqua" w:hAnsi="Book Antiqua" w:cs="Arial"/>
        </w:rPr>
        <w:t xml:space="preserve"> </w:t>
      </w:r>
      <w:r w:rsidR="008D26CB" w:rsidRPr="00C311AE">
        <w:rPr>
          <w:rFonts w:ascii="Book Antiqua" w:hAnsi="Book Antiqua" w:cs="Arial"/>
        </w:rPr>
        <w:t>Gp</w:t>
      </w:r>
      <w:r w:rsidR="00F30838" w:rsidRPr="00C311AE">
        <w:rPr>
          <w:rFonts w:ascii="Book Antiqua" w:hAnsi="Book Antiqua" w:cs="Arial"/>
        </w:rPr>
        <w:t xml:space="preserve">CO </w:t>
      </w:r>
      <w:r w:rsidR="00020989" w:rsidRPr="00C311AE">
        <w:rPr>
          <w:rFonts w:ascii="Book Antiqua" w:hAnsi="Book Antiqua" w:cs="Arial"/>
        </w:rPr>
        <w:t xml:space="preserve">in </w:t>
      </w:r>
      <w:r w:rsidR="00CB5935" w:rsidRPr="00C311AE">
        <w:rPr>
          <w:rFonts w:ascii="Book Antiqua" w:hAnsi="Book Antiqua" w:cs="Arial"/>
        </w:rPr>
        <w:t>our study.</w:t>
      </w:r>
      <w:r w:rsidRPr="00C311AE">
        <w:rPr>
          <w:rFonts w:ascii="Book Antiqua" w:hAnsi="Book Antiqua" w:cs="Arial"/>
        </w:rPr>
        <w:t xml:space="preserve"> </w:t>
      </w:r>
      <w:r w:rsidR="003D5DE5" w:rsidRPr="00C311AE">
        <w:rPr>
          <w:rFonts w:ascii="Book Antiqua" w:hAnsi="Book Antiqua" w:cs="Arial"/>
        </w:rPr>
        <w:t>Secondly</w:t>
      </w:r>
      <w:r w:rsidR="00EB3147" w:rsidRPr="00C311AE">
        <w:rPr>
          <w:rFonts w:ascii="Book Antiqua" w:hAnsi="Book Antiqua" w:cs="Arial"/>
        </w:rPr>
        <w:t xml:space="preserve">, </w:t>
      </w:r>
      <w:r w:rsidR="00802AF5" w:rsidRPr="00C311AE">
        <w:rPr>
          <w:rFonts w:ascii="Book Antiqua" w:hAnsi="Book Antiqua" w:cs="Arial"/>
        </w:rPr>
        <w:t>these</w:t>
      </w:r>
      <w:r w:rsidR="00EB3147" w:rsidRPr="00C311AE">
        <w:rPr>
          <w:rFonts w:ascii="Book Antiqua" w:hAnsi="Book Antiqua" w:cs="Arial"/>
        </w:rPr>
        <w:t xml:space="preserve"> patients were generally referred from community settings and </w:t>
      </w:r>
      <w:r w:rsidR="006F127A" w:rsidRPr="00C311AE">
        <w:rPr>
          <w:rFonts w:ascii="Book Antiqua" w:hAnsi="Book Antiqua" w:cs="Arial"/>
        </w:rPr>
        <w:t>over half of these</w:t>
      </w:r>
      <w:r w:rsidR="0065173D" w:rsidRPr="00C311AE">
        <w:rPr>
          <w:rFonts w:ascii="Book Antiqua" w:hAnsi="Book Antiqua" w:cs="Arial"/>
        </w:rPr>
        <w:t xml:space="preserve"> patients </w:t>
      </w:r>
      <w:r w:rsidR="006F127A" w:rsidRPr="00C311AE">
        <w:rPr>
          <w:rFonts w:ascii="Book Antiqua" w:hAnsi="Book Antiqua" w:cs="Arial"/>
        </w:rPr>
        <w:t xml:space="preserve">were </w:t>
      </w:r>
      <w:r w:rsidR="00DC0089" w:rsidRPr="00C311AE">
        <w:rPr>
          <w:rFonts w:ascii="Book Antiqua" w:hAnsi="Book Antiqua" w:cs="Arial"/>
        </w:rPr>
        <w:t>referred</w:t>
      </w:r>
      <w:r w:rsidR="0065173D" w:rsidRPr="00C311AE">
        <w:rPr>
          <w:rFonts w:ascii="Book Antiqua" w:hAnsi="Book Antiqua" w:cs="Arial"/>
        </w:rPr>
        <w:t xml:space="preserve"> </w:t>
      </w:r>
      <w:r w:rsidR="006F127A" w:rsidRPr="00C311AE">
        <w:rPr>
          <w:rFonts w:ascii="Book Antiqua" w:hAnsi="Book Antiqua" w:cs="Arial"/>
        </w:rPr>
        <w:t>from outside the catchment area of</w:t>
      </w:r>
      <w:r w:rsidR="00E43297" w:rsidRPr="00C311AE">
        <w:rPr>
          <w:rFonts w:ascii="Book Antiqua" w:hAnsi="Book Antiqua" w:cs="Arial"/>
        </w:rPr>
        <w:t xml:space="preserve"> our tertiary care center, with GpCO and GpNO </w:t>
      </w:r>
      <w:r w:rsidR="00377628" w:rsidRPr="00C311AE">
        <w:rPr>
          <w:rFonts w:ascii="Book Antiqua" w:hAnsi="Book Antiqua" w:cs="Arial"/>
        </w:rPr>
        <w:t>equally likely to be referred from outside the catchment area</w:t>
      </w:r>
      <w:r w:rsidR="0065173D" w:rsidRPr="00C311AE">
        <w:rPr>
          <w:rFonts w:ascii="Book Antiqua" w:hAnsi="Book Antiqua" w:cs="Arial"/>
        </w:rPr>
        <w:t xml:space="preserve">. </w:t>
      </w:r>
      <w:r w:rsidR="00B6757C" w:rsidRPr="00C311AE">
        <w:rPr>
          <w:rFonts w:ascii="Book Antiqua" w:hAnsi="Book Antiqua" w:cs="Arial"/>
        </w:rPr>
        <w:t>This wa</w:t>
      </w:r>
      <w:r w:rsidR="00D20923" w:rsidRPr="00C311AE">
        <w:rPr>
          <w:rFonts w:ascii="Book Antiqua" w:hAnsi="Book Antiqua" w:cs="Arial"/>
        </w:rPr>
        <w:t xml:space="preserve">s a questionnaire based study. </w:t>
      </w:r>
      <w:r w:rsidR="00D57058" w:rsidRPr="00C311AE">
        <w:rPr>
          <w:rFonts w:ascii="Book Antiqua" w:hAnsi="Book Antiqua" w:cs="Arial"/>
        </w:rPr>
        <w:t>Some of the questions were not answered by all the patients</w:t>
      </w:r>
      <w:r w:rsidR="00AB281C" w:rsidRPr="00C311AE">
        <w:rPr>
          <w:rFonts w:ascii="Book Antiqua" w:hAnsi="Book Antiqua" w:cs="Arial"/>
        </w:rPr>
        <w:t>,</w:t>
      </w:r>
      <w:r w:rsidR="00D57058" w:rsidRPr="00C311AE">
        <w:rPr>
          <w:rFonts w:ascii="Book Antiqua" w:hAnsi="Book Antiqua" w:cs="Arial"/>
        </w:rPr>
        <w:t xml:space="preserve"> and </w:t>
      </w:r>
      <w:r w:rsidR="005778B8" w:rsidRPr="00C311AE">
        <w:rPr>
          <w:rFonts w:ascii="Book Antiqua" w:hAnsi="Book Antiqua" w:cs="Arial"/>
        </w:rPr>
        <w:t xml:space="preserve">some patients did not go for the </w:t>
      </w:r>
      <w:r w:rsidR="00AE4A9F" w:rsidRPr="00C311AE">
        <w:rPr>
          <w:rFonts w:ascii="Book Antiqua" w:hAnsi="Book Antiqua" w:cs="Arial"/>
        </w:rPr>
        <w:t xml:space="preserve">laboratory tests </w:t>
      </w:r>
      <w:r w:rsidR="00981776" w:rsidRPr="00C311AE">
        <w:rPr>
          <w:rFonts w:ascii="Book Antiqua" w:hAnsi="Book Antiqua" w:cs="Arial"/>
        </w:rPr>
        <w:t>that we</w:t>
      </w:r>
      <w:r w:rsidR="005778B8" w:rsidRPr="00C311AE">
        <w:rPr>
          <w:rFonts w:ascii="Book Antiqua" w:hAnsi="Book Antiqua" w:cs="Arial"/>
        </w:rPr>
        <w:t xml:space="preserve"> </w:t>
      </w:r>
      <w:r w:rsidR="00981776" w:rsidRPr="00C311AE">
        <w:rPr>
          <w:rFonts w:ascii="Book Antiqua" w:hAnsi="Book Antiqua" w:cs="Arial"/>
        </w:rPr>
        <w:t>requested</w:t>
      </w:r>
      <w:r w:rsidR="00AE4A9F" w:rsidRPr="00C311AE">
        <w:rPr>
          <w:rFonts w:ascii="Book Antiqua" w:hAnsi="Book Antiqua" w:cs="Arial"/>
        </w:rPr>
        <w:t xml:space="preserve">. </w:t>
      </w:r>
      <w:r w:rsidR="00AB281C" w:rsidRPr="00C311AE">
        <w:rPr>
          <w:rFonts w:ascii="Book Antiqua" w:hAnsi="Book Antiqua" w:cs="Arial"/>
        </w:rPr>
        <w:t>T</w:t>
      </w:r>
      <w:r w:rsidR="00AE4A9F" w:rsidRPr="00C311AE">
        <w:rPr>
          <w:rFonts w:ascii="Book Antiqua" w:hAnsi="Book Antiqua" w:cs="Arial"/>
        </w:rPr>
        <w:t xml:space="preserve">hese </w:t>
      </w:r>
      <w:r w:rsidR="00E65886" w:rsidRPr="00C311AE">
        <w:rPr>
          <w:rFonts w:ascii="Book Antiqua" w:hAnsi="Book Antiqua" w:cs="Arial"/>
        </w:rPr>
        <w:t xml:space="preserve">missed questions </w:t>
      </w:r>
      <w:r w:rsidR="00AE4A9F" w:rsidRPr="00C311AE">
        <w:rPr>
          <w:rFonts w:ascii="Book Antiqua" w:hAnsi="Book Antiqua" w:cs="Arial"/>
        </w:rPr>
        <w:t xml:space="preserve">and laboratory tests </w:t>
      </w:r>
      <w:r w:rsidR="00AB281C" w:rsidRPr="00C311AE">
        <w:rPr>
          <w:rFonts w:ascii="Book Antiqua" w:hAnsi="Book Antiqua" w:cs="Arial"/>
        </w:rPr>
        <w:t>were excluded from an</w:t>
      </w:r>
      <w:r w:rsidR="005778B8" w:rsidRPr="00C311AE">
        <w:rPr>
          <w:rFonts w:ascii="Book Antiqua" w:hAnsi="Book Antiqua" w:cs="Arial"/>
        </w:rPr>
        <w:t>alyses, however their number were</w:t>
      </w:r>
      <w:r w:rsidR="00AB281C" w:rsidRPr="00C311AE">
        <w:rPr>
          <w:rFonts w:ascii="Book Antiqua" w:hAnsi="Book Antiqua" w:cs="Arial"/>
        </w:rPr>
        <w:t xml:space="preserve"> relatively </w:t>
      </w:r>
      <w:r w:rsidR="00AB281C" w:rsidRPr="00C311AE">
        <w:rPr>
          <w:rFonts w:ascii="Book Antiqua" w:hAnsi="Book Antiqua" w:cs="Arial"/>
        </w:rPr>
        <w:lastRenderedPageBreak/>
        <w:t xml:space="preserve">small </w:t>
      </w:r>
      <w:r w:rsidR="005778B8" w:rsidRPr="00C311AE">
        <w:rPr>
          <w:rFonts w:ascii="Book Antiqua" w:hAnsi="Book Antiqua" w:cs="Arial"/>
        </w:rPr>
        <w:t>in most cases</w:t>
      </w:r>
      <w:r w:rsidR="00AE4A9F" w:rsidRPr="00C311AE">
        <w:rPr>
          <w:rFonts w:ascii="Book Antiqua" w:hAnsi="Book Antiqua" w:cs="Arial"/>
        </w:rPr>
        <w:t xml:space="preserve">, </w:t>
      </w:r>
      <w:r w:rsidR="00AB281C" w:rsidRPr="00C311AE">
        <w:rPr>
          <w:rFonts w:ascii="Book Antiqua" w:hAnsi="Book Antiqua" w:cs="Arial"/>
        </w:rPr>
        <w:t>and</w:t>
      </w:r>
      <w:r w:rsidR="00AE4A9F" w:rsidRPr="00C311AE">
        <w:rPr>
          <w:rFonts w:ascii="Book Antiqua" w:hAnsi="Book Antiqua" w:cs="Arial"/>
        </w:rPr>
        <w:t xml:space="preserve"> </w:t>
      </w:r>
      <w:r w:rsidR="00DC0089" w:rsidRPr="00C311AE">
        <w:rPr>
          <w:rFonts w:ascii="Book Antiqua" w:hAnsi="Book Antiqua" w:cs="Arial"/>
        </w:rPr>
        <w:t xml:space="preserve">likely </w:t>
      </w:r>
      <w:r w:rsidR="00AE4A9F" w:rsidRPr="00C311AE">
        <w:rPr>
          <w:rFonts w:ascii="Book Antiqua" w:hAnsi="Book Antiqua" w:cs="Arial"/>
        </w:rPr>
        <w:t xml:space="preserve">did </w:t>
      </w:r>
      <w:r w:rsidR="00DC0089" w:rsidRPr="00C311AE">
        <w:rPr>
          <w:rFonts w:ascii="Book Antiqua" w:hAnsi="Book Antiqua" w:cs="Arial"/>
        </w:rPr>
        <w:t>not to</w:t>
      </w:r>
      <w:r w:rsidR="0027028B" w:rsidRPr="00C311AE">
        <w:rPr>
          <w:rFonts w:ascii="Book Antiqua" w:hAnsi="Book Antiqua" w:cs="Arial"/>
        </w:rPr>
        <w:t xml:space="preserve"> </w:t>
      </w:r>
      <w:r w:rsidR="00F71AC4" w:rsidRPr="00C311AE">
        <w:rPr>
          <w:rFonts w:ascii="Book Antiqua" w:hAnsi="Book Antiqua" w:cs="Arial"/>
        </w:rPr>
        <w:t>affect the results. L</w:t>
      </w:r>
      <w:r w:rsidR="00D57058" w:rsidRPr="00C311AE">
        <w:rPr>
          <w:rFonts w:ascii="Book Antiqua" w:hAnsi="Book Antiqua" w:cs="Arial"/>
        </w:rPr>
        <w:t>astly, sin</w:t>
      </w:r>
      <w:r w:rsidR="0027028B" w:rsidRPr="00C311AE">
        <w:rPr>
          <w:rFonts w:ascii="Book Antiqua" w:hAnsi="Book Antiqua" w:cs="Arial"/>
        </w:rPr>
        <w:t>ce this is a questionnaire based</w:t>
      </w:r>
      <w:r w:rsidR="00D57058" w:rsidRPr="00C311AE">
        <w:rPr>
          <w:rFonts w:ascii="Book Antiqua" w:hAnsi="Book Antiqua" w:cs="Arial"/>
        </w:rPr>
        <w:t xml:space="preserve"> study, there is a potential of recall bias as well.</w:t>
      </w:r>
      <w:r w:rsidR="00B6757C" w:rsidRPr="00C311AE">
        <w:rPr>
          <w:rFonts w:ascii="Book Antiqua" w:hAnsi="Book Antiqua" w:cs="Arial"/>
        </w:rPr>
        <w:t xml:space="preserve"> This would likely apply both to patients ta</w:t>
      </w:r>
      <w:r w:rsidR="00F20E73" w:rsidRPr="00C311AE">
        <w:rPr>
          <w:rFonts w:ascii="Book Antiqua" w:hAnsi="Book Antiqua" w:cs="Arial"/>
        </w:rPr>
        <w:t>king and those not taking opioid</w:t>
      </w:r>
      <w:r w:rsidR="00B6757C" w:rsidRPr="00C311AE">
        <w:rPr>
          <w:rFonts w:ascii="Book Antiqua" w:hAnsi="Book Antiqua" w:cs="Arial"/>
        </w:rPr>
        <w:t xml:space="preserve"> analgesics.</w:t>
      </w:r>
    </w:p>
    <w:p w14:paraId="2EAC992C" w14:textId="6401946A" w:rsidR="00437B72" w:rsidRPr="00C311AE" w:rsidRDefault="00EC2F0B" w:rsidP="00020CC7">
      <w:pPr>
        <w:snapToGrid w:val="0"/>
        <w:spacing w:line="360" w:lineRule="auto"/>
        <w:ind w:firstLineChars="100" w:firstLine="240"/>
        <w:jc w:val="both"/>
        <w:rPr>
          <w:rFonts w:ascii="Book Antiqua" w:hAnsi="Book Antiqua" w:cs="Arial"/>
        </w:rPr>
      </w:pPr>
      <w:r w:rsidRPr="00C311AE">
        <w:rPr>
          <w:rFonts w:ascii="Book Antiqua" w:hAnsi="Book Antiqua" w:cs="Arial"/>
        </w:rPr>
        <w:t>In conclusion, c</w:t>
      </w:r>
      <w:r w:rsidR="00D03166" w:rsidRPr="00C311AE">
        <w:rPr>
          <w:rFonts w:ascii="Book Antiqua" w:hAnsi="Book Antiqua" w:cs="Arial"/>
        </w:rPr>
        <w:t>hronic regular opioid use is present in a significant number</w:t>
      </w:r>
      <w:r w:rsidR="00BD113E" w:rsidRPr="00C311AE">
        <w:rPr>
          <w:rFonts w:ascii="Book Antiqua" w:hAnsi="Book Antiqua" w:cs="Arial"/>
        </w:rPr>
        <w:t xml:space="preserve"> (19.</w:t>
      </w:r>
      <w:r w:rsidR="005778B8" w:rsidRPr="00C311AE">
        <w:rPr>
          <w:rFonts w:ascii="Book Antiqua" w:hAnsi="Book Antiqua" w:cs="Arial"/>
        </w:rPr>
        <w:t>3</w:t>
      </w:r>
      <w:r w:rsidR="00BD113E" w:rsidRPr="00C311AE">
        <w:rPr>
          <w:rFonts w:ascii="Book Antiqua" w:hAnsi="Book Antiqua" w:cs="Arial"/>
        </w:rPr>
        <w:t>%)</w:t>
      </w:r>
      <w:r w:rsidR="00D03166" w:rsidRPr="00C311AE">
        <w:rPr>
          <w:rFonts w:ascii="Book Antiqua" w:hAnsi="Book Antiqua" w:cs="Arial"/>
        </w:rPr>
        <w:t xml:space="preserve"> of gastroparesis patients</w:t>
      </w:r>
      <w:r w:rsidR="00A3662A" w:rsidRPr="00C311AE">
        <w:rPr>
          <w:rFonts w:ascii="Book Antiqua" w:hAnsi="Book Antiqua" w:cs="Arial"/>
        </w:rPr>
        <w:t>.</w:t>
      </w:r>
      <w:r w:rsidR="00EC09AA" w:rsidRPr="00C311AE">
        <w:rPr>
          <w:rFonts w:ascii="Book Antiqua" w:hAnsi="Book Antiqua" w:cs="Arial"/>
        </w:rPr>
        <w:t xml:space="preserve"> These patients have a</w:t>
      </w:r>
      <w:r w:rsidR="00D03166" w:rsidRPr="00C311AE">
        <w:rPr>
          <w:rFonts w:ascii="Book Antiqua" w:hAnsi="Book Antiqua" w:cs="Arial"/>
          <w:b/>
        </w:rPr>
        <w:t xml:space="preserve"> </w:t>
      </w:r>
      <w:r w:rsidR="00D03166" w:rsidRPr="00C311AE">
        <w:rPr>
          <w:rFonts w:ascii="Book Antiqua" w:hAnsi="Book Antiqua" w:cs="Arial"/>
        </w:rPr>
        <w:t>higher severity of man</w:t>
      </w:r>
      <w:r w:rsidR="00B558C5" w:rsidRPr="00C311AE">
        <w:rPr>
          <w:rFonts w:ascii="Book Antiqua" w:hAnsi="Book Antiqua" w:cs="Arial"/>
        </w:rPr>
        <w:t>y gastrointestinal symptoms</w:t>
      </w:r>
      <w:r w:rsidR="00A3662A" w:rsidRPr="00C311AE">
        <w:rPr>
          <w:rFonts w:ascii="Book Antiqua" w:hAnsi="Book Antiqua" w:cs="Arial"/>
        </w:rPr>
        <w:t xml:space="preserve"> including those of Gp. </w:t>
      </w:r>
      <w:r w:rsidR="00B558C5" w:rsidRPr="00C311AE">
        <w:rPr>
          <w:rFonts w:ascii="Book Antiqua" w:hAnsi="Book Antiqua" w:cs="Arial"/>
        </w:rPr>
        <w:t xml:space="preserve">They have </w:t>
      </w:r>
      <w:r w:rsidR="00A5260E" w:rsidRPr="00C311AE">
        <w:rPr>
          <w:rFonts w:ascii="Book Antiqua" w:hAnsi="Book Antiqua" w:cs="Arial"/>
        </w:rPr>
        <w:t>decreased work productivity</w:t>
      </w:r>
      <w:r w:rsidR="00A03616" w:rsidRPr="00C311AE">
        <w:rPr>
          <w:rFonts w:ascii="Book Antiqua" w:hAnsi="Book Antiqua" w:cs="Arial"/>
        </w:rPr>
        <w:t xml:space="preserve"> compared to non-opioid using Gp</w:t>
      </w:r>
      <w:r w:rsidR="00D03166" w:rsidRPr="00C311AE">
        <w:rPr>
          <w:rFonts w:ascii="Book Antiqua" w:hAnsi="Book Antiqua" w:cs="Arial"/>
        </w:rPr>
        <w:t xml:space="preserve"> patients. </w:t>
      </w:r>
      <w:r w:rsidR="001B3115" w:rsidRPr="00C311AE">
        <w:rPr>
          <w:rFonts w:ascii="Book Antiqua" w:hAnsi="Book Antiqua" w:cs="Arial"/>
        </w:rPr>
        <w:t>Whether opioid use is to treat a higher symptom severity from Gp, or opioid use itself worsens symptoms in patients with G</w:t>
      </w:r>
      <w:r w:rsidR="00B23A72" w:rsidRPr="00C311AE">
        <w:rPr>
          <w:rFonts w:ascii="Book Antiqua" w:hAnsi="Book Antiqua" w:cs="Arial"/>
        </w:rPr>
        <w:t>p</w:t>
      </w:r>
      <w:r w:rsidR="001B3115" w:rsidRPr="00C311AE">
        <w:rPr>
          <w:rFonts w:ascii="Book Antiqua" w:hAnsi="Book Antiqua" w:cs="Arial"/>
        </w:rPr>
        <w:t xml:space="preserve"> requires further study. </w:t>
      </w:r>
    </w:p>
    <w:p w14:paraId="01C40A66" w14:textId="77777777" w:rsidR="00C24B3B" w:rsidRPr="000638F7" w:rsidRDefault="00C24B3B" w:rsidP="00020CC7">
      <w:pPr>
        <w:snapToGrid w:val="0"/>
        <w:spacing w:line="360" w:lineRule="auto"/>
        <w:jc w:val="both"/>
        <w:rPr>
          <w:rFonts w:ascii="Book Antiqua" w:eastAsiaTheme="minorEastAsia" w:hAnsi="Book Antiqua" w:cs="Arial"/>
          <w:lang w:eastAsia="zh-CN"/>
        </w:rPr>
      </w:pPr>
    </w:p>
    <w:p w14:paraId="43E78231" w14:textId="301F7206" w:rsidR="00887BE4" w:rsidRPr="00C311AE" w:rsidRDefault="007875F6" w:rsidP="00020CC7">
      <w:pPr>
        <w:snapToGrid w:val="0"/>
        <w:spacing w:line="360" w:lineRule="auto"/>
        <w:jc w:val="both"/>
        <w:rPr>
          <w:rFonts w:ascii="Book Antiqua" w:eastAsiaTheme="minorEastAsia" w:hAnsi="Book Antiqua" w:cs="Arial"/>
          <w:caps/>
          <w:lang w:eastAsia="zh-CN"/>
        </w:rPr>
      </w:pPr>
      <w:r w:rsidRPr="00C311AE">
        <w:rPr>
          <w:rFonts w:ascii="Book Antiqua" w:hAnsi="Book Antiqua" w:cs="Arial"/>
          <w:b/>
          <w:caps/>
        </w:rPr>
        <w:t>Acknowledgement</w:t>
      </w:r>
      <w:r w:rsidRPr="00C311AE">
        <w:rPr>
          <w:rFonts w:ascii="Book Antiqua" w:eastAsiaTheme="minorEastAsia" w:hAnsi="Book Antiqua" w:cs="Arial" w:hint="eastAsia"/>
          <w:b/>
          <w:caps/>
          <w:lang w:eastAsia="zh-CN"/>
        </w:rPr>
        <w:t>s</w:t>
      </w:r>
    </w:p>
    <w:p w14:paraId="2AFBADF3" w14:textId="05198E01" w:rsidR="00887BE4" w:rsidRPr="00C311AE" w:rsidRDefault="00887BE4" w:rsidP="00020CC7">
      <w:pPr>
        <w:snapToGrid w:val="0"/>
        <w:spacing w:line="360" w:lineRule="auto"/>
        <w:jc w:val="both"/>
        <w:rPr>
          <w:rFonts w:ascii="Book Antiqua" w:hAnsi="Book Antiqua" w:cs="Arial"/>
        </w:rPr>
      </w:pPr>
      <w:r w:rsidRPr="00C311AE">
        <w:rPr>
          <w:rFonts w:ascii="Book Antiqua" w:hAnsi="Book Antiqua" w:cs="Arial"/>
        </w:rPr>
        <w:t>We would like to thank Adam C</w:t>
      </w:r>
      <w:r w:rsidR="007875F6" w:rsidRPr="00C311AE">
        <w:rPr>
          <w:rFonts w:ascii="Book Antiqua" w:eastAsiaTheme="minorEastAsia" w:hAnsi="Book Antiqua" w:cs="Arial" w:hint="eastAsia"/>
          <w:lang w:eastAsia="zh-CN"/>
        </w:rPr>
        <w:t xml:space="preserve"> </w:t>
      </w:r>
      <w:r w:rsidRPr="00C311AE">
        <w:rPr>
          <w:rFonts w:ascii="Book Antiqua" w:hAnsi="Book Antiqua" w:cs="Arial"/>
        </w:rPr>
        <w:t xml:space="preserve">Ehrlich, MD, MPH for performing statistical review of the study. </w:t>
      </w:r>
    </w:p>
    <w:p w14:paraId="144D0C56" w14:textId="77777777" w:rsidR="00887BE4" w:rsidRPr="00C311AE" w:rsidRDefault="00887BE4" w:rsidP="00020CC7">
      <w:pPr>
        <w:snapToGrid w:val="0"/>
        <w:spacing w:line="360" w:lineRule="auto"/>
        <w:jc w:val="both"/>
        <w:rPr>
          <w:rFonts w:ascii="Book Antiqua" w:hAnsi="Book Antiqua" w:cs="Arial"/>
        </w:rPr>
      </w:pPr>
    </w:p>
    <w:p w14:paraId="59440D89" w14:textId="77777777" w:rsidR="00D274C4" w:rsidRPr="00776886" w:rsidRDefault="00D274C4" w:rsidP="00020CC7">
      <w:pPr>
        <w:snapToGrid w:val="0"/>
        <w:spacing w:line="360" w:lineRule="auto"/>
        <w:jc w:val="both"/>
        <w:rPr>
          <w:rFonts w:ascii="Book Antiqua" w:hAnsi="Book Antiqua"/>
          <w:b/>
          <w:color w:val="000000"/>
        </w:rPr>
      </w:pPr>
      <w:r w:rsidRPr="00937989">
        <w:rPr>
          <w:rFonts w:ascii="Book Antiqua" w:hAnsi="Book Antiqua"/>
          <w:b/>
          <w:color w:val="000000"/>
        </w:rPr>
        <w:t>ARTICLE HIGHLIGHTS</w:t>
      </w:r>
    </w:p>
    <w:p w14:paraId="654DEDB9" w14:textId="421473AA" w:rsidR="005B3F5B" w:rsidRPr="00CD6D4E" w:rsidRDefault="005B3F5B" w:rsidP="00020CC7">
      <w:pPr>
        <w:snapToGrid w:val="0"/>
        <w:spacing w:line="360" w:lineRule="auto"/>
        <w:jc w:val="both"/>
        <w:rPr>
          <w:rFonts w:ascii="Book Antiqua" w:hAnsi="Book Antiqua"/>
          <w:b/>
          <w:i/>
        </w:rPr>
      </w:pPr>
      <w:r w:rsidRPr="00CD6D4E">
        <w:rPr>
          <w:rFonts w:ascii="Book Antiqua" w:hAnsi="Book Antiqua"/>
          <w:b/>
          <w:i/>
        </w:rPr>
        <w:t xml:space="preserve">Research </w:t>
      </w:r>
      <w:r w:rsidR="00613585" w:rsidRPr="00CD6D4E">
        <w:rPr>
          <w:rFonts w:ascii="Book Antiqua" w:hAnsi="Book Antiqua"/>
          <w:b/>
          <w:i/>
        </w:rPr>
        <w:t>b</w:t>
      </w:r>
      <w:r w:rsidRPr="00CD6D4E">
        <w:rPr>
          <w:rFonts w:ascii="Book Antiqua" w:hAnsi="Book Antiqua"/>
          <w:b/>
          <w:i/>
        </w:rPr>
        <w:t>ackground</w:t>
      </w:r>
    </w:p>
    <w:p w14:paraId="79A5B004" w14:textId="631B7E17" w:rsidR="005B3F5B" w:rsidRPr="00C311AE" w:rsidRDefault="005B3F5B" w:rsidP="00020CC7">
      <w:pPr>
        <w:snapToGrid w:val="0"/>
        <w:spacing w:line="360" w:lineRule="auto"/>
        <w:jc w:val="both"/>
        <w:rPr>
          <w:rFonts w:ascii="Book Antiqua" w:hAnsi="Book Antiqua"/>
        </w:rPr>
      </w:pPr>
      <w:r w:rsidRPr="00C311AE">
        <w:rPr>
          <w:rFonts w:ascii="Book Antiqua" w:hAnsi="Book Antiqua"/>
        </w:rPr>
        <w:t xml:space="preserve">Despite the gastrointestinal side effects associated with opioid use, they are used in some patients with gastroparesis. The relationship of opioid use to the gastrointestinal symptoms, healthcare utilization and employment is not known. </w:t>
      </w:r>
    </w:p>
    <w:p w14:paraId="645E732D" w14:textId="77777777" w:rsidR="005B3F5B" w:rsidRPr="00C311AE" w:rsidRDefault="005B3F5B" w:rsidP="00020CC7">
      <w:pPr>
        <w:snapToGrid w:val="0"/>
        <w:spacing w:line="360" w:lineRule="auto"/>
        <w:jc w:val="both"/>
        <w:rPr>
          <w:rFonts w:ascii="Book Antiqua" w:hAnsi="Book Antiqua"/>
          <w:b/>
        </w:rPr>
      </w:pPr>
    </w:p>
    <w:p w14:paraId="16756A94" w14:textId="5B7A01B2" w:rsidR="005B3F5B" w:rsidRPr="00CD6D4E" w:rsidRDefault="005B3F5B" w:rsidP="00020CC7">
      <w:pPr>
        <w:snapToGrid w:val="0"/>
        <w:spacing w:line="360" w:lineRule="auto"/>
        <w:jc w:val="both"/>
        <w:rPr>
          <w:rFonts w:ascii="Book Antiqua" w:hAnsi="Book Antiqua"/>
          <w:b/>
          <w:i/>
        </w:rPr>
      </w:pPr>
      <w:r w:rsidRPr="00CD6D4E">
        <w:rPr>
          <w:rFonts w:ascii="Book Antiqua" w:hAnsi="Book Antiqua"/>
          <w:b/>
          <w:i/>
        </w:rPr>
        <w:t>Research motivation</w:t>
      </w:r>
    </w:p>
    <w:p w14:paraId="31867274" w14:textId="739819B6" w:rsidR="005B3F5B" w:rsidRPr="00C311AE" w:rsidRDefault="001F6CEB" w:rsidP="00020CC7">
      <w:pPr>
        <w:snapToGrid w:val="0"/>
        <w:spacing w:line="360" w:lineRule="auto"/>
        <w:jc w:val="both"/>
        <w:rPr>
          <w:rFonts w:ascii="Book Antiqua" w:hAnsi="Book Antiqua"/>
          <w:b/>
        </w:rPr>
      </w:pPr>
      <w:r w:rsidRPr="00C311AE">
        <w:rPr>
          <w:rFonts w:ascii="Book Antiqua" w:hAnsi="Book Antiqua"/>
        </w:rPr>
        <w:t xml:space="preserve">As opioid use had become a healthcare epidemic in United States, studies on opioid use in gastroparesis would be useful for clinicians and researchers.  </w:t>
      </w:r>
    </w:p>
    <w:p w14:paraId="0DE198F2" w14:textId="77777777" w:rsidR="005B3F5B" w:rsidRPr="00C311AE" w:rsidRDefault="005B3F5B" w:rsidP="00020CC7">
      <w:pPr>
        <w:snapToGrid w:val="0"/>
        <w:spacing w:line="360" w:lineRule="auto"/>
        <w:jc w:val="both"/>
        <w:rPr>
          <w:rFonts w:ascii="Book Antiqua" w:hAnsi="Book Antiqua"/>
          <w:b/>
        </w:rPr>
      </w:pPr>
    </w:p>
    <w:p w14:paraId="22B5365C" w14:textId="243C1403" w:rsidR="005B3F5B" w:rsidRPr="00CD6D4E" w:rsidRDefault="005B3F5B" w:rsidP="00020CC7">
      <w:pPr>
        <w:snapToGrid w:val="0"/>
        <w:spacing w:line="360" w:lineRule="auto"/>
        <w:jc w:val="both"/>
        <w:rPr>
          <w:rFonts w:ascii="Book Antiqua" w:hAnsi="Book Antiqua"/>
          <w:b/>
          <w:i/>
        </w:rPr>
      </w:pPr>
      <w:r w:rsidRPr="00CD6D4E">
        <w:rPr>
          <w:rFonts w:ascii="Book Antiqua" w:hAnsi="Book Antiqua"/>
          <w:b/>
          <w:i/>
        </w:rPr>
        <w:t xml:space="preserve">Research objectives </w:t>
      </w:r>
    </w:p>
    <w:p w14:paraId="1CF334FA" w14:textId="7E690021" w:rsidR="005B3F5B" w:rsidRPr="00C311AE" w:rsidRDefault="00020CC7" w:rsidP="00020CC7">
      <w:pPr>
        <w:snapToGrid w:val="0"/>
        <w:spacing w:line="360" w:lineRule="auto"/>
        <w:jc w:val="both"/>
        <w:rPr>
          <w:rFonts w:ascii="Book Antiqua" w:hAnsi="Book Antiqua"/>
          <w:b/>
        </w:rPr>
      </w:pPr>
      <w:r>
        <w:rPr>
          <w:rFonts w:ascii="Book Antiqua" w:eastAsiaTheme="minorEastAsia" w:hAnsi="Book Antiqua"/>
          <w:lang w:eastAsia="zh-CN"/>
        </w:rPr>
        <w:t>This</w:t>
      </w:r>
      <w:r w:rsidR="001F6CEB" w:rsidRPr="00C311AE">
        <w:rPr>
          <w:rFonts w:ascii="Book Antiqua" w:hAnsi="Book Antiqua"/>
        </w:rPr>
        <w:t xml:space="preserve"> objective was to study the relationship of chronic </w:t>
      </w:r>
      <w:r w:rsidR="00900F09" w:rsidRPr="00C311AE">
        <w:rPr>
          <w:rFonts w:ascii="Book Antiqua" w:hAnsi="Book Antiqua"/>
        </w:rPr>
        <w:t xml:space="preserve">scheduled opioid use to gastrointestinal </w:t>
      </w:r>
      <w:r w:rsidR="001F6CEB" w:rsidRPr="00C311AE">
        <w:rPr>
          <w:rFonts w:ascii="Book Antiqua" w:hAnsi="Book Antiqua"/>
        </w:rPr>
        <w:t>symptoms, healthcare utilization and employment in gastroparesis patients.</w:t>
      </w:r>
    </w:p>
    <w:p w14:paraId="170EF9B0" w14:textId="77777777" w:rsidR="00C200DF" w:rsidRDefault="00C200DF" w:rsidP="00020CC7">
      <w:pPr>
        <w:snapToGrid w:val="0"/>
        <w:spacing w:line="360" w:lineRule="auto"/>
        <w:jc w:val="both"/>
        <w:rPr>
          <w:rFonts w:ascii="Book Antiqua" w:eastAsiaTheme="minorEastAsia" w:hAnsi="Book Antiqua"/>
          <w:b/>
          <w:lang w:eastAsia="zh-CN"/>
        </w:rPr>
      </w:pPr>
    </w:p>
    <w:p w14:paraId="02E26B6A" w14:textId="29B81BCB" w:rsidR="005B3F5B" w:rsidRPr="00CD6D4E" w:rsidRDefault="005B3F5B" w:rsidP="00020CC7">
      <w:pPr>
        <w:snapToGrid w:val="0"/>
        <w:spacing w:line="360" w:lineRule="auto"/>
        <w:jc w:val="both"/>
        <w:rPr>
          <w:rFonts w:ascii="Book Antiqua" w:hAnsi="Book Antiqua"/>
          <w:b/>
          <w:i/>
        </w:rPr>
      </w:pPr>
      <w:r w:rsidRPr="00CD6D4E">
        <w:rPr>
          <w:rFonts w:ascii="Book Antiqua" w:hAnsi="Book Antiqua"/>
          <w:b/>
          <w:i/>
        </w:rPr>
        <w:lastRenderedPageBreak/>
        <w:t>Research methods</w:t>
      </w:r>
    </w:p>
    <w:p w14:paraId="433F78A8" w14:textId="19F223F8" w:rsidR="005B3F5B" w:rsidRPr="00C311AE" w:rsidRDefault="000638F7" w:rsidP="00020CC7">
      <w:pPr>
        <w:snapToGrid w:val="0"/>
        <w:spacing w:line="360" w:lineRule="auto"/>
        <w:jc w:val="both"/>
        <w:rPr>
          <w:rFonts w:ascii="Book Antiqua" w:hAnsi="Book Antiqua"/>
          <w:b/>
        </w:rPr>
      </w:pPr>
      <w:r>
        <w:rPr>
          <w:rFonts w:ascii="Book Antiqua" w:eastAsiaTheme="minorEastAsia" w:hAnsi="Book Antiqua" w:hint="eastAsia"/>
          <w:lang w:eastAsia="zh-CN"/>
        </w:rPr>
        <w:t xml:space="preserve">The authors </w:t>
      </w:r>
      <w:r w:rsidR="001F6CEB" w:rsidRPr="00C311AE">
        <w:rPr>
          <w:rFonts w:ascii="Book Antiqua" w:hAnsi="Book Antiqua"/>
        </w:rPr>
        <w:t xml:space="preserve">used Mann Whitney </w:t>
      </w:r>
      <w:r w:rsidR="001F6CEB" w:rsidRPr="000638F7">
        <w:rPr>
          <w:rFonts w:ascii="Book Antiqua" w:hAnsi="Book Antiqua"/>
          <w:i/>
        </w:rPr>
        <w:t xml:space="preserve">U </w:t>
      </w:r>
      <w:r w:rsidR="001F6CEB" w:rsidRPr="00C311AE">
        <w:rPr>
          <w:rFonts w:ascii="Book Antiqua" w:hAnsi="Book Antiqua"/>
        </w:rPr>
        <w:t xml:space="preserve">Test, Student’s </w:t>
      </w:r>
      <w:r w:rsidR="001F6CEB" w:rsidRPr="000638F7">
        <w:rPr>
          <w:rFonts w:ascii="Book Antiqua" w:hAnsi="Book Antiqua"/>
          <w:i/>
        </w:rPr>
        <w:t>t</w:t>
      </w:r>
      <w:r w:rsidRPr="000638F7">
        <w:rPr>
          <w:rFonts w:ascii="Book Antiqua" w:eastAsiaTheme="minorEastAsia" w:hAnsi="Book Antiqua" w:hint="eastAsia"/>
          <w:i/>
          <w:lang w:eastAsia="zh-CN"/>
        </w:rPr>
        <w:t>-</w:t>
      </w:r>
      <w:r w:rsidR="001F6CEB" w:rsidRPr="00C311AE">
        <w:rPr>
          <w:rFonts w:ascii="Book Antiqua" w:hAnsi="Book Antiqua"/>
        </w:rPr>
        <w:t xml:space="preserve">test, Analysis of Variance, and </w:t>
      </w:r>
      <w:r w:rsidR="00020CC7">
        <w:rPr>
          <w:rFonts w:ascii="Book Antiqua" w:hAnsi="Book Antiqua"/>
        </w:rPr>
        <w:sym w:font="Symbol" w:char="F063"/>
      </w:r>
      <w:r w:rsidR="00020CC7">
        <w:rPr>
          <w:rFonts w:ascii="Book Antiqua" w:eastAsiaTheme="minorEastAsia" w:hAnsi="Book Antiqua" w:hint="eastAsia"/>
          <w:vertAlign w:val="superscript"/>
          <w:lang w:eastAsia="zh-CN"/>
        </w:rPr>
        <w:t>2</w:t>
      </w:r>
      <w:r w:rsidR="001F6CEB" w:rsidRPr="00C311AE">
        <w:rPr>
          <w:rFonts w:ascii="Book Antiqua" w:hAnsi="Book Antiqua"/>
        </w:rPr>
        <w:t xml:space="preserve"> test as appropriate for data analysis. </w:t>
      </w:r>
    </w:p>
    <w:p w14:paraId="750492E2" w14:textId="77777777" w:rsidR="005B3F5B" w:rsidRPr="00C311AE" w:rsidRDefault="005B3F5B" w:rsidP="00020CC7">
      <w:pPr>
        <w:snapToGrid w:val="0"/>
        <w:spacing w:line="360" w:lineRule="auto"/>
        <w:jc w:val="both"/>
        <w:rPr>
          <w:rFonts w:ascii="Book Antiqua" w:hAnsi="Book Antiqua"/>
          <w:b/>
        </w:rPr>
      </w:pPr>
    </w:p>
    <w:p w14:paraId="4B83CE61" w14:textId="712B59BC" w:rsidR="005B3F5B" w:rsidRPr="00CD6D4E" w:rsidRDefault="005B3F5B" w:rsidP="00020CC7">
      <w:pPr>
        <w:snapToGrid w:val="0"/>
        <w:spacing w:line="360" w:lineRule="auto"/>
        <w:jc w:val="both"/>
        <w:rPr>
          <w:rFonts w:ascii="Book Antiqua" w:hAnsi="Book Antiqua"/>
          <w:b/>
          <w:i/>
        </w:rPr>
      </w:pPr>
      <w:r w:rsidRPr="00CD6D4E">
        <w:rPr>
          <w:rFonts w:ascii="Book Antiqua" w:hAnsi="Book Antiqua"/>
          <w:b/>
          <w:i/>
        </w:rPr>
        <w:t>Research results</w:t>
      </w:r>
    </w:p>
    <w:p w14:paraId="1A9136D5" w14:textId="71228CE7" w:rsidR="005B3F5B" w:rsidRPr="00C311AE" w:rsidRDefault="00CD6D4E" w:rsidP="00020CC7">
      <w:pPr>
        <w:snapToGrid w:val="0"/>
        <w:spacing w:line="360" w:lineRule="auto"/>
        <w:ind w:left="1"/>
        <w:jc w:val="both"/>
        <w:rPr>
          <w:rFonts w:ascii="Book Antiqua" w:hAnsi="Book Antiqua" w:cs="Segoe UI"/>
          <w:shd w:val="clear" w:color="auto" w:fill="FFFFFF"/>
        </w:rPr>
      </w:pPr>
      <w:r>
        <w:rPr>
          <w:rFonts w:ascii="Book Antiqua" w:eastAsiaTheme="minorEastAsia" w:hAnsi="Book Antiqua" w:hint="eastAsia"/>
          <w:lang w:eastAsia="zh-CN"/>
        </w:rPr>
        <w:t xml:space="preserve">This </w:t>
      </w:r>
      <w:r w:rsidR="001F6CEB" w:rsidRPr="00C311AE">
        <w:rPr>
          <w:rFonts w:ascii="Book Antiqua" w:hAnsi="Book Antiqua"/>
        </w:rPr>
        <w:t xml:space="preserve">study shows higher severity of </w:t>
      </w:r>
      <w:r w:rsidR="00900F09" w:rsidRPr="00C311AE">
        <w:rPr>
          <w:rFonts w:ascii="Book Antiqua" w:hAnsi="Book Antiqua"/>
        </w:rPr>
        <w:t xml:space="preserve">many </w:t>
      </w:r>
      <w:r w:rsidR="001F6CEB" w:rsidRPr="00C311AE">
        <w:rPr>
          <w:rFonts w:ascii="Book Antiqua" w:hAnsi="Book Antiqua"/>
        </w:rPr>
        <w:t xml:space="preserve">gastrointestinal symptoms, and </w:t>
      </w:r>
      <w:r w:rsidR="00900F09" w:rsidRPr="00C311AE">
        <w:rPr>
          <w:rFonts w:ascii="Book Antiqua" w:hAnsi="Book Antiqua"/>
        </w:rPr>
        <w:t xml:space="preserve">more frequent </w:t>
      </w:r>
      <w:r w:rsidR="001F6CEB" w:rsidRPr="00C311AE">
        <w:rPr>
          <w:rFonts w:ascii="Book Antiqua" w:hAnsi="Book Antiqua"/>
        </w:rPr>
        <w:t>hospitalizations in gastroparesis patients on chronic scheduled opioids, compared to gastroparesis patients not using opioids. Chronic opioid using patients also reported their work being effected more frequently</w:t>
      </w:r>
      <w:r w:rsidR="00900F09" w:rsidRPr="00C311AE">
        <w:rPr>
          <w:rFonts w:ascii="Book Antiqua" w:hAnsi="Book Antiqua"/>
        </w:rPr>
        <w:t xml:space="preserve"> by their gastrointestinal symptoms</w:t>
      </w:r>
      <w:r w:rsidR="001F6CEB" w:rsidRPr="00C311AE">
        <w:rPr>
          <w:rFonts w:ascii="Book Antiqua" w:hAnsi="Book Antiqua"/>
        </w:rPr>
        <w:t xml:space="preserve">. </w:t>
      </w:r>
      <w:r w:rsidR="00900F09" w:rsidRPr="00C311AE">
        <w:rPr>
          <w:rFonts w:ascii="Book Antiqua" w:hAnsi="Book Antiqua"/>
        </w:rPr>
        <w:t xml:space="preserve">The prevalence of chronic pancreatitis is also higher in opioid using gastroparesis patients. </w:t>
      </w:r>
    </w:p>
    <w:p w14:paraId="5388AF80" w14:textId="77777777" w:rsidR="00900F09" w:rsidRPr="00C311AE" w:rsidRDefault="00900F09" w:rsidP="00020CC7">
      <w:pPr>
        <w:snapToGrid w:val="0"/>
        <w:spacing w:line="360" w:lineRule="auto"/>
        <w:jc w:val="both"/>
        <w:rPr>
          <w:rFonts w:ascii="Book Antiqua" w:eastAsiaTheme="minorEastAsia" w:hAnsi="Book Antiqua"/>
          <w:b/>
          <w:lang w:eastAsia="zh-CN"/>
        </w:rPr>
      </w:pPr>
    </w:p>
    <w:p w14:paraId="76A9B8DB" w14:textId="4CDA7372" w:rsidR="005B3F5B" w:rsidRPr="00CD6D4E" w:rsidRDefault="005B3F5B" w:rsidP="00020CC7">
      <w:pPr>
        <w:snapToGrid w:val="0"/>
        <w:spacing w:line="360" w:lineRule="auto"/>
        <w:jc w:val="both"/>
        <w:rPr>
          <w:rFonts w:ascii="Book Antiqua" w:hAnsi="Book Antiqua" w:cs="Segoe UI"/>
          <w:b/>
          <w:i/>
          <w:shd w:val="clear" w:color="auto" w:fill="FFFFFF"/>
        </w:rPr>
      </w:pPr>
      <w:r w:rsidRPr="00CD6D4E">
        <w:rPr>
          <w:rFonts w:ascii="Book Antiqua" w:hAnsi="Book Antiqua"/>
          <w:b/>
          <w:i/>
        </w:rPr>
        <w:t>Research conclusions</w:t>
      </w:r>
    </w:p>
    <w:p w14:paraId="0D2AFA9D" w14:textId="68348CE0" w:rsidR="001F6CEB" w:rsidRDefault="001F6CEB" w:rsidP="00020CC7">
      <w:pPr>
        <w:snapToGrid w:val="0"/>
        <w:spacing w:line="360" w:lineRule="auto"/>
        <w:jc w:val="both"/>
        <w:rPr>
          <w:rFonts w:ascii="Book Antiqua" w:eastAsiaTheme="minorEastAsia" w:hAnsi="Book Antiqua"/>
          <w:lang w:eastAsia="zh-CN"/>
        </w:rPr>
      </w:pPr>
      <w:r w:rsidRPr="00C311AE">
        <w:rPr>
          <w:rFonts w:ascii="Book Antiqua" w:hAnsi="Book Antiqua"/>
        </w:rPr>
        <w:t xml:space="preserve">This study confirmed </w:t>
      </w:r>
      <w:r w:rsidR="00020CC7">
        <w:rPr>
          <w:rFonts w:ascii="Book Antiqua" w:eastAsiaTheme="minorEastAsia" w:hAnsi="Book Antiqua" w:hint="eastAsia"/>
          <w:lang w:eastAsia="zh-CN"/>
        </w:rPr>
        <w:t>they</w:t>
      </w:r>
      <w:r w:rsidRPr="00C311AE">
        <w:rPr>
          <w:rFonts w:ascii="Book Antiqua" w:hAnsi="Book Antiqua"/>
        </w:rPr>
        <w:t xml:space="preserve"> hypothesis that chronic opioid use in gastroparesis is related with more se</w:t>
      </w:r>
      <w:r w:rsidR="00900F09" w:rsidRPr="00C311AE">
        <w:rPr>
          <w:rFonts w:ascii="Book Antiqua" w:hAnsi="Book Antiqua"/>
        </w:rPr>
        <w:t xml:space="preserve">vere gastrointestinal symptoms, and hospitalizations. Whether opioid use is to manage a higher severity of gastroparesis symptoms, or is responsible for the higher severity of symptoms is not clear as we did not have symptoms of patients prior to starting opioids. In clinical practice, this study implicates that the opioids may need to be used with caution in gastroparesis patients. </w:t>
      </w:r>
    </w:p>
    <w:p w14:paraId="738BA850" w14:textId="77777777" w:rsidR="00C200DF" w:rsidRDefault="00C200DF" w:rsidP="00020CC7">
      <w:pPr>
        <w:snapToGrid w:val="0"/>
        <w:spacing w:line="360" w:lineRule="auto"/>
        <w:jc w:val="both"/>
        <w:rPr>
          <w:rFonts w:ascii="Book Antiqua" w:eastAsiaTheme="minorEastAsia" w:hAnsi="Book Antiqua"/>
          <w:lang w:eastAsia="zh-CN"/>
        </w:rPr>
      </w:pPr>
    </w:p>
    <w:p w14:paraId="60B5A2B0" w14:textId="77777777" w:rsidR="00C200DF" w:rsidRDefault="00C200DF" w:rsidP="00020CC7">
      <w:pPr>
        <w:snapToGrid w:val="0"/>
        <w:spacing w:line="360" w:lineRule="auto"/>
        <w:jc w:val="both"/>
        <w:rPr>
          <w:rFonts w:ascii="Book Antiqua" w:eastAsia="SimSun" w:hAnsi="Book Antiqua" w:cs="Segoe UI"/>
          <w:b/>
          <w:bCs/>
          <w:i/>
          <w:shd w:val="clear" w:color="auto" w:fill="FFFFFF"/>
          <w:lang w:eastAsia="zh-CN"/>
        </w:rPr>
      </w:pPr>
      <w:r w:rsidRPr="00485709">
        <w:rPr>
          <w:rFonts w:ascii="Book Antiqua" w:eastAsia="SimSun" w:hAnsi="Book Antiqua" w:cs="Segoe UI"/>
          <w:b/>
          <w:bCs/>
          <w:i/>
          <w:shd w:val="clear" w:color="auto" w:fill="FFFFFF"/>
          <w:lang w:eastAsia="zh-CN"/>
        </w:rPr>
        <w:t>Research perspectives</w:t>
      </w:r>
    </w:p>
    <w:p w14:paraId="58C32F7D" w14:textId="2D238EC6" w:rsidR="00987CF0" w:rsidRPr="00987CF0" w:rsidRDefault="00987CF0" w:rsidP="00020CC7">
      <w:pPr>
        <w:snapToGrid w:val="0"/>
        <w:spacing w:line="360" w:lineRule="auto"/>
        <w:jc w:val="both"/>
        <w:rPr>
          <w:rFonts w:ascii="Calibri" w:eastAsia="SimSun" w:hAnsi="Calibri" w:cs="SimSun"/>
          <w:color w:val="000000"/>
          <w:sz w:val="20"/>
          <w:szCs w:val="22"/>
          <w:lang w:eastAsia="zh-CN"/>
        </w:rPr>
      </w:pPr>
      <w:r w:rsidRPr="00987CF0">
        <w:rPr>
          <w:rFonts w:ascii="Book Antiqua" w:eastAsia="SimSun" w:hAnsi="Book Antiqua" w:cs="SimSun"/>
          <w:color w:val="000000"/>
          <w:szCs w:val="28"/>
          <w:lang w:eastAsia="zh-CN"/>
        </w:rPr>
        <w:t>Opioid use is quite prevalent in pati</w:t>
      </w:r>
      <w:r w:rsidR="00C143B7">
        <w:rPr>
          <w:rFonts w:ascii="Book Antiqua" w:eastAsia="SimSun" w:hAnsi="Book Antiqua" w:cs="SimSun"/>
          <w:color w:val="000000"/>
          <w:szCs w:val="28"/>
          <w:lang w:eastAsia="zh-CN"/>
        </w:rPr>
        <w:t>ents with gastroparesis. Opioid-</w:t>
      </w:r>
      <w:r w:rsidRPr="00987CF0">
        <w:rPr>
          <w:rFonts w:ascii="Book Antiqua" w:eastAsia="SimSun" w:hAnsi="Book Antiqua" w:cs="SimSun"/>
          <w:color w:val="000000"/>
          <w:szCs w:val="28"/>
          <w:lang w:eastAsia="zh-CN"/>
        </w:rPr>
        <w:t xml:space="preserve">using gastroparesis patients have more severe gastrointestinal symptoms. These </w:t>
      </w:r>
      <w:r w:rsidR="00C143B7">
        <w:rPr>
          <w:rFonts w:ascii="Book Antiqua" w:eastAsia="SimSun" w:hAnsi="Book Antiqua" w:cs="SimSun"/>
          <w:color w:val="000000"/>
          <w:szCs w:val="28"/>
          <w:lang w:eastAsia="zh-CN"/>
        </w:rPr>
        <w:t>opioid-</w:t>
      </w:r>
      <w:r w:rsidRPr="00987CF0">
        <w:rPr>
          <w:rFonts w:ascii="Book Antiqua" w:eastAsia="SimSun" w:hAnsi="Book Antiqua" w:cs="SimSun"/>
          <w:color w:val="000000"/>
          <w:szCs w:val="28"/>
          <w:lang w:eastAsia="zh-CN"/>
        </w:rPr>
        <w:t xml:space="preserve">using </w:t>
      </w:r>
      <w:r w:rsidR="003906B4">
        <w:rPr>
          <w:rFonts w:ascii="Book Antiqua" w:eastAsia="SimSun" w:hAnsi="Book Antiqua" w:cs="SimSun"/>
          <w:color w:val="000000"/>
          <w:szCs w:val="28"/>
          <w:lang w:eastAsia="zh-CN"/>
        </w:rPr>
        <w:t>patients</w:t>
      </w:r>
      <w:r w:rsidRPr="00987CF0">
        <w:rPr>
          <w:rFonts w:ascii="Book Antiqua" w:eastAsia="SimSun" w:hAnsi="Book Antiqua" w:cs="SimSun"/>
          <w:color w:val="000000"/>
          <w:szCs w:val="28"/>
          <w:lang w:eastAsia="zh-CN"/>
        </w:rPr>
        <w:t xml:space="preserve"> </w:t>
      </w:r>
      <w:r w:rsidR="00C143B7">
        <w:rPr>
          <w:rFonts w:ascii="Book Antiqua" w:eastAsia="SimSun" w:hAnsi="Book Antiqua" w:cs="SimSun"/>
          <w:color w:val="000000"/>
          <w:szCs w:val="28"/>
          <w:lang w:eastAsia="zh-CN"/>
        </w:rPr>
        <w:t xml:space="preserve">are </w:t>
      </w:r>
      <w:r w:rsidRPr="00987CF0">
        <w:rPr>
          <w:rFonts w:ascii="Book Antiqua" w:eastAsia="SimSun" w:hAnsi="Book Antiqua" w:cs="SimSun"/>
          <w:color w:val="000000"/>
          <w:szCs w:val="28"/>
          <w:lang w:eastAsia="zh-CN"/>
        </w:rPr>
        <w:t>more frequently hospitalized</w:t>
      </w:r>
      <w:r w:rsidR="00C143B7">
        <w:rPr>
          <w:rFonts w:ascii="Book Antiqua" w:eastAsia="SimSun" w:hAnsi="Book Antiqua" w:cs="SimSun"/>
          <w:color w:val="000000"/>
          <w:szCs w:val="28"/>
          <w:lang w:eastAsia="zh-CN"/>
        </w:rPr>
        <w:t>,</w:t>
      </w:r>
      <w:r w:rsidR="003906B4">
        <w:rPr>
          <w:rFonts w:ascii="Book Antiqua" w:eastAsia="SimSun" w:hAnsi="Book Antiqua" w:cs="SimSun"/>
          <w:color w:val="000000"/>
          <w:szCs w:val="28"/>
          <w:lang w:eastAsia="zh-CN"/>
        </w:rPr>
        <w:t xml:space="preserve"> compared to </w:t>
      </w:r>
      <w:r w:rsidR="00C143B7">
        <w:rPr>
          <w:rFonts w:ascii="Book Antiqua" w:eastAsia="SimSun" w:hAnsi="Book Antiqua" w:cs="SimSun"/>
          <w:color w:val="000000"/>
          <w:szCs w:val="28"/>
          <w:lang w:eastAsia="zh-CN"/>
        </w:rPr>
        <w:t xml:space="preserve">the </w:t>
      </w:r>
      <w:r w:rsidR="003906B4">
        <w:rPr>
          <w:rFonts w:ascii="Book Antiqua" w:eastAsia="SimSun" w:hAnsi="Book Antiqua" w:cs="SimSun"/>
          <w:color w:val="000000"/>
          <w:szCs w:val="28"/>
          <w:lang w:eastAsia="zh-CN"/>
        </w:rPr>
        <w:t>patients without opioid use</w:t>
      </w:r>
      <w:r w:rsidRPr="00987CF0">
        <w:rPr>
          <w:rFonts w:ascii="Book Antiqua" w:eastAsia="SimSun" w:hAnsi="Book Antiqua" w:cs="SimSun"/>
          <w:color w:val="000000"/>
          <w:szCs w:val="28"/>
          <w:lang w:eastAsia="zh-CN"/>
        </w:rPr>
        <w:t xml:space="preserve">. </w:t>
      </w:r>
      <w:r>
        <w:rPr>
          <w:rFonts w:ascii="Book Antiqua" w:eastAsia="SimSun" w:hAnsi="Book Antiqua" w:cs="SimSun"/>
          <w:color w:val="000000"/>
          <w:szCs w:val="28"/>
          <w:lang w:eastAsia="zh-CN"/>
        </w:rPr>
        <w:t>They</w:t>
      </w:r>
      <w:r w:rsidRPr="00987CF0">
        <w:rPr>
          <w:rFonts w:ascii="Book Antiqua" w:eastAsia="SimSun" w:hAnsi="Book Antiqua" w:cs="SimSun"/>
          <w:color w:val="000000"/>
          <w:szCs w:val="28"/>
          <w:lang w:eastAsia="zh-CN"/>
        </w:rPr>
        <w:t xml:space="preserve"> also more commonly report their employment being affected due to the</w:t>
      </w:r>
      <w:r w:rsidR="00C143B7">
        <w:rPr>
          <w:rFonts w:ascii="Book Antiqua" w:eastAsia="SimSun" w:hAnsi="Book Antiqua" w:cs="SimSun"/>
          <w:color w:val="000000"/>
          <w:szCs w:val="28"/>
          <w:lang w:eastAsia="zh-CN"/>
        </w:rPr>
        <w:t>ir</w:t>
      </w:r>
      <w:r w:rsidRPr="00987CF0">
        <w:rPr>
          <w:rFonts w:ascii="Book Antiqua" w:eastAsia="SimSun" w:hAnsi="Book Antiqua" w:cs="SimSun"/>
          <w:color w:val="000000"/>
          <w:szCs w:val="28"/>
          <w:lang w:eastAsia="zh-CN"/>
        </w:rPr>
        <w:t xml:space="preserve"> gastrointestinal symptoms.</w:t>
      </w:r>
      <w:r w:rsidR="003906B4">
        <w:rPr>
          <w:rFonts w:ascii="Book Antiqua" w:eastAsia="SimSun" w:hAnsi="Book Antiqua" w:cs="SimSun"/>
          <w:color w:val="000000"/>
          <w:szCs w:val="28"/>
          <w:lang w:eastAsia="zh-CN"/>
        </w:rPr>
        <w:t xml:space="preserve"> P</w:t>
      </w:r>
      <w:r>
        <w:rPr>
          <w:rFonts w:ascii="Book Antiqua" w:eastAsia="SimSun" w:hAnsi="Book Antiqua" w:cs="SimSun"/>
          <w:color w:val="000000"/>
          <w:szCs w:val="28"/>
          <w:lang w:eastAsia="zh-CN"/>
        </w:rPr>
        <w:t xml:space="preserve">atients with gastroparesis may have chronic pancreatitis, possibly contributing to </w:t>
      </w:r>
      <w:r w:rsidR="003906B4">
        <w:rPr>
          <w:rFonts w:ascii="Book Antiqua" w:eastAsia="SimSun" w:hAnsi="Book Antiqua" w:cs="SimSun"/>
          <w:color w:val="000000"/>
          <w:szCs w:val="28"/>
          <w:lang w:eastAsia="zh-CN"/>
        </w:rPr>
        <w:t xml:space="preserve">their </w:t>
      </w:r>
      <w:r>
        <w:rPr>
          <w:rFonts w:ascii="Book Antiqua" w:eastAsia="SimSun" w:hAnsi="Book Antiqua" w:cs="SimSun"/>
          <w:color w:val="000000"/>
          <w:szCs w:val="28"/>
          <w:lang w:eastAsia="zh-CN"/>
        </w:rPr>
        <w:t xml:space="preserve">gastrointestinal symptoms. </w:t>
      </w:r>
    </w:p>
    <w:p w14:paraId="1781B6AE" w14:textId="0FAB76D7" w:rsidR="00987CF0" w:rsidRPr="00987CF0" w:rsidRDefault="00987CF0" w:rsidP="00020CC7">
      <w:pPr>
        <w:snapToGrid w:val="0"/>
        <w:spacing w:line="360" w:lineRule="auto"/>
        <w:ind w:firstLineChars="100" w:firstLine="240"/>
        <w:jc w:val="both"/>
        <w:rPr>
          <w:rFonts w:ascii="Calibri" w:eastAsia="SimSun" w:hAnsi="Calibri" w:cs="SimSun"/>
          <w:color w:val="000000"/>
          <w:sz w:val="20"/>
          <w:szCs w:val="22"/>
          <w:lang w:eastAsia="zh-CN"/>
        </w:rPr>
      </w:pPr>
      <w:r w:rsidRPr="00987CF0">
        <w:rPr>
          <w:rFonts w:ascii="Book Antiqua" w:eastAsia="SimSun" w:hAnsi="Book Antiqua" w:cs="SimSun"/>
          <w:color w:val="000000"/>
          <w:szCs w:val="28"/>
          <w:lang w:eastAsia="zh-CN"/>
        </w:rPr>
        <w:t xml:space="preserve">Future studies can look into </w:t>
      </w:r>
      <w:r>
        <w:rPr>
          <w:rFonts w:ascii="Book Antiqua" w:eastAsia="SimSun" w:hAnsi="Book Antiqua" w:cs="SimSun"/>
          <w:color w:val="000000"/>
          <w:szCs w:val="28"/>
          <w:lang w:eastAsia="zh-CN"/>
        </w:rPr>
        <w:t>the trends o</w:t>
      </w:r>
      <w:r w:rsidR="00C143B7">
        <w:rPr>
          <w:rFonts w:ascii="Book Antiqua" w:eastAsia="SimSun" w:hAnsi="Book Antiqua" w:cs="SimSun"/>
          <w:color w:val="000000"/>
          <w:szCs w:val="28"/>
          <w:lang w:eastAsia="zh-CN"/>
        </w:rPr>
        <w:t>f laxative-use in opioid-</w:t>
      </w:r>
      <w:r w:rsidRPr="00987CF0">
        <w:rPr>
          <w:rFonts w:ascii="Book Antiqua" w:eastAsia="SimSun" w:hAnsi="Book Antiqua" w:cs="SimSun"/>
          <w:color w:val="000000"/>
          <w:szCs w:val="28"/>
          <w:lang w:eastAsia="zh-CN"/>
        </w:rPr>
        <w:t xml:space="preserve">using gastroparesis patients. The noticeable </w:t>
      </w:r>
      <w:r w:rsidR="00C143B7">
        <w:rPr>
          <w:rFonts w:ascii="Book Antiqua" w:eastAsia="SimSun" w:hAnsi="Book Antiqua" w:cs="SimSun"/>
          <w:color w:val="000000"/>
          <w:szCs w:val="28"/>
          <w:lang w:eastAsia="zh-CN"/>
        </w:rPr>
        <w:t xml:space="preserve">prevalence of </w:t>
      </w:r>
      <w:r w:rsidRPr="00987CF0">
        <w:rPr>
          <w:rFonts w:ascii="Book Antiqua" w:eastAsia="SimSun" w:hAnsi="Book Antiqua" w:cs="SimSun"/>
          <w:color w:val="000000"/>
          <w:szCs w:val="28"/>
          <w:lang w:eastAsia="zh-CN"/>
        </w:rPr>
        <w:t xml:space="preserve">chronic pancreatitis in gastroparesis patients </w:t>
      </w:r>
      <w:r w:rsidR="003906B4">
        <w:rPr>
          <w:rFonts w:ascii="Book Antiqua" w:eastAsia="SimSun" w:hAnsi="Book Antiqua" w:cs="SimSun"/>
          <w:color w:val="000000"/>
          <w:szCs w:val="28"/>
          <w:lang w:eastAsia="zh-CN"/>
        </w:rPr>
        <w:t xml:space="preserve">in </w:t>
      </w:r>
      <w:r w:rsidR="00020CC7">
        <w:rPr>
          <w:rFonts w:ascii="Book Antiqua" w:eastAsia="SimSun" w:hAnsi="Book Antiqua" w:cs="SimSun" w:hint="eastAsia"/>
          <w:color w:val="000000"/>
          <w:szCs w:val="28"/>
          <w:lang w:eastAsia="zh-CN"/>
        </w:rPr>
        <w:lastRenderedPageBreak/>
        <w:t>this</w:t>
      </w:r>
      <w:r w:rsidR="003906B4">
        <w:rPr>
          <w:rFonts w:ascii="Book Antiqua" w:eastAsia="SimSun" w:hAnsi="Book Antiqua" w:cs="SimSun"/>
          <w:color w:val="000000"/>
          <w:szCs w:val="28"/>
          <w:lang w:eastAsia="zh-CN"/>
        </w:rPr>
        <w:t xml:space="preserve"> study </w:t>
      </w:r>
      <w:r w:rsidR="00C143B7">
        <w:rPr>
          <w:rFonts w:ascii="Book Antiqua" w:eastAsia="SimSun" w:hAnsi="Book Antiqua" w:cs="SimSun"/>
          <w:color w:val="000000"/>
          <w:szCs w:val="28"/>
          <w:lang w:eastAsia="zh-CN"/>
        </w:rPr>
        <w:t>can</w:t>
      </w:r>
      <w:r w:rsidRPr="00987CF0">
        <w:rPr>
          <w:rFonts w:ascii="Book Antiqua" w:eastAsia="SimSun" w:hAnsi="Book Antiqua" w:cs="SimSun"/>
          <w:color w:val="000000"/>
          <w:szCs w:val="28"/>
          <w:lang w:eastAsia="zh-CN"/>
        </w:rPr>
        <w:t xml:space="preserve"> be further confirmed in studies with larger sample size. </w:t>
      </w:r>
      <w:r w:rsidR="00020CC7">
        <w:rPr>
          <w:rFonts w:ascii="Book Antiqua" w:eastAsia="SimSun" w:hAnsi="Book Antiqua" w:cs="SimSun"/>
          <w:color w:val="000000"/>
          <w:szCs w:val="28"/>
          <w:lang w:eastAsia="zh-CN"/>
        </w:rPr>
        <w:t>They</w:t>
      </w:r>
      <w:r w:rsidR="00020CC7" w:rsidRPr="00987CF0">
        <w:rPr>
          <w:rFonts w:ascii="Book Antiqua" w:eastAsia="SimSun" w:hAnsi="Book Antiqua" w:cs="SimSun"/>
          <w:color w:val="000000"/>
          <w:szCs w:val="28"/>
          <w:lang w:eastAsia="zh-CN"/>
        </w:rPr>
        <w:t xml:space="preserve"> </w:t>
      </w:r>
      <w:r w:rsidRPr="00987CF0">
        <w:rPr>
          <w:rFonts w:ascii="Book Antiqua" w:eastAsia="SimSun" w:hAnsi="Book Antiqua" w:cs="SimSun"/>
          <w:color w:val="000000"/>
          <w:szCs w:val="28"/>
          <w:lang w:eastAsia="zh-CN"/>
        </w:rPr>
        <w:t xml:space="preserve">found more frequent hospitalizations in </w:t>
      </w:r>
      <w:r w:rsidR="00C143B7">
        <w:rPr>
          <w:rFonts w:ascii="Book Antiqua" w:eastAsia="SimSun" w:hAnsi="Book Antiqua" w:cs="SimSun"/>
          <w:color w:val="000000"/>
          <w:szCs w:val="28"/>
          <w:lang w:eastAsia="zh-CN"/>
        </w:rPr>
        <w:t xml:space="preserve">gastroparesis patients; future </w:t>
      </w:r>
      <w:r w:rsidRPr="00987CF0">
        <w:rPr>
          <w:rFonts w:ascii="Book Antiqua" w:eastAsia="SimSun" w:hAnsi="Book Antiqua" w:cs="SimSun"/>
          <w:color w:val="000000"/>
          <w:szCs w:val="28"/>
          <w:lang w:eastAsia="zh-CN"/>
        </w:rPr>
        <w:t xml:space="preserve">studies </w:t>
      </w:r>
      <w:r w:rsidR="00C143B7">
        <w:rPr>
          <w:rFonts w:ascii="Book Antiqua" w:eastAsia="SimSun" w:hAnsi="Book Antiqua" w:cs="SimSun"/>
          <w:color w:val="000000"/>
          <w:szCs w:val="28"/>
          <w:lang w:eastAsia="zh-CN"/>
        </w:rPr>
        <w:t>to evaluate</w:t>
      </w:r>
      <w:r w:rsidRPr="00987CF0">
        <w:rPr>
          <w:rFonts w:ascii="Book Antiqua" w:eastAsia="SimSun" w:hAnsi="Book Antiqua" w:cs="SimSun"/>
          <w:color w:val="000000"/>
          <w:szCs w:val="28"/>
          <w:lang w:eastAsia="zh-CN"/>
        </w:rPr>
        <w:t xml:space="preserve"> opioid us</w:t>
      </w:r>
      <w:r w:rsidR="003906B4">
        <w:rPr>
          <w:rFonts w:ascii="Book Antiqua" w:eastAsia="SimSun" w:hAnsi="Book Antiqua" w:cs="SimSun"/>
          <w:color w:val="000000"/>
          <w:szCs w:val="28"/>
          <w:lang w:eastAsia="zh-CN"/>
        </w:rPr>
        <w:t>e</w:t>
      </w:r>
      <w:r w:rsidRPr="00987CF0">
        <w:rPr>
          <w:rFonts w:ascii="Book Antiqua" w:eastAsia="SimSun" w:hAnsi="Book Antiqua" w:cs="SimSun"/>
          <w:color w:val="000000"/>
          <w:szCs w:val="28"/>
          <w:lang w:eastAsia="zh-CN"/>
        </w:rPr>
        <w:t xml:space="preserve"> during hospitalizations in gastroparesis patients</w:t>
      </w:r>
      <w:r w:rsidR="00C143B7">
        <w:rPr>
          <w:rFonts w:ascii="Book Antiqua" w:eastAsia="SimSun" w:hAnsi="Book Antiqua" w:cs="SimSun"/>
          <w:color w:val="000000"/>
          <w:szCs w:val="28"/>
          <w:lang w:eastAsia="zh-CN"/>
        </w:rPr>
        <w:t xml:space="preserve"> will add useful information to the current literature on gastroparesis</w:t>
      </w:r>
      <w:r w:rsidRPr="00987CF0">
        <w:rPr>
          <w:rFonts w:ascii="Book Antiqua" w:eastAsia="SimSun" w:hAnsi="Book Antiqua" w:cs="SimSun"/>
          <w:color w:val="000000"/>
          <w:szCs w:val="28"/>
          <w:lang w:eastAsia="zh-CN"/>
        </w:rPr>
        <w:t>.</w:t>
      </w:r>
    </w:p>
    <w:p w14:paraId="75AE6E90" w14:textId="2C5AA974" w:rsidR="003906B4" w:rsidRPr="003906B4" w:rsidRDefault="003906B4" w:rsidP="00020CC7">
      <w:pPr>
        <w:snapToGrid w:val="0"/>
        <w:spacing w:line="360" w:lineRule="auto"/>
        <w:ind w:firstLineChars="100" w:firstLine="240"/>
        <w:jc w:val="both"/>
        <w:rPr>
          <w:rFonts w:ascii="Book Antiqua" w:eastAsia="SimSun" w:hAnsi="Book Antiqua" w:cs="SimSun"/>
          <w:color w:val="000000"/>
          <w:szCs w:val="28"/>
          <w:lang w:eastAsia="zh-CN"/>
        </w:rPr>
      </w:pPr>
      <w:r>
        <w:rPr>
          <w:rFonts w:ascii="Book Antiqua" w:eastAsia="SimSun" w:hAnsi="Book Antiqua" w:cs="SimSun"/>
          <w:color w:val="000000"/>
          <w:szCs w:val="28"/>
          <w:lang w:eastAsia="zh-CN"/>
        </w:rPr>
        <w:t xml:space="preserve">Future research can look into opioid use in gastroparesis through different perspectives, this could be not only in the tertiary care centers, but also in smaller community settings so that the results more accurately reflect </w:t>
      </w:r>
      <w:r w:rsidR="00C143B7">
        <w:rPr>
          <w:rFonts w:ascii="Book Antiqua" w:eastAsia="SimSun" w:hAnsi="Book Antiqua" w:cs="SimSun"/>
          <w:color w:val="000000"/>
          <w:szCs w:val="28"/>
          <w:lang w:eastAsia="zh-CN"/>
        </w:rPr>
        <w:t xml:space="preserve">the </w:t>
      </w:r>
      <w:r>
        <w:rPr>
          <w:rFonts w:ascii="Book Antiqua" w:eastAsia="SimSun" w:hAnsi="Book Antiqua" w:cs="SimSun"/>
          <w:color w:val="000000"/>
          <w:szCs w:val="28"/>
          <w:lang w:eastAsia="zh-CN"/>
        </w:rPr>
        <w:t xml:space="preserve">generalized population. Moreover, bigger databases using </w:t>
      </w:r>
      <w:r w:rsidR="00C143B7">
        <w:rPr>
          <w:rFonts w:ascii="Book Antiqua" w:eastAsia="SimSun" w:hAnsi="Book Antiqua" w:cs="SimSun"/>
          <w:color w:val="000000"/>
          <w:szCs w:val="28"/>
          <w:lang w:eastAsia="zh-CN"/>
        </w:rPr>
        <w:t>diagnosis codes and medication-lists</w:t>
      </w:r>
      <w:r>
        <w:rPr>
          <w:rFonts w:ascii="Book Antiqua" w:eastAsia="SimSun" w:hAnsi="Book Antiqua" w:cs="SimSun"/>
          <w:color w:val="000000"/>
          <w:szCs w:val="28"/>
          <w:lang w:eastAsia="zh-CN"/>
        </w:rPr>
        <w:t xml:space="preserve"> can </w:t>
      </w:r>
      <w:bookmarkStart w:id="54" w:name="_GoBack"/>
      <w:bookmarkEnd w:id="54"/>
      <w:r>
        <w:rPr>
          <w:rFonts w:ascii="Book Antiqua" w:eastAsia="SimSun" w:hAnsi="Book Antiqua" w:cs="SimSun"/>
          <w:color w:val="000000"/>
          <w:szCs w:val="28"/>
          <w:lang w:eastAsia="zh-CN"/>
        </w:rPr>
        <w:t>be</w:t>
      </w:r>
      <w:r w:rsidR="00C143B7">
        <w:rPr>
          <w:rFonts w:ascii="Book Antiqua" w:eastAsia="SimSun" w:hAnsi="Book Antiqua" w:cs="SimSun"/>
          <w:color w:val="000000"/>
          <w:szCs w:val="28"/>
          <w:lang w:eastAsia="zh-CN"/>
        </w:rPr>
        <w:t xml:space="preserve"> used to get a larger sample size</w:t>
      </w:r>
      <w:r>
        <w:rPr>
          <w:rFonts w:ascii="Book Antiqua" w:eastAsia="SimSun" w:hAnsi="Book Antiqua" w:cs="SimSun"/>
          <w:color w:val="000000"/>
          <w:szCs w:val="28"/>
          <w:lang w:eastAsia="zh-CN"/>
        </w:rPr>
        <w:t>.</w:t>
      </w:r>
    </w:p>
    <w:p w14:paraId="4FC50557" w14:textId="77777777" w:rsidR="00C200DF" w:rsidRPr="00C200DF" w:rsidRDefault="00C200DF" w:rsidP="00020CC7">
      <w:pPr>
        <w:snapToGrid w:val="0"/>
        <w:spacing w:line="360" w:lineRule="auto"/>
        <w:jc w:val="both"/>
        <w:rPr>
          <w:rFonts w:ascii="Book Antiqua" w:eastAsiaTheme="minorEastAsia" w:hAnsi="Book Antiqua"/>
          <w:lang w:eastAsia="zh-CN"/>
        </w:rPr>
      </w:pPr>
    </w:p>
    <w:p w14:paraId="711E7946" w14:textId="1112FA21" w:rsidR="007875F6" w:rsidRPr="00C311AE" w:rsidRDefault="007875F6" w:rsidP="00020CC7">
      <w:pPr>
        <w:snapToGrid w:val="0"/>
        <w:spacing w:line="360" w:lineRule="auto"/>
        <w:jc w:val="both"/>
        <w:rPr>
          <w:rFonts w:ascii="Book Antiqua" w:hAnsi="Book Antiqua"/>
        </w:rPr>
      </w:pPr>
      <w:r w:rsidRPr="00C311AE">
        <w:rPr>
          <w:rFonts w:ascii="Book Antiqua" w:hAnsi="Book Antiqua"/>
        </w:rPr>
        <w:br w:type="page"/>
      </w:r>
    </w:p>
    <w:p w14:paraId="002D3A05" w14:textId="77777777" w:rsidR="007875F6" w:rsidRPr="00C311AE" w:rsidRDefault="007875F6" w:rsidP="00020CC7">
      <w:pPr>
        <w:snapToGrid w:val="0"/>
        <w:spacing w:line="360" w:lineRule="auto"/>
        <w:jc w:val="both"/>
        <w:rPr>
          <w:rFonts w:ascii="Book Antiqua" w:eastAsiaTheme="minorEastAsia" w:hAnsi="Book Antiqua" w:cs="Arial"/>
          <w:b/>
          <w:lang w:eastAsia="zh-CN"/>
        </w:rPr>
      </w:pPr>
      <w:r w:rsidRPr="00C311AE">
        <w:rPr>
          <w:rFonts w:ascii="Book Antiqua" w:hAnsi="Book Antiqua" w:cs="Arial"/>
          <w:b/>
        </w:rPr>
        <w:lastRenderedPageBreak/>
        <w:t>REFERENCES</w:t>
      </w:r>
    </w:p>
    <w:p w14:paraId="2398066E"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1 </w:t>
      </w:r>
      <w:r w:rsidRPr="00C311AE">
        <w:rPr>
          <w:rFonts w:ascii="Book Antiqua" w:eastAsia="SimSun" w:hAnsi="Book Antiqua"/>
          <w:b/>
          <w:kern w:val="2"/>
          <w:lang w:eastAsia="zh-CN"/>
        </w:rPr>
        <w:t>Sheridan DC</w:t>
      </w:r>
      <w:r w:rsidRPr="00C311AE">
        <w:rPr>
          <w:rFonts w:ascii="Book Antiqua" w:eastAsia="SimSun" w:hAnsi="Book Antiqua"/>
          <w:kern w:val="2"/>
          <w:lang w:eastAsia="zh-CN"/>
        </w:rPr>
        <w:t xml:space="preserve">, Laurie A, Hendrickson RG, Fu R, Kea B, Horowitz BZ. Association of Overall Opioid Prescriptions on Adolescent Opioid Abuse. </w:t>
      </w:r>
      <w:r w:rsidRPr="00C311AE">
        <w:rPr>
          <w:rFonts w:ascii="Book Antiqua" w:eastAsia="SimSun" w:hAnsi="Book Antiqua"/>
          <w:i/>
          <w:kern w:val="2"/>
          <w:lang w:eastAsia="zh-CN"/>
        </w:rPr>
        <w:t>J Emerg Med</w:t>
      </w:r>
      <w:r w:rsidRPr="00C311AE">
        <w:rPr>
          <w:rFonts w:ascii="Book Antiqua" w:eastAsia="SimSun" w:hAnsi="Book Antiqua"/>
          <w:kern w:val="2"/>
          <w:lang w:eastAsia="zh-CN"/>
        </w:rPr>
        <w:t xml:space="preserve"> 2016; </w:t>
      </w:r>
      <w:r w:rsidRPr="00C311AE">
        <w:rPr>
          <w:rFonts w:ascii="Book Antiqua" w:eastAsia="SimSun" w:hAnsi="Book Antiqua"/>
          <w:b/>
          <w:kern w:val="2"/>
          <w:lang w:eastAsia="zh-CN"/>
        </w:rPr>
        <w:t>51</w:t>
      </w:r>
      <w:r w:rsidRPr="00C311AE">
        <w:rPr>
          <w:rFonts w:ascii="Book Antiqua" w:eastAsia="SimSun" w:hAnsi="Book Antiqua"/>
          <w:kern w:val="2"/>
          <w:lang w:eastAsia="zh-CN"/>
        </w:rPr>
        <w:t>: 485-490 [PMID: 27596964 DOI: 10.1016/j.jemermed.2016.06.049].]</w:t>
      </w:r>
    </w:p>
    <w:p w14:paraId="1A3B7E2F"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2 </w:t>
      </w:r>
      <w:r w:rsidRPr="00C311AE">
        <w:rPr>
          <w:rFonts w:ascii="Book Antiqua" w:eastAsia="SimSun" w:hAnsi="Book Antiqua"/>
          <w:b/>
          <w:kern w:val="2"/>
          <w:lang w:eastAsia="zh-CN"/>
        </w:rPr>
        <w:t>Tuteja AK</w:t>
      </w:r>
      <w:r w:rsidRPr="00C311AE">
        <w:rPr>
          <w:rFonts w:ascii="Book Antiqua" w:eastAsia="SimSun" w:hAnsi="Book Antiqua"/>
          <w:kern w:val="2"/>
          <w:lang w:eastAsia="zh-CN"/>
        </w:rPr>
        <w:t>, Biskupiak J, Stoddard GJ, Lipman AG. Opioid-induced bowel disorders and narcotic bowel syndrome in patients with chronic non-cancer pain.</w:t>
      </w:r>
      <w:r w:rsidRPr="00C311AE">
        <w:rPr>
          <w:rFonts w:ascii="Book Antiqua" w:eastAsia="SimSun" w:hAnsi="Book Antiqua" w:hint="eastAsia"/>
          <w:kern w:val="2"/>
          <w:lang w:eastAsia="zh-CN"/>
        </w:rPr>
        <w:t xml:space="preserve"> </w:t>
      </w:r>
      <w:r w:rsidRPr="00C311AE">
        <w:rPr>
          <w:rFonts w:ascii="Book Antiqua" w:eastAsia="SimSun" w:hAnsi="Book Antiqua"/>
          <w:i/>
          <w:kern w:val="2"/>
          <w:lang w:eastAsia="zh-CN"/>
        </w:rPr>
        <w:t>Neurogastroenterol Motil</w:t>
      </w:r>
      <w:r w:rsidRPr="00C311AE">
        <w:rPr>
          <w:rFonts w:ascii="Book Antiqua" w:eastAsia="SimSun" w:hAnsi="Book Antiqua"/>
          <w:kern w:val="2"/>
          <w:lang w:eastAsia="zh-CN"/>
        </w:rPr>
        <w:t xml:space="preserve"> 2010; </w:t>
      </w:r>
      <w:r w:rsidRPr="00C311AE">
        <w:rPr>
          <w:rFonts w:ascii="Book Antiqua" w:eastAsia="SimSun" w:hAnsi="Book Antiqua"/>
          <w:b/>
          <w:kern w:val="2"/>
          <w:lang w:eastAsia="zh-CN"/>
        </w:rPr>
        <w:t>22</w:t>
      </w:r>
      <w:r w:rsidRPr="00C311AE">
        <w:rPr>
          <w:rFonts w:ascii="Book Antiqua" w:eastAsia="SimSun" w:hAnsi="Book Antiqua"/>
          <w:kern w:val="2"/>
          <w:lang w:eastAsia="zh-CN"/>
        </w:rPr>
        <w:t>: 424-430, e96 [PMID: 20100280 DOI: 10.1111/j.1365-2982.2009.01458.x]</w:t>
      </w:r>
    </w:p>
    <w:p w14:paraId="77648AD7"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3 </w:t>
      </w:r>
      <w:r w:rsidRPr="00C311AE">
        <w:rPr>
          <w:rFonts w:ascii="Book Antiqua" w:eastAsia="SimSun" w:hAnsi="Book Antiqua"/>
          <w:b/>
          <w:kern w:val="2"/>
          <w:lang w:eastAsia="zh-CN"/>
        </w:rPr>
        <w:t>Dunn KM</w:t>
      </w:r>
      <w:r w:rsidRPr="00C311AE">
        <w:rPr>
          <w:rFonts w:ascii="Book Antiqua" w:eastAsia="SimSun" w:hAnsi="Book Antiqua"/>
          <w:kern w:val="2"/>
          <w:lang w:eastAsia="zh-CN"/>
        </w:rPr>
        <w:t xml:space="preserve">, Saunders KW, Rutter CM, Banta-Green CJ, Merrill JO, Sullivan MD, Weisner CM, Silverberg MJ, Campbell CI, Psaty BM, Von Korff M. Opioid prescriptions for chronic pain and overdose: a cohort study. </w:t>
      </w:r>
      <w:r w:rsidRPr="00C311AE">
        <w:rPr>
          <w:rFonts w:ascii="Book Antiqua" w:eastAsia="SimSun" w:hAnsi="Book Antiqua"/>
          <w:i/>
          <w:kern w:val="2"/>
          <w:lang w:eastAsia="zh-CN"/>
        </w:rPr>
        <w:t>Ann Intern Med</w:t>
      </w:r>
      <w:r w:rsidRPr="00C311AE">
        <w:rPr>
          <w:rFonts w:ascii="Book Antiqua" w:eastAsia="SimSun" w:hAnsi="Book Antiqua"/>
          <w:kern w:val="2"/>
          <w:lang w:eastAsia="zh-CN"/>
        </w:rPr>
        <w:t xml:space="preserve"> 2010; </w:t>
      </w:r>
      <w:r w:rsidRPr="00C311AE">
        <w:rPr>
          <w:rFonts w:ascii="Book Antiqua" w:eastAsia="SimSun" w:hAnsi="Book Antiqua"/>
          <w:b/>
          <w:kern w:val="2"/>
          <w:lang w:eastAsia="zh-CN"/>
        </w:rPr>
        <w:t>152</w:t>
      </w:r>
      <w:r w:rsidRPr="00C311AE">
        <w:rPr>
          <w:rFonts w:ascii="Book Antiqua" w:eastAsia="SimSun" w:hAnsi="Book Antiqua"/>
          <w:kern w:val="2"/>
          <w:lang w:eastAsia="zh-CN"/>
        </w:rPr>
        <w:t>: 85-92 [PMID: 20083827 DOI: 10.7326/0003-4819-152-2-201001190-00006]</w:t>
      </w:r>
    </w:p>
    <w:p w14:paraId="672F5C07"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4 </w:t>
      </w:r>
      <w:r w:rsidRPr="00C311AE">
        <w:rPr>
          <w:rFonts w:ascii="Book Antiqua" w:eastAsia="SimSun" w:hAnsi="Book Antiqua"/>
          <w:b/>
          <w:kern w:val="2"/>
          <w:lang w:eastAsia="zh-CN"/>
        </w:rPr>
        <w:t>Florence CS</w:t>
      </w:r>
      <w:r w:rsidRPr="00C311AE">
        <w:rPr>
          <w:rFonts w:ascii="Book Antiqua" w:eastAsia="SimSun" w:hAnsi="Book Antiqua"/>
          <w:kern w:val="2"/>
          <w:lang w:eastAsia="zh-CN"/>
        </w:rPr>
        <w:t xml:space="preserve">, Zhou C, Luo F, Xu L. The Economic Burden of Prescription Opioid Overdose, Abuse, and Dependence in the United States, 2013. </w:t>
      </w:r>
      <w:r w:rsidRPr="00C311AE">
        <w:rPr>
          <w:rFonts w:ascii="Book Antiqua" w:eastAsia="SimSun" w:hAnsi="Book Antiqua"/>
          <w:i/>
          <w:kern w:val="2"/>
          <w:lang w:eastAsia="zh-CN"/>
        </w:rPr>
        <w:t>Med Care</w:t>
      </w:r>
      <w:r w:rsidRPr="00C311AE">
        <w:rPr>
          <w:rFonts w:ascii="Book Antiqua" w:eastAsia="SimSun" w:hAnsi="Book Antiqua"/>
          <w:kern w:val="2"/>
          <w:lang w:eastAsia="zh-CN"/>
        </w:rPr>
        <w:t xml:space="preserve"> 2016; </w:t>
      </w:r>
      <w:r w:rsidRPr="00C311AE">
        <w:rPr>
          <w:rFonts w:ascii="Book Antiqua" w:eastAsia="SimSun" w:hAnsi="Book Antiqua"/>
          <w:b/>
          <w:kern w:val="2"/>
          <w:lang w:eastAsia="zh-CN"/>
        </w:rPr>
        <w:t>54</w:t>
      </w:r>
      <w:r w:rsidRPr="00C311AE">
        <w:rPr>
          <w:rFonts w:ascii="Book Antiqua" w:eastAsia="SimSun" w:hAnsi="Book Antiqua"/>
          <w:kern w:val="2"/>
          <w:lang w:eastAsia="zh-CN"/>
        </w:rPr>
        <w:t>: 901-906 [PMID: 27623005 DOI: 10.1097/MLR.0000000000000625]</w:t>
      </w:r>
    </w:p>
    <w:p w14:paraId="1EEA7766"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5 </w:t>
      </w:r>
      <w:r w:rsidRPr="00C311AE">
        <w:rPr>
          <w:rFonts w:ascii="Book Antiqua" w:eastAsia="SimSun" w:hAnsi="Book Antiqua"/>
          <w:b/>
          <w:kern w:val="2"/>
          <w:lang w:eastAsia="zh-CN"/>
        </w:rPr>
        <w:t>Oderda GM</w:t>
      </w:r>
      <w:r w:rsidRPr="00C311AE">
        <w:rPr>
          <w:rFonts w:ascii="Book Antiqua" w:eastAsia="SimSun" w:hAnsi="Book Antiqua"/>
          <w:kern w:val="2"/>
          <w:lang w:eastAsia="zh-CN"/>
        </w:rPr>
        <w:t xml:space="preserve">, Lake J, Rüdell K, Roland CL, Masters ET. Economic Burden of Prescription Opioid Misuse and Abuse: A Systematic Review. </w:t>
      </w:r>
      <w:r w:rsidRPr="00C311AE">
        <w:rPr>
          <w:rFonts w:ascii="Book Antiqua" w:eastAsia="SimSun" w:hAnsi="Book Antiqua"/>
          <w:i/>
          <w:kern w:val="2"/>
          <w:lang w:eastAsia="zh-CN"/>
        </w:rPr>
        <w:t>J Pain Palliat Care Pharmacother</w:t>
      </w:r>
      <w:r w:rsidRPr="00C311AE">
        <w:rPr>
          <w:rFonts w:ascii="Book Antiqua" w:eastAsia="SimSun" w:hAnsi="Book Antiqua"/>
          <w:kern w:val="2"/>
          <w:lang w:eastAsia="zh-CN"/>
        </w:rPr>
        <w:t xml:space="preserve"> 2015; </w:t>
      </w:r>
      <w:r w:rsidRPr="00C311AE">
        <w:rPr>
          <w:rFonts w:ascii="Book Antiqua" w:eastAsia="SimSun" w:hAnsi="Book Antiqua"/>
          <w:b/>
          <w:kern w:val="2"/>
          <w:lang w:eastAsia="zh-CN"/>
        </w:rPr>
        <w:t>29</w:t>
      </w:r>
      <w:r w:rsidRPr="00C311AE">
        <w:rPr>
          <w:rFonts w:ascii="Book Antiqua" w:eastAsia="SimSun" w:hAnsi="Book Antiqua"/>
          <w:kern w:val="2"/>
          <w:lang w:eastAsia="zh-CN"/>
        </w:rPr>
        <w:t>: 388-400 [PMID: 26654413 DOI: 10.3109/15360288.2015.1101641]</w:t>
      </w:r>
    </w:p>
    <w:p w14:paraId="23F34B63"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6 </w:t>
      </w:r>
      <w:r w:rsidRPr="00C311AE">
        <w:rPr>
          <w:rFonts w:ascii="Book Antiqua" w:eastAsia="SimSun" w:hAnsi="Book Antiqua"/>
          <w:b/>
          <w:kern w:val="2"/>
          <w:lang w:eastAsia="zh-CN"/>
        </w:rPr>
        <w:t>Pappagallo M</w:t>
      </w:r>
      <w:r w:rsidRPr="00C311AE">
        <w:rPr>
          <w:rFonts w:ascii="Book Antiqua" w:eastAsia="SimSun" w:hAnsi="Book Antiqua"/>
          <w:kern w:val="2"/>
          <w:lang w:eastAsia="zh-CN"/>
        </w:rPr>
        <w:t xml:space="preserve">. Incidence, prevalence, and management of opioid bowel dysfunction. </w:t>
      </w:r>
      <w:r w:rsidRPr="00C311AE">
        <w:rPr>
          <w:rFonts w:ascii="Book Antiqua" w:eastAsia="SimSun" w:hAnsi="Book Antiqua"/>
          <w:i/>
          <w:kern w:val="2"/>
          <w:lang w:eastAsia="zh-CN"/>
        </w:rPr>
        <w:t>Am J Surg</w:t>
      </w:r>
      <w:r w:rsidRPr="00C311AE">
        <w:rPr>
          <w:rFonts w:ascii="Book Antiqua" w:eastAsia="SimSun" w:hAnsi="Book Antiqua"/>
          <w:kern w:val="2"/>
          <w:lang w:eastAsia="zh-CN"/>
        </w:rPr>
        <w:t xml:space="preserve"> 2001; </w:t>
      </w:r>
      <w:r w:rsidRPr="00C311AE">
        <w:rPr>
          <w:rFonts w:ascii="Book Antiqua" w:eastAsia="SimSun" w:hAnsi="Book Antiqua"/>
          <w:b/>
          <w:kern w:val="2"/>
          <w:lang w:eastAsia="zh-CN"/>
        </w:rPr>
        <w:t>182</w:t>
      </w:r>
      <w:r w:rsidRPr="00C311AE">
        <w:rPr>
          <w:rFonts w:ascii="Book Antiqua" w:eastAsia="SimSun" w:hAnsi="Book Antiqua"/>
          <w:kern w:val="2"/>
          <w:lang w:eastAsia="zh-CN"/>
        </w:rPr>
        <w:t>: 11S-18S [PMID: 11755892]</w:t>
      </w:r>
    </w:p>
    <w:p w14:paraId="479FEBCE"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7 </w:t>
      </w:r>
      <w:r w:rsidRPr="00C311AE">
        <w:rPr>
          <w:rFonts w:ascii="Book Antiqua" w:eastAsia="SimSun" w:hAnsi="Book Antiqua"/>
          <w:b/>
          <w:kern w:val="2"/>
          <w:lang w:eastAsia="zh-CN"/>
        </w:rPr>
        <w:t>Allan L</w:t>
      </w:r>
      <w:r w:rsidRPr="00C311AE">
        <w:rPr>
          <w:rFonts w:ascii="Book Antiqua" w:eastAsia="SimSun" w:hAnsi="Book Antiqua"/>
          <w:kern w:val="2"/>
          <w:lang w:eastAsia="zh-CN"/>
        </w:rPr>
        <w:t xml:space="preserve">, Hays H, Jensen NH, de Waroux BL, Bolt M, Donald R, Kalso E. Randomised crossover trial of transdermal fentanyl and sustained release oral morphine for treating chronic non-cancer pain. </w:t>
      </w:r>
      <w:r w:rsidRPr="00C311AE">
        <w:rPr>
          <w:rFonts w:ascii="Book Antiqua" w:eastAsia="SimSun" w:hAnsi="Book Antiqua"/>
          <w:i/>
          <w:kern w:val="2"/>
          <w:lang w:eastAsia="zh-CN"/>
        </w:rPr>
        <w:t>BMJ</w:t>
      </w:r>
      <w:r w:rsidRPr="00C311AE">
        <w:rPr>
          <w:rFonts w:ascii="Book Antiqua" w:eastAsia="SimSun" w:hAnsi="Book Antiqua"/>
          <w:kern w:val="2"/>
          <w:lang w:eastAsia="zh-CN"/>
        </w:rPr>
        <w:t xml:space="preserve"> 2001; </w:t>
      </w:r>
      <w:r w:rsidRPr="00C311AE">
        <w:rPr>
          <w:rFonts w:ascii="Book Antiqua" w:eastAsia="SimSun" w:hAnsi="Book Antiqua"/>
          <w:b/>
          <w:kern w:val="2"/>
          <w:lang w:eastAsia="zh-CN"/>
        </w:rPr>
        <w:t>322</w:t>
      </w:r>
      <w:r w:rsidRPr="00C311AE">
        <w:rPr>
          <w:rFonts w:ascii="Book Antiqua" w:eastAsia="SimSun" w:hAnsi="Book Antiqua"/>
          <w:kern w:val="2"/>
          <w:lang w:eastAsia="zh-CN"/>
        </w:rPr>
        <w:t>: 1154-1158 [PMID: 11348910]</w:t>
      </w:r>
    </w:p>
    <w:p w14:paraId="5D262BAE"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8 </w:t>
      </w:r>
      <w:r w:rsidRPr="00C311AE">
        <w:rPr>
          <w:rFonts w:ascii="Book Antiqua" w:eastAsia="SimSun" w:hAnsi="Book Antiqua"/>
          <w:b/>
          <w:kern w:val="2"/>
          <w:lang w:eastAsia="zh-CN"/>
        </w:rPr>
        <w:t>Drossman D</w:t>
      </w:r>
      <w:r w:rsidRPr="00C311AE">
        <w:rPr>
          <w:rFonts w:ascii="Book Antiqua" w:eastAsia="SimSun" w:hAnsi="Book Antiqua"/>
          <w:kern w:val="2"/>
          <w:lang w:eastAsia="zh-CN"/>
        </w:rPr>
        <w:t xml:space="preserve">, Szigethy E. The narcotic bowel syndrome: a recent update. </w:t>
      </w:r>
      <w:r w:rsidRPr="00C311AE">
        <w:rPr>
          <w:rFonts w:ascii="Book Antiqua" w:eastAsia="SimSun" w:hAnsi="Book Antiqua"/>
          <w:i/>
          <w:kern w:val="2"/>
          <w:lang w:eastAsia="zh-CN"/>
        </w:rPr>
        <w:t>Am J Gastroenterol Suppl</w:t>
      </w:r>
      <w:r w:rsidRPr="00C311AE">
        <w:rPr>
          <w:rFonts w:ascii="Book Antiqua" w:eastAsia="SimSun" w:hAnsi="Book Antiqua"/>
          <w:kern w:val="2"/>
          <w:lang w:eastAsia="zh-CN"/>
        </w:rPr>
        <w:t xml:space="preserve"> 2014; </w:t>
      </w:r>
      <w:r w:rsidRPr="00C311AE">
        <w:rPr>
          <w:rFonts w:ascii="Book Antiqua" w:eastAsia="SimSun" w:hAnsi="Book Antiqua"/>
          <w:b/>
          <w:kern w:val="2"/>
          <w:lang w:eastAsia="zh-CN"/>
        </w:rPr>
        <w:t>2</w:t>
      </w:r>
      <w:r w:rsidRPr="00C311AE">
        <w:rPr>
          <w:rFonts w:ascii="Book Antiqua" w:eastAsia="SimSun" w:hAnsi="Book Antiqua"/>
          <w:kern w:val="2"/>
          <w:lang w:eastAsia="zh-CN"/>
        </w:rPr>
        <w:t>: 22-30 [PMID: 25207609 DOI: 10.1038/ajgsup.2014.6]</w:t>
      </w:r>
    </w:p>
    <w:p w14:paraId="1C6696FE"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9 </w:t>
      </w:r>
      <w:r w:rsidRPr="00C311AE">
        <w:rPr>
          <w:rFonts w:ascii="Book Antiqua" w:eastAsia="SimSun" w:hAnsi="Book Antiqua"/>
          <w:b/>
          <w:kern w:val="2"/>
          <w:lang w:eastAsia="zh-CN"/>
        </w:rPr>
        <w:t>Sharma A</w:t>
      </w:r>
      <w:r w:rsidRPr="00C311AE">
        <w:rPr>
          <w:rFonts w:ascii="Book Antiqua" w:eastAsia="SimSun" w:hAnsi="Book Antiqua"/>
          <w:kern w:val="2"/>
          <w:lang w:eastAsia="zh-CN"/>
        </w:rPr>
        <w:t xml:space="preserve">, Jamal MM. Opioid induced bowel disease: a twenty-first century physicians' dilemma. Considering pathophysiology and treatment strategies. </w:t>
      </w:r>
      <w:r w:rsidRPr="00C311AE">
        <w:rPr>
          <w:rFonts w:ascii="Book Antiqua" w:eastAsia="SimSun" w:hAnsi="Book Antiqua"/>
          <w:i/>
          <w:kern w:val="2"/>
          <w:lang w:eastAsia="zh-CN"/>
        </w:rPr>
        <w:t>Curr Gastroenterol Rep</w:t>
      </w:r>
      <w:r w:rsidRPr="00C311AE">
        <w:rPr>
          <w:rFonts w:ascii="Book Antiqua" w:eastAsia="SimSun" w:hAnsi="Book Antiqua"/>
          <w:kern w:val="2"/>
          <w:lang w:eastAsia="zh-CN"/>
        </w:rPr>
        <w:t xml:space="preserve"> 2013; </w:t>
      </w:r>
      <w:r w:rsidRPr="00C311AE">
        <w:rPr>
          <w:rFonts w:ascii="Book Antiqua" w:eastAsia="SimSun" w:hAnsi="Book Antiqua"/>
          <w:b/>
          <w:kern w:val="2"/>
          <w:lang w:eastAsia="zh-CN"/>
        </w:rPr>
        <w:t>15</w:t>
      </w:r>
      <w:r w:rsidRPr="00C311AE">
        <w:rPr>
          <w:rFonts w:ascii="Book Antiqua" w:eastAsia="SimSun" w:hAnsi="Book Antiqua"/>
          <w:kern w:val="2"/>
          <w:lang w:eastAsia="zh-CN"/>
        </w:rPr>
        <w:t>: 334 [PMID: 23836088 DOI: 10.1007/s11894-013-0334-4]</w:t>
      </w:r>
    </w:p>
    <w:p w14:paraId="26BB4D84"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10 </w:t>
      </w:r>
      <w:r w:rsidRPr="00C311AE">
        <w:rPr>
          <w:rFonts w:ascii="Book Antiqua" w:eastAsia="SimSun" w:hAnsi="Book Antiqua"/>
          <w:b/>
          <w:kern w:val="2"/>
          <w:lang w:eastAsia="zh-CN"/>
        </w:rPr>
        <w:t>Bielefeldt K</w:t>
      </w:r>
      <w:r w:rsidRPr="00C311AE">
        <w:rPr>
          <w:rFonts w:ascii="Book Antiqua" w:eastAsia="SimSun" w:hAnsi="Book Antiqua"/>
          <w:kern w:val="2"/>
          <w:lang w:eastAsia="zh-CN"/>
        </w:rPr>
        <w:t xml:space="preserve">, Raza N, Zickmund SL. Different faces of gastroparesis. </w:t>
      </w:r>
      <w:r w:rsidRPr="00C311AE">
        <w:rPr>
          <w:rFonts w:ascii="Book Antiqua" w:eastAsia="SimSun" w:hAnsi="Book Antiqua"/>
          <w:i/>
          <w:kern w:val="2"/>
          <w:lang w:eastAsia="zh-CN"/>
        </w:rPr>
        <w:t xml:space="preserve">World J </w:t>
      </w:r>
      <w:r w:rsidRPr="00C311AE">
        <w:rPr>
          <w:rFonts w:ascii="Book Antiqua" w:eastAsia="SimSun" w:hAnsi="Book Antiqua"/>
          <w:i/>
          <w:kern w:val="2"/>
          <w:lang w:eastAsia="zh-CN"/>
        </w:rPr>
        <w:lastRenderedPageBreak/>
        <w:t>Gastroenterol</w:t>
      </w:r>
      <w:r w:rsidRPr="00C311AE">
        <w:rPr>
          <w:rFonts w:ascii="Book Antiqua" w:eastAsia="SimSun" w:hAnsi="Book Antiqua"/>
          <w:kern w:val="2"/>
          <w:lang w:eastAsia="zh-CN"/>
        </w:rPr>
        <w:t xml:space="preserve"> 2009; </w:t>
      </w:r>
      <w:r w:rsidRPr="00C311AE">
        <w:rPr>
          <w:rFonts w:ascii="Book Antiqua" w:eastAsia="SimSun" w:hAnsi="Book Antiqua"/>
          <w:b/>
          <w:kern w:val="2"/>
          <w:lang w:eastAsia="zh-CN"/>
        </w:rPr>
        <w:t>15</w:t>
      </w:r>
      <w:r w:rsidRPr="00C311AE">
        <w:rPr>
          <w:rFonts w:ascii="Book Antiqua" w:eastAsia="SimSun" w:hAnsi="Book Antiqua"/>
          <w:kern w:val="2"/>
          <w:lang w:eastAsia="zh-CN"/>
        </w:rPr>
        <w:t>: 6052-6060 [PMID: 20027677 DOI: 10.3748/wjg.15.6052]</w:t>
      </w:r>
    </w:p>
    <w:p w14:paraId="7A99801D"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11 </w:t>
      </w:r>
      <w:r w:rsidRPr="00C311AE">
        <w:rPr>
          <w:rFonts w:ascii="Book Antiqua" w:eastAsia="SimSun" w:hAnsi="Book Antiqua"/>
          <w:b/>
          <w:kern w:val="2"/>
          <w:lang w:eastAsia="zh-CN"/>
        </w:rPr>
        <w:t>Lee AA</w:t>
      </w:r>
      <w:r w:rsidRPr="00C311AE">
        <w:rPr>
          <w:rFonts w:ascii="Book Antiqua" w:eastAsia="SimSun" w:hAnsi="Book Antiqua"/>
          <w:kern w:val="2"/>
          <w:lang w:eastAsia="zh-CN"/>
        </w:rPr>
        <w:t xml:space="preserve">, Hasler WL. Opioids and GI Motility-Friend or Foe? </w:t>
      </w:r>
      <w:r w:rsidRPr="00C311AE">
        <w:rPr>
          <w:rFonts w:ascii="Book Antiqua" w:eastAsia="SimSun" w:hAnsi="Book Antiqua"/>
          <w:i/>
          <w:kern w:val="2"/>
          <w:lang w:eastAsia="zh-CN"/>
        </w:rPr>
        <w:t>Curr Treat Options Gastroenterol</w:t>
      </w:r>
      <w:r w:rsidRPr="00C311AE">
        <w:rPr>
          <w:rFonts w:ascii="Book Antiqua" w:eastAsia="SimSun" w:hAnsi="Book Antiqua"/>
          <w:kern w:val="2"/>
          <w:lang w:eastAsia="zh-CN"/>
        </w:rPr>
        <w:t xml:space="preserve"> 2016; </w:t>
      </w:r>
      <w:r w:rsidRPr="00C311AE">
        <w:rPr>
          <w:rFonts w:ascii="Book Antiqua" w:eastAsia="SimSun" w:hAnsi="Book Antiqua"/>
          <w:b/>
          <w:kern w:val="2"/>
          <w:lang w:eastAsia="zh-CN"/>
        </w:rPr>
        <w:t>14</w:t>
      </w:r>
      <w:r w:rsidRPr="00C311AE">
        <w:rPr>
          <w:rFonts w:ascii="Book Antiqua" w:eastAsia="SimSun" w:hAnsi="Book Antiqua"/>
          <w:kern w:val="2"/>
          <w:lang w:eastAsia="zh-CN"/>
        </w:rPr>
        <w:t>: 478-494 [PMID: 27807793 DOI: 10.1007/s11938-016-0112-0]</w:t>
      </w:r>
    </w:p>
    <w:p w14:paraId="6DD4DD75"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12 </w:t>
      </w:r>
      <w:r w:rsidRPr="00C311AE">
        <w:rPr>
          <w:rFonts w:ascii="Book Antiqua" w:eastAsia="SimSun" w:hAnsi="Book Antiqua"/>
          <w:b/>
          <w:kern w:val="2"/>
          <w:lang w:eastAsia="zh-CN"/>
        </w:rPr>
        <w:t>Nicholson BD</w:t>
      </w:r>
      <w:r w:rsidRPr="00C311AE">
        <w:rPr>
          <w:rFonts w:ascii="Book Antiqua" w:eastAsia="SimSun" w:hAnsi="Book Antiqua"/>
          <w:kern w:val="2"/>
          <w:lang w:eastAsia="zh-CN"/>
        </w:rPr>
        <w:t xml:space="preserve">. Economic and clinical burden of opioid-induced nausea and vomiting. </w:t>
      </w:r>
      <w:r w:rsidRPr="00C311AE">
        <w:rPr>
          <w:rFonts w:ascii="Book Antiqua" w:eastAsia="SimSun" w:hAnsi="Book Antiqua"/>
          <w:i/>
          <w:kern w:val="2"/>
          <w:lang w:eastAsia="zh-CN"/>
        </w:rPr>
        <w:t>Postgrad Med</w:t>
      </w:r>
      <w:r w:rsidRPr="00C311AE">
        <w:rPr>
          <w:rFonts w:ascii="Book Antiqua" w:eastAsia="SimSun" w:hAnsi="Book Antiqua"/>
          <w:kern w:val="2"/>
          <w:lang w:eastAsia="zh-CN"/>
        </w:rPr>
        <w:t xml:space="preserve"> 2017; </w:t>
      </w:r>
      <w:r w:rsidRPr="00C311AE">
        <w:rPr>
          <w:rFonts w:ascii="Book Antiqua" w:eastAsia="SimSun" w:hAnsi="Book Antiqua"/>
          <w:b/>
          <w:kern w:val="2"/>
          <w:lang w:eastAsia="zh-CN"/>
        </w:rPr>
        <w:t>129</w:t>
      </w:r>
      <w:r w:rsidRPr="00C311AE">
        <w:rPr>
          <w:rFonts w:ascii="Book Antiqua" w:eastAsia="SimSun" w:hAnsi="Book Antiqua"/>
          <w:kern w:val="2"/>
          <w:lang w:eastAsia="zh-CN"/>
        </w:rPr>
        <w:t>: 111-117 [PMID: 27690715 DOI: 10.1080/00325481.2017.1243004]</w:t>
      </w:r>
    </w:p>
    <w:p w14:paraId="1A40B430"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13 </w:t>
      </w:r>
      <w:r w:rsidRPr="00C311AE">
        <w:rPr>
          <w:rFonts w:ascii="Book Antiqua" w:eastAsia="SimSun" w:hAnsi="Book Antiqua"/>
          <w:b/>
          <w:kern w:val="2"/>
          <w:lang w:eastAsia="zh-CN"/>
        </w:rPr>
        <w:t>Rey E</w:t>
      </w:r>
      <w:r w:rsidRPr="00C311AE">
        <w:rPr>
          <w:rFonts w:ascii="Book Antiqua" w:eastAsia="SimSun" w:hAnsi="Book Antiqua"/>
          <w:kern w:val="2"/>
          <w:lang w:eastAsia="zh-CN"/>
        </w:rPr>
        <w:t xml:space="preserve">, Choung RS, Schleck CD, Zinsmeister AR, Talley NJ, Locke GR 3rd. Prevalence of hidden gastroparesis in the community: the gastroparesis "iceberg". </w:t>
      </w:r>
      <w:r w:rsidRPr="00C311AE">
        <w:rPr>
          <w:rFonts w:ascii="Book Antiqua" w:eastAsia="SimSun" w:hAnsi="Book Antiqua"/>
          <w:i/>
          <w:kern w:val="2"/>
          <w:lang w:eastAsia="zh-CN"/>
        </w:rPr>
        <w:t>J Neurogastroenterol Motil</w:t>
      </w:r>
      <w:r w:rsidRPr="00C311AE">
        <w:rPr>
          <w:rFonts w:ascii="Book Antiqua" w:eastAsia="SimSun" w:hAnsi="Book Antiqua"/>
          <w:kern w:val="2"/>
          <w:lang w:eastAsia="zh-CN"/>
        </w:rPr>
        <w:t xml:space="preserve"> 2012; </w:t>
      </w:r>
      <w:r w:rsidRPr="00C311AE">
        <w:rPr>
          <w:rFonts w:ascii="Book Antiqua" w:eastAsia="SimSun" w:hAnsi="Book Antiqua"/>
          <w:b/>
          <w:kern w:val="2"/>
          <w:lang w:eastAsia="zh-CN"/>
        </w:rPr>
        <w:t>18</w:t>
      </w:r>
      <w:r w:rsidRPr="00C311AE">
        <w:rPr>
          <w:rFonts w:ascii="Book Antiqua" w:eastAsia="SimSun" w:hAnsi="Book Antiqua"/>
          <w:kern w:val="2"/>
          <w:lang w:eastAsia="zh-CN"/>
        </w:rPr>
        <w:t>: 34-42 [PMID: 22323986 DOI: 10.5056/jnm.2012.18.1.34]</w:t>
      </w:r>
    </w:p>
    <w:p w14:paraId="3F4D5175"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14 </w:t>
      </w:r>
      <w:r w:rsidRPr="00C311AE">
        <w:rPr>
          <w:rFonts w:ascii="Book Antiqua" w:eastAsia="SimSun" w:hAnsi="Book Antiqua"/>
          <w:b/>
          <w:kern w:val="2"/>
          <w:lang w:eastAsia="zh-CN"/>
        </w:rPr>
        <w:t>Maranki JL</w:t>
      </w:r>
      <w:r w:rsidRPr="00C311AE">
        <w:rPr>
          <w:rFonts w:ascii="Book Antiqua" w:eastAsia="SimSun" w:hAnsi="Book Antiqua"/>
          <w:kern w:val="2"/>
          <w:lang w:eastAsia="zh-CN"/>
        </w:rPr>
        <w:t xml:space="preserve">, Lytes V, Meilahn JE, Harbison S, Friedenberg FK, Fisher RS, Parkman HP. Predictive factors for clinical improvement with Enterra gastric electric stimulation treatment for refractory gastroparesis. </w:t>
      </w:r>
      <w:r w:rsidRPr="00C311AE">
        <w:rPr>
          <w:rFonts w:ascii="Book Antiqua" w:eastAsia="SimSun" w:hAnsi="Book Antiqua"/>
          <w:i/>
          <w:kern w:val="2"/>
          <w:lang w:eastAsia="zh-CN"/>
        </w:rPr>
        <w:t>Dig Dis Sci</w:t>
      </w:r>
      <w:r w:rsidRPr="00C311AE">
        <w:rPr>
          <w:rFonts w:ascii="Book Antiqua" w:eastAsia="SimSun" w:hAnsi="Book Antiqua"/>
          <w:kern w:val="2"/>
          <w:lang w:eastAsia="zh-CN"/>
        </w:rPr>
        <w:t xml:space="preserve"> 2008; </w:t>
      </w:r>
      <w:r w:rsidRPr="00C311AE">
        <w:rPr>
          <w:rFonts w:ascii="Book Antiqua" w:eastAsia="SimSun" w:hAnsi="Book Antiqua"/>
          <w:b/>
          <w:kern w:val="2"/>
          <w:lang w:eastAsia="zh-CN"/>
        </w:rPr>
        <w:t>53</w:t>
      </w:r>
      <w:r w:rsidRPr="00C311AE">
        <w:rPr>
          <w:rFonts w:ascii="Book Antiqua" w:eastAsia="SimSun" w:hAnsi="Book Antiqua"/>
          <w:kern w:val="2"/>
          <w:lang w:eastAsia="zh-CN"/>
        </w:rPr>
        <w:t>: 2072-2078 [PMID: 18080765 DOI: 10.1007/s10620-007-0124-7]</w:t>
      </w:r>
    </w:p>
    <w:p w14:paraId="143ABBF1"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15 </w:t>
      </w:r>
      <w:r w:rsidRPr="00C311AE">
        <w:rPr>
          <w:rFonts w:ascii="Book Antiqua" w:eastAsia="SimSun" w:hAnsi="Book Antiqua"/>
          <w:b/>
          <w:kern w:val="2"/>
          <w:lang w:eastAsia="zh-CN"/>
        </w:rPr>
        <w:t>Hasler WL</w:t>
      </w:r>
      <w:r w:rsidRPr="00C311AE">
        <w:rPr>
          <w:rFonts w:ascii="Book Antiqua" w:eastAsia="SimSun" w:hAnsi="Book Antiqua"/>
          <w:kern w:val="2"/>
          <w:lang w:eastAsia="zh-CN"/>
        </w:rPr>
        <w:t xml:space="preserve">, Wilson LA, Parkman HP, Koch KL, Abell TL, Nguyen L, Pasricha PJ, Snape WJ, McCallum RW, Sarosiek I, Farrugia G, Calles J, Lee L, Tonascia J, Unalp-Arida A, Hamilton F. Factors related to abdominal pain in gastroparesis: contrast to patients with predominant nausea and vomiting. </w:t>
      </w:r>
      <w:r w:rsidRPr="00C311AE">
        <w:rPr>
          <w:rFonts w:ascii="Book Antiqua" w:eastAsia="SimSun" w:hAnsi="Book Antiqua"/>
          <w:i/>
          <w:kern w:val="2"/>
          <w:lang w:eastAsia="zh-CN"/>
        </w:rPr>
        <w:t>Neurogastroenterol Motil</w:t>
      </w:r>
      <w:r w:rsidRPr="00C311AE">
        <w:rPr>
          <w:rFonts w:ascii="Book Antiqua" w:eastAsia="SimSun" w:hAnsi="Book Antiqua"/>
          <w:kern w:val="2"/>
          <w:lang w:eastAsia="zh-CN"/>
        </w:rPr>
        <w:t xml:space="preserve"> 2013; </w:t>
      </w:r>
      <w:r w:rsidRPr="00C311AE">
        <w:rPr>
          <w:rFonts w:ascii="Book Antiqua" w:eastAsia="SimSun" w:hAnsi="Book Antiqua"/>
          <w:b/>
          <w:kern w:val="2"/>
          <w:lang w:eastAsia="zh-CN"/>
        </w:rPr>
        <w:t>25</w:t>
      </w:r>
      <w:r w:rsidRPr="00C311AE">
        <w:rPr>
          <w:rFonts w:ascii="Book Antiqua" w:eastAsia="SimSun" w:hAnsi="Book Antiqua"/>
          <w:kern w:val="2"/>
          <w:lang w:eastAsia="zh-CN"/>
        </w:rPr>
        <w:t>: 427-438, e300-e301 [PMID: 23414452 DOI: 10.1111/nmo.12091]</w:t>
      </w:r>
    </w:p>
    <w:p w14:paraId="2C48B623"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16 </w:t>
      </w:r>
      <w:r w:rsidRPr="00C311AE">
        <w:rPr>
          <w:rFonts w:ascii="Book Antiqua" w:eastAsia="SimSun" w:hAnsi="Book Antiqua"/>
          <w:b/>
          <w:kern w:val="2"/>
          <w:lang w:eastAsia="zh-CN"/>
        </w:rPr>
        <w:t>Coluzzi F</w:t>
      </w:r>
      <w:r w:rsidRPr="00C311AE">
        <w:rPr>
          <w:rFonts w:ascii="Book Antiqua" w:eastAsia="SimSun" w:hAnsi="Book Antiqua"/>
          <w:kern w:val="2"/>
          <w:lang w:eastAsia="zh-CN"/>
        </w:rPr>
        <w:t xml:space="preserve">, Rocco A, Mandatori I, Mattia C. Non-analgesic effects of opioids: opioid-induced nausea and vomiting: mechanisms and strategies for their limitation. </w:t>
      </w:r>
      <w:r w:rsidRPr="00C311AE">
        <w:rPr>
          <w:rFonts w:ascii="Book Antiqua" w:eastAsia="SimSun" w:hAnsi="Book Antiqua"/>
          <w:i/>
          <w:kern w:val="2"/>
          <w:lang w:eastAsia="zh-CN"/>
        </w:rPr>
        <w:t>Curr Pharm Des</w:t>
      </w:r>
      <w:r w:rsidRPr="00C311AE">
        <w:rPr>
          <w:rFonts w:ascii="Book Antiqua" w:eastAsia="SimSun" w:hAnsi="Book Antiqua"/>
          <w:kern w:val="2"/>
          <w:lang w:eastAsia="zh-CN"/>
        </w:rPr>
        <w:t xml:space="preserve"> 2012; </w:t>
      </w:r>
      <w:r w:rsidRPr="00C311AE">
        <w:rPr>
          <w:rFonts w:ascii="Book Antiqua" w:eastAsia="SimSun" w:hAnsi="Book Antiqua"/>
          <w:b/>
          <w:kern w:val="2"/>
          <w:lang w:eastAsia="zh-CN"/>
        </w:rPr>
        <w:t>18</w:t>
      </w:r>
      <w:r w:rsidRPr="00C311AE">
        <w:rPr>
          <w:rFonts w:ascii="Book Antiqua" w:eastAsia="SimSun" w:hAnsi="Book Antiqua"/>
          <w:kern w:val="2"/>
          <w:lang w:eastAsia="zh-CN"/>
        </w:rPr>
        <w:t>: 6043-6052 [PMID: 22747538]</w:t>
      </w:r>
    </w:p>
    <w:p w14:paraId="7C802F48"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17 </w:t>
      </w:r>
      <w:r w:rsidRPr="00C311AE">
        <w:rPr>
          <w:rFonts w:ascii="Book Antiqua" w:eastAsia="SimSun" w:hAnsi="Book Antiqua"/>
          <w:b/>
          <w:kern w:val="2"/>
          <w:lang w:eastAsia="zh-CN"/>
        </w:rPr>
        <w:t>Tougas G</w:t>
      </w:r>
      <w:r w:rsidRPr="00C311AE">
        <w:rPr>
          <w:rFonts w:ascii="Book Antiqua" w:eastAsia="SimSun" w:hAnsi="Book Antiqua"/>
          <w:kern w:val="2"/>
          <w:lang w:eastAsia="zh-CN"/>
        </w:rPr>
        <w:t xml:space="preserve">, Eaker EY, Abell TL, Abrahamsson H, Boivin M, Chen J, Hocking MP, Quigley EM, Koch KL, Tokayer AZ, Stanghellini V, Chen Y, Huizinga JD, Rydén J, Bourgeois I, McCallum RW. Assessment of gastric emptying using a low fat meal: establishment of international control values. </w:t>
      </w:r>
      <w:r w:rsidRPr="00C311AE">
        <w:rPr>
          <w:rFonts w:ascii="Book Antiqua" w:eastAsia="SimSun" w:hAnsi="Book Antiqua"/>
          <w:i/>
          <w:kern w:val="2"/>
          <w:lang w:eastAsia="zh-CN"/>
        </w:rPr>
        <w:t>Am J Gastroenterol</w:t>
      </w:r>
      <w:r w:rsidRPr="00C311AE">
        <w:rPr>
          <w:rFonts w:ascii="Book Antiqua" w:eastAsia="SimSun" w:hAnsi="Book Antiqua"/>
          <w:kern w:val="2"/>
          <w:lang w:eastAsia="zh-CN"/>
        </w:rPr>
        <w:t xml:space="preserve"> 2000; </w:t>
      </w:r>
      <w:r w:rsidRPr="00C311AE">
        <w:rPr>
          <w:rFonts w:ascii="Book Antiqua" w:eastAsia="SimSun" w:hAnsi="Book Antiqua"/>
          <w:b/>
          <w:kern w:val="2"/>
          <w:lang w:eastAsia="zh-CN"/>
        </w:rPr>
        <w:t>95</w:t>
      </w:r>
      <w:r w:rsidRPr="00C311AE">
        <w:rPr>
          <w:rFonts w:ascii="Book Antiqua" w:eastAsia="SimSun" w:hAnsi="Book Antiqua"/>
          <w:kern w:val="2"/>
          <w:lang w:eastAsia="zh-CN"/>
        </w:rPr>
        <w:t>: 1456-1462 [PMID: 10894578 DOI: 10.1111/j.1572-0241.2000.02076.x]</w:t>
      </w:r>
    </w:p>
    <w:p w14:paraId="5CA2E3CD"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18 </w:t>
      </w:r>
      <w:r w:rsidRPr="00C311AE">
        <w:rPr>
          <w:rFonts w:ascii="Book Antiqua" w:eastAsia="SimSun" w:hAnsi="Book Antiqua"/>
          <w:b/>
          <w:kern w:val="2"/>
          <w:lang w:eastAsia="zh-CN"/>
        </w:rPr>
        <w:t>Rentz AM</w:t>
      </w:r>
      <w:r w:rsidRPr="00C311AE">
        <w:rPr>
          <w:rFonts w:ascii="Book Antiqua" w:eastAsia="SimSun" w:hAnsi="Book Antiqua"/>
          <w:kern w:val="2"/>
          <w:lang w:eastAsia="zh-CN"/>
        </w:rPr>
        <w:t xml:space="preserve">, Kahrilas P, Stanghellini V, Tack J, Talley NJ, de la Loge C, Trudeau E, Dubois D, Revicki DA. Development and psychometric evaluation of the patient assessment of upper gastrointestinal symptom severity index (PAGI-SYM) in patients </w:t>
      </w:r>
      <w:r w:rsidRPr="00C311AE">
        <w:rPr>
          <w:rFonts w:ascii="Book Antiqua" w:eastAsia="SimSun" w:hAnsi="Book Antiqua"/>
          <w:kern w:val="2"/>
          <w:lang w:eastAsia="zh-CN"/>
        </w:rPr>
        <w:lastRenderedPageBreak/>
        <w:t xml:space="preserve">with upper gastrointestinal disorders. </w:t>
      </w:r>
      <w:r w:rsidRPr="00C311AE">
        <w:rPr>
          <w:rFonts w:ascii="Book Antiqua" w:eastAsia="SimSun" w:hAnsi="Book Antiqua"/>
          <w:i/>
          <w:kern w:val="2"/>
          <w:lang w:eastAsia="zh-CN"/>
        </w:rPr>
        <w:t>Qual Life Res</w:t>
      </w:r>
      <w:r w:rsidRPr="00C311AE">
        <w:rPr>
          <w:rFonts w:ascii="Book Antiqua" w:eastAsia="SimSun" w:hAnsi="Book Antiqua"/>
          <w:kern w:val="2"/>
          <w:lang w:eastAsia="zh-CN"/>
        </w:rPr>
        <w:t xml:space="preserve"> 2004; </w:t>
      </w:r>
      <w:r w:rsidRPr="00C311AE">
        <w:rPr>
          <w:rFonts w:ascii="Book Antiqua" w:eastAsia="SimSun" w:hAnsi="Book Antiqua"/>
          <w:b/>
          <w:kern w:val="2"/>
          <w:lang w:eastAsia="zh-CN"/>
        </w:rPr>
        <w:t>13</w:t>
      </w:r>
      <w:r w:rsidRPr="00C311AE">
        <w:rPr>
          <w:rFonts w:ascii="Book Antiqua" w:eastAsia="SimSun" w:hAnsi="Book Antiqua"/>
          <w:kern w:val="2"/>
          <w:lang w:eastAsia="zh-CN"/>
        </w:rPr>
        <w:t>: 1737-1749 [PMID: 15651544 DOI: 10.1007/s11136-004-9567-x]</w:t>
      </w:r>
    </w:p>
    <w:p w14:paraId="700A190B" w14:textId="1BAE1D52"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19 </w:t>
      </w:r>
      <w:r w:rsidRPr="00C311AE">
        <w:rPr>
          <w:rFonts w:ascii="Book Antiqua" w:eastAsia="SimSun" w:hAnsi="Book Antiqua"/>
          <w:b/>
          <w:kern w:val="2"/>
          <w:lang w:eastAsia="zh-CN"/>
        </w:rPr>
        <w:t>Palsson OS</w:t>
      </w:r>
      <w:r w:rsidRPr="00C311AE">
        <w:rPr>
          <w:rFonts w:ascii="Book Antiqua" w:eastAsia="SimSun" w:hAnsi="Book Antiqua"/>
          <w:kern w:val="2"/>
          <w:lang w:eastAsia="zh-CN"/>
        </w:rPr>
        <w:t xml:space="preserve">, Whitehead WE, van Tilburg MA, Chang L, Chey W, Crowell MD, Keefer L, Lembo AJ, Parkman HP, Rao SS, Sperber A, Spiegel B, Tack J, Vanner S, Walker LS, Whorwell P, Yang Y. Rome IV Diagnostic Questionnaires and Tables for Investigators and Clinicians. </w:t>
      </w:r>
      <w:r w:rsidRPr="00C311AE">
        <w:rPr>
          <w:rFonts w:ascii="Book Antiqua" w:eastAsia="SimSun" w:hAnsi="Book Antiqua"/>
          <w:i/>
          <w:kern w:val="2"/>
          <w:lang w:eastAsia="zh-CN"/>
        </w:rPr>
        <w:t>Gastroenterology</w:t>
      </w:r>
      <w:r w:rsidRPr="00C311AE">
        <w:rPr>
          <w:rFonts w:ascii="Book Antiqua" w:eastAsia="SimSun" w:hAnsi="Book Antiqua"/>
          <w:kern w:val="2"/>
          <w:lang w:eastAsia="zh-CN"/>
        </w:rPr>
        <w:t xml:space="preserve"> 2016;</w:t>
      </w:r>
      <w:r w:rsidR="00020CC7">
        <w:rPr>
          <w:rFonts w:ascii="Book Antiqua" w:eastAsia="SimSun" w:hAnsi="Book Antiqua" w:hint="eastAsia"/>
          <w:kern w:val="2"/>
          <w:lang w:eastAsia="zh-CN"/>
        </w:rPr>
        <w:t xml:space="preserve"> </w:t>
      </w:r>
      <w:r w:rsidR="00020CC7" w:rsidRPr="00020CC7">
        <w:rPr>
          <w:rFonts w:ascii="Book Antiqua" w:eastAsia="SimSun" w:hAnsi="Book Antiqua"/>
          <w:kern w:val="2"/>
          <w:lang w:eastAsia="zh-CN"/>
        </w:rPr>
        <w:t xml:space="preserve">Epub ahead of print </w:t>
      </w:r>
      <w:r w:rsidRPr="00C311AE">
        <w:rPr>
          <w:rFonts w:ascii="Book Antiqua" w:eastAsia="SimSun" w:hAnsi="Book Antiqua"/>
          <w:kern w:val="2"/>
          <w:lang w:eastAsia="zh-CN"/>
        </w:rPr>
        <w:t>[PMID: 27144634 DOI: 10.1053/j.gastro.2016.02.014]</w:t>
      </w:r>
    </w:p>
    <w:p w14:paraId="4E6FB893"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20 </w:t>
      </w:r>
      <w:r w:rsidRPr="00C311AE">
        <w:rPr>
          <w:rFonts w:ascii="Book Antiqua" w:eastAsia="SimSun" w:hAnsi="Book Antiqua"/>
          <w:b/>
          <w:kern w:val="2"/>
          <w:lang w:eastAsia="zh-CN"/>
        </w:rPr>
        <w:t>Mullady DK</w:t>
      </w:r>
      <w:r w:rsidRPr="00C311AE">
        <w:rPr>
          <w:rFonts w:ascii="Book Antiqua" w:eastAsia="SimSun" w:hAnsi="Book Antiqua"/>
          <w:kern w:val="2"/>
          <w:lang w:eastAsia="zh-CN"/>
        </w:rPr>
        <w:t xml:space="preserve">, Yadav D, Amann ST, O'Connell MR, Barmada MM, Elta GH, Scheiman JM, Wamsteker EJ, Chey WD, Korneffel ML, Weinman BM, Slivka A, Sherman S, Hawes RH, Brand RE, Burton FR, Lewis MD, Gardner TB, Gelrud A, DiSario J, Baillie J, Banks PA, Whitcomb DC, Anderson MA; NAPS2 Consortium. Type of pain, pain-associated complications, quality of life, disability and resource utilisation in chronic pancreatitis: a prospective cohort study. </w:t>
      </w:r>
      <w:r w:rsidRPr="00C311AE">
        <w:rPr>
          <w:rFonts w:ascii="Book Antiqua" w:eastAsia="SimSun" w:hAnsi="Book Antiqua"/>
          <w:i/>
          <w:kern w:val="2"/>
          <w:lang w:eastAsia="zh-CN"/>
        </w:rPr>
        <w:t>Gut</w:t>
      </w:r>
      <w:r w:rsidRPr="00C311AE">
        <w:rPr>
          <w:rFonts w:ascii="Book Antiqua" w:eastAsia="SimSun" w:hAnsi="Book Antiqua"/>
          <w:kern w:val="2"/>
          <w:lang w:eastAsia="zh-CN"/>
        </w:rPr>
        <w:t xml:space="preserve"> 2011; </w:t>
      </w:r>
      <w:r w:rsidRPr="00C311AE">
        <w:rPr>
          <w:rFonts w:ascii="Book Antiqua" w:eastAsia="SimSun" w:hAnsi="Book Antiqua"/>
          <w:b/>
          <w:kern w:val="2"/>
          <w:lang w:eastAsia="zh-CN"/>
        </w:rPr>
        <w:t>60</w:t>
      </w:r>
      <w:r w:rsidRPr="00C311AE">
        <w:rPr>
          <w:rFonts w:ascii="Book Antiqua" w:eastAsia="SimSun" w:hAnsi="Book Antiqua"/>
          <w:kern w:val="2"/>
          <w:lang w:eastAsia="zh-CN"/>
        </w:rPr>
        <w:t>: 77-84 [PMID: 21148579 DOI: 10.1136/gut.2010.213835]</w:t>
      </w:r>
    </w:p>
    <w:p w14:paraId="2F08C9BA"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21 </w:t>
      </w:r>
      <w:r w:rsidRPr="00C311AE">
        <w:rPr>
          <w:rFonts w:ascii="Book Antiqua" w:eastAsia="SimSun" w:hAnsi="Book Antiqua"/>
          <w:b/>
          <w:kern w:val="2"/>
          <w:lang w:eastAsia="zh-CN"/>
        </w:rPr>
        <w:t>Whitcomb DC</w:t>
      </w:r>
      <w:r w:rsidRPr="00C311AE">
        <w:rPr>
          <w:rFonts w:ascii="Book Antiqua" w:eastAsia="SimSun" w:hAnsi="Book Antiqua"/>
          <w:kern w:val="2"/>
          <w:lang w:eastAsia="zh-CN"/>
        </w:rPr>
        <w:t xml:space="preserve">, Yadav D, Adam S, Hawes RH, Brand RE, Anderson MA, Money ME, Banks PA, Bishop MD, Baillie J, Sherman S, DiSario J, Burton FR, Gardner TB, Amann ST, Gelrud A, Lo SK, DeMeo MT, Steinberg WM, Kochman ML, Etemad B, Forsmark CE, Elinoff B, Greer JB, O'Connell M, Lamb J, Barmada MM; North American Pancreatic Study Group. Multicenter approach to recurrent acute and chronic pancreatitis in the United States: the North American Pancreatitis Study 2 (NAPS2). </w:t>
      </w:r>
      <w:r w:rsidRPr="00C311AE">
        <w:rPr>
          <w:rFonts w:ascii="Book Antiqua" w:eastAsia="SimSun" w:hAnsi="Book Antiqua"/>
          <w:i/>
          <w:kern w:val="2"/>
          <w:lang w:eastAsia="zh-CN"/>
        </w:rPr>
        <w:t>Pancreatology</w:t>
      </w:r>
      <w:r w:rsidRPr="00C311AE">
        <w:rPr>
          <w:rFonts w:ascii="Book Antiqua" w:eastAsia="SimSun" w:hAnsi="Book Antiqua"/>
          <w:kern w:val="2"/>
          <w:lang w:eastAsia="zh-CN"/>
        </w:rPr>
        <w:t xml:space="preserve"> 2008; </w:t>
      </w:r>
      <w:r w:rsidRPr="00C311AE">
        <w:rPr>
          <w:rFonts w:ascii="Book Antiqua" w:eastAsia="SimSun" w:hAnsi="Book Antiqua"/>
          <w:b/>
          <w:kern w:val="2"/>
          <w:lang w:eastAsia="zh-CN"/>
        </w:rPr>
        <w:t>8</w:t>
      </w:r>
      <w:r w:rsidRPr="00C311AE">
        <w:rPr>
          <w:rFonts w:ascii="Book Antiqua" w:eastAsia="SimSun" w:hAnsi="Book Antiqua"/>
          <w:kern w:val="2"/>
          <w:lang w:eastAsia="zh-CN"/>
        </w:rPr>
        <w:t>: 520-531 [PMID: 18765957 DOI: 10.1159/000152001]</w:t>
      </w:r>
    </w:p>
    <w:p w14:paraId="7F2FB4BD"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22 </w:t>
      </w:r>
      <w:r w:rsidRPr="00C311AE">
        <w:rPr>
          <w:rFonts w:ascii="Book Antiqua" w:eastAsia="SimSun" w:hAnsi="Book Antiqua"/>
          <w:b/>
          <w:kern w:val="2"/>
          <w:lang w:eastAsia="zh-CN"/>
        </w:rPr>
        <w:t>Halland M</w:t>
      </w:r>
      <w:r w:rsidRPr="00C311AE">
        <w:rPr>
          <w:rFonts w:ascii="Book Antiqua" w:eastAsia="SimSun" w:hAnsi="Book Antiqua"/>
          <w:kern w:val="2"/>
          <w:lang w:eastAsia="zh-CN"/>
        </w:rPr>
        <w:t xml:space="preserve">, Bharucha AE. Relationship Between Control of Glycemia and Gastric Emptying Disturbances in Diabetes Mellitus. </w:t>
      </w:r>
      <w:r w:rsidRPr="00C311AE">
        <w:rPr>
          <w:rFonts w:ascii="Book Antiqua" w:eastAsia="SimSun" w:hAnsi="Book Antiqua"/>
          <w:i/>
          <w:kern w:val="2"/>
          <w:lang w:eastAsia="zh-CN"/>
        </w:rPr>
        <w:t>Clin Gastroenterol Hepatol</w:t>
      </w:r>
      <w:r w:rsidRPr="00C311AE">
        <w:rPr>
          <w:rFonts w:ascii="Book Antiqua" w:eastAsia="SimSun" w:hAnsi="Book Antiqua"/>
          <w:kern w:val="2"/>
          <w:lang w:eastAsia="zh-CN"/>
        </w:rPr>
        <w:t xml:space="preserve"> 2016; </w:t>
      </w:r>
      <w:r w:rsidRPr="00C311AE">
        <w:rPr>
          <w:rFonts w:ascii="Book Antiqua" w:eastAsia="SimSun" w:hAnsi="Book Antiqua"/>
          <w:b/>
          <w:kern w:val="2"/>
          <w:lang w:eastAsia="zh-CN"/>
        </w:rPr>
        <w:t>14</w:t>
      </w:r>
      <w:r w:rsidRPr="00C311AE">
        <w:rPr>
          <w:rFonts w:ascii="Book Antiqua" w:eastAsia="SimSun" w:hAnsi="Book Antiqua"/>
          <w:kern w:val="2"/>
          <w:lang w:eastAsia="zh-CN"/>
        </w:rPr>
        <w:t>: 929-936 [PMID: 26717862 DOI: 10.1016/j.cgh.2015.11.021]</w:t>
      </w:r>
    </w:p>
    <w:p w14:paraId="6435C47F"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23 </w:t>
      </w:r>
      <w:r w:rsidRPr="00C311AE">
        <w:rPr>
          <w:rFonts w:ascii="Book Antiqua" w:eastAsia="SimSun" w:hAnsi="Book Antiqua"/>
          <w:b/>
          <w:kern w:val="2"/>
          <w:lang w:eastAsia="zh-CN"/>
        </w:rPr>
        <w:t>Yaylali O</w:t>
      </w:r>
      <w:r w:rsidRPr="00C311AE">
        <w:rPr>
          <w:rFonts w:ascii="Book Antiqua" w:eastAsia="SimSun" w:hAnsi="Book Antiqua"/>
          <w:kern w:val="2"/>
          <w:lang w:eastAsia="zh-CN"/>
        </w:rPr>
        <w:t xml:space="preserve">, Kirac S, Yilmaz M, Akin F, Yuksel D, Demirkan N, Akdag B. Does hypothyroidism affect gastrointestinal motility? </w:t>
      </w:r>
      <w:r w:rsidRPr="00C311AE">
        <w:rPr>
          <w:rFonts w:ascii="Book Antiqua" w:eastAsia="SimSun" w:hAnsi="Book Antiqua"/>
          <w:i/>
          <w:kern w:val="2"/>
          <w:lang w:eastAsia="zh-CN"/>
        </w:rPr>
        <w:t>Gastroenterol Res Pract</w:t>
      </w:r>
      <w:r w:rsidRPr="00C311AE">
        <w:rPr>
          <w:rFonts w:ascii="Book Antiqua" w:eastAsia="SimSun" w:hAnsi="Book Antiqua"/>
          <w:kern w:val="2"/>
          <w:lang w:eastAsia="zh-CN"/>
        </w:rPr>
        <w:t xml:space="preserve"> 2009; </w:t>
      </w:r>
      <w:r w:rsidRPr="00C311AE">
        <w:rPr>
          <w:rFonts w:ascii="Book Antiqua" w:eastAsia="SimSun" w:hAnsi="Book Antiqua"/>
          <w:b/>
          <w:kern w:val="2"/>
          <w:lang w:eastAsia="zh-CN"/>
        </w:rPr>
        <w:t>2009</w:t>
      </w:r>
      <w:r w:rsidRPr="00C311AE">
        <w:rPr>
          <w:rFonts w:ascii="Book Antiqua" w:eastAsia="SimSun" w:hAnsi="Book Antiqua"/>
          <w:kern w:val="2"/>
          <w:lang w:eastAsia="zh-CN"/>
        </w:rPr>
        <w:t>: 529802 [PMID: 20224642 DOI: 10.1155/2009/529802]</w:t>
      </w:r>
    </w:p>
    <w:p w14:paraId="7DC0367E"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24 </w:t>
      </w:r>
      <w:r w:rsidRPr="00C311AE">
        <w:rPr>
          <w:rFonts w:ascii="Book Antiqua" w:eastAsia="SimSun" w:hAnsi="Book Antiqua"/>
          <w:b/>
          <w:kern w:val="2"/>
          <w:lang w:eastAsia="zh-CN"/>
        </w:rPr>
        <w:t>Chowdhury RS</w:t>
      </w:r>
      <w:r w:rsidRPr="00C311AE">
        <w:rPr>
          <w:rFonts w:ascii="Book Antiqua" w:eastAsia="SimSun" w:hAnsi="Book Antiqua"/>
          <w:kern w:val="2"/>
          <w:lang w:eastAsia="zh-CN"/>
        </w:rPr>
        <w:t xml:space="preserve">, Forsmark CE, Davis RH, Toskes PP, Verne GN. Prevalence of gastroparesis in patients with small duct chronic pancreatitis. </w:t>
      </w:r>
      <w:r w:rsidRPr="00C311AE">
        <w:rPr>
          <w:rFonts w:ascii="Book Antiqua" w:eastAsia="SimSun" w:hAnsi="Book Antiqua"/>
          <w:i/>
          <w:kern w:val="2"/>
          <w:lang w:eastAsia="zh-CN"/>
        </w:rPr>
        <w:t>Pancreas</w:t>
      </w:r>
      <w:r w:rsidRPr="00C311AE">
        <w:rPr>
          <w:rFonts w:ascii="Book Antiqua" w:eastAsia="SimSun" w:hAnsi="Book Antiqua"/>
          <w:kern w:val="2"/>
          <w:lang w:eastAsia="zh-CN"/>
        </w:rPr>
        <w:t xml:space="preserve"> 2003; </w:t>
      </w:r>
      <w:r w:rsidRPr="00C311AE">
        <w:rPr>
          <w:rFonts w:ascii="Book Antiqua" w:eastAsia="SimSun" w:hAnsi="Book Antiqua"/>
          <w:b/>
          <w:kern w:val="2"/>
          <w:lang w:eastAsia="zh-CN"/>
        </w:rPr>
        <w:t>26</w:t>
      </w:r>
      <w:r w:rsidRPr="00C311AE">
        <w:rPr>
          <w:rFonts w:ascii="Book Antiqua" w:eastAsia="SimSun" w:hAnsi="Book Antiqua"/>
          <w:kern w:val="2"/>
          <w:lang w:eastAsia="zh-CN"/>
        </w:rPr>
        <w:t xml:space="preserve">: 235-238 </w:t>
      </w:r>
      <w:r w:rsidRPr="00C311AE">
        <w:rPr>
          <w:rFonts w:ascii="Book Antiqua" w:eastAsia="SimSun" w:hAnsi="Book Antiqua"/>
          <w:kern w:val="2"/>
          <w:lang w:eastAsia="zh-CN"/>
        </w:rPr>
        <w:lastRenderedPageBreak/>
        <w:t>[PMID: 12657948]</w:t>
      </w:r>
    </w:p>
    <w:p w14:paraId="51F7715D"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25 </w:t>
      </w:r>
      <w:r w:rsidRPr="00C311AE">
        <w:rPr>
          <w:rFonts w:ascii="Book Antiqua" w:eastAsia="SimSun" w:hAnsi="Book Antiqua"/>
          <w:b/>
          <w:kern w:val="2"/>
          <w:lang w:eastAsia="zh-CN"/>
        </w:rPr>
        <w:t>Gibb FW</w:t>
      </w:r>
      <w:r w:rsidRPr="00C311AE">
        <w:rPr>
          <w:rFonts w:ascii="Book Antiqua" w:eastAsia="SimSun" w:hAnsi="Book Antiqua"/>
          <w:kern w:val="2"/>
          <w:lang w:eastAsia="zh-CN"/>
        </w:rPr>
        <w:t xml:space="preserve">, Stewart A, Walker BR, Strachan MW. Adrenal insufficiency in patients on long-term opioid analgesia. </w:t>
      </w:r>
      <w:r w:rsidRPr="00C311AE">
        <w:rPr>
          <w:rFonts w:ascii="Book Antiqua" w:eastAsia="SimSun" w:hAnsi="Book Antiqua"/>
          <w:i/>
          <w:kern w:val="2"/>
          <w:lang w:eastAsia="zh-CN"/>
        </w:rPr>
        <w:t>Clin Endocrinol (Oxf)</w:t>
      </w:r>
      <w:r w:rsidRPr="00C311AE">
        <w:rPr>
          <w:rFonts w:ascii="Book Antiqua" w:eastAsia="SimSun" w:hAnsi="Book Antiqua"/>
          <w:kern w:val="2"/>
          <w:lang w:eastAsia="zh-CN"/>
        </w:rPr>
        <w:t xml:space="preserve"> 2016; </w:t>
      </w:r>
      <w:r w:rsidRPr="00C311AE">
        <w:rPr>
          <w:rFonts w:ascii="Book Antiqua" w:eastAsia="SimSun" w:hAnsi="Book Antiqua"/>
          <w:b/>
          <w:kern w:val="2"/>
          <w:lang w:eastAsia="zh-CN"/>
        </w:rPr>
        <w:t>85</w:t>
      </w:r>
      <w:r w:rsidRPr="00C311AE">
        <w:rPr>
          <w:rFonts w:ascii="Book Antiqua" w:eastAsia="SimSun" w:hAnsi="Book Antiqua"/>
          <w:kern w:val="2"/>
          <w:lang w:eastAsia="zh-CN"/>
        </w:rPr>
        <w:t>: 831-835 [PMID: 27260138 DOI: 10.1111/cen.13125]</w:t>
      </w:r>
    </w:p>
    <w:p w14:paraId="1CC4E4B7"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26 </w:t>
      </w:r>
      <w:r w:rsidRPr="00C311AE">
        <w:rPr>
          <w:rFonts w:ascii="Book Antiqua" w:eastAsia="SimSun" w:hAnsi="Book Antiqua"/>
          <w:b/>
          <w:kern w:val="2"/>
          <w:lang w:eastAsia="zh-CN"/>
        </w:rPr>
        <w:t>Oltmanns KM</w:t>
      </w:r>
      <w:r w:rsidRPr="00C311AE">
        <w:rPr>
          <w:rFonts w:ascii="Book Antiqua" w:eastAsia="SimSun" w:hAnsi="Book Antiqua"/>
          <w:kern w:val="2"/>
          <w:lang w:eastAsia="zh-CN"/>
        </w:rPr>
        <w:t xml:space="preserve">, Fehm HL, Peters A. Chronic fentanyl application induces adrenocortical insufficiency. </w:t>
      </w:r>
      <w:r w:rsidRPr="00C311AE">
        <w:rPr>
          <w:rFonts w:ascii="Book Antiqua" w:eastAsia="SimSun" w:hAnsi="Book Antiqua"/>
          <w:i/>
          <w:kern w:val="2"/>
          <w:lang w:eastAsia="zh-CN"/>
        </w:rPr>
        <w:t>J Intern Med</w:t>
      </w:r>
      <w:r w:rsidRPr="00C311AE">
        <w:rPr>
          <w:rFonts w:ascii="Book Antiqua" w:eastAsia="SimSun" w:hAnsi="Book Antiqua"/>
          <w:kern w:val="2"/>
          <w:lang w:eastAsia="zh-CN"/>
        </w:rPr>
        <w:t xml:space="preserve"> 2005; </w:t>
      </w:r>
      <w:r w:rsidRPr="00C311AE">
        <w:rPr>
          <w:rFonts w:ascii="Book Antiqua" w:eastAsia="SimSun" w:hAnsi="Book Antiqua"/>
          <w:b/>
          <w:kern w:val="2"/>
          <w:lang w:eastAsia="zh-CN"/>
        </w:rPr>
        <w:t>257</w:t>
      </w:r>
      <w:r w:rsidRPr="00C311AE">
        <w:rPr>
          <w:rFonts w:ascii="Book Antiqua" w:eastAsia="SimSun" w:hAnsi="Book Antiqua"/>
          <w:kern w:val="2"/>
          <w:lang w:eastAsia="zh-CN"/>
        </w:rPr>
        <w:t>: 478-480 [PMID: 15836666 DOI: 10.1111/j.1365-2796.2005.01483.x]</w:t>
      </w:r>
    </w:p>
    <w:p w14:paraId="4886F17C"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27 </w:t>
      </w:r>
      <w:r w:rsidRPr="00C311AE">
        <w:rPr>
          <w:rFonts w:ascii="Book Antiqua" w:eastAsia="SimSun" w:hAnsi="Book Antiqua"/>
          <w:b/>
          <w:kern w:val="2"/>
          <w:lang w:eastAsia="zh-CN"/>
        </w:rPr>
        <w:t>Debono M</w:t>
      </w:r>
      <w:r w:rsidRPr="00C311AE">
        <w:rPr>
          <w:rFonts w:ascii="Book Antiqua" w:eastAsia="SimSun" w:hAnsi="Book Antiqua"/>
          <w:kern w:val="2"/>
          <w:lang w:eastAsia="zh-CN"/>
        </w:rPr>
        <w:t xml:space="preserve">, Chan S, Rolfe C, Jones TH. Tramadol-induced adrenal insufficiency. </w:t>
      </w:r>
      <w:r w:rsidRPr="00C311AE">
        <w:rPr>
          <w:rFonts w:ascii="Book Antiqua" w:eastAsia="SimSun" w:hAnsi="Book Antiqua"/>
          <w:i/>
          <w:kern w:val="2"/>
          <w:lang w:eastAsia="zh-CN"/>
        </w:rPr>
        <w:t>Eur J Clin Pharmacol</w:t>
      </w:r>
      <w:r w:rsidRPr="00C311AE">
        <w:rPr>
          <w:rFonts w:ascii="Book Antiqua" w:eastAsia="SimSun" w:hAnsi="Book Antiqua"/>
          <w:kern w:val="2"/>
          <w:lang w:eastAsia="zh-CN"/>
        </w:rPr>
        <w:t xml:space="preserve"> 2011; </w:t>
      </w:r>
      <w:r w:rsidRPr="00C311AE">
        <w:rPr>
          <w:rFonts w:ascii="Book Antiqua" w:eastAsia="SimSun" w:hAnsi="Book Antiqua"/>
          <w:b/>
          <w:kern w:val="2"/>
          <w:lang w:eastAsia="zh-CN"/>
        </w:rPr>
        <w:t>67</w:t>
      </w:r>
      <w:r w:rsidRPr="00C311AE">
        <w:rPr>
          <w:rFonts w:ascii="Book Antiqua" w:eastAsia="SimSun" w:hAnsi="Book Antiqua"/>
          <w:kern w:val="2"/>
          <w:lang w:eastAsia="zh-CN"/>
        </w:rPr>
        <w:t>: 865-867 [PMID: 21243342 DOI: 10.1007/s00228-011-0992-9]</w:t>
      </w:r>
    </w:p>
    <w:p w14:paraId="7BEAF3F1"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28 </w:t>
      </w:r>
      <w:r w:rsidRPr="00C311AE">
        <w:rPr>
          <w:rFonts w:ascii="Book Antiqua" w:eastAsia="SimSun" w:hAnsi="Book Antiqua"/>
          <w:b/>
          <w:kern w:val="2"/>
          <w:lang w:eastAsia="zh-CN"/>
        </w:rPr>
        <w:t>Winters R</w:t>
      </w:r>
      <w:r w:rsidRPr="00C311AE">
        <w:rPr>
          <w:rFonts w:ascii="Book Antiqua" w:eastAsia="SimSun" w:hAnsi="Book Antiqua"/>
          <w:kern w:val="2"/>
          <w:lang w:eastAsia="zh-CN"/>
        </w:rPr>
        <w:t xml:space="preserve">, Winters A, Amedee RG. Statistics: a brief overview. </w:t>
      </w:r>
      <w:r w:rsidRPr="00C311AE">
        <w:rPr>
          <w:rFonts w:ascii="Book Antiqua" w:eastAsia="SimSun" w:hAnsi="Book Antiqua"/>
          <w:i/>
          <w:kern w:val="2"/>
          <w:lang w:eastAsia="zh-CN"/>
        </w:rPr>
        <w:t>Ochsner J</w:t>
      </w:r>
      <w:r w:rsidRPr="00C311AE">
        <w:rPr>
          <w:rFonts w:ascii="Book Antiqua" w:eastAsia="SimSun" w:hAnsi="Book Antiqua"/>
          <w:kern w:val="2"/>
          <w:lang w:eastAsia="zh-CN"/>
        </w:rPr>
        <w:t xml:space="preserve"> 2010; </w:t>
      </w:r>
      <w:r w:rsidRPr="00C311AE">
        <w:rPr>
          <w:rFonts w:ascii="Book Antiqua" w:eastAsia="SimSun" w:hAnsi="Book Antiqua"/>
          <w:b/>
          <w:kern w:val="2"/>
          <w:lang w:eastAsia="zh-CN"/>
        </w:rPr>
        <w:t>10</w:t>
      </w:r>
      <w:r w:rsidRPr="00C311AE">
        <w:rPr>
          <w:rFonts w:ascii="Book Antiqua" w:eastAsia="SimSun" w:hAnsi="Book Antiqua"/>
          <w:kern w:val="2"/>
          <w:lang w:eastAsia="zh-CN"/>
        </w:rPr>
        <w:t>: 213-216 [PMID: 21603381]</w:t>
      </w:r>
    </w:p>
    <w:p w14:paraId="7F9D52D7"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29 </w:t>
      </w:r>
      <w:r w:rsidRPr="00C311AE">
        <w:rPr>
          <w:rFonts w:ascii="Book Antiqua" w:eastAsia="SimSun" w:hAnsi="Book Antiqua"/>
          <w:b/>
          <w:kern w:val="2"/>
          <w:lang w:eastAsia="zh-CN"/>
        </w:rPr>
        <w:t>Monte AA</w:t>
      </w:r>
      <w:r w:rsidRPr="00C311AE">
        <w:rPr>
          <w:rFonts w:ascii="Book Antiqua" w:eastAsia="SimSun" w:hAnsi="Book Antiqua"/>
          <w:kern w:val="2"/>
          <w:lang w:eastAsia="zh-CN"/>
        </w:rPr>
        <w:t xml:space="preserve">, Heard KJ, Hoppe JA, Vasiliou V, Gonzalez FJ. The accuracy of self-reported drug ingestion histories in emergency department patients. </w:t>
      </w:r>
      <w:r w:rsidRPr="00C311AE">
        <w:rPr>
          <w:rFonts w:ascii="Book Antiqua" w:eastAsia="SimSun" w:hAnsi="Book Antiqua"/>
          <w:i/>
          <w:kern w:val="2"/>
          <w:lang w:eastAsia="zh-CN"/>
        </w:rPr>
        <w:t>J Clin Pharmacol</w:t>
      </w:r>
      <w:r w:rsidRPr="00C311AE">
        <w:rPr>
          <w:rFonts w:ascii="Book Antiqua" w:eastAsia="SimSun" w:hAnsi="Book Antiqua"/>
          <w:kern w:val="2"/>
          <w:lang w:eastAsia="zh-CN"/>
        </w:rPr>
        <w:t xml:space="preserve"> 2015; </w:t>
      </w:r>
      <w:r w:rsidRPr="00C311AE">
        <w:rPr>
          <w:rFonts w:ascii="Book Antiqua" w:eastAsia="SimSun" w:hAnsi="Book Antiqua"/>
          <w:b/>
          <w:kern w:val="2"/>
          <w:lang w:eastAsia="zh-CN"/>
        </w:rPr>
        <w:t>55</w:t>
      </w:r>
      <w:r w:rsidRPr="00C311AE">
        <w:rPr>
          <w:rFonts w:ascii="Book Antiqua" w:eastAsia="SimSun" w:hAnsi="Book Antiqua"/>
          <w:kern w:val="2"/>
          <w:lang w:eastAsia="zh-CN"/>
        </w:rPr>
        <w:t>: 33-38 [PMID: 25052325 DOI: 10.1002/jcph.368]</w:t>
      </w:r>
    </w:p>
    <w:p w14:paraId="518010B1"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30 </w:t>
      </w:r>
      <w:r w:rsidRPr="00C311AE">
        <w:rPr>
          <w:rFonts w:ascii="Book Antiqua" w:eastAsia="SimSun" w:hAnsi="Book Antiqua"/>
          <w:b/>
          <w:kern w:val="2"/>
          <w:lang w:eastAsia="zh-CN"/>
        </w:rPr>
        <w:t>Boudreau D</w:t>
      </w:r>
      <w:r w:rsidRPr="00C311AE">
        <w:rPr>
          <w:rFonts w:ascii="Book Antiqua" w:eastAsia="SimSun" w:hAnsi="Book Antiqua"/>
          <w:kern w:val="2"/>
          <w:lang w:eastAsia="zh-CN"/>
        </w:rPr>
        <w:t xml:space="preserve">, Von Korff M, Rutter CM, Saunders K, Ray GT, Sullivan MD, Campbell CI, Merrill JO, Silverberg MJ, Banta-Green C, Weisner C. Trends in long-term opioid therapy for chronic non-cancer pain. </w:t>
      </w:r>
      <w:r w:rsidRPr="00C311AE">
        <w:rPr>
          <w:rFonts w:ascii="Book Antiqua" w:eastAsia="SimSun" w:hAnsi="Book Antiqua"/>
          <w:i/>
          <w:kern w:val="2"/>
          <w:lang w:eastAsia="zh-CN"/>
        </w:rPr>
        <w:t>Pharmacoepidemiol Drug Saf</w:t>
      </w:r>
      <w:r w:rsidRPr="00C311AE">
        <w:rPr>
          <w:rFonts w:ascii="Book Antiqua" w:eastAsia="SimSun" w:hAnsi="Book Antiqua"/>
          <w:kern w:val="2"/>
          <w:lang w:eastAsia="zh-CN"/>
        </w:rPr>
        <w:t xml:space="preserve"> 2009; </w:t>
      </w:r>
      <w:r w:rsidRPr="00C311AE">
        <w:rPr>
          <w:rFonts w:ascii="Book Antiqua" w:eastAsia="SimSun" w:hAnsi="Book Antiqua"/>
          <w:b/>
          <w:kern w:val="2"/>
          <w:lang w:eastAsia="zh-CN"/>
        </w:rPr>
        <w:t>18</w:t>
      </w:r>
      <w:r w:rsidRPr="00C311AE">
        <w:rPr>
          <w:rFonts w:ascii="Book Antiqua" w:eastAsia="SimSun" w:hAnsi="Book Antiqua"/>
          <w:kern w:val="2"/>
          <w:lang w:eastAsia="zh-CN"/>
        </w:rPr>
        <w:t>: 1166-1175 [PMID: 19718704 DOI: 10.1002/pds.1833]</w:t>
      </w:r>
    </w:p>
    <w:p w14:paraId="390D499E"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31 </w:t>
      </w:r>
      <w:r w:rsidRPr="00C311AE">
        <w:rPr>
          <w:rFonts w:ascii="Book Antiqua" w:eastAsia="SimSun" w:hAnsi="Book Antiqua"/>
          <w:b/>
          <w:kern w:val="2"/>
          <w:lang w:eastAsia="zh-CN"/>
        </w:rPr>
        <w:t>Bashir MH,</w:t>
      </w:r>
      <w:r w:rsidRPr="00C311AE">
        <w:rPr>
          <w:rFonts w:ascii="Book Antiqua" w:eastAsia="SimSun" w:hAnsi="Book Antiqua" w:hint="eastAsia"/>
          <w:kern w:val="2"/>
          <w:lang w:eastAsia="zh-CN"/>
        </w:rPr>
        <w:t xml:space="preserve"> </w:t>
      </w:r>
      <w:r w:rsidRPr="00C311AE">
        <w:rPr>
          <w:rFonts w:ascii="Book Antiqua" w:eastAsia="SimSun" w:hAnsi="Book Antiqua"/>
          <w:kern w:val="2"/>
          <w:lang w:eastAsia="zh-CN"/>
        </w:rPr>
        <w:t xml:space="preserve">Bielefeldt K, Nusrat S. Mo1100 Increasing Burden of Functional Gastrointestinal Disorders: An Analysis of Hospitalizations and Emergency Room Visits. </w:t>
      </w:r>
      <w:r w:rsidRPr="00C311AE">
        <w:rPr>
          <w:rFonts w:ascii="Book Antiqua" w:eastAsia="SimSun" w:hAnsi="Book Antiqua"/>
          <w:i/>
          <w:kern w:val="2"/>
          <w:lang w:eastAsia="zh-CN"/>
        </w:rPr>
        <w:t>Gastroenterology</w:t>
      </w:r>
      <w:r w:rsidRPr="00C311AE">
        <w:rPr>
          <w:rFonts w:ascii="Book Antiqua" w:eastAsia="SimSun" w:hAnsi="Book Antiqua" w:hint="eastAsia"/>
          <w:kern w:val="2"/>
          <w:lang w:eastAsia="zh-CN"/>
        </w:rPr>
        <w:t xml:space="preserve"> </w:t>
      </w:r>
      <w:r w:rsidRPr="00C311AE">
        <w:rPr>
          <w:rFonts w:ascii="Book Antiqua" w:eastAsia="SimSun" w:hAnsi="Book Antiqua"/>
          <w:kern w:val="2"/>
          <w:lang w:eastAsia="zh-CN"/>
        </w:rPr>
        <w:t xml:space="preserve">2016; </w:t>
      </w:r>
      <w:r w:rsidRPr="00C311AE">
        <w:rPr>
          <w:rFonts w:ascii="Book Antiqua" w:eastAsia="SimSun" w:hAnsi="Book Antiqua"/>
          <w:b/>
          <w:kern w:val="2"/>
          <w:lang w:eastAsia="zh-CN"/>
        </w:rPr>
        <w:t>150</w:t>
      </w:r>
      <w:r w:rsidRPr="00C311AE">
        <w:rPr>
          <w:rFonts w:ascii="Book Antiqua" w:eastAsia="SimSun" w:hAnsi="Book Antiqua"/>
          <w:kern w:val="2"/>
          <w:lang w:eastAsia="zh-CN"/>
        </w:rPr>
        <w:t>:</w:t>
      </w:r>
      <w:r w:rsidRPr="00C311AE">
        <w:rPr>
          <w:rFonts w:ascii="Book Antiqua" w:eastAsia="SimSun" w:hAnsi="Book Antiqua" w:hint="eastAsia"/>
          <w:kern w:val="2"/>
          <w:lang w:eastAsia="zh-CN"/>
        </w:rPr>
        <w:t xml:space="preserve"> </w:t>
      </w:r>
      <w:r w:rsidRPr="00C311AE">
        <w:rPr>
          <w:rFonts w:ascii="Book Antiqua" w:eastAsia="SimSun" w:hAnsi="Book Antiqua"/>
          <w:kern w:val="2"/>
          <w:lang w:eastAsia="zh-CN"/>
        </w:rPr>
        <w:t>S634</w:t>
      </w:r>
    </w:p>
    <w:p w14:paraId="4DCDFAC7"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32 </w:t>
      </w:r>
      <w:r w:rsidRPr="00C311AE">
        <w:rPr>
          <w:rFonts w:ascii="Book Antiqua" w:eastAsia="SimSun" w:hAnsi="Book Antiqua"/>
          <w:b/>
          <w:kern w:val="2"/>
          <w:lang w:eastAsia="zh-CN"/>
        </w:rPr>
        <w:t>Cherian D</w:t>
      </w:r>
      <w:r w:rsidRPr="00C311AE">
        <w:rPr>
          <w:rFonts w:ascii="Book Antiqua" w:eastAsia="SimSun" w:hAnsi="Book Antiqua"/>
          <w:kern w:val="2"/>
          <w:lang w:eastAsia="zh-CN"/>
        </w:rPr>
        <w:t xml:space="preserve">, Sachdeva P, Fisher RS, Parkman HP. Abdominal pain is a frequent symptom of gastroparesis. </w:t>
      </w:r>
      <w:r w:rsidRPr="00C311AE">
        <w:rPr>
          <w:rFonts w:ascii="Book Antiqua" w:eastAsia="SimSun" w:hAnsi="Book Antiqua"/>
          <w:i/>
          <w:kern w:val="2"/>
          <w:lang w:eastAsia="zh-CN"/>
        </w:rPr>
        <w:t>Clin Gastroenterol Hepatol</w:t>
      </w:r>
      <w:r w:rsidRPr="00C311AE">
        <w:rPr>
          <w:rFonts w:ascii="Book Antiqua" w:eastAsia="SimSun" w:hAnsi="Book Antiqua"/>
          <w:kern w:val="2"/>
          <w:lang w:eastAsia="zh-CN"/>
        </w:rPr>
        <w:t xml:space="preserve"> 2010; </w:t>
      </w:r>
      <w:r w:rsidRPr="00C311AE">
        <w:rPr>
          <w:rFonts w:ascii="Book Antiqua" w:eastAsia="SimSun" w:hAnsi="Book Antiqua"/>
          <w:b/>
          <w:kern w:val="2"/>
          <w:lang w:eastAsia="zh-CN"/>
        </w:rPr>
        <w:t>8</w:t>
      </w:r>
      <w:r w:rsidRPr="00C311AE">
        <w:rPr>
          <w:rFonts w:ascii="Book Antiqua" w:eastAsia="SimSun" w:hAnsi="Book Antiqua"/>
          <w:kern w:val="2"/>
          <w:lang w:eastAsia="zh-CN"/>
        </w:rPr>
        <w:t>: 676-681 [PMID: 20472097 DOI: 10.1016/j.cgh.2010.04.027]</w:t>
      </w:r>
    </w:p>
    <w:p w14:paraId="721A8FF6"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33 </w:t>
      </w:r>
      <w:r w:rsidRPr="00C311AE">
        <w:rPr>
          <w:rFonts w:ascii="Book Antiqua" w:eastAsia="SimSun" w:hAnsi="Book Antiqua"/>
          <w:b/>
          <w:kern w:val="2"/>
          <w:lang w:eastAsia="zh-CN"/>
        </w:rPr>
        <w:t>Datto CJ</w:t>
      </w:r>
      <w:r w:rsidRPr="00C311AE">
        <w:rPr>
          <w:rFonts w:ascii="Book Antiqua" w:eastAsia="SimSun" w:hAnsi="Book Antiqua"/>
          <w:kern w:val="2"/>
          <w:lang w:eastAsia="zh-CN"/>
        </w:rPr>
        <w:t xml:space="preserve">, LoCasale RJ, Margolis MK, Thompson CL, Coyne KS. Laxative utilization over time in chronic pain patients with opioid-induced constipation. </w:t>
      </w:r>
      <w:r w:rsidRPr="00C311AE">
        <w:rPr>
          <w:rFonts w:ascii="Book Antiqua" w:eastAsia="SimSun" w:hAnsi="Book Antiqua"/>
          <w:i/>
          <w:kern w:val="2"/>
          <w:lang w:eastAsia="zh-CN"/>
        </w:rPr>
        <w:t>Pain Manag</w:t>
      </w:r>
      <w:r w:rsidRPr="00C311AE">
        <w:rPr>
          <w:rFonts w:ascii="Book Antiqua" w:eastAsia="SimSun" w:hAnsi="Book Antiqua"/>
          <w:kern w:val="2"/>
          <w:lang w:eastAsia="zh-CN"/>
        </w:rPr>
        <w:t xml:space="preserve"> 2016; </w:t>
      </w:r>
      <w:r w:rsidRPr="00C311AE">
        <w:rPr>
          <w:rFonts w:ascii="Book Antiqua" w:eastAsia="SimSun" w:hAnsi="Book Antiqua"/>
          <w:b/>
          <w:kern w:val="2"/>
          <w:lang w:eastAsia="zh-CN"/>
        </w:rPr>
        <w:t>6</w:t>
      </w:r>
      <w:r w:rsidRPr="00C311AE">
        <w:rPr>
          <w:rFonts w:ascii="Book Antiqua" w:eastAsia="SimSun" w:hAnsi="Book Antiqua"/>
          <w:kern w:val="2"/>
          <w:lang w:eastAsia="zh-CN"/>
        </w:rPr>
        <w:t>: 531-541 [PMID: 27476539 DOI: 10.2217/pmt-2016-0010]</w:t>
      </w:r>
    </w:p>
    <w:p w14:paraId="0011D140"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34 </w:t>
      </w:r>
      <w:r w:rsidRPr="00C311AE">
        <w:rPr>
          <w:rFonts w:ascii="Book Antiqua" w:eastAsia="SimSun" w:hAnsi="Book Antiqua"/>
          <w:b/>
          <w:kern w:val="2"/>
          <w:lang w:eastAsia="zh-CN"/>
        </w:rPr>
        <w:t>Karamanolis G</w:t>
      </w:r>
      <w:r w:rsidRPr="00C311AE">
        <w:rPr>
          <w:rFonts w:ascii="Book Antiqua" w:eastAsia="SimSun" w:hAnsi="Book Antiqua"/>
          <w:kern w:val="2"/>
          <w:lang w:eastAsia="zh-CN"/>
        </w:rPr>
        <w:t xml:space="preserve">, Caenepeel P, Arts J, Tack J. Determinants of symptom pattern in idiopathic severely delayed gastric emptying: gastric emptying rate or proximal </w:t>
      </w:r>
      <w:r w:rsidRPr="00C311AE">
        <w:rPr>
          <w:rFonts w:ascii="Book Antiqua" w:eastAsia="SimSun" w:hAnsi="Book Antiqua"/>
          <w:kern w:val="2"/>
          <w:lang w:eastAsia="zh-CN"/>
        </w:rPr>
        <w:lastRenderedPageBreak/>
        <w:t xml:space="preserve">stomach dysfunction? </w:t>
      </w:r>
      <w:r w:rsidRPr="00C311AE">
        <w:rPr>
          <w:rFonts w:ascii="Book Antiqua" w:eastAsia="SimSun" w:hAnsi="Book Antiqua"/>
          <w:i/>
          <w:kern w:val="2"/>
          <w:lang w:eastAsia="zh-CN"/>
        </w:rPr>
        <w:t>Gut</w:t>
      </w:r>
      <w:r w:rsidRPr="00C311AE">
        <w:rPr>
          <w:rFonts w:ascii="Book Antiqua" w:eastAsia="SimSun" w:hAnsi="Book Antiqua"/>
          <w:kern w:val="2"/>
          <w:lang w:eastAsia="zh-CN"/>
        </w:rPr>
        <w:t xml:space="preserve"> 2007; </w:t>
      </w:r>
      <w:r w:rsidRPr="00C311AE">
        <w:rPr>
          <w:rFonts w:ascii="Book Antiqua" w:eastAsia="SimSun" w:hAnsi="Book Antiqua"/>
          <w:b/>
          <w:kern w:val="2"/>
          <w:lang w:eastAsia="zh-CN"/>
        </w:rPr>
        <w:t>56</w:t>
      </w:r>
      <w:r w:rsidRPr="00C311AE">
        <w:rPr>
          <w:rFonts w:ascii="Book Antiqua" w:eastAsia="SimSun" w:hAnsi="Book Antiqua"/>
          <w:kern w:val="2"/>
          <w:lang w:eastAsia="zh-CN"/>
        </w:rPr>
        <w:t>: 29-36 [PMID: 16840507 DOI: 10.1136/gut.2005.089508]</w:t>
      </w:r>
    </w:p>
    <w:p w14:paraId="4695218C"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35 </w:t>
      </w:r>
      <w:r w:rsidRPr="00C311AE">
        <w:rPr>
          <w:rFonts w:ascii="Book Antiqua" w:eastAsia="SimSun" w:hAnsi="Book Antiqua"/>
          <w:b/>
          <w:kern w:val="2"/>
          <w:lang w:eastAsia="zh-CN"/>
        </w:rPr>
        <w:t>Yadav D</w:t>
      </w:r>
      <w:r w:rsidRPr="00C311AE">
        <w:rPr>
          <w:rFonts w:ascii="Book Antiqua" w:eastAsia="SimSun" w:hAnsi="Book Antiqua"/>
          <w:kern w:val="2"/>
          <w:lang w:eastAsia="zh-CN"/>
        </w:rPr>
        <w:t xml:space="preserve">, Timmons L, Benson JT, Dierkhising RA, Chari ST. Incidence, prevalence, and survival of chronic pancreatitis: a population-based study. </w:t>
      </w:r>
      <w:r w:rsidRPr="00C311AE">
        <w:rPr>
          <w:rFonts w:ascii="Book Antiqua" w:eastAsia="SimSun" w:hAnsi="Book Antiqua"/>
          <w:i/>
          <w:kern w:val="2"/>
          <w:lang w:eastAsia="zh-CN"/>
        </w:rPr>
        <w:t>Am J Gastroenterol</w:t>
      </w:r>
      <w:r w:rsidRPr="00C311AE">
        <w:rPr>
          <w:rFonts w:ascii="Book Antiqua" w:eastAsia="SimSun" w:hAnsi="Book Antiqua"/>
          <w:kern w:val="2"/>
          <w:lang w:eastAsia="zh-CN"/>
        </w:rPr>
        <w:t xml:space="preserve"> 2011; </w:t>
      </w:r>
      <w:r w:rsidRPr="00C311AE">
        <w:rPr>
          <w:rFonts w:ascii="Book Antiqua" w:eastAsia="SimSun" w:hAnsi="Book Antiqua"/>
          <w:b/>
          <w:kern w:val="2"/>
          <w:lang w:eastAsia="zh-CN"/>
        </w:rPr>
        <w:t>106</w:t>
      </w:r>
      <w:r w:rsidRPr="00C311AE">
        <w:rPr>
          <w:rFonts w:ascii="Book Antiqua" w:eastAsia="SimSun" w:hAnsi="Book Antiqua"/>
          <w:kern w:val="2"/>
          <w:lang w:eastAsia="zh-CN"/>
        </w:rPr>
        <w:t>: 2192-2199 [PMID: 21946280 DOI: 10.1038/ajg.2011.328]</w:t>
      </w:r>
    </w:p>
    <w:p w14:paraId="6234D286"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36 </w:t>
      </w:r>
      <w:r w:rsidRPr="00C311AE">
        <w:rPr>
          <w:rFonts w:ascii="Book Antiqua" w:eastAsia="SimSun" w:hAnsi="Book Antiqua"/>
          <w:b/>
          <w:kern w:val="2"/>
          <w:lang w:eastAsia="zh-CN"/>
        </w:rPr>
        <w:t>Pezzilli R</w:t>
      </w:r>
      <w:r w:rsidRPr="00C311AE">
        <w:rPr>
          <w:rFonts w:ascii="Book Antiqua" w:eastAsia="SimSun" w:hAnsi="Book Antiqua"/>
          <w:kern w:val="2"/>
          <w:lang w:eastAsia="zh-CN"/>
        </w:rPr>
        <w:t xml:space="preserve">, Talamini G, Gullo L. Behaviour of serum pancreatic enzymes in chronic pancreatitis. </w:t>
      </w:r>
      <w:r w:rsidRPr="00C311AE">
        <w:rPr>
          <w:rFonts w:ascii="Book Antiqua" w:eastAsia="SimSun" w:hAnsi="Book Antiqua"/>
          <w:i/>
          <w:kern w:val="2"/>
          <w:lang w:eastAsia="zh-CN"/>
        </w:rPr>
        <w:t>Dig Liver Dis</w:t>
      </w:r>
      <w:r w:rsidRPr="00C311AE">
        <w:rPr>
          <w:rFonts w:ascii="Book Antiqua" w:eastAsia="SimSun" w:hAnsi="Book Antiqua"/>
          <w:kern w:val="2"/>
          <w:lang w:eastAsia="zh-CN"/>
        </w:rPr>
        <w:t xml:space="preserve"> 2000; </w:t>
      </w:r>
      <w:r w:rsidRPr="00C311AE">
        <w:rPr>
          <w:rFonts w:ascii="Book Antiqua" w:eastAsia="SimSun" w:hAnsi="Book Antiqua"/>
          <w:b/>
          <w:kern w:val="2"/>
          <w:lang w:eastAsia="zh-CN"/>
        </w:rPr>
        <w:t>32</w:t>
      </w:r>
      <w:r w:rsidRPr="00C311AE">
        <w:rPr>
          <w:rFonts w:ascii="Book Antiqua" w:eastAsia="SimSun" w:hAnsi="Book Antiqua"/>
          <w:kern w:val="2"/>
          <w:lang w:eastAsia="zh-CN"/>
        </w:rPr>
        <w:t>: 233-237 [PMID: 10975774]</w:t>
      </w:r>
    </w:p>
    <w:p w14:paraId="1F7D3DEA"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37 </w:t>
      </w:r>
      <w:r w:rsidRPr="00C311AE">
        <w:rPr>
          <w:rFonts w:ascii="Book Antiqua" w:eastAsia="SimSun" w:hAnsi="Book Antiqua"/>
          <w:b/>
          <w:kern w:val="2"/>
          <w:lang w:eastAsia="zh-CN"/>
        </w:rPr>
        <w:t>Bielefeldt K</w:t>
      </w:r>
      <w:r w:rsidRPr="00C311AE">
        <w:rPr>
          <w:rFonts w:ascii="Book Antiqua" w:eastAsia="SimSun" w:hAnsi="Book Antiqua"/>
          <w:kern w:val="2"/>
          <w:lang w:eastAsia="zh-CN"/>
        </w:rPr>
        <w:t xml:space="preserve">. Factors influencing admission and outcomes in gastroparesis. </w:t>
      </w:r>
      <w:r w:rsidRPr="00C311AE">
        <w:rPr>
          <w:rFonts w:ascii="Book Antiqua" w:eastAsia="SimSun" w:hAnsi="Book Antiqua"/>
          <w:i/>
          <w:kern w:val="2"/>
          <w:lang w:eastAsia="zh-CN"/>
        </w:rPr>
        <w:t>Neurogastroenterol Motil</w:t>
      </w:r>
      <w:r w:rsidRPr="00C311AE">
        <w:rPr>
          <w:rFonts w:ascii="Book Antiqua" w:eastAsia="SimSun" w:hAnsi="Book Antiqua"/>
          <w:kern w:val="2"/>
          <w:lang w:eastAsia="zh-CN"/>
        </w:rPr>
        <w:t xml:space="preserve"> 2013; </w:t>
      </w:r>
      <w:r w:rsidRPr="00C311AE">
        <w:rPr>
          <w:rFonts w:ascii="Book Antiqua" w:eastAsia="SimSun" w:hAnsi="Book Antiqua"/>
          <w:b/>
          <w:kern w:val="2"/>
          <w:lang w:eastAsia="zh-CN"/>
        </w:rPr>
        <w:t>25</w:t>
      </w:r>
      <w:r w:rsidRPr="00C311AE">
        <w:rPr>
          <w:rFonts w:ascii="Book Antiqua" w:eastAsia="SimSun" w:hAnsi="Book Antiqua"/>
          <w:kern w:val="2"/>
          <w:lang w:eastAsia="zh-CN"/>
        </w:rPr>
        <w:t>: 389-398, e294 [PMID: 23360151 DOI: 10.1111/nmo.12079]</w:t>
      </w:r>
    </w:p>
    <w:p w14:paraId="22BD0EAE"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38 </w:t>
      </w:r>
      <w:r w:rsidRPr="00C311AE">
        <w:rPr>
          <w:rFonts w:ascii="Book Antiqua" w:eastAsia="SimSun" w:hAnsi="Book Antiqua"/>
          <w:b/>
          <w:kern w:val="2"/>
          <w:lang w:eastAsia="zh-CN"/>
        </w:rPr>
        <w:t>Wang YR</w:t>
      </w:r>
      <w:r w:rsidRPr="00C311AE">
        <w:rPr>
          <w:rFonts w:ascii="Book Antiqua" w:eastAsia="SimSun" w:hAnsi="Book Antiqua"/>
          <w:kern w:val="2"/>
          <w:lang w:eastAsia="zh-CN"/>
        </w:rPr>
        <w:t xml:space="preserve">, Fisher RS, Parkman HP. Gastroparesis-related hospitalizations in the United States: trends, characteristics, and outcomes, 1995-2004. </w:t>
      </w:r>
      <w:r w:rsidRPr="00C311AE">
        <w:rPr>
          <w:rFonts w:ascii="Book Antiqua" w:eastAsia="SimSun" w:hAnsi="Book Antiqua"/>
          <w:i/>
          <w:kern w:val="2"/>
          <w:lang w:eastAsia="zh-CN"/>
        </w:rPr>
        <w:t>Am J Gastroenterol</w:t>
      </w:r>
      <w:r w:rsidRPr="00C311AE">
        <w:rPr>
          <w:rFonts w:ascii="Book Antiqua" w:eastAsia="SimSun" w:hAnsi="Book Antiqua"/>
          <w:kern w:val="2"/>
          <w:lang w:eastAsia="zh-CN"/>
        </w:rPr>
        <w:t xml:space="preserve"> 2008; </w:t>
      </w:r>
      <w:r w:rsidRPr="00C311AE">
        <w:rPr>
          <w:rFonts w:ascii="Book Antiqua" w:eastAsia="SimSun" w:hAnsi="Book Antiqua"/>
          <w:b/>
          <w:kern w:val="2"/>
          <w:lang w:eastAsia="zh-CN"/>
        </w:rPr>
        <w:t>103</w:t>
      </w:r>
      <w:r w:rsidRPr="00C311AE">
        <w:rPr>
          <w:rFonts w:ascii="Book Antiqua" w:eastAsia="SimSun" w:hAnsi="Book Antiqua"/>
          <w:kern w:val="2"/>
          <w:lang w:eastAsia="zh-CN"/>
        </w:rPr>
        <w:t>: 313-322 [PMID: 18047541 DOI: 10.1111/j.1572-0241.2007.01658.x]</w:t>
      </w:r>
    </w:p>
    <w:p w14:paraId="49E8E66D"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39 </w:t>
      </w:r>
      <w:r w:rsidRPr="00C311AE">
        <w:rPr>
          <w:rFonts w:ascii="Book Antiqua" w:eastAsia="SimSun" w:hAnsi="Book Antiqua"/>
          <w:b/>
          <w:kern w:val="2"/>
          <w:lang w:eastAsia="zh-CN"/>
        </w:rPr>
        <w:t>Wadhwa V,</w:t>
      </w:r>
      <w:r w:rsidRPr="00C311AE">
        <w:rPr>
          <w:rFonts w:ascii="Book Antiqua" w:eastAsia="SimSun" w:hAnsi="Book Antiqua" w:hint="eastAsia"/>
          <w:kern w:val="2"/>
          <w:lang w:eastAsia="zh-CN"/>
        </w:rPr>
        <w:t xml:space="preserve"> </w:t>
      </w:r>
      <w:r w:rsidRPr="00C311AE">
        <w:rPr>
          <w:rFonts w:ascii="Book Antiqua" w:eastAsia="SimSun" w:hAnsi="Book Antiqua"/>
          <w:kern w:val="2"/>
          <w:lang w:eastAsia="zh-CN"/>
        </w:rPr>
        <w:t xml:space="preserve">Thota PN, Sanaka MR. Increasing Inpatient Burden of Gastroparesis: An Analysis of National Trends in the United States. </w:t>
      </w:r>
      <w:r w:rsidRPr="00C311AE">
        <w:rPr>
          <w:rFonts w:ascii="Book Antiqua" w:eastAsia="SimSun" w:hAnsi="Book Antiqua"/>
          <w:i/>
          <w:kern w:val="2"/>
          <w:lang w:eastAsia="zh-CN"/>
        </w:rPr>
        <w:t>Gastroenterology</w:t>
      </w:r>
      <w:r w:rsidRPr="00C311AE">
        <w:rPr>
          <w:rFonts w:ascii="Book Antiqua" w:eastAsia="SimSun" w:hAnsi="Book Antiqua" w:hint="eastAsia"/>
          <w:kern w:val="2"/>
          <w:lang w:eastAsia="zh-CN"/>
        </w:rPr>
        <w:t xml:space="preserve"> </w:t>
      </w:r>
      <w:r w:rsidRPr="00C311AE">
        <w:rPr>
          <w:rFonts w:ascii="Book Antiqua" w:eastAsia="SimSun" w:hAnsi="Book Antiqua"/>
          <w:kern w:val="2"/>
          <w:lang w:eastAsia="zh-CN"/>
        </w:rPr>
        <w:t>2015;</w:t>
      </w:r>
      <w:r w:rsidRPr="00C311AE">
        <w:rPr>
          <w:rFonts w:ascii="Book Antiqua" w:eastAsia="SimSun" w:hAnsi="Book Antiqua" w:hint="eastAsia"/>
          <w:kern w:val="2"/>
          <w:lang w:eastAsia="zh-CN"/>
        </w:rPr>
        <w:t xml:space="preserve"> </w:t>
      </w:r>
      <w:r w:rsidRPr="00C311AE">
        <w:rPr>
          <w:rFonts w:ascii="Book Antiqua" w:eastAsia="SimSun" w:hAnsi="Book Antiqua"/>
          <w:b/>
          <w:kern w:val="2"/>
          <w:lang w:eastAsia="zh-CN"/>
        </w:rPr>
        <w:t>148</w:t>
      </w:r>
      <w:r w:rsidRPr="00C311AE">
        <w:rPr>
          <w:rFonts w:ascii="Book Antiqua" w:eastAsia="SimSun" w:hAnsi="Book Antiqua"/>
          <w:kern w:val="2"/>
          <w:lang w:eastAsia="zh-CN"/>
        </w:rPr>
        <w:t>:</w:t>
      </w:r>
      <w:r w:rsidRPr="00C311AE">
        <w:rPr>
          <w:rFonts w:ascii="Book Antiqua" w:eastAsia="SimSun" w:hAnsi="Book Antiqua" w:hint="eastAsia"/>
          <w:kern w:val="2"/>
          <w:lang w:eastAsia="zh-CN"/>
        </w:rPr>
        <w:t xml:space="preserve"> </w:t>
      </w:r>
      <w:r w:rsidRPr="00C311AE">
        <w:rPr>
          <w:rFonts w:ascii="Book Antiqua" w:eastAsia="SimSun" w:hAnsi="Book Antiqua"/>
          <w:kern w:val="2"/>
          <w:lang w:eastAsia="zh-CN"/>
        </w:rPr>
        <w:t>S512</w:t>
      </w:r>
    </w:p>
    <w:p w14:paraId="06DCCCCD"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40 </w:t>
      </w:r>
      <w:r w:rsidRPr="00C311AE">
        <w:rPr>
          <w:rFonts w:ascii="Book Antiqua" w:eastAsia="SimSun" w:hAnsi="Book Antiqua"/>
          <w:b/>
          <w:kern w:val="2"/>
          <w:lang w:eastAsia="zh-CN"/>
        </w:rPr>
        <w:t>Nusrat S</w:t>
      </w:r>
      <w:r w:rsidRPr="00C311AE">
        <w:rPr>
          <w:rFonts w:ascii="Book Antiqua" w:eastAsia="SimSun" w:hAnsi="Book Antiqua"/>
          <w:kern w:val="2"/>
          <w:lang w:eastAsia="zh-CN"/>
        </w:rPr>
        <w:t xml:space="preserve">, Bielefeldt K. Gastroparesis on the rise: incidence vs awareness? </w:t>
      </w:r>
      <w:r w:rsidRPr="00C311AE">
        <w:rPr>
          <w:rFonts w:ascii="Book Antiqua" w:eastAsia="SimSun" w:hAnsi="Book Antiqua"/>
          <w:i/>
          <w:kern w:val="2"/>
          <w:lang w:eastAsia="zh-CN"/>
        </w:rPr>
        <w:t>Neurogastroenterol Motil</w:t>
      </w:r>
      <w:r w:rsidRPr="00C311AE">
        <w:rPr>
          <w:rFonts w:ascii="Book Antiqua" w:eastAsia="SimSun" w:hAnsi="Book Antiqua"/>
          <w:kern w:val="2"/>
          <w:lang w:eastAsia="zh-CN"/>
        </w:rPr>
        <w:t xml:space="preserve"> 2013; </w:t>
      </w:r>
      <w:r w:rsidRPr="00C311AE">
        <w:rPr>
          <w:rFonts w:ascii="Book Antiqua" w:eastAsia="SimSun" w:hAnsi="Book Antiqua"/>
          <w:b/>
          <w:kern w:val="2"/>
          <w:lang w:eastAsia="zh-CN"/>
        </w:rPr>
        <w:t>25</w:t>
      </w:r>
      <w:r w:rsidRPr="00C311AE">
        <w:rPr>
          <w:rFonts w:ascii="Book Antiqua" w:eastAsia="SimSun" w:hAnsi="Book Antiqua"/>
          <w:kern w:val="2"/>
          <w:lang w:eastAsia="zh-CN"/>
        </w:rPr>
        <w:t>: 16-22 [PMID: 22937956 DOI: 10.1111/j.1365-2982.2012.02002.x]</w:t>
      </w:r>
    </w:p>
    <w:p w14:paraId="5FA988D9" w14:textId="77777777" w:rsidR="00FB38B1" w:rsidRPr="00C311AE"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 xml:space="preserve">41 </w:t>
      </w:r>
      <w:r w:rsidRPr="00C311AE">
        <w:rPr>
          <w:rFonts w:ascii="Book Antiqua" w:eastAsia="SimSun" w:hAnsi="Book Antiqua"/>
          <w:b/>
          <w:kern w:val="2"/>
          <w:lang w:eastAsia="zh-CN"/>
        </w:rPr>
        <w:t>Bell TJ</w:t>
      </w:r>
      <w:r w:rsidRPr="00C311AE">
        <w:rPr>
          <w:rFonts w:ascii="Book Antiqua" w:eastAsia="SimSun" w:hAnsi="Book Antiqua"/>
          <w:kern w:val="2"/>
          <w:lang w:eastAsia="zh-CN"/>
        </w:rPr>
        <w:t xml:space="preserve">, Panchal SJ, Miaskowski C, Bolge SC, Milanova T, Williamson R. The prevalence, severity, and impact of opioid-induced bowel dysfunction: results of a US and European Patient Survey (PROBE 1). </w:t>
      </w:r>
      <w:r w:rsidRPr="00C311AE">
        <w:rPr>
          <w:rFonts w:ascii="Book Antiqua" w:eastAsia="SimSun" w:hAnsi="Book Antiqua"/>
          <w:i/>
          <w:kern w:val="2"/>
          <w:lang w:eastAsia="zh-CN"/>
        </w:rPr>
        <w:t>Pain Med</w:t>
      </w:r>
      <w:r w:rsidRPr="00C311AE">
        <w:rPr>
          <w:rFonts w:ascii="Book Antiqua" w:eastAsia="SimSun" w:hAnsi="Book Antiqua"/>
          <w:kern w:val="2"/>
          <w:lang w:eastAsia="zh-CN"/>
        </w:rPr>
        <w:t xml:space="preserve"> 2009; </w:t>
      </w:r>
      <w:r w:rsidRPr="00C311AE">
        <w:rPr>
          <w:rFonts w:ascii="Book Antiqua" w:eastAsia="SimSun" w:hAnsi="Book Antiqua"/>
          <w:b/>
          <w:kern w:val="2"/>
          <w:lang w:eastAsia="zh-CN"/>
        </w:rPr>
        <w:t>10</w:t>
      </w:r>
      <w:r w:rsidRPr="00C311AE">
        <w:rPr>
          <w:rFonts w:ascii="Book Antiqua" w:eastAsia="SimSun" w:hAnsi="Book Antiqua"/>
          <w:kern w:val="2"/>
          <w:lang w:eastAsia="zh-CN"/>
        </w:rPr>
        <w:t>: 35-42 [PMID: 18721170 DOI: 10.1111/j.1526-4637.2008.00495.x]</w:t>
      </w:r>
    </w:p>
    <w:p w14:paraId="05F3C567" w14:textId="77777777" w:rsidR="00FB38B1" w:rsidRDefault="00FB38B1" w:rsidP="00020CC7">
      <w:pPr>
        <w:widowControl w:val="0"/>
        <w:snapToGrid w:val="0"/>
        <w:spacing w:line="360" w:lineRule="auto"/>
        <w:jc w:val="both"/>
        <w:rPr>
          <w:rFonts w:ascii="Book Antiqua" w:eastAsia="SimSun" w:hAnsi="Book Antiqua"/>
          <w:kern w:val="2"/>
          <w:lang w:eastAsia="zh-CN"/>
        </w:rPr>
      </w:pPr>
      <w:r w:rsidRPr="00C311AE">
        <w:rPr>
          <w:rFonts w:ascii="Book Antiqua" w:eastAsia="SimSun" w:hAnsi="Book Antiqua"/>
          <w:kern w:val="2"/>
          <w:lang w:eastAsia="zh-CN"/>
        </w:rPr>
        <w:t>42</w:t>
      </w:r>
      <w:r w:rsidRPr="00C311AE">
        <w:rPr>
          <w:rFonts w:ascii="Book Antiqua" w:eastAsia="SimSun" w:hAnsi="Book Antiqua" w:hint="eastAsia"/>
          <w:kern w:val="2"/>
          <w:lang w:eastAsia="zh-CN"/>
        </w:rPr>
        <w:t xml:space="preserve"> </w:t>
      </w:r>
      <w:r w:rsidRPr="00C311AE">
        <w:rPr>
          <w:rFonts w:ascii="Book Antiqua" w:eastAsia="SimSun" w:hAnsi="Book Antiqua"/>
          <w:b/>
          <w:kern w:val="2"/>
          <w:lang w:eastAsia="zh-CN"/>
        </w:rPr>
        <w:t>Young-Wolff KC</w:t>
      </w:r>
      <w:r w:rsidRPr="00C311AE">
        <w:rPr>
          <w:rFonts w:ascii="Book Antiqua" w:eastAsia="SimSun" w:hAnsi="Book Antiqua"/>
          <w:kern w:val="2"/>
          <w:lang w:eastAsia="zh-CN"/>
        </w:rPr>
        <w:t>, Klebaner D, Weisner C, Von Korff M,</w:t>
      </w:r>
      <w:r w:rsidRPr="00C311AE">
        <w:rPr>
          <w:rFonts w:ascii="Book Antiqua" w:eastAsia="SimSun" w:hAnsi="Book Antiqua" w:hint="eastAsia"/>
          <w:kern w:val="2"/>
          <w:lang w:eastAsia="zh-CN"/>
        </w:rPr>
        <w:t xml:space="preserve"> </w:t>
      </w:r>
      <w:r w:rsidRPr="00C311AE">
        <w:rPr>
          <w:rFonts w:ascii="Book Antiqua" w:eastAsia="SimSun" w:hAnsi="Book Antiqua"/>
          <w:kern w:val="2"/>
          <w:lang w:eastAsia="zh-CN"/>
        </w:rPr>
        <w:t xml:space="preserve">Campbell CI. Smoking Status and Opioid-related Problems and Concerns Among Men and Women on Chronic Opioid Therapy. </w:t>
      </w:r>
      <w:r w:rsidRPr="00C311AE">
        <w:rPr>
          <w:rFonts w:ascii="Book Antiqua" w:eastAsia="SimSun" w:hAnsi="Book Antiqua"/>
          <w:i/>
          <w:kern w:val="2"/>
          <w:lang w:eastAsia="zh-CN"/>
        </w:rPr>
        <w:t>Clin J Pain</w:t>
      </w:r>
      <w:r w:rsidRPr="00C311AE">
        <w:rPr>
          <w:rFonts w:ascii="Book Antiqua" w:eastAsia="SimSun" w:hAnsi="Book Antiqua"/>
          <w:kern w:val="2"/>
          <w:lang w:eastAsia="zh-CN"/>
        </w:rPr>
        <w:t xml:space="preserve"> 2017; </w:t>
      </w:r>
      <w:r w:rsidRPr="00C311AE">
        <w:rPr>
          <w:rFonts w:ascii="Book Antiqua" w:eastAsia="SimSun" w:hAnsi="Book Antiqua"/>
          <w:b/>
          <w:kern w:val="2"/>
          <w:lang w:eastAsia="zh-CN"/>
        </w:rPr>
        <w:t>33</w:t>
      </w:r>
      <w:r w:rsidRPr="00C311AE">
        <w:rPr>
          <w:rFonts w:ascii="Book Antiqua" w:eastAsia="SimSun" w:hAnsi="Book Antiqua"/>
          <w:kern w:val="2"/>
          <w:lang w:eastAsia="zh-CN"/>
        </w:rPr>
        <w:t>: 730-737 [PMID: 27898458 DOI: 10.1097/AJP.0000000000000461]</w:t>
      </w:r>
    </w:p>
    <w:p w14:paraId="01A795EE" w14:textId="77777777" w:rsidR="00020CC7" w:rsidRPr="00C311AE" w:rsidRDefault="00020CC7" w:rsidP="00020CC7">
      <w:pPr>
        <w:widowControl w:val="0"/>
        <w:snapToGrid w:val="0"/>
        <w:spacing w:line="360" w:lineRule="auto"/>
        <w:jc w:val="both"/>
        <w:rPr>
          <w:rFonts w:ascii="Book Antiqua" w:eastAsia="SimSun" w:hAnsi="Book Antiqua"/>
          <w:kern w:val="2"/>
          <w:lang w:eastAsia="zh-CN"/>
        </w:rPr>
      </w:pPr>
    </w:p>
    <w:p w14:paraId="73E8A85A" w14:textId="58B59F6A" w:rsidR="00FB38B1" w:rsidRPr="00C311AE" w:rsidRDefault="00FB38B1" w:rsidP="00020CC7">
      <w:pPr>
        <w:wordWrap w:val="0"/>
        <w:snapToGrid w:val="0"/>
        <w:spacing w:line="360" w:lineRule="auto"/>
        <w:jc w:val="both"/>
        <w:rPr>
          <w:rFonts w:ascii="Book Antiqua" w:eastAsia="SimSun" w:hAnsi="Book Antiqua"/>
          <w:b/>
          <w:bCs/>
          <w:lang w:eastAsia="zh-CN"/>
        </w:rPr>
      </w:pPr>
      <w:bookmarkStart w:id="55" w:name="OLE_LINK1169"/>
      <w:bookmarkStart w:id="56" w:name="OLE_LINK1074"/>
      <w:bookmarkStart w:id="57" w:name="OLE_LINK1175"/>
      <w:bookmarkStart w:id="58" w:name="OLE_LINK1158"/>
      <w:bookmarkStart w:id="59" w:name="OLE_LINK1056"/>
      <w:bookmarkStart w:id="60" w:name="OLE_LINK1288"/>
      <w:bookmarkStart w:id="61" w:name="OLE_LINK1241"/>
      <w:bookmarkStart w:id="62" w:name="OLE_LINK1200"/>
      <w:bookmarkStart w:id="63" w:name="OLE_LINK1167"/>
      <w:bookmarkStart w:id="64" w:name="OLE_LINK1137"/>
      <w:bookmarkStart w:id="65" w:name="OLE_LINK1174"/>
      <w:bookmarkStart w:id="66" w:name="OLE_LINK1059"/>
      <w:bookmarkStart w:id="67" w:name="OLE_LINK930"/>
      <w:bookmarkStart w:id="68" w:name="OLE_LINK911"/>
      <w:bookmarkStart w:id="69" w:name="OLE_LINK946"/>
      <w:bookmarkStart w:id="70" w:name="OLE_LINK1052"/>
      <w:bookmarkStart w:id="71" w:name="OLE_LINK993"/>
      <w:bookmarkStart w:id="72" w:name="OLE_LINK992"/>
      <w:bookmarkStart w:id="73" w:name="OLE_LINK906"/>
      <w:bookmarkStart w:id="74" w:name="OLE_LINK909"/>
      <w:bookmarkStart w:id="75" w:name="OLE_LINK847"/>
      <w:bookmarkStart w:id="76" w:name="OLE_LINK1030"/>
      <w:bookmarkStart w:id="77" w:name="OLE_LINK981"/>
      <w:bookmarkStart w:id="78" w:name="OLE_LINK943"/>
      <w:bookmarkStart w:id="79" w:name="OLE_LINK891"/>
      <w:bookmarkStart w:id="80" w:name="OLE_LINK1106"/>
      <w:bookmarkStart w:id="81" w:name="OLE_LINK1076"/>
      <w:bookmarkStart w:id="82" w:name="OLE_LINK1049"/>
      <w:bookmarkStart w:id="83" w:name="OLE_LINK1018"/>
      <w:bookmarkStart w:id="84" w:name="OLE_LINK980"/>
      <w:bookmarkStart w:id="85" w:name="OLE_LINK908"/>
      <w:bookmarkStart w:id="86" w:name="OLE_LINK856"/>
      <w:bookmarkStart w:id="87" w:name="OLE_LINK865"/>
      <w:bookmarkStart w:id="88" w:name="OLE_LINK826"/>
      <w:bookmarkStart w:id="89" w:name="OLE_LINK782"/>
      <w:bookmarkStart w:id="90" w:name="OLE_LINK889"/>
      <w:bookmarkStart w:id="91" w:name="OLE_LINK836"/>
      <w:bookmarkStart w:id="92" w:name="OLE_LINK2882"/>
      <w:bookmarkStart w:id="93" w:name="OLE_LINK792"/>
      <w:bookmarkStart w:id="94" w:name="OLE_LINK700"/>
      <w:bookmarkStart w:id="95" w:name="OLE_LINK642"/>
      <w:bookmarkStart w:id="96" w:name="OLE_LINK833"/>
      <w:bookmarkStart w:id="97" w:name="OLE_LINK781"/>
      <w:bookmarkStart w:id="98" w:name="OLE_LINK660"/>
      <w:bookmarkStart w:id="99" w:name="OLE_LINK801"/>
      <w:bookmarkStart w:id="100" w:name="OLE_LINK770"/>
      <w:bookmarkStart w:id="101" w:name="OLE_LINK716"/>
      <w:bookmarkStart w:id="102" w:name="OLE_LINK593"/>
      <w:bookmarkStart w:id="103" w:name="OLE_LINK714"/>
      <w:bookmarkStart w:id="104" w:name="OLE_LINK640"/>
      <w:bookmarkStart w:id="105" w:name="OLE_LINK582"/>
      <w:bookmarkStart w:id="106" w:name="OLE_LINK589"/>
      <w:bookmarkStart w:id="107" w:name="OLE_LINK542"/>
      <w:bookmarkStart w:id="108" w:name="OLE_LINK722"/>
      <w:bookmarkStart w:id="109" w:name="OLE_LINK688"/>
      <w:bookmarkStart w:id="110" w:name="OLE_LINK639"/>
      <w:bookmarkStart w:id="111" w:name="OLE_LINK581"/>
      <w:bookmarkStart w:id="112" w:name="OLE_LINK2700"/>
      <w:bookmarkStart w:id="113" w:name="OLE_LINK567"/>
      <w:bookmarkStart w:id="114" w:name="OLE_LINK480"/>
      <w:bookmarkStart w:id="115" w:name="OLE_LINK574"/>
      <w:bookmarkStart w:id="116" w:name="OLE_LINK572"/>
      <w:bookmarkStart w:id="117" w:name="OLE_LINK532"/>
      <w:bookmarkStart w:id="118" w:name="OLE_LINK491"/>
      <w:bookmarkStart w:id="119" w:name="OLE_LINK575"/>
      <w:bookmarkStart w:id="120" w:name="OLE_LINK519"/>
      <w:bookmarkStart w:id="121" w:name="OLE_LINK462"/>
      <w:bookmarkStart w:id="122" w:name="OLE_LINK471"/>
      <w:bookmarkStart w:id="123" w:name="OLE_LINK686"/>
      <w:bookmarkStart w:id="124" w:name="OLE_LINK648"/>
      <w:bookmarkStart w:id="125" w:name="OLE_LINK535"/>
      <w:bookmarkStart w:id="126" w:name="OLE_LINK489"/>
      <w:bookmarkStart w:id="127" w:name="OLE_LINK450"/>
      <w:bookmarkStart w:id="128" w:name="OLE_LINK303"/>
      <w:bookmarkStart w:id="129" w:name="OLE_LINK379"/>
      <w:bookmarkStart w:id="130" w:name="OLE_LINK384"/>
      <w:bookmarkStart w:id="131" w:name="OLE_LINK288"/>
      <w:bookmarkStart w:id="132" w:name="OLE_LINK457"/>
      <w:bookmarkStart w:id="133" w:name="OLE_LINK1830"/>
      <w:bookmarkStart w:id="134" w:name="OLE_LINK334"/>
      <w:bookmarkStart w:id="135" w:name="OLE_LINK371"/>
      <w:bookmarkStart w:id="136" w:name="OLE_LINK346"/>
      <w:bookmarkStart w:id="137" w:name="OLE_LINK400"/>
      <w:bookmarkStart w:id="138" w:name="OLE_LINK385"/>
      <w:bookmarkStart w:id="139" w:name="OLE_LINK321"/>
      <w:bookmarkStart w:id="140" w:name="OLE_LINK304"/>
      <w:bookmarkStart w:id="141" w:name="OLE_LINK313"/>
      <w:bookmarkStart w:id="142" w:name="OLE_LINK282"/>
      <w:bookmarkStart w:id="143" w:name="OLE_LINK281"/>
      <w:bookmarkStart w:id="144" w:name="OLE_LINK250"/>
      <w:bookmarkStart w:id="145" w:name="OLE_LINK212"/>
      <w:bookmarkStart w:id="146" w:name="OLE_LINK226"/>
      <w:bookmarkStart w:id="147" w:name="OLE_LINK207"/>
      <w:bookmarkStart w:id="148" w:name="OLE_LINK225"/>
      <w:bookmarkStart w:id="149" w:name="OLE_LINK149"/>
      <w:bookmarkStart w:id="150" w:name="OLE_LINK254"/>
      <w:bookmarkStart w:id="151" w:name="OLE_LINK183"/>
      <w:bookmarkStart w:id="152" w:name="OLE_LINK387"/>
      <w:bookmarkStart w:id="153" w:name="OLE_LINK320"/>
      <w:bookmarkStart w:id="154" w:name="OLE_LINK112"/>
      <w:bookmarkStart w:id="155" w:name="OLE_LINK72"/>
      <w:bookmarkStart w:id="156" w:name="OLE_LINK148"/>
      <w:bookmarkStart w:id="157" w:name="OLE_LINK120"/>
      <w:bookmarkStart w:id="158" w:name="OLE_LINK52"/>
      <w:bookmarkStart w:id="159" w:name="OLE_LINK51"/>
      <w:bookmarkStart w:id="160" w:name="OLE_LINK1054"/>
      <w:bookmarkStart w:id="161" w:name="OLE_LINK1053"/>
      <w:r w:rsidRPr="00C311AE">
        <w:rPr>
          <w:rFonts w:ascii="Book Antiqua" w:eastAsia="SimSun" w:hAnsi="Book Antiqua"/>
          <w:b/>
          <w:bCs/>
          <w:lang w:eastAsia="zh-CN"/>
        </w:rPr>
        <w:t xml:space="preserve">P-Reviewer: </w:t>
      </w:r>
      <w:r w:rsidRPr="00C311AE">
        <w:rPr>
          <w:rFonts w:ascii="Book Antiqua" w:eastAsia="SimSun" w:hAnsi="Book Antiqua"/>
          <w:bCs/>
          <w:lang w:eastAsia="zh-CN"/>
        </w:rPr>
        <w:t>Camilleri M</w:t>
      </w:r>
      <w:r w:rsidRPr="00C311AE">
        <w:rPr>
          <w:rFonts w:ascii="Book Antiqua" w:eastAsia="SimSun" w:hAnsi="Book Antiqua" w:hint="eastAsia"/>
          <w:bCs/>
          <w:lang w:eastAsia="zh-CN"/>
        </w:rPr>
        <w:t xml:space="preserve">, </w:t>
      </w:r>
      <w:r w:rsidRPr="00C311AE">
        <w:rPr>
          <w:rFonts w:ascii="Book Antiqua" w:eastAsia="SimSun" w:hAnsi="Book Antiqua"/>
          <w:bCs/>
          <w:lang w:eastAsia="zh-CN"/>
        </w:rPr>
        <w:t>Ehrenpreis ED</w:t>
      </w:r>
      <w:r w:rsidRPr="00C311AE">
        <w:rPr>
          <w:rFonts w:ascii="Book Antiqua" w:eastAsia="SimSun" w:hAnsi="Book Antiqua" w:hint="eastAsia"/>
          <w:bCs/>
          <w:lang w:eastAsia="zh-CN"/>
        </w:rPr>
        <w:t xml:space="preserve">, </w:t>
      </w:r>
      <w:r w:rsidR="00DA65D6" w:rsidRPr="00DA65D6">
        <w:rPr>
          <w:rFonts w:ascii="Book Antiqua" w:eastAsia="SimSun" w:hAnsi="Book Antiqua"/>
          <w:bCs/>
          <w:lang w:eastAsia="zh-CN"/>
        </w:rPr>
        <w:t>Garcia-Olmo</w:t>
      </w:r>
      <w:r w:rsidR="00020CC7">
        <w:rPr>
          <w:rFonts w:ascii="Book Antiqua" w:eastAsia="SimSun" w:hAnsi="Book Antiqua" w:hint="eastAsia"/>
          <w:bCs/>
          <w:lang w:eastAsia="zh-CN"/>
        </w:rPr>
        <w:t xml:space="preserve"> </w:t>
      </w:r>
      <w:r w:rsidR="00DA65D6">
        <w:rPr>
          <w:rFonts w:ascii="Book Antiqua" w:eastAsia="SimSun" w:hAnsi="Book Antiqua" w:hint="eastAsia"/>
          <w:bCs/>
          <w:lang w:eastAsia="zh-CN"/>
        </w:rPr>
        <w:t xml:space="preserve">D, </w:t>
      </w:r>
      <w:r w:rsidRPr="00C311AE">
        <w:rPr>
          <w:rFonts w:ascii="Book Antiqua" w:eastAsia="SimSun" w:hAnsi="Book Antiqua"/>
          <w:bCs/>
          <w:lang w:eastAsia="zh-CN"/>
        </w:rPr>
        <w:t>Tseng PH</w:t>
      </w:r>
      <w:r w:rsidRPr="00C311AE">
        <w:rPr>
          <w:rFonts w:ascii="Book Antiqua" w:eastAsia="SimSun" w:hAnsi="Book Antiqua" w:hint="eastAsia"/>
          <w:bCs/>
          <w:lang w:eastAsia="zh-CN"/>
        </w:rPr>
        <w:t xml:space="preserve">, </w:t>
      </w:r>
      <w:r w:rsidRPr="00C311AE">
        <w:rPr>
          <w:rFonts w:ascii="Book Antiqua" w:eastAsia="SimSun" w:hAnsi="Book Antiqua"/>
          <w:bCs/>
          <w:lang w:eastAsia="zh-CN"/>
        </w:rPr>
        <w:t>Ukleja</w:t>
      </w:r>
      <w:r w:rsidRPr="00C311AE">
        <w:rPr>
          <w:rFonts w:ascii="Book Antiqua" w:eastAsia="SimSun" w:hAnsi="Book Antiqua" w:hint="eastAsia"/>
          <w:bCs/>
          <w:lang w:eastAsia="zh-CN"/>
        </w:rPr>
        <w:t xml:space="preserve"> </w:t>
      </w:r>
      <w:r w:rsidRPr="00C311AE">
        <w:rPr>
          <w:rFonts w:ascii="Book Antiqua" w:eastAsia="SimSun" w:hAnsi="Book Antiqua"/>
          <w:bCs/>
          <w:lang w:eastAsia="zh-CN"/>
        </w:rPr>
        <w:t>A</w:t>
      </w:r>
    </w:p>
    <w:p w14:paraId="3F8F7DC8" w14:textId="77777777" w:rsidR="00FB38B1" w:rsidRPr="00C311AE" w:rsidRDefault="00FB38B1" w:rsidP="00020CC7">
      <w:pPr>
        <w:snapToGrid w:val="0"/>
        <w:spacing w:line="360" w:lineRule="auto"/>
        <w:jc w:val="both"/>
        <w:rPr>
          <w:rFonts w:ascii="Book Antiqua" w:eastAsia="SimSun" w:hAnsi="Book Antiqua"/>
          <w:lang w:eastAsia="zh-CN"/>
        </w:rPr>
      </w:pPr>
      <w:r w:rsidRPr="00C311AE">
        <w:rPr>
          <w:rFonts w:ascii="Book Antiqua" w:eastAsia="SimSun" w:hAnsi="Book Antiqua"/>
          <w:b/>
          <w:bCs/>
          <w:lang w:eastAsia="zh-CN"/>
        </w:rPr>
        <w:t>S-Editor:</w:t>
      </w:r>
      <w:r w:rsidRPr="00C311AE">
        <w:rPr>
          <w:rFonts w:ascii="Book Antiqua" w:eastAsia="SimSun" w:hAnsi="Book Antiqua"/>
          <w:lang w:eastAsia="zh-CN"/>
        </w:rPr>
        <w:t xml:space="preserve"> Gong ZM</w:t>
      </w:r>
      <w:r w:rsidRPr="00C311AE">
        <w:rPr>
          <w:rFonts w:ascii="Book Antiqua" w:eastAsia="SimSun" w:hAnsi="Book Antiqua" w:hint="eastAsia"/>
          <w:lang w:eastAsia="zh-CN"/>
        </w:rPr>
        <w:t xml:space="preserve"> </w:t>
      </w:r>
      <w:r w:rsidRPr="00C311AE">
        <w:rPr>
          <w:rFonts w:ascii="Book Antiqua" w:eastAsia="SimSun" w:hAnsi="Book Antiqua"/>
          <w:b/>
          <w:bCs/>
          <w:lang w:eastAsia="zh-CN"/>
        </w:rPr>
        <w:t>L-Editor:</w:t>
      </w:r>
      <w:r w:rsidRPr="00C311AE">
        <w:rPr>
          <w:rFonts w:ascii="Book Antiqua" w:eastAsia="SimSun" w:hAnsi="Book Antiqua"/>
          <w:lang w:eastAsia="zh-CN"/>
        </w:rPr>
        <w:t xml:space="preserve"> </w:t>
      </w:r>
      <w:r w:rsidRPr="00C311AE">
        <w:rPr>
          <w:rFonts w:ascii="Book Antiqua" w:eastAsia="SimSun" w:hAnsi="Book Antiqua"/>
          <w:b/>
          <w:bCs/>
          <w:lang w:eastAsia="zh-CN"/>
        </w:rPr>
        <w:t>E-Editor:</w:t>
      </w:r>
    </w:p>
    <w:p w14:paraId="7ED92982" w14:textId="77777777" w:rsidR="00FB38B1" w:rsidRPr="00C311AE" w:rsidRDefault="00FB38B1" w:rsidP="00020CC7">
      <w:pPr>
        <w:shd w:val="clear" w:color="auto" w:fill="FFFFFF"/>
        <w:snapToGrid w:val="0"/>
        <w:spacing w:line="360" w:lineRule="auto"/>
        <w:jc w:val="both"/>
        <w:rPr>
          <w:rFonts w:ascii="Book Antiqua" w:eastAsia="SimSun" w:hAnsi="Book Antiqua" w:cs="Helvetica"/>
          <w:b/>
          <w:lang w:eastAsia="zh-CN"/>
        </w:rPr>
      </w:pPr>
      <w:bookmarkStart w:id="162" w:name="OLE_LINK881"/>
      <w:bookmarkStart w:id="163" w:name="OLE_LINK880"/>
      <w:bookmarkStart w:id="164" w:name="OLE_LINK813"/>
      <w:bookmarkStart w:id="165" w:name="OLE_LINK497"/>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C311AE">
        <w:rPr>
          <w:rFonts w:ascii="Book Antiqua" w:eastAsia="SimSun" w:hAnsi="Book Antiqua" w:cs="Helvetica"/>
          <w:b/>
          <w:lang w:eastAsia="zh-CN"/>
        </w:rPr>
        <w:lastRenderedPageBreak/>
        <w:t xml:space="preserve">Specialty type: </w:t>
      </w:r>
      <w:r w:rsidRPr="00C311AE">
        <w:rPr>
          <w:rFonts w:ascii="Book Antiqua" w:eastAsia="SimSun" w:hAnsi="Book Antiqua" w:cs="Helvetica"/>
          <w:lang w:eastAsia="zh-CN"/>
        </w:rPr>
        <w:t>Gastroenterology and hepatology</w:t>
      </w:r>
    </w:p>
    <w:p w14:paraId="6C1A67D8" w14:textId="77777777" w:rsidR="00FB38B1" w:rsidRPr="00C311AE" w:rsidRDefault="00FB38B1" w:rsidP="00020CC7">
      <w:pPr>
        <w:shd w:val="clear" w:color="auto" w:fill="FFFFFF"/>
        <w:snapToGrid w:val="0"/>
        <w:spacing w:line="360" w:lineRule="auto"/>
        <w:jc w:val="both"/>
        <w:rPr>
          <w:rFonts w:ascii="Book Antiqua" w:eastAsia="SimSun" w:hAnsi="Book Antiqua" w:cs="Helvetica"/>
          <w:b/>
          <w:lang w:eastAsia="zh-CN"/>
        </w:rPr>
      </w:pPr>
      <w:r w:rsidRPr="00C311AE">
        <w:rPr>
          <w:rFonts w:ascii="Book Antiqua" w:eastAsia="SimSun" w:hAnsi="Book Antiqua" w:cs="Helvetica"/>
          <w:b/>
          <w:lang w:eastAsia="zh-CN"/>
        </w:rPr>
        <w:t xml:space="preserve">Country of origin: </w:t>
      </w:r>
      <w:r w:rsidRPr="00C311AE">
        <w:rPr>
          <w:rFonts w:ascii="Book Antiqua" w:eastAsia="SimSun" w:hAnsi="Book Antiqua" w:cs="Helvetica"/>
          <w:lang w:val="en-CA" w:eastAsia="zh-CN"/>
        </w:rPr>
        <w:t>United States</w:t>
      </w:r>
    </w:p>
    <w:p w14:paraId="4C0EC0D4" w14:textId="77777777" w:rsidR="00FB38B1" w:rsidRPr="00C311AE" w:rsidRDefault="00FB38B1" w:rsidP="00020CC7">
      <w:pPr>
        <w:shd w:val="clear" w:color="auto" w:fill="FFFFFF"/>
        <w:snapToGrid w:val="0"/>
        <w:spacing w:line="360" w:lineRule="auto"/>
        <w:jc w:val="both"/>
        <w:rPr>
          <w:rFonts w:ascii="Book Antiqua" w:eastAsia="SimSun" w:hAnsi="Book Antiqua" w:cs="Helvetica"/>
          <w:b/>
          <w:lang w:eastAsia="zh-CN"/>
        </w:rPr>
      </w:pPr>
      <w:r w:rsidRPr="00C311AE">
        <w:rPr>
          <w:rFonts w:ascii="Book Antiqua" w:eastAsia="SimSun" w:hAnsi="Book Antiqua" w:cs="Helvetica"/>
          <w:b/>
          <w:lang w:eastAsia="zh-CN"/>
        </w:rPr>
        <w:t>Peer-review report classification</w:t>
      </w:r>
    </w:p>
    <w:p w14:paraId="6D086C7D" w14:textId="77777777" w:rsidR="00FB38B1" w:rsidRPr="00C311AE" w:rsidRDefault="00FB38B1" w:rsidP="00020CC7">
      <w:pPr>
        <w:shd w:val="clear" w:color="auto" w:fill="FFFFFF"/>
        <w:snapToGrid w:val="0"/>
        <w:spacing w:line="360" w:lineRule="auto"/>
        <w:jc w:val="both"/>
        <w:rPr>
          <w:rFonts w:ascii="Book Antiqua" w:eastAsia="SimSun" w:hAnsi="Book Antiqua" w:cs="Helvetica"/>
          <w:lang w:eastAsia="zh-CN"/>
        </w:rPr>
      </w:pPr>
      <w:r w:rsidRPr="00C311AE">
        <w:rPr>
          <w:rFonts w:ascii="Book Antiqua" w:eastAsia="SimSun" w:hAnsi="Book Antiqua" w:cs="Helvetica"/>
          <w:lang w:eastAsia="zh-CN"/>
        </w:rPr>
        <w:t xml:space="preserve">Grade A (Excellent): </w:t>
      </w:r>
      <w:r w:rsidRPr="00C311AE">
        <w:rPr>
          <w:rFonts w:ascii="Book Antiqua" w:eastAsia="SimSun" w:hAnsi="Book Antiqua" w:cs="Helvetica" w:hint="eastAsia"/>
          <w:lang w:eastAsia="zh-CN"/>
        </w:rPr>
        <w:t>A</w:t>
      </w:r>
    </w:p>
    <w:p w14:paraId="7736F1B1" w14:textId="277E3590" w:rsidR="00FB38B1" w:rsidRPr="00C311AE" w:rsidRDefault="00FB38B1" w:rsidP="00020CC7">
      <w:pPr>
        <w:shd w:val="clear" w:color="auto" w:fill="FFFFFF"/>
        <w:snapToGrid w:val="0"/>
        <w:spacing w:line="360" w:lineRule="auto"/>
        <w:jc w:val="both"/>
        <w:rPr>
          <w:rFonts w:ascii="Book Antiqua" w:eastAsia="SimSun" w:hAnsi="Book Antiqua" w:cs="Helvetica"/>
          <w:lang w:eastAsia="zh-CN"/>
        </w:rPr>
      </w:pPr>
      <w:r w:rsidRPr="00C311AE">
        <w:rPr>
          <w:rFonts w:ascii="Book Antiqua" w:eastAsia="SimSun" w:hAnsi="Book Antiqua" w:cs="Helvetica"/>
          <w:lang w:eastAsia="zh-CN"/>
        </w:rPr>
        <w:t>Grade B (Very good):</w:t>
      </w:r>
      <w:r w:rsidRPr="00C311AE">
        <w:rPr>
          <w:rFonts w:ascii="Book Antiqua" w:eastAsia="SimSun" w:hAnsi="Book Antiqua" w:cs="Helvetica" w:hint="eastAsia"/>
          <w:lang w:eastAsia="zh-CN"/>
        </w:rPr>
        <w:t xml:space="preserve"> B</w:t>
      </w:r>
      <w:r w:rsidR="00DA65D6">
        <w:rPr>
          <w:rFonts w:ascii="Book Antiqua" w:eastAsia="SimSun" w:hAnsi="Book Antiqua" w:cs="Helvetica" w:hint="eastAsia"/>
          <w:lang w:eastAsia="zh-CN"/>
        </w:rPr>
        <w:t>, B</w:t>
      </w:r>
    </w:p>
    <w:p w14:paraId="11E2FDED" w14:textId="77777777" w:rsidR="00FB38B1" w:rsidRPr="00C311AE" w:rsidRDefault="00FB38B1" w:rsidP="00020CC7">
      <w:pPr>
        <w:shd w:val="clear" w:color="auto" w:fill="FFFFFF"/>
        <w:snapToGrid w:val="0"/>
        <w:spacing w:line="360" w:lineRule="auto"/>
        <w:jc w:val="both"/>
        <w:rPr>
          <w:rFonts w:ascii="Book Antiqua" w:eastAsia="SimSun" w:hAnsi="Book Antiqua" w:cs="Helvetica"/>
          <w:lang w:eastAsia="zh-CN"/>
        </w:rPr>
      </w:pPr>
      <w:r w:rsidRPr="00C311AE">
        <w:rPr>
          <w:rFonts w:ascii="Book Antiqua" w:eastAsia="SimSun" w:hAnsi="Book Antiqua" w:cs="Helvetica"/>
          <w:lang w:eastAsia="zh-CN"/>
        </w:rPr>
        <w:t>Grade C (Good): C</w:t>
      </w:r>
    </w:p>
    <w:p w14:paraId="4C3432DB" w14:textId="77777777" w:rsidR="00FB38B1" w:rsidRPr="00C311AE" w:rsidRDefault="00FB38B1" w:rsidP="00020CC7">
      <w:pPr>
        <w:shd w:val="clear" w:color="auto" w:fill="FFFFFF"/>
        <w:snapToGrid w:val="0"/>
        <w:spacing w:line="360" w:lineRule="auto"/>
        <w:jc w:val="both"/>
        <w:rPr>
          <w:rFonts w:ascii="Book Antiqua" w:eastAsia="SimSun" w:hAnsi="Book Antiqua" w:cs="Helvetica"/>
          <w:lang w:eastAsia="zh-CN"/>
        </w:rPr>
      </w:pPr>
      <w:r w:rsidRPr="00C311AE">
        <w:rPr>
          <w:rFonts w:ascii="Book Antiqua" w:eastAsia="SimSun" w:hAnsi="Book Antiqua" w:cs="Helvetica"/>
          <w:lang w:eastAsia="zh-CN"/>
        </w:rPr>
        <w:t xml:space="preserve">Grade D (Fair): </w:t>
      </w:r>
      <w:r w:rsidRPr="00C311AE">
        <w:rPr>
          <w:rFonts w:ascii="Book Antiqua" w:eastAsia="SimSun" w:hAnsi="Book Antiqua" w:cs="Helvetica" w:hint="eastAsia"/>
          <w:lang w:eastAsia="zh-CN"/>
        </w:rPr>
        <w:t>D</w:t>
      </w:r>
    </w:p>
    <w:p w14:paraId="098FD986" w14:textId="77777777" w:rsidR="00FB38B1" w:rsidRPr="00C311AE" w:rsidRDefault="00FB38B1" w:rsidP="00020CC7">
      <w:pPr>
        <w:shd w:val="clear" w:color="auto" w:fill="FFFFFF"/>
        <w:snapToGrid w:val="0"/>
        <w:spacing w:line="360" w:lineRule="auto"/>
        <w:jc w:val="both"/>
        <w:rPr>
          <w:rFonts w:ascii="Book Antiqua" w:eastAsia="SimSun" w:hAnsi="Book Antiqua" w:cs="Helvetica"/>
          <w:lang w:eastAsia="zh-CN"/>
        </w:rPr>
      </w:pPr>
      <w:r w:rsidRPr="00C311AE">
        <w:rPr>
          <w:rFonts w:ascii="Book Antiqua" w:eastAsia="SimSun" w:hAnsi="Book Antiqua" w:cs="Helvetica"/>
          <w:lang w:eastAsia="zh-CN"/>
        </w:rPr>
        <w:t>Grade E (Poor): 0</w:t>
      </w:r>
      <w:bookmarkEnd w:id="160"/>
      <w:bookmarkEnd w:id="161"/>
      <w:bookmarkEnd w:id="162"/>
      <w:bookmarkEnd w:id="163"/>
      <w:bookmarkEnd w:id="164"/>
      <w:bookmarkEnd w:id="165"/>
    </w:p>
    <w:p w14:paraId="20127C09" w14:textId="77777777" w:rsidR="001F6CEB" w:rsidRPr="00C311AE" w:rsidRDefault="001F6CEB" w:rsidP="00020CC7">
      <w:pPr>
        <w:snapToGrid w:val="0"/>
        <w:spacing w:line="360" w:lineRule="auto"/>
        <w:jc w:val="both"/>
        <w:rPr>
          <w:rFonts w:ascii="Book Antiqua" w:hAnsi="Book Antiqua"/>
        </w:rPr>
      </w:pPr>
    </w:p>
    <w:p w14:paraId="2802BC22" w14:textId="77777777" w:rsidR="007875F6" w:rsidRPr="00C311AE" w:rsidRDefault="007875F6" w:rsidP="00020CC7">
      <w:pPr>
        <w:snapToGrid w:val="0"/>
        <w:spacing w:line="360" w:lineRule="auto"/>
        <w:jc w:val="both"/>
        <w:rPr>
          <w:rFonts w:ascii="Book Antiqua" w:hAnsi="Book Antiqua" w:cs="Arial"/>
        </w:rPr>
      </w:pPr>
      <w:r w:rsidRPr="00C311AE">
        <w:rPr>
          <w:rFonts w:ascii="Book Antiqua" w:hAnsi="Book Antiqua" w:cs="Arial"/>
        </w:rPr>
        <w:br w:type="page"/>
      </w:r>
    </w:p>
    <w:p w14:paraId="50DDF8F3" w14:textId="545AC277" w:rsidR="00C24B3B" w:rsidRPr="00C311AE" w:rsidRDefault="00C24B3B" w:rsidP="00020CC7">
      <w:pPr>
        <w:snapToGrid w:val="0"/>
        <w:spacing w:line="360" w:lineRule="auto"/>
        <w:jc w:val="both"/>
        <w:rPr>
          <w:rFonts w:ascii="Book Antiqua" w:eastAsiaTheme="minorEastAsia" w:hAnsi="Book Antiqua" w:cs="Arial"/>
          <w:b/>
          <w:lang w:eastAsia="zh-CN"/>
        </w:rPr>
      </w:pPr>
      <w:r w:rsidRPr="00C311AE">
        <w:rPr>
          <w:rFonts w:ascii="Book Antiqua" w:hAnsi="Book Antiqua" w:cs="Arial"/>
          <w:b/>
        </w:rPr>
        <w:lastRenderedPageBreak/>
        <w:t>Table 1</w:t>
      </w:r>
      <w:r w:rsidR="00FB38B1" w:rsidRPr="00C311AE">
        <w:rPr>
          <w:rFonts w:ascii="Book Antiqua" w:eastAsiaTheme="minorEastAsia" w:hAnsi="Book Antiqua" w:cs="Arial" w:hint="eastAsia"/>
          <w:b/>
          <w:lang w:eastAsia="zh-CN"/>
        </w:rPr>
        <w:t xml:space="preserve"> </w:t>
      </w:r>
      <w:r w:rsidRPr="00C311AE">
        <w:rPr>
          <w:rFonts w:ascii="Book Antiqua" w:hAnsi="Book Antiqua" w:cs="Arial"/>
          <w:b/>
        </w:rPr>
        <w:t xml:space="preserve">Patients with gastroparesis referred to a tertiary care center </w:t>
      </w:r>
      <w:r w:rsidR="00FB38B1" w:rsidRPr="00C311AE">
        <w:rPr>
          <w:rFonts w:ascii="Book Antiqua" w:hAnsi="Book Antiqua" w:cs="Arial"/>
          <w:b/>
        </w:rPr>
        <w:t>between May 2016 and July 2017</w:t>
      </w:r>
    </w:p>
    <w:tbl>
      <w:tblPr>
        <w:tblStyle w:val="TableGrid"/>
        <w:tblW w:w="9623" w:type="dxa"/>
        <w:tblBorders>
          <w:left w:val="none" w:sz="0" w:space="0" w:color="auto"/>
          <w:bottom w:val="none" w:sz="0" w:space="0" w:color="auto"/>
          <w:right w:val="none" w:sz="0" w:space="0" w:color="auto"/>
          <w:insideH w:val="single" w:sz="6" w:space="0" w:color="auto"/>
          <w:insideV w:val="none" w:sz="0" w:space="0" w:color="auto"/>
        </w:tblBorders>
        <w:tblLook w:val="04A0" w:firstRow="1" w:lastRow="0" w:firstColumn="1" w:lastColumn="0" w:noHBand="0" w:noVBand="1"/>
      </w:tblPr>
      <w:tblGrid>
        <w:gridCol w:w="1951"/>
        <w:gridCol w:w="1418"/>
        <w:gridCol w:w="2368"/>
        <w:gridCol w:w="2057"/>
        <w:gridCol w:w="1829"/>
      </w:tblGrid>
      <w:tr w:rsidR="00C24B3B" w:rsidRPr="00C311AE" w14:paraId="19D5FE90" w14:textId="77777777" w:rsidTr="00653A50">
        <w:trPr>
          <w:trHeight w:val="1108"/>
        </w:trPr>
        <w:tc>
          <w:tcPr>
            <w:tcW w:w="1951" w:type="dxa"/>
            <w:vAlign w:val="bottom"/>
          </w:tcPr>
          <w:p w14:paraId="30B1309E" w14:textId="77777777" w:rsidR="00C24B3B" w:rsidRPr="00C311AE" w:rsidRDefault="00C24B3B" w:rsidP="00020CC7">
            <w:pPr>
              <w:snapToGrid w:val="0"/>
              <w:spacing w:line="360" w:lineRule="auto"/>
              <w:jc w:val="both"/>
              <w:rPr>
                <w:rFonts w:ascii="Book Antiqua" w:hAnsi="Book Antiqua" w:cs="Arial"/>
                <w:b/>
              </w:rPr>
            </w:pPr>
            <w:r w:rsidRPr="00C311AE">
              <w:rPr>
                <w:rFonts w:ascii="Book Antiqua" w:hAnsi="Book Antiqua" w:cs="Arial"/>
                <w:b/>
              </w:rPr>
              <w:t>Classification</w:t>
            </w:r>
          </w:p>
        </w:tc>
        <w:tc>
          <w:tcPr>
            <w:tcW w:w="1418" w:type="dxa"/>
            <w:vAlign w:val="bottom"/>
          </w:tcPr>
          <w:p w14:paraId="18A2E974" w14:textId="77777777" w:rsidR="00C24B3B" w:rsidRPr="00C311AE" w:rsidRDefault="00C24B3B" w:rsidP="00020CC7">
            <w:pPr>
              <w:snapToGrid w:val="0"/>
              <w:spacing w:line="360" w:lineRule="auto"/>
              <w:jc w:val="both"/>
              <w:rPr>
                <w:rFonts w:ascii="Book Antiqua" w:hAnsi="Book Antiqua" w:cs="Arial"/>
                <w:b/>
              </w:rPr>
            </w:pPr>
            <w:r w:rsidRPr="00C311AE">
              <w:rPr>
                <w:rFonts w:ascii="Book Antiqua" w:hAnsi="Book Antiqua" w:cs="Arial"/>
                <w:b/>
              </w:rPr>
              <w:t>Total</w:t>
            </w:r>
          </w:p>
        </w:tc>
        <w:tc>
          <w:tcPr>
            <w:tcW w:w="2368" w:type="dxa"/>
            <w:vAlign w:val="bottom"/>
          </w:tcPr>
          <w:p w14:paraId="66F1127B" w14:textId="274F2C33" w:rsidR="00C24B3B" w:rsidRPr="00C311AE" w:rsidRDefault="00FB38B1" w:rsidP="00020CC7">
            <w:pPr>
              <w:snapToGrid w:val="0"/>
              <w:spacing w:line="360" w:lineRule="auto"/>
              <w:jc w:val="both"/>
              <w:rPr>
                <w:rFonts w:ascii="Book Antiqua" w:hAnsi="Book Antiqua" w:cs="Arial"/>
                <w:b/>
              </w:rPr>
            </w:pPr>
            <w:r w:rsidRPr="00C311AE">
              <w:rPr>
                <w:rFonts w:ascii="Book Antiqua" w:hAnsi="Book Antiqua" w:cs="Arial"/>
                <w:b/>
              </w:rPr>
              <w:t>Chronic</w:t>
            </w:r>
            <w:r w:rsidRPr="00C311AE">
              <w:rPr>
                <w:rFonts w:ascii="Book Antiqua" w:eastAsiaTheme="minorEastAsia" w:hAnsi="Book Antiqua" w:cs="Arial" w:hint="eastAsia"/>
                <w:b/>
                <w:lang w:eastAsia="zh-CN"/>
              </w:rPr>
              <w:t xml:space="preserve"> </w:t>
            </w:r>
            <w:r w:rsidRPr="00C311AE">
              <w:rPr>
                <w:rFonts w:ascii="Book Antiqua" w:hAnsi="Book Antiqua" w:cs="Arial"/>
                <w:b/>
              </w:rPr>
              <w:t>scheduled</w:t>
            </w:r>
            <w:r w:rsidRPr="00C311AE">
              <w:rPr>
                <w:rFonts w:ascii="Book Antiqua" w:eastAsiaTheme="minorEastAsia" w:hAnsi="Book Antiqua" w:cs="Arial" w:hint="eastAsia"/>
                <w:b/>
                <w:lang w:eastAsia="zh-CN"/>
              </w:rPr>
              <w:t xml:space="preserve"> </w:t>
            </w:r>
            <w:r w:rsidRPr="00C311AE">
              <w:rPr>
                <w:rFonts w:ascii="Book Antiqua" w:hAnsi="Book Antiqua" w:cs="Arial"/>
                <w:b/>
              </w:rPr>
              <w:t>o</w:t>
            </w:r>
            <w:r w:rsidR="00C24B3B" w:rsidRPr="00C311AE">
              <w:rPr>
                <w:rFonts w:ascii="Book Antiqua" w:hAnsi="Book Antiqua" w:cs="Arial"/>
                <w:b/>
              </w:rPr>
              <w:t>pioids</w:t>
            </w:r>
          </w:p>
        </w:tc>
        <w:tc>
          <w:tcPr>
            <w:tcW w:w="2057" w:type="dxa"/>
            <w:vAlign w:val="bottom"/>
          </w:tcPr>
          <w:p w14:paraId="495EE69A" w14:textId="20CF3ADB" w:rsidR="00C24B3B" w:rsidRPr="00C311AE" w:rsidRDefault="00C24B3B" w:rsidP="00020CC7">
            <w:pPr>
              <w:snapToGrid w:val="0"/>
              <w:spacing w:line="360" w:lineRule="auto"/>
              <w:jc w:val="both"/>
              <w:rPr>
                <w:rFonts w:ascii="Book Antiqua" w:hAnsi="Book Antiqua" w:cs="Arial"/>
                <w:b/>
              </w:rPr>
            </w:pPr>
            <w:r w:rsidRPr="00C311AE">
              <w:rPr>
                <w:rFonts w:ascii="Book Antiqua" w:hAnsi="Book Antiqua" w:cs="Arial"/>
                <w:b/>
              </w:rPr>
              <w:t xml:space="preserve">PRN </w:t>
            </w:r>
            <w:r w:rsidR="00FB38B1" w:rsidRPr="00C311AE">
              <w:rPr>
                <w:rFonts w:ascii="Book Antiqua" w:hAnsi="Book Antiqua" w:cs="Arial"/>
                <w:b/>
              </w:rPr>
              <w:t>o</w:t>
            </w:r>
            <w:r w:rsidRPr="00C311AE">
              <w:rPr>
                <w:rFonts w:ascii="Book Antiqua" w:hAnsi="Book Antiqua" w:cs="Arial"/>
                <w:b/>
              </w:rPr>
              <w:t>pioids</w:t>
            </w:r>
          </w:p>
        </w:tc>
        <w:tc>
          <w:tcPr>
            <w:tcW w:w="1829" w:type="dxa"/>
            <w:vAlign w:val="bottom"/>
          </w:tcPr>
          <w:p w14:paraId="1465A0C9" w14:textId="2786D6D0" w:rsidR="00C24B3B" w:rsidRPr="00C311AE" w:rsidRDefault="00C24B3B" w:rsidP="00020CC7">
            <w:pPr>
              <w:snapToGrid w:val="0"/>
              <w:spacing w:line="360" w:lineRule="auto"/>
              <w:jc w:val="both"/>
              <w:rPr>
                <w:rFonts w:ascii="Book Antiqua" w:eastAsiaTheme="minorEastAsia" w:hAnsi="Book Antiqua" w:cs="Arial"/>
                <w:b/>
                <w:lang w:eastAsia="zh-CN"/>
              </w:rPr>
            </w:pPr>
            <w:r w:rsidRPr="00C311AE">
              <w:rPr>
                <w:rFonts w:ascii="Book Antiqua" w:hAnsi="Book Antiqua" w:cs="Arial"/>
                <w:b/>
              </w:rPr>
              <w:t xml:space="preserve">No </w:t>
            </w:r>
            <w:r w:rsidR="00FB38B1" w:rsidRPr="00C311AE">
              <w:rPr>
                <w:rFonts w:ascii="Book Antiqua" w:hAnsi="Book Antiqua" w:cs="Arial"/>
                <w:b/>
              </w:rPr>
              <w:t>o</w:t>
            </w:r>
            <w:r w:rsidRPr="00C311AE">
              <w:rPr>
                <w:rFonts w:ascii="Book Antiqua" w:hAnsi="Book Antiqua" w:cs="Arial"/>
                <w:b/>
              </w:rPr>
              <w:t>pioids</w:t>
            </w:r>
          </w:p>
        </w:tc>
      </w:tr>
      <w:tr w:rsidR="00C24B3B" w:rsidRPr="00C311AE" w14:paraId="1EC6BF98" w14:textId="77777777" w:rsidTr="00653A50">
        <w:trPr>
          <w:trHeight w:val="477"/>
        </w:trPr>
        <w:tc>
          <w:tcPr>
            <w:tcW w:w="1951" w:type="dxa"/>
            <w:tcBorders>
              <w:bottom w:val="nil"/>
            </w:tcBorders>
            <w:vAlign w:val="center"/>
          </w:tcPr>
          <w:p w14:paraId="41938EFD"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Idiopathic</w:t>
            </w:r>
          </w:p>
        </w:tc>
        <w:tc>
          <w:tcPr>
            <w:tcW w:w="1418" w:type="dxa"/>
            <w:tcBorders>
              <w:bottom w:val="nil"/>
            </w:tcBorders>
            <w:vAlign w:val="center"/>
          </w:tcPr>
          <w:p w14:paraId="54E14DFC"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122</w:t>
            </w:r>
          </w:p>
        </w:tc>
        <w:tc>
          <w:tcPr>
            <w:tcW w:w="2368" w:type="dxa"/>
            <w:tcBorders>
              <w:bottom w:val="nil"/>
            </w:tcBorders>
            <w:vAlign w:val="center"/>
          </w:tcPr>
          <w:p w14:paraId="6279A0B9"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23</w:t>
            </w:r>
          </w:p>
        </w:tc>
        <w:tc>
          <w:tcPr>
            <w:tcW w:w="2057" w:type="dxa"/>
            <w:tcBorders>
              <w:bottom w:val="nil"/>
            </w:tcBorders>
            <w:vAlign w:val="center"/>
          </w:tcPr>
          <w:p w14:paraId="6F17D3CA"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6</w:t>
            </w:r>
          </w:p>
        </w:tc>
        <w:tc>
          <w:tcPr>
            <w:tcW w:w="1829" w:type="dxa"/>
            <w:tcBorders>
              <w:bottom w:val="nil"/>
            </w:tcBorders>
            <w:vAlign w:val="center"/>
          </w:tcPr>
          <w:p w14:paraId="0024CC85"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93</w:t>
            </w:r>
          </w:p>
        </w:tc>
      </w:tr>
      <w:tr w:rsidR="00C24B3B" w:rsidRPr="00C311AE" w14:paraId="087DEB80" w14:textId="77777777" w:rsidTr="00653A50">
        <w:trPr>
          <w:trHeight w:val="477"/>
        </w:trPr>
        <w:tc>
          <w:tcPr>
            <w:tcW w:w="1951" w:type="dxa"/>
            <w:tcBorders>
              <w:top w:val="nil"/>
              <w:bottom w:val="nil"/>
            </w:tcBorders>
            <w:vAlign w:val="center"/>
          </w:tcPr>
          <w:p w14:paraId="49B0E351"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 xml:space="preserve">Diabetic </w:t>
            </w:r>
          </w:p>
        </w:tc>
        <w:tc>
          <w:tcPr>
            <w:tcW w:w="1418" w:type="dxa"/>
            <w:tcBorders>
              <w:top w:val="nil"/>
              <w:bottom w:val="nil"/>
            </w:tcBorders>
            <w:vAlign w:val="center"/>
          </w:tcPr>
          <w:p w14:paraId="220D6C06"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62</w:t>
            </w:r>
          </w:p>
        </w:tc>
        <w:tc>
          <w:tcPr>
            <w:tcW w:w="2368" w:type="dxa"/>
            <w:tcBorders>
              <w:top w:val="nil"/>
              <w:bottom w:val="nil"/>
            </w:tcBorders>
            <w:vAlign w:val="center"/>
          </w:tcPr>
          <w:p w14:paraId="77F5F499"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15</w:t>
            </w:r>
          </w:p>
        </w:tc>
        <w:tc>
          <w:tcPr>
            <w:tcW w:w="2057" w:type="dxa"/>
            <w:tcBorders>
              <w:top w:val="nil"/>
              <w:bottom w:val="nil"/>
            </w:tcBorders>
            <w:vAlign w:val="center"/>
          </w:tcPr>
          <w:p w14:paraId="31B58A4B"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9</w:t>
            </w:r>
          </w:p>
        </w:tc>
        <w:tc>
          <w:tcPr>
            <w:tcW w:w="1829" w:type="dxa"/>
            <w:tcBorders>
              <w:top w:val="nil"/>
              <w:bottom w:val="nil"/>
            </w:tcBorders>
            <w:vAlign w:val="center"/>
          </w:tcPr>
          <w:p w14:paraId="1C872AB4"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38</w:t>
            </w:r>
          </w:p>
        </w:tc>
      </w:tr>
      <w:tr w:rsidR="00C24B3B" w:rsidRPr="00C311AE" w14:paraId="30E3F4FA" w14:textId="77777777" w:rsidTr="00653A50">
        <w:trPr>
          <w:trHeight w:val="477"/>
        </w:trPr>
        <w:tc>
          <w:tcPr>
            <w:tcW w:w="1951" w:type="dxa"/>
            <w:tcBorders>
              <w:top w:val="nil"/>
              <w:bottom w:val="nil"/>
            </w:tcBorders>
            <w:vAlign w:val="center"/>
          </w:tcPr>
          <w:p w14:paraId="61C03223" w14:textId="77777777" w:rsidR="00C24B3B" w:rsidRPr="00C311AE" w:rsidRDefault="00C24B3B" w:rsidP="00020CC7">
            <w:pPr>
              <w:snapToGrid w:val="0"/>
              <w:spacing w:line="360" w:lineRule="auto"/>
              <w:jc w:val="both"/>
              <w:rPr>
                <w:rFonts w:ascii="Book Antiqua" w:hAnsi="Book Antiqua" w:cs="Arial"/>
                <w:vertAlign w:val="superscript"/>
              </w:rPr>
            </w:pPr>
            <w:r w:rsidRPr="00C311AE">
              <w:rPr>
                <w:rFonts w:ascii="Book Antiqua" w:hAnsi="Book Antiqua" w:cs="Arial"/>
              </w:rPr>
              <w:t>Post-surgical</w:t>
            </w:r>
            <w:r w:rsidRPr="00C311AE">
              <w:rPr>
                <w:rFonts w:ascii="Book Antiqua" w:hAnsi="Book Antiqua" w:cs="Arial"/>
                <w:vertAlign w:val="superscript"/>
              </w:rPr>
              <w:t>1</w:t>
            </w:r>
          </w:p>
        </w:tc>
        <w:tc>
          <w:tcPr>
            <w:tcW w:w="1418" w:type="dxa"/>
            <w:tcBorders>
              <w:top w:val="nil"/>
              <w:bottom w:val="nil"/>
            </w:tcBorders>
            <w:vAlign w:val="center"/>
          </w:tcPr>
          <w:p w14:paraId="2550621A"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20</w:t>
            </w:r>
          </w:p>
        </w:tc>
        <w:tc>
          <w:tcPr>
            <w:tcW w:w="2368" w:type="dxa"/>
            <w:tcBorders>
              <w:top w:val="nil"/>
              <w:bottom w:val="nil"/>
            </w:tcBorders>
            <w:vAlign w:val="center"/>
          </w:tcPr>
          <w:p w14:paraId="17D03CD0"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2</w:t>
            </w:r>
          </w:p>
        </w:tc>
        <w:tc>
          <w:tcPr>
            <w:tcW w:w="2057" w:type="dxa"/>
            <w:tcBorders>
              <w:top w:val="nil"/>
              <w:bottom w:val="nil"/>
            </w:tcBorders>
            <w:vAlign w:val="center"/>
          </w:tcPr>
          <w:p w14:paraId="2AB9C856"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5</w:t>
            </w:r>
          </w:p>
        </w:tc>
        <w:tc>
          <w:tcPr>
            <w:tcW w:w="1829" w:type="dxa"/>
            <w:tcBorders>
              <w:top w:val="nil"/>
              <w:bottom w:val="nil"/>
            </w:tcBorders>
            <w:vAlign w:val="center"/>
          </w:tcPr>
          <w:p w14:paraId="34475DBD"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13</w:t>
            </w:r>
          </w:p>
        </w:tc>
      </w:tr>
      <w:tr w:rsidR="00C24B3B" w:rsidRPr="00C311AE" w14:paraId="577CC0AA" w14:textId="77777777" w:rsidTr="00653A50">
        <w:trPr>
          <w:trHeight w:val="460"/>
        </w:trPr>
        <w:tc>
          <w:tcPr>
            <w:tcW w:w="1951" w:type="dxa"/>
            <w:tcBorders>
              <w:top w:val="nil"/>
              <w:bottom w:val="nil"/>
            </w:tcBorders>
            <w:vAlign w:val="center"/>
          </w:tcPr>
          <w:p w14:paraId="3439E214" w14:textId="77777777" w:rsidR="00C24B3B" w:rsidRPr="00C311AE" w:rsidRDefault="00C24B3B" w:rsidP="00020CC7">
            <w:pPr>
              <w:snapToGrid w:val="0"/>
              <w:spacing w:line="360" w:lineRule="auto"/>
              <w:jc w:val="both"/>
              <w:rPr>
                <w:rFonts w:ascii="Book Antiqua" w:hAnsi="Book Antiqua" w:cs="Arial"/>
                <w:vertAlign w:val="superscript"/>
              </w:rPr>
            </w:pPr>
            <w:r w:rsidRPr="00C311AE">
              <w:rPr>
                <w:rFonts w:ascii="Book Antiqua" w:hAnsi="Book Antiqua" w:cs="Arial"/>
              </w:rPr>
              <w:t>Atypical</w:t>
            </w:r>
            <w:r w:rsidRPr="00C311AE">
              <w:rPr>
                <w:rFonts w:ascii="Book Antiqua" w:hAnsi="Book Antiqua" w:cs="Arial"/>
                <w:vertAlign w:val="superscript"/>
              </w:rPr>
              <w:t>2</w:t>
            </w:r>
          </w:p>
        </w:tc>
        <w:tc>
          <w:tcPr>
            <w:tcW w:w="1418" w:type="dxa"/>
            <w:tcBorders>
              <w:top w:val="nil"/>
              <w:bottom w:val="nil"/>
            </w:tcBorders>
            <w:vAlign w:val="center"/>
          </w:tcPr>
          <w:p w14:paraId="2BA2E924"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19</w:t>
            </w:r>
          </w:p>
        </w:tc>
        <w:tc>
          <w:tcPr>
            <w:tcW w:w="2368" w:type="dxa"/>
            <w:tcBorders>
              <w:top w:val="nil"/>
              <w:bottom w:val="nil"/>
            </w:tcBorders>
            <w:vAlign w:val="center"/>
          </w:tcPr>
          <w:p w14:paraId="23D6D5AF"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3</w:t>
            </w:r>
          </w:p>
        </w:tc>
        <w:tc>
          <w:tcPr>
            <w:tcW w:w="2057" w:type="dxa"/>
            <w:tcBorders>
              <w:top w:val="nil"/>
              <w:bottom w:val="nil"/>
            </w:tcBorders>
            <w:vAlign w:val="center"/>
          </w:tcPr>
          <w:p w14:paraId="03D0589E"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2</w:t>
            </w:r>
          </w:p>
        </w:tc>
        <w:tc>
          <w:tcPr>
            <w:tcW w:w="1829" w:type="dxa"/>
            <w:tcBorders>
              <w:top w:val="nil"/>
              <w:bottom w:val="nil"/>
            </w:tcBorders>
            <w:vAlign w:val="center"/>
          </w:tcPr>
          <w:p w14:paraId="6AE46828"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14</w:t>
            </w:r>
          </w:p>
        </w:tc>
      </w:tr>
      <w:tr w:rsidR="00C24B3B" w:rsidRPr="00C311AE" w14:paraId="4762E9E8" w14:textId="77777777" w:rsidTr="00653A50">
        <w:trPr>
          <w:trHeight w:val="493"/>
        </w:trPr>
        <w:tc>
          <w:tcPr>
            <w:tcW w:w="1951" w:type="dxa"/>
            <w:tcBorders>
              <w:top w:val="nil"/>
              <w:bottom w:val="single" w:sz="8" w:space="0" w:color="auto"/>
            </w:tcBorders>
            <w:vAlign w:val="center"/>
          </w:tcPr>
          <w:p w14:paraId="67F81698"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Total</w:t>
            </w:r>
          </w:p>
        </w:tc>
        <w:tc>
          <w:tcPr>
            <w:tcW w:w="1418" w:type="dxa"/>
            <w:tcBorders>
              <w:top w:val="nil"/>
              <w:bottom w:val="single" w:sz="8" w:space="0" w:color="auto"/>
            </w:tcBorders>
            <w:vAlign w:val="center"/>
          </w:tcPr>
          <w:p w14:paraId="3387A115"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223</w:t>
            </w:r>
          </w:p>
        </w:tc>
        <w:tc>
          <w:tcPr>
            <w:tcW w:w="2368" w:type="dxa"/>
            <w:tcBorders>
              <w:top w:val="nil"/>
              <w:bottom w:val="single" w:sz="8" w:space="0" w:color="auto"/>
            </w:tcBorders>
            <w:vAlign w:val="center"/>
          </w:tcPr>
          <w:p w14:paraId="753B70A0"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43</w:t>
            </w:r>
          </w:p>
        </w:tc>
        <w:tc>
          <w:tcPr>
            <w:tcW w:w="2057" w:type="dxa"/>
            <w:tcBorders>
              <w:top w:val="nil"/>
              <w:bottom w:val="single" w:sz="8" w:space="0" w:color="auto"/>
            </w:tcBorders>
            <w:vAlign w:val="center"/>
          </w:tcPr>
          <w:p w14:paraId="045CADB4"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22</w:t>
            </w:r>
          </w:p>
        </w:tc>
        <w:tc>
          <w:tcPr>
            <w:tcW w:w="1829" w:type="dxa"/>
            <w:tcBorders>
              <w:top w:val="nil"/>
              <w:bottom w:val="single" w:sz="8" w:space="0" w:color="auto"/>
            </w:tcBorders>
            <w:vAlign w:val="center"/>
          </w:tcPr>
          <w:p w14:paraId="7280845D"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158</w:t>
            </w:r>
          </w:p>
        </w:tc>
      </w:tr>
    </w:tbl>
    <w:p w14:paraId="23D9EB58" w14:textId="0D9671FF"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vertAlign w:val="superscript"/>
        </w:rPr>
        <w:t>1</w:t>
      </w:r>
      <w:r w:rsidRPr="00C311AE">
        <w:rPr>
          <w:rFonts w:ascii="Book Antiqua" w:hAnsi="Book Antiqua" w:cs="Arial"/>
        </w:rPr>
        <w:t>Post-surgical gastroparesis consisted of patients with history of duodenal-jejunostomy, esophagectomy, fundoplication, gastric sleeve, gastric banding, gastric bypass, hiatal hernia repair, a</w:t>
      </w:r>
      <w:r w:rsidR="0094128F" w:rsidRPr="00C311AE">
        <w:rPr>
          <w:rFonts w:ascii="Book Antiqua" w:hAnsi="Book Antiqua" w:cs="Arial"/>
        </w:rPr>
        <w:t>nd vagotomy with pyloroplasty.</w:t>
      </w:r>
      <w:r w:rsidR="0094128F" w:rsidRPr="00C311AE">
        <w:rPr>
          <w:rFonts w:ascii="Book Antiqua" w:eastAsiaTheme="minorEastAsia" w:hAnsi="Book Antiqua" w:cs="Arial" w:hint="eastAsia"/>
          <w:lang w:eastAsia="zh-CN"/>
        </w:rPr>
        <w:t xml:space="preserve"> </w:t>
      </w:r>
      <w:r w:rsidRPr="00C311AE">
        <w:rPr>
          <w:rFonts w:ascii="Book Antiqua" w:hAnsi="Book Antiqua" w:cs="Arial"/>
          <w:vertAlign w:val="superscript"/>
        </w:rPr>
        <w:t>2</w:t>
      </w:r>
      <w:r w:rsidRPr="00C311AE">
        <w:rPr>
          <w:rFonts w:ascii="Book Antiqua" w:hAnsi="Book Antiqua" w:cs="Arial"/>
        </w:rPr>
        <w:t>Atypical gastroparesis consisted of gastroparesis patients with history of Bulimia, Complex Regional Pain Syndrome, Ehlers Danlos Syndrome, Lupus, Parkinson’s</w:t>
      </w:r>
      <w:r w:rsidR="0094128F" w:rsidRPr="00C311AE">
        <w:rPr>
          <w:rFonts w:ascii="Book Antiqua" w:eastAsiaTheme="minorEastAsia" w:hAnsi="Book Antiqua" w:cs="Arial" w:hint="eastAsia"/>
          <w:lang w:eastAsia="zh-CN"/>
        </w:rPr>
        <w:t xml:space="preserve"> </w:t>
      </w:r>
      <w:r w:rsidRPr="00C311AE">
        <w:rPr>
          <w:rFonts w:ascii="Book Antiqua" w:hAnsi="Book Antiqua" w:cs="Arial"/>
        </w:rPr>
        <w:t xml:space="preserve">Disease, Reflux Sympathetic Dystrophy, Scleroderma and Sjogren’s Syndrome. </w:t>
      </w:r>
    </w:p>
    <w:p w14:paraId="2B200672" w14:textId="5F9FE9B3" w:rsidR="00C24B3B" w:rsidRPr="00C311AE" w:rsidRDefault="00C24B3B" w:rsidP="00020CC7">
      <w:pPr>
        <w:tabs>
          <w:tab w:val="left" w:pos="2616"/>
        </w:tabs>
        <w:snapToGrid w:val="0"/>
        <w:spacing w:line="360" w:lineRule="auto"/>
        <w:jc w:val="both"/>
        <w:rPr>
          <w:rFonts w:ascii="Book Antiqua" w:hAnsi="Book Antiqua" w:cs="Arial"/>
        </w:rPr>
      </w:pPr>
      <w:r w:rsidRPr="00C311AE">
        <w:rPr>
          <w:rFonts w:ascii="Book Antiqua" w:hAnsi="Book Antiqua" w:cs="Arial"/>
        </w:rPr>
        <w:tab/>
      </w:r>
      <w:r w:rsidRPr="00C311AE">
        <w:rPr>
          <w:rFonts w:ascii="Book Antiqua" w:hAnsi="Book Antiqua" w:cs="Arial"/>
        </w:rPr>
        <w:br w:type="page"/>
      </w:r>
    </w:p>
    <w:p w14:paraId="06A417DD" w14:textId="69C85E6D" w:rsidR="00C24B3B" w:rsidRPr="00C311AE" w:rsidRDefault="00C24B3B" w:rsidP="00020CC7">
      <w:pPr>
        <w:snapToGrid w:val="0"/>
        <w:spacing w:line="360" w:lineRule="auto"/>
        <w:jc w:val="both"/>
        <w:rPr>
          <w:rFonts w:ascii="Book Antiqua" w:eastAsiaTheme="minorEastAsia" w:hAnsi="Book Antiqua" w:cs="Arial"/>
          <w:b/>
          <w:lang w:eastAsia="zh-CN"/>
        </w:rPr>
      </w:pPr>
      <w:r w:rsidRPr="00C311AE">
        <w:rPr>
          <w:rFonts w:ascii="Book Antiqua" w:hAnsi="Book Antiqua" w:cs="Arial"/>
          <w:b/>
        </w:rPr>
        <w:lastRenderedPageBreak/>
        <w:t>Table 2</w:t>
      </w:r>
      <w:r w:rsidR="0094128F" w:rsidRPr="00C311AE">
        <w:rPr>
          <w:rFonts w:ascii="Book Antiqua" w:eastAsiaTheme="minorEastAsia" w:hAnsi="Book Antiqua" w:cs="Arial" w:hint="eastAsia"/>
          <w:b/>
          <w:lang w:eastAsia="zh-CN"/>
        </w:rPr>
        <w:t xml:space="preserve"> </w:t>
      </w:r>
      <w:r w:rsidRPr="00C311AE">
        <w:rPr>
          <w:rFonts w:ascii="Book Antiqua" w:hAnsi="Book Antiqua" w:cs="Arial"/>
          <w:b/>
        </w:rPr>
        <w:t>Gastroparesis patients: Demographics, employment, social history, laboratory tests and gastric emptying test in chronic opioid using gastroparesis patients, a</w:t>
      </w:r>
      <w:r w:rsidR="0094128F" w:rsidRPr="00C311AE">
        <w:rPr>
          <w:rFonts w:ascii="Book Antiqua" w:hAnsi="Book Antiqua" w:cs="Arial"/>
          <w:b/>
        </w:rPr>
        <w:t>nd patients with no opioid use</w:t>
      </w:r>
    </w:p>
    <w:tbl>
      <w:tblPr>
        <w:tblW w:w="10207" w:type="dxa"/>
        <w:tblInd w:w="-318" w:type="dxa"/>
        <w:tblBorders>
          <w:top w:val="single" w:sz="8" w:space="0" w:color="auto"/>
          <w:insideH w:val="single" w:sz="8" w:space="0" w:color="auto"/>
        </w:tblBorders>
        <w:tblLook w:val="04A0" w:firstRow="1" w:lastRow="0" w:firstColumn="1" w:lastColumn="0" w:noHBand="0" w:noVBand="1"/>
      </w:tblPr>
      <w:tblGrid>
        <w:gridCol w:w="4926"/>
        <w:gridCol w:w="1980"/>
        <w:gridCol w:w="1980"/>
        <w:gridCol w:w="1321"/>
      </w:tblGrid>
      <w:tr w:rsidR="00C24B3B" w:rsidRPr="00C311AE" w14:paraId="0A8DA87A" w14:textId="77777777" w:rsidTr="00653A50">
        <w:trPr>
          <w:trHeight w:val="637"/>
        </w:trPr>
        <w:tc>
          <w:tcPr>
            <w:tcW w:w="4926" w:type="dxa"/>
            <w:shd w:val="clear" w:color="auto" w:fill="auto"/>
            <w:noWrap/>
            <w:hideMark/>
          </w:tcPr>
          <w:p w14:paraId="60342198" w14:textId="77777777" w:rsidR="00C24B3B" w:rsidRPr="00C311AE" w:rsidRDefault="00C24B3B" w:rsidP="00020CC7">
            <w:pPr>
              <w:snapToGrid w:val="0"/>
              <w:spacing w:line="360" w:lineRule="auto"/>
              <w:jc w:val="both"/>
              <w:rPr>
                <w:rFonts w:ascii="Book Antiqua" w:hAnsi="Book Antiqua" w:cs="Arial"/>
                <w:b/>
              </w:rPr>
            </w:pPr>
            <w:r w:rsidRPr="00C311AE">
              <w:rPr>
                <w:rFonts w:ascii="Book Antiqua" w:hAnsi="Book Antiqua" w:cs="Arial"/>
                <w:b/>
              </w:rPr>
              <w:t> </w:t>
            </w:r>
          </w:p>
          <w:p w14:paraId="4AF9B9C8" w14:textId="77777777" w:rsidR="00C24B3B" w:rsidRPr="00C311AE" w:rsidRDefault="00C24B3B" w:rsidP="00020CC7">
            <w:pPr>
              <w:snapToGrid w:val="0"/>
              <w:spacing w:line="360" w:lineRule="auto"/>
              <w:jc w:val="both"/>
              <w:rPr>
                <w:rFonts w:ascii="Book Antiqua" w:hAnsi="Book Antiqua" w:cs="Arial"/>
                <w:b/>
              </w:rPr>
            </w:pPr>
            <w:r w:rsidRPr="00C311AE">
              <w:rPr>
                <w:rFonts w:ascii="Book Antiqua" w:hAnsi="Book Antiqua" w:cs="Arial"/>
                <w:b/>
              </w:rPr>
              <w:t> </w:t>
            </w:r>
          </w:p>
        </w:tc>
        <w:tc>
          <w:tcPr>
            <w:tcW w:w="1980" w:type="dxa"/>
            <w:shd w:val="clear" w:color="auto" w:fill="auto"/>
            <w:hideMark/>
          </w:tcPr>
          <w:p w14:paraId="69590745" w14:textId="161BF846" w:rsidR="00C24B3B" w:rsidRPr="00C311AE" w:rsidRDefault="00C24B3B" w:rsidP="00020CC7">
            <w:pPr>
              <w:snapToGrid w:val="0"/>
              <w:spacing w:line="360" w:lineRule="auto"/>
              <w:jc w:val="both"/>
              <w:rPr>
                <w:rFonts w:ascii="Book Antiqua" w:hAnsi="Book Antiqua" w:cs="Arial"/>
                <w:b/>
              </w:rPr>
            </w:pPr>
            <w:r w:rsidRPr="00C311AE">
              <w:rPr>
                <w:rFonts w:ascii="Book Antiqua" w:hAnsi="Book Antiqua" w:cs="Arial"/>
                <w:b/>
              </w:rPr>
              <w:t xml:space="preserve">Chronic </w:t>
            </w:r>
            <w:r w:rsidR="00653A50" w:rsidRPr="00C311AE">
              <w:rPr>
                <w:rFonts w:ascii="Book Antiqua" w:hAnsi="Book Antiqua" w:cs="Arial"/>
                <w:b/>
              </w:rPr>
              <w:t>s</w:t>
            </w:r>
            <w:r w:rsidRPr="00C311AE">
              <w:rPr>
                <w:rFonts w:ascii="Book Antiqua" w:hAnsi="Book Antiqua" w:cs="Arial"/>
                <w:b/>
              </w:rPr>
              <w:t xml:space="preserve">cheduled </w:t>
            </w:r>
            <w:r w:rsidR="00653A50" w:rsidRPr="00C311AE">
              <w:rPr>
                <w:rFonts w:ascii="Book Antiqua" w:hAnsi="Book Antiqua" w:cs="Arial"/>
                <w:b/>
              </w:rPr>
              <w:t>o</w:t>
            </w:r>
            <w:r w:rsidRPr="00C311AE">
              <w:rPr>
                <w:rFonts w:ascii="Book Antiqua" w:hAnsi="Book Antiqua" w:cs="Arial"/>
                <w:b/>
              </w:rPr>
              <w:t>pioids</w:t>
            </w:r>
          </w:p>
        </w:tc>
        <w:tc>
          <w:tcPr>
            <w:tcW w:w="1980" w:type="dxa"/>
            <w:shd w:val="clear" w:color="auto" w:fill="auto"/>
            <w:hideMark/>
          </w:tcPr>
          <w:p w14:paraId="1778C533" w14:textId="3D2DCC36" w:rsidR="00C24B3B" w:rsidRPr="00C311AE" w:rsidRDefault="00C24B3B" w:rsidP="00020CC7">
            <w:pPr>
              <w:snapToGrid w:val="0"/>
              <w:spacing w:line="360" w:lineRule="auto"/>
              <w:jc w:val="both"/>
              <w:rPr>
                <w:rFonts w:ascii="Book Antiqua" w:hAnsi="Book Antiqua" w:cs="Arial"/>
                <w:b/>
              </w:rPr>
            </w:pPr>
            <w:r w:rsidRPr="00C311AE">
              <w:rPr>
                <w:rFonts w:ascii="Book Antiqua" w:hAnsi="Book Antiqua" w:cs="Arial"/>
                <w:b/>
              </w:rPr>
              <w:t xml:space="preserve">No </w:t>
            </w:r>
            <w:r w:rsidR="00653A50" w:rsidRPr="00C311AE">
              <w:rPr>
                <w:rFonts w:ascii="Book Antiqua" w:hAnsi="Book Antiqua" w:cs="Arial"/>
                <w:b/>
              </w:rPr>
              <w:t>o</w:t>
            </w:r>
            <w:r w:rsidRPr="00C311AE">
              <w:rPr>
                <w:rFonts w:ascii="Book Antiqua" w:hAnsi="Book Antiqua" w:cs="Arial"/>
                <w:b/>
              </w:rPr>
              <w:t>pioids</w:t>
            </w:r>
          </w:p>
        </w:tc>
        <w:tc>
          <w:tcPr>
            <w:tcW w:w="1321" w:type="dxa"/>
            <w:shd w:val="clear" w:color="auto" w:fill="auto"/>
            <w:hideMark/>
          </w:tcPr>
          <w:p w14:paraId="0F31F4EC" w14:textId="77777777" w:rsidR="00C24B3B" w:rsidRPr="00C311AE" w:rsidRDefault="00C24B3B" w:rsidP="00020CC7">
            <w:pPr>
              <w:snapToGrid w:val="0"/>
              <w:spacing w:line="360" w:lineRule="auto"/>
              <w:jc w:val="both"/>
              <w:rPr>
                <w:rFonts w:ascii="Book Antiqua" w:hAnsi="Book Antiqua" w:cs="Arial"/>
                <w:b/>
              </w:rPr>
            </w:pPr>
            <w:r w:rsidRPr="00C311AE">
              <w:rPr>
                <w:rFonts w:ascii="Book Antiqua" w:hAnsi="Book Antiqua" w:cs="Arial"/>
                <w:b/>
                <w:i/>
                <w:caps/>
              </w:rPr>
              <w:t>p</w:t>
            </w:r>
            <w:r w:rsidRPr="00C311AE">
              <w:rPr>
                <w:rFonts w:ascii="Book Antiqua" w:hAnsi="Book Antiqua" w:cs="Arial"/>
                <w:b/>
              </w:rPr>
              <w:t xml:space="preserve"> value</w:t>
            </w:r>
          </w:p>
        </w:tc>
      </w:tr>
      <w:tr w:rsidR="00C24B3B" w:rsidRPr="00C311AE" w14:paraId="6EB25BF1" w14:textId="77777777" w:rsidTr="00653A50">
        <w:trPr>
          <w:trHeight w:val="330"/>
        </w:trPr>
        <w:tc>
          <w:tcPr>
            <w:tcW w:w="4926" w:type="dxa"/>
            <w:tcBorders>
              <w:bottom w:val="nil"/>
            </w:tcBorders>
            <w:shd w:val="clear" w:color="auto" w:fill="auto"/>
          </w:tcPr>
          <w:p w14:paraId="77850045" w14:textId="4825B26B" w:rsidR="00C24B3B" w:rsidRPr="00C311AE" w:rsidRDefault="00C931FD" w:rsidP="00020CC7">
            <w:pPr>
              <w:snapToGrid w:val="0"/>
              <w:spacing w:line="360" w:lineRule="auto"/>
              <w:jc w:val="both"/>
              <w:rPr>
                <w:rFonts w:ascii="Book Antiqua" w:hAnsi="Book Antiqua" w:cs="Arial"/>
              </w:rPr>
            </w:pPr>
            <w:r w:rsidRPr="00C311AE">
              <w:rPr>
                <w:rFonts w:ascii="Book Antiqua" w:hAnsi="Book Antiqua" w:cs="Arial"/>
              </w:rPr>
              <w:t>Age (</w:t>
            </w:r>
            <w:r w:rsidR="00331AA7" w:rsidRPr="00C311AE">
              <w:rPr>
                <w:rFonts w:ascii="Book Antiqua" w:hAnsi="Book Antiqua" w:cs="Arial"/>
              </w:rPr>
              <w:t>m</w:t>
            </w:r>
            <w:r w:rsidRPr="00C311AE">
              <w:rPr>
                <w:rFonts w:ascii="Book Antiqua" w:hAnsi="Book Antiqua" w:cs="Arial"/>
              </w:rPr>
              <w:t>edian</w:t>
            </w:r>
            <w:r w:rsidR="00EF642E" w:rsidRPr="00C311AE">
              <w:rPr>
                <w:rFonts w:ascii="Book Antiqua" w:hAnsi="Book Antiqua" w:cs="Arial"/>
              </w:rPr>
              <w:t xml:space="preserve"> </w:t>
            </w:r>
            <w:r w:rsidR="00EC12BC" w:rsidRPr="00C311AE">
              <w:rPr>
                <w:rFonts w:ascii="Book Antiqua" w:hAnsi="Book Antiqua" w:cs="Arial"/>
              </w:rPr>
              <w:t xml:space="preserve">in years </w:t>
            </w:r>
            <w:r w:rsidR="00EF642E" w:rsidRPr="00C311AE">
              <w:rPr>
                <w:rFonts w:ascii="Book Antiqua" w:hAnsi="Book Antiqua" w:cs="Arial"/>
              </w:rPr>
              <w:t>with</w:t>
            </w:r>
            <w:r w:rsidRPr="00C311AE">
              <w:rPr>
                <w:rFonts w:ascii="Book Antiqua" w:hAnsi="Book Antiqua" w:cs="Arial"/>
              </w:rPr>
              <w:t xml:space="preserve"> IQR</w:t>
            </w:r>
            <w:r w:rsidR="00C24B3B" w:rsidRPr="00C311AE">
              <w:rPr>
                <w:rFonts w:ascii="Book Antiqua" w:hAnsi="Book Antiqua" w:cs="Arial"/>
              </w:rPr>
              <w:t>)</w:t>
            </w:r>
          </w:p>
        </w:tc>
        <w:tc>
          <w:tcPr>
            <w:tcW w:w="1980" w:type="dxa"/>
            <w:tcBorders>
              <w:bottom w:val="nil"/>
            </w:tcBorders>
            <w:shd w:val="clear" w:color="auto" w:fill="auto"/>
          </w:tcPr>
          <w:p w14:paraId="446860DC" w14:textId="6DB29C5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4</w:t>
            </w:r>
            <w:r w:rsidR="00C931FD" w:rsidRPr="00C311AE">
              <w:rPr>
                <w:rFonts w:ascii="Book Antiqua" w:hAnsi="Book Antiqua" w:cs="Arial"/>
              </w:rPr>
              <w:t>9</w:t>
            </w:r>
            <w:r w:rsidR="00BA2684" w:rsidRPr="00C311AE">
              <w:rPr>
                <w:rFonts w:ascii="Book Antiqua" w:hAnsi="Book Antiqua" w:cs="Arial"/>
              </w:rPr>
              <w:t>.0</w:t>
            </w:r>
            <w:r w:rsidR="00C931FD" w:rsidRPr="00C311AE">
              <w:rPr>
                <w:rFonts w:ascii="Book Antiqua" w:hAnsi="Book Antiqua" w:cs="Arial"/>
              </w:rPr>
              <w:t xml:space="preserve"> (34</w:t>
            </w:r>
            <w:r w:rsidR="00BA2684" w:rsidRPr="00C311AE">
              <w:rPr>
                <w:rFonts w:ascii="Book Antiqua" w:hAnsi="Book Antiqua" w:cs="Arial"/>
              </w:rPr>
              <w:t>.0</w:t>
            </w:r>
            <w:r w:rsidR="00C931FD" w:rsidRPr="00C311AE">
              <w:rPr>
                <w:rFonts w:ascii="Book Antiqua" w:hAnsi="Book Antiqua" w:cs="Arial"/>
              </w:rPr>
              <w:t>-56</w:t>
            </w:r>
            <w:r w:rsidR="00BA2684" w:rsidRPr="00C311AE">
              <w:rPr>
                <w:rFonts w:ascii="Book Antiqua" w:hAnsi="Book Antiqua" w:cs="Arial"/>
              </w:rPr>
              <w:t>.0</w:t>
            </w:r>
            <w:r w:rsidR="00C931FD" w:rsidRPr="00C311AE">
              <w:rPr>
                <w:rFonts w:ascii="Book Antiqua" w:hAnsi="Book Antiqua" w:cs="Arial"/>
              </w:rPr>
              <w:t>)</w:t>
            </w:r>
          </w:p>
        </w:tc>
        <w:tc>
          <w:tcPr>
            <w:tcW w:w="1980" w:type="dxa"/>
            <w:tcBorders>
              <w:bottom w:val="nil"/>
            </w:tcBorders>
            <w:shd w:val="clear" w:color="auto" w:fill="auto"/>
          </w:tcPr>
          <w:p w14:paraId="7358B342" w14:textId="1E954830" w:rsidR="00C24B3B" w:rsidRPr="00C311AE" w:rsidRDefault="00653A50" w:rsidP="00020CC7">
            <w:pPr>
              <w:snapToGrid w:val="0"/>
              <w:spacing w:line="360" w:lineRule="auto"/>
              <w:jc w:val="both"/>
              <w:rPr>
                <w:rFonts w:ascii="Book Antiqua" w:hAnsi="Book Antiqua" w:cs="Arial"/>
              </w:rPr>
            </w:pPr>
            <w:r w:rsidRPr="00C311AE">
              <w:rPr>
                <w:rFonts w:ascii="Book Antiqua" w:eastAsiaTheme="minorEastAsia" w:hAnsi="Book Antiqua" w:cs="Arial" w:hint="eastAsia"/>
                <w:vertAlign w:val="superscript"/>
                <w:lang w:eastAsia="zh-CN"/>
              </w:rPr>
              <w:t>4</w:t>
            </w:r>
            <w:r w:rsidR="00C931FD" w:rsidRPr="00C311AE">
              <w:rPr>
                <w:rFonts w:ascii="Book Antiqua" w:hAnsi="Book Antiqua" w:cs="Arial"/>
              </w:rPr>
              <w:t>41</w:t>
            </w:r>
            <w:r w:rsidR="00BA2684" w:rsidRPr="00C311AE">
              <w:rPr>
                <w:rFonts w:ascii="Book Antiqua" w:hAnsi="Book Antiqua" w:cs="Arial"/>
              </w:rPr>
              <w:t>.0</w:t>
            </w:r>
            <w:r w:rsidR="00B145C2" w:rsidRPr="00C311AE">
              <w:rPr>
                <w:rFonts w:ascii="Book Antiqua" w:hAnsi="Book Antiqua" w:cs="Arial"/>
              </w:rPr>
              <w:t xml:space="preserve"> </w:t>
            </w:r>
            <w:r w:rsidR="00C931FD" w:rsidRPr="00C311AE">
              <w:rPr>
                <w:rFonts w:ascii="Book Antiqua" w:hAnsi="Book Antiqua" w:cs="Arial"/>
              </w:rPr>
              <w:t>(30</w:t>
            </w:r>
            <w:r w:rsidR="00BA2684" w:rsidRPr="00C311AE">
              <w:rPr>
                <w:rFonts w:ascii="Book Antiqua" w:hAnsi="Book Antiqua" w:cs="Arial"/>
              </w:rPr>
              <w:t>.0</w:t>
            </w:r>
            <w:r w:rsidR="00C931FD" w:rsidRPr="00C311AE">
              <w:rPr>
                <w:rFonts w:ascii="Book Antiqua" w:hAnsi="Book Antiqua" w:cs="Arial"/>
              </w:rPr>
              <w:t>-55</w:t>
            </w:r>
            <w:r w:rsidR="00BA2684" w:rsidRPr="00C311AE">
              <w:rPr>
                <w:rFonts w:ascii="Book Antiqua" w:hAnsi="Book Antiqua" w:cs="Arial"/>
              </w:rPr>
              <w:t>.0</w:t>
            </w:r>
            <w:r w:rsidR="00C931FD" w:rsidRPr="00C311AE">
              <w:rPr>
                <w:rFonts w:ascii="Book Antiqua" w:hAnsi="Book Antiqua" w:cs="Arial"/>
              </w:rPr>
              <w:t>)</w:t>
            </w:r>
          </w:p>
        </w:tc>
        <w:tc>
          <w:tcPr>
            <w:tcW w:w="1321" w:type="dxa"/>
            <w:tcBorders>
              <w:bottom w:val="nil"/>
            </w:tcBorders>
            <w:shd w:val="clear" w:color="auto" w:fill="auto"/>
          </w:tcPr>
          <w:p w14:paraId="2CE1D4ED"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0.091</w:t>
            </w:r>
          </w:p>
        </w:tc>
      </w:tr>
      <w:tr w:rsidR="00C24B3B" w:rsidRPr="00C311AE" w14:paraId="40309815" w14:textId="77777777" w:rsidTr="00653A50">
        <w:trPr>
          <w:trHeight w:val="330"/>
        </w:trPr>
        <w:tc>
          <w:tcPr>
            <w:tcW w:w="4926" w:type="dxa"/>
            <w:tcBorders>
              <w:top w:val="nil"/>
              <w:bottom w:val="nil"/>
            </w:tcBorders>
            <w:shd w:val="clear" w:color="auto" w:fill="auto"/>
          </w:tcPr>
          <w:p w14:paraId="4B7E1034" w14:textId="57A686D8"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Age symptoms started (</w:t>
            </w:r>
            <w:r w:rsidR="00EC12BC" w:rsidRPr="00C311AE">
              <w:rPr>
                <w:rFonts w:ascii="Book Antiqua" w:hAnsi="Book Antiqua" w:cs="Arial"/>
              </w:rPr>
              <w:t xml:space="preserve">median in </w:t>
            </w:r>
            <w:r w:rsidRPr="00C311AE">
              <w:rPr>
                <w:rFonts w:ascii="Book Antiqua" w:hAnsi="Book Antiqua" w:cs="Arial"/>
              </w:rPr>
              <w:t>years</w:t>
            </w:r>
            <w:r w:rsidR="00EC12BC" w:rsidRPr="00C311AE">
              <w:rPr>
                <w:rFonts w:ascii="Book Antiqua" w:hAnsi="Book Antiqua" w:cs="Arial"/>
              </w:rPr>
              <w:t xml:space="preserve"> with IQR</w:t>
            </w:r>
            <w:r w:rsidRPr="00C311AE">
              <w:rPr>
                <w:rFonts w:ascii="Book Antiqua" w:hAnsi="Book Antiqua" w:cs="Arial"/>
              </w:rPr>
              <w:t>)</w:t>
            </w:r>
          </w:p>
        </w:tc>
        <w:tc>
          <w:tcPr>
            <w:tcW w:w="1980" w:type="dxa"/>
            <w:tcBorders>
              <w:top w:val="nil"/>
              <w:bottom w:val="nil"/>
            </w:tcBorders>
            <w:shd w:val="clear" w:color="auto" w:fill="auto"/>
          </w:tcPr>
          <w:p w14:paraId="3E408B35" w14:textId="7584BE1D" w:rsidR="00C24B3B" w:rsidRPr="00C311AE" w:rsidRDefault="00B145C2" w:rsidP="00020CC7">
            <w:pPr>
              <w:snapToGrid w:val="0"/>
              <w:spacing w:line="360" w:lineRule="auto"/>
              <w:jc w:val="both"/>
              <w:rPr>
                <w:rFonts w:ascii="Book Antiqua" w:hAnsi="Book Antiqua" w:cs="Arial"/>
              </w:rPr>
            </w:pPr>
            <w:r w:rsidRPr="00C311AE">
              <w:rPr>
                <w:rFonts w:ascii="Book Antiqua" w:hAnsi="Book Antiqua" w:cs="Arial"/>
              </w:rPr>
              <w:t>40</w:t>
            </w:r>
            <w:r w:rsidR="00BA2684" w:rsidRPr="00C311AE">
              <w:rPr>
                <w:rFonts w:ascii="Book Antiqua" w:hAnsi="Book Antiqua" w:cs="Arial"/>
              </w:rPr>
              <w:t>.0</w:t>
            </w:r>
            <w:r w:rsidRPr="00C311AE">
              <w:rPr>
                <w:rFonts w:ascii="Book Antiqua" w:hAnsi="Book Antiqua" w:cs="Arial"/>
              </w:rPr>
              <w:t xml:space="preserve"> (24</w:t>
            </w:r>
            <w:r w:rsidR="00BA2684" w:rsidRPr="00C311AE">
              <w:rPr>
                <w:rFonts w:ascii="Book Antiqua" w:hAnsi="Book Antiqua" w:cs="Arial"/>
              </w:rPr>
              <w:t>.3</w:t>
            </w:r>
            <w:r w:rsidRPr="00C311AE">
              <w:rPr>
                <w:rFonts w:ascii="Book Antiqua" w:hAnsi="Book Antiqua" w:cs="Arial"/>
              </w:rPr>
              <w:t>-52</w:t>
            </w:r>
            <w:r w:rsidR="00BA2684" w:rsidRPr="00C311AE">
              <w:rPr>
                <w:rFonts w:ascii="Book Antiqua" w:hAnsi="Book Antiqua" w:cs="Arial"/>
              </w:rPr>
              <w:t>.0</w:t>
            </w:r>
            <w:r w:rsidRPr="00C311AE">
              <w:rPr>
                <w:rFonts w:ascii="Book Antiqua" w:hAnsi="Book Antiqua" w:cs="Arial"/>
              </w:rPr>
              <w:t>)</w:t>
            </w:r>
          </w:p>
        </w:tc>
        <w:tc>
          <w:tcPr>
            <w:tcW w:w="1980" w:type="dxa"/>
            <w:tcBorders>
              <w:top w:val="nil"/>
              <w:bottom w:val="nil"/>
            </w:tcBorders>
            <w:shd w:val="clear" w:color="auto" w:fill="auto"/>
          </w:tcPr>
          <w:p w14:paraId="4D2954CF" w14:textId="57AD7286" w:rsidR="00C24B3B" w:rsidRPr="00C311AE" w:rsidRDefault="00653A50" w:rsidP="00020CC7">
            <w:pPr>
              <w:snapToGrid w:val="0"/>
              <w:spacing w:line="360" w:lineRule="auto"/>
              <w:jc w:val="both"/>
              <w:rPr>
                <w:rFonts w:ascii="Book Antiqua" w:hAnsi="Book Antiqua" w:cs="Arial"/>
              </w:rPr>
            </w:pPr>
            <w:r w:rsidRPr="00C311AE">
              <w:rPr>
                <w:rFonts w:ascii="Book Antiqua" w:eastAsiaTheme="minorEastAsia" w:hAnsi="Book Antiqua" w:cs="Arial" w:hint="eastAsia"/>
                <w:vertAlign w:val="superscript"/>
                <w:lang w:eastAsia="zh-CN"/>
              </w:rPr>
              <w:t>4</w:t>
            </w:r>
            <w:r w:rsidR="00B145C2" w:rsidRPr="00C311AE">
              <w:rPr>
                <w:rFonts w:ascii="Book Antiqua" w:hAnsi="Book Antiqua" w:cs="Arial"/>
              </w:rPr>
              <w:t xml:space="preserve">33 </w:t>
            </w:r>
            <w:r w:rsidR="00BA2684" w:rsidRPr="00C311AE">
              <w:rPr>
                <w:rFonts w:ascii="Book Antiqua" w:hAnsi="Book Antiqua" w:cs="Arial"/>
              </w:rPr>
              <w:t>(22.8</w:t>
            </w:r>
            <w:r w:rsidR="00B145C2" w:rsidRPr="00C311AE">
              <w:rPr>
                <w:rFonts w:ascii="Book Antiqua" w:hAnsi="Book Antiqua" w:cs="Arial"/>
              </w:rPr>
              <w:t>-47</w:t>
            </w:r>
            <w:r w:rsidR="00BA2684" w:rsidRPr="00C311AE">
              <w:rPr>
                <w:rFonts w:ascii="Book Antiqua" w:hAnsi="Book Antiqua" w:cs="Arial"/>
              </w:rPr>
              <w:t>.3</w:t>
            </w:r>
            <w:r w:rsidR="00B145C2" w:rsidRPr="00C311AE">
              <w:rPr>
                <w:rFonts w:ascii="Book Antiqua" w:hAnsi="Book Antiqua" w:cs="Arial"/>
              </w:rPr>
              <w:t>)</w:t>
            </w:r>
          </w:p>
        </w:tc>
        <w:tc>
          <w:tcPr>
            <w:tcW w:w="1321" w:type="dxa"/>
            <w:tcBorders>
              <w:top w:val="nil"/>
              <w:bottom w:val="nil"/>
            </w:tcBorders>
            <w:shd w:val="clear" w:color="auto" w:fill="auto"/>
          </w:tcPr>
          <w:p w14:paraId="45A759E6"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0.281</w:t>
            </w:r>
          </w:p>
        </w:tc>
      </w:tr>
      <w:tr w:rsidR="00C24B3B" w:rsidRPr="00C311AE" w14:paraId="3DF52140" w14:textId="77777777" w:rsidTr="00653A50">
        <w:trPr>
          <w:trHeight w:val="330"/>
        </w:trPr>
        <w:tc>
          <w:tcPr>
            <w:tcW w:w="4926" w:type="dxa"/>
            <w:tcBorders>
              <w:top w:val="nil"/>
              <w:bottom w:val="nil"/>
            </w:tcBorders>
            <w:shd w:val="clear" w:color="auto" w:fill="auto"/>
          </w:tcPr>
          <w:p w14:paraId="23473B11" w14:textId="25EF0328" w:rsidR="00B36D21"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Average duration of symptoms (</w:t>
            </w:r>
            <w:r w:rsidR="00F643F2" w:rsidRPr="00C311AE">
              <w:rPr>
                <w:rFonts w:ascii="Book Antiqua" w:hAnsi="Book Antiqua" w:cs="Arial"/>
              </w:rPr>
              <w:t xml:space="preserve">median in </w:t>
            </w:r>
            <w:r w:rsidRPr="00C311AE">
              <w:rPr>
                <w:rFonts w:ascii="Book Antiqua" w:hAnsi="Book Antiqua" w:cs="Arial"/>
              </w:rPr>
              <w:t xml:space="preserve">years) </w:t>
            </w:r>
          </w:p>
        </w:tc>
        <w:tc>
          <w:tcPr>
            <w:tcW w:w="1980" w:type="dxa"/>
            <w:tcBorders>
              <w:top w:val="nil"/>
              <w:bottom w:val="nil"/>
            </w:tcBorders>
            <w:shd w:val="clear" w:color="auto" w:fill="auto"/>
          </w:tcPr>
          <w:p w14:paraId="7EB1C20E" w14:textId="379FF458" w:rsidR="00C24B3B" w:rsidRPr="00C311AE" w:rsidRDefault="00653A50" w:rsidP="00020CC7">
            <w:pPr>
              <w:snapToGrid w:val="0"/>
              <w:spacing w:line="360" w:lineRule="auto"/>
              <w:jc w:val="both"/>
              <w:rPr>
                <w:rFonts w:ascii="Book Antiqua" w:hAnsi="Book Antiqua" w:cs="Arial"/>
              </w:rPr>
            </w:pPr>
            <w:r w:rsidRPr="00C311AE">
              <w:rPr>
                <w:rFonts w:ascii="Book Antiqua" w:eastAsiaTheme="minorEastAsia" w:hAnsi="Book Antiqua" w:cs="Arial" w:hint="eastAsia"/>
                <w:vertAlign w:val="superscript"/>
                <w:lang w:eastAsia="zh-CN"/>
              </w:rPr>
              <w:t>4</w:t>
            </w:r>
            <w:r w:rsidR="00B145C2" w:rsidRPr="00C311AE">
              <w:rPr>
                <w:rFonts w:ascii="Book Antiqua" w:hAnsi="Book Antiqua" w:cs="Arial"/>
              </w:rPr>
              <w:t>3.0 (1.0-15.5)</w:t>
            </w:r>
          </w:p>
        </w:tc>
        <w:tc>
          <w:tcPr>
            <w:tcW w:w="1980" w:type="dxa"/>
            <w:tcBorders>
              <w:top w:val="nil"/>
              <w:bottom w:val="nil"/>
            </w:tcBorders>
            <w:shd w:val="clear" w:color="auto" w:fill="auto"/>
          </w:tcPr>
          <w:p w14:paraId="046E8CD9" w14:textId="61E14B7A" w:rsidR="00C24B3B" w:rsidRPr="00C311AE" w:rsidRDefault="00653A50" w:rsidP="00020CC7">
            <w:pPr>
              <w:snapToGrid w:val="0"/>
              <w:spacing w:line="360" w:lineRule="auto"/>
              <w:jc w:val="both"/>
              <w:rPr>
                <w:rFonts w:ascii="Book Antiqua" w:hAnsi="Book Antiqua" w:cs="Arial"/>
              </w:rPr>
            </w:pPr>
            <w:r w:rsidRPr="00C311AE">
              <w:rPr>
                <w:rFonts w:ascii="Book Antiqua" w:eastAsiaTheme="minorEastAsia" w:hAnsi="Book Antiqua" w:cs="Arial" w:hint="eastAsia"/>
                <w:vertAlign w:val="superscript"/>
                <w:lang w:eastAsia="zh-CN"/>
              </w:rPr>
              <w:t>4</w:t>
            </w:r>
            <w:r w:rsidR="00B145C2" w:rsidRPr="00C311AE">
              <w:rPr>
                <w:rFonts w:ascii="Book Antiqua" w:hAnsi="Book Antiqua" w:cs="Arial"/>
              </w:rPr>
              <w:t>4.0 (1.0-10.0)</w:t>
            </w:r>
          </w:p>
        </w:tc>
        <w:tc>
          <w:tcPr>
            <w:tcW w:w="1321" w:type="dxa"/>
            <w:tcBorders>
              <w:top w:val="nil"/>
              <w:bottom w:val="nil"/>
            </w:tcBorders>
            <w:shd w:val="clear" w:color="auto" w:fill="auto"/>
          </w:tcPr>
          <w:p w14:paraId="201E1AC1"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0.937</w:t>
            </w:r>
          </w:p>
        </w:tc>
      </w:tr>
      <w:tr w:rsidR="00636F7D" w:rsidRPr="00C311AE" w14:paraId="09D4F76C" w14:textId="77777777" w:rsidTr="00653A50">
        <w:trPr>
          <w:trHeight w:val="330"/>
        </w:trPr>
        <w:tc>
          <w:tcPr>
            <w:tcW w:w="4926" w:type="dxa"/>
            <w:tcBorders>
              <w:top w:val="nil"/>
              <w:bottom w:val="nil"/>
            </w:tcBorders>
            <w:shd w:val="clear" w:color="auto" w:fill="auto"/>
          </w:tcPr>
          <w:p w14:paraId="6A64404B" w14:textId="4A249877" w:rsidR="00636F7D" w:rsidRPr="00C311AE" w:rsidRDefault="00636F7D" w:rsidP="00020CC7">
            <w:pPr>
              <w:snapToGrid w:val="0"/>
              <w:spacing w:line="360" w:lineRule="auto"/>
              <w:jc w:val="both"/>
              <w:rPr>
                <w:rFonts w:ascii="Book Antiqua" w:hAnsi="Book Antiqua" w:cs="Arial"/>
              </w:rPr>
            </w:pPr>
            <w:r w:rsidRPr="00C311AE">
              <w:rPr>
                <w:rFonts w:ascii="Book Antiqua" w:hAnsi="Book Antiqua" w:cs="Arial"/>
              </w:rPr>
              <w:t>Previously established diagnosis of Gp (%)</w:t>
            </w:r>
          </w:p>
        </w:tc>
        <w:tc>
          <w:tcPr>
            <w:tcW w:w="1980" w:type="dxa"/>
            <w:tcBorders>
              <w:top w:val="nil"/>
              <w:bottom w:val="nil"/>
            </w:tcBorders>
            <w:shd w:val="clear" w:color="auto" w:fill="auto"/>
          </w:tcPr>
          <w:p w14:paraId="230371D6" w14:textId="7CB82B69" w:rsidR="00636F7D" w:rsidRPr="00C311AE" w:rsidRDefault="00636F7D" w:rsidP="00020CC7">
            <w:pPr>
              <w:snapToGrid w:val="0"/>
              <w:spacing w:line="360" w:lineRule="auto"/>
              <w:jc w:val="both"/>
              <w:rPr>
                <w:rFonts w:ascii="Book Antiqua" w:hAnsi="Book Antiqua" w:cs="Arial"/>
              </w:rPr>
            </w:pPr>
            <w:r w:rsidRPr="00C311AE">
              <w:rPr>
                <w:rFonts w:ascii="Book Antiqua" w:hAnsi="Book Antiqua" w:cs="Arial"/>
              </w:rPr>
              <w:t>90.7% (39/43)</w:t>
            </w:r>
          </w:p>
        </w:tc>
        <w:tc>
          <w:tcPr>
            <w:tcW w:w="1980" w:type="dxa"/>
            <w:tcBorders>
              <w:top w:val="nil"/>
              <w:bottom w:val="nil"/>
            </w:tcBorders>
            <w:shd w:val="clear" w:color="auto" w:fill="auto"/>
          </w:tcPr>
          <w:p w14:paraId="5632EA7E" w14:textId="2FDCCD53" w:rsidR="00636F7D" w:rsidRPr="00C311AE" w:rsidRDefault="00636F7D" w:rsidP="00020CC7">
            <w:pPr>
              <w:snapToGrid w:val="0"/>
              <w:spacing w:line="360" w:lineRule="auto"/>
              <w:jc w:val="both"/>
              <w:rPr>
                <w:rFonts w:ascii="Book Antiqua" w:hAnsi="Book Antiqua" w:cs="Arial"/>
              </w:rPr>
            </w:pPr>
            <w:r w:rsidRPr="00C311AE">
              <w:rPr>
                <w:rFonts w:ascii="Book Antiqua" w:hAnsi="Book Antiqua" w:cs="Arial"/>
              </w:rPr>
              <w:t>86.7% (137/158)</w:t>
            </w:r>
          </w:p>
        </w:tc>
        <w:tc>
          <w:tcPr>
            <w:tcW w:w="1321" w:type="dxa"/>
            <w:tcBorders>
              <w:top w:val="nil"/>
              <w:bottom w:val="nil"/>
            </w:tcBorders>
            <w:shd w:val="clear" w:color="auto" w:fill="auto"/>
          </w:tcPr>
          <w:p w14:paraId="7A5AD61C" w14:textId="44BDB56E" w:rsidR="00636F7D" w:rsidRPr="00C311AE" w:rsidRDefault="00636F7D" w:rsidP="00020CC7">
            <w:pPr>
              <w:snapToGrid w:val="0"/>
              <w:spacing w:line="360" w:lineRule="auto"/>
              <w:jc w:val="both"/>
              <w:rPr>
                <w:rFonts w:ascii="Book Antiqua" w:hAnsi="Book Antiqua" w:cs="Arial"/>
              </w:rPr>
            </w:pPr>
            <w:r w:rsidRPr="00C311AE">
              <w:rPr>
                <w:rFonts w:ascii="Book Antiqua" w:hAnsi="Book Antiqua" w:cs="Arial"/>
              </w:rPr>
              <w:t>0.482</w:t>
            </w:r>
          </w:p>
        </w:tc>
      </w:tr>
      <w:tr w:rsidR="00C24B3B" w:rsidRPr="00C311AE" w14:paraId="1B52A1A8" w14:textId="77777777" w:rsidTr="00653A50">
        <w:trPr>
          <w:trHeight w:val="330"/>
        </w:trPr>
        <w:tc>
          <w:tcPr>
            <w:tcW w:w="4926" w:type="dxa"/>
            <w:tcBorders>
              <w:top w:val="nil"/>
              <w:bottom w:val="nil"/>
            </w:tcBorders>
            <w:shd w:val="clear" w:color="auto" w:fill="auto"/>
          </w:tcPr>
          <w:p w14:paraId="00096481"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Female (%)</w:t>
            </w:r>
          </w:p>
        </w:tc>
        <w:tc>
          <w:tcPr>
            <w:tcW w:w="1980" w:type="dxa"/>
            <w:tcBorders>
              <w:top w:val="nil"/>
              <w:bottom w:val="nil"/>
            </w:tcBorders>
            <w:shd w:val="clear" w:color="auto" w:fill="auto"/>
          </w:tcPr>
          <w:p w14:paraId="03614A96"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74.4% (32/43)</w:t>
            </w:r>
          </w:p>
        </w:tc>
        <w:tc>
          <w:tcPr>
            <w:tcW w:w="1980" w:type="dxa"/>
            <w:tcBorders>
              <w:top w:val="nil"/>
              <w:bottom w:val="nil"/>
            </w:tcBorders>
            <w:shd w:val="clear" w:color="auto" w:fill="auto"/>
          </w:tcPr>
          <w:p w14:paraId="467705EE"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81.0% (128/158)</w:t>
            </w:r>
          </w:p>
        </w:tc>
        <w:tc>
          <w:tcPr>
            <w:tcW w:w="1321" w:type="dxa"/>
            <w:tcBorders>
              <w:top w:val="nil"/>
              <w:bottom w:val="nil"/>
            </w:tcBorders>
            <w:shd w:val="clear" w:color="auto" w:fill="auto"/>
          </w:tcPr>
          <w:p w14:paraId="5F2B4DC0"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0.341</w:t>
            </w:r>
          </w:p>
        </w:tc>
      </w:tr>
      <w:tr w:rsidR="00C24B3B" w:rsidRPr="00C311AE" w14:paraId="16D9BC7B" w14:textId="77777777" w:rsidTr="00653A50">
        <w:trPr>
          <w:trHeight w:val="330"/>
        </w:trPr>
        <w:tc>
          <w:tcPr>
            <w:tcW w:w="4926" w:type="dxa"/>
            <w:tcBorders>
              <w:top w:val="nil"/>
              <w:bottom w:val="nil"/>
            </w:tcBorders>
            <w:shd w:val="clear" w:color="auto" w:fill="auto"/>
          </w:tcPr>
          <w:p w14:paraId="4C107AE1" w14:textId="776ACC2D" w:rsidR="00C24B3B" w:rsidRPr="00C311AE" w:rsidRDefault="00EF642E" w:rsidP="00020CC7">
            <w:pPr>
              <w:snapToGrid w:val="0"/>
              <w:spacing w:line="360" w:lineRule="auto"/>
              <w:jc w:val="both"/>
              <w:rPr>
                <w:rFonts w:ascii="Book Antiqua" w:hAnsi="Book Antiqua" w:cs="Arial"/>
              </w:rPr>
            </w:pPr>
            <w:r w:rsidRPr="00C311AE">
              <w:rPr>
                <w:rFonts w:ascii="Book Antiqua" w:hAnsi="Book Antiqua" w:cs="Arial"/>
              </w:rPr>
              <w:t xml:space="preserve">Body </w:t>
            </w:r>
            <w:r w:rsidR="00331AA7" w:rsidRPr="00C311AE">
              <w:rPr>
                <w:rFonts w:ascii="Book Antiqua" w:hAnsi="Book Antiqua" w:cs="Arial"/>
              </w:rPr>
              <w:t>m</w:t>
            </w:r>
            <w:r w:rsidRPr="00C311AE">
              <w:rPr>
                <w:rFonts w:ascii="Book Antiqua" w:hAnsi="Book Antiqua" w:cs="Arial"/>
              </w:rPr>
              <w:t>ass Index (median</w:t>
            </w:r>
            <w:r w:rsidR="00C24B3B" w:rsidRPr="00C311AE">
              <w:rPr>
                <w:rFonts w:ascii="Book Antiqua" w:hAnsi="Book Antiqua" w:cs="Arial"/>
              </w:rPr>
              <w:t xml:space="preserve"> in </w:t>
            </w:r>
            <w:r w:rsidR="00653A50" w:rsidRPr="00C311AE">
              <w:rPr>
                <w:rFonts w:ascii="Book Antiqua" w:hAnsi="Book Antiqua" w:cs="Arial"/>
              </w:rPr>
              <w:t>k</w:t>
            </w:r>
            <w:r w:rsidR="00C24B3B" w:rsidRPr="00C311AE">
              <w:rPr>
                <w:rFonts w:ascii="Book Antiqua" w:hAnsi="Book Antiqua" w:cs="Arial"/>
              </w:rPr>
              <w:t>g/m</w:t>
            </w:r>
            <w:r w:rsidR="00C24B3B" w:rsidRPr="00C311AE">
              <w:rPr>
                <w:rFonts w:ascii="Book Antiqua" w:hAnsi="Book Antiqua" w:cs="Arial"/>
                <w:vertAlign w:val="superscript"/>
              </w:rPr>
              <w:t>2</w:t>
            </w:r>
            <w:r w:rsidRPr="00C311AE">
              <w:rPr>
                <w:rFonts w:ascii="Book Antiqua" w:hAnsi="Book Antiqua" w:cs="Arial"/>
              </w:rPr>
              <w:t xml:space="preserve"> with IQR</w:t>
            </w:r>
            <w:r w:rsidR="00C24B3B" w:rsidRPr="00C311AE">
              <w:rPr>
                <w:rFonts w:ascii="Book Antiqua" w:hAnsi="Book Antiqua" w:cs="Arial"/>
              </w:rPr>
              <w:t xml:space="preserve">) </w:t>
            </w:r>
          </w:p>
        </w:tc>
        <w:tc>
          <w:tcPr>
            <w:tcW w:w="1980" w:type="dxa"/>
            <w:tcBorders>
              <w:top w:val="nil"/>
              <w:bottom w:val="nil"/>
            </w:tcBorders>
            <w:shd w:val="clear" w:color="auto" w:fill="auto"/>
          </w:tcPr>
          <w:p w14:paraId="2F46E334" w14:textId="432701F9" w:rsidR="00C24B3B" w:rsidRPr="00C311AE" w:rsidRDefault="00653A50" w:rsidP="00020CC7">
            <w:pPr>
              <w:snapToGrid w:val="0"/>
              <w:spacing w:line="360" w:lineRule="auto"/>
              <w:jc w:val="both"/>
              <w:rPr>
                <w:rFonts w:ascii="Book Antiqua" w:hAnsi="Book Antiqua" w:cs="Arial"/>
              </w:rPr>
            </w:pPr>
            <w:r w:rsidRPr="00C311AE">
              <w:rPr>
                <w:rFonts w:ascii="Book Antiqua" w:eastAsiaTheme="minorEastAsia" w:hAnsi="Book Antiqua" w:cs="Arial" w:hint="eastAsia"/>
                <w:vertAlign w:val="superscript"/>
                <w:lang w:eastAsia="zh-CN"/>
              </w:rPr>
              <w:t>4</w:t>
            </w:r>
            <w:r w:rsidR="001236A8" w:rsidRPr="00C311AE">
              <w:rPr>
                <w:rFonts w:ascii="Book Antiqua" w:hAnsi="Book Antiqua" w:cs="Arial"/>
              </w:rPr>
              <w:t>24..3</w:t>
            </w:r>
            <w:r w:rsidR="00C24B3B" w:rsidRPr="00C311AE">
              <w:rPr>
                <w:rFonts w:ascii="Book Antiqua" w:hAnsi="Book Antiqua" w:cs="Arial"/>
              </w:rPr>
              <w:t xml:space="preserve"> </w:t>
            </w:r>
            <w:r w:rsidR="001236A8" w:rsidRPr="00C311AE">
              <w:rPr>
                <w:rFonts w:ascii="Book Antiqua" w:hAnsi="Book Antiqua" w:cs="Arial"/>
              </w:rPr>
              <w:t>(22.1-29.3)</w:t>
            </w:r>
          </w:p>
        </w:tc>
        <w:tc>
          <w:tcPr>
            <w:tcW w:w="1980" w:type="dxa"/>
            <w:tcBorders>
              <w:top w:val="nil"/>
              <w:bottom w:val="nil"/>
            </w:tcBorders>
            <w:shd w:val="clear" w:color="auto" w:fill="auto"/>
          </w:tcPr>
          <w:p w14:paraId="4D871715" w14:textId="3551649B" w:rsidR="00C24B3B" w:rsidRPr="00C311AE" w:rsidRDefault="00653A50" w:rsidP="00020CC7">
            <w:pPr>
              <w:snapToGrid w:val="0"/>
              <w:spacing w:line="360" w:lineRule="auto"/>
              <w:jc w:val="both"/>
              <w:rPr>
                <w:rFonts w:ascii="Book Antiqua" w:hAnsi="Book Antiqua" w:cs="Arial"/>
              </w:rPr>
            </w:pPr>
            <w:r w:rsidRPr="00C311AE">
              <w:rPr>
                <w:rFonts w:ascii="Book Antiqua" w:eastAsiaTheme="minorEastAsia" w:hAnsi="Book Antiqua" w:cs="Arial" w:hint="eastAsia"/>
                <w:vertAlign w:val="superscript"/>
                <w:lang w:eastAsia="zh-CN"/>
              </w:rPr>
              <w:t>4</w:t>
            </w:r>
            <w:r w:rsidR="001236A8" w:rsidRPr="00C311AE">
              <w:rPr>
                <w:rFonts w:ascii="Book Antiqua" w:hAnsi="Book Antiqua" w:cs="Arial"/>
              </w:rPr>
              <w:t>24.7 (20.3-30.8)</w:t>
            </w:r>
          </w:p>
        </w:tc>
        <w:tc>
          <w:tcPr>
            <w:tcW w:w="1321" w:type="dxa"/>
            <w:tcBorders>
              <w:top w:val="nil"/>
              <w:bottom w:val="nil"/>
            </w:tcBorders>
            <w:shd w:val="clear" w:color="auto" w:fill="auto"/>
          </w:tcPr>
          <w:p w14:paraId="528D6E9F"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0.983</w:t>
            </w:r>
          </w:p>
        </w:tc>
      </w:tr>
      <w:tr w:rsidR="00C24B3B" w:rsidRPr="00C311AE" w14:paraId="0A484784" w14:textId="77777777" w:rsidTr="00653A50">
        <w:trPr>
          <w:trHeight w:val="330"/>
        </w:trPr>
        <w:tc>
          <w:tcPr>
            <w:tcW w:w="4926" w:type="dxa"/>
            <w:tcBorders>
              <w:top w:val="nil"/>
              <w:bottom w:val="nil"/>
            </w:tcBorders>
            <w:shd w:val="clear" w:color="auto" w:fill="auto"/>
          </w:tcPr>
          <w:p w14:paraId="3A2071AF"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Race (% White)</w:t>
            </w:r>
          </w:p>
        </w:tc>
        <w:tc>
          <w:tcPr>
            <w:tcW w:w="1980" w:type="dxa"/>
            <w:tcBorders>
              <w:top w:val="nil"/>
              <w:bottom w:val="nil"/>
            </w:tcBorders>
            <w:shd w:val="clear" w:color="auto" w:fill="auto"/>
          </w:tcPr>
          <w:p w14:paraId="09B6067E"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83.3% (35/42)</w:t>
            </w:r>
          </w:p>
        </w:tc>
        <w:tc>
          <w:tcPr>
            <w:tcW w:w="1980" w:type="dxa"/>
            <w:tcBorders>
              <w:top w:val="nil"/>
              <w:bottom w:val="nil"/>
            </w:tcBorders>
            <w:shd w:val="clear" w:color="auto" w:fill="auto"/>
          </w:tcPr>
          <w:p w14:paraId="2723C0EE"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83.9% (125/149)</w:t>
            </w:r>
          </w:p>
        </w:tc>
        <w:tc>
          <w:tcPr>
            <w:tcW w:w="1321" w:type="dxa"/>
            <w:tcBorders>
              <w:top w:val="nil"/>
              <w:bottom w:val="nil"/>
            </w:tcBorders>
            <w:shd w:val="clear" w:color="auto" w:fill="auto"/>
          </w:tcPr>
          <w:p w14:paraId="21AD23EF"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0.917</w:t>
            </w:r>
          </w:p>
        </w:tc>
      </w:tr>
      <w:tr w:rsidR="005577AD" w:rsidRPr="00C311AE" w14:paraId="4B53F4E9" w14:textId="77777777" w:rsidTr="00653A50">
        <w:trPr>
          <w:trHeight w:val="330"/>
        </w:trPr>
        <w:tc>
          <w:tcPr>
            <w:tcW w:w="4926" w:type="dxa"/>
            <w:tcBorders>
              <w:top w:val="nil"/>
              <w:bottom w:val="nil"/>
            </w:tcBorders>
            <w:shd w:val="clear" w:color="auto" w:fill="auto"/>
          </w:tcPr>
          <w:p w14:paraId="5FB48FCC" w14:textId="3DFBCBEC" w:rsidR="005577AD" w:rsidRPr="00C311AE" w:rsidRDefault="00003E53" w:rsidP="00020CC7">
            <w:pPr>
              <w:snapToGrid w:val="0"/>
              <w:spacing w:line="360" w:lineRule="auto"/>
              <w:jc w:val="both"/>
              <w:rPr>
                <w:rFonts w:ascii="Book Antiqua" w:hAnsi="Book Antiqua" w:cs="Arial"/>
              </w:rPr>
            </w:pPr>
            <w:r w:rsidRPr="00C311AE">
              <w:rPr>
                <w:rFonts w:ascii="Book Antiqua" w:hAnsi="Book Antiqua" w:cs="Arial"/>
              </w:rPr>
              <w:t>Residing outside</w:t>
            </w:r>
            <w:r w:rsidR="005577AD" w:rsidRPr="00C311AE">
              <w:rPr>
                <w:rFonts w:ascii="Book Antiqua" w:hAnsi="Book Antiqua" w:cs="Arial"/>
              </w:rPr>
              <w:t xml:space="preserve"> catchment area</w:t>
            </w:r>
            <w:r w:rsidR="004142B0" w:rsidRPr="00C311AE">
              <w:rPr>
                <w:rFonts w:ascii="Book Antiqua" w:hAnsi="Book Antiqua" w:cs="Arial"/>
              </w:rPr>
              <w:t xml:space="preserve"> (50 miles)</w:t>
            </w:r>
            <w:r w:rsidR="005577AD" w:rsidRPr="00C311AE">
              <w:rPr>
                <w:rFonts w:ascii="Book Antiqua" w:hAnsi="Book Antiqua" w:cs="Arial"/>
              </w:rPr>
              <w:t xml:space="preserve"> </w:t>
            </w:r>
          </w:p>
        </w:tc>
        <w:tc>
          <w:tcPr>
            <w:tcW w:w="1980" w:type="dxa"/>
            <w:tcBorders>
              <w:top w:val="nil"/>
              <w:bottom w:val="nil"/>
            </w:tcBorders>
            <w:shd w:val="clear" w:color="auto" w:fill="auto"/>
          </w:tcPr>
          <w:p w14:paraId="2CFD7906" w14:textId="74C25DFE" w:rsidR="005577AD" w:rsidRPr="00C311AE" w:rsidRDefault="00003E53" w:rsidP="00020CC7">
            <w:pPr>
              <w:snapToGrid w:val="0"/>
              <w:spacing w:line="360" w:lineRule="auto"/>
              <w:jc w:val="both"/>
              <w:rPr>
                <w:rFonts w:ascii="Book Antiqua" w:hAnsi="Book Antiqua" w:cs="Arial"/>
              </w:rPr>
            </w:pPr>
            <w:r w:rsidRPr="00C311AE">
              <w:rPr>
                <w:rFonts w:ascii="Book Antiqua" w:hAnsi="Book Antiqua" w:cs="Arial"/>
              </w:rPr>
              <w:t>53.5% (23/43)</w:t>
            </w:r>
          </w:p>
        </w:tc>
        <w:tc>
          <w:tcPr>
            <w:tcW w:w="1980" w:type="dxa"/>
            <w:tcBorders>
              <w:top w:val="nil"/>
              <w:bottom w:val="nil"/>
            </w:tcBorders>
            <w:shd w:val="clear" w:color="auto" w:fill="auto"/>
          </w:tcPr>
          <w:p w14:paraId="1318B4F2" w14:textId="499F0BAB" w:rsidR="005577AD" w:rsidRPr="00C311AE" w:rsidRDefault="00003E53" w:rsidP="00020CC7">
            <w:pPr>
              <w:snapToGrid w:val="0"/>
              <w:spacing w:line="360" w:lineRule="auto"/>
              <w:jc w:val="both"/>
              <w:rPr>
                <w:rFonts w:ascii="Book Antiqua" w:hAnsi="Book Antiqua" w:cs="Arial"/>
              </w:rPr>
            </w:pPr>
            <w:r w:rsidRPr="00C311AE">
              <w:rPr>
                <w:rFonts w:ascii="Book Antiqua" w:hAnsi="Book Antiqua" w:cs="Arial"/>
              </w:rPr>
              <w:t>51.6% (80/155)</w:t>
            </w:r>
          </w:p>
        </w:tc>
        <w:tc>
          <w:tcPr>
            <w:tcW w:w="1321" w:type="dxa"/>
            <w:tcBorders>
              <w:top w:val="nil"/>
              <w:bottom w:val="nil"/>
            </w:tcBorders>
            <w:shd w:val="clear" w:color="auto" w:fill="auto"/>
          </w:tcPr>
          <w:p w14:paraId="35E2729E" w14:textId="7F5569EE" w:rsidR="005577AD" w:rsidRPr="00C311AE" w:rsidRDefault="00003E53" w:rsidP="00020CC7">
            <w:pPr>
              <w:snapToGrid w:val="0"/>
              <w:spacing w:line="360" w:lineRule="auto"/>
              <w:jc w:val="both"/>
              <w:rPr>
                <w:rFonts w:ascii="Book Antiqua" w:hAnsi="Book Antiqua" w:cs="Arial"/>
              </w:rPr>
            </w:pPr>
            <w:r w:rsidRPr="00C311AE">
              <w:rPr>
                <w:rFonts w:ascii="Book Antiqua" w:hAnsi="Book Antiqua" w:cs="Arial"/>
              </w:rPr>
              <w:t>0.828</w:t>
            </w:r>
          </w:p>
        </w:tc>
      </w:tr>
      <w:tr w:rsidR="00C24B3B" w:rsidRPr="00C311AE" w14:paraId="623A010A" w14:textId="77777777" w:rsidTr="00653A50">
        <w:trPr>
          <w:trHeight w:val="330"/>
        </w:trPr>
        <w:tc>
          <w:tcPr>
            <w:tcW w:w="4926" w:type="dxa"/>
            <w:tcBorders>
              <w:top w:val="nil"/>
              <w:bottom w:val="nil"/>
            </w:tcBorders>
            <w:shd w:val="clear" w:color="auto" w:fill="auto"/>
          </w:tcPr>
          <w:p w14:paraId="11EC5591"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Diabetes (%)</w:t>
            </w:r>
          </w:p>
        </w:tc>
        <w:tc>
          <w:tcPr>
            <w:tcW w:w="1980" w:type="dxa"/>
            <w:tcBorders>
              <w:top w:val="nil"/>
              <w:bottom w:val="nil"/>
            </w:tcBorders>
            <w:shd w:val="clear" w:color="auto" w:fill="auto"/>
          </w:tcPr>
          <w:p w14:paraId="329B6183"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35.7% (15/42)</w:t>
            </w:r>
          </w:p>
        </w:tc>
        <w:tc>
          <w:tcPr>
            <w:tcW w:w="1980" w:type="dxa"/>
            <w:tcBorders>
              <w:top w:val="nil"/>
              <w:bottom w:val="nil"/>
            </w:tcBorders>
            <w:shd w:val="clear" w:color="auto" w:fill="auto"/>
          </w:tcPr>
          <w:p w14:paraId="0DF89D29"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25.9% (41/158)</w:t>
            </w:r>
          </w:p>
        </w:tc>
        <w:tc>
          <w:tcPr>
            <w:tcW w:w="1321" w:type="dxa"/>
            <w:tcBorders>
              <w:top w:val="nil"/>
              <w:bottom w:val="nil"/>
            </w:tcBorders>
            <w:shd w:val="clear" w:color="auto" w:fill="auto"/>
          </w:tcPr>
          <w:p w14:paraId="15B1D4B6"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0.055</w:t>
            </w:r>
          </w:p>
        </w:tc>
      </w:tr>
      <w:tr w:rsidR="00C24B3B" w:rsidRPr="00C311AE" w14:paraId="5AF7606B" w14:textId="77777777" w:rsidTr="00653A50">
        <w:trPr>
          <w:trHeight w:val="330"/>
        </w:trPr>
        <w:tc>
          <w:tcPr>
            <w:tcW w:w="4926" w:type="dxa"/>
            <w:tcBorders>
              <w:top w:val="nil"/>
              <w:bottom w:val="nil"/>
            </w:tcBorders>
            <w:shd w:val="clear" w:color="auto" w:fill="auto"/>
          </w:tcPr>
          <w:p w14:paraId="6646BBF1"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Surgery on stomach/esophagus (%)</w:t>
            </w:r>
          </w:p>
        </w:tc>
        <w:tc>
          <w:tcPr>
            <w:tcW w:w="1980" w:type="dxa"/>
            <w:tcBorders>
              <w:top w:val="nil"/>
              <w:bottom w:val="nil"/>
            </w:tcBorders>
            <w:shd w:val="clear" w:color="auto" w:fill="auto"/>
          </w:tcPr>
          <w:p w14:paraId="42A4E830"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28.6% (12/42)</w:t>
            </w:r>
          </w:p>
        </w:tc>
        <w:tc>
          <w:tcPr>
            <w:tcW w:w="1980" w:type="dxa"/>
            <w:tcBorders>
              <w:top w:val="nil"/>
              <w:bottom w:val="nil"/>
            </w:tcBorders>
            <w:shd w:val="clear" w:color="auto" w:fill="auto"/>
          </w:tcPr>
          <w:p w14:paraId="4B6C58E5"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19.1% (28/147)</w:t>
            </w:r>
          </w:p>
        </w:tc>
        <w:tc>
          <w:tcPr>
            <w:tcW w:w="1321" w:type="dxa"/>
            <w:tcBorders>
              <w:top w:val="nil"/>
              <w:bottom w:val="nil"/>
            </w:tcBorders>
            <w:shd w:val="clear" w:color="auto" w:fill="auto"/>
          </w:tcPr>
          <w:p w14:paraId="169B32C5"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0.136</w:t>
            </w:r>
          </w:p>
        </w:tc>
      </w:tr>
      <w:tr w:rsidR="00C24B3B" w:rsidRPr="00C311AE" w14:paraId="77A07455" w14:textId="77777777" w:rsidTr="00653A50">
        <w:trPr>
          <w:trHeight w:val="330"/>
        </w:trPr>
        <w:tc>
          <w:tcPr>
            <w:tcW w:w="4926" w:type="dxa"/>
            <w:tcBorders>
              <w:top w:val="nil"/>
              <w:bottom w:val="nil"/>
            </w:tcBorders>
            <w:shd w:val="clear" w:color="auto" w:fill="auto"/>
          </w:tcPr>
          <w:p w14:paraId="5F3AD331"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Employed (%)</w:t>
            </w:r>
          </w:p>
        </w:tc>
        <w:tc>
          <w:tcPr>
            <w:tcW w:w="1980" w:type="dxa"/>
            <w:tcBorders>
              <w:top w:val="nil"/>
              <w:bottom w:val="nil"/>
            </w:tcBorders>
            <w:shd w:val="clear" w:color="auto" w:fill="auto"/>
          </w:tcPr>
          <w:p w14:paraId="6EC4F556"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33.3% (14/42)</w:t>
            </w:r>
          </w:p>
        </w:tc>
        <w:tc>
          <w:tcPr>
            <w:tcW w:w="1980" w:type="dxa"/>
            <w:tcBorders>
              <w:top w:val="nil"/>
              <w:bottom w:val="nil"/>
            </w:tcBorders>
            <w:shd w:val="clear" w:color="auto" w:fill="auto"/>
          </w:tcPr>
          <w:p w14:paraId="1504CBB9"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54.2% (84/155)</w:t>
            </w:r>
          </w:p>
        </w:tc>
        <w:tc>
          <w:tcPr>
            <w:tcW w:w="1321" w:type="dxa"/>
            <w:tcBorders>
              <w:top w:val="nil"/>
              <w:bottom w:val="nil"/>
            </w:tcBorders>
            <w:shd w:val="clear" w:color="auto" w:fill="auto"/>
          </w:tcPr>
          <w:p w14:paraId="740825D6"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0.016</w:t>
            </w:r>
          </w:p>
        </w:tc>
      </w:tr>
      <w:tr w:rsidR="00C24B3B" w:rsidRPr="00C311AE" w14:paraId="4D02407D" w14:textId="77777777" w:rsidTr="00653A50">
        <w:trPr>
          <w:trHeight w:val="330"/>
        </w:trPr>
        <w:tc>
          <w:tcPr>
            <w:tcW w:w="4926" w:type="dxa"/>
            <w:tcBorders>
              <w:top w:val="nil"/>
              <w:bottom w:val="nil"/>
            </w:tcBorders>
            <w:shd w:val="clear" w:color="auto" w:fill="auto"/>
          </w:tcPr>
          <w:p w14:paraId="619BC8CD" w14:textId="6223B5FA" w:rsidR="00C24B3B" w:rsidRPr="00C311AE" w:rsidRDefault="00EF642E" w:rsidP="00020CC7">
            <w:pPr>
              <w:snapToGrid w:val="0"/>
              <w:spacing w:line="360" w:lineRule="auto"/>
              <w:jc w:val="both"/>
              <w:rPr>
                <w:rFonts w:ascii="Book Antiqua" w:hAnsi="Book Antiqua" w:cs="Arial"/>
              </w:rPr>
            </w:pPr>
            <w:r w:rsidRPr="00C311AE">
              <w:rPr>
                <w:rFonts w:ascii="Book Antiqua" w:hAnsi="Book Antiqua" w:cs="Arial"/>
              </w:rPr>
              <w:t>Working hours per week (median with IQR</w:t>
            </w:r>
            <w:r w:rsidR="00C24B3B" w:rsidRPr="00C311AE">
              <w:rPr>
                <w:rFonts w:ascii="Book Antiqua" w:hAnsi="Book Antiqua" w:cs="Arial"/>
              </w:rPr>
              <w:t>)</w:t>
            </w:r>
          </w:p>
        </w:tc>
        <w:tc>
          <w:tcPr>
            <w:tcW w:w="1980" w:type="dxa"/>
            <w:tcBorders>
              <w:top w:val="nil"/>
              <w:bottom w:val="nil"/>
            </w:tcBorders>
            <w:shd w:val="clear" w:color="auto" w:fill="auto"/>
          </w:tcPr>
          <w:p w14:paraId="30735E47" w14:textId="5B5CC466" w:rsidR="00C24B3B" w:rsidRPr="00C311AE" w:rsidRDefault="001236A8" w:rsidP="00020CC7">
            <w:pPr>
              <w:snapToGrid w:val="0"/>
              <w:spacing w:line="360" w:lineRule="auto"/>
              <w:jc w:val="both"/>
              <w:rPr>
                <w:rFonts w:ascii="Book Antiqua" w:hAnsi="Book Antiqua" w:cs="Arial"/>
              </w:rPr>
            </w:pPr>
            <w:r w:rsidRPr="00C311AE">
              <w:rPr>
                <w:rFonts w:ascii="Book Antiqua" w:hAnsi="Book Antiqua" w:cs="Arial"/>
              </w:rPr>
              <w:t>23</w:t>
            </w:r>
            <w:r w:rsidR="00BA2684" w:rsidRPr="00C311AE">
              <w:rPr>
                <w:rFonts w:ascii="Book Antiqua" w:hAnsi="Book Antiqua" w:cs="Arial"/>
              </w:rPr>
              <w:t>.0</w:t>
            </w:r>
            <w:r w:rsidRPr="00C311AE">
              <w:rPr>
                <w:rFonts w:ascii="Book Antiqua" w:hAnsi="Book Antiqua" w:cs="Arial"/>
              </w:rPr>
              <w:t xml:space="preserve"> (10.5-35.0)</w:t>
            </w:r>
          </w:p>
        </w:tc>
        <w:tc>
          <w:tcPr>
            <w:tcW w:w="1980" w:type="dxa"/>
            <w:tcBorders>
              <w:top w:val="nil"/>
              <w:bottom w:val="nil"/>
            </w:tcBorders>
            <w:shd w:val="clear" w:color="auto" w:fill="auto"/>
          </w:tcPr>
          <w:p w14:paraId="54F4A2A8" w14:textId="1291BEC9" w:rsidR="00C24B3B" w:rsidRPr="00C311AE" w:rsidRDefault="00653A50" w:rsidP="00020CC7">
            <w:pPr>
              <w:snapToGrid w:val="0"/>
              <w:spacing w:line="360" w:lineRule="auto"/>
              <w:jc w:val="both"/>
              <w:rPr>
                <w:rFonts w:ascii="Book Antiqua" w:hAnsi="Book Antiqua" w:cs="Arial"/>
              </w:rPr>
            </w:pPr>
            <w:r w:rsidRPr="00C311AE">
              <w:rPr>
                <w:rFonts w:ascii="Book Antiqua" w:eastAsiaTheme="minorEastAsia" w:hAnsi="Book Antiqua" w:cs="Arial" w:hint="eastAsia"/>
                <w:vertAlign w:val="superscript"/>
                <w:lang w:eastAsia="zh-CN"/>
              </w:rPr>
              <w:t>4</w:t>
            </w:r>
            <w:r w:rsidR="00BA2684" w:rsidRPr="00C311AE">
              <w:rPr>
                <w:rFonts w:ascii="Book Antiqua" w:hAnsi="Book Antiqua" w:cs="Arial"/>
              </w:rPr>
              <w:t>40 (24.5-40.0)</w:t>
            </w:r>
          </w:p>
        </w:tc>
        <w:tc>
          <w:tcPr>
            <w:tcW w:w="1321" w:type="dxa"/>
            <w:tcBorders>
              <w:top w:val="nil"/>
              <w:bottom w:val="nil"/>
            </w:tcBorders>
            <w:shd w:val="clear" w:color="auto" w:fill="auto"/>
          </w:tcPr>
          <w:p w14:paraId="4810F134"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0.005</w:t>
            </w:r>
          </w:p>
        </w:tc>
      </w:tr>
      <w:tr w:rsidR="00C24B3B" w:rsidRPr="00C311AE" w14:paraId="43B4CFB2" w14:textId="77777777" w:rsidTr="00653A50">
        <w:trPr>
          <w:trHeight w:val="330"/>
        </w:trPr>
        <w:tc>
          <w:tcPr>
            <w:tcW w:w="4926" w:type="dxa"/>
            <w:tcBorders>
              <w:top w:val="nil"/>
              <w:bottom w:val="nil"/>
            </w:tcBorders>
            <w:shd w:val="clear" w:color="auto" w:fill="auto"/>
          </w:tcPr>
          <w:p w14:paraId="6A70EB20" w14:textId="0970C494"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Smoking history, current or past (%)</w:t>
            </w:r>
          </w:p>
        </w:tc>
        <w:tc>
          <w:tcPr>
            <w:tcW w:w="1980" w:type="dxa"/>
            <w:tcBorders>
              <w:top w:val="nil"/>
              <w:bottom w:val="nil"/>
            </w:tcBorders>
            <w:shd w:val="clear" w:color="auto" w:fill="auto"/>
          </w:tcPr>
          <w:p w14:paraId="08F9242A"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 xml:space="preserve">46.3% </w:t>
            </w:r>
            <w:r w:rsidRPr="00C311AE">
              <w:rPr>
                <w:rFonts w:ascii="Book Antiqua" w:hAnsi="Book Antiqua" w:cs="Arial"/>
              </w:rPr>
              <w:t>(19/41)</w:t>
            </w:r>
          </w:p>
        </w:tc>
        <w:tc>
          <w:tcPr>
            <w:tcW w:w="1980" w:type="dxa"/>
            <w:tcBorders>
              <w:top w:val="nil"/>
              <w:bottom w:val="nil"/>
            </w:tcBorders>
            <w:shd w:val="clear" w:color="auto" w:fill="auto"/>
          </w:tcPr>
          <w:p w14:paraId="58ED0432"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 xml:space="preserve">31.2% </w:t>
            </w:r>
            <w:r w:rsidRPr="00C311AE">
              <w:rPr>
                <w:rFonts w:ascii="Book Antiqua" w:hAnsi="Book Antiqua" w:cs="Arial"/>
              </w:rPr>
              <w:t>(48/154)</w:t>
            </w:r>
          </w:p>
        </w:tc>
        <w:tc>
          <w:tcPr>
            <w:tcW w:w="1321" w:type="dxa"/>
            <w:tcBorders>
              <w:top w:val="nil"/>
              <w:bottom w:val="nil"/>
            </w:tcBorders>
            <w:shd w:val="clear" w:color="auto" w:fill="auto"/>
          </w:tcPr>
          <w:p w14:paraId="17C6E110"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0.069</w:t>
            </w:r>
          </w:p>
        </w:tc>
      </w:tr>
      <w:tr w:rsidR="00C24B3B" w:rsidRPr="00C311AE" w14:paraId="6649AFBE" w14:textId="77777777" w:rsidTr="00653A50">
        <w:trPr>
          <w:trHeight w:val="330"/>
        </w:trPr>
        <w:tc>
          <w:tcPr>
            <w:tcW w:w="4926" w:type="dxa"/>
            <w:tcBorders>
              <w:top w:val="nil"/>
              <w:bottom w:val="nil"/>
            </w:tcBorders>
            <w:shd w:val="clear" w:color="auto" w:fill="auto"/>
          </w:tcPr>
          <w:p w14:paraId="0A90B1F0"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Current smoker (%)</w:t>
            </w:r>
          </w:p>
        </w:tc>
        <w:tc>
          <w:tcPr>
            <w:tcW w:w="1980" w:type="dxa"/>
            <w:tcBorders>
              <w:top w:val="nil"/>
              <w:bottom w:val="nil"/>
            </w:tcBorders>
            <w:shd w:val="clear" w:color="auto" w:fill="auto"/>
          </w:tcPr>
          <w:p w14:paraId="6C070898"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 xml:space="preserve">31.7% </w:t>
            </w:r>
            <w:r w:rsidRPr="00C311AE">
              <w:rPr>
                <w:rFonts w:ascii="Book Antiqua" w:hAnsi="Book Antiqua" w:cs="Arial"/>
              </w:rPr>
              <w:t>(13/41)</w:t>
            </w:r>
          </w:p>
        </w:tc>
        <w:tc>
          <w:tcPr>
            <w:tcW w:w="1980" w:type="dxa"/>
            <w:tcBorders>
              <w:top w:val="nil"/>
              <w:bottom w:val="nil"/>
            </w:tcBorders>
            <w:shd w:val="clear" w:color="auto" w:fill="auto"/>
          </w:tcPr>
          <w:p w14:paraId="64E1A933"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 xml:space="preserve">13.0% </w:t>
            </w:r>
            <w:r w:rsidRPr="00C311AE">
              <w:rPr>
                <w:rFonts w:ascii="Book Antiqua" w:hAnsi="Book Antiqua" w:cs="Arial"/>
              </w:rPr>
              <w:t>(20/154)</w:t>
            </w:r>
          </w:p>
        </w:tc>
        <w:tc>
          <w:tcPr>
            <w:tcW w:w="1321" w:type="dxa"/>
            <w:tcBorders>
              <w:top w:val="nil"/>
              <w:bottom w:val="nil"/>
            </w:tcBorders>
            <w:shd w:val="clear" w:color="auto" w:fill="auto"/>
          </w:tcPr>
          <w:p w14:paraId="4024FEA4"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0.004</w:t>
            </w:r>
          </w:p>
        </w:tc>
      </w:tr>
      <w:tr w:rsidR="00C24B3B" w:rsidRPr="00C311AE" w14:paraId="7180D4A5" w14:textId="77777777" w:rsidTr="00653A50">
        <w:trPr>
          <w:trHeight w:val="330"/>
        </w:trPr>
        <w:tc>
          <w:tcPr>
            <w:tcW w:w="4926" w:type="dxa"/>
            <w:tcBorders>
              <w:top w:val="nil"/>
              <w:bottom w:val="nil"/>
            </w:tcBorders>
            <w:shd w:val="clear" w:color="auto" w:fill="auto"/>
          </w:tcPr>
          <w:p w14:paraId="33E807E2"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Alcohol history, current or past (%)</w:t>
            </w:r>
          </w:p>
        </w:tc>
        <w:tc>
          <w:tcPr>
            <w:tcW w:w="1980" w:type="dxa"/>
            <w:tcBorders>
              <w:top w:val="nil"/>
              <w:bottom w:val="nil"/>
            </w:tcBorders>
            <w:shd w:val="clear" w:color="auto" w:fill="auto"/>
          </w:tcPr>
          <w:p w14:paraId="6783263E"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rPr>
              <w:t>23.8% (10/42)</w:t>
            </w:r>
          </w:p>
        </w:tc>
        <w:tc>
          <w:tcPr>
            <w:tcW w:w="1980" w:type="dxa"/>
            <w:tcBorders>
              <w:top w:val="nil"/>
              <w:bottom w:val="nil"/>
            </w:tcBorders>
            <w:shd w:val="clear" w:color="auto" w:fill="auto"/>
          </w:tcPr>
          <w:p w14:paraId="2D5EFAC2"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rPr>
              <w:t>37.4% (58/155)</w:t>
            </w:r>
          </w:p>
        </w:tc>
        <w:tc>
          <w:tcPr>
            <w:tcW w:w="1321" w:type="dxa"/>
            <w:tcBorders>
              <w:top w:val="nil"/>
              <w:bottom w:val="nil"/>
            </w:tcBorders>
            <w:shd w:val="clear" w:color="auto" w:fill="auto"/>
          </w:tcPr>
          <w:p w14:paraId="2FC69CF9"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rPr>
              <w:t>0.100</w:t>
            </w:r>
          </w:p>
        </w:tc>
      </w:tr>
      <w:tr w:rsidR="00C24B3B" w:rsidRPr="00C311AE" w14:paraId="3829B32F" w14:textId="77777777" w:rsidTr="00653A50">
        <w:trPr>
          <w:trHeight w:val="330"/>
        </w:trPr>
        <w:tc>
          <w:tcPr>
            <w:tcW w:w="4926" w:type="dxa"/>
            <w:tcBorders>
              <w:top w:val="nil"/>
              <w:bottom w:val="nil"/>
            </w:tcBorders>
            <w:shd w:val="clear" w:color="auto" w:fill="auto"/>
          </w:tcPr>
          <w:p w14:paraId="766AB620"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Current alcohol use (%)</w:t>
            </w:r>
          </w:p>
        </w:tc>
        <w:tc>
          <w:tcPr>
            <w:tcW w:w="1980" w:type="dxa"/>
            <w:tcBorders>
              <w:top w:val="nil"/>
              <w:bottom w:val="nil"/>
            </w:tcBorders>
            <w:shd w:val="clear" w:color="auto" w:fill="auto"/>
          </w:tcPr>
          <w:p w14:paraId="76D9D0F3"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7.3% (3/41)</w:t>
            </w:r>
          </w:p>
        </w:tc>
        <w:tc>
          <w:tcPr>
            <w:tcW w:w="1980" w:type="dxa"/>
            <w:tcBorders>
              <w:top w:val="nil"/>
              <w:bottom w:val="nil"/>
            </w:tcBorders>
            <w:shd w:val="clear" w:color="auto" w:fill="auto"/>
          </w:tcPr>
          <w:p w14:paraId="1D31E6B3"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20.0% (30/150)</w:t>
            </w:r>
          </w:p>
        </w:tc>
        <w:tc>
          <w:tcPr>
            <w:tcW w:w="1321" w:type="dxa"/>
            <w:tcBorders>
              <w:top w:val="nil"/>
              <w:bottom w:val="nil"/>
            </w:tcBorders>
            <w:shd w:val="clear" w:color="auto" w:fill="auto"/>
          </w:tcPr>
          <w:p w14:paraId="1E6C3493"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0.057</w:t>
            </w:r>
          </w:p>
        </w:tc>
      </w:tr>
      <w:tr w:rsidR="00C24B3B" w:rsidRPr="00C311AE" w14:paraId="2EC01B1A" w14:textId="77777777" w:rsidTr="00653A50">
        <w:trPr>
          <w:trHeight w:val="330"/>
        </w:trPr>
        <w:tc>
          <w:tcPr>
            <w:tcW w:w="4926" w:type="dxa"/>
            <w:tcBorders>
              <w:top w:val="nil"/>
              <w:bottom w:val="nil"/>
            </w:tcBorders>
            <w:shd w:val="clear" w:color="auto" w:fill="auto"/>
          </w:tcPr>
          <w:p w14:paraId="32CBEC5D" w14:textId="1BDA7735" w:rsidR="00C24B3B" w:rsidRPr="00C311AE" w:rsidRDefault="006028B3" w:rsidP="00020CC7">
            <w:pPr>
              <w:snapToGrid w:val="0"/>
              <w:spacing w:line="360" w:lineRule="auto"/>
              <w:jc w:val="both"/>
              <w:rPr>
                <w:rFonts w:ascii="Book Antiqua" w:hAnsi="Book Antiqua" w:cs="Arial"/>
              </w:rPr>
            </w:pPr>
            <w:r w:rsidRPr="00C311AE">
              <w:rPr>
                <w:rFonts w:ascii="Book Antiqua" w:hAnsi="Book Antiqua" w:cs="Arial"/>
              </w:rPr>
              <w:t xml:space="preserve">Random </w:t>
            </w:r>
            <w:r w:rsidR="00331AA7" w:rsidRPr="00C311AE">
              <w:rPr>
                <w:rFonts w:ascii="Book Antiqua" w:hAnsi="Book Antiqua" w:cs="Arial"/>
              </w:rPr>
              <w:t>c</w:t>
            </w:r>
            <w:r w:rsidRPr="00C311AE">
              <w:rPr>
                <w:rFonts w:ascii="Book Antiqua" w:hAnsi="Book Antiqua" w:cs="Arial"/>
              </w:rPr>
              <w:t xml:space="preserve">ortisol </w:t>
            </w:r>
            <w:r w:rsidR="00C24B3B" w:rsidRPr="00C311AE">
              <w:rPr>
                <w:rFonts w:ascii="Book Antiqua" w:hAnsi="Book Antiqua" w:cs="Arial"/>
              </w:rPr>
              <w:t>(% with low cortisol</w:t>
            </w:r>
            <w:r w:rsidR="00C24B3B" w:rsidRPr="00C311AE">
              <w:rPr>
                <w:rFonts w:ascii="Book Antiqua" w:hAnsi="Book Antiqua" w:cs="Arial"/>
                <w:vertAlign w:val="superscript"/>
              </w:rPr>
              <w:t>1</w:t>
            </w:r>
            <w:r w:rsidR="00C24B3B" w:rsidRPr="00C311AE">
              <w:rPr>
                <w:rFonts w:ascii="Book Antiqua" w:hAnsi="Book Antiqua" w:cs="Arial"/>
              </w:rPr>
              <w:t>)</w:t>
            </w:r>
          </w:p>
        </w:tc>
        <w:tc>
          <w:tcPr>
            <w:tcW w:w="1980" w:type="dxa"/>
            <w:tcBorders>
              <w:top w:val="nil"/>
              <w:bottom w:val="nil"/>
            </w:tcBorders>
            <w:shd w:val="clear" w:color="auto" w:fill="auto"/>
          </w:tcPr>
          <w:p w14:paraId="543780E7"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16.2% (6/37)</w:t>
            </w:r>
          </w:p>
        </w:tc>
        <w:tc>
          <w:tcPr>
            <w:tcW w:w="1980" w:type="dxa"/>
            <w:tcBorders>
              <w:top w:val="nil"/>
              <w:bottom w:val="nil"/>
            </w:tcBorders>
            <w:shd w:val="clear" w:color="auto" w:fill="auto"/>
          </w:tcPr>
          <w:p w14:paraId="705904F1"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10.4% (11/106)</w:t>
            </w:r>
          </w:p>
        </w:tc>
        <w:tc>
          <w:tcPr>
            <w:tcW w:w="1321" w:type="dxa"/>
            <w:tcBorders>
              <w:top w:val="nil"/>
              <w:bottom w:val="nil"/>
            </w:tcBorders>
            <w:shd w:val="clear" w:color="auto" w:fill="auto"/>
          </w:tcPr>
          <w:p w14:paraId="221F8864"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0.345</w:t>
            </w:r>
          </w:p>
        </w:tc>
      </w:tr>
      <w:tr w:rsidR="00C24B3B" w:rsidRPr="00C311AE" w14:paraId="2444C69A" w14:textId="77777777" w:rsidTr="00653A50">
        <w:trPr>
          <w:trHeight w:val="330"/>
        </w:trPr>
        <w:tc>
          <w:tcPr>
            <w:tcW w:w="4926" w:type="dxa"/>
            <w:tcBorders>
              <w:top w:val="nil"/>
              <w:bottom w:val="nil"/>
            </w:tcBorders>
            <w:shd w:val="clear" w:color="auto" w:fill="auto"/>
          </w:tcPr>
          <w:p w14:paraId="1ADC85D2" w14:textId="2BF49A12"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 xml:space="preserve">Hemoglobin A1c </w:t>
            </w:r>
            <w:r w:rsidR="00EC12BC" w:rsidRPr="00C311AE">
              <w:rPr>
                <w:rFonts w:ascii="Book Antiqua" w:hAnsi="Book Antiqua" w:cs="Arial"/>
              </w:rPr>
              <w:t>(median</w:t>
            </w:r>
            <w:r w:rsidR="00E43297" w:rsidRPr="00C311AE">
              <w:rPr>
                <w:rFonts w:ascii="Book Antiqua" w:hAnsi="Book Antiqua" w:cs="Arial"/>
              </w:rPr>
              <w:t xml:space="preserve"> with IQR</w:t>
            </w:r>
            <w:r w:rsidR="00EC12BC" w:rsidRPr="00C311AE">
              <w:rPr>
                <w:rFonts w:ascii="Book Antiqua" w:hAnsi="Book Antiqua" w:cs="Arial"/>
              </w:rPr>
              <w:t>)</w:t>
            </w:r>
          </w:p>
        </w:tc>
        <w:tc>
          <w:tcPr>
            <w:tcW w:w="1980" w:type="dxa"/>
            <w:tcBorders>
              <w:top w:val="nil"/>
              <w:bottom w:val="nil"/>
            </w:tcBorders>
            <w:shd w:val="clear" w:color="auto" w:fill="auto"/>
          </w:tcPr>
          <w:p w14:paraId="190686CF" w14:textId="64A90A82" w:rsidR="00C24B3B" w:rsidRPr="00C311AE" w:rsidRDefault="00653A50" w:rsidP="00020CC7">
            <w:pPr>
              <w:snapToGrid w:val="0"/>
              <w:spacing w:line="360" w:lineRule="auto"/>
              <w:jc w:val="both"/>
              <w:rPr>
                <w:rFonts w:ascii="Book Antiqua" w:hAnsi="Book Antiqua" w:cs="Arial"/>
              </w:rPr>
            </w:pPr>
            <w:r w:rsidRPr="00C311AE">
              <w:rPr>
                <w:rFonts w:ascii="Book Antiqua" w:eastAsiaTheme="minorEastAsia" w:hAnsi="Book Antiqua" w:cs="Arial" w:hint="eastAsia"/>
                <w:vertAlign w:val="superscript"/>
                <w:lang w:eastAsia="zh-CN"/>
              </w:rPr>
              <w:t>4</w:t>
            </w:r>
            <w:r w:rsidR="00B45426" w:rsidRPr="00C311AE">
              <w:rPr>
                <w:rFonts w:ascii="Book Antiqua" w:hAnsi="Book Antiqua" w:cs="Arial"/>
              </w:rPr>
              <w:t>5.9</w:t>
            </w:r>
            <w:r w:rsidR="00B538C7" w:rsidRPr="00C311AE">
              <w:rPr>
                <w:rFonts w:ascii="Book Antiqua" w:hAnsi="Book Antiqua" w:cs="Arial"/>
              </w:rPr>
              <w:t>%</w:t>
            </w:r>
            <w:r w:rsidR="00B45426" w:rsidRPr="00C311AE">
              <w:rPr>
                <w:rFonts w:ascii="Book Antiqua" w:hAnsi="Book Antiqua" w:cs="Arial"/>
              </w:rPr>
              <w:t xml:space="preserve"> (5.3%-7.7%)</w:t>
            </w:r>
          </w:p>
        </w:tc>
        <w:tc>
          <w:tcPr>
            <w:tcW w:w="1980" w:type="dxa"/>
            <w:tcBorders>
              <w:top w:val="nil"/>
              <w:bottom w:val="nil"/>
            </w:tcBorders>
            <w:shd w:val="clear" w:color="auto" w:fill="auto"/>
          </w:tcPr>
          <w:p w14:paraId="2A6E6B8C" w14:textId="7E6C8B99" w:rsidR="00C24B3B" w:rsidRPr="00C311AE" w:rsidRDefault="00653A50" w:rsidP="00020CC7">
            <w:pPr>
              <w:snapToGrid w:val="0"/>
              <w:spacing w:line="360" w:lineRule="auto"/>
              <w:jc w:val="both"/>
              <w:rPr>
                <w:rFonts w:ascii="Book Antiqua" w:hAnsi="Book Antiqua" w:cs="Arial"/>
              </w:rPr>
            </w:pPr>
            <w:r w:rsidRPr="00C311AE">
              <w:rPr>
                <w:rFonts w:ascii="Book Antiqua" w:eastAsiaTheme="minorEastAsia" w:hAnsi="Book Antiqua" w:cs="Arial" w:hint="eastAsia"/>
                <w:vertAlign w:val="superscript"/>
                <w:lang w:eastAsia="zh-CN"/>
              </w:rPr>
              <w:t>4</w:t>
            </w:r>
            <w:r w:rsidR="00B45426" w:rsidRPr="00C311AE">
              <w:rPr>
                <w:rFonts w:ascii="Book Antiqua" w:hAnsi="Book Antiqua" w:cs="Arial"/>
              </w:rPr>
              <w:t>5.7</w:t>
            </w:r>
            <w:r w:rsidR="00B538C7" w:rsidRPr="00C311AE">
              <w:rPr>
                <w:rFonts w:ascii="Book Antiqua" w:hAnsi="Book Antiqua" w:cs="Arial"/>
              </w:rPr>
              <w:t>%</w:t>
            </w:r>
            <w:r w:rsidR="00B45426" w:rsidRPr="00C311AE">
              <w:rPr>
                <w:rFonts w:ascii="Book Antiqua" w:hAnsi="Book Antiqua" w:cs="Arial"/>
              </w:rPr>
              <w:t xml:space="preserve"> (5.4</w:t>
            </w:r>
            <w:r w:rsidR="00B538C7" w:rsidRPr="00C311AE">
              <w:rPr>
                <w:rFonts w:ascii="Book Antiqua" w:hAnsi="Book Antiqua" w:cs="Arial"/>
              </w:rPr>
              <w:t>%</w:t>
            </w:r>
            <w:r w:rsidR="00B45426" w:rsidRPr="00C311AE">
              <w:rPr>
                <w:rFonts w:ascii="Book Antiqua" w:hAnsi="Book Antiqua" w:cs="Arial"/>
              </w:rPr>
              <w:t>-6.4%)</w:t>
            </w:r>
          </w:p>
        </w:tc>
        <w:tc>
          <w:tcPr>
            <w:tcW w:w="1321" w:type="dxa"/>
            <w:tcBorders>
              <w:top w:val="nil"/>
              <w:bottom w:val="nil"/>
            </w:tcBorders>
            <w:shd w:val="clear" w:color="auto" w:fill="auto"/>
          </w:tcPr>
          <w:p w14:paraId="6920A41C"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0.377</w:t>
            </w:r>
          </w:p>
        </w:tc>
      </w:tr>
      <w:tr w:rsidR="00C24B3B" w:rsidRPr="00C311AE" w14:paraId="0128E49A" w14:textId="77777777" w:rsidTr="00653A50">
        <w:trPr>
          <w:trHeight w:val="330"/>
        </w:trPr>
        <w:tc>
          <w:tcPr>
            <w:tcW w:w="4926" w:type="dxa"/>
            <w:tcBorders>
              <w:top w:val="nil"/>
              <w:bottom w:val="nil"/>
            </w:tcBorders>
            <w:shd w:val="clear" w:color="auto" w:fill="auto"/>
          </w:tcPr>
          <w:p w14:paraId="7D83C228" w14:textId="715D8DEA"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lastRenderedPageBreak/>
              <w:t xml:space="preserve">Thyroid </w:t>
            </w:r>
            <w:r w:rsidR="00331AA7" w:rsidRPr="00C311AE">
              <w:rPr>
                <w:rFonts w:ascii="Book Antiqua" w:hAnsi="Book Antiqua" w:cs="Arial"/>
              </w:rPr>
              <w:t>s</w:t>
            </w:r>
            <w:r w:rsidRPr="00C311AE">
              <w:rPr>
                <w:rFonts w:ascii="Book Antiqua" w:hAnsi="Book Antiqua" w:cs="Arial"/>
              </w:rPr>
              <w:t xml:space="preserve">timulating </w:t>
            </w:r>
            <w:r w:rsidR="00331AA7" w:rsidRPr="00C311AE">
              <w:rPr>
                <w:rFonts w:ascii="Book Antiqua" w:hAnsi="Book Antiqua" w:cs="Arial"/>
              </w:rPr>
              <w:t>h</w:t>
            </w:r>
            <w:r w:rsidRPr="00C311AE">
              <w:rPr>
                <w:rFonts w:ascii="Book Antiqua" w:hAnsi="Book Antiqua" w:cs="Arial"/>
              </w:rPr>
              <w:t>ormone (% with high TSH</w:t>
            </w:r>
            <w:r w:rsidRPr="00C311AE">
              <w:rPr>
                <w:rFonts w:ascii="Book Antiqua" w:hAnsi="Book Antiqua" w:cs="Arial"/>
                <w:vertAlign w:val="superscript"/>
              </w:rPr>
              <w:t>2</w:t>
            </w:r>
            <w:r w:rsidRPr="00C311AE">
              <w:rPr>
                <w:rFonts w:ascii="Book Antiqua" w:hAnsi="Book Antiqua" w:cs="Arial"/>
              </w:rPr>
              <w:t>)</w:t>
            </w:r>
          </w:p>
        </w:tc>
        <w:tc>
          <w:tcPr>
            <w:tcW w:w="1980" w:type="dxa"/>
            <w:tcBorders>
              <w:top w:val="nil"/>
              <w:bottom w:val="nil"/>
            </w:tcBorders>
            <w:shd w:val="clear" w:color="auto" w:fill="auto"/>
          </w:tcPr>
          <w:p w14:paraId="42BC6BEC"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4.9% (2/41)</w:t>
            </w:r>
          </w:p>
        </w:tc>
        <w:tc>
          <w:tcPr>
            <w:tcW w:w="1980" w:type="dxa"/>
            <w:tcBorders>
              <w:top w:val="nil"/>
              <w:bottom w:val="nil"/>
            </w:tcBorders>
            <w:shd w:val="clear" w:color="auto" w:fill="auto"/>
          </w:tcPr>
          <w:p w14:paraId="51850C15"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1.7% (2/116)</w:t>
            </w:r>
          </w:p>
        </w:tc>
        <w:tc>
          <w:tcPr>
            <w:tcW w:w="1321" w:type="dxa"/>
            <w:tcBorders>
              <w:top w:val="nil"/>
              <w:bottom w:val="nil"/>
            </w:tcBorders>
            <w:shd w:val="clear" w:color="auto" w:fill="auto"/>
          </w:tcPr>
          <w:p w14:paraId="782D692D"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0.271</w:t>
            </w:r>
          </w:p>
        </w:tc>
      </w:tr>
      <w:tr w:rsidR="00C24B3B" w:rsidRPr="00C311AE" w14:paraId="099D78A0" w14:textId="77777777" w:rsidTr="00653A50">
        <w:trPr>
          <w:trHeight w:val="330"/>
        </w:trPr>
        <w:tc>
          <w:tcPr>
            <w:tcW w:w="4926" w:type="dxa"/>
            <w:tcBorders>
              <w:top w:val="nil"/>
              <w:bottom w:val="nil"/>
            </w:tcBorders>
            <w:shd w:val="clear" w:color="auto" w:fill="auto"/>
          </w:tcPr>
          <w:p w14:paraId="18D6A829" w14:textId="5F16956B"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Trypsin</w:t>
            </w:r>
            <w:r w:rsidR="00862DF6" w:rsidRPr="00C311AE">
              <w:rPr>
                <w:rFonts w:ascii="Book Antiqua" w:hAnsi="Book Antiqua" w:cs="Arial"/>
              </w:rPr>
              <w:t>ogen</w:t>
            </w:r>
            <w:r w:rsidRPr="00C311AE">
              <w:rPr>
                <w:rFonts w:ascii="Book Antiqua" w:hAnsi="Book Antiqua" w:cs="Arial"/>
              </w:rPr>
              <w:t xml:space="preserve"> (% with low trypsin</w:t>
            </w:r>
            <w:r w:rsidR="00862DF6" w:rsidRPr="00C311AE">
              <w:rPr>
                <w:rFonts w:ascii="Book Antiqua" w:hAnsi="Book Antiqua" w:cs="Arial"/>
              </w:rPr>
              <w:t>ogen</w:t>
            </w:r>
            <w:r w:rsidR="00862DF6" w:rsidRPr="00C311AE">
              <w:rPr>
                <w:rFonts w:ascii="Book Antiqua" w:hAnsi="Book Antiqua" w:cs="Arial"/>
                <w:vertAlign w:val="superscript"/>
              </w:rPr>
              <w:t>3</w:t>
            </w:r>
            <w:r w:rsidRPr="00C311AE">
              <w:rPr>
                <w:rFonts w:ascii="Book Antiqua" w:hAnsi="Book Antiqua" w:cs="Arial"/>
              </w:rPr>
              <w:t>)</w:t>
            </w:r>
          </w:p>
        </w:tc>
        <w:tc>
          <w:tcPr>
            <w:tcW w:w="1980" w:type="dxa"/>
            <w:tcBorders>
              <w:top w:val="nil"/>
              <w:bottom w:val="nil"/>
            </w:tcBorders>
            <w:shd w:val="clear" w:color="auto" w:fill="auto"/>
          </w:tcPr>
          <w:p w14:paraId="7DFDF9EB"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23.1% (6/26)</w:t>
            </w:r>
          </w:p>
        </w:tc>
        <w:tc>
          <w:tcPr>
            <w:tcW w:w="1980" w:type="dxa"/>
            <w:tcBorders>
              <w:top w:val="nil"/>
              <w:bottom w:val="nil"/>
            </w:tcBorders>
            <w:shd w:val="clear" w:color="auto" w:fill="auto"/>
          </w:tcPr>
          <w:p w14:paraId="1369AD97"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4.2% (3/72)</w:t>
            </w:r>
          </w:p>
        </w:tc>
        <w:tc>
          <w:tcPr>
            <w:tcW w:w="1321" w:type="dxa"/>
            <w:tcBorders>
              <w:top w:val="nil"/>
              <w:bottom w:val="nil"/>
            </w:tcBorders>
            <w:shd w:val="clear" w:color="auto" w:fill="auto"/>
          </w:tcPr>
          <w:p w14:paraId="58352371"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0.004</w:t>
            </w:r>
          </w:p>
        </w:tc>
      </w:tr>
      <w:tr w:rsidR="005577AD" w:rsidRPr="00C311AE" w14:paraId="75D2988B" w14:textId="77777777" w:rsidTr="00653A50">
        <w:trPr>
          <w:trHeight w:val="330"/>
        </w:trPr>
        <w:tc>
          <w:tcPr>
            <w:tcW w:w="4926" w:type="dxa"/>
            <w:tcBorders>
              <w:top w:val="nil"/>
              <w:bottom w:val="nil"/>
            </w:tcBorders>
            <w:shd w:val="clear" w:color="auto" w:fill="auto"/>
          </w:tcPr>
          <w:p w14:paraId="31B1AA13" w14:textId="2B33031C" w:rsidR="005577AD" w:rsidRPr="00C311AE" w:rsidRDefault="005577AD" w:rsidP="00020CC7">
            <w:pPr>
              <w:snapToGrid w:val="0"/>
              <w:spacing w:line="360" w:lineRule="auto"/>
              <w:jc w:val="both"/>
              <w:rPr>
                <w:rFonts w:ascii="Book Antiqua" w:hAnsi="Book Antiqua" w:cs="Arial"/>
              </w:rPr>
            </w:pPr>
            <w:r w:rsidRPr="00C311AE">
              <w:rPr>
                <w:rFonts w:ascii="Book Antiqua" w:hAnsi="Book Antiqua" w:cs="Arial"/>
              </w:rPr>
              <w:t>History of chronic pancreatitis</w:t>
            </w:r>
          </w:p>
        </w:tc>
        <w:tc>
          <w:tcPr>
            <w:tcW w:w="1980" w:type="dxa"/>
            <w:tcBorders>
              <w:top w:val="nil"/>
              <w:bottom w:val="nil"/>
            </w:tcBorders>
            <w:shd w:val="clear" w:color="auto" w:fill="auto"/>
          </w:tcPr>
          <w:p w14:paraId="07D66ADB" w14:textId="23B4B271" w:rsidR="005577AD" w:rsidRPr="00C311AE" w:rsidRDefault="00003E53" w:rsidP="00020CC7">
            <w:pPr>
              <w:snapToGrid w:val="0"/>
              <w:spacing w:line="360" w:lineRule="auto"/>
              <w:jc w:val="both"/>
              <w:rPr>
                <w:rFonts w:ascii="Book Antiqua" w:hAnsi="Book Antiqua" w:cs="Arial"/>
              </w:rPr>
            </w:pPr>
            <w:r w:rsidRPr="00C311AE">
              <w:rPr>
                <w:rFonts w:ascii="Book Antiqua" w:hAnsi="Book Antiqua" w:cs="Arial"/>
              </w:rPr>
              <w:t>7.0% (3/43)</w:t>
            </w:r>
          </w:p>
        </w:tc>
        <w:tc>
          <w:tcPr>
            <w:tcW w:w="1980" w:type="dxa"/>
            <w:tcBorders>
              <w:top w:val="nil"/>
              <w:bottom w:val="nil"/>
            </w:tcBorders>
            <w:shd w:val="clear" w:color="auto" w:fill="auto"/>
          </w:tcPr>
          <w:p w14:paraId="47CDFFC4" w14:textId="5764271D" w:rsidR="005577AD" w:rsidRPr="00C311AE" w:rsidRDefault="00003E53" w:rsidP="00020CC7">
            <w:pPr>
              <w:snapToGrid w:val="0"/>
              <w:spacing w:line="360" w:lineRule="auto"/>
              <w:jc w:val="both"/>
              <w:rPr>
                <w:rFonts w:ascii="Book Antiqua" w:hAnsi="Book Antiqua" w:cs="Arial"/>
              </w:rPr>
            </w:pPr>
            <w:r w:rsidRPr="00C311AE">
              <w:rPr>
                <w:rFonts w:ascii="Book Antiqua" w:hAnsi="Book Antiqua" w:cs="Arial"/>
              </w:rPr>
              <w:t>1.3% (2/158)</w:t>
            </w:r>
          </w:p>
        </w:tc>
        <w:tc>
          <w:tcPr>
            <w:tcW w:w="1321" w:type="dxa"/>
            <w:tcBorders>
              <w:top w:val="nil"/>
              <w:bottom w:val="nil"/>
            </w:tcBorders>
            <w:shd w:val="clear" w:color="auto" w:fill="auto"/>
          </w:tcPr>
          <w:p w14:paraId="44D9E27C" w14:textId="6248C108" w:rsidR="005577AD" w:rsidRPr="00C311AE" w:rsidRDefault="00A842AD" w:rsidP="00020CC7">
            <w:pPr>
              <w:snapToGrid w:val="0"/>
              <w:spacing w:line="360" w:lineRule="auto"/>
              <w:jc w:val="both"/>
              <w:rPr>
                <w:rFonts w:ascii="Book Antiqua" w:hAnsi="Book Antiqua" w:cs="Arial"/>
              </w:rPr>
            </w:pPr>
            <w:r w:rsidRPr="00C311AE">
              <w:rPr>
                <w:rFonts w:ascii="Book Antiqua" w:hAnsi="Book Antiqua" w:cs="Arial"/>
              </w:rPr>
              <w:t>0.033</w:t>
            </w:r>
          </w:p>
        </w:tc>
      </w:tr>
      <w:tr w:rsidR="00C24B3B" w:rsidRPr="00C311AE" w14:paraId="504F714F" w14:textId="77777777" w:rsidTr="00653A50">
        <w:trPr>
          <w:trHeight w:val="330"/>
        </w:trPr>
        <w:tc>
          <w:tcPr>
            <w:tcW w:w="4926" w:type="dxa"/>
            <w:tcBorders>
              <w:top w:val="nil"/>
              <w:bottom w:val="nil"/>
            </w:tcBorders>
            <w:shd w:val="clear" w:color="auto" w:fill="auto"/>
          </w:tcPr>
          <w:p w14:paraId="79294C0B" w14:textId="34427AFD" w:rsidR="00C24B3B" w:rsidRPr="00C311AE" w:rsidRDefault="002302BB" w:rsidP="00020CC7">
            <w:pPr>
              <w:snapToGrid w:val="0"/>
              <w:spacing w:line="360" w:lineRule="auto"/>
              <w:jc w:val="both"/>
              <w:rPr>
                <w:rFonts w:ascii="Book Antiqua" w:hAnsi="Book Antiqua" w:cs="Arial"/>
              </w:rPr>
            </w:pPr>
            <w:r w:rsidRPr="00C311AE">
              <w:rPr>
                <w:rFonts w:ascii="Book Antiqua" w:hAnsi="Book Antiqua" w:cs="Arial"/>
              </w:rPr>
              <w:t xml:space="preserve">Gastric </w:t>
            </w:r>
            <w:r w:rsidR="00331AA7" w:rsidRPr="00C311AE">
              <w:rPr>
                <w:rFonts w:ascii="Book Antiqua" w:hAnsi="Book Antiqua" w:cs="Arial"/>
              </w:rPr>
              <w:t>e</w:t>
            </w:r>
            <w:r w:rsidRPr="00C311AE">
              <w:rPr>
                <w:rFonts w:ascii="Book Antiqua" w:hAnsi="Book Antiqua" w:cs="Arial"/>
              </w:rPr>
              <w:t xml:space="preserve">mptying </w:t>
            </w:r>
            <w:r w:rsidR="00331AA7" w:rsidRPr="00C311AE">
              <w:rPr>
                <w:rFonts w:ascii="Book Antiqua" w:hAnsi="Book Antiqua" w:cs="Arial"/>
              </w:rPr>
              <w:t>s</w:t>
            </w:r>
            <w:r w:rsidRPr="00C311AE">
              <w:rPr>
                <w:rFonts w:ascii="Book Antiqua" w:hAnsi="Book Antiqua" w:cs="Arial"/>
              </w:rPr>
              <w:t>cintigraphy</w:t>
            </w:r>
            <w:r w:rsidR="00C24B3B" w:rsidRPr="00C311AE">
              <w:rPr>
                <w:rFonts w:ascii="Book Antiqua" w:hAnsi="Book Antiqua" w:cs="Arial"/>
              </w:rPr>
              <w:t>: Retention at 2 h</w:t>
            </w:r>
            <w:r w:rsidR="00331AA7">
              <w:rPr>
                <w:rFonts w:ascii="Book Antiqua" w:eastAsiaTheme="minorEastAsia" w:hAnsi="Book Antiqua" w:cs="Arial" w:hint="eastAsia"/>
                <w:lang w:eastAsia="zh-CN"/>
              </w:rPr>
              <w:t xml:space="preserve"> </w:t>
            </w:r>
            <w:r w:rsidR="00EC12BC" w:rsidRPr="00C311AE">
              <w:rPr>
                <w:rFonts w:ascii="Book Antiqua" w:hAnsi="Book Antiqua" w:cs="Arial"/>
              </w:rPr>
              <w:t>(median</w:t>
            </w:r>
            <w:r w:rsidR="00B9015C" w:rsidRPr="00C311AE">
              <w:rPr>
                <w:rFonts w:ascii="Book Antiqua" w:hAnsi="Book Antiqua" w:cs="Arial"/>
              </w:rPr>
              <w:t xml:space="preserve"> with IQR</w:t>
            </w:r>
            <w:r w:rsidR="00EC12BC" w:rsidRPr="00C311AE">
              <w:rPr>
                <w:rFonts w:ascii="Book Antiqua" w:hAnsi="Book Antiqua" w:cs="Arial"/>
              </w:rPr>
              <w:t>)</w:t>
            </w:r>
            <w:r w:rsidR="00C24B3B" w:rsidRPr="00C311AE">
              <w:rPr>
                <w:rFonts w:ascii="Book Antiqua" w:hAnsi="Book Antiqua" w:cs="Arial"/>
              </w:rPr>
              <w:t xml:space="preserve"> </w:t>
            </w:r>
          </w:p>
        </w:tc>
        <w:tc>
          <w:tcPr>
            <w:tcW w:w="1980" w:type="dxa"/>
            <w:tcBorders>
              <w:top w:val="nil"/>
              <w:bottom w:val="nil"/>
            </w:tcBorders>
            <w:shd w:val="clear" w:color="auto" w:fill="auto"/>
          </w:tcPr>
          <w:p w14:paraId="40572B7F" w14:textId="700231B9" w:rsidR="00C24B3B" w:rsidRPr="00C311AE" w:rsidRDefault="00F84C81" w:rsidP="00020CC7">
            <w:pPr>
              <w:snapToGrid w:val="0"/>
              <w:spacing w:line="360" w:lineRule="auto"/>
              <w:jc w:val="both"/>
              <w:rPr>
                <w:rFonts w:ascii="Book Antiqua" w:hAnsi="Book Antiqua" w:cs="Arial"/>
              </w:rPr>
            </w:pPr>
            <w:r w:rsidRPr="00C311AE">
              <w:rPr>
                <w:rFonts w:ascii="Book Antiqua" w:hAnsi="Book Antiqua" w:cs="Arial"/>
              </w:rPr>
              <w:t>62</w:t>
            </w:r>
            <w:r w:rsidR="00C24B3B" w:rsidRPr="00C311AE">
              <w:rPr>
                <w:rFonts w:ascii="Book Antiqua" w:hAnsi="Book Antiqua" w:cs="Arial"/>
              </w:rPr>
              <w:t>%</w:t>
            </w:r>
            <w:r w:rsidRPr="00C311AE">
              <w:rPr>
                <w:rFonts w:ascii="Book Antiqua" w:hAnsi="Book Antiqua" w:cs="Arial"/>
              </w:rPr>
              <w:t xml:space="preserve"> (50%-80%)</w:t>
            </w:r>
          </w:p>
        </w:tc>
        <w:tc>
          <w:tcPr>
            <w:tcW w:w="1980" w:type="dxa"/>
            <w:tcBorders>
              <w:top w:val="nil"/>
              <w:bottom w:val="nil"/>
            </w:tcBorders>
            <w:shd w:val="clear" w:color="auto" w:fill="auto"/>
          </w:tcPr>
          <w:p w14:paraId="6B2C7762" w14:textId="5FA45A50" w:rsidR="00C24B3B" w:rsidRPr="00C311AE" w:rsidRDefault="00653A50" w:rsidP="00020CC7">
            <w:pPr>
              <w:snapToGrid w:val="0"/>
              <w:spacing w:line="360" w:lineRule="auto"/>
              <w:jc w:val="both"/>
              <w:rPr>
                <w:rFonts w:ascii="Book Antiqua" w:hAnsi="Book Antiqua" w:cs="Arial"/>
              </w:rPr>
            </w:pPr>
            <w:r w:rsidRPr="00C311AE">
              <w:rPr>
                <w:rFonts w:ascii="Book Antiqua" w:eastAsiaTheme="minorEastAsia" w:hAnsi="Book Antiqua" w:cs="Arial" w:hint="eastAsia"/>
                <w:vertAlign w:val="superscript"/>
                <w:lang w:eastAsia="zh-CN"/>
              </w:rPr>
              <w:t>4</w:t>
            </w:r>
            <w:r w:rsidR="00F84C81" w:rsidRPr="00C311AE">
              <w:rPr>
                <w:rFonts w:ascii="Book Antiqua" w:hAnsi="Book Antiqua" w:cs="Arial"/>
              </w:rPr>
              <w:t>66% (50</w:t>
            </w:r>
            <w:r w:rsidR="00C24B3B" w:rsidRPr="00C311AE">
              <w:rPr>
                <w:rFonts w:ascii="Book Antiqua" w:hAnsi="Book Antiqua" w:cs="Arial"/>
              </w:rPr>
              <w:t>%</w:t>
            </w:r>
            <w:r w:rsidR="00F84C81" w:rsidRPr="00C311AE">
              <w:rPr>
                <w:rFonts w:ascii="Book Antiqua" w:hAnsi="Book Antiqua" w:cs="Arial"/>
              </w:rPr>
              <w:t>-72%)</w:t>
            </w:r>
          </w:p>
        </w:tc>
        <w:tc>
          <w:tcPr>
            <w:tcW w:w="1321" w:type="dxa"/>
            <w:tcBorders>
              <w:top w:val="nil"/>
              <w:bottom w:val="nil"/>
            </w:tcBorders>
            <w:shd w:val="clear" w:color="auto" w:fill="auto"/>
          </w:tcPr>
          <w:p w14:paraId="23ECD90C"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0.359</w:t>
            </w:r>
          </w:p>
        </w:tc>
      </w:tr>
      <w:tr w:rsidR="00C24B3B" w:rsidRPr="00C311AE" w14:paraId="7059F791" w14:textId="77777777" w:rsidTr="00653A50">
        <w:trPr>
          <w:trHeight w:val="330"/>
        </w:trPr>
        <w:tc>
          <w:tcPr>
            <w:tcW w:w="4926" w:type="dxa"/>
            <w:tcBorders>
              <w:top w:val="nil"/>
              <w:bottom w:val="single" w:sz="8" w:space="0" w:color="auto"/>
            </w:tcBorders>
            <w:shd w:val="clear" w:color="auto" w:fill="auto"/>
          </w:tcPr>
          <w:p w14:paraId="12BAB646" w14:textId="7A114829"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 xml:space="preserve">Gastric </w:t>
            </w:r>
            <w:r w:rsidR="00331AA7" w:rsidRPr="00C311AE">
              <w:rPr>
                <w:rFonts w:ascii="Book Antiqua" w:hAnsi="Book Antiqua" w:cs="Arial"/>
              </w:rPr>
              <w:t>e</w:t>
            </w:r>
            <w:r w:rsidRPr="00C311AE">
              <w:rPr>
                <w:rFonts w:ascii="Book Antiqua" w:hAnsi="Book Antiqua" w:cs="Arial"/>
              </w:rPr>
              <w:t>m</w:t>
            </w:r>
            <w:r w:rsidR="002302BB" w:rsidRPr="00C311AE">
              <w:rPr>
                <w:rFonts w:ascii="Book Antiqua" w:hAnsi="Book Antiqua" w:cs="Arial"/>
              </w:rPr>
              <w:t xml:space="preserve">ptying </w:t>
            </w:r>
            <w:r w:rsidR="00331AA7" w:rsidRPr="00C311AE">
              <w:rPr>
                <w:rFonts w:ascii="Book Antiqua" w:hAnsi="Book Antiqua" w:cs="Arial"/>
              </w:rPr>
              <w:t>s</w:t>
            </w:r>
            <w:r w:rsidR="002302BB" w:rsidRPr="00C311AE">
              <w:rPr>
                <w:rFonts w:ascii="Book Antiqua" w:hAnsi="Book Antiqua" w:cs="Arial"/>
              </w:rPr>
              <w:t>cintigraphy</w:t>
            </w:r>
            <w:r w:rsidRPr="00C311AE">
              <w:rPr>
                <w:rFonts w:ascii="Book Antiqua" w:hAnsi="Book Antiqua" w:cs="Arial"/>
              </w:rPr>
              <w:t>: Retention at 4 h</w:t>
            </w:r>
            <w:r w:rsidR="00331AA7">
              <w:rPr>
                <w:rFonts w:ascii="Book Antiqua" w:eastAsiaTheme="minorEastAsia" w:hAnsi="Book Antiqua" w:cs="Arial" w:hint="eastAsia"/>
                <w:lang w:eastAsia="zh-CN"/>
              </w:rPr>
              <w:t xml:space="preserve"> </w:t>
            </w:r>
            <w:r w:rsidR="00EC12BC" w:rsidRPr="00C311AE">
              <w:rPr>
                <w:rFonts w:ascii="Book Antiqua" w:hAnsi="Book Antiqua" w:cs="Arial"/>
              </w:rPr>
              <w:t>(median</w:t>
            </w:r>
            <w:r w:rsidR="00B9015C" w:rsidRPr="00C311AE">
              <w:rPr>
                <w:rFonts w:ascii="Book Antiqua" w:hAnsi="Book Antiqua" w:cs="Arial"/>
              </w:rPr>
              <w:t xml:space="preserve"> with IQR</w:t>
            </w:r>
            <w:r w:rsidR="00EC12BC" w:rsidRPr="00C311AE">
              <w:rPr>
                <w:rFonts w:ascii="Book Antiqua" w:hAnsi="Book Antiqua" w:cs="Arial"/>
              </w:rPr>
              <w:t>)</w:t>
            </w:r>
          </w:p>
        </w:tc>
        <w:tc>
          <w:tcPr>
            <w:tcW w:w="1980" w:type="dxa"/>
            <w:tcBorders>
              <w:top w:val="nil"/>
              <w:bottom w:val="single" w:sz="8" w:space="0" w:color="auto"/>
            </w:tcBorders>
            <w:shd w:val="clear" w:color="auto" w:fill="auto"/>
          </w:tcPr>
          <w:p w14:paraId="1FEF555A" w14:textId="1E646C47" w:rsidR="00C24B3B" w:rsidRPr="00C311AE" w:rsidRDefault="00653A50" w:rsidP="00020CC7">
            <w:pPr>
              <w:snapToGrid w:val="0"/>
              <w:spacing w:line="360" w:lineRule="auto"/>
              <w:jc w:val="both"/>
              <w:rPr>
                <w:rFonts w:ascii="Book Antiqua" w:hAnsi="Book Antiqua" w:cs="Arial"/>
              </w:rPr>
            </w:pPr>
            <w:r w:rsidRPr="00C311AE">
              <w:rPr>
                <w:rFonts w:ascii="Book Antiqua" w:eastAsiaTheme="minorEastAsia" w:hAnsi="Book Antiqua" w:cs="Arial" w:hint="eastAsia"/>
                <w:vertAlign w:val="superscript"/>
                <w:lang w:eastAsia="zh-CN"/>
              </w:rPr>
              <w:t>4</w:t>
            </w:r>
            <w:r w:rsidR="00F84C81" w:rsidRPr="00C311AE">
              <w:rPr>
                <w:rFonts w:ascii="Book Antiqua" w:hAnsi="Book Antiqua" w:cs="Arial"/>
              </w:rPr>
              <w:t>22</w:t>
            </w:r>
            <w:r w:rsidR="00C24B3B" w:rsidRPr="00C311AE">
              <w:rPr>
                <w:rFonts w:ascii="Book Antiqua" w:hAnsi="Book Antiqua" w:cs="Arial"/>
              </w:rPr>
              <w:t>%</w:t>
            </w:r>
            <w:r w:rsidR="00F84C81" w:rsidRPr="00C311AE">
              <w:rPr>
                <w:rFonts w:ascii="Book Antiqua" w:hAnsi="Book Antiqua" w:cs="Arial"/>
              </w:rPr>
              <w:t xml:space="preserve"> (14%-42%)</w:t>
            </w:r>
          </w:p>
        </w:tc>
        <w:tc>
          <w:tcPr>
            <w:tcW w:w="1980" w:type="dxa"/>
            <w:tcBorders>
              <w:top w:val="nil"/>
              <w:bottom w:val="single" w:sz="8" w:space="0" w:color="auto"/>
            </w:tcBorders>
            <w:shd w:val="clear" w:color="auto" w:fill="auto"/>
          </w:tcPr>
          <w:p w14:paraId="3BAA20D5" w14:textId="3906F494" w:rsidR="00C24B3B" w:rsidRPr="00C311AE" w:rsidRDefault="00653A50" w:rsidP="00020CC7">
            <w:pPr>
              <w:snapToGrid w:val="0"/>
              <w:spacing w:line="360" w:lineRule="auto"/>
              <w:jc w:val="both"/>
              <w:rPr>
                <w:rFonts w:ascii="Book Antiqua" w:hAnsi="Book Antiqua" w:cs="Arial"/>
              </w:rPr>
            </w:pPr>
            <w:r w:rsidRPr="00C311AE">
              <w:rPr>
                <w:rFonts w:ascii="Book Antiqua" w:eastAsiaTheme="minorEastAsia" w:hAnsi="Book Antiqua" w:cs="Arial" w:hint="eastAsia"/>
                <w:vertAlign w:val="superscript"/>
                <w:lang w:eastAsia="zh-CN"/>
              </w:rPr>
              <w:t>4</w:t>
            </w:r>
            <w:r w:rsidR="00F84C81" w:rsidRPr="00C311AE">
              <w:rPr>
                <w:rFonts w:ascii="Book Antiqua" w:hAnsi="Book Antiqua" w:cs="Arial"/>
              </w:rPr>
              <w:t>24</w:t>
            </w:r>
            <w:r w:rsidR="001236A8" w:rsidRPr="00C311AE">
              <w:rPr>
                <w:rFonts w:ascii="Book Antiqua" w:hAnsi="Book Antiqua" w:cs="Arial"/>
              </w:rPr>
              <w:t>%</w:t>
            </w:r>
            <w:r w:rsidR="00F84C81" w:rsidRPr="00C311AE">
              <w:rPr>
                <w:rFonts w:ascii="Book Antiqua" w:hAnsi="Book Antiqua" w:cs="Arial"/>
              </w:rPr>
              <w:t xml:space="preserve"> (</w:t>
            </w:r>
            <w:r w:rsidR="001236A8" w:rsidRPr="00C311AE">
              <w:rPr>
                <w:rFonts w:ascii="Book Antiqua" w:hAnsi="Book Antiqua" w:cs="Arial"/>
              </w:rPr>
              <w:t>15%-35%</w:t>
            </w:r>
            <w:r w:rsidR="00F84C81" w:rsidRPr="00C311AE">
              <w:rPr>
                <w:rFonts w:ascii="Book Antiqua" w:hAnsi="Book Antiqua" w:cs="Arial"/>
              </w:rPr>
              <w:t>)</w:t>
            </w:r>
          </w:p>
        </w:tc>
        <w:tc>
          <w:tcPr>
            <w:tcW w:w="1321" w:type="dxa"/>
            <w:tcBorders>
              <w:top w:val="nil"/>
              <w:bottom w:val="single" w:sz="8" w:space="0" w:color="auto"/>
            </w:tcBorders>
            <w:shd w:val="clear" w:color="auto" w:fill="auto"/>
          </w:tcPr>
          <w:p w14:paraId="08BA5BA1"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0.522</w:t>
            </w:r>
          </w:p>
        </w:tc>
      </w:tr>
    </w:tbl>
    <w:p w14:paraId="1375BFB8" w14:textId="755781E8" w:rsidR="00C24B3B" w:rsidRPr="00C311AE" w:rsidRDefault="00C24B3B" w:rsidP="00020CC7">
      <w:pPr>
        <w:snapToGrid w:val="0"/>
        <w:spacing w:line="360" w:lineRule="auto"/>
        <w:jc w:val="both"/>
        <w:rPr>
          <w:rFonts w:ascii="Book Antiqua" w:eastAsiaTheme="minorEastAsia" w:hAnsi="Book Antiqua" w:cs="Arial"/>
          <w:lang w:eastAsia="zh-CN"/>
        </w:rPr>
      </w:pPr>
      <w:r w:rsidRPr="00C311AE">
        <w:rPr>
          <w:rFonts w:ascii="Book Antiqua" w:hAnsi="Book Antiqua" w:cs="Arial"/>
          <w:vertAlign w:val="superscript"/>
        </w:rPr>
        <w:t>1</w:t>
      </w:r>
      <w:r w:rsidRPr="00C311AE">
        <w:rPr>
          <w:rFonts w:ascii="Book Antiqua" w:hAnsi="Book Antiqua" w:cs="Arial"/>
        </w:rPr>
        <w:t>Low cortisol:</w:t>
      </w:r>
      <w:r w:rsidR="00B24A0E">
        <w:rPr>
          <w:rFonts w:ascii="Book Antiqua" w:eastAsiaTheme="minorEastAsia" w:hAnsi="Book Antiqua" w:cs="Arial" w:hint="eastAsia"/>
          <w:lang w:eastAsia="zh-CN"/>
        </w:rPr>
        <w:t xml:space="preserve"> </w:t>
      </w:r>
      <w:r w:rsidRPr="00C311AE">
        <w:rPr>
          <w:rFonts w:ascii="Book Antiqua" w:hAnsi="Book Antiqua" w:cs="Arial"/>
        </w:rPr>
        <w:t xml:space="preserve">AM less than 6.2 </w:t>
      </w:r>
      <w:r w:rsidR="00653A50" w:rsidRPr="00C311AE">
        <w:rPr>
          <w:rFonts w:ascii="Book Antiqua" w:hAnsi="Book Antiqua" w:cs="Arial"/>
        </w:rPr>
        <w:sym w:font="Symbol" w:char="F06D"/>
      </w:r>
      <w:r w:rsidR="00B538C7" w:rsidRPr="00C311AE">
        <w:rPr>
          <w:rFonts w:ascii="Book Antiqua" w:hAnsi="Book Antiqua" w:cs="Arial"/>
        </w:rPr>
        <w:t>g/dL (171 nmol/L)</w:t>
      </w:r>
      <w:r w:rsidRPr="00C311AE">
        <w:rPr>
          <w:rFonts w:ascii="Book Antiqua" w:hAnsi="Book Antiqua" w:cs="Arial"/>
        </w:rPr>
        <w:t xml:space="preserve">, PM less than 2.3 </w:t>
      </w:r>
      <w:r w:rsidR="00653A50" w:rsidRPr="00C311AE">
        <w:rPr>
          <w:rFonts w:ascii="Book Antiqua" w:hAnsi="Book Antiqua" w:cs="Arial"/>
        </w:rPr>
        <w:sym w:font="Symbol" w:char="F06D"/>
      </w:r>
      <w:r w:rsidR="00653A50" w:rsidRPr="00C311AE">
        <w:rPr>
          <w:rFonts w:ascii="Book Antiqua" w:hAnsi="Book Antiqua" w:cs="Arial"/>
        </w:rPr>
        <w:t>g</w:t>
      </w:r>
      <w:r w:rsidRPr="00C311AE">
        <w:rPr>
          <w:rFonts w:ascii="Book Antiqua" w:hAnsi="Book Antiqua" w:cs="Arial"/>
        </w:rPr>
        <w:t>/dL</w:t>
      </w:r>
      <w:r w:rsidR="00B538C7" w:rsidRPr="00C311AE">
        <w:rPr>
          <w:rFonts w:ascii="Book Antiqua" w:hAnsi="Book Antiqua" w:cs="Arial"/>
        </w:rPr>
        <w:t xml:space="preserve"> (63.4 </w:t>
      </w:r>
      <w:r w:rsidR="00653A50" w:rsidRPr="00C311AE">
        <w:rPr>
          <w:rFonts w:ascii="Book Antiqua" w:hAnsi="Book Antiqua" w:cs="Arial"/>
        </w:rPr>
        <w:sym w:font="Symbol" w:char="F06D"/>
      </w:r>
      <w:r w:rsidR="00653A50" w:rsidRPr="00C311AE">
        <w:rPr>
          <w:rFonts w:ascii="Book Antiqua" w:hAnsi="Book Antiqua" w:cs="Arial"/>
        </w:rPr>
        <w:t>g</w:t>
      </w:r>
      <w:r w:rsidR="00B538C7" w:rsidRPr="00C311AE">
        <w:rPr>
          <w:rFonts w:ascii="Book Antiqua" w:hAnsi="Book Antiqua" w:cs="Arial"/>
        </w:rPr>
        <w:t>/dL)</w:t>
      </w:r>
      <w:r w:rsidR="00653A50" w:rsidRPr="00C311AE">
        <w:rPr>
          <w:rFonts w:ascii="Book Antiqua" w:eastAsiaTheme="minorEastAsia" w:hAnsi="Book Antiqua" w:cs="Arial" w:hint="eastAsia"/>
          <w:lang w:eastAsia="zh-CN"/>
        </w:rPr>
        <w:t xml:space="preserve">; </w:t>
      </w:r>
      <w:r w:rsidRPr="00C311AE">
        <w:rPr>
          <w:rFonts w:ascii="Book Antiqua" w:hAnsi="Book Antiqua" w:cs="Arial"/>
          <w:vertAlign w:val="superscript"/>
        </w:rPr>
        <w:t>2</w:t>
      </w:r>
      <w:r w:rsidRPr="00C311AE">
        <w:rPr>
          <w:rFonts w:ascii="Book Antiqua" w:hAnsi="Book Antiqua" w:cs="Arial"/>
        </w:rPr>
        <w:t>High TSH: Greater than 4.50 µIU/mL</w:t>
      </w:r>
      <w:r w:rsidR="00653A50" w:rsidRPr="00C311AE">
        <w:rPr>
          <w:rFonts w:ascii="Book Antiqua" w:eastAsiaTheme="minorEastAsia" w:hAnsi="Book Antiqua" w:cs="Arial" w:hint="eastAsia"/>
          <w:lang w:eastAsia="zh-CN"/>
        </w:rPr>
        <w:t xml:space="preserve">; </w:t>
      </w:r>
      <w:r w:rsidR="00862DF6" w:rsidRPr="00C311AE">
        <w:rPr>
          <w:rFonts w:ascii="Book Antiqua" w:hAnsi="Book Antiqua" w:cs="Arial"/>
          <w:vertAlign w:val="superscript"/>
        </w:rPr>
        <w:t>3</w:t>
      </w:r>
      <w:r w:rsidR="00862DF6" w:rsidRPr="00C311AE">
        <w:rPr>
          <w:rFonts w:ascii="Book Antiqua" w:hAnsi="Book Antiqua" w:cs="Arial"/>
        </w:rPr>
        <w:t>Low trypsinogen: Less than 19 ng/mL</w:t>
      </w:r>
      <w:r w:rsidR="00653A50" w:rsidRPr="00C311AE">
        <w:rPr>
          <w:rFonts w:ascii="Book Antiqua" w:eastAsiaTheme="minorEastAsia" w:hAnsi="Book Antiqua" w:cs="Arial" w:hint="eastAsia"/>
          <w:lang w:eastAsia="zh-CN"/>
        </w:rPr>
        <w:t xml:space="preserve">. </w:t>
      </w:r>
      <w:r w:rsidR="00653A50" w:rsidRPr="00C311AE">
        <w:rPr>
          <w:rFonts w:ascii="Book Antiqua" w:eastAsiaTheme="minorEastAsia" w:hAnsi="Book Antiqua" w:cs="Arial" w:hint="eastAsia"/>
          <w:vertAlign w:val="superscript"/>
          <w:lang w:eastAsia="zh-CN"/>
        </w:rPr>
        <w:t>4</w:t>
      </w:r>
      <w:r w:rsidR="00653A50" w:rsidRPr="00C311AE">
        <w:rPr>
          <w:rFonts w:ascii="Book Antiqua" w:hAnsi="Book Antiqua" w:cs="Arial"/>
        </w:rPr>
        <w:t>Results with non-normal distribution</w:t>
      </w:r>
      <w:r w:rsidR="00653A50" w:rsidRPr="00C311AE">
        <w:rPr>
          <w:rFonts w:ascii="Book Antiqua" w:eastAsiaTheme="minorEastAsia" w:hAnsi="Book Antiqua" w:cs="Arial" w:hint="eastAsia"/>
          <w:lang w:eastAsia="zh-CN"/>
        </w:rPr>
        <w:t xml:space="preserve">. </w:t>
      </w:r>
      <w:r w:rsidR="00F74461" w:rsidRPr="00C311AE">
        <w:rPr>
          <w:rFonts w:ascii="Book Antiqua" w:hAnsi="Book Antiqua" w:cs="Arial"/>
        </w:rPr>
        <w:t xml:space="preserve">Results expressed as </w:t>
      </w:r>
      <w:r w:rsidR="00061D2A" w:rsidRPr="00C311AE">
        <w:rPr>
          <w:rFonts w:ascii="Book Antiqua" w:hAnsi="Book Antiqua" w:cs="Arial"/>
        </w:rPr>
        <w:t xml:space="preserve">median </w:t>
      </w:r>
      <w:r w:rsidR="00F74461" w:rsidRPr="00C311AE">
        <w:rPr>
          <w:rFonts w:ascii="Book Antiqua" w:hAnsi="Book Antiqua" w:cs="Arial"/>
        </w:rPr>
        <w:t xml:space="preserve">± </w:t>
      </w:r>
      <w:r w:rsidR="00061D2A" w:rsidRPr="00C311AE">
        <w:rPr>
          <w:rFonts w:ascii="Book Antiqua" w:hAnsi="Book Antiqua" w:cs="Arial"/>
        </w:rPr>
        <w:t>interquartile range,</w:t>
      </w:r>
      <w:r w:rsidR="00F74461" w:rsidRPr="00C311AE">
        <w:rPr>
          <w:rFonts w:ascii="Book Antiqua" w:hAnsi="Book Antiqua" w:cs="Arial"/>
        </w:rPr>
        <w:t xml:space="preserve"> or percentage as appropriate. </w:t>
      </w:r>
      <w:r w:rsidR="00B36D21" w:rsidRPr="00C311AE">
        <w:rPr>
          <w:rFonts w:ascii="Book Antiqua" w:hAnsi="Book Antiqua" w:cs="Arial"/>
        </w:rPr>
        <w:t>Gp</w:t>
      </w:r>
      <w:r w:rsidR="00653A50" w:rsidRPr="00C311AE">
        <w:rPr>
          <w:rFonts w:ascii="Book Antiqua" w:eastAsiaTheme="minorEastAsia" w:hAnsi="Book Antiqua" w:cs="Arial" w:hint="eastAsia"/>
          <w:lang w:eastAsia="zh-CN"/>
        </w:rPr>
        <w:t xml:space="preserve">: </w:t>
      </w:r>
      <w:r w:rsidR="00B36D21" w:rsidRPr="00C311AE">
        <w:rPr>
          <w:rFonts w:ascii="Book Antiqua" w:hAnsi="Book Antiqua" w:cs="Arial"/>
        </w:rPr>
        <w:t>Gastroparesis</w:t>
      </w:r>
      <w:r w:rsidR="00653A50" w:rsidRPr="00C311AE">
        <w:rPr>
          <w:rFonts w:ascii="Book Antiqua" w:eastAsiaTheme="minorEastAsia" w:hAnsi="Book Antiqua" w:cs="Arial" w:hint="eastAsia"/>
          <w:lang w:eastAsia="zh-CN"/>
        </w:rPr>
        <w:t xml:space="preserve">; </w:t>
      </w:r>
      <w:r w:rsidR="00C931FD" w:rsidRPr="00C311AE">
        <w:rPr>
          <w:rFonts w:ascii="Book Antiqua" w:hAnsi="Book Antiqua" w:cs="Arial"/>
        </w:rPr>
        <w:t>IQR</w:t>
      </w:r>
      <w:r w:rsidR="00653A50" w:rsidRPr="00C311AE">
        <w:rPr>
          <w:rFonts w:ascii="Book Antiqua" w:eastAsiaTheme="minorEastAsia" w:hAnsi="Book Antiqua" w:cs="Arial" w:hint="eastAsia"/>
          <w:lang w:eastAsia="zh-CN"/>
        </w:rPr>
        <w:t xml:space="preserve">: </w:t>
      </w:r>
      <w:r w:rsidR="00C931FD" w:rsidRPr="00C311AE">
        <w:rPr>
          <w:rFonts w:ascii="Book Antiqua" w:hAnsi="Book Antiqua" w:cs="Arial"/>
        </w:rPr>
        <w:t xml:space="preserve">Interquartile </w:t>
      </w:r>
      <w:r w:rsidR="00653A50" w:rsidRPr="00C311AE">
        <w:rPr>
          <w:rFonts w:ascii="Book Antiqua" w:hAnsi="Book Antiqua" w:cs="Arial"/>
        </w:rPr>
        <w:t>r</w:t>
      </w:r>
      <w:r w:rsidR="00C931FD" w:rsidRPr="00C311AE">
        <w:rPr>
          <w:rFonts w:ascii="Book Antiqua" w:hAnsi="Book Antiqua" w:cs="Arial"/>
        </w:rPr>
        <w:t>ange</w:t>
      </w:r>
      <w:r w:rsidR="00653A50" w:rsidRPr="00C311AE">
        <w:rPr>
          <w:rFonts w:ascii="Book Antiqua" w:eastAsiaTheme="minorEastAsia" w:hAnsi="Book Antiqua" w:cs="Arial" w:hint="eastAsia"/>
          <w:lang w:eastAsia="zh-CN"/>
        </w:rPr>
        <w:t xml:space="preserve">; </w:t>
      </w:r>
      <w:r w:rsidRPr="00C311AE">
        <w:rPr>
          <w:rFonts w:ascii="Book Antiqua" w:hAnsi="Book Antiqua" w:cs="Arial"/>
        </w:rPr>
        <w:t>TSH</w:t>
      </w:r>
      <w:r w:rsidR="00653A50" w:rsidRPr="00C311AE">
        <w:rPr>
          <w:rFonts w:ascii="Book Antiqua" w:eastAsiaTheme="minorEastAsia" w:hAnsi="Book Antiqua" w:cs="Arial" w:hint="eastAsia"/>
          <w:lang w:eastAsia="zh-CN"/>
        </w:rPr>
        <w:t xml:space="preserve">: </w:t>
      </w:r>
      <w:r w:rsidRPr="00C311AE">
        <w:rPr>
          <w:rFonts w:ascii="Book Antiqua" w:hAnsi="Book Antiqua" w:cs="Arial"/>
        </w:rPr>
        <w:t xml:space="preserve">Thyroid </w:t>
      </w:r>
      <w:r w:rsidR="00653A50" w:rsidRPr="00C311AE">
        <w:rPr>
          <w:rFonts w:ascii="Book Antiqua" w:hAnsi="Book Antiqua" w:cs="Arial"/>
        </w:rPr>
        <w:t>s</w:t>
      </w:r>
      <w:r w:rsidRPr="00C311AE">
        <w:rPr>
          <w:rFonts w:ascii="Book Antiqua" w:hAnsi="Book Antiqua" w:cs="Arial"/>
        </w:rPr>
        <w:t xml:space="preserve">timulating </w:t>
      </w:r>
      <w:r w:rsidR="00653A50" w:rsidRPr="00C311AE">
        <w:rPr>
          <w:rFonts w:ascii="Book Antiqua" w:hAnsi="Book Antiqua" w:cs="Arial"/>
        </w:rPr>
        <w:t>hormone</w:t>
      </w:r>
      <w:r w:rsidR="00653A50" w:rsidRPr="00C311AE">
        <w:rPr>
          <w:rFonts w:ascii="Book Antiqua" w:eastAsiaTheme="minorEastAsia" w:hAnsi="Book Antiqua" w:cs="Arial" w:hint="eastAsia"/>
          <w:lang w:eastAsia="zh-CN"/>
        </w:rPr>
        <w:t>.</w:t>
      </w:r>
    </w:p>
    <w:p w14:paraId="04C94FF1" w14:textId="77777777" w:rsidR="00D37786" w:rsidRPr="00C311AE" w:rsidRDefault="00C24B3B" w:rsidP="00020CC7">
      <w:pPr>
        <w:snapToGrid w:val="0"/>
        <w:spacing w:line="360" w:lineRule="auto"/>
        <w:jc w:val="both"/>
        <w:rPr>
          <w:rFonts w:ascii="Book Antiqua" w:hAnsi="Book Antiqua" w:cs="Arial"/>
          <w:u w:val="single"/>
        </w:rPr>
      </w:pPr>
      <w:r w:rsidRPr="00C311AE">
        <w:rPr>
          <w:rFonts w:ascii="Book Antiqua" w:hAnsi="Book Antiqua" w:cs="Arial"/>
          <w:u w:val="single"/>
        </w:rPr>
        <w:br w:type="page"/>
      </w:r>
    </w:p>
    <w:p w14:paraId="0B492834" w14:textId="45CDB496" w:rsidR="00D37786" w:rsidRPr="00C311AE" w:rsidRDefault="00D37786" w:rsidP="00020CC7">
      <w:pPr>
        <w:snapToGrid w:val="0"/>
        <w:spacing w:line="360" w:lineRule="auto"/>
        <w:jc w:val="both"/>
        <w:rPr>
          <w:rFonts w:ascii="Book Antiqua" w:eastAsiaTheme="minorEastAsia" w:hAnsi="Book Antiqua" w:cs="Arial"/>
          <w:b/>
          <w:lang w:eastAsia="zh-CN"/>
        </w:rPr>
      </w:pPr>
      <w:r w:rsidRPr="00C311AE">
        <w:rPr>
          <w:rFonts w:ascii="Book Antiqua" w:hAnsi="Book Antiqua" w:cs="Arial"/>
          <w:b/>
        </w:rPr>
        <w:lastRenderedPageBreak/>
        <w:t>Table 3</w:t>
      </w:r>
      <w:r w:rsidR="00653A50" w:rsidRPr="00C311AE">
        <w:rPr>
          <w:rFonts w:ascii="Book Antiqua" w:eastAsiaTheme="minorEastAsia" w:hAnsi="Book Antiqua" w:cs="Arial" w:hint="eastAsia"/>
          <w:b/>
          <w:lang w:eastAsia="zh-CN"/>
        </w:rPr>
        <w:t xml:space="preserve"> </w:t>
      </w:r>
      <w:r w:rsidRPr="00C311AE">
        <w:rPr>
          <w:rFonts w:ascii="Book Antiqua" w:hAnsi="Book Antiqua" w:cs="Arial"/>
          <w:b/>
        </w:rPr>
        <w:t xml:space="preserve">Comparison of gastric </w:t>
      </w:r>
      <w:r w:rsidR="00E43297" w:rsidRPr="00C311AE">
        <w:rPr>
          <w:rFonts w:ascii="Book Antiqua" w:hAnsi="Book Antiqua" w:cs="Arial"/>
          <w:b/>
        </w:rPr>
        <w:t>emptying</w:t>
      </w:r>
      <w:r w:rsidRPr="00C311AE">
        <w:rPr>
          <w:rFonts w:ascii="Book Antiqua" w:hAnsi="Book Antiqua" w:cs="Arial"/>
          <w:b/>
        </w:rPr>
        <w:t xml:space="preserve"> </w:t>
      </w:r>
      <w:r w:rsidR="0008150D" w:rsidRPr="00C311AE">
        <w:rPr>
          <w:rFonts w:ascii="Book Antiqua" w:hAnsi="Book Antiqua" w:cs="Arial"/>
          <w:b/>
        </w:rPr>
        <w:t>scintigraphy results at different morphin</w:t>
      </w:r>
      <w:r w:rsidR="00887BE4" w:rsidRPr="00C311AE">
        <w:rPr>
          <w:rFonts w:ascii="Book Antiqua" w:hAnsi="Book Antiqua" w:cs="Arial"/>
          <w:b/>
        </w:rPr>
        <w:t xml:space="preserve">e equivalents per day in gastroparesis patients on chronic opioids </w:t>
      </w:r>
      <w:r w:rsidR="00E43297" w:rsidRPr="00C311AE">
        <w:rPr>
          <w:rFonts w:ascii="Book Antiqua" w:hAnsi="Book Antiqua" w:cs="Arial"/>
          <w:b/>
        </w:rPr>
        <w:t>using Analysis of Variance</w:t>
      </w:r>
    </w:p>
    <w:tbl>
      <w:tblPr>
        <w:tblStyle w:val="TableGrid"/>
        <w:tblW w:w="10162" w:type="dxa"/>
        <w:tblLook w:val="04A0" w:firstRow="1" w:lastRow="0" w:firstColumn="1" w:lastColumn="0" w:noHBand="0" w:noVBand="1"/>
      </w:tblPr>
      <w:tblGrid>
        <w:gridCol w:w="1907"/>
        <w:gridCol w:w="2271"/>
        <w:gridCol w:w="1647"/>
        <w:gridCol w:w="1660"/>
        <w:gridCol w:w="1554"/>
        <w:gridCol w:w="1123"/>
      </w:tblGrid>
      <w:tr w:rsidR="00653A50" w:rsidRPr="00C311AE" w14:paraId="5C44F884" w14:textId="77777777" w:rsidTr="00653A50">
        <w:trPr>
          <w:trHeight w:val="1631"/>
        </w:trPr>
        <w:tc>
          <w:tcPr>
            <w:tcW w:w="0" w:type="auto"/>
            <w:tcBorders>
              <w:left w:val="nil"/>
              <w:bottom w:val="single" w:sz="4" w:space="0" w:color="auto"/>
              <w:right w:val="nil"/>
            </w:tcBorders>
          </w:tcPr>
          <w:p w14:paraId="2906D07F" w14:textId="7D5C32B1" w:rsidR="00D37786" w:rsidRPr="00C311AE" w:rsidRDefault="002302BB" w:rsidP="00020CC7">
            <w:pPr>
              <w:snapToGrid w:val="0"/>
              <w:spacing w:line="360" w:lineRule="auto"/>
              <w:jc w:val="both"/>
              <w:rPr>
                <w:rFonts w:ascii="Book Antiqua" w:hAnsi="Book Antiqua" w:cs="Arial"/>
                <w:b/>
              </w:rPr>
            </w:pPr>
            <w:r w:rsidRPr="00C311AE">
              <w:rPr>
                <w:rFonts w:ascii="Book Antiqua" w:hAnsi="Book Antiqua" w:cs="Arial"/>
                <w:b/>
              </w:rPr>
              <w:t xml:space="preserve">Gastric </w:t>
            </w:r>
            <w:r w:rsidR="00653A50" w:rsidRPr="00C311AE">
              <w:rPr>
                <w:rFonts w:ascii="Book Antiqua" w:hAnsi="Book Antiqua" w:cs="Arial"/>
                <w:b/>
              </w:rPr>
              <w:t>e</w:t>
            </w:r>
            <w:r w:rsidRPr="00C311AE">
              <w:rPr>
                <w:rFonts w:ascii="Book Antiqua" w:hAnsi="Book Antiqua" w:cs="Arial"/>
                <w:b/>
              </w:rPr>
              <w:t xml:space="preserve">mptying </w:t>
            </w:r>
            <w:r w:rsidR="00653A50" w:rsidRPr="00C311AE">
              <w:rPr>
                <w:rFonts w:ascii="Book Antiqua" w:hAnsi="Book Antiqua" w:cs="Arial"/>
                <w:b/>
              </w:rPr>
              <w:t>s</w:t>
            </w:r>
            <w:r w:rsidRPr="00C311AE">
              <w:rPr>
                <w:rFonts w:ascii="Book Antiqua" w:hAnsi="Book Antiqua" w:cs="Arial"/>
                <w:b/>
              </w:rPr>
              <w:t>cintigraphy</w:t>
            </w:r>
          </w:p>
        </w:tc>
        <w:tc>
          <w:tcPr>
            <w:tcW w:w="0" w:type="auto"/>
            <w:tcBorders>
              <w:left w:val="nil"/>
              <w:bottom w:val="single" w:sz="4" w:space="0" w:color="auto"/>
              <w:right w:val="nil"/>
            </w:tcBorders>
          </w:tcPr>
          <w:p w14:paraId="05794EB0" w14:textId="7F95A7B2" w:rsidR="00D37786" w:rsidRPr="00C311AE" w:rsidRDefault="00D37786" w:rsidP="00020CC7">
            <w:pPr>
              <w:snapToGrid w:val="0"/>
              <w:spacing w:line="360" w:lineRule="auto"/>
              <w:jc w:val="both"/>
              <w:rPr>
                <w:rFonts w:ascii="Book Antiqua" w:hAnsi="Book Antiqua" w:cs="Arial"/>
                <w:b/>
                <w:vertAlign w:val="superscript"/>
              </w:rPr>
            </w:pPr>
            <w:r w:rsidRPr="00C311AE">
              <w:rPr>
                <w:rFonts w:ascii="Book Antiqua" w:hAnsi="Book Antiqua" w:cs="Arial"/>
                <w:b/>
              </w:rPr>
              <w:t>1</w:t>
            </w:r>
            <w:r w:rsidRPr="00C311AE">
              <w:rPr>
                <w:rFonts w:ascii="Book Antiqua" w:hAnsi="Book Antiqua" w:cs="Arial"/>
                <w:b/>
                <w:vertAlign w:val="superscript"/>
              </w:rPr>
              <w:t>st</w:t>
            </w:r>
            <w:r w:rsidRPr="00C311AE">
              <w:rPr>
                <w:rFonts w:ascii="Book Antiqua" w:hAnsi="Book Antiqua" w:cs="Arial"/>
                <w:b/>
              </w:rPr>
              <w:t xml:space="preserve"> quartile</w:t>
            </w:r>
            <w:r w:rsidR="004142B0" w:rsidRPr="00C311AE">
              <w:rPr>
                <w:rFonts w:ascii="Book Antiqua" w:hAnsi="Book Antiqua" w:cs="Arial"/>
                <w:b/>
              </w:rPr>
              <w:t xml:space="preserve"> (</w:t>
            </w:r>
            <w:r w:rsidR="004142B0" w:rsidRPr="00C311AE">
              <w:rPr>
                <w:rStyle w:val="tgc"/>
                <w:rFonts w:ascii="Book Antiqua" w:hAnsi="Book Antiqua" w:cs="Arial"/>
                <w:b/>
                <w:lang w:val="en"/>
              </w:rPr>
              <w:t>≤</w:t>
            </w:r>
            <w:r w:rsidR="00653A50" w:rsidRPr="00C311AE">
              <w:rPr>
                <w:rStyle w:val="tgc"/>
                <w:rFonts w:ascii="Book Antiqua" w:eastAsiaTheme="minorEastAsia" w:hAnsi="Book Antiqua" w:cs="Arial" w:hint="eastAsia"/>
                <w:b/>
                <w:lang w:val="en" w:eastAsia="zh-CN"/>
              </w:rPr>
              <w:t xml:space="preserve"> </w:t>
            </w:r>
            <w:r w:rsidR="004142B0" w:rsidRPr="00C311AE">
              <w:rPr>
                <w:rStyle w:val="tgc"/>
                <w:rFonts w:ascii="Book Antiqua" w:hAnsi="Book Antiqua" w:cs="Arial"/>
                <w:b/>
                <w:lang w:val="en"/>
              </w:rPr>
              <w:t>22.5 mg of morphine equivalents per day</w:t>
            </w:r>
            <w:r w:rsidR="004142B0" w:rsidRPr="00C311AE">
              <w:rPr>
                <w:rFonts w:ascii="Book Antiqua" w:hAnsi="Book Antiqua" w:cs="Arial"/>
                <w:b/>
              </w:rPr>
              <w:t>)</w:t>
            </w:r>
          </w:p>
        </w:tc>
        <w:tc>
          <w:tcPr>
            <w:tcW w:w="0" w:type="auto"/>
            <w:tcBorders>
              <w:left w:val="nil"/>
              <w:bottom w:val="single" w:sz="4" w:space="0" w:color="auto"/>
              <w:right w:val="nil"/>
            </w:tcBorders>
          </w:tcPr>
          <w:p w14:paraId="19CC7268" w14:textId="323D7234" w:rsidR="00D37786" w:rsidRPr="00C311AE" w:rsidRDefault="00D37786" w:rsidP="00020CC7">
            <w:pPr>
              <w:snapToGrid w:val="0"/>
              <w:spacing w:line="360" w:lineRule="auto"/>
              <w:jc w:val="both"/>
              <w:rPr>
                <w:rFonts w:ascii="Book Antiqua" w:hAnsi="Book Antiqua" w:cs="Arial"/>
                <w:b/>
                <w:vertAlign w:val="superscript"/>
              </w:rPr>
            </w:pPr>
            <w:r w:rsidRPr="00C311AE">
              <w:rPr>
                <w:rFonts w:ascii="Book Antiqua" w:hAnsi="Book Antiqua" w:cs="Arial"/>
                <w:b/>
              </w:rPr>
              <w:t>2</w:t>
            </w:r>
            <w:r w:rsidRPr="00C311AE">
              <w:rPr>
                <w:rFonts w:ascii="Book Antiqua" w:hAnsi="Book Antiqua" w:cs="Arial"/>
                <w:b/>
                <w:vertAlign w:val="superscript"/>
              </w:rPr>
              <w:t>nd</w:t>
            </w:r>
            <w:r w:rsidRPr="00C311AE">
              <w:rPr>
                <w:rFonts w:ascii="Book Antiqua" w:hAnsi="Book Antiqua" w:cs="Arial"/>
                <w:b/>
              </w:rPr>
              <w:t xml:space="preserve"> quartile</w:t>
            </w:r>
            <w:r w:rsidR="004142B0" w:rsidRPr="00C311AE">
              <w:rPr>
                <w:rFonts w:ascii="Book Antiqua" w:hAnsi="Book Antiqua" w:cs="Arial"/>
                <w:b/>
                <w:vertAlign w:val="superscript"/>
              </w:rPr>
              <w:t xml:space="preserve"> </w:t>
            </w:r>
            <w:r w:rsidR="004142B0" w:rsidRPr="00C311AE">
              <w:rPr>
                <w:rFonts w:ascii="Book Antiqua" w:hAnsi="Book Antiqua" w:cs="Arial"/>
                <w:b/>
              </w:rPr>
              <w:t>(</w:t>
            </w:r>
            <w:r w:rsidR="004142B0" w:rsidRPr="00C311AE">
              <w:rPr>
                <w:rStyle w:val="tgc"/>
                <w:rFonts w:ascii="Book Antiqua" w:hAnsi="Book Antiqua" w:cs="Arial"/>
                <w:b/>
                <w:lang w:val="en"/>
              </w:rPr>
              <w:t>&gt;</w:t>
            </w:r>
            <w:r w:rsidR="00653A50" w:rsidRPr="00C311AE">
              <w:rPr>
                <w:rStyle w:val="tgc"/>
                <w:rFonts w:ascii="Book Antiqua" w:eastAsiaTheme="minorEastAsia" w:hAnsi="Book Antiqua" w:cs="Arial" w:hint="eastAsia"/>
                <w:b/>
                <w:lang w:val="en" w:eastAsia="zh-CN"/>
              </w:rPr>
              <w:t xml:space="preserve"> </w:t>
            </w:r>
            <w:r w:rsidR="00653A50" w:rsidRPr="00C311AE">
              <w:rPr>
                <w:rStyle w:val="tgc"/>
                <w:rFonts w:ascii="Book Antiqua" w:hAnsi="Book Antiqua" w:cs="Arial"/>
                <w:b/>
                <w:lang w:val="en"/>
              </w:rPr>
              <w:t>22.5 mg/d</w:t>
            </w:r>
            <w:r w:rsidR="004142B0" w:rsidRPr="00C311AE">
              <w:rPr>
                <w:rStyle w:val="tgc"/>
                <w:rFonts w:ascii="Book Antiqua" w:hAnsi="Book Antiqua" w:cs="Arial"/>
                <w:b/>
                <w:lang w:val="en"/>
              </w:rPr>
              <w:t>, and ≤</w:t>
            </w:r>
            <w:r w:rsidR="00653A50" w:rsidRPr="00C311AE">
              <w:rPr>
                <w:rStyle w:val="tgc"/>
                <w:rFonts w:ascii="Book Antiqua" w:eastAsiaTheme="minorEastAsia" w:hAnsi="Book Antiqua" w:cs="Arial" w:hint="eastAsia"/>
                <w:b/>
                <w:lang w:val="en" w:eastAsia="zh-CN"/>
              </w:rPr>
              <w:t xml:space="preserve"> </w:t>
            </w:r>
            <w:r w:rsidR="00653A50" w:rsidRPr="00C311AE">
              <w:rPr>
                <w:rStyle w:val="tgc"/>
                <w:rFonts w:ascii="Book Antiqua" w:hAnsi="Book Antiqua" w:cs="Arial"/>
                <w:b/>
                <w:lang w:val="en"/>
              </w:rPr>
              <w:t>60 mg/d</w:t>
            </w:r>
            <w:r w:rsidR="004142B0" w:rsidRPr="00C311AE">
              <w:rPr>
                <w:rFonts w:ascii="Book Antiqua" w:hAnsi="Book Antiqua" w:cs="Arial"/>
                <w:b/>
              </w:rPr>
              <w:t>)</w:t>
            </w:r>
          </w:p>
        </w:tc>
        <w:tc>
          <w:tcPr>
            <w:tcW w:w="0" w:type="auto"/>
            <w:tcBorders>
              <w:left w:val="nil"/>
              <w:bottom w:val="single" w:sz="4" w:space="0" w:color="auto"/>
              <w:right w:val="nil"/>
            </w:tcBorders>
          </w:tcPr>
          <w:p w14:paraId="534DC9A9" w14:textId="56DA33D6" w:rsidR="00D37786" w:rsidRPr="00C311AE" w:rsidRDefault="00D37786" w:rsidP="00020CC7">
            <w:pPr>
              <w:snapToGrid w:val="0"/>
              <w:spacing w:line="360" w:lineRule="auto"/>
              <w:jc w:val="both"/>
              <w:rPr>
                <w:rFonts w:ascii="Book Antiqua" w:hAnsi="Book Antiqua" w:cs="Arial"/>
                <w:b/>
                <w:vertAlign w:val="superscript"/>
              </w:rPr>
            </w:pPr>
            <w:r w:rsidRPr="00C311AE">
              <w:rPr>
                <w:rFonts w:ascii="Book Antiqua" w:hAnsi="Book Antiqua" w:cs="Arial"/>
                <w:b/>
              </w:rPr>
              <w:t>3</w:t>
            </w:r>
            <w:r w:rsidRPr="00C311AE">
              <w:rPr>
                <w:rFonts w:ascii="Book Antiqua" w:hAnsi="Book Antiqua" w:cs="Arial"/>
                <w:b/>
                <w:vertAlign w:val="superscript"/>
              </w:rPr>
              <w:t>rd</w:t>
            </w:r>
            <w:r w:rsidRPr="00C311AE">
              <w:rPr>
                <w:rFonts w:ascii="Book Antiqua" w:hAnsi="Book Antiqua" w:cs="Arial"/>
                <w:b/>
              </w:rPr>
              <w:t xml:space="preserve"> quartile</w:t>
            </w:r>
            <w:r w:rsidR="004142B0" w:rsidRPr="00C311AE">
              <w:rPr>
                <w:rFonts w:ascii="Book Antiqua" w:hAnsi="Book Antiqua" w:cs="Arial"/>
                <w:b/>
                <w:vertAlign w:val="superscript"/>
              </w:rPr>
              <w:t xml:space="preserve"> </w:t>
            </w:r>
            <w:r w:rsidR="004142B0" w:rsidRPr="00C311AE">
              <w:rPr>
                <w:rFonts w:ascii="Book Antiqua" w:hAnsi="Book Antiqua" w:cs="Arial"/>
                <w:b/>
              </w:rPr>
              <w:t>(</w:t>
            </w:r>
            <w:r w:rsidR="004142B0" w:rsidRPr="00C311AE">
              <w:rPr>
                <w:rStyle w:val="tgc"/>
                <w:rFonts w:ascii="Book Antiqua" w:hAnsi="Book Antiqua" w:cs="Arial"/>
                <w:b/>
                <w:lang w:val="en"/>
              </w:rPr>
              <w:t>&gt;</w:t>
            </w:r>
            <w:r w:rsidR="00653A50" w:rsidRPr="00C311AE">
              <w:rPr>
                <w:rStyle w:val="tgc"/>
                <w:rFonts w:ascii="Book Antiqua" w:eastAsiaTheme="minorEastAsia" w:hAnsi="Book Antiqua" w:cs="Arial" w:hint="eastAsia"/>
                <w:b/>
                <w:lang w:val="en" w:eastAsia="zh-CN"/>
              </w:rPr>
              <w:t xml:space="preserve"> </w:t>
            </w:r>
            <w:r w:rsidR="00653A50" w:rsidRPr="00C311AE">
              <w:rPr>
                <w:rStyle w:val="tgc"/>
                <w:rFonts w:ascii="Book Antiqua" w:hAnsi="Book Antiqua" w:cs="Arial"/>
                <w:b/>
                <w:lang w:val="en"/>
              </w:rPr>
              <w:t>60 mg/d</w:t>
            </w:r>
            <w:r w:rsidR="004142B0" w:rsidRPr="00C311AE">
              <w:rPr>
                <w:rStyle w:val="tgc"/>
                <w:rFonts w:ascii="Book Antiqua" w:hAnsi="Book Antiqua" w:cs="Arial"/>
                <w:b/>
                <w:lang w:val="en"/>
              </w:rPr>
              <w:t>, and ≤</w:t>
            </w:r>
            <w:r w:rsidR="00653A50" w:rsidRPr="00C311AE">
              <w:rPr>
                <w:rStyle w:val="tgc"/>
                <w:rFonts w:ascii="Book Antiqua" w:eastAsiaTheme="minorEastAsia" w:hAnsi="Book Antiqua" w:cs="Arial" w:hint="eastAsia"/>
                <w:b/>
                <w:lang w:val="en" w:eastAsia="zh-CN"/>
              </w:rPr>
              <w:t xml:space="preserve"> </w:t>
            </w:r>
            <w:r w:rsidR="004142B0" w:rsidRPr="00C311AE">
              <w:rPr>
                <w:rStyle w:val="tgc"/>
                <w:rFonts w:ascii="Book Antiqua" w:hAnsi="Book Antiqua" w:cs="Arial"/>
                <w:b/>
                <w:lang w:val="en"/>
              </w:rPr>
              <w:t>112.5</w:t>
            </w:r>
            <w:r w:rsidR="00653A50" w:rsidRPr="00C311AE">
              <w:rPr>
                <w:rStyle w:val="tgc"/>
                <w:rFonts w:ascii="Book Antiqua" w:eastAsiaTheme="minorEastAsia" w:hAnsi="Book Antiqua" w:cs="Arial" w:hint="eastAsia"/>
                <w:b/>
                <w:lang w:val="en" w:eastAsia="zh-CN"/>
              </w:rPr>
              <w:t xml:space="preserve"> </w:t>
            </w:r>
            <w:r w:rsidR="00653A50" w:rsidRPr="00C311AE">
              <w:rPr>
                <w:rStyle w:val="tgc"/>
                <w:rFonts w:ascii="Book Antiqua" w:hAnsi="Book Antiqua" w:cs="Arial"/>
                <w:b/>
                <w:lang w:val="en"/>
              </w:rPr>
              <w:t>mg/d</w:t>
            </w:r>
            <w:r w:rsidR="004142B0" w:rsidRPr="00C311AE">
              <w:rPr>
                <w:rFonts w:ascii="Book Antiqua" w:hAnsi="Book Antiqua" w:cs="Arial"/>
                <w:b/>
              </w:rPr>
              <w:t>)</w:t>
            </w:r>
          </w:p>
        </w:tc>
        <w:tc>
          <w:tcPr>
            <w:tcW w:w="1554" w:type="dxa"/>
            <w:tcBorders>
              <w:left w:val="nil"/>
              <w:bottom w:val="single" w:sz="4" w:space="0" w:color="auto"/>
              <w:right w:val="nil"/>
            </w:tcBorders>
          </w:tcPr>
          <w:p w14:paraId="6A3E35FA" w14:textId="6A31F67C" w:rsidR="00D37786" w:rsidRPr="00C311AE" w:rsidRDefault="00D37786" w:rsidP="00020CC7">
            <w:pPr>
              <w:snapToGrid w:val="0"/>
              <w:spacing w:line="360" w:lineRule="auto"/>
              <w:jc w:val="both"/>
              <w:rPr>
                <w:rFonts w:ascii="Book Antiqua" w:hAnsi="Book Antiqua" w:cs="Arial"/>
                <w:b/>
                <w:lang w:val="en"/>
              </w:rPr>
            </w:pPr>
            <w:r w:rsidRPr="00C311AE">
              <w:rPr>
                <w:rFonts w:ascii="Book Antiqua" w:hAnsi="Book Antiqua" w:cs="Arial"/>
                <w:b/>
              </w:rPr>
              <w:t>4</w:t>
            </w:r>
            <w:r w:rsidRPr="00C311AE">
              <w:rPr>
                <w:rFonts w:ascii="Book Antiqua" w:hAnsi="Book Antiqua" w:cs="Arial"/>
                <w:b/>
                <w:vertAlign w:val="superscript"/>
              </w:rPr>
              <w:t>th</w:t>
            </w:r>
            <w:r w:rsidRPr="00C311AE">
              <w:rPr>
                <w:rFonts w:ascii="Book Antiqua" w:hAnsi="Book Antiqua" w:cs="Arial"/>
                <w:b/>
              </w:rPr>
              <w:t xml:space="preserve"> quartile</w:t>
            </w:r>
            <w:r w:rsidR="004142B0" w:rsidRPr="00C311AE">
              <w:rPr>
                <w:rFonts w:ascii="Book Antiqua" w:hAnsi="Book Antiqua" w:cs="Arial"/>
                <w:b/>
                <w:vertAlign w:val="superscript"/>
              </w:rPr>
              <w:t xml:space="preserve"> </w:t>
            </w:r>
            <w:r w:rsidR="004142B0" w:rsidRPr="00C311AE">
              <w:rPr>
                <w:rFonts w:ascii="Book Antiqua" w:hAnsi="Book Antiqua" w:cs="Arial"/>
                <w:b/>
              </w:rPr>
              <w:t>(</w:t>
            </w:r>
            <w:r w:rsidR="004142B0" w:rsidRPr="00C311AE">
              <w:rPr>
                <w:rStyle w:val="tgc"/>
                <w:rFonts w:ascii="Book Antiqua" w:hAnsi="Book Antiqua" w:cs="Arial"/>
                <w:b/>
                <w:lang w:val="en"/>
              </w:rPr>
              <w:t>&gt;</w:t>
            </w:r>
            <w:r w:rsidR="00653A50" w:rsidRPr="00C311AE">
              <w:rPr>
                <w:rStyle w:val="tgc"/>
                <w:rFonts w:ascii="Book Antiqua" w:eastAsiaTheme="minorEastAsia" w:hAnsi="Book Antiqua" w:cs="Arial" w:hint="eastAsia"/>
                <w:b/>
                <w:lang w:val="en" w:eastAsia="zh-CN"/>
              </w:rPr>
              <w:t xml:space="preserve"> </w:t>
            </w:r>
            <w:r w:rsidR="00653A50" w:rsidRPr="00C311AE">
              <w:rPr>
                <w:rStyle w:val="tgc"/>
                <w:rFonts w:ascii="Book Antiqua" w:hAnsi="Book Antiqua" w:cs="Arial"/>
                <w:b/>
                <w:lang w:val="en"/>
              </w:rPr>
              <w:t>112.5 mg/d</w:t>
            </w:r>
            <w:r w:rsidR="004142B0" w:rsidRPr="00C311AE">
              <w:rPr>
                <w:rFonts w:ascii="Book Antiqua" w:hAnsi="Book Antiqua" w:cs="Arial"/>
                <w:b/>
              </w:rPr>
              <w:t>)</w:t>
            </w:r>
          </w:p>
        </w:tc>
        <w:tc>
          <w:tcPr>
            <w:tcW w:w="1123" w:type="dxa"/>
            <w:tcBorders>
              <w:left w:val="nil"/>
              <w:bottom w:val="single" w:sz="4" w:space="0" w:color="auto"/>
              <w:right w:val="nil"/>
            </w:tcBorders>
          </w:tcPr>
          <w:p w14:paraId="6FA9B300" w14:textId="455EDE9D" w:rsidR="00D37786" w:rsidRPr="00C311AE" w:rsidRDefault="0008150D" w:rsidP="00020CC7">
            <w:pPr>
              <w:snapToGrid w:val="0"/>
              <w:spacing w:line="360" w:lineRule="auto"/>
              <w:jc w:val="both"/>
              <w:rPr>
                <w:rFonts w:ascii="Book Antiqua" w:hAnsi="Book Antiqua" w:cs="Arial"/>
                <w:b/>
              </w:rPr>
            </w:pPr>
            <w:r w:rsidRPr="00C311AE">
              <w:rPr>
                <w:rFonts w:ascii="Book Antiqua" w:hAnsi="Book Antiqua" w:cs="Arial"/>
                <w:b/>
                <w:i/>
                <w:caps/>
              </w:rPr>
              <w:t>p</w:t>
            </w:r>
            <w:r w:rsidR="00D37786" w:rsidRPr="00C311AE">
              <w:rPr>
                <w:rFonts w:ascii="Book Antiqua" w:hAnsi="Book Antiqua" w:cs="Arial"/>
                <w:b/>
              </w:rPr>
              <w:t xml:space="preserve"> value</w:t>
            </w:r>
          </w:p>
        </w:tc>
      </w:tr>
      <w:tr w:rsidR="00653A50" w:rsidRPr="00C311AE" w14:paraId="29E72BE6" w14:textId="77777777" w:rsidTr="00653A50">
        <w:trPr>
          <w:trHeight w:val="748"/>
        </w:trPr>
        <w:tc>
          <w:tcPr>
            <w:tcW w:w="0" w:type="auto"/>
            <w:tcBorders>
              <w:left w:val="nil"/>
              <w:bottom w:val="nil"/>
              <w:right w:val="nil"/>
            </w:tcBorders>
          </w:tcPr>
          <w:p w14:paraId="5CFEC0FC" w14:textId="1F575CF2" w:rsidR="00D37786" w:rsidRPr="00C311AE" w:rsidRDefault="00B9015C" w:rsidP="00020CC7">
            <w:pPr>
              <w:snapToGrid w:val="0"/>
              <w:spacing w:line="360" w:lineRule="auto"/>
              <w:jc w:val="both"/>
              <w:rPr>
                <w:rFonts w:ascii="Book Antiqua" w:hAnsi="Book Antiqua" w:cs="Arial"/>
              </w:rPr>
            </w:pPr>
            <w:r w:rsidRPr="00C311AE">
              <w:rPr>
                <w:rFonts w:ascii="Book Antiqua" w:hAnsi="Book Antiqua" w:cs="Arial"/>
              </w:rPr>
              <w:t>Retention at 2 h</w:t>
            </w:r>
            <w:r w:rsidR="00653A50" w:rsidRPr="00C311AE">
              <w:rPr>
                <w:rFonts w:ascii="Book Antiqua" w:eastAsiaTheme="minorEastAsia" w:hAnsi="Book Antiqua" w:cs="Arial" w:hint="eastAsia"/>
                <w:lang w:eastAsia="zh-CN"/>
              </w:rPr>
              <w:t xml:space="preserve"> </w:t>
            </w:r>
            <w:r w:rsidRPr="00C311AE">
              <w:rPr>
                <w:rFonts w:ascii="Book Antiqua" w:hAnsi="Book Antiqua" w:cs="Arial"/>
              </w:rPr>
              <w:t>(mean ± SEM</w:t>
            </w:r>
            <w:r w:rsidR="00D37786" w:rsidRPr="00C311AE">
              <w:rPr>
                <w:rFonts w:ascii="Book Antiqua" w:hAnsi="Book Antiqua" w:cs="Arial"/>
              </w:rPr>
              <w:t>)</w:t>
            </w:r>
          </w:p>
        </w:tc>
        <w:tc>
          <w:tcPr>
            <w:tcW w:w="0" w:type="auto"/>
            <w:tcBorders>
              <w:left w:val="nil"/>
              <w:bottom w:val="nil"/>
              <w:right w:val="nil"/>
            </w:tcBorders>
          </w:tcPr>
          <w:p w14:paraId="343E6601" w14:textId="3510A1F3" w:rsidR="00D37786" w:rsidRPr="00C311AE" w:rsidRDefault="00B9015C" w:rsidP="00020CC7">
            <w:pPr>
              <w:snapToGrid w:val="0"/>
              <w:spacing w:line="360" w:lineRule="auto"/>
              <w:jc w:val="both"/>
              <w:rPr>
                <w:rFonts w:ascii="Book Antiqua" w:hAnsi="Book Antiqua" w:cs="Arial"/>
              </w:rPr>
            </w:pPr>
            <w:r w:rsidRPr="00C311AE">
              <w:rPr>
                <w:rFonts w:ascii="Book Antiqua" w:hAnsi="Book Antiqua" w:cs="Arial"/>
              </w:rPr>
              <w:t>68</w:t>
            </w:r>
            <w:r w:rsidR="00D37786" w:rsidRPr="00C311AE">
              <w:rPr>
                <w:rFonts w:ascii="Book Antiqua" w:hAnsi="Book Antiqua" w:cs="Arial"/>
              </w:rPr>
              <w:t>%</w:t>
            </w:r>
            <w:r w:rsidRPr="00C311AE">
              <w:rPr>
                <w:rFonts w:ascii="Book Antiqua" w:hAnsi="Book Antiqua" w:cs="Arial"/>
              </w:rPr>
              <w:t xml:space="preserve"> ± 6%</w:t>
            </w:r>
          </w:p>
        </w:tc>
        <w:tc>
          <w:tcPr>
            <w:tcW w:w="0" w:type="auto"/>
            <w:tcBorders>
              <w:left w:val="nil"/>
              <w:bottom w:val="nil"/>
              <w:right w:val="nil"/>
            </w:tcBorders>
          </w:tcPr>
          <w:p w14:paraId="58DC01C3" w14:textId="2E7F9D70" w:rsidR="00D37786" w:rsidRPr="00C311AE" w:rsidRDefault="00D37786" w:rsidP="00020CC7">
            <w:pPr>
              <w:snapToGrid w:val="0"/>
              <w:spacing w:line="360" w:lineRule="auto"/>
              <w:jc w:val="both"/>
              <w:rPr>
                <w:rFonts w:ascii="Book Antiqua" w:hAnsi="Book Antiqua" w:cs="Arial"/>
              </w:rPr>
            </w:pPr>
            <w:r w:rsidRPr="00C311AE">
              <w:rPr>
                <w:rFonts w:ascii="Book Antiqua" w:hAnsi="Book Antiqua" w:cs="Arial"/>
              </w:rPr>
              <w:t>5</w:t>
            </w:r>
            <w:r w:rsidR="00B9015C" w:rsidRPr="00C311AE">
              <w:rPr>
                <w:rFonts w:ascii="Book Antiqua" w:hAnsi="Book Antiqua" w:cs="Arial"/>
              </w:rPr>
              <w:t>4</w:t>
            </w:r>
            <w:r w:rsidRPr="00C311AE">
              <w:rPr>
                <w:rFonts w:ascii="Book Antiqua" w:hAnsi="Book Antiqua" w:cs="Arial"/>
              </w:rPr>
              <w:t>%</w:t>
            </w:r>
            <w:r w:rsidR="00B9015C" w:rsidRPr="00C311AE">
              <w:rPr>
                <w:rFonts w:ascii="Book Antiqua" w:hAnsi="Book Antiqua" w:cs="Arial"/>
              </w:rPr>
              <w:t xml:space="preserve"> ± 8%</w:t>
            </w:r>
          </w:p>
        </w:tc>
        <w:tc>
          <w:tcPr>
            <w:tcW w:w="0" w:type="auto"/>
            <w:tcBorders>
              <w:left w:val="nil"/>
              <w:bottom w:val="nil"/>
              <w:right w:val="nil"/>
            </w:tcBorders>
          </w:tcPr>
          <w:p w14:paraId="0B3C8809" w14:textId="78A979F5" w:rsidR="00D37786" w:rsidRPr="00C311AE" w:rsidRDefault="00D37786" w:rsidP="00020CC7">
            <w:pPr>
              <w:snapToGrid w:val="0"/>
              <w:spacing w:line="360" w:lineRule="auto"/>
              <w:jc w:val="both"/>
              <w:rPr>
                <w:rFonts w:ascii="Book Antiqua" w:hAnsi="Book Antiqua" w:cs="Arial"/>
              </w:rPr>
            </w:pPr>
            <w:r w:rsidRPr="00C311AE">
              <w:rPr>
                <w:rFonts w:ascii="Book Antiqua" w:hAnsi="Book Antiqua" w:cs="Arial"/>
              </w:rPr>
              <w:t>84%</w:t>
            </w:r>
            <w:r w:rsidR="00B9015C" w:rsidRPr="00C311AE">
              <w:rPr>
                <w:rFonts w:ascii="Book Antiqua" w:hAnsi="Book Antiqua" w:cs="Arial"/>
              </w:rPr>
              <w:t xml:space="preserve"> ± 5%</w:t>
            </w:r>
          </w:p>
        </w:tc>
        <w:tc>
          <w:tcPr>
            <w:tcW w:w="1554" w:type="dxa"/>
            <w:tcBorders>
              <w:left w:val="nil"/>
              <w:bottom w:val="nil"/>
              <w:right w:val="nil"/>
            </w:tcBorders>
          </w:tcPr>
          <w:p w14:paraId="2C3B6DDA" w14:textId="36BC9683" w:rsidR="00D37786" w:rsidRPr="00C311AE" w:rsidRDefault="00D37786" w:rsidP="00020CC7">
            <w:pPr>
              <w:snapToGrid w:val="0"/>
              <w:spacing w:line="360" w:lineRule="auto"/>
              <w:jc w:val="both"/>
              <w:rPr>
                <w:rFonts w:ascii="Book Antiqua" w:hAnsi="Book Antiqua" w:cs="Arial"/>
              </w:rPr>
            </w:pPr>
            <w:r w:rsidRPr="00C311AE">
              <w:rPr>
                <w:rFonts w:ascii="Book Antiqua" w:hAnsi="Book Antiqua" w:cs="Arial"/>
              </w:rPr>
              <w:t>60%</w:t>
            </w:r>
            <w:r w:rsidR="00B9015C" w:rsidRPr="00C311AE">
              <w:rPr>
                <w:rFonts w:ascii="Book Antiqua" w:hAnsi="Book Antiqua" w:cs="Arial"/>
              </w:rPr>
              <w:t xml:space="preserve"> ± 9%</w:t>
            </w:r>
          </w:p>
        </w:tc>
        <w:tc>
          <w:tcPr>
            <w:tcW w:w="1123" w:type="dxa"/>
            <w:tcBorders>
              <w:left w:val="nil"/>
              <w:bottom w:val="nil"/>
              <w:right w:val="nil"/>
            </w:tcBorders>
          </w:tcPr>
          <w:p w14:paraId="7EF220F4" w14:textId="54B3613B" w:rsidR="00D37786" w:rsidRPr="00C311AE" w:rsidRDefault="002302BB" w:rsidP="00020CC7">
            <w:pPr>
              <w:snapToGrid w:val="0"/>
              <w:spacing w:line="360" w:lineRule="auto"/>
              <w:jc w:val="both"/>
              <w:rPr>
                <w:rFonts w:ascii="Book Antiqua" w:hAnsi="Book Antiqua" w:cs="Arial"/>
              </w:rPr>
            </w:pPr>
            <w:r w:rsidRPr="00C311AE">
              <w:rPr>
                <w:rFonts w:ascii="Book Antiqua" w:hAnsi="Book Antiqua" w:cs="Arial"/>
              </w:rPr>
              <w:t>0.</w:t>
            </w:r>
            <w:r w:rsidR="00D37786" w:rsidRPr="00C311AE">
              <w:rPr>
                <w:rFonts w:ascii="Book Antiqua" w:hAnsi="Book Antiqua" w:cs="Arial"/>
              </w:rPr>
              <w:t>157</w:t>
            </w:r>
          </w:p>
        </w:tc>
      </w:tr>
      <w:tr w:rsidR="00653A50" w:rsidRPr="00C311AE" w14:paraId="4706E23A" w14:textId="77777777" w:rsidTr="00653A50">
        <w:trPr>
          <w:trHeight w:val="792"/>
        </w:trPr>
        <w:tc>
          <w:tcPr>
            <w:tcW w:w="0" w:type="auto"/>
            <w:tcBorders>
              <w:top w:val="nil"/>
              <w:left w:val="nil"/>
              <w:right w:val="nil"/>
            </w:tcBorders>
          </w:tcPr>
          <w:p w14:paraId="248BE8C1" w14:textId="043469E7" w:rsidR="00D37786" w:rsidRPr="00C311AE" w:rsidRDefault="00D37786" w:rsidP="00020CC7">
            <w:pPr>
              <w:snapToGrid w:val="0"/>
              <w:spacing w:line="360" w:lineRule="auto"/>
              <w:jc w:val="both"/>
              <w:rPr>
                <w:rFonts w:ascii="Book Antiqua" w:hAnsi="Book Antiqua" w:cs="Arial"/>
              </w:rPr>
            </w:pPr>
            <w:r w:rsidRPr="00C311AE">
              <w:rPr>
                <w:rFonts w:ascii="Book Antiqua" w:hAnsi="Book Antiqua" w:cs="Arial"/>
              </w:rPr>
              <w:t xml:space="preserve">Retention </w:t>
            </w:r>
            <w:r w:rsidR="00B9015C" w:rsidRPr="00C311AE">
              <w:rPr>
                <w:rFonts w:ascii="Book Antiqua" w:hAnsi="Book Antiqua" w:cs="Arial"/>
              </w:rPr>
              <w:t>at 4 h</w:t>
            </w:r>
            <w:r w:rsidR="00653A50" w:rsidRPr="00C311AE">
              <w:rPr>
                <w:rFonts w:ascii="Book Antiqua" w:eastAsiaTheme="minorEastAsia" w:hAnsi="Book Antiqua" w:cs="Arial" w:hint="eastAsia"/>
                <w:lang w:eastAsia="zh-CN"/>
              </w:rPr>
              <w:t xml:space="preserve"> </w:t>
            </w:r>
            <w:r w:rsidR="00B9015C" w:rsidRPr="00C311AE">
              <w:rPr>
                <w:rFonts w:ascii="Book Antiqua" w:hAnsi="Book Antiqua" w:cs="Arial"/>
              </w:rPr>
              <w:t>(mean ± SEM</w:t>
            </w:r>
            <w:r w:rsidRPr="00C311AE">
              <w:rPr>
                <w:rFonts w:ascii="Book Antiqua" w:hAnsi="Book Antiqua" w:cs="Arial"/>
              </w:rPr>
              <w:t>)</w:t>
            </w:r>
          </w:p>
        </w:tc>
        <w:tc>
          <w:tcPr>
            <w:tcW w:w="0" w:type="auto"/>
            <w:tcBorders>
              <w:top w:val="nil"/>
              <w:left w:val="nil"/>
              <w:right w:val="nil"/>
            </w:tcBorders>
          </w:tcPr>
          <w:p w14:paraId="266CF18E" w14:textId="619EE1F2" w:rsidR="00D37786" w:rsidRPr="00C311AE" w:rsidRDefault="00B9015C" w:rsidP="00020CC7">
            <w:pPr>
              <w:snapToGrid w:val="0"/>
              <w:spacing w:line="360" w:lineRule="auto"/>
              <w:jc w:val="both"/>
              <w:rPr>
                <w:rFonts w:ascii="Book Antiqua" w:hAnsi="Book Antiqua" w:cs="Arial"/>
              </w:rPr>
            </w:pPr>
            <w:r w:rsidRPr="00C311AE">
              <w:rPr>
                <w:rFonts w:ascii="Book Antiqua" w:hAnsi="Book Antiqua" w:cs="Arial"/>
              </w:rPr>
              <w:t>31</w:t>
            </w:r>
            <w:r w:rsidR="0008150D" w:rsidRPr="00C311AE">
              <w:rPr>
                <w:rFonts w:ascii="Book Antiqua" w:hAnsi="Book Antiqua" w:cs="Arial"/>
              </w:rPr>
              <w:t>%</w:t>
            </w:r>
            <w:r w:rsidRPr="00C311AE">
              <w:rPr>
                <w:rFonts w:ascii="Book Antiqua" w:hAnsi="Book Antiqua" w:cs="Arial"/>
              </w:rPr>
              <w:t xml:space="preserve"> ± 7%</w:t>
            </w:r>
          </w:p>
        </w:tc>
        <w:tc>
          <w:tcPr>
            <w:tcW w:w="0" w:type="auto"/>
            <w:tcBorders>
              <w:top w:val="nil"/>
              <w:left w:val="nil"/>
              <w:right w:val="nil"/>
            </w:tcBorders>
          </w:tcPr>
          <w:p w14:paraId="3C7BAC54" w14:textId="2B4F4343" w:rsidR="00D37786" w:rsidRPr="00C311AE" w:rsidRDefault="00B9015C" w:rsidP="00020CC7">
            <w:pPr>
              <w:snapToGrid w:val="0"/>
              <w:spacing w:line="360" w:lineRule="auto"/>
              <w:jc w:val="both"/>
              <w:rPr>
                <w:rFonts w:ascii="Book Antiqua" w:hAnsi="Book Antiqua" w:cs="Arial"/>
              </w:rPr>
            </w:pPr>
            <w:r w:rsidRPr="00C311AE">
              <w:rPr>
                <w:rFonts w:ascii="Book Antiqua" w:hAnsi="Book Antiqua" w:cs="Arial"/>
              </w:rPr>
              <w:t>21</w:t>
            </w:r>
            <w:r w:rsidR="0008150D" w:rsidRPr="00C311AE">
              <w:rPr>
                <w:rFonts w:ascii="Book Antiqua" w:hAnsi="Book Antiqua" w:cs="Arial"/>
              </w:rPr>
              <w:t>%</w:t>
            </w:r>
            <w:r w:rsidRPr="00C311AE">
              <w:rPr>
                <w:rFonts w:ascii="Book Antiqua" w:hAnsi="Book Antiqua" w:cs="Arial"/>
              </w:rPr>
              <w:t xml:space="preserve"> ± 8%</w:t>
            </w:r>
          </w:p>
        </w:tc>
        <w:tc>
          <w:tcPr>
            <w:tcW w:w="0" w:type="auto"/>
            <w:tcBorders>
              <w:top w:val="nil"/>
              <w:left w:val="nil"/>
              <w:right w:val="nil"/>
            </w:tcBorders>
          </w:tcPr>
          <w:p w14:paraId="6F8EE0E3" w14:textId="3B277634" w:rsidR="00D37786" w:rsidRPr="00C311AE" w:rsidRDefault="00B9015C" w:rsidP="00020CC7">
            <w:pPr>
              <w:snapToGrid w:val="0"/>
              <w:spacing w:line="360" w:lineRule="auto"/>
              <w:jc w:val="both"/>
              <w:rPr>
                <w:rFonts w:ascii="Book Antiqua" w:hAnsi="Book Antiqua" w:cs="Arial"/>
              </w:rPr>
            </w:pPr>
            <w:r w:rsidRPr="00C311AE">
              <w:rPr>
                <w:rFonts w:ascii="Book Antiqua" w:hAnsi="Book Antiqua" w:cs="Arial"/>
              </w:rPr>
              <w:t>37</w:t>
            </w:r>
            <w:r w:rsidR="0008150D" w:rsidRPr="00C311AE">
              <w:rPr>
                <w:rFonts w:ascii="Book Antiqua" w:hAnsi="Book Antiqua" w:cs="Arial"/>
              </w:rPr>
              <w:t>%</w:t>
            </w:r>
            <w:r w:rsidRPr="00C311AE">
              <w:rPr>
                <w:rFonts w:ascii="Book Antiqua" w:hAnsi="Book Antiqua" w:cs="Arial"/>
              </w:rPr>
              <w:t xml:space="preserve"> ± 10%</w:t>
            </w:r>
          </w:p>
        </w:tc>
        <w:tc>
          <w:tcPr>
            <w:tcW w:w="1554" w:type="dxa"/>
            <w:tcBorders>
              <w:top w:val="nil"/>
              <w:left w:val="nil"/>
              <w:right w:val="nil"/>
            </w:tcBorders>
          </w:tcPr>
          <w:p w14:paraId="57566484" w14:textId="2D212999" w:rsidR="00D37786" w:rsidRPr="00C311AE" w:rsidRDefault="00B9015C" w:rsidP="00020CC7">
            <w:pPr>
              <w:snapToGrid w:val="0"/>
              <w:spacing w:line="360" w:lineRule="auto"/>
              <w:jc w:val="both"/>
              <w:rPr>
                <w:rFonts w:ascii="Book Antiqua" w:hAnsi="Book Antiqua" w:cs="Arial"/>
              </w:rPr>
            </w:pPr>
            <w:r w:rsidRPr="00C311AE">
              <w:rPr>
                <w:rFonts w:ascii="Book Antiqua" w:hAnsi="Book Antiqua" w:cs="Arial"/>
              </w:rPr>
              <w:t>36</w:t>
            </w:r>
            <w:r w:rsidR="0008150D" w:rsidRPr="00C311AE">
              <w:rPr>
                <w:rFonts w:ascii="Book Antiqua" w:hAnsi="Book Antiqua" w:cs="Arial"/>
              </w:rPr>
              <w:t>%</w:t>
            </w:r>
            <w:r w:rsidRPr="00C311AE">
              <w:rPr>
                <w:rFonts w:ascii="Book Antiqua" w:hAnsi="Book Antiqua" w:cs="Arial"/>
              </w:rPr>
              <w:t xml:space="preserve"> ± 19%</w:t>
            </w:r>
          </w:p>
        </w:tc>
        <w:tc>
          <w:tcPr>
            <w:tcW w:w="1123" w:type="dxa"/>
            <w:tcBorders>
              <w:top w:val="nil"/>
              <w:left w:val="nil"/>
              <w:right w:val="nil"/>
            </w:tcBorders>
          </w:tcPr>
          <w:p w14:paraId="285B0621" w14:textId="28DBDE8B" w:rsidR="00D37786" w:rsidRPr="00C311AE" w:rsidRDefault="002302BB" w:rsidP="00020CC7">
            <w:pPr>
              <w:snapToGrid w:val="0"/>
              <w:spacing w:line="360" w:lineRule="auto"/>
              <w:jc w:val="both"/>
              <w:rPr>
                <w:rFonts w:ascii="Book Antiqua" w:hAnsi="Book Antiqua" w:cs="Arial"/>
              </w:rPr>
            </w:pPr>
            <w:r w:rsidRPr="00C311AE">
              <w:rPr>
                <w:rFonts w:ascii="Book Antiqua" w:hAnsi="Book Antiqua" w:cs="Arial"/>
              </w:rPr>
              <w:t>0.678</w:t>
            </w:r>
          </w:p>
        </w:tc>
      </w:tr>
    </w:tbl>
    <w:p w14:paraId="7D18EB2B" w14:textId="38A6A4F2" w:rsidR="00B9015C" w:rsidRPr="00C311AE" w:rsidRDefault="00B9015C" w:rsidP="00020CC7">
      <w:pPr>
        <w:snapToGrid w:val="0"/>
        <w:spacing w:line="360" w:lineRule="auto"/>
        <w:jc w:val="both"/>
        <w:rPr>
          <w:rFonts w:ascii="Book Antiqua" w:eastAsiaTheme="minorEastAsia" w:hAnsi="Book Antiqua" w:cs="Arial"/>
          <w:lang w:eastAsia="zh-CN"/>
        </w:rPr>
      </w:pPr>
      <w:r w:rsidRPr="00C311AE">
        <w:rPr>
          <w:rStyle w:val="tgc"/>
          <w:rFonts w:ascii="Book Antiqua" w:hAnsi="Book Antiqua" w:cs="Arial"/>
          <w:lang w:val="en"/>
        </w:rPr>
        <w:t>SEM</w:t>
      </w:r>
      <w:r w:rsidR="00653A50" w:rsidRPr="00C311AE">
        <w:rPr>
          <w:rStyle w:val="tgc"/>
          <w:rFonts w:ascii="Book Antiqua" w:eastAsiaTheme="minorEastAsia" w:hAnsi="Book Antiqua" w:cs="Arial" w:hint="eastAsia"/>
          <w:lang w:val="en" w:eastAsia="zh-CN"/>
        </w:rPr>
        <w:t xml:space="preserve">: </w:t>
      </w:r>
      <w:r w:rsidRPr="00C311AE">
        <w:rPr>
          <w:rStyle w:val="tgc"/>
          <w:rFonts w:ascii="Book Antiqua" w:hAnsi="Book Antiqua" w:cs="Arial"/>
          <w:lang w:val="en"/>
        </w:rPr>
        <w:t xml:space="preserve">Standard </w:t>
      </w:r>
      <w:r w:rsidR="00653A50" w:rsidRPr="00C311AE">
        <w:rPr>
          <w:rStyle w:val="tgc"/>
          <w:rFonts w:ascii="Book Antiqua" w:hAnsi="Book Antiqua" w:cs="Arial"/>
          <w:lang w:val="en"/>
        </w:rPr>
        <w:t>e</w:t>
      </w:r>
      <w:r w:rsidRPr="00C311AE">
        <w:rPr>
          <w:rStyle w:val="tgc"/>
          <w:rFonts w:ascii="Book Antiqua" w:hAnsi="Book Antiqua" w:cs="Arial"/>
          <w:lang w:val="en"/>
        </w:rPr>
        <w:t xml:space="preserve">rror of </w:t>
      </w:r>
      <w:r w:rsidR="00653A50" w:rsidRPr="00C311AE">
        <w:rPr>
          <w:rStyle w:val="tgc"/>
          <w:rFonts w:ascii="Book Antiqua" w:hAnsi="Book Antiqua" w:cs="Arial"/>
          <w:lang w:val="en"/>
        </w:rPr>
        <w:t>mean</w:t>
      </w:r>
      <w:r w:rsidR="00653A50" w:rsidRPr="00C311AE">
        <w:rPr>
          <w:rStyle w:val="tgc"/>
          <w:rFonts w:ascii="Book Antiqua" w:eastAsiaTheme="minorEastAsia" w:hAnsi="Book Antiqua" w:cs="Arial" w:hint="eastAsia"/>
          <w:lang w:val="en" w:eastAsia="zh-CN"/>
        </w:rPr>
        <w:t>.</w:t>
      </w:r>
    </w:p>
    <w:p w14:paraId="533BE4AF" w14:textId="77777777" w:rsidR="00D37786" w:rsidRPr="00C311AE" w:rsidRDefault="00D37786" w:rsidP="00020CC7">
      <w:pPr>
        <w:snapToGrid w:val="0"/>
        <w:spacing w:line="360" w:lineRule="auto"/>
        <w:jc w:val="both"/>
        <w:rPr>
          <w:rFonts w:ascii="Book Antiqua" w:hAnsi="Book Antiqua" w:cs="Arial"/>
          <w:u w:val="single"/>
        </w:rPr>
      </w:pPr>
    </w:p>
    <w:p w14:paraId="223431E7" w14:textId="0BF82924" w:rsidR="007875F6" w:rsidRPr="00C311AE" w:rsidRDefault="007875F6" w:rsidP="00020CC7">
      <w:pPr>
        <w:snapToGrid w:val="0"/>
        <w:spacing w:line="360" w:lineRule="auto"/>
        <w:jc w:val="both"/>
        <w:rPr>
          <w:rFonts w:ascii="Book Antiqua" w:hAnsi="Book Antiqua" w:cs="Arial"/>
        </w:rPr>
      </w:pPr>
      <w:r w:rsidRPr="00C311AE">
        <w:rPr>
          <w:rFonts w:ascii="Book Antiqua" w:hAnsi="Book Antiqua" w:cs="Arial"/>
        </w:rPr>
        <w:br w:type="page"/>
      </w:r>
    </w:p>
    <w:p w14:paraId="2748A739" w14:textId="7201443F" w:rsidR="00C24B3B" w:rsidRPr="00C311AE" w:rsidRDefault="00C24B3B" w:rsidP="00020CC7">
      <w:pPr>
        <w:snapToGrid w:val="0"/>
        <w:spacing w:line="360" w:lineRule="auto"/>
        <w:jc w:val="both"/>
        <w:rPr>
          <w:rFonts w:ascii="Book Antiqua" w:eastAsiaTheme="minorEastAsia" w:hAnsi="Book Antiqua" w:cs="Arial"/>
          <w:b/>
          <w:lang w:eastAsia="zh-CN"/>
        </w:rPr>
      </w:pPr>
      <w:r w:rsidRPr="00C311AE">
        <w:rPr>
          <w:rFonts w:ascii="Book Antiqua" w:hAnsi="Book Antiqua" w:cs="Arial"/>
          <w:b/>
        </w:rPr>
        <w:lastRenderedPageBreak/>
        <w:t xml:space="preserve">Table </w:t>
      </w:r>
      <w:r w:rsidR="00E445F2" w:rsidRPr="00C311AE">
        <w:rPr>
          <w:rFonts w:ascii="Book Antiqua" w:hAnsi="Book Antiqua" w:cs="Arial"/>
          <w:b/>
        </w:rPr>
        <w:t>4</w:t>
      </w:r>
      <w:r w:rsidR="00C311AE" w:rsidRPr="00C311AE">
        <w:rPr>
          <w:rFonts w:ascii="Book Antiqua" w:eastAsiaTheme="minorEastAsia" w:hAnsi="Book Antiqua" w:cs="Arial" w:hint="eastAsia"/>
          <w:b/>
          <w:lang w:eastAsia="zh-CN"/>
        </w:rPr>
        <w:t xml:space="preserve"> </w:t>
      </w:r>
      <w:r w:rsidRPr="00C311AE">
        <w:rPr>
          <w:rFonts w:ascii="Book Antiqua" w:hAnsi="Book Antiqua" w:cs="Arial"/>
          <w:b/>
        </w:rPr>
        <w:t>Symptom Severity as assessed with Patient Assessment of Upper Gastrointestinal Symptoms</w:t>
      </w:r>
      <w:r w:rsidR="00331AA7">
        <w:rPr>
          <w:rFonts w:ascii="Book Antiqua" w:eastAsiaTheme="minorEastAsia" w:hAnsi="Book Antiqua" w:cs="Arial" w:hint="eastAsia"/>
          <w:b/>
          <w:lang w:eastAsia="zh-CN"/>
        </w:rPr>
        <w:t xml:space="preserve"> </w:t>
      </w:r>
      <w:r w:rsidRPr="00C311AE">
        <w:rPr>
          <w:rFonts w:ascii="Book Antiqua" w:hAnsi="Book Antiqua" w:cs="Arial"/>
          <w:b/>
        </w:rPr>
        <w:t xml:space="preserve">questionnaire; comparison between gastroparesis patients on chronic opioids </w:t>
      </w:r>
      <w:r w:rsidR="00C311AE" w:rsidRPr="00C311AE">
        <w:rPr>
          <w:rFonts w:ascii="Book Antiqua" w:hAnsi="Book Antiqua" w:cs="Arial"/>
          <w:b/>
        </w:rPr>
        <w:t>and patients with no opioid use</w:t>
      </w:r>
    </w:p>
    <w:tbl>
      <w:tblPr>
        <w:tblW w:w="9868" w:type="dxa"/>
        <w:tblInd w:w="98" w:type="dxa"/>
        <w:tblBorders>
          <w:top w:val="single" w:sz="8" w:space="0" w:color="auto"/>
          <w:insideH w:val="single" w:sz="8" w:space="0" w:color="auto"/>
        </w:tblBorders>
        <w:tblLayout w:type="fixed"/>
        <w:tblLook w:val="04A0" w:firstRow="1" w:lastRow="0" w:firstColumn="1" w:lastColumn="0" w:noHBand="0" w:noVBand="1"/>
      </w:tblPr>
      <w:tblGrid>
        <w:gridCol w:w="4456"/>
        <w:gridCol w:w="1804"/>
        <w:gridCol w:w="2114"/>
        <w:gridCol w:w="1494"/>
      </w:tblGrid>
      <w:tr w:rsidR="00C311AE" w:rsidRPr="00C311AE" w14:paraId="146F754A" w14:textId="77777777" w:rsidTr="00C311AE">
        <w:trPr>
          <w:trHeight w:val="381"/>
        </w:trPr>
        <w:tc>
          <w:tcPr>
            <w:tcW w:w="4456" w:type="dxa"/>
            <w:shd w:val="clear" w:color="auto" w:fill="auto"/>
            <w:vAlign w:val="bottom"/>
            <w:hideMark/>
          </w:tcPr>
          <w:p w14:paraId="29440415" w14:textId="758BB0F6" w:rsidR="00C24B3B" w:rsidRPr="00C311AE" w:rsidRDefault="00C24B3B" w:rsidP="00020CC7">
            <w:pPr>
              <w:snapToGrid w:val="0"/>
              <w:spacing w:line="360" w:lineRule="auto"/>
              <w:jc w:val="both"/>
              <w:rPr>
                <w:rFonts w:ascii="Book Antiqua" w:hAnsi="Book Antiqua" w:cs="Arial"/>
                <w:b/>
                <w:bCs/>
              </w:rPr>
            </w:pPr>
            <w:r w:rsidRPr="00C311AE">
              <w:rPr>
                <w:rFonts w:ascii="Book Antiqua" w:hAnsi="Book Antiqua" w:cs="Arial"/>
                <w:b/>
                <w:bCs/>
              </w:rPr>
              <w:t xml:space="preserve"> GI </w:t>
            </w:r>
            <w:r w:rsidR="00331AA7" w:rsidRPr="00C311AE">
              <w:rPr>
                <w:rFonts w:ascii="Book Antiqua" w:hAnsi="Book Antiqua" w:cs="Arial"/>
                <w:b/>
                <w:bCs/>
              </w:rPr>
              <w:t>s</w:t>
            </w:r>
            <w:r w:rsidRPr="00C311AE">
              <w:rPr>
                <w:rFonts w:ascii="Book Antiqua" w:hAnsi="Book Antiqua" w:cs="Arial"/>
                <w:b/>
                <w:bCs/>
              </w:rPr>
              <w:t>ymptom</w:t>
            </w:r>
          </w:p>
        </w:tc>
        <w:tc>
          <w:tcPr>
            <w:tcW w:w="1804" w:type="dxa"/>
            <w:shd w:val="clear" w:color="auto" w:fill="auto"/>
            <w:vAlign w:val="bottom"/>
            <w:hideMark/>
          </w:tcPr>
          <w:p w14:paraId="691DD486" w14:textId="33949DB5" w:rsidR="00C24B3B" w:rsidRPr="00C311AE" w:rsidRDefault="00C311AE" w:rsidP="00020CC7">
            <w:pPr>
              <w:snapToGrid w:val="0"/>
              <w:spacing w:line="360" w:lineRule="auto"/>
              <w:jc w:val="both"/>
              <w:rPr>
                <w:rFonts w:ascii="Book Antiqua" w:hAnsi="Book Antiqua" w:cs="Arial"/>
                <w:b/>
                <w:bCs/>
              </w:rPr>
            </w:pPr>
            <w:r w:rsidRPr="00C311AE">
              <w:rPr>
                <w:rFonts w:ascii="Book Antiqua" w:hAnsi="Book Antiqua" w:cs="Arial"/>
                <w:b/>
                <w:bCs/>
              </w:rPr>
              <w:t>GpCO</w:t>
            </w:r>
            <w:r w:rsidRPr="00C311AE">
              <w:rPr>
                <w:rFonts w:ascii="Book Antiqua" w:eastAsiaTheme="minorEastAsia" w:hAnsi="Book Antiqua" w:cs="Arial" w:hint="eastAsia"/>
                <w:b/>
                <w:bCs/>
                <w:lang w:eastAsia="zh-CN"/>
              </w:rPr>
              <w:t xml:space="preserve"> </w:t>
            </w:r>
            <w:r w:rsidR="00C24B3B" w:rsidRPr="00C311AE">
              <w:rPr>
                <w:rFonts w:ascii="Book Antiqua" w:hAnsi="Book Antiqua" w:cs="Arial"/>
                <w:b/>
                <w:bCs/>
              </w:rPr>
              <w:t>(</w:t>
            </w:r>
            <w:r w:rsidR="00C24B3B" w:rsidRPr="00C311AE">
              <w:rPr>
                <w:rFonts w:ascii="Book Antiqua" w:hAnsi="Book Antiqua" w:cs="Arial"/>
                <w:b/>
                <w:bCs/>
                <w:i/>
              </w:rPr>
              <w:t>n</w:t>
            </w:r>
            <w:r w:rsidRPr="00C311AE">
              <w:rPr>
                <w:rFonts w:ascii="Book Antiqua" w:eastAsiaTheme="minorEastAsia" w:hAnsi="Book Antiqua" w:cs="Arial" w:hint="eastAsia"/>
                <w:b/>
                <w:bCs/>
                <w:lang w:eastAsia="zh-CN"/>
              </w:rPr>
              <w:t xml:space="preserve"> </w:t>
            </w:r>
            <w:r w:rsidR="00C24B3B" w:rsidRPr="00C311AE">
              <w:rPr>
                <w:rFonts w:ascii="Book Antiqua" w:hAnsi="Book Antiqua" w:cs="Arial"/>
                <w:b/>
                <w:bCs/>
              </w:rPr>
              <w:t>=</w:t>
            </w:r>
            <w:r w:rsidRPr="00C311AE">
              <w:rPr>
                <w:rFonts w:ascii="Book Antiqua" w:eastAsiaTheme="minorEastAsia" w:hAnsi="Book Antiqua" w:cs="Arial" w:hint="eastAsia"/>
                <w:b/>
                <w:bCs/>
                <w:lang w:eastAsia="zh-CN"/>
              </w:rPr>
              <w:t xml:space="preserve"> </w:t>
            </w:r>
            <w:r w:rsidR="00C24B3B" w:rsidRPr="00C311AE">
              <w:rPr>
                <w:rFonts w:ascii="Book Antiqua" w:hAnsi="Book Antiqua" w:cs="Arial"/>
                <w:b/>
                <w:bCs/>
              </w:rPr>
              <w:t>43)</w:t>
            </w:r>
          </w:p>
        </w:tc>
        <w:tc>
          <w:tcPr>
            <w:tcW w:w="2114" w:type="dxa"/>
            <w:shd w:val="clear" w:color="auto" w:fill="auto"/>
            <w:vAlign w:val="bottom"/>
            <w:hideMark/>
          </w:tcPr>
          <w:p w14:paraId="14859C8B" w14:textId="44EFB095" w:rsidR="00C24B3B" w:rsidRPr="00C311AE" w:rsidRDefault="00C311AE" w:rsidP="00020CC7">
            <w:pPr>
              <w:snapToGrid w:val="0"/>
              <w:spacing w:line="360" w:lineRule="auto"/>
              <w:jc w:val="both"/>
              <w:rPr>
                <w:rFonts w:ascii="Book Antiqua" w:hAnsi="Book Antiqua" w:cs="Arial"/>
                <w:b/>
                <w:bCs/>
              </w:rPr>
            </w:pPr>
            <w:r w:rsidRPr="00C311AE">
              <w:rPr>
                <w:rFonts w:ascii="Book Antiqua" w:hAnsi="Book Antiqua" w:cs="Arial"/>
                <w:b/>
                <w:bCs/>
              </w:rPr>
              <w:t>GpNO</w:t>
            </w:r>
            <w:r w:rsidRPr="00C311AE">
              <w:rPr>
                <w:rFonts w:ascii="Book Antiqua" w:eastAsiaTheme="minorEastAsia" w:hAnsi="Book Antiqua" w:cs="Arial" w:hint="eastAsia"/>
                <w:b/>
                <w:bCs/>
                <w:lang w:eastAsia="zh-CN"/>
              </w:rPr>
              <w:t xml:space="preserve"> </w:t>
            </w:r>
            <w:r w:rsidR="00C24B3B" w:rsidRPr="00C311AE">
              <w:rPr>
                <w:rFonts w:ascii="Book Antiqua" w:hAnsi="Book Antiqua" w:cs="Arial"/>
                <w:b/>
                <w:bCs/>
              </w:rPr>
              <w:t>(</w:t>
            </w:r>
            <w:r w:rsidRPr="00C311AE">
              <w:rPr>
                <w:rFonts w:ascii="Book Antiqua" w:hAnsi="Book Antiqua" w:cs="Arial"/>
                <w:b/>
                <w:bCs/>
                <w:i/>
              </w:rPr>
              <w:t>n</w:t>
            </w:r>
            <w:r w:rsidRPr="00C311AE">
              <w:rPr>
                <w:rFonts w:ascii="Book Antiqua" w:hAnsi="Book Antiqua" w:cs="Arial"/>
                <w:b/>
                <w:bCs/>
              </w:rPr>
              <w:t xml:space="preserve"> </w:t>
            </w:r>
            <w:r w:rsidR="00C24B3B" w:rsidRPr="00C311AE">
              <w:rPr>
                <w:rFonts w:ascii="Book Antiqua" w:hAnsi="Book Antiqua" w:cs="Arial"/>
                <w:b/>
                <w:bCs/>
              </w:rPr>
              <w:t>=</w:t>
            </w:r>
            <w:r w:rsidRPr="00C311AE">
              <w:rPr>
                <w:rFonts w:ascii="Book Antiqua" w:eastAsiaTheme="minorEastAsia" w:hAnsi="Book Antiqua" w:cs="Arial" w:hint="eastAsia"/>
                <w:b/>
                <w:bCs/>
                <w:lang w:eastAsia="zh-CN"/>
              </w:rPr>
              <w:t xml:space="preserve"> </w:t>
            </w:r>
            <w:r w:rsidR="00C24B3B" w:rsidRPr="00C311AE">
              <w:rPr>
                <w:rFonts w:ascii="Book Antiqua" w:hAnsi="Book Antiqua" w:cs="Arial"/>
                <w:b/>
                <w:bCs/>
              </w:rPr>
              <w:t>158)</w:t>
            </w:r>
          </w:p>
        </w:tc>
        <w:tc>
          <w:tcPr>
            <w:tcW w:w="1494" w:type="dxa"/>
            <w:shd w:val="clear" w:color="auto" w:fill="auto"/>
            <w:vAlign w:val="bottom"/>
            <w:hideMark/>
          </w:tcPr>
          <w:p w14:paraId="64D32CED" w14:textId="77777777" w:rsidR="00C24B3B" w:rsidRPr="00C311AE" w:rsidRDefault="00C24B3B" w:rsidP="00020CC7">
            <w:pPr>
              <w:snapToGrid w:val="0"/>
              <w:spacing w:line="360" w:lineRule="auto"/>
              <w:jc w:val="both"/>
              <w:rPr>
                <w:rFonts w:ascii="Book Antiqua" w:hAnsi="Book Antiqua" w:cs="Arial"/>
                <w:b/>
                <w:bCs/>
              </w:rPr>
            </w:pPr>
            <w:r w:rsidRPr="00C311AE">
              <w:rPr>
                <w:rFonts w:ascii="Book Antiqua" w:hAnsi="Book Antiqua" w:cs="Arial"/>
                <w:b/>
                <w:bCs/>
                <w:i/>
                <w:caps/>
              </w:rPr>
              <w:t>p</w:t>
            </w:r>
            <w:r w:rsidRPr="00C311AE">
              <w:rPr>
                <w:rFonts w:ascii="Book Antiqua" w:hAnsi="Book Antiqua" w:cs="Arial"/>
                <w:b/>
                <w:bCs/>
              </w:rPr>
              <w:t xml:space="preserve"> value</w:t>
            </w:r>
          </w:p>
        </w:tc>
      </w:tr>
      <w:tr w:rsidR="00C311AE" w:rsidRPr="00C311AE" w14:paraId="596BDD0B" w14:textId="77777777" w:rsidTr="00C311AE">
        <w:trPr>
          <w:trHeight w:val="336"/>
        </w:trPr>
        <w:tc>
          <w:tcPr>
            <w:tcW w:w="4456" w:type="dxa"/>
            <w:tcBorders>
              <w:bottom w:val="nil"/>
            </w:tcBorders>
            <w:shd w:val="clear" w:color="auto" w:fill="auto"/>
            <w:vAlign w:val="bottom"/>
            <w:hideMark/>
          </w:tcPr>
          <w:p w14:paraId="12F34EA9"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Nausea</w:t>
            </w:r>
          </w:p>
        </w:tc>
        <w:tc>
          <w:tcPr>
            <w:tcW w:w="1804" w:type="dxa"/>
            <w:tcBorders>
              <w:bottom w:val="nil"/>
            </w:tcBorders>
            <w:shd w:val="clear" w:color="auto" w:fill="auto"/>
            <w:noWrap/>
            <w:vAlign w:val="bottom"/>
            <w:hideMark/>
          </w:tcPr>
          <w:p w14:paraId="1B1D5468" w14:textId="3A56108E" w:rsidR="00C24B3B" w:rsidRPr="00C311AE" w:rsidRDefault="00C36A6C" w:rsidP="00020CC7">
            <w:pPr>
              <w:snapToGrid w:val="0"/>
              <w:spacing w:line="360" w:lineRule="auto"/>
              <w:jc w:val="both"/>
              <w:rPr>
                <w:rFonts w:ascii="Book Antiqua" w:hAnsi="Book Antiqua" w:cs="Arial"/>
              </w:rPr>
            </w:pPr>
            <w:r w:rsidRPr="00C311AE">
              <w:rPr>
                <w:rFonts w:ascii="Book Antiqua" w:hAnsi="Book Antiqua" w:cs="Arial"/>
              </w:rPr>
              <w:t>4.09</w:t>
            </w:r>
            <w:r w:rsidR="002A3D12" w:rsidRPr="00C311AE">
              <w:rPr>
                <w:rFonts w:ascii="Book Antiqua" w:hAnsi="Book Antiqua" w:cs="Arial"/>
              </w:rPr>
              <w:t xml:space="preserve"> </w:t>
            </w:r>
            <w:r w:rsidR="00453FD2" w:rsidRPr="00C311AE">
              <w:rPr>
                <w:rFonts w:ascii="Book Antiqua" w:hAnsi="Book Antiqua" w:cs="Arial"/>
              </w:rPr>
              <w:t>±</w:t>
            </w:r>
            <w:r w:rsidR="002A3D12" w:rsidRPr="00C311AE">
              <w:rPr>
                <w:rFonts w:ascii="Book Antiqua" w:hAnsi="Book Antiqua" w:cs="Arial"/>
              </w:rPr>
              <w:t xml:space="preserve"> </w:t>
            </w:r>
            <w:r w:rsidR="00453FD2" w:rsidRPr="00C311AE">
              <w:rPr>
                <w:rFonts w:ascii="Book Antiqua" w:hAnsi="Book Antiqua" w:cs="Arial"/>
              </w:rPr>
              <w:t>0.1</w:t>
            </w:r>
            <w:r w:rsidRPr="00C311AE">
              <w:rPr>
                <w:rFonts w:ascii="Book Antiqua" w:hAnsi="Book Antiqua" w:cs="Arial"/>
              </w:rPr>
              <w:t>2</w:t>
            </w:r>
          </w:p>
        </w:tc>
        <w:tc>
          <w:tcPr>
            <w:tcW w:w="2114" w:type="dxa"/>
            <w:tcBorders>
              <w:bottom w:val="nil"/>
            </w:tcBorders>
            <w:shd w:val="clear" w:color="auto" w:fill="auto"/>
            <w:noWrap/>
            <w:vAlign w:val="bottom"/>
            <w:hideMark/>
          </w:tcPr>
          <w:p w14:paraId="4F3BD74C" w14:textId="20421667" w:rsidR="00C24B3B" w:rsidRPr="00C311AE" w:rsidRDefault="00453FD2" w:rsidP="00020CC7">
            <w:pPr>
              <w:snapToGrid w:val="0"/>
              <w:spacing w:line="360" w:lineRule="auto"/>
              <w:jc w:val="both"/>
              <w:rPr>
                <w:rFonts w:ascii="Book Antiqua" w:hAnsi="Book Antiqua" w:cs="Arial"/>
              </w:rPr>
            </w:pPr>
            <w:r w:rsidRPr="00C311AE">
              <w:rPr>
                <w:rFonts w:ascii="Book Antiqua" w:hAnsi="Book Antiqua" w:cs="Arial"/>
              </w:rPr>
              <w:t>3.4</w:t>
            </w:r>
            <w:r w:rsidR="00C36A6C" w:rsidRPr="00C311AE">
              <w:rPr>
                <w:rFonts w:ascii="Book Antiqua" w:hAnsi="Book Antiqua" w:cs="Arial"/>
              </w:rPr>
              <w:t>1</w:t>
            </w:r>
            <w:r w:rsidR="002A3D12" w:rsidRPr="00C311AE">
              <w:rPr>
                <w:rFonts w:ascii="Book Antiqua" w:hAnsi="Book Antiqua" w:cs="Arial"/>
              </w:rPr>
              <w:t xml:space="preserve"> </w:t>
            </w:r>
            <w:r w:rsidRPr="00C311AE">
              <w:rPr>
                <w:rFonts w:ascii="Book Antiqua" w:hAnsi="Book Antiqua" w:cs="Arial"/>
              </w:rPr>
              <w:t>±</w:t>
            </w:r>
            <w:r w:rsidR="002A3D12" w:rsidRPr="00C311AE">
              <w:rPr>
                <w:rFonts w:ascii="Book Antiqua" w:hAnsi="Book Antiqua" w:cs="Arial"/>
              </w:rPr>
              <w:t xml:space="preserve"> </w:t>
            </w:r>
            <w:r w:rsidRPr="00C311AE">
              <w:rPr>
                <w:rFonts w:ascii="Book Antiqua" w:hAnsi="Book Antiqua" w:cs="Arial"/>
              </w:rPr>
              <w:t>0.1</w:t>
            </w:r>
            <w:r w:rsidR="00C36A6C" w:rsidRPr="00C311AE">
              <w:rPr>
                <w:rFonts w:ascii="Book Antiqua" w:hAnsi="Book Antiqua" w:cs="Arial"/>
              </w:rPr>
              <w:t>2</w:t>
            </w:r>
          </w:p>
        </w:tc>
        <w:tc>
          <w:tcPr>
            <w:tcW w:w="1494" w:type="dxa"/>
            <w:tcBorders>
              <w:bottom w:val="nil"/>
            </w:tcBorders>
            <w:shd w:val="clear" w:color="auto" w:fill="auto"/>
            <w:noWrap/>
            <w:vAlign w:val="bottom"/>
            <w:hideMark/>
          </w:tcPr>
          <w:p w14:paraId="45BF5D52"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0.011</w:t>
            </w:r>
          </w:p>
        </w:tc>
      </w:tr>
      <w:tr w:rsidR="00C311AE" w:rsidRPr="00C311AE" w14:paraId="4B63E584" w14:textId="77777777" w:rsidTr="00C311AE">
        <w:trPr>
          <w:trHeight w:val="336"/>
        </w:trPr>
        <w:tc>
          <w:tcPr>
            <w:tcW w:w="4456" w:type="dxa"/>
            <w:tcBorders>
              <w:top w:val="nil"/>
              <w:bottom w:val="nil"/>
            </w:tcBorders>
            <w:shd w:val="clear" w:color="auto" w:fill="auto"/>
            <w:vAlign w:val="bottom"/>
            <w:hideMark/>
          </w:tcPr>
          <w:p w14:paraId="1A0BC910"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Retching</w:t>
            </w:r>
          </w:p>
        </w:tc>
        <w:tc>
          <w:tcPr>
            <w:tcW w:w="1804" w:type="dxa"/>
            <w:tcBorders>
              <w:top w:val="nil"/>
              <w:bottom w:val="nil"/>
            </w:tcBorders>
            <w:shd w:val="clear" w:color="auto" w:fill="auto"/>
            <w:noWrap/>
            <w:vAlign w:val="bottom"/>
            <w:hideMark/>
          </w:tcPr>
          <w:p w14:paraId="512D2B06" w14:textId="609D37A4" w:rsidR="00C24B3B" w:rsidRPr="00C311AE" w:rsidRDefault="00C36A6C" w:rsidP="00020CC7">
            <w:pPr>
              <w:snapToGrid w:val="0"/>
              <w:spacing w:line="360" w:lineRule="auto"/>
              <w:jc w:val="both"/>
              <w:rPr>
                <w:rFonts w:ascii="Book Antiqua" w:hAnsi="Book Antiqua" w:cs="Arial"/>
              </w:rPr>
            </w:pPr>
            <w:r w:rsidRPr="00C311AE">
              <w:rPr>
                <w:rFonts w:ascii="Book Antiqua" w:hAnsi="Book Antiqua" w:cs="Arial"/>
              </w:rPr>
              <w:t>2.86</w:t>
            </w:r>
            <w:r w:rsidR="002A3D12" w:rsidRPr="00C311AE">
              <w:rPr>
                <w:rFonts w:ascii="Book Antiqua" w:hAnsi="Book Antiqua" w:cs="Arial"/>
              </w:rPr>
              <w:t xml:space="preserve"> </w:t>
            </w:r>
            <w:r w:rsidR="00C24B3B" w:rsidRPr="00C311AE">
              <w:rPr>
                <w:rFonts w:ascii="Book Antiqua" w:hAnsi="Book Antiqua" w:cs="Arial"/>
              </w:rPr>
              <w:t>±</w:t>
            </w:r>
            <w:r w:rsidR="002A3D12" w:rsidRPr="00C311AE">
              <w:rPr>
                <w:rFonts w:ascii="Book Antiqua" w:hAnsi="Book Antiqua" w:cs="Arial"/>
              </w:rPr>
              <w:t xml:space="preserve"> </w:t>
            </w:r>
            <w:r w:rsidRPr="00C311AE">
              <w:rPr>
                <w:rFonts w:ascii="Book Antiqua" w:hAnsi="Book Antiqua" w:cs="Arial"/>
              </w:rPr>
              <w:t>0.25</w:t>
            </w:r>
          </w:p>
        </w:tc>
        <w:tc>
          <w:tcPr>
            <w:tcW w:w="2114" w:type="dxa"/>
            <w:tcBorders>
              <w:top w:val="nil"/>
              <w:bottom w:val="nil"/>
            </w:tcBorders>
            <w:shd w:val="clear" w:color="auto" w:fill="auto"/>
            <w:noWrap/>
            <w:vAlign w:val="bottom"/>
            <w:hideMark/>
          </w:tcPr>
          <w:p w14:paraId="4CD87892" w14:textId="00978CE0" w:rsidR="00C24B3B" w:rsidRPr="00C311AE" w:rsidRDefault="00C36A6C" w:rsidP="00020CC7">
            <w:pPr>
              <w:snapToGrid w:val="0"/>
              <w:spacing w:line="360" w:lineRule="auto"/>
              <w:jc w:val="both"/>
              <w:rPr>
                <w:rFonts w:ascii="Book Antiqua" w:hAnsi="Book Antiqua" w:cs="Arial"/>
              </w:rPr>
            </w:pPr>
            <w:r w:rsidRPr="00C311AE">
              <w:rPr>
                <w:rFonts w:ascii="Book Antiqua" w:hAnsi="Book Antiqua" w:cs="Arial"/>
              </w:rPr>
              <w:t>1.98</w:t>
            </w:r>
            <w:r w:rsidR="002A3D12" w:rsidRPr="00C311AE">
              <w:rPr>
                <w:rFonts w:ascii="Book Antiqua" w:hAnsi="Book Antiqua" w:cs="Arial"/>
              </w:rPr>
              <w:t xml:space="preserve"> </w:t>
            </w:r>
            <w:r w:rsidRPr="00C311AE">
              <w:rPr>
                <w:rFonts w:ascii="Book Antiqua" w:hAnsi="Book Antiqua" w:cs="Arial"/>
              </w:rPr>
              <w:t>±</w:t>
            </w:r>
            <w:r w:rsidR="002A3D12" w:rsidRPr="00C311AE">
              <w:rPr>
                <w:rFonts w:ascii="Book Antiqua" w:hAnsi="Book Antiqua" w:cs="Arial"/>
              </w:rPr>
              <w:t xml:space="preserve"> </w:t>
            </w:r>
            <w:r w:rsidRPr="00C311AE">
              <w:rPr>
                <w:rFonts w:ascii="Book Antiqua" w:hAnsi="Book Antiqua" w:cs="Arial"/>
              </w:rPr>
              <w:t>0.14</w:t>
            </w:r>
          </w:p>
        </w:tc>
        <w:tc>
          <w:tcPr>
            <w:tcW w:w="1494" w:type="dxa"/>
            <w:tcBorders>
              <w:top w:val="nil"/>
              <w:bottom w:val="nil"/>
            </w:tcBorders>
            <w:shd w:val="clear" w:color="auto" w:fill="auto"/>
            <w:noWrap/>
            <w:vAlign w:val="bottom"/>
            <w:hideMark/>
          </w:tcPr>
          <w:p w14:paraId="27964864"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0.003</w:t>
            </w:r>
          </w:p>
        </w:tc>
      </w:tr>
      <w:tr w:rsidR="00C311AE" w:rsidRPr="00C311AE" w14:paraId="3863DA98" w14:textId="77777777" w:rsidTr="00C311AE">
        <w:trPr>
          <w:trHeight w:val="336"/>
        </w:trPr>
        <w:tc>
          <w:tcPr>
            <w:tcW w:w="4456" w:type="dxa"/>
            <w:tcBorders>
              <w:top w:val="nil"/>
              <w:bottom w:val="nil"/>
            </w:tcBorders>
            <w:shd w:val="clear" w:color="auto" w:fill="auto"/>
            <w:vAlign w:val="bottom"/>
            <w:hideMark/>
          </w:tcPr>
          <w:p w14:paraId="5268D3D7"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Vomiting</w:t>
            </w:r>
          </w:p>
        </w:tc>
        <w:tc>
          <w:tcPr>
            <w:tcW w:w="1804" w:type="dxa"/>
            <w:tcBorders>
              <w:top w:val="nil"/>
              <w:bottom w:val="nil"/>
            </w:tcBorders>
            <w:shd w:val="clear" w:color="auto" w:fill="auto"/>
            <w:noWrap/>
            <w:vAlign w:val="bottom"/>
            <w:hideMark/>
          </w:tcPr>
          <w:p w14:paraId="1A93C59C" w14:textId="239F7674"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2.9</w:t>
            </w:r>
            <w:r w:rsidR="002A3D12" w:rsidRPr="00C311AE">
              <w:rPr>
                <w:rFonts w:ascii="Book Antiqua" w:hAnsi="Book Antiqua" w:cs="Arial"/>
              </w:rPr>
              <w:t xml:space="preserve">3 </w:t>
            </w:r>
            <w:r w:rsidRPr="00C311AE">
              <w:rPr>
                <w:rFonts w:ascii="Book Antiqua" w:hAnsi="Book Antiqua" w:cs="Arial"/>
              </w:rPr>
              <w:t>±</w:t>
            </w:r>
            <w:r w:rsidR="002A3D12" w:rsidRPr="00C311AE">
              <w:rPr>
                <w:rFonts w:ascii="Book Antiqua" w:hAnsi="Book Antiqua" w:cs="Arial"/>
              </w:rPr>
              <w:t xml:space="preserve"> 0.24</w:t>
            </w:r>
          </w:p>
        </w:tc>
        <w:tc>
          <w:tcPr>
            <w:tcW w:w="2114" w:type="dxa"/>
            <w:tcBorders>
              <w:top w:val="nil"/>
              <w:bottom w:val="nil"/>
            </w:tcBorders>
            <w:shd w:val="clear" w:color="auto" w:fill="auto"/>
            <w:noWrap/>
            <w:vAlign w:val="bottom"/>
            <w:hideMark/>
          </w:tcPr>
          <w:p w14:paraId="3210B7BB" w14:textId="2263D0E8" w:rsidR="00C24B3B" w:rsidRPr="00C311AE" w:rsidRDefault="002A3D12" w:rsidP="00020CC7">
            <w:pPr>
              <w:snapToGrid w:val="0"/>
              <w:spacing w:line="360" w:lineRule="auto"/>
              <w:jc w:val="both"/>
              <w:rPr>
                <w:rFonts w:ascii="Book Antiqua" w:hAnsi="Book Antiqua" w:cs="Arial"/>
              </w:rPr>
            </w:pPr>
            <w:r w:rsidRPr="00C311AE">
              <w:rPr>
                <w:rFonts w:ascii="Book Antiqua" w:hAnsi="Book Antiqua" w:cs="Arial"/>
              </w:rPr>
              <w:t xml:space="preserve">2.07 </w:t>
            </w:r>
            <w:r w:rsidR="00C24B3B" w:rsidRPr="00C311AE">
              <w:rPr>
                <w:rFonts w:ascii="Book Antiqua" w:hAnsi="Book Antiqua" w:cs="Arial"/>
              </w:rPr>
              <w:t>±</w:t>
            </w:r>
            <w:r w:rsidRPr="00C311AE">
              <w:rPr>
                <w:rFonts w:ascii="Book Antiqua" w:hAnsi="Book Antiqua" w:cs="Arial"/>
              </w:rPr>
              <w:t xml:space="preserve"> 0.15</w:t>
            </w:r>
          </w:p>
        </w:tc>
        <w:tc>
          <w:tcPr>
            <w:tcW w:w="1494" w:type="dxa"/>
            <w:tcBorders>
              <w:top w:val="nil"/>
              <w:bottom w:val="nil"/>
            </w:tcBorders>
            <w:shd w:val="clear" w:color="auto" w:fill="auto"/>
            <w:noWrap/>
            <w:vAlign w:val="bottom"/>
            <w:hideMark/>
          </w:tcPr>
          <w:p w14:paraId="46655467"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0.011</w:t>
            </w:r>
          </w:p>
        </w:tc>
      </w:tr>
      <w:tr w:rsidR="00C311AE" w:rsidRPr="00C311AE" w14:paraId="7873F886" w14:textId="77777777" w:rsidTr="00C311AE">
        <w:trPr>
          <w:trHeight w:val="336"/>
        </w:trPr>
        <w:tc>
          <w:tcPr>
            <w:tcW w:w="4456" w:type="dxa"/>
            <w:tcBorders>
              <w:top w:val="nil"/>
              <w:bottom w:val="nil"/>
            </w:tcBorders>
            <w:shd w:val="clear" w:color="auto" w:fill="auto"/>
            <w:vAlign w:val="bottom"/>
            <w:hideMark/>
          </w:tcPr>
          <w:p w14:paraId="69C5D7A0"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Stomach fullness</w:t>
            </w:r>
          </w:p>
        </w:tc>
        <w:tc>
          <w:tcPr>
            <w:tcW w:w="1804" w:type="dxa"/>
            <w:tcBorders>
              <w:top w:val="nil"/>
              <w:bottom w:val="nil"/>
            </w:tcBorders>
            <w:shd w:val="clear" w:color="auto" w:fill="auto"/>
            <w:noWrap/>
            <w:vAlign w:val="bottom"/>
            <w:hideMark/>
          </w:tcPr>
          <w:p w14:paraId="65EE103B" w14:textId="3B3BAD94"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3.8</w:t>
            </w:r>
            <w:r w:rsidR="002A3D12" w:rsidRPr="00C311AE">
              <w:rPr>
                <w:rFonts w:ascii="Book Antiqua" w:hAnsi="Book Antiqua" w:cs="Arial"/>
              </w:rPr>
              <w:t xml:space="preserve">4 </w:t>
            </w:r>
            <w:r w:rsidRPr="00C311AE">
              <w:rPr>
                <w:rFonts w:ascii="Book Antiqua" w:hAnsi="Book Antiqua" w:cs="Arial"/>
              </w:rPr>
              <w:t>±</w:t>
            </w:r>
            <w:r w:rsidR="002A3D12" w:rsidRPr="00C311AE">
              <w:rPr>
                <w:rFonts w:ascii="Book Antiqua" w:hAnsi="Book Antiqua" w:cs="Arial"/>
              </w:rPr>
              <w:t xml:space="preserve"> 0.18</w:t>
            </w:r>
          </w:p>
        </w:tc>
        <w:tc>
          <w:tcPr>
            <w:tcW w:w="2114" w:type="dxa"/>
            <w:tcBorders>
              <w:top w:val="nil"/>
              <w:bottom w:val="nil"/>
            </w:tcBorders>
            <w:shd w:val="clear" w:color="auto" w:fill="auto"/>
            <w:noWrap/>
            <w:vAlign w:val="bottom"/>
            <w:hideMark/>
          </w:tcPr>
          <w:p w14:paraId="78F191FA" w14:textId="12C5FBEB" w:rsidR="00C24B3B" w:rsidRPr="00C311AE" w:rsidRDefault="002A3D12" w:rsidP="00020CC7">
            <w:pPr>
              <w:snapToGrid w:val="0"/>
              <w:spacing w:line="360" w:lineRule="auto"/>
              <w:jc w:val="both"/>
              <w:rPr>
                <w:rFonts w:ascii="Book Antiqua" w:hAnsi="Book Antiqua" w:cs="Arial"/>
              </w:rPr>
            </w:pPr>
            <w:r w:rsidRPr="00C311AE">
              <w:rPr>
                <w:rFonts w:ascii="Book Antiqua" w:hAnsi="Book Antiqua" w:cs="Arial"/>
              </w:rPr>
              <w:t xml:space="preserve">3.59 </w:t>
            </w:r>
            <w:r w:rsidR="00C24B3B" w:rsidRPr="00C311AE">
              <w:rPr>
                <w:rFonts w:ascii="Book Antiqua" w:hAnsi="Book Antiqua" w:cs="Arial"/>
              </w:rPr>
              <w:t>±</w:t>
            </w:r>
            <w:r w:rsidRPr="00C311AE">
              <w:rPr>
                <w:rFonts w:ascii="Book Antiqua" w:hAnsi="Book Antiqua" w:cs="Arial"/>
              </w:rPr>
              <w:t xml:space="preserve"> 0.11</w:t>
            </w:r>
          </w:p>
        </w:tc>
        <w:tc>
          <w:tcPr>
            <w:tcW w:w="1494" w:type="dxa"/>
            <w:tcBorders>
              <w:top w:val="nil"/>
              <w:bottom w:val="nil"/>
            </w:tcBorders>
            <w:shd w:val="clear" w:color="auto" w:fill="auto"/>
            <w:noWrap/>
            <w:vAlign w:val="bottom"/>
            <w:hideMark/>
          </w:tcPr>
          <w:p w14:paraId="667A2F43"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0.254</w:t>
            </w:r>
          </w:p>
        </w:tc>
      </w:tr>
      <w:tr w:rsidR="00C311AE" w:rsidRPr="00C311AE" w14:paraId="50B246E8" w14:textId="77777777" w:rsidTr="00C311AE">
        <w:trPr>
          <w:trHeight w:val="336"/>
        </w:trPr>
        <w:tc>
          <w:tcPr>
            <w:tcW w:w="4456" w:type="dxa"/>
            <w:tcBorders>
              <w:top w:val="nil"/>
              <w:bottom w:val="nil"/>
            </w:tcBorders>
            <w:shd w:val="clear" w:color="auto" w:fill="auto"/>
            <w:vAlign w:val="bottom"/>
            <w:hideMark/>
          </w:tcPr>
          <w:p w14:paraId="14122F0F"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Early satiety</w:t>
            </w:r>
          </w:p>
        </w:tc>
        <w:tc>
          <w:tcPr>
            <w:tcW w:w="1804" w:type="dxa"/>
            <w:tcBorders>
              <w:top w:val="nil"/>
              <w:bottom w:val="nil"/>
            </w:tcBorders>
            <w:shd w:val="clear" w:color="auto" w:fill="auto"/>
            <w:noWrap/>
            <w:vAlign w:val="bottom"/>
            <w:hideMark/>
          </w:tcPr>
          <w:p w14:paraId="18A40807" w14:textId="7ECB02A9" w:rsidR="00C24B3B" w:rsidRPr="00C311AE" w:rsidRDefault="002A3D12" w:rsidP="00020CC7">
            <w:pPr>
              <w:snapToGrid w:val="0"/>
              <w:spacing w:line="360" w:lineRule="auto"/>
              <w:jc w:val="both"/>
              <w:rPr>
                <w:rFonts w:ascii="Book Antiqua" w:hAnsi="Book Antiqua" w:cs="Arial"/>
              </w:rPr>
            </w:pPr>
            <w:r w:rsidRPr="00C311AE">
              <w:rPr>
                <w:rFonts w:ascii="Book Antiqua" w:hAnsi="Book Antiqua" w:cs="Arial"/>
              </w:rPr>
              <w:t xml:space="preserve">4.17 </w:t>
            </w:r>
            <w:r w:rsidR="00C24B3B" w:rsidRPr="00C311AE">
              <w:rPr>
                <w:rFonts w:ascii="Book Antiqua" w:hAnsi="Book Antiqua" w:cs="Arial"/>
              </w:rPr>
              <w:t>±</w:t>
            </w:r>
            <w:r w:rsidRPr="00C311AE">
              <w:rPr>
                <w:rFonts w:ascii="Book Antiqua" w:hAnsi="Book Antiqua" w:cs="Arial"/>
              </w:rPr>
              <w:t xml:space="preserve"> 0.19</w:t>
            </w:r>
          </w:p>
        </w:tc>
        <w:tc>
          <w:tcPr>
            <w:tcW w:w="2114" w:type="dxa"/>
            <w:tcBorders>
              <w:top w:val="nil"/>
              <w:bottom w:val="nil"/>
            </w:tcBorders>
            <w:shd w:val="clear" w:color="auto" w:fill="auto"/>
            <w:noWrap/>
            <w:vAlign w:val="bottom"/>
            <w:hideMark/>
          </w:tcPr>
          <w:p w14:paraId="67D4A325" w14:textId="09315389" w:rsidR="00C24B3B" w:rsidRPr="00C311AE" w:rsidRDefault="002A3D12" w:rsidP="00020CC7">
            <w:pPr>
              <w:snapToGrid w:val="0"/>
              <w:spacing w:line="360" w:lineRule="auto"/>
              <w:jc w:val="both"/>
              <w:rPr>
                <w:rFonts w:ascii="Book Antiqua" w:hAnsi="Book Antiqua" w:cs="Arial"/>
              </w:rPr>
            </w:pPr>
            <w:r w:rsidRPr="00C311AE">
              <w:rPr>
                <w:rFonts w:ascii="Book Antiqua" w:hAnsi="Book Antiqua" w:cs="Arial"/>
              </w:rPr>
              <w:t xml:space="preserve">3.57 </w:t>
            </w:r>
            <w:r w:rsidR="00C24B3B" w:rsidRPr="00C311AE">
              <w:rPr>
                <w:rFonts w:ascii="Book Antiqua" w:hAnsi="Book Antiqua" w:cs="Arial"/>
              </w:rPr>
              <w:t>±</w:t>
            </w:r>
            <w:r w:rsidRPr="00C311AE">
              <w:rPr>
                <w:rFonts w:ascii="Book Antiqua" w:hAnsi="Book Antiqua" w:cs="Arial"/>
              </w:rPr>
              <w:t xml:space="preserve"> 0.12</w:t>
            </w:r>
          </w:p>
        </w:tc>
        <w:tc>
          <w:tcPr>
            <w:tcW w:w="1494" w:type="dxa"/>
            <w:tcBorders>
              <w:top w:val="nil"/>
              <w:bottom w:val="nil"/>
            </w:tcBorders>
            <w:shd w:val="clear" w:color="auto" w:fill="auto"/>
            <w:noWrap/>
            <w:vAlign w:val="bottom"/>
            <w:hideMark/>
          </w:tcPr>
          <w:p w14:paraId="6383C1E5"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0.004</w:t>
            </w:r>
          </w:p>
        </w:tc>
      </w:tr>
      <w:tr w:rsidR="00C311AE" w:rsidRPr="00C311AE" w14:paraId="3EC098D1" w14:textId="77777777" w:rsidTr="00C311AE">
        <w:trPr>
          <w:trHeight w:val="336"/>
        </w:trPr>
        <w:tc>
          <w:tcPr>
            <w:tcW w:w="4456" w:type="dxa"/>
            <w:tcBorders>
              <w:top w:val="nil"/>
              <w:bottom w:val="nil"/>
            </w:tcBorders>
            <w:shd w:val="clear" w:color="auto" w:fill="auto"/>
            <w:vAlign w:val="bottom"/>
            <w:hideMark/>
          </w:tcPr>
          <w:p w14:paraId="62570E84"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Post prandial fullness</w:t>
            </w:r>
          </w:p>
        </w:tc>
        <w:tc>
          <w:tcPr>
            <w:tcW w:w="1804" w:type="dxa"/>
            <w:tcBorders>
              <w:top w:val="nil"/>
              <w:bottom w:val="nil"/>
            </w:tcBorders>
            <w:shd w:val="clear" w:color="auto" w:fill="auto"/>
            <w:noWrap/>
            <w:vAlign w:val="bottom"/>
            <w:hideMark/>
          </w:tcPr>
          <w:p w14:paraId="40D4CECC" w14:textId="56B35EE8"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4.1</w:t>
            </w:r>
            <w:r w:rsidR="002A3D12" w:rsidRPr="00C311AE">
              <w:rPr>
                <w:rFonts w:ascii="Book Antiqua" w:hAnsi="Book Antiqua" w:cs="Arial"/>
              </w:rPr>
              <w:t xml:space="preserve">4 </w:t>
            </w:r>
            <w:r w:rsidRPr="00C311AE">
              <w:rPr>
                <w:rFonts w:ascii="Book Antiqua" w:hAnsi="Book Antiqua" w:cs="Arial"/>
              </w:rPr>
              <w:t>±</w:t>
            </w:r>
            <w:r w:rsidR="002A3D12" w:rsidRPr="00C311AE">
              <w:rPr>
                <w:rFonts w:ascii="Book Antiqua" w:hAnsi="Book Antiqua" w:cs="Arial"/>
              </w:rPr>
              <w:t xml:space="preserve"> 0.18</w:t>
            </w:r>
          </w:p>
        </w:tc>
        <w:tc>
          <w:tcPr>
            <w:tcW w:w="2114" w:type="dxa"/>
            <w:tcBorders>
              <w:top w:val="nil"/>
              <w:bottom w:val="nil"/>
            </w:tcBorders>
            <w:shd w:val="clear" w:color="auto" w:fill="auto"/>
            <w:noWrap/>
            <w:vAlign w:val="bottom"/>
            <w:hideMark/>
          </w:tcPr>
          <w:p w14:paraId="3F0E30B7" w14:textId="2813109A"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3.6</w:t>
            </w:r>
            <w:r w:rsidR="002A3D12" w:rsidRPr="00C311AE">
              <w:rPr>
                <w:rFonts w:ascii="Book Antiqua" w:hAnsi="Book Antiqua" w:cs="Arial"/>
              </w:rPr>
              <w:t xml:space="preserve">3 </w:t>
            </w:r>
            <w:r w:rsidRPr="00C311AE">
              <w:rPr>
                <w:rFonts w:ascii="Book Antiqua" w:hAnsi="Book Antiqua" w:cs="Arial"/>
              </w:rPr>
              <w:t>±</w:t>
            </w:r>
            <w:r w:rsidR="002A3D12" w:rsidRPr="00C311AE">
              <w:rPr>
                <w:rFonts w:ascii="Book Antiqua" w:hAnsi="Book Antiqua" w:cs="Arial"/>
              </w:rPr>
              <w:t xml:space="preserve"> 0.11</w:t>
            </w:r>
          </w:p>
        </w:tc>
        <w:tc>
          <w:tcPr>
            <w:tcW w:w="1494" w:type="dxa"/>
            <w:tcBorders>
              <w:top w:val="nil"/>
              <w:bottom w:val="nil"/>
            </w:tcBorders>
            <w:shd w:val="clear" w:color="auto" w:fill="auto"/>
            <w:noWrap/>
            <w:vAlign w:val="bottom"/>
            <w:hideMark/>
          </w:tcPr>
          <w:p w14:paraId="1E6FB6B2"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0.022</w:t>
            </w:r>
          </w:p>
        </w:tc>
      </w:tr>
      <w:tr w:rsidR="00C311AE" w:rsidRPr="00C311AE" w14:paraId="4F26A0EA" w14:textId="77777777" w:rsidTr="00C311AE">
        <w:trPr>
          <w:trHeight w:val="336"/>
        </w:trPr>
        <w:tc>
          <w:tcPr>
            <w:tcW w:w="4456" w:type="dxa"/>
            <w:tcBorders>
              <w:top w:val="nil"/>
              <w:bottom w:val="nil"/>
            </w:tcBorders>
            <w:shd w:val="clear" w:color="auto" w:fill="auto"/>
            <w:vAlign w:val="bottom"/>
            <w:hideMark/>
          </w:tcPr>
          <w:p w14:paraId="7DB34EB5"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Loss of appetite</w:t>
            </w:r>
          </w:p>
        </w:tc>
        <w:tc>
          <w:tcPr>
            <w:tcW w:w="1804" w:type="dxa"/>
            <w:tcBorders>
              <w:top w:val="nil"/>
              <w:bottom w:val="nil"/>
            </w:tcBorders>
            <w:shd w:val="clear" w:color="auto" w:fill="auto"/>
            <w:noWrap/>
            <w:vAlign w:val="bottom"/>
            <w:hideMark/>
          </w:tcPr>
          <w:p w14:paraId="62DF6C37" w14:textId="57109EA6"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3.6</w:t>
            </w:r>
            <w:r w:rsidR="002A3D12" w:rsidRPr="00C311AE">
              <w:rPr>
                <w:rFonts w:ascii="Book Antiqua" w:hAnsi="Book Antiqua" w:cs="Arial"/>
              </w:rPr>
              <w:t>4 ± 0.21</w:t>
            </w:r>
          </w:p>
        </w:tc>
        <w:tc>
          <w:tcPr>
            <w:tcW w:w="2114" w:type="dxa"/>
            <w:tcBorders>
              <w:top w:val="nil"/>
              <w:bottom w:val="nil"/>
            </w:tcBorders>
            <w:shd w:val="clear" w:color="auto" w:fill="auto"/>
            <w:noWrap/>
            <w:vAlign w:val="bottom"/>
            <w:hideMark/>
          </w:tcPr>
          <w:p w14:paraId="30475A90" w14:textId="39FC7D8F"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3.0</w:t>
            </w:r>
            <w:r w:rsidR="002A3D12" w:rsidRPr="00C311AE">
              <w:rPr>
                <w:rFonts w:ascii="Book Antiqua" w:hAnsi="Book Antiqua" w:cs="Arial"/>
              </w:rPr>
              <w:t>4 ± 0.13</w:t>
            </w:r>
          </w:p>
        </w:tc>
        <w:tc>
          <w:tcPr>
            <w:tcW w:w="1494" w:type="dxa"/>
            <w:tcBorders>
              <w:top w:val="nil"/>
              <w:bottom w:val="nil"/>
            </w:tcBorders>
            <w:shd w:val="clear" w:color="auto" w:fill="auto"/>
            <w:noWrap/>
            <w:vAlign w:val="bottom"/>
            <w:hideMark/>
          </w:tcPr>
          <w:p w14:paraId="3C6A2552"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0.039</w:t>
            </w:r>
          </w:p>
        </w:tc>
      </w:tr>
      <w:tr w:rsidR="00C311AE" w:rsidRPr="00C311AE" w14:paraId="412AA6B6" w14:textId="77777777" w:rsidTr="00C311AE">
        <w:trPr>
          <w:trHeight w:val="336"/>
        </w:trPr>
        <w:tc>
          <w:tcPr>
            <w:tcW w:w="4456" w:type="dxa"/>
            <w:tcBorders>
              <w:top w:val="nil"/>
              <w:bottom w:val="nil"/>
            </w:tcBorders>
            <w:shd w:val="clear" w:color="auto" w:fill="auto"/>
            <w:vAlign w:val="bottom"/>
            <w:hideMark/>
          </w:tcPr>
          <w:p w14:paraId="17F820F4"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Bloating</w:t>
            </w:r>
          </w:p>
        </w:tc>
        <w:tc>
          <w:tcPr>
            <w:tcW w:w="1804" w:type="dxa"/>
            <w:tcBorders>
              <w:top w:val="nil"/>
              <w:bottom w:val="nil"/>
            </w:tcBorders>
            <w:shd w:val="clear" w:color="auto" w:fill="auto"/>
            <w:noWrap/>
            <w:vAlign w:val="bottom"/>
            <w:hideMark/>
          </w:tcPr>
          <w:p w14:paraId="2514F25B" w14:textId="02E28B3B" w:rsidR="00C24B3B" w:rsidRPr="00C311AE" w:rsidRDefault="002A3D12" w:rsidP="00020CC7">
            <w:pPr>
              <w:snapToGrid w:val="0"/>
              <w:spacing w:line="360" w:lineRule="auto"/>
              <w:jc w:val="both"/>
              <w:rPr>
                <w:rFonts w:ascii="Book Antiqua" w:hAnsi="Book Antiqua" w:cs="Arial"/>
              </w:rPr>
            </w:pPr>
            <w:r w:rsidRPr="00C311AE">
              <w:rPr>
                <w:rFonts w:ascii="Book Antiqua" w:hAnsi="Book Antiqua" w:cs="Arial"/>
              </w:rPr>
              <w:t>3.67 ± 0.19</w:t>
            </w:r>
          </w:p>
        </w:tc>
        <w:tc>
          <w:tcPr>
            <w:tcW w:w="2114" w:type="dxa"/>
            <w:tcBorders>
              <w:top w:val="nil"/>
              <w:bottom w:val="nil"/>
            </w:tcBorders>
            <w:shd w:val="clear" w:color="auto" w:fill="auto"/>
            <w:noWrap/>
            <w:vAlign w:val="bottom"/>
            <w:hideMark/>
          </w:tcPr>
          <w:p w14:paraId="2FA24C00" w14:textId="6AF00E61" w:rsidR="00C24B3B" w:rsidRPr="00C311AE" w:rsidRDefault="002A3D12" w:rsidP="00020CC7">
            <w:pPr>
              <w:snapToGrid w:val="0"/>
              <w:spacing w:line="360" w:lineRule="auto"/>
              <w:jc w:val="both"/>
              <w:rPr>
                <w:rFonts w:ascii="Book Antiqua" w:hAnsi="Book Antiqua" w:cs="Arial"/>
              </w:rPr>
            </w:pPr>
            <w:r w:rsidRPr="00C311AE">
              <w:rPr>
                <w:rFonts w:ascii="Book Antiqua" w:hAnsi="Book Antiqua" w:cs="Arial"/>
              </w:rPr>
              <w:t xml:space="preserve">3.36 </w:t>
            </w:r>
            <w:r w:rsidR="00C24B3B" w:rsidRPr="00C311AE">
              <w:rPr>
                <w:rFonts w:ascii="Book Antiqua" w:hAnsi="Book Antiqua" w:cs="Arial"/>
              </w:rPr>
              <w:t>±</w:t>
            </w:r>
            <w:r w:rsidRPr="00C311AE">
              <w:rPr>
                <w:rFonts w:ascii="Book Antiqua" w:hAnsi="Book Antiqua" w:cs="Arial"/>
              </w:rPr>
              <w:t xml:space="preserve"> 0.13</w:t>
            </w:r>
          </w:p>
        </w:tc>
        <w:tc>
          <w:tcPr>
            <w:tcW w:w="1494" w:type="dxa"/>
            <w:tcBorders>
              <w:top w:val="nil"/>
              <w:bottom w:val="nil"/>
            </w:tcBorders>
            <w:shd w:val="clear" w:color="auto" w:fill="auto"/>
            <w:noWrap/>
            <w:vAlign w:val="bottom"/>
            <w:hideMark/>
          </w:tcPr>
          <w:p w14:paraId="004A65A9"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0.396</w:t>
            </w:r>
          </w:p>
        </w:tc>
      </w:tr>
      <w:tr w:rsidR="00C311AE" w:rsidRPr="00C311AE" w14:paraId="5F471FAE" w14:textId="77777777" w:rsidTr="00C311AE">
        <w:trPr>
          <w:trHeight w:val="336"/>
        </w:trPr>
        <w:tc>
          <w:tcPr>
            <w:tcW w:w="4456" w:type="dxa"/>
            <w:tcBorders>
              <w:top w:val="nil"/>
              <w:bottom w:val="nil"/>
            </w:tcBorders>
            <w:shd w:val="clear" w:color="auto" w:fill="auto"/>
            <w:vAlign w:val="bottom"/>
            <w:hideMark/>
          </w:tcPr>
          <w:p w14:paraId="1C4A754E"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Abdominal distension</w:t>
            </w:r>
          </w:p>
        </w:tc>
        <w:tc>
          <w:tcPr>
            <w:tcW w:w="1804" w:type="dxa"/>
            <w:tcBorders>
              <w:top w:val="nil"/>
              <w:bottom w:val="nil"/>
            </w:tcBorders>
            <w:shd w:val="clear" w:color="auto" w:fill="auto"/>
            <w:noWrap/>
            <w:vAlign w:val="bottom"/>
            <w:hideMark/>
          </w:tcPr>
          <w:p w14:paraId="6F82E363" w14:textId="710D623D" w:rsidR="00C24B3B" w:rsidRPr="00C311AE" w:rsidRDefault="00642BD8" w:rsidP="00020CC7">
            <w:pPr>
              <w:snapToGrid w:val="0"/>
              <w:spacing w:line="360" w:lineRule="auto"/>
              <w:jc w:val="both"/>
              <w:rPr>
                <w:rFonts w:ascii="Book Antiqua" w:hAnsi="Book Antiqua" w:cs="Arial"/>
              </w:rPr>
            </w:pPr>
            <w:r w:rsidRPr="00C311AE">
              <w:rPr>
                <w:rFonts w:ascii="Book Antiqua" w:hAnsi="Book Antiqua" w:cs="Arial"/>
              </w:rPr>
              <w:t xml:space="preserve">2.95 </w:t>
            </w:r>
            <w:r w:rsidR="00C24B3B" w:rsidRPr="00C311AE">
              <w:rPr>
                <w:rFonts w:ascii="Book Antiqua" w:hAnsi="Book Antiqua" w:cs="Arial"/>
              </w:rPr>
              <w:t>±</w:t>
            </w:r>
            <w:r w:rsidRPr="00C311AE">
              <w:rPr>
                <w:rFonts w:ascii="Book Antiqua" w:hAnsi="Book Antiqua" w:cs="Arial"/>
              </w:rPr>
              <w:t xml:space="preserve"> 0.25</w:t>
            </w:r>
          </w:p>
        </w:tc>
        <w:tc>
          <w:tcPr>
            <w:tcW w:w="2114" w:type="dxa"/>
            <w:tcBorders>
              <w:top w:val="nil"/>
              <w:bottom w:val="nil"/>
            </w:tcBorders>
            <w:shd w:val="clear" w:color="auto" w:fill="auto"/>
            <w:noWrap/>
            <w:vAlign w:val="bottom"/>
            <w:hideMark/>
          </w:tcPr>
          <w:p w14:paraId="0B5A33B2" w14:textId="6C50DEE1"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3.0</w:t>
            </w:r>
            <w:r w:rsidR="00642BD8" w:rsidRPr="00C311AE">
              <w:rPr>
                <w:rFonts w:ascii="Book Antiqua" w:hAnsi="Book Antiqua" w:cs="Arial"/>
              </w:rPr>
              <w:t xml:space="preserve">1 </w:t>
            </w:r>
            <w:r w:rsidRPr="00C311AE">
              <w:rPr>
                <w:rFonts w:ascii="Book Antiqua" w:hAnsi="Book Antiqua" w:cs="Arial"/>
              </w:rPr>
              <w:t>±</w:t>
            </w:r>
            <w:r w:rsidR="00642BD8" w:rsidRPr="00C311AE">
              <w:rPr>
                <w:rFonts w:ascii="Book Antiqua" w:hAnsi="Book Antiqua" w:cs="Arial"/>
              </w:rPr>
              <w:t xml:space="preserve"> 0.14</w:t>
            </w:r>
          </w:p>
        </w:tc>
        <w:tc>
          <w:tcPr>
            <w:tcW w:w="1494" w:type="dxa"/>
            <w:tcBorders>
              <w:top w:val="nil"/>
              <w:bottom w:val="nil"/>
            </w:tcBorders>
            <w:shd w:val="clear" w:color="auto" w:fill="auto"/>
            <w:noWrap/>
            <w:vAlign w:val="bottom"/>
            <w:hideMark/>
          </w:tcPr>
          <w:p w14:paraId="1E7DE857"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0.753</w:t>
            </w:r>
          </w:p>
        </w:tc>
      </w:tr>
      <w:tr w:rsidR="00C311AE" w:rsidRPr="00C311AE" w14:paraId="68EBDD61" w14:textId="77777777" w:rsidTr="00C311AE">
        <w:trPr>
          <w:trHeight w:val="336"/>
        </w:trPr>
        <w:tc>
          <w:tcPr>
            <w:tcW w:w="4456" w:type="dxa"/>
            <w:tcBorders>
              <w:top w:val="nil"/>
              <w:bottom w:val="nil"/>
            </w:tcBorders>
            <w:shd w:val="clear" w:color="auto" w:fill="auto"/>
            <w:vAlign w:val="bottom"/>
            <w:hideMark/>
          </w:tcPr>
          <w:p w14:paraId="46973A64"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Upper AP</w:t>
            </w:r>
          </w:p>
        </w:tc>
        <w:tc>
          <w:tcPr>
            <w:tcW w:w="1804" w:type="dxa"/>
            <w:tcBorders>
              <w:top w:val="nil"/>
              <w:bottom w:val="nil"/>
            </w:tcBorders>
            <w:shd w:val="clear" w:color="auto" w:fill="auto"/>
            <w:noWrap/>
            <w:vAlign w:val="bottom"/>
            <w:hideMark/>
          </w:tcPr>
          <w:p w14:paraId="32A7E28C" w14:textId="14D696B8" w:rsidR="00C24B3B" w:rsidRPr="00C311AE" w:rsidRDefault="00642BD8" w:rsidP="00020CC7">
            <w:pPr>
              <w:snapToGrid w:val="0"/>
              <w:spacing w:line="360" w:lineRule="auto"/>
              <w:jc w:val="both"/>
              <w:rPr>
                <w:rFonts w:ascii="Book Antiqua" w:hAnsi="Book Antiqua" w:cs="Arial"/>
              </w:rPr>
            </w:pPr>
            <w:r w:rsidRPr="00C311AE">
              <w:rPr>
                <w:rFonts w:ascii="Book Antiqua" w:hAnsi="Book Antiqua" w:cs="Arial"/>
              </w:rPr>
              <w:t xml:space="preserve">3.86 </w:t>
            </w:r>
            <w:r w:rsidR="00C24B3B" w:rsidRPr="00C311AE">
              <w:rPr>
                <w:rFonts w:ascii="Book Antiqua" w:hAnsi="Book Antiqua" w:cs="Arial"/>
              </w:rPr>
              <w:t>±</w:t>
            </w:r>
            <w:r w:rsidRPr="00C311AE">
              <w:rPr>
                <w:rFonts w:ascii="Book Antiqua" w:hAnsi="Book Antiqua" w:cs="Arial"/>
              </w:rPr>
              <w:t xml:space="preserve"> 0.20</w:t>
            </w:r>
          </w:p>
        </w:tc>
        <w:tc>
          <w:tcPr>
            <w:tcW w:w="2114" w:type="dxa"/>
            <w:tcBorders>
              <w:top w:val="nil"/>
              <w:bottom w:val="nil"/>
            </w:tcBorders>
            <w:shd w:val="clear" w:color="auto" w:fill="auto"/>
            <w:noWrap/>
            <w:vAlign w:val="bottom"/>
            <w:hideMark/>
          </w:tcPr>
          <w:p w14:paraId="6DAAF4FD" w14:textId="34A11AFD"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2.9</w:t>
            </w:r>
            <w:r w:rsidR="00642BD8" w:rsidRPr="00C311AE">
              <w:rPr>
                <w:rFonts w:ascii="Book Antiqua" w:hAnsi="Book Antiqua" w:cs="Arial"/>
              </w:rPr>
              <w:t xml:space="preserve">3 </w:t>
            </w:r>
            <w:r w:rsidRPr="00C311AE">
              <w:rPr>
                <w:rFonts w:ascii="Book Antiqua" w:hAnsi="Book Antiqua" w:cs="Arial"/>
              </w:rPr>
              <w:t>±</w:t>
            </w:r>
            <w:r w:rsidR="00642BD8" w:rsidRPr="00C311AE">
              <w:rPr>
                <w:rFonts w:ascii="Book Antiqua" w:hAnsi="Book Antiqua" w:cs="Arial"/>
              </w:rPr>
              <w:t xml:space="preserve"> 0.13</w:t>
            </w:r>
          </w:p>
        </w:tc>
        <w:tc>
          <w:tcPr>
            <w:tcW w:w="1494" w:type="dxa"/>
            <w:tcBorders>
              <w:top w:val="nil"/>
              <w:bottom w:val="nil"/>
            </w:tcBorders>
            <w:shd w:val="clear" w:color="auto" w:fill="auto"/>
            <w:noWrap/>
            <w:vAlign w:val="bottom"/>
            <w:hideMark/>
          </w:tcPr>
          <w:p w14:paraId="52858FD6"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0.001</w:t>
            </w:r>
          </w:p>
        </w:tc>
      </w:tr>
      <w:tr w:rsidR="00C311AE" w:rsidRPr="00C311AE" w14:paraId="4F104271" w14:textId="77777777" w:rsidTr="00C311AE">
        <w:trPr>
          <w:trHeight w:val="355"/>
        </w:trPr>
        <w:tc>
          <w:tcPr>
            <w:tcW w:w="4456" w:type="dxa"/>
            <w:tcBorders>
              <w:top w:val="nil"/>
              <w:bottom w:val="nil"/>
            </w:tcBorders>
            <w:shd w:val="clear" w:color="auto" w:fill="auto"/>
            <w:vAlign w:val="bottom"/>
          </w:tcPr>
          <w:p w14:paraId="3B98CDDF"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Upper abdominal discomfort</w:t>
            </w:r>
          </w:p>
        </w:tc>
        <w:tc>
          <w:tcPr>
            <w:tcW w:w="1804" w:type="dxa"/>
            <w:tcBorders>
              <w:top w:val="nil"/>
              <w:bottom w:val="nil"/>
            </w:tcBorders>
            <w:shd w:val="clear" w:color="auto" w:fill="auto"/>
            <w:noWrap/>
            <w:vAlign w:val="bottom"/>
          </w:tcPr>
          <w:p w14:paraId="701EB29C" w14:textId="4EE70101"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3.7</w:t>
            </w:r>
            <w:r w:rsidR="00642BD8" w:rsidRPr="00C311AE">
              <w:rPr>
                <w:rFonts w:ascii="Book Antiqua" w:hAnsi="Book Antiqua" w:cs="Arial"/>
              </w:rPr>
              <w:t xml:space="preserve">4 </w:t>
            </w:r>
            <w:r w:rsidRPr="00C311AE">
              <w:rPr>
                <w:rFonts w:ascii="Book Antiqua" w:hAnsi="Book Antiqua" w:cs="Arial"/>
              </w:rPr>
              <w:t>±</w:t>
            </w:r>
            <w:r w:rsidR="00642BD8" w:rsidRPr="00C311AE">
              <w:rPr>
                <w:rFonts w:ascii="Book Antiqua" w:hAnsi="Book Antiqua" w:cs="Arial"/>
              </w:rPr>
              <w:t xml:space="preserve"> 0.19</w:t>
            </w:r>
          </w:p>
        </w:tc>
        <w:tc>
          <w:tcPr>
            <w:tcW w:w="2114" w:type="dxa"/>
            <w:tcBorders>
              <w:top w:val="nil"/>
              <w:bottom w:val="nil"/>
            </w:tcBorders>
            <w:shd w:val="clear" w:color="auto" w:fill="auto"/>
            <w:noWrap/>
            <w:vAlign w:val="bottom"/>
          </w:tcPr>
          <w:p w14:paraId="64B6F944" w14:textId="0162F7C8" w:rsidR="00C24B3B" w:rsidRPr="00C311AE" w:rsidRDefault="00642BD8" w:rsidP="00020CC7">
            <w:pPr>
              <w:snapToGrid w:val="0"/>
              <w:spacing w:line="360" w:lineRule="auto"/>
              <w:jc w:val="both"/>
              <w:rPr>
                <w:rFonts w:ascii="Book Antiqua" w:hAnsi="Book Antiqua" w:cs="Arial"/>
              </w:rPr>
            </w:pPr>
            <w:r w:rsidRPr="00C311AE">
              <w:rPr>
                <w:rFonts w:ascii="Book Antiqua" w:hAnsi="Book Antiqua" w:cs="Arial"/>
              </w:rPr>
              <w:t xml:space="preserve">3.09 </w:t>
            </w:r>
            <w:r w:rsidR="00C24B3B" w:rsidRPr="00C311AE">
              <w:rPr>
                <w:rFonts w:ascii="Book Antiqua" w:hAnsi="Book Antiqua" w:cs="Arial"/>
              </w:rPr>
              <w:t>±</w:t>
            </w:r>
            <w:r w:rsidRPr="00C311AE">
              <w:rPr>
                <w:rFonts w:ascii="Book Antiqua" w:hAnsi="Book Antiqua" w:cs="Arial"/>
              </w:rPr>
              <w:t xml:space="preserve"> 0.13</w:t>
            </w:r>
          </w:p>
        </w:tc>
        <w:tc>
          <w:tcPr>
            <w:tcW w:w="1494" w:type="dxa"/>
            <w:tcBorders>
              <w:top w:val="nil"/>
              <w:bottom w:val="nil"/>
            </w:tcBorders>
            <w:shd w:val="clear" w:color="auto" w:fill="auto"/>
            <w:noWrap/>
            <w:vAlign w:val="bottom"/>
          </w:tcPr>
          <w:p w14:paraId="5A858370"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0.031</w:t>
            </w:r>
          </w:p>
        </w:tc>
      </w:tr>
      <w:tr w:rsidR="00C311AE" w:rsidRPr="00C311AE" w14:paraId="01EB74DB" w14:textId="77777777" w:rsidTr="00C311AE">
        <w:trPr>
          <w:trHeight w:val="336"/>
        </w:trPr>
        <w:tc>
          <w:tcPr>
            <w:tcW w:w="4456" w:type="dxa"/>
            <w:tcBorders>
              <w:top w:val="nil"/>
              <w:bottom w:val="nil"/>
            </w:tcBorders>
            <w:shd w:val="clear" w:color="auto" w:fill="auto"/>
            <w:vAlign w:val="bottom"/>
          </w:tcPr>
          <w:p w14:paraId="3DD1D253"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Lower AP</w:t>
            </w:r>
          </w:p>
        </w:tc>
        <w:tc>
          <w:tcPr>
            <w:tcW w:w="1804" w:type="dxa"/>
            <w:tcBorders>
              <w:top w:val="nil"/>
              <w:bottom w:val="nil"/>
            </w:tcBorders>
            <w:shd w:val="clear" w:color="auto" w:fill="auto"/>
            <w:noWrap/>
            <w:vAlign w:val="bottom"/>
          </w:tcPr>
          <w:p w14:paraId="357E9BDC" w14:textId="407E8FD5" w:rsidR="00C24B3B" w:rsidRPr="00C311AE" w:rsidRDefault="00642BD8" w:rsidP="00020CC7">
            <w:pPr>
              <w:snapToGrid w:val="0"/>
              <w:spacing w:line="360" w:lineRule="auto"/>
              <w:jc w:val="both"/>
              <w:rPr>
                <w:rFonts w:ascii="Book Antiqua" w:hAnsi="Book Antiqua" w:cs="Arial"/>
              </w:rPr>
            </w:pPr>
            <w:r w:rsidRPr="00C311AE">
              <w:rPr>
                <w:rFonts w:ascii="Book Antiqua" w:hAnsi="Book Antiqua" w:cs="Arial"/>
              </w:rPr>
              <w:t>2.67 ± 0.27</w:t>
            </w:r>
          </w:p>
        </w:tc>
        <w:tc>
          <w:tcPr>
            <w:tcW w:w="2114" w:type="dxa"/>
            <w:tcBorders>
              <w:top w:val="nil"/>
              <w:bottom w:val="nil"/>
            </w:tcBorders>
            <w:shd w:val="clear" w:color="auto" w:fill="auto"/>
            <w:noWrap/>
            <w:vAlign w:val="bottom"/>
          </w:tcPr>
          <w:p w14:paraId="552E1B5D" w14:textId="60495364" w:rsidR="00C24B3B" w:rsidRPr="00C311AE" w:rsidRDefault="00642BD8" w:rsidP="00020CC7">
            <w:pPr>
              <w:snapToGrid w:val="0"/>
              <w:spacing w:line="360" w:lineRule="auto"/>
              <w:jc w:val="both"/>
              <w:rPr>
                <w:rFonts w:ascii="Book Antiqua" w:hAnsi="Book Antiqua" w:cs="Arial"/>
              </w:rPr>
            </w:pPr>
            <w:r w:rsidRPr="00C311AE">
              <w:rPr>
                <w:rFonts w:ascii="Book Antiqua" w:hAnsi="Book Antiqua" w:cs="Arial"/>
              </w:rPr>
              <w:t xml:space="preserve">2.38 </w:t>
            </w:r>
            <w:r w:rsidR="00C24B3B" w:rsidRPr="00C311AE">
              <w:rPr>
                <w:rFonts w:ascii="Book Antiqua" w:hAnsi="Book Antiqua" w:cs="Arial"/>
              </w:rPr>
              <w:t>±</w:t>
            </w:r>
            <w:r w:rsidRPr="00C311AE">
              <w:rPr>
                <w:rFonts w:ascii="Book Antiqua" w:hAnsi="Book Antiqua" w:cs="Arial"/>
              </w:rPr>
              <w:t xml:space="preserve"> 0.13</w:t>
            </w:r>
          </w:p>
        </w:tc>
        <w:tc>
          <w:tcPr>
            <w:tcW w:w="1494" w:type="dxa"/>
            <w:tcBorders>
              <w:top w:val="nil"/>
              <w:bottom w:val="nil"/>
            </w:tcBorders>
            <w:shd w:val="clear" w:color="auto" w:fill="auto"/>
            <w:noWrap/>
            <w:vAlign w:val="bottom"/>
          </w:tcPr>
          <w:p w14:paraId="64DCB3D2"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0.315</w:t>
            </w:r>
          </w:p>
        </w:tc>
      </w:tr>
      <w:tr w:rsidR="00C311AE" w:rsidRPr="00C311AE" w14:paraId="515D645F" w14:textId="77777777" w:rsidTr="00C311AE">
        <w:trPr>
          <w:trHeight w:val="336"/>
        </w:trPr>
        <w:tc>
          <w:tcPr>
            <w:tcW w:w="4456" w:type="dxa"/>
            <w:tcBorders>
              <w:top w:val="nil"/>
              <w:bottom w:val="nil"/>
            </w:tcBorders>
            <w:shd w:val="clear" w:color="auto" w:fill="auto"/>
            <w:vAlign w:val="bottom"/>
          </w:tcPr>
          <w:p w14:paraId="40EEA8CF"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Lower abdominal discomfort</w:t>
            </w:r>
          </w:p>
        </w:tc>
        <w:tc>
          <w:tcPr>
            <w:tcW w:w="1804" w:type="dxa"/>
            <w:tcBorders>
              <w:top w:val="nil"/>
              <w:bottom w:val="nil"/>
            </w:tcBorders>
            <w:shd w:val="clear" w:color="auto" w:fill="auto"/>
            <w:noWrap/>
            <w:vAlign w:val="bottom"/>
          </w:tcPr>
          <w:p w14:paraId="1ECEF056" w14:textId="4F52AB6D" w:rsidR="00C24B3B" w:rsidRPr="00C311AE" w:rsidRDefault="00642BD8" w:rsidP="00020CC7">
            <w:pPr>
              <w:snapToGrid w:val="0"/>
              <w:spacing w:line="360" w:lineRule="auto"/>
              <w:jc w:val="both"/>
              <w:rPr>
                <w:rFonts w:ascii="Book Antiqua" w:hAnsi="Book Antiqua" w:cs="Arial"/>
              </w:rPr>
            </w:pPr>
            <w:r w:rsidRPr="00C311AE">
              <w:rPr>
                <w:rFonts w:ascii="Book Antiqua" w:hAnsi="Book Antiqua" w:cs="Arial"/>
              </w:rPr>
              <w:t xml:space="preserve">2.79 </w:t>
            </w:r>
            <w:r w:rsidR="00C24B3B" w:rsidRPr="00C311AE">
              <w:rPr>
                <w:rFonts w:ascii="Book Antiqua" w:hAnsi="Book Antiqua" w:cs="Arial"/>
              </w:rPr>
              <w:t>±</w:t>
            </w:r>
            <w:r w:rsidRPr="00C311AE">
              <w:rPr>
                <w:rFonts w:ascii="Book Antiqua" w:hAnsi="Book Antiqua" w:cs="Arial"/>
              </w:rPr>
              <w:t xml:space="preserve"> 0.25</w:t>
            </w:r>
          </w:p>
        </w:tc>
        <w:tc>
          <w:tcPr>
            <w:tcW w:w="2114" w:type="dxa"/>
            <w:tcBorders>
              <w:top w:val="nil"/>
              <w:bottom w:val="nil"/>
            </w:tcBorders>
            <w:shd w:val="clear" w:color="auto" w:fill="auto"/>
            <w:noWrap/>
            <w:vAlign w:val="bottom"/>
          </w:tcPr>
          <w:p w14:paraId="03E6C346" w14:textId="314F7FB3" w:rsidR="00C24B3B" w:rsidRPr="00C311AE" w:rsidRDefault="00642BD8" w:rsidP="00020CC7">
            <w:pPr>
              <w:snapToGrid w:val="0"/>
              <w:spacing w:line="360" w:lineRule="auto"/>
              <w:jc w:val="both"/>
              <w:rPr>
                <w:rFonts w:ascii="Book Antiqua" w:hAnsi="Book Antiqua" w:cs="Arial"/>
              </w:rPr>
            </w:pPr>
            <w:r w:rsidRPr="00C311AE">
              <w:rPr>
                <w:rFonts w:ascii="Book Antiqua" w:hAnsi="Book Antiqua" w:cs="Arial"/>
              </w:rPr>
              <w:t xml:space="preserve">2.38 </w:t>
            </w:r>
            <w:r w:rsidR="00C24B3B" w:rsidRPr="00C311AE">
              <w:rPr>
                <w:rFonts w:ascii="Book Antiqua" w:hAnsi="Book Antiqua" w:cs="Arial"/>
              </w:rPr>
              <w:t>±</w:t>
            </w:r>
            <w:r w:rsidRPr="00C311AE">
              <w:rPr>
                <w:rFonts w:ascii="Book Antiqua" w:hAnsi="Book Antiqua" w:cs="Arial"/>
              </w:rPr>
              <w:t xml:space="preserve"> 0.13</w:t>
            </w:r>
          </w:p>
        </w:tc>
        <w:tc>
          <w:tcPr>
            <w:tcW w:w="1494" w:type="dxa"/>
            <w:tcBorders>
              <w:top w:val="nil"/>
              <w:bottom w:val="nil"/>
            </w:tcBorders>
            <w:shd w:val="clear" w:color="auto" w:fill="auto"/>
            <w:noWrap/>
            <w:vAlign w:val="bottom"/>
          </w:tcPr>
          <w:p w14:paraId="46DE1877"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0.130</w:t>
            </w:r>
          </w:p>
        </w:tc>
      </w:tr>
      <w:tr w:rsidR="00C311AE" w:rsidRPr="00C311AE" w14:paraId="3A60300A" w14:textId="77777777" w:rsidTr="00C311AE">
        <w:trPr>
          <w:trHeight w:val="336"/>
        </w:trPr>
        <w:tc>
          <w:tcPr>
            <w:tcW w:w="4456" w:type="dxa"/>
            <w:tcBorders>
              <w:top w:val="nil"/>
              <w:bottom w:val="nil"/>
            </w:tcBorders>
            <w:shd w:val="clear" w:color="auto" w:fill="auto"/>
            <w:vAlign w:val="bottom"/>
          </w:tcPr>
          <w:p w14:paraId="06E073DF"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Heartburn during day</w:t>
            </w:r>
          </w:p>
        </w:tc>
        <w:tc>
          <w:tcPr>
            <w:tcW w:w="1804" w:type="dxa"/>
            <w:tcBorders>
              <w:top w:val="nil"/>
              <w:bottom w:val="nil"/>
            </w:tcBorders>
            <w:shd w:val="clear" w:color="auto" w:fill="auto"/>
            <w:noWrap/>
            <w:vAlign w:val="bottom"/>
          </w:tcPr>
          <w:p w14:paraId="6BC9DFF1" w14:textId="4AE27148" w:rsidR="00C24B3B" w:rsidRPr="00C311AE" w:rsidRDefault="005749C4" w:rsidP="00020CC7">
            <w:pPr>
              <w:snapToGrid w:val="0"/>
              <w:spacing w:line="360" w:lineRule="auto"/>
              <w:jc w:val="both"/>
              <w:rPr>
                <w:rFonts w:ascii="Book Antiqua" w:hAnsi="Book Antiqua" w:cs="Arial"/>
              </w:rPr>
            </w:pPr>
            <w:r w:rsidRPr="00C311AE">
              <w:rPr>
                <w:rFonts w:ascii="Book Antiqua" w:hAnsi="Book Antiqua" w:cs="Arial"/>
              </w:rPr>
              <w:t>2.55</w:t>
            </w:r>
            <w:r w:rsidR="00642BD8" w:rsidRPr="00C311AE">
              <w:rPr>
                <w:rFonts w:ascii="Book Antiqua" w:hAnsi="Book Antiqua" w:cs="Arial"/>
              </w:rPr>
              <w:t xml:space="preserve"> </w:t>
            </w:r>
            <w:r w:rsidR="00C24B3B" w:rsidRPr="00C311AE">
              <w:rPr>
                <w:rFonts w:ascii="Book Antiqua" w:hAnsi="Book Antiqua" w:cs="Arial"/>
              </w:rPr>
              <w:t>±</w:t>
            </w:r>
            <w:r w:rsidR="00642BD8" w:rsidRPr="00C311AE">
              <w:rPr>
                <w:rFonts w:ascii="Book Antiqua" w:hAnsi="Book Antiqua" w:cs="Arial"/>
              </w:rPr>
              <w:t xml:space="preserve"> </w:t>
            </w:r>
            <w:r w:rsidR="00C24B3B" w:rsidRPr="00C311AE">
              <w:rPr>
                <w:rFonts w:ascii="Book Antiqua" w:hAnsi="Book Antiqua" w:cs="Arial"/>
              </w:rPr>
              <w:t xml:space="preserve"> </w:t>
            </w:r>
            <w:r w:rsidRPr="00C311AE">
              <w:rPr>
                <w:rFonts w:ascii="Book Antiqua" w:hAnsi="Book Antiqua" w:cs="Arial"/>
              </w:rPr>
              <w:t>0.27</w:t>
            </w:r>
          </w:p>
        </w:tc>
        <w:tc>
          <w:tcPr>
            <w:tcW w:w="2114" w:type="dxa"/>
            <w:tcBorders>
              <w:top w:val="nil"/>
              <w:bottom w:val="nil"/>
            </w:tcBorders>
            <w:shd w:val="clear" w:color="auto" w:fill="auto"/>
            <w:noWrap/>
            <w:vAlign w:val="bottom"/>
          </w:tcPr>
          <w:p w14:paraId="3AA107A7" w14:textId="45FF9D1E"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1.8</w:t>
            </w:r>
            <w:r w:rsidR="005749C4" w:rsidRPr="00C311AE">
              <w:rPr>
                <w:rFonts w:ascii="Book Antiqua" w:hAnsi="Book Antiqua" w:cs="Arial"/>
              </w:rPr>
              <w:t>9</w:t>
            </w:r>
            <w:r w:rsidR="00642BD8" w:rsidRPr="00C311AE">
              <w:rPr>
                <w:rFonts w:ascii="Book Antiqua" w:hAnsi="Book Antiqua" w:cs="Arial"/>
              </w:rPr>
              <w:t xml:space="preserve"> </w:t>
            </w:r>
            <w:r w:rsidRPr="00C311AE">
              <w:rPr>
                <w:rFonts w:ascii="Book Antiqua" w:hAnsi="Book Antiqua" w:cs="Arial"/>
              </w:rPr>
              <w:t>±</w:t>
            </w:r>
            <w:r w:rsidR="00642BD8" w:rsidRPr="00C311AE">
              <w:rPr>
                <w:rFonts w:ascii="Book Antiqua" w:hAnsi="Book Antiqua" w:cs="Arial"/>
              </w:rPr>
              <w:t xml:space="preserve"> </w:t>
            </w:r>
            <w:r w:rsidR="005749C4" w:rsidRPr="00C311AE">
              <w:rPr>
                <w:rFonts w:ascii="Book Antiqua" w:hAnsi="Book Antiqua" w:cs="Arial"/>
              </w:rPr>
              <w:t>0.13</w:t>
            </w:r>
          </w:p>
        </w:tc>
        <w:tc>
          <w:tcPr>
            <w:tcW w:w="1494" w:type="dxa"/>
            <w:tcBorders>
              <w:top w:val="nil"/>
              <w:bottom w:val="nil"/>
            </w:tcBorders>
            <w:shd w:val="clear" w:color="auto" w:fill="auto"/>
            <w:noWrap/>
            <w:vAlign w:val="bottom"/>
          </w:tcPr>
          <w:p w14:paraId="4EAF691C"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0.032</w:t>
            </w:r>
          </w:p>
        </w:tc>
      </w:tr>
      <w:tr w:rsidR="00C311AE" w:rsidRPr="00C311AE" w14:paraId="72402325" w14:textId="77777777" w:rsidTr="00C311AE">
        <w:trPr>
          <w:trHeight w:val="336"/>
        </w:trPr>
        <w:tc>
          <w:tcPr>
            <w:tcW w:w="4456" w:type="dxa"/>
            <w:tcBorders>
              <w:top w:val="nil"/>
              <w:bottom w:val="nil"/>
            </w:tcBorders>
            <w:shd w:val="clear" w:color="auto" w:fill="auto"/>
            <w:vAlign w:val="bottom"/>
          </w:tcPr>
          <w:p w14:paraId="171FB372"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Heartburn on lying down</w:t>
            </w:r>
          </w:p>
        </w:tc>
        <w:tc>
          <w:tcPr>
            <w:tcW w:w="1804" w:type="dxa"/>
            <w:tcBorders>
              <w:top w:val="nil"/>
              <w:bottom w:val="nil"/>
            </w:tcBorders>
            <w:shd w:val="clear" w:color="auto" w:fill="auto"/>
            <w:noWrap/>
            <w:vAlign w:val="bottom"/>
          </w:tcPr>
          <w:p w14:paraId="3633DEA7" w14:textId="71C2D332" w:rsidR="00C24B3B" w:rsidRPr="00C311AE" w:rsidRDefault="005749C4" w:rsidP="00020CC7">
            <w:pPr>
              <w:snapToGrid w:val="0"/>
              <w:spacing w:line="360" w:lineRule="auto"/>
              <w:jc w:val="both"/>
              <w:rPr>
                <w:rFonts w:ascii="Book Antiqua" w:hAnsi="Book Antiqua" w:cs="Arial"/>
              </w:rPr>
            </w:pPr>
            <w:r w:rsidRPr="00C311AE">
              <w:rPr>
                <w:rFonts w:ascii="Book Antiqua" w:hAnsi="Book Antiqua" w:cs="Arial"/>
              </w:rPr>
              <w:t xml:space="preserve">2.76 </w:t>
            </w:r>
            <w:r w:rsidR="00C24B3B" w:rsidRPr="00C311AE">
              <w:rPr>
                <w:rFonts w:ascii="Book Antiqua" w:hAnsi="Book Antiqua" w:cs="Arial"/>
              </w:rPr>
              <w:t>±</w:t>
            </w:r>
            <w:r w:rsidRPr="00C311AE">
              <w:rPr>
                <w:rFonts w:ascii="Book Antiqua" w:hAnsi="Book Antiqua" w:cs="Arial"/>
              </w:rPr>
              <w:t xml:space="preserve"> 0.28</w:t>
            </w:r>
          </w:p>
        </w:tc>
        <w:tc>
          <w:tcPr>
            <w:tcW w:w="2114" w:type="dxa"/>
            <w:tcBorders>
              <w:top w:val="nil"/>
              <w:bottom w:val="nil"/>
            </w:tcBorders>
            <w:shd w:val="clear" w:color="auto" w:fill="auto"/>
            <w:noWrap/>
            <w:vAlign w:val="bottom"/>
          </w:tcPr>
          <w:p w14:paraId="7EF17605" w14:textId="0DE5FC98"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1.9</w:t>
            </w:r>
            <w:r w:rsidR="005749C4" w:rsidRPr="00C311AE">
              <w:rPr>
                <w:rFonts w:ascii="Book Antiqua" w:hAnsi="Book Antiqua" w:cs="Arial"/>
              </w:rPr>
              <w:t xml:space="preserve">4 </w:t>
            </w:r>
            <w:r w:rsidRPr="00C311AE">
              <w:rPr>
                <w:rFonts w:ascii="Book Antiqua" w:hAnsi="Book Antiqua" w:cs="Arial"/>
              </w:rPr>
              <w:t>±</w:t>
            </w:r>
            <w:r w:rsidR="005749C4" w:rsidRPr="00C311AE">
              <w:rPr>
                <w:rFonts w:ascii="Book Antiqua" w:hAnsi="Book Antiqua" w:cs="Arial"/>
              </w:rPr>
              <w:t xml:space="preserve"> 0.14</w:t>
            </w:r>
          </w:p>
        </w:tc>
        <w:tc>
          <w:tcPr>
            <w:tcW w:w="1494" w:type="dxa"/>
            <w:tcBorders>
              <w:top w:val="nil"/>
              <w:bottom w:val="nil"/>
            </w:tcBorders>
            <w:shd w:val="clear" w:color="auto" w:fill="auto"/>
            <w:noWrap/>
            <w:vAlign w:val="bottom"/>
          </w:tcPr>
          <w:p w14:paraId="1049975A"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0.008</w:t>
            </w:r>
          </w:p>
        </w:tc>
      </w:tr>
      <w:tr w:rsidR="00C311AE" w:rsidRPr="00C311AE" w14:paraId="752EDF47" w14:textId="77777777" w:rsidTr="00C311AE">
        <w:trPr>
          <w:trHeight w:val="336"/>
        </w:trPr>
        <w:tc>
          <w:tcPr>
            <w:tcW w:w="4456" w:type="dxa"/>
            <w:tcBorders>
              <w:top w:val="nil"/>
              <w:bottom w:val="nil"/>
            </w:tcBorders>
            <w:shd w:val="clear" w:color="auto" w:fill="auto"/>
            <w:vAlign w:val="bottom"/>
          </w:tcPr>
          <w:p w14:paraId="21913F46"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Chest discomfort during day</w:t>
            </w:r>
          </w:p>
        </w:tc>
        <w:tc>
          <w:tcPr>
            <w:tcW w:w="1804" w:type="dxa"/>
            <w:tcBorders>
              <w:top w:val="nil"/>
              <w:bottom w:val="nil"/>
            </w:tcBorders>
            <w:shd w:val="clear" w:color="auto" w:fill="auto"/>
            <w:noWrap/>
            <w:vAlign w:val="bottom"/>
          </w:tcPr>
          <w:p w14:paraId="5C352B95" w14:textId="795D715D" w:rsidR="00C24B3B" w:rsidRPr="00C311AE" w:rsidRDefault="005749C4" w:rsidP="00020CC7">
            <w:pPr>
              <w:snapToGrid w:val="0"/>
              <w:spacing w:line="360" w:lineRule="auto"/>
              <w:jc w:val="both"/>
              <w:rPr>
                <w:rFonts w:ascii="Book Antiqua" w:hAnsi="Book Antiqua" w:cs="Arial"/>
              </w:rPr>
            </w:pPr>
            <w:r w:rsidRPr="00C311AE">
              <w:rPr>
                <w:rFonts w:ascii="Book Antiqua" w:hAnsi="Book Antiqua" w:cs="Arial"/>
              </w:rPr>
              <w:t xml:space="preserve">2.42 </w:t>
            </w:r>
            <w:r w:rsidR="00C24B3B" w:rsidRPr="00C311AE">
              <w:rPr>
                <w:rFonts w:ascii="Book Antiqua" w:hAnsi="Book Antiqua" w:cs="Arial"/>
              </w:rPr>
              <w:t>±</w:t>
            </w:r>
            <w:r w:rsidRPr="00C311AE">
              <w:rPr>
                <w:rFonts w:ascii="Book Antiqua" w:hAnsi="Book Antiqua" w:cs="Arial"/>
              </w:rPr>
              <w:t xml:space="preserve"> 0.20</w:t>
            </w:r>
          </w:p>
        </w:tc>
        <w:tc>
          <w:tcPr>
            <w:tcW w:w="2114" w:type="dxa"/>
            <w:tcBorders>
              <w:top w:val="nil"/>
              <w:bottom w:val="nil"/>
            </w:tcBorders>
            <w:shd w:val="clear" w:color="auto" w:fill="auto"/>
            <w:noWrap/>
            <w:vAlign w:val="bottom"/>
          </w:tcPr>
          <w:p w14:paraId="7ED5D415" w14:textId="7C936668" w:rsidR="00C24B3B" w:rsidRPr="00C311AE" w:rsidRDefault="005749C4" w:rsidP="00020CC7">
            <w:pPr>
              <w:snapToGrid w:val="0"/>
              <w:spacing w:line="360" w:lineRule="auto"/>
              <w:jc w:val="both"/>
              <w:rPr>
                <w:rFonts w:ascii="Book Antiqua" w:hAnsi="Book Antiqua" w:cs="Arial"/>
              </w:rPr>
            </w:pPr>
            <w:r w:rsidRPr="00C311AE">
              <w:rPr>
                <w:rFonts w:ascii="Book Antiqua" w:hAnsi="Book Antiqua" w:cs="Arial"/>
              </w:rPr>
              <w:t xml:space="preserve">1.83 </w:t>
            </w:r>
            <w:r w:rsidR="00C24B3B" w:rsidRPr="00C311AE">
              <w:rPr>
                <w:rFonts w:ascii="Book Antiqua" w:hAnsi="Book Antiqua" w:cs="Arial"/>
              </w:rPr>
              <w:t>±</w:t>
            </w:r>
            <w:r w:rsidRPr="00C311AE">
              <w:rPr>
                <w:rFonts w:ascii="Book Antiqua" w:hAnsi="Book Antiqua" w:cs="Arial"/>
              </w:rPr>
              <w:t xml:space="preserve"> 0.12</w:t>
            </w:r>
          </w:p>
        </w:tc>
        <w:tc>
          <w:tcPr>
            <w:tcW w:w="1494" w:type="dxa"/>
            <w:tcBorders>
              <w:top w:val="nil"/>
              <w:bottom w:val="nil"/>
            </w:tcBorders>
            <w:shd w:val="clear" w:color="auto" w:fill="auto"/>
            <w:noWrap/>
            <w:vAlign w:val="bottom"/>
          </w:tcPr>
          <w:p w14:paraId="6C362B7A"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0.018</w:t>
            </w:r>
          </w:p>
        </w:tc>
      </w:tr>
      <w:tr w:rsidR="00C311AE" w:rsidRPr="00C311AE" w14:paraId="1CDF1BED" w14:textId="77777777" w:rsidTr="00C311AE">
        <w:trPr>
          <w:trHeight w:val="336"/>
        </w:trPr>
        <w:tc>
          <w:tcPr>
            <w:tcW w:w="4456" w:type="dxa"/>
            <w:tcBorders>
              <w:top w:val="nil"/>
              <w:bottom w:val="nil"/>
            </w:tcBorders>
            <w:shd w:val="clear" w:color="auto" w:fill="auto"/>
            <w:vAlign w:val="bottom"/>
          </w:tcPr>
          <w:p w14:paraId="22389FA8"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Chest discomfort at night</w:t>
            </w:r>
          </w:p>
        </w:tc>
        <w:tc>
          <w:tcPr>
            <w:tcW w:w="1804" w:type="dxa"/>
            <w:tcBorders>
              <w:top w:val="nil"/>
              <w:bottom w:val="nil"/>
            </w:tcBorders>
            <w:shd w:val="clear" w:color="auto" w:fill="auto"/>
            <w:noWrap/>
            <w:vAlign w:val="bottom"/>
          </w:tcPr>
          <w:p w14:paraId="7151A30E" w14:textId="10A50D90"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2.4</w:t>
            </w:r>
            <w:r w:rsidR="005749C4" w:rsidRPr="00C311AE">
              <w:rPr>
                <w:rFonts w:ascii="Book Antiqua" w:hAnsi="Book Antiqua" w:cs="Arial"/>
              </w:rPr>
              <w:t xml:space="preserve">0 </w:t>
            </w:r>
            <w:r w:rsidRPr="00C311AE">
              <w:rPr>
                <w:rFonts w:ascii="Book Antiqua" w:hAnsi="Book Antiqua" w:cs="Arial"/>
              </w:rPr>
              <w:t>±</w:t>
            </w:r>
            <w:r w:rsidR="005749C4" w:rsidRPr="00C311AE">
              <w:rPr>
                <w:rFonts w:ascii="Book Antiqua" w:hAnsi="Book Antiqua" w:cs="Arial"/>
              </w:rPr>
              <w:t xml:space="preserve"> 0.23</w:t>
            </w:r>
          </w:p>
        </w:tc>
        <w:tc>
          <w:tcPr>
            <w:tcW w:w="2114" w:type="dxa"/>
            <w:tcBorders>
              <w:top w:val="nil"/>
              <w:bottom w:val="nil"/>
            </w:tcBorders>
            <w:shd w:val="clear" w:color="auto" w:fill="auto"/>
            <w:noWrap/>
            <w:vAlign w:val="bottom"/>
          </w:tcPr>
          <w:p w14:paraId="63E944AC" w14:textId="54FEB183"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1.6</w:t>
            </w:r>
            <w:r w:rsidR="005749C4" w:rsidRPr="00C311AE">
              <w:rPr>
                <w:rFonts w:ascii="Book Antiqua" w:hAnsi="Book Antiqua" w:cs="Arial"/>
              </w:rPr>
              <w:t xml:space="preserve">1 </w:t>
            </w:r>
            <w:r w:rsidRPr="00C311AE">
              <w:rPr>
                <w:rFonts w:ascii="Book Antiqua" w:hAnsi="Book Antiqua" w:cs="Arial"/>
              </w:rPr>
              <w:t>±</w:t>
            </w:r>
            <w:r w:rsidR="005749C4" w:rsidRPr="00C311AE">
              <w:rPr>
                <w:rFonts w:ascii="Book Antiqua" w:hAnsi="Book Antiqua" w:cs="Arial"/>
              </w:rPr>
              <w:t xml:space="preserve"> 0.13</w:t>
            </w:r>
          </w:p>
        </w:tc>
        <w:tc>
          <w:tcPr>
            <w:tcW w:w="1494" w:type="dxa"/>
            <w:tcBorders>
              <w:top w:val="nil"/>
              <w:bottom w:val="nil"/>
            </w:tcBorders>
            <w:shd w:val="clear" w:color="auto" w:fill="auto"/>
            <w:noWrap/>
            <w:vAlign w:val="bottom"/>
          </w:tcPr>
          <w:p w14:paraId="06FC6C9B"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0.003</w:t>
            </w:r>
          </w:p>
        </w:tc>
      </w:tr>
      <w:tr w:rsidR="00C311AE" w:rsidRPr="00C311AE" w14:paraId="185CE666" w14:textId="77777777" w:rsidTr="00C311AE">
        <w:trPr>
          <w:trHeight w:val="336"/>
        </w:trPr>
        <w:tc>
          <w:tcPr>
            <w:tcW w:w="4456" w:type="dxa"/>
            <w:tcBorders>
              <w:top w:val="nil"/>
              <w:bottom w:val="nil"/>
            </w:tcBorders>
            <w:shd w:val="clear" w:color="auto" w:fill="auto"/>
            <w:vAlign w:val="bottom"/>
          </w:tcPr>
          <w:p w14:paraId="363F0D9E"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 xml:space="preserve">Regurgitation or reflux during day </w:t>
            </w:r>
          </w:p>
        </w:tc>
        <w:tc>
          <w:tcPr>
            <w:tcW w:w="1804" w:type="dxa"/>
            <w:tcBorders>
              <w:top w:val="nil"/>
              <w:bottom w:val="nil"/>
            </w:tcBorders>
            <w:shd w:val="clear" w:color="auto" w:fill="auto"/>
            <w:noWrap/>
            <w:vAlign w:val="bottom"/>
          </w:tcPr>
          <w:p w14:paraId="2BFA3AEB" w14:textId="6ED4D285" w:rsidR="00C24B3B" w:rsidRPr="00C311AE" w:rsidRDefault="005749C4" w:rsidP="00020CC7">
            <w:pPr>
              <w:snapToGrid w:val="0"/>
              <w:spacing w:line="360" w:lineRule="auto"/>
              <w:jc w:val="both"/>
              <w:rPr>
                <w:rFonts w:ascii="Book Antiqua" w:hAnsi="Book Antiqua" w:cs="Arial"/>
              </w:rPr>
            </w:pPr>
            <w:r w:rsidRPr="00C311AE">
              <w:rPr>
                <w:rFonts w:ascii="Book Antiqua" w:hAnsi="Book Antiqua" w:cs="Arial"/>
              </w:rPr>
              <w:t xml:space="preserve">2.77 </w:t>
            </w:r>
            <w:r w:rsidR="00C24B3B" w:rsidRPr="00C311AE">
              <w:rPr>
                <w:rFonts w:ascii="Book Antiqua" w:hAnsi="Book Antiqua" w:cs="Arial"/>
              </w:rPr>
              <w:t>±</w:t>
            </w:r>
            <w:r w:rsidRPr="00C311AE">
              <w:rPr>
                <w:rFonts w:ascii="Book Antiqua" w:hAnsi="Book Antiqua" w:cs="Arial"/>
              </w:rPr>
              <w:t xml:space="preserve"> 0.25</w:t>
            </w:r>
          </w:p>
        </w:tc>
        <w:tc>
          <w:tcPr>
            <w:tcW w:w="2114" w:type="dxa"/>
            <w:tcBorders>
              <w:top w:val="nil"/>
              <w:bottom w:val="nil"/>
            </w:tcBorders>
            <w:shd w:val="clear" w:color="auto" w:fill="auto"/>
            <w:noWrap/>
            <w:vAlign w:val="bottom"/>
          </w:tcPr>
          <w:p w14:paraId="39B31F04" w14:textId="290B392A" w:rsidR="00C24B3B" w:rsidRPr="00C311AE" w:rsidRDefault="005749C4" w:rsidP="00020CC7">
            <w:pPr>
              <w:snapToGrid w:val="0"/>
              <w:spacing w:line="360" w:lineRule="auto"/>
              <w:jc w:val="both"/>
              <w:rPr>
                <w:rFonts w:ascii="Book Antiqua" w:hAnsi="Book Antiqua" w:cs="Arial"/>
              </w:rPr>
            </w:pPr>
            <w:r w:rsidRPr="00C311AE">
              <w:rPr>
                <w:rFonts w:ascii="Book Antiqua" w:hAnsi="Book Antiqua" w:cs="Arial"/>
              </w:rPr>
              <w:t xml:space="preserve">2.18 </w:t>
            </w:r>
            <w:r w:rsidR="00C24B3B" w:rsidRPr="00C311AE">
              <w:rPr>
                <w:rFonts w:ascii="Book Antiqua" w:hAnsi="Book Antiqua" w:cs="Arial"/>
              </w:rPr>
              <w:t>±</w:t>
            </w:r>
            <w:r w:rsidRPr="00C311AE">
              <w:rPr>
                <w:rFonts w:ascii="Book Antiqua" w:hAnsi="Book Antiqua" w:cs="Arial"/>
              </w:rPr>
              <w:t xml:space="preserve"> 0.13</w:t>
            </w:r>
          </w:p>
        </w:tc>
        <w:tc>
          <w:tcPr>
            <w:tcW w:w="1494" w:type="dxa"/>
            <w:tcBorders>
              <w:top w:val="nil"/>
              <w:bottom w:val="nil"/>
            </w:tcBorders>
            <w:shd w:val="clear" w:color="auto" w:fill="auto"/>
            <w:noWrap/>
            <w:vAlign w:val="bottom"/>
          </w:tcPr>
          <w:p w14:paraId="27B9A788"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0.040</w:t>
            </w:r>
          </w:p>
        </w:tc>
      </w:tr>
      <w:tr w:rsidR="00C311AE" w:rsidRPr="00C311AE" w14:paraId="3317A6E2" w14:textId="77777777" w:rsidTr="00C311AE">
        <w:trPr>
          <w:trHeight w:val="336"/>
        </w:trPr>
        <w:tc>
          <w:tcPr>
            <w:tcW w:w="4456" w:type="dxa"/>
            <w:tcBorders>
              <w:top w:val="nil"/>
              <w:bottom w:val="nil"/>
            </w:tcBorders>
            <w:shd w:val="clear" w:color="auto" w:fill="auto"/>
            <w:vAlign w:val="bottom"/>
          </w:tcPr>
          <w:p w14:paraId="3EFF904D"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Regurgitation or reflux on lying down</w:t>
            </w:r>
          </w:p>
        </w:tc>
        <w:tc>
          <w:tcPr>
            <w:tcW w:w="1804" w:type="dxa"/>
            <w:tcBorders>
              <w:top w:val="nil"/>
              <w:bottom w:val="nil"/>
            </w:tcBorders>
            <w:shd w:val="clear" w:color="auto" w:fill="auto"/>
            <w:noWrap/>
            <w:vAlign w:val="bottom"/>
          </w:tcPr>
          <w:p w14:paraId="6D4FAB1E" w14:textId="0C1B83A4"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2.6</w:t>
            </w:r>
            <w:r w:rsidR="005749C4" w:rsidRPr="00C311AE">
              <w:rPr>
                <w:rFonts w:ascii="Book Antiqua" w:hAnsi="Book Antiqua" w:cs="Arial"/>
              </w:rPr>
              <w:t xml:space="preserve">4 </w:t>
            </w:r>
            <w:r w:rsidRPr="00C311AE">
              <w:rPr>
                <w:rFonts w:ascii="Book Antiqua" w:hAnsi="Book Antiqua" w:cs="Arial"/>
              </w:rPr>
              <w:t>±</w:t>
            </w:r>
            <w:r w:rsidR="005749C4" w:rsidRPr="00C311AE">
              <w:rPr>
                <w:rFonts w:ascii="Book Antiqua" w:hAnsi="Book Antiqua" w:cs="Arial"/>
              </w:rPr>
              <w:t xml:space="preserve"> 0.28</w:t>
            </w:r>
          </w:p>
        </w:tc>
        <w:tc>
          <w:tcPr>
            <w:tcW w:w="2114" w:type="dxa"/>
            <w:tcBorders>
              <w:top w:val="nil"/>
              <w:bottom w:val="nil"/>
            </w:tcBorders>
            <w:shd w:val="clear" w:color="auto" w:fill="auto"/>
            <w:noWrap/>
            <w:vAlign w:val="bottom"/>
          </w:tcPr>
          <w:p w14:paraId="2464933D" w14:textId="4760568B"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2.2</w:t>
            </w:r>
            <w:r w:rsidR="005749C4" w:rsidRPr="00C311AE">
              <w:rPr>
                <w:rFonts w:ascii="Book Antiqua" w:hAnsi="Book Antiqua" w:cs="Arial"/>
              </w:rPr>
              <w:t xml:space="preserve">1 </w:t>
            </w:r>
            <w:r w:rsidRPr="00C311AE">
              <w:rPr>
                <w:rFonts w:ascii="Book Antiqua" w:hAnsi="Book Antiqua" w:cs="Arial"/>
              </w:rPr>
              <w:t>±</w:t>
            </w:r>
            <w:r w:rsidR="005749C4" w:rsidRPr="00C311AE">
              <w:rPr>
                <w:rFonts w:ascii="Book Antiqua" w:hAnsi="Book Antiqua" w:cs="Arial"/>
              </w:rPr>
              <w:t xml:space="preserve"> 0.14</w:t>
            </w:r>
          </w:p>
        </w:tc>
        <w:tc>
          <w:tcPr>
            <w:tcW w:w="1494" w:type="dxa"/>
            <w:tcBorders>
              <w:top w:val="nil"/>
              <w:bottom w:val="nil"/>
            </w:tcBorders>
            <w:shd w:val="clear" w:color="auto" w:fill="auto"/>
            <w:noWrap/>
            <w:vAlign w:val="bottom"/>
          </w:tcPr>
          <w:p w14:paraId="41715005"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0.120</w:t>
            </w:r>
          </w:p>
        </w:tc>
      </w:tr>
      <w:tr w:rsidR="00C311AE" w:rsidRPr="00C311AE" w14:paraId="0C43BA00" w14:textId="77777777" w:rsidTr="00C311AE">
        <w:trPr>
          <w:trHeight w:val="336"/>
        </w:trPr>
        <w:tc>
          <w:tcPr>
            <w:tcW w:w="4456" w:type="dxa"/>
            <w:tcBorders>
              <w:top w:val="nil"/>
              <w:bottom w:val="nil"/>
            </w:tcBorders>
            <w:shd w:val="clear" w:color="auto" w:fill="auto"/>
            <w:vAlign w:val="bottom"/>
          </w:tcPr>
          <w:p w14:paraId="2D6A087D"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 xml:space="preserve">Bitter/acid/sour taste </w:t>
            </w:r>
          </w:p>
        </w:tc>
        <w:tc>
          <w:tcPr>
            <w:tcW w:w="1804" w:type="dxa"/>
            <w:tcBorders>
              <w:top w:val="nil"/>
              <w:bottom w:val="nil"/>
            </w:tcBorders>
            <w:shd w:val="clear" w:color="auto" w:fill="auto"/>
            <w:noWrap/>
            <w:vAlign w:val="bottom"/>
          </w:tcPr>
          <w:p w14:paraId="57D47BD3" w14:textId="4FFAF2A5" w:rsidR="00C24B3B" w:rsidRPr="00C311AE" w:rsidRDefault="005749C4" w:rsidP="00020CC7">
            <w:pPr>
              <w:snapToGrid w:val="0"/>
              <w:spacing w:line="360" w:lineRule="auto"/>
              <w:jc w:val="both"/>
              <w:rPr>
                <w:rFonts w:ascii="Book Antiqua" w:hAnsi="Book Antiqua" w:cs="Arial"/>
              </w:rPr>
            </w:pPr>
            <w:r w:rsidRPr="00C311AE">
              <w:rPr>
                <w:rFonts w:ascii="Book Antiqua" w:hAnsi="Book Antiqua" w:cs="Arial"/>
              </w:rPr>
              <w:t xml:space="preserve">2.79 </w:t>
            </w:r>
            <w:r w:rsidR="00C24B3B" w:rsidRPr="00C311AE">
              <w:rPr>
                <w:rFonts w:ascii="Book Antiqua" w:hAnsi="Book Antiqua" w:cs="Arial"/>
              </w:rPr>
              <w:t>±</w:t>
            </w:r>
            <w:r w:rsidRPr="00C311AE">
              <w:rPr>
                <w:rFonts w:ascii="Book Antiqua" w:hAnsi="Book Antiqua" w:cs="Arial"/>
              </w:rPr>
              <w:t xml:space="preserve"> 0.27</w:t>
            </w:r>
          </w:p>
        </w:tc>
        <w:tc>
          <w:tcPr>
            <w:tcW w:w="2114" w:type="dxa"/>
            <w:tcBorders>
              <w:top w:val="nil"/>
              <w:bottom w:val="nil"/>
            </w:tcBorders>
            <w:shd w:val="clear" w:color="auto" w:fill="auto"/>
            <w:noWrap/>
            <w:vAlign w:val="bottom"/>
          </w:tcPr>
          <w:p w14:paraId="0D9F3462" w14:textId="18591545"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2.1</w:t>
            </w:r>
            <w:r w:rsidR="005749C4" w:rsidRPr="00C311AE">
              <w:rPr>
                <w:rFonts w:ascii="Book Antiqua" w:hAnsi="Book Antiqua" w:cs="Arial"/>
              </w:rPr>
              <w:t xml:space="preserve">1 </w:t>
            </w:r>
            <w:r w:rsidRPr="00C311AE">
              <w:rPr>
                <w:rFonts w:ascii="Book Antiqua" w:hAnsi="Book Antiqua" w:cs="Arial"/>
              </w:rPr>
              <w:t>±</w:t>
            </w:r>
            <w:r w:rsidR="005749C4" w:rsidRPr="00C311AE">
              <w:rPr>
                <w:rFonts w:ascii="Book Antiqua" w:hAnsi="Book Antiqua" w:cs="Arial"/>
              </w:rPr>
              <w:t xml:space="preserve"> 0.14</w:t>
            </w:r>
          </w:p>
        </w:tc>
        <w:tc>
          <w:tcPr>
            <w:tcW w:w="1494" w:type="dxa"/>
            <w:tcBorders>
              <w:top w:val="nil"/>
              <w:bottom w:val="nil"/>
            </w:tcBorders>
            <w:shd w:val="clear" w:color="auto" w:fill="auto"/>
            <w:noWrap/>
            <w:vAlign w:val="bottom"/>
          </w:tcPr>
          <w:p w14:paraId="2FA94834"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0.028</w:t>
            </w:r>
          </w:p>
        </w:tc>
      </w:tr>
      <w:tr w:rsidR="00C311AE" w:rsidRPr="00C311AE" w14:paraId="70B67B83" w14:textId="77777777" w:rsidTr="00C311AE">
        <w:trPr>
          <w:trHeight w:val="336"/>
        </w:trPr>
        <w:tc>
          <w:tcPr>
            <w:tcW w:w="4456" w:type="dxa"/>
            <w:tcBorders>
              <w:top w:val="nil"/>
              <w:bottom w:val="nil"/>
            </w:tcBorders>
            <w:shd w:val="clear" w:color="auto" w:fill="auto"/>
            <w:vAlign w:val="bottom"/>
          </w:tcPr>
          <w:p w14:paraId="1D4353F0"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Constipation</w:t>
            </w:r>
          </w:p>
        </w:tc>
        <w:tc>
          <w:tcPr>
            <w:tcW w:w="1804" w:type="dxa"/>
            <w:tcBorders>
              <w:top w:val="nil"/>
              <w:bottom w:val="nil"/>
            </w:tcBorders>
            <w:shd w:val="clear" w:color="auto" w:fill="auto"/>
            <w:noWrap/>
            <w:vAlign w:val="bottom"/>
          </w:tcPr>
          <w:p w14:paraId="3AF7F208" w14:textId="0FF6A53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2.9</w:t>
            </w:r>
            <w:r w:rsidR="004E2F7D" w:rsidRPr="00C311AE">
              <w:rPr>
                <w:rFonts w:ascii="Book Antiqua" w:hAnsi="Book Antiqua" w:cs="Arial"/>
              </w:rPr>
              <w:t>2</w:t>
            </w:r>
            <w:r w:rsidR="005749C4" w:rsidRPr="00C311AE">
              <w:rPr>
                <w:rFonts w:ascii="Book Antiqua" w:hAnsi="Book Antiqua" w:cs="Arial"/>
              </w:rPr>
              <w:t xml:space="preserve"> </w:t>
            </w:r>
            <w:r w:rsidRPr="00C311AE">
              <w:rPr>
                <w:rFonts w:ascii="Book Antiqua" w:hAnsi="Book Antiqua" w:cs="Arial"/>
              </w:rPr>
              <w:t>±</w:t>
            </w:r>
            <w:r w:rsidR="005749C4" w:rsidRPr="00C311AE">
              <w:rPr>
                <w:rFonts w:ascii="Book Antiqua" w:hAnsi="Book Antiqua" w:cs="Arial"/>
              </w:rPr>
              <w:t xml:space="preserve"> </w:t>
            </w:r>
            <w:r w:rsidR="004E2F7D" w:rsidRPr="00C311AE">
              <w:rPr>
                <w:rFonts w:ascii="Book Antiqua" w:hAnsi="Book Antiqua" w:cs="Arial"/>
              </w:rPr>
              <w:t>0.30</w:t>
            </w:r>
          </w:p>
        </w:tc>
        <w:tc>
          <w:tcPr>
            <w:tcW w:w="2114" w:type="dxa"/>
            <w:tcBorders>
              <w:top w:val="nil"/>
              <w:bottom w:val="nil"/>
            </w:tcBorders>
            <w:shd w:val="clear" w:color="auto" w:fill="auto"/>
            <w:noWrap/>
            <w:vAlign w:val="bottom"/>
          </w:tcPr>
          <w:p w14:paraId="550D008F" w14:textId="1C54E321"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2.6</w:t>
            </w:r>
            <w:r w:rsidR="004E2F7D" w:rsidRPr="00C311AE">
              <w:rPr>
                <w:rFonts w:ascii="Book Antiqua" w:hAnsi="Book Antiqua" w:cs="Arial"/>
              </w:rPr>
              <w:t>3</w:t>
            </w:r>
            <w:r w:rsidR="005749C4" w:rsidRPr="00C311AE">
              <w:rPr>
                <w:rFonts w:ascii="Book Antiqua" w:hAnsi="Book Antiqua" w:cs="Arial"/>
              </w:rPr>
              <w:t xml:space="preserve"> </w:t>
            </w:r>
            <w:r w:rsidRPr="00C311AE">
              <w:rPr>
                <w:rFonts w:ascii="Book Antiqua" w:hAnsi="Book Antiqua" w:cs="Arial"/>
              </w:rPr>
              <w:t>±</w:t>
            </w:r>
            <w:r w:rsidR="005749C4" w:rsidRPr="00C311AE">
              <w:rPr>
                <w:rFonts w:ascii="Book Antiqua" w:hAnsi="Book Antiqua" w:cs="Arial"/>
              </w:rPr>
              <w:t xml:space="preserve"> </w:t>
            </w:r>
            <w:r w:rsidR="004E2F7D" w:rsidRPr="00C311AE">
              <w:rPr>
                <w:rFonts w:ascii="Book Antiqua" w:hAnsi="Book Antiqua" w:cs="Arial"/>
              </w:rPr>
              <w:t>0.14</w:t>
            </w:r>
          </w:p>
        </w:tc>
        <w:tc>
          <w:tcPr>
            <w:tcW w:w="1494" w:type="dxa"/>
            <w:tcBorders>
              <w:top w:val="nil"/>
              <w:bottom w:val="nil"/>
            </w:tcBorders>
            <w:shd w:val="clear" w:color="auto" w:fill="auto"/>
            <w:noWrap/>
            <w:vAlign w:val="bottom"/>
          </w:tcPr>
          <w:p w14:paraId="6EDB5E1D"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0.296</w:t>
            </w:r>
          </w:p>
        </w:tc>
      </w:tr>
      <w:tr w:rsidR="00C311AE" w:rsidRPr="00C311AE" w14:paraId="36F72934" w14:textId="77777777" w:rsidTr="00C311AE">
        <w:trPr>
          <w:trHeight w:val="336"/>
        </w:trPr>
        <w:tc>
          <w:tcPr>
            <w:tcW w:w="4456" w:type="dxa"/>
            <w:tcBorders>
              <w:top w:val="nil"/>
              <w:bottom w:val="nil"/>
            </w:tcBorders>
            <w:shd w:val="clear" w:color="auto" w:fill="auto"/>
            <w:vAlign w:val="bottom"/>
          </w:tcPr>
          <w:p w14:paraId="23AD4FE5"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Diarrhea</w:t>
            </w:r>
          </w:p>
        </w:tc>
        <w:tc>
          <w:tcPr>
            <w:tcW w:w="1804" w:type="dxa"/>
            <w:tcBorders>
              <w:top w:val="nil"/>
              <w:bottom w:val="nil"/>
            </w:tcBorders>
            <w:shd w:val="clear" w:color="auto" w:fill="auto"/>
            <w:noWrap/>
            <w:vAlign w:val="bottom"/>
          </w:tcPr>
          <w:p w14:paraId="4ADECF0B" w14:textId="66FD2991" w:rsidR="00C24B3B" w:rsidRPr="00C311AE" w:rsidRDefault="004E2F7D" w:rsidP="00020CC7">
            <w:pPr>
              <w:snapToGrid w:val="0"/>
              <w:spacing w:line="360" w:lineRule="auto"/>
              <w:jc w:val="both"/>
              <w:rPr>
                <w:rFonts w:ascii="Book Antiqua" w:hAnsi="Book Antiqua" w:cs="Arial"/>
              </w:rPr>
            </w:pPr>
            <w:r w:rsidRPr="00C311AE">
              <w:rPr>
                <w:rFonts w:ascii="Book Antiqua" w:hAnsi="Book Antiqua" w:cs="Arial"/>
              </w:rPr>
              <w:t>1.80</w:t>
            </w:r>
            <w:r w:rsidR="005749C4" w:rsidRPr="00C311AE">
              <w:rPr>
                <w:rFonts w:ascii="Book Antiqua" w:hAnsi="Book Antiqua" w:cs="Arial"/>
              </w:rPr>
              <w:t xml:space="preserve"> </w:t>
            </w:r>
            <w:r w:rsidR="00C24B3B" w:rsidRPr="00C311AE">
              <w:rPr>
                <w:rFonts w:ascii="Book Antiqua" w:hAnsi="Book Antiqua" w:cs="Arial"/>
              </w:rPr>
              <w:t>±</w:t>
            </w:r>
            <w:r w:rsidRPr="00C311AE">
              <w:rPr>
                <w:rFonts w:ascii="Book Antiqua" w:hAnsi="Book Antiqua" w:cs="Arial"/>
              </w:rPr>
              <w:t xml:space="preserve"> 0.30</w:t>
            </w:r>
          </w:p>
        </w:tc>
        <w:tc>
          <w:tcPr>
            <w:tcW w:w="2114" w:type="dxa"/>
            <w:tcBorders>
              <w:top w:val="nil"/>
              <w:bottom w:val="nil"/>
            </w:tcBorders>
            <w:shd w:val="clear" w:color="auto" w:fill="auto"/>
            <w:noWrap/>
            <w:vAlign w:val="bottom"/>
          </w:tcPr>
          <w:p w14:paraId="60B9C471" w14:textId="70641054" w:rsidR="00C24B3B" w:rsidRPr="00C311AE" w:rsidRDefault="004E2F7D" w:rsidP="00020CC7">
            <w:pPr>
              <w:snapToGrid w:val="0"/>
              <w:spacing w:line="360" w:lineRule="auto"/>
              <w:jc w:val="both"/>
              <w:rPr>
                <w:rFonts w:ascii="Book Antiqua" w:hAnsi="Book Antiqua" w:cs="Arial"/>
              </w:rPr>
            </w:pPr>
            <w:r w:rsidRPr="00C311AE">
              <w:rPr>
                <w:rFonts w:ascii="Book Antiqua" w:hAnsi="Book Antiqua" w:cs="Arial"/>
              </w:rPr>
              <w:t>1.79</w:t>
            </w:r>
            <w:r w:rsidR="005749C4" w:rsidRPr="00C311AE">
              <w:rPr>
                <w:rFonts w:ascii="Book Antiqua" w:hAnsi="Book Antiqua" w:cs="Arial"/>
              </w:rPr>
              <w:t xml:space="preserve"> </w:t>
            </w:r>
            <w:r w:rsidR="00C24B3B" w:rsidRPr="00C311AE">
              <w:rPr>
                <w:rFonts w:ascii="Book Antiqua" w:hAnsi="Book Antiqua" w:cs="Arial"/>
              </w:rPr>
              <w:t>±</w:t>
            </w:r>
            <w:r w:rsidR="005749C4" w:rsidRPr="00C311AE">
              <w:rPr>
                <w:rFonts w:ascii="Book Antiqua" w:hAnsi="Book Antiqua" w:cs="Arial"/>
              </w:rPr>
              <w:t xml:space="preserve"> </w:t>
            </w:r>
            <w:r w:rsidRPr="00C311AE">
              <w:rPr>
                <w:rFonts w:ascii="Book Antiqua" w:hAnsi="Book Antiqua" w:cs="Arial"/>
              </w:rPr>
              <w:t>0.14</w:t>
            </w:r>
          </w:p>
        </w:tc>
        <w:tc>
          <w:tcPr>
            <w:tcW w:w="1494" w:type="dxa"/>
            <w:tcBorders>
              <w:top w:val="nil"/>
              <w:bottom w:val="nil"/>
            </w:tcBorders>
            <w:shd w:val="clear" w:color="auto" w:fill="auto"/>
            <w:noWrap/>
            <w:vAlign w:val="bottom"/>
          </w:tcPr>
          <w:p w14:paraId="51B20F06"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0.891</w:t>
            </w:r>
          </w:p>
        </w:tc>
      </w:tr>
      <w:tr w:rsidR="00C311AE" w:rsidRPr="00C311AE" w14:paraId="5F9010D8" w14:textId="77777777" w:rsidTr="00C311AE">
        <w:trPr>
          <w:trHeight w:val="336"/>
        </w:trPr>
        <w:tc>
          <w:tcPr>
            <w:tcW w:w="4456" w:type="dxa"/>
            <w:tcBorders>
              <w:top w:val="nil"/>
              <w:bottom w:val="single" w:sz="8" w:space="0" w:color="auto"/>
            </w:tcBorders>
            <w:shd w:val="clear" w:color="auto" w:fill="auto"/>
            <w:vAlign w:val="bottom"/>
          </w:tcPr>
          <w:p w14:paraId="32F2A181" w14:textId="34E31053" w:rsidR="00A867EB" w:rsidRPr="00C311AE" w:rsidRDefault="00A867EB" w:rsidP="00020CC7">
            <w:pPr>
              <w:snapToGrid w:val="0"/>
              <w:spacing w:line="360" w:lineRule="auto"/>
              <w:jc w:val="both"/>
              <w:rPr>
                <w:rFonts w:ascii="Book Antiqua" w:hAnsi="Book Antiqua" w:cs="Arial"/>
                <w:bCs/>
              </w:rPr>
            </w:pPr>
            <w:r w:rsidRPr="00C311AE">
              <w:rPr>
                <w:rFonts w:ascii="Book Antiqua" w:hAnsi="Book Antiqua" w:cs="Arial"/>
                <w:bCs/>
              </w:rPr>
              <w:t>Total Symptom Severity Score</w:t>
            </w:r>
          </w:p>
        </w:tc>
        <w:tc>
          <w:tcPr>
            <w:tcW w:w="1804" w:type="dxa"/>
            <w:tcBorders>
              <w:top w:val="nil"/>
              <w:bottom w:val="single" w:sz="8" w:space="0" w:color="auto"/>
            </w:tcBorders>
            <w:shd w:val="clear" w:color="auto" w:fill="auto"/>
            <w:noWrap/>
            <w:vAlign w:val="bottom"/>
          </w:tcPr>
          <w:p w14:paraId="212A9214" w14:textId="78D445BA" w:rsidR="00A867EB" w:rsidRPr="00C311AE" w:rsidRDefault="004E2F7D" w:rsidP="00020CC7">
            <w:pPr>
              <w:snapToGrid w:val="0"/>
              <w:spacing w:line="360" w:lineRule="auto"/>
              <w:jc w:val="both"/>
              <w:rPr>
                <w:rFonts w:ascii="Book Antiqua" w:hAnsi="Book Antiqua" w:cs="Arial"/>
              </w:rPr>
            </w:pPr>
            <w:r w:rsidRPr="00C311AE">
              <w:rPr>
                <w:rFonts w:ascii="Book Antiqua" w:hAnsi="Book Antiqua" w:cs="Arial"/>
              </w:rPr>
              <w:t xml:space="preserve">68.40 </w:t>
            </w:r>
            <w:r w:rsidR="00453FD2" w:rsidRPr="00C311AE">
              <w:rPr>
                <w:rFonts w:ascii="Book Antiqua" w:hAnsi="Book Antiqua" w:cs="Arial"/>
              </w:rPr>
              <w:t>±</w:t>
            </w:r>
            <w:r w:rsidRPr="00C311AE">
              <w:rPr>
                <w:rFonts w:ascii="Book Antiqua" w:hAnsi="Book Antiqua" w:cs="Arial"/>
              </w:rPr>
              <w:t xml:space="preserve"> </w:t>
            </w:r>
            <w:r w:rsidR="00453FD2" w:rsidRPr="00C311AE">
              <w:rPr>
                <w:rFonts w:ascii="Book Antiqua" w:hAnsi="Book Antiqua" w:cs="Arial"/>
              </w:rPr>
              <w:t>2.8</w:t>
            </w:r>
            <w:r w:rsidR="0016391F" w:rsidRPr="00C311AE">
              <w:rPr>
                <w:rFonts w:ascii="Book Antiqua" w:hAnsi="Book Antiqua" w:cs="Arial"/>
              </w:rPr>
              <w:t>2</w:t>
            </w:r>
          </w:p>
        </w:tc>
        <w:tc>
          <w:tcPr>
            <w:tcW w:w="2114" w:type="dxa"/>
            <w:tcBorders>
              <w:top w:val="nil"/>
              <w:bottom w:val="single" w:sz="8" w:space="0" w:color="auto"/>
            </w:tcBorders>
            <w:shd w:val="clear" w:color="auto" w:fill="auto"/>
            <w:noWrap/>
            <w:vAlign w:val="bottom"/>
          </w:tcPr>
          <w:p w14:paraId="7932D64A" w14:textId="5C0D755A" w:rsidR="00A867EB" w:rsidRPr="00C311AE" w:rsidRDefault="00453FD2" w:rsidP="00020CC7">
            <w:pPr>
              <w:snapToGrid w:val="0"/>
              <w:spacing w:line="360" w:lineRule="auto"/>
              <w:jc w:val="both"/>
              <w:rPr>
                <w:rFonts w:ascii="Book Antiqua" w:hAnsi="Book Antiqua" w:cs="Arial"/>
              </w:rPr>
            </w:pPr>
            <w:r w:rsidRPr="00C311AE">
              <w:rPr>
                <w:rFonts w:ascii="Book Antiqua" w:hAnsi="Book Antiqua" w:cs="Arial"/>
              </w:rPr>
              <w:t>56.6</w:t>
            </w:r>
            <w:r w:rsidR="004E2F7D" w:rsidRPr="00C311AE">
              <w:rPr>
                <w:rFonts w:ascii="Book Antiqua" w:hAnsi="Book Antiqua" w:cs="Arial"/>
              </w:rPr>
              <w:t xml:space="preserve">3 </w:t>
            </w:r>
            <w:r w:rsidRPr="00C311AE">
              <w:rPr>
                <w:rFonts w:ascii="Book Antiqua" w:hAnsi="Book Antiqua" w:cs="Arial"/>
              </w:rPr>
              <w:t>±</w:t>
            </w:r>
            <w:r w:rsidR="004E2F7D" w:rsidRPr="00C311AE">
              <w:rPr>
                <w:rFonts w:ascii="Book Antiqua" w:hAnsi="Book Antiqua" w:cs="Arial"/>
              </w:rPr>
              <w:t xml:space="preserve"> </w:t>
            </w:r>
            <w:r w:rsidR="0016391F" w:rsidRPr="00C311AE">
              <w:rPr>
                <w:rFonts w:ascii="Book Antiqua" w:hAnsi="Book Antiqua" w:cs="Arial"/>
              </w:rPr>
              <w:t>1.77</w:t>
            </w:r>
          </w:p>
        </w:tc>
        <w:tc>
          <w:tcPr>
            <w:tcW w:w="1494" w:type="dxa"/>
            <w:tcBorders>
              <w:top w:val="nil"/>
              <w:bottom w:val="single" w:sz="8" w:space="0" w:color="auto"/>
            </w:tcBorders>
            <w:shd w:val="clear" w:color="auto" w:fill="auto"/>
            <w:noWrap/>
            <w:vAlign w:val="bottom"/>
          </w:tcPr>
          <w:p w14:paraId="2E53CA99" w14:textId="6CDC7657" w:rsidR="00A867EB" w:rsidRPr="00C311AE" w:rsidRDefault="00C36A6C" w:rsidP="00020CC7">
            <w:pPr>
              <w:snapToGrid w:val="0"/>
              <w:spacing w:line="360" w:lineRule="auto"/>
              <w:jc w:val="both"/>
              <w:rPr>
                <w:rFonts w:ascii="Book Antiqua" w:hAnsi="Book Antiqua" w:cs="Arial"/>
                <w:bCs/>
              </w:rPr>
            </w:pPr>
            <w:r w:rsidRPr="00C311AE">
              <w:rPr>
                <w:rFonts w:ascii="Book Antiqua" w:hAnsi="Book Antiqua" w:cs="Arial"/>
                <w:bCs/>
              </w:rPr>
              <w:t>0.001</w:t>
            </w:r>
          </w:p>
        </w:tc>
      </w:tr>
    </w:tbl>
    <w:p w14:paraId="6A9F952E" w14:textId="025324E5" w:rsidR="00B45426" w:rsidRPr="00C311AE" w:rsidRDefault="00C24B3B" w:rsidP="00020CC7">
      <w:pPr>
        <w:snapToGrid w:val="0"/>
        <w:spacing w:line="360" w:lineRule="auto"/>
        <w:jc w:val="both"/>
        <w:rPr>
          <w:rFonts w:ascii="Book Antiqua" w:eastAsiaTheme="minorEastAsia" w:hAnsi="Book Antiqua" w:cs="Arial"/>
          <w:lang w:eastAsia="zh-CN"/>
        </w:rPr>
      </w:pPr>
      <w:r w:rsidRPr="00C311AE">
        <w:rPr>
          <w:rFonts w:ascii="Book Antiqua" w:hAnsi="Book Antiqua" w:cs="Arial"/>
        </w:rPr>
        <w:t xml:space="preserve">Results expressed as mean ± standard </w:t>
      </w:r>
      <w:r w:rsidR="00453FD2" w:rsidRPr="00C311AE">
        <w:rPr>
          <w:rFonts w:ascii="Book Antiqua" w:hAnsi="Book Antiqua" w:cs="Arial"/>
        </w:rPr>
        <w:t>error of mean</w:t>
      </w:r>
      <w:r w:rsidRPr="00C311AE">
        <w:rPr>
          <w:rFonts w:ascii="Book Antiqua" w:hAnsi="Book Antiqua" w:cs="Arial"/>
        </w:rPr>
        <w:t>.</w:t>
      </w:r>
      <w:r w:rsidR="00C311AE" w:rsidRPr="00C311AE">
        <w:rPr>
          <w:rFonts w:ascii="Book Antiqua" w:eastAsiaTheme="minorEastAsia" w:hAnsi="Book Antiqua" w:cs="Arial" w:hint="eastAsia"/>
          <w:lang w:eastAsia="zh-CN"/>
        </w:rPr>
        <w:t xml:space="preserve"> </w:t>
      </w:r>
      <w:r w:rsidRPr="00C311AE">
        <w:rPr>
          <w:rFonts w:ascii="Book Antiqua" w:hAnsi="Book Antiqua" w:cs="Arial"/>
        </w:rPr>
        <w:t>AP</w:t>
      </w:r>
      <w:r w:rsidR="00C311AE" w:rsidRPr="00C311AE">
        <w:rPr>
          <w:rFonts w:ascii="Book Antiqua" w:eastAsiaTheme="minorEastAsia" w:hAnsi="Book Antiqua" w:cs="Arial" w:hint="eastAsia"/>
          <w:lang w:eastAsia="zh-CN"/>
        </w:rPr>
        <w:t xml:space="preserve">: </w:t>
      </w:r>
      <w:r w:rsidRPr="00C311AE">
        <w:rPr>
          <w:rFonts w:ascii="Book Antiqua" w:hAnsi="Book Antiqua" w:cs="Arial"/>
        </w:rPr>
        <w:t xml:space="preserve">Abdominal </w:t>
      </w:r>
      <w:r w:rsidR="00C311AE" w:rsidRPr="00C311AE">
        <w:rPr>
          <w:rFonts w:ascii="Book Antiqua" w:hAnsi="Book Antiqua" w:cs="Arial"/>
        </w:rPr>
        <w:t>p</w:t>
      </w:r>
      <w:r w:rsidRPr="00C311AE">
        <w:rPr>
          <w:rFonts w:ascii="Book Antiqua" w:hAnsi="Book Antiqua" w:cs="Arial"/>
        </w:rPr>
        <w:t>ain</w:t>
      </w:r>
      <w:r w:rsidR="00C311AE" w:rsidRPr="00C311AE">
        <w:rPr>
          <w:rFonts w:ascii="Book Antiqua" w:eastAsiaTheme="minorEastAsia" w:hAnsi="Book Antiqua" w:cs="Arial" w:hint="eastAsia"/>
          <w:lang w:eastAsia="zh-CN"/>
        </w:rPr>
        <w:t xml:space="preserve">; </w:t>
      </w:r>
      <w:r w:rsidR="00C311AE" w:rsidRPr="00C311AE">
        <w:rPr>
          <w:rFonts w:ascii="Book Antiqua" w:hAnsi="Book Antiqua" w:cs="Arial"/>
        </w:rPr>
        <w:t>GpCO</w:t>
      </w:r>
      <w:r w:rsidR="00C311AE" w:rsidRPr="00C311AE">
        <w:rPr>
          <w:rFonts w:ascii="Book Antiqua" w:eastAsiaTheme="minorEastAsia" w:hAnsi="Book Antiqua" w:cs="Arial" w:hint="eastAsia"/>
          <w:lang w:eastAsia="zh-CN"/>
        </w:rPr>
        <w:t xml:space="preserve">: </w:t>
      </w:r>
      <w:r w:rsidRPr="00C311AE">
        <w:rPr>
          <w:rFonts w:ascii="Book Antiqua" w:hAnsi="Book Antiqua" w:cs="Arial"/>
        </w:rPr>
        <w:t>Gastroparesis patients on chronic opioids</w:t>
      </w:r>
      <w:r w:rsidR="00C311AE" w:rsidRPr="00C311AE">
        <w:rPr>
          <w:rFonts w:ascii="Book Antiqua" w:eastAsiaTheme="minorEastAsia" w:hAnsi="Book Antiqua" w:cs="Arial" w:hint="eastAsia"/>
          <w:lang w:eastAsia="zh-CN"/>
        </w:rPr>
        <w:t xml:space="preserve">; </w:t>
      </w:r>
      <w:r w:rsidRPr="00C311AE">
        <w:rPr>
          <w:rFonts w:ascii="Book Antiqua" w:hAnsi="Book Antiqua" w:cs="Arial"/>
        </w:rPr>
        <w:t>GpNO</w:t>
      </w:r>
      <w:r w:rsidR="00C311AE" w:rsidRPr="00C311AE">
        <w:rPr>
          <w:rFonts w:ascii="Book Antiqua" w:eastAsiaTheme="minorEastAsia" w:hAnsi="Book Antiqua" w:cs="Arial" w:hint="eastAsia"/>
          <w:lang w:eastAsia="zh-CN"/>
        </w:rPr>
        <w:t xml:space="preserve">: </w:t>
      </w:r>
      <w:r w:rsidRPr="00C311AE">
        <w:rPr>
          <w:rFonts w:ascii="Book Antiqua" w:hAnsi="Book Antiqua" w:cs="Arial"/>
        </w:rPr>
        <w:t>Gastroparesis patients not on opioids</w:t>
      </w:r>
      <w:r w:rsidR="00C311AE" w:rsidRPr="00C311AE">
        <w:rPr>
          <w:rFonts w:ascii="Book Antiqua" w:eastAsiaTheme="minorEastAsia" w:hAnsi="Book Antiqua" w:cs="Arial" w:hint="eastAsia"/>
          <w:lang w:eastAsia="zh-CN"/>
        </w:rPr>
        <w:t>.</w:t>
      </w:r>
    </w:p>
    <w:p w14:paraId="21EF1823" w14:textId="51159879" w:rsidR="00C24B3B" w:rsidRPr="00C311AE" w:rsidRDefault="00E445F2" w:rsidP="00020CC7">
      <w:pPr>
        <w:snapToGrid w:val="0"/>
        <w:spacing w:line="360" w:lineRule="auto"/>
        <w:jc w:val="both"/>
        <w:rPr>
          <w:rFonts w:ascii="Book Antiqua" w:eastAsiaTheme="minorEastAsia" w:hAnsi="Book Antiqua" w:cs="Arial"/>
          <w:b/>
          <w:lang w:eastAsia="zh-CN"/>
        </w:rPr>
      </w:pPr>
      <w:r w:rsidRPr="00C311AE">
        <w:rPr>
          <w:rFonts w:ascii="Book Antiqua" w:hAnsi="Book Antiqua" w:cs="Arial"/>
          <w:b/>
        </w:rPr>
        <w:lastRenderedPageBreak/>
        <w:t>Table 5</w:t>
      </w:r>
      <w:r w:rsidR="00C311AE" w:rsidRPr="00C311AE">
        <w:rPr>
          <w:rFonts w:ascii="Book Antiqua" w:eastAsiaTheme="minorEastAsia" w:hAnsi="Book Antiqua" w:cs="Arial" w:hint="eastAsia"/>
          <w:b/>
          <w:lang w:eastAsia="zh-CN"/>
        </w:rPr>
        <w:t xml:space="preserve"> </w:t>
      </w:r>
      <w:r w:rsidR="00C24B3B" w:rsidRPr="00C311AE">
        <w:rPr>
          <w:rFonts w:ascii="Book Antiqua" w:hAnsi="Book Antiqua" w:cs="Arial"/>
          <w:b/>
        </w:rPr>
        <w:t xml:space="preserve">Comparison of gastrointestinal symptoms between gastroparesis patients on chronic opioids </w:t>
      </w:r>
      <w:r w:rsidR="00C311AE" w:rsidRPr="00C311AE">
        <w:rPr>
          <w:rFonts w:ascii="Book Antiqua" w:hAnsi="Book Antiqua" w:cs="Arial"/>
          <w:b/>
        </w:rPr>
        <w:t>and patients with no opioid use</w:t>
      </w:r>
    </w:p>
    <w:tbl>
      <w:tblPr>
        <w:tblW w:w="0" w:type="auto"/>
        <w:tblInd w:w="98" w:type="dxa"/>
        <w:tblBorders>
          <w:top w:val="single" w:sz="8" w:space="0" w:color="auto"/>
          <w:insideH w:val="single" w:sz="8" w:space="0" w:color="auto"/>
        </w:tblBorders>
        <w:tblLook w:val="04A0" w:firstRow="1" w:lastRow="0" w:firstColumn="1" w:lastColumn="0" w:noHBand="0" w:noVBand="1"/>
      </w:tblPr>
      <w:tblGrid>
        <w:gridCol w:w="4060"/>
        <w:gridCol w:w="1980"/>
        <w:gridCol w:w="1980"/>
        <w:gridCol w:w="1350"/>
      </w:tblGrid>
      <w:tr w:rsidR="00C311AE" w:rsidRPr="00C311AE" w14:paraId="62C74273" w14:textId="77777777" w:rsidTr="00F46E53">
        <w:trPr>
          <w:trHeight w:val="330"/>
        </w:trPr>
        <w:tc>
          <w:tcPr>
            <w:tcW w:w="4060" w:type="dxa"/>
            <w:shd w:val="clear" w:color="auto" w:fill="auto"/>
            <w:vAlign w:val="bottom"/>
          </w:tcPr>
          <w:p w14:paraId="6C7DC370" w14:textId="77777777" w:rsidR="00C24B3B" w:rsidRPr="00C311AE" w:rsidRDefault="00C24B3B" w:rsidP="00020CC7">
            <w:pPr>
              <w:snapToGrid w:val="0"/>
              <w:spacing w:line="360" w:lineRule="auto"/>
              <w:jc w:val="both"/>
              <w:rPr>
                <w:rFonts w:ascii="Book Antiqua" w:hAnsi="Book Antiqua" w:cs="Arial"/>
              </w:rPr>
            </w:pPr>
          </w:p>
        </w:tc>
        <w:tc>
          <w:tcPr>
            <w:tcW w:w="1980" w:type="dxa"/>
            <w:shd w:val="clear" w:color="auto" w:fill="auto"/>
            <w:vAlign w:val="bottom"/>
          </w:tcPr>
          <w:p w14:paraId="6565BF93" w14:textId="448733F2" w:rsidR="00C24B3B" w:rsidRPr="00C311AE" w:rsidRDefault="00C311AE" w:rsidP="00020CC7">
            <w:pPr>
              <w:snapToGrid w:val="0"/>
              <w:spacing w:line="360" w:lineRule="auto"/>
              <w:jc w:val="both"/>
              <w:rPr>
                <w:rFonts w:ascii="Book Antiqua" w:eastAsiaTheme="minorEastAsia" w:hAnsi="Book Antiqua" w:cs="Arial"/>
                <w:b/>
                <w:bCs/>
                <w:lang w:eastAsia="zh-CN"/>
              </w:rPr>
            </w:pPr>
            <w:r w:rsidRPr="00C311AE">
              <w:rPr>
                <w:rFonts w:ascii="Book Antiqua" w:hAnsi="Book Antiqua" w:cs="Arial"/>
                <w:b/>
                <w:bCs/>
              </w:rPr>
              <w:t>GpCO</w:t>
            </w:r>
          </w:p>
        </w:tc>
        <w:tc>
          <w:tcPr>
            <w:tcW w:w="1980" w:type="dxa"/>
            <w:shd w:val="clear" w:color="auto" w:fill="auto"/>
            <w:vAlign w:val="bottom"/>
          </w:tcPr>
          <w:p w14:paraId="6107E4F1" w14:textId="11E0AA87" w:rsidR="00C24B3B" w:rsidRPr="00C311AE" w:rsidRDefault="00C311AE" w:rsidP="00020CC7">
            <w:pPr>
              <w:snapToGrid w:val="0"/>
              <w:spacing w:line="360" w:lineRule="auto"/>
              <w:jc w:val="both"/>
              <w:rPr>
                <w:rFonts w:ascii="Book Antiqua" w:eastAsiaTheme="minorEastAsia" w:hAnsi="Book Antiqua" w:cs="Arial"/>
                <w:b/>
                <w:bCs/>
                <w:lang w:eastAsia="zh-CN"/>
              </w:rPr>
            </w:pPr>
            <w:r w:rsidRPr="00C311AE">
              <w:rPr>
                <w:rFonts w:ascii="Book Antiqua" w:hAnsi="Book Antiqua" w:cs="Arial"/>
                <w:b/>
                <w:bCs/>
              </w:rPr>
              <w:t>GpNO</w:t>
            </w:r>
          </w:p>
        </w:tc>
        <w:tc>
          <w:tcPr>
            <w:tcW w:w="1350" w:type="dxa"/>
            <w:shd w:val="clear" w:color="auto" w:fill="auto"/>
            <w:vAlign w:val="bottom"/>
          </w:tcPr>
          <w:p w14:paraId="06E6E40C" w14:textId="77777777" w:rsidR="00C24B3B" w:rsidRPr="00C311AE" w:rsidRDefault="00C24B3B" w:rsidP="00020CC7">
            <w:pPr>
              <w:snapToGrid w:val="0"/>
              <w:spacing w:line="360" w:lineRule="auto"/>
              <w:jc w:val="both"/>
              <w:rPr>
                <w:rFonts w:ascii="Book Antiqua" w:hAnsi="Book Antiqua" w:cs="Arial"/>
                <w:b/>
                <w:bCs/>
              </w:rPr>
            </w:pPr>
            <w:r w:rsidRPr="00C311AE">
              <w:rPr>
                <w:rFonts w:ascii="Book Antiqua" w:hAnsi="Book Antiqua" w:cs="Arial"/>
                <w:b/>
                <w:bCs/>
                <w:i/>
                <w:caps/>
              </w:rPr>
              <w:t xml:space="preserve">p </w:t>
            </w:r>
            <w:r w:rsidRPr="00C311AE">
              <w:rPr>
                <w:rFonts w:ascii="Book Antiqua" w:hAnsi="Book Antiqua" w:cs="Arial"/>
                <w:b/>
                <w:bCs/>
              </w:rPr>
              <w:t>value</w:t>
            </w:r>
          </w:p>
        </w:tc>
      </w:tr>
      <w:tr w:rsidR="00C311AE" w:rsidRPr="00C311AE" w14:paraId="663D17D3" w14:textId="77777777" w:rsidTr="00B538C7">
        <w:trPr>
          <w:trHeight w:val="403"/>
        </w:trPr>
        <w:tc>
          <w:tcPr>
            <w:tcW w:w="4060" w:type="dxa"/>
            <w:tcBorders>
              <w:bottom w:val="nil"/>
            </w:tcBorders>
            <w:shd w:val="clear" w:color="auto" w:fill="auto"/>
          </w:tcPr>
          <w:p w14:paraId="114D286C" w14:textId="7D4F178A"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Ep</w:t>
            </w:r>
            <w:r w:rsidR="00C311AE" w:rsidRPr="00C311AE">
              <w:rPr>
                <w:rFonts w:ascii="Book Antiqua" w:hAnsi="Book Antiqua" w:cs="Arial"/>
              </w:rPr>
              <w:t>isodes of vomiting in last 1 w</w:t>
            </w:r>
            <w:r w:rsidRPr="00C311AE">
              <w:rPr>
                <w:rFonts w:ascii="Book Antiqua" w:hAnsi="Book Antiqua" w:cs="Arial"/>
              </w:rPr>
              <w:t xml:space="preserve">k </w:t>
            </w:r>
          </w:p>
        </w:tc>
        <w:tc>
          <w:tcPr>
            <w:tcW w:w="1980" w:type="dxa"/>
            <w:tcBorders>
              <w:bottom w:val="nil"/>
            </w:tcBorders>
            <w:shd w:val="clear" w:color="auto" w:fill="auto"/>
          </w:tcPr>
          <w:p w14:paraId="58146743" w14:textId="70A36BA2" w:rsidR="00C24B3B" w:rsidRPr="00C311AE" w:rsidRDefault="00C311AE" w:rsidP="00020CC7">
            <w:pPr>
              <w:snapToGrid w:val="0"/>
              <w:spacing w:line="360" w:lineRule="auto"/>
              <w:jc w:val="both"/>
              <w:rPr>
                <w:rFonts w:ascii="Book Antiqua" w:hAnsi="Book Antiqua" w:cs="Arial"/>
              </w:rPr>
            </w:pPr>
            <w:r w:rsidRPr="00C311AE">
              <w:rPr>
                <w:rFonts w:ascii="Book Antiqua" w:eastAsiaTheme="minorEastAsia" w:hAnsi="Book Antiqua" w:cs="Arial" w:hint="eastAsia"/>
                <w:vertAlign w:val="superscript"/>
                <w:lang w:eastAsia="zh-CN"/>
              </w:rPr>
              <w:t>1</w:t>
            </w:r>
            <w:r w:rsidR="00B45426" w:rsidRPr="00C311AE">
              <w:rPr>
                <w:rFonts w:ascii="Book Antiqua" w:hAnsi="Book Antiqua" w:cs="Arial"/>
              </w:rPr>
              <w:t>3.0</w:t>
            </w:r>
            <w:r w:rsidR="00FA1BDE" w:rsidRPr="00C311AE">
              <w:rPr>
                <w:rFonts w:ascii="Book Antiqua" w:hAnsi="Book Antiqua" w:cs="Arial"/>
              </w:rPr>
              <w:t xml:space="preserve"> </w:t>
            </w:r>
            <w:r w:rsidR="00B45426" w:rsidRPr="00C311AE">
              <w:rPr>
                <w:rFonts w:ascii="Book Antiqua" w:hAnsi="Book Antiqua" w:cs="Arial"/>
              </w:rPr>
              <w:t>(1.0-7.0)</w:t>
            </w:r>
          </w:p>
        </w:tc>
        <w:tc>
          <w:tcPr>
            <w:tcW w:w="1980" w:type="dxa"/>
            <w:tcBorders>
              <w:bottom w:val="nil"/>
            </w:tcBorders>
            <w:shd w:val="clear" w:color="auto" w:fill="auto"/>
          </w:tcPr>
          <w:p w14:paraId="21CA5FBD" w14:textId="6910543F" w:rsidR="00C24B3B" w:rsidRPr="00C311AE" w:rsidRDefault="00C311AE" w:rsidP="00020CC7">
            <w:pPr>
              <w:snapToGrid w:val="0"/>
              <w:spacing w:line="360" w:lineRule="auto"/>
              <w:jc w:val="both"/>
              <w:rPr>
                <w:rFonts w:ascii="Book Antiqua" w:hAnsi="Book Antiqua" w:cs="Arial"/>
              </w:rPr>
            </w:pPr>
            <w:r w:rsidRPr="00C311AE">
              <w:rPr>
                <w:rFonts w:ascii="Book Antiqua" w:eastAsiaTheme="minorEastAsia" w:hAnsi="Book Antiqua" w:cs="Arial" w:hint="eastAsia"/>
                <w:vertAlign w:val="superscript"/>
                <w:lang w:eastAsia="zh-CN"/>
              </w:rPr>
              <w:t>1</w:t>
            </w:r>
            <w:r w:rsidR="00B45426" w:rsidRPr="00C311AE">
              <w:rPr>
                <w:rFonts w:ascii="Book Antiqua" w:hAnsi="Book Antiqua" w:cs="Arial"/>
              </w:rPr>
              <w:t>1.0</w:t>
            </w:r>
            <w:r w:rsidR="00FA1BDE" w:rsidRPr="00C311AE">
              <w:rPr>
                <w:rFonts w:ascii="Book Antiqua" w:hAnsi="Book Antiqua" w:cs="Arial"/>
              </w:rPr>
              <w:t xml:space="preserve"> </w:t>
            </w:r>
            <w:r w:rsidR="00B45426" w:rsidRPr="00C311AE">
              <w:rPr>
                <w:rFonts w:ascii="Book Antiqua" w:hAnsi="Book Antiqua" w:cs="Arial"/>
              </w:rPr>
              <w:t>(0.0-3.0)</w:t>
            </w:r>
          </w:p>
        </w:tc>
        <w:tc>
          <w:tcPr>
            <w:tcW w:w="1350" w:type="dxa"/>
            <w:tcBorders>
              <w:bottom w:val="nil"/>
            </w:tcBorders>
            <w:shd w:val="clear" w:color="auto" w:fill="auto"/>
          </w:tcPr>
          <w:p w14:paraId="6BC7ACCD"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0.002</w:t>
            </w:r>
          </w:p>
        </w:tc>
      </w:tr>
      <w:tr w:rsidR="00C311AE" w:rsidRPr="00C311AE" w14:paraId="5CC1D4EC" w14:textId="77777777" w:rsidTr="00B538C7">
        <w:trPr>
          <w:trHeight w:val="330"/>
        </w:trPr>
        <w:tc>
          <w:tcPr>
            <w:tcW w:w="4060" w:type="dxa"/>
            <w:tcBorders>
              <w:top w:val="nil"/>
              <w:bottom w:val="nil"/>
            </w:tcBorders>
            <w:shd w:val="clear" w:color="auto" w:fill="auto"/>
          </w:tcPr>
          <w:p w14:paraId="50C7F476" w14:textId="614DFF10" w:rsidR="00C24B3B" w:rsidRPr="00C311AE" w:rsidRDefault="00C311AE" w:rsidP="00020CC7">
            <w:pPr>
              <w:snapToGrid w:val="0"/>
              <w:spacing w:line="360" w:lineRule="auto"/>
              <w:jc w:val="both"/>
              <w:rPr>
                <w:rFonts w:ascii="Book Antiqua" w:hAnsi="Book Antiqua" w:cs="Arial"/>
                <w:bCs/>
              </w:rPr>
            </w:pPr>
            <w:r w:rsidRPr="00C311AE">
              <w:rPr>
                <w:rFonts w:ascii="Book Antiqua" w:hAnsi="Book Antiqua" w:cs="Arial"/>
              </w:rPr>
              <w:t>H</w:t>
            </w:r>
            <w:r w:rsidRPr="00C311AE">
              <w:rPr>
                <w:rFonts w:ascii="Book Antiqua" w:eastAsiaTheme="minorEastAsia" w:hAnsi="Book Antiqua" w:cs="Arial" w:hint="eastAsia"/>
                <w:lang w:eastAsia="zh-CN"/>
              </w:rPr>
              <w:t>ou</w:t>
            </w:r>
            <w:r w:rsidRPr="00C311AE">
              <w:rPr>
                <w:rFonts w:ascii="Book Antiqua" w:hAnsi="Book Antiqua" w:cs="Arial"/>
              </w:rPr>
              <w:t>rs</w:t>
            </w:r>
            <w:r w:rsidRPr="00C311AE">
              <w:rPr>
                <w:rFonts w:ascii="Book Antiqua" w:eastAsiaTheme="minorEastAsia" w:hAnsi="Book Antiqua" w:cs="Arial" w:hint="eastAsia"/>
                <w:lang w:eastAsia="zh-CN"/>
              </w:rPr>
              <w:t xml:space="preserve"> </w:t>
            </w:r>
            <w:r w:rsidRPr="00C311AE">
              <w:rPr>
                <w:rFonts w:ascii="Book Antiqua" w:hAnsi="Book Antiqua" w:cs="Arial"/>
              </w:rPr>
              <w:t>of nausea/day in last 1 w</w:t>
            </w:r>
            <w:r w:rsidR="00C24B3B" w:rsidRPr="00C311AE">
              <w:rPr>
                <w:rFonts w:ascii="Book Antiqua" w:hAnsi="Book Antiqua" w:cs="Arial"/>
              </w:rPr>
              <w:t xml:space="preserve">k </w:t>
            </w:r>
          </w:p>
        </w:tc>
        <w:tc>
          <w:tcPr>
            <w:tcW w:w="1980" w:type="dxa"/>
            <w:tcBorders>
              <w:top w:val="nil"/>
              <w:bottom w:val="nil"/>
            </w:tcBorders>
            <w:shd w:val="clear" w:color="auto" w:fill="auto"/>
          </w:tcPr>
          <w:p w14:paraId="21FA218B" w14:textId="27C68ED8" w:rsidR="00C24B3B" w:rsidRPr="00C311AE" w:rsidRDefault="00C311AE" w:rsidP="00020CC7">
            <w:pPr>
              <w:snapToGrid w:val="0"/>
              <w:spacing w:line="360" w:lineRule="auto"/>
              <w:jc w:val="both"/>
              <w:rPr>
                <w:rFonts w:ascii="Book Antiqua" w:hAnsi="Book Antiqua" w:cs="Arial"/>
                <w:bCs/>
              </w:rPr>
            </w:pPr>
            <w:r w:rsidRPr="00C311AE">
              <w:rPr>
                <w:rFonts w:ascii="Book Antiqua" w:eastAsiaTheme="minorEastAsia" w:hAnsi="Book Antiqua" w:cs="Arial" w:hint="eastAsia"/>
                <w:vertAlign w:val="superscript"/>
                <w:lang w:eastAsia="zh-CN"/>
              </w:rPr>
              <w:t>1</w:t>
            </w:r>
            <w:r w:rsidR="00FA1BDE" w:rsidRPr="00C311AE">
              <w:rPr>
                <w:rFonts w:ascii="Book Antiqua" w:hAnsi="Book Antiqua" w:cs="Arial"/>
                <w:bCs/>
              </w:rPr>
              <w:t>7.0 (3.0-18.0)</w:t>
            </w:r>
          </w:p>
        </w:tc>
        <w:tc>
          <w:tcPr>
            <w:tcW w:w="1980" w:type="dxa"/>
            <w:tcBorders>
              <w:top w:val="nil"/>
              <w:bottom w:val="nil"/>
            </w:tcBorders>
            <w:shd w:val="clear" w:color="auto" w:fill="auto"/>
          </w:tcPr>
          <w:p w14:paraId="13E5A0B3" w14:textId="7E7FE8C6" w:rsidR="00C24B3B" w:rsidRPr="00C311AE" w:rsidRDefault="00C311AE" w:rsidP="00020CC7">
            <w:pPr>
              <w:snapToGrid w:val="0"/>
              <w:spacing w:line="360" w:lineRule="auto"/>
              <w:jc w:val="both"/>
              <w:rPr>
                <w:rFonts w:ascii="Book Antiqua" w:hAnsi="Book Antiqua" w:cs="Arial"/>
                <w:bCs/>
              </w:rPr>
            </w:pPr>
            <w:r w:rsidRPr="00C311AE">
              <w:rPr>
                <w:rFonts w:ascii="Book Antiqua" w:eastAsiaTheme="minorEastAsia" w:hAnsi="Book Antiqua" w:cs="Arial" w:hint="eastAsia"/>
                <w:vertAlign w:val="superscript"/>
                <w:lang w:eastAsia="zh-CN"/>
              </w:rPr>
              <w:t>1</w:t>
            </w:r>
            <w:r w:rsidR="00FA1BDE" w:rsidRPr="00C311AE">
              <w:rPr>
                <w:rFonts w:ascii="Book Antiqua" w:hAnsi="Book Antiqua" w:cs="Arial"/>
                <w:bCs/>
              </w:rPr>
              <w:t>4</w:t>
            </w:r>
            <w:r w:rsidR="00FA1BDE" w:rsidRPr="00C311AE">
              <w:rPr>
                <w:rFonts w:ascii="Book Antiqua" w:hAnsi="Book Antiqua" w:cs="Arial"/>
              </w:rPr>
              <w:t xml:space="preserve"> (1.5-12.0)</w:t>
            </w:r>
          </w:p>
        </w:tc>
        <w:tc>
          <w:tcPr>
            <w:tcW w:w="1350" w:type="dxa"/>
            <w:tcBorders>
              <w:top w:val="nil"/>
              <w:bottom w:val="nil"/>
            </w:tcBorders>
            <w:shd w:val="clear" w:color="auto" w:fill="auto"/>
          </w:tcPr>
          <w:p w14:paraId="6B52A647"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0.037</w:t>
            </w:r>
          </w:p>
        </w:tc>
      </w:tr>
      <w:tr w:rsidR="00C311AE" w:rsidRPr="00C311AE" w14:paraId="3095B1C1" w14:textId="77777777" w:rsidTr="00B538C7">
        <w:trPr>
          <w:trHeight w:val="330"/>
        </w:trPr>
        <w:tc>
          <w:tcPr>
            <w:tcW w:w="4060" w:type="dxa"/>
            <w:tcBorders>
              <w:top w:val="nil"/>
              <w:bottom w:val="nil"/>
            </w:tcBorders>
            <w:shd w:val="clear" w:color="auto" w:fill="auto"/>
          </w:tcPr>
          <w:p w14:paraId="13124791" w14:textId="5287CB50"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 xml:space="preserve">Total </w:t>
            </w:r>
            <w:r w:rsidR="00C311AE" w:rsidRPr="00C311AE">
              <w:rPr>
                <w:rFonts w:ascii="Book Antiqua" w:hAnsi="Book Antiqua" w:cs="Arial"/>
              </w:rPr>
              <w:t>number of BMs in last 1 w</w:t>
            </w:r>
            <w:r w:rsidRPr="00C311AE">
              <w:rPr>
                <w:rFonts w:ascii="Book Antiqua" w:hAnsi="Book Antiqua" w:cs="Arial"/>
              </w:rPr>
              <w:t xml:space="preserve">k </w:t>
            </w:r>
          </w:p>
        </w:tc>
        <w:tc>
          <w:tcPr>
            <w:tcW w:w="1980" w:type="dxa"/>
            <w:tcBorders>
              <w:top w:val="nil"/>
              <w:bottom w:val="nil"/>
            </w:tcBorders>
            <w:shd w:val="clear" w:color="auto" w:fill="auto"/>
          </w:tcPr>
          <w:p w14:paraId="3F503362" w14:textId="3C8ECD28" w:rsidR="00C24B3B" w:rsidRPr="00C311AE" w:rsidRDefault="00C311AE" w:rsidP="00020CC7">
            <w:pPr>
              <w:snapToGrid w:val="0"/>
              <w:spacing w:line="360" w:lineRule="auto"/>
              <w:jc w:val="both"/>
              <w:rPr>
                <w:rFonts w:ascii="Book Antiqua" w:hAnsi="Book Antiqua" w:cs="Arial"/>
              </w:rPr>
            </w:pPr>
            <w:r w:rsidRPr="00C311AE">
              <w:rPr>
                <w:rFonts w:ascii="Book Antiqua" w:eastAsiaTheme="minorEastAsia" w:hAnsi="Book Antiqua" w:cs="Arial" w:hint="eastAsia"/>
                <w:vertAlign w:val="superscript"/>
                <w:lang w:eastAsia="zh-CN"/>
              </w:rPr>
              <w:t>1</w:t>
            </w:r>
            <w:r w:rsidR="00FA1BDE" w:rsidRPr="00C311AE">
              <w:rPr>
                <w:rFonts w:ascii="Book Antiqua" w:hAnsi="Book Antiqua" w:cs="Arial"/>
              </w:rPr>
              <w:t>4.0 (2.0-7.0)</w:t>
            </w:r>
          </w:p>
        </w:tc>
        <w:tc>
          <w:tcPr>
            <w:tcW w:w="1980" w:type="dxa"/>
            <w:tcBorders>
              <w:top w:val="nil"/>
              <w:bottom w:val="nil"/>
            </w:tcBorders>
            <w:shd w:val="clear" w:color="auto" w:fill="auto"/>
          </w:tcPr>
          <w:p w14:paraId="02D008CD" w14:textId="37DBD930" w:rsidR="00C24B3B" w:rsidRPr="00C311AE" w:rsidRDefault="00FA1BDE" w:rsidP="00020CC7">
            <w:pPr>
              <w:snapToGrid w:val="0"/>
              <w:spacing w:line="360" w:lineRule="auto"/>
              <w:jc w:val="both"/>
              <w:rPr>
                <w:rFonts w:ascii="Book Antiqua" w:hAnsi="Book Antiqua" w:cs="Arial"/>
              </w:rPr>
            </w:pPr>
            <w:r w:rsidRPr="00C311AE">
              <w:rPr>
                <w:rFonts w:ascii="Book Antiqua" w:hAnsi="Book Antiqua" w:cs="Arial"/>
              </w:rPr>
              <w:t>4.0 (2.0-7.0)</w:t>
            </w:r>
          </w:p>
        </w:tc>
        <w:tc>
          <w:tcPr>
            <w:tcW w:w="1350" w:type="dxa"/>
            <w:tcBorders>
              <w:top w:val="nil"/>
              <w:bottom w:val="nil"/>
            </w:tcBorders>
            <w:shd w:val="clear" w:color="auto" w:fill="auto"/>
          </w:tcPr>
          <w:p w14:paraId="01EE5DEB"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0.714</w:t>
            </w:r>
          </w:p>
        </w:tc>
      </w:tr>
      <w:tr w:rsidR="00C311AE" w:rsidRPr="00C311AE" w14:paraId="19BC3D16" w14:textId="77777777" w:rsidTr="00B538C7">
        <w:trPr>
          <w:trHeight w:val="330"/>
        </w:trPr>
        <w:tc>
          <w:tcPr>
            <w:tcW w:w="4060" w:type="dxa"/>
            <w:tcBorders>
              <w:top w:val="nil"/>
              <w:bottom w:val="nil"/>
            </w:tcBorders>
            <w:shd w:val="clear" w:color="auto" w:fill="auto"/>
          </w:tcPr>
          <w:p w14:paraId="79D0F81F" w14:textId="57130B68"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 xml:space="preserve">AP one of the </w:t>
            </w:r>
            <w:r w:rsidR="00C311AE" w:rsidRPr="00C311AE">
              <w:rPr>
                <w:rFonts w:ascii="Book Antiqua" w:hAnsi="Book Antiqua" w:cs="Arial"/>
              </w:rPr>
              <w:t>symptoms</w:t>
            </w:r>
            <w:r w:rsidRPr="00C311AE">
              <w:rPr>
                <w:rFonts w:ascii="Book Antiqua" w:hAnsi="Book Antiqua" w:cs="Arial"/>
              </w:rPr>
              <w:t xml:space="preserve"> (%)</w:t>
            </w:r>
          </w:p>
        </w:tc>
        <w:tc>
          <w:tcPr>
            <w:tcW w:w="1980" w:type="dxa"/>
            <w:tcBorders>
              <w:top w:val="nil"/>
              <w:bottom w:val="nil"/>
            </w:tcBorders>
            <w:shd w:val="clear" w:color="auto" w:fill="auto"/>
          </w:tcPr>
          <w:p w14:paraId="60CBAC9A"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84.1% (37/43)</w:t>
            </w:r>
          </w:p>
        </w:tc>
        <w:tc>
          <w:tcPr>
            <w:tcW w:w="1980" w:type="dxa"/>
            <w:tcBorders>
              <w:top w:val="nil"/>
              <w:bottom w:val="nil"/>
            </w:tcBorders>
            <w:shd w:val="clear" w:color="auto" w:fill="auto"/>
          </w:tcPr>
          <w:p w14:paraId="00A98D28"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85.2% (132/155)</w:t>
            </w:r>
          </w:p>
        </w:tc>
        <w:tc>
          <w:tcPr>
            <w:tcW w:w="1350" w:type="dxa"/>
            <w:tcBorders>
              <w:top w:val="nil"/>
              <w:bottom w:val="nil"/>
            </w:tcBorders>
            <w:shd w:val="clear" w:color="auto" w:fill="auto"/>
          </w:tcPr>
          <w:p w14:paraId="0398D8A7"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0.861</w:t>
            </w:r>
          </w:p>
        </w:tc>
      </w:tr>
      <w:tr w:rsidR="00C311AE" w:rsidRPr="00C311AE" w14:paraId="76AF2AC3" w14:textId="77777777" w:rsidTr="00B538C7">
        <w:trPr>
          <w:trHeight w:val="330"/>
        </w:trPr>
        <w:tc>
          <w:tcPr>
            <w:tcW w:w="4060" w:type="dxa"/>
            <w:tcBorders>
              <w:top w:val="nil"/>
              <w:bottom w:val="nil"/>
            </w:tcBorders>
            <w:shd w:val="clear" w:color="auto" w:fill="auto"/>
          </w:tcPr>
          <w:p w14:paraId="65803FBA" w14:textId="622F1F96" w:rsidR="00C24B3B" w:rsidRPr="00C311AE" w:rsidRDefault="00C311AE" w:rsidP="00020CC7">
            <w:pPr>
              <w:snapToGrid w:val="0"/>
              <w:spacing w:line="360" w:lineRule="auto"/>
              <w:jc w:val="both"/>
              <w:rPr>
                <w:rFonts w:ascii="Book Antiqua" w:hAnsi="Book Antiqua" w:cs="Arial"/>
                <w:bCs/>
              </w:rPr>
            </w:pPr>
            <w:r w:rsidRPr="00C311AE">
              <w:rPr>
                <w:rFonts w:ascii="Book Antiqua" w:hAnsi="Book Antiqua" w:cs="Arial"/>
              </w:rPr>
              <w:t>Duration of AP (yr</w:t>
            </w:r>
            <w:r w:rsidR="00C24B3B" w:rsidRPr="00C311AE">
              <w:rPr>
                <w:rFonts w:ascii="Book Antiqua" w:hAnsi="Book Antiqua" w:cs="Arial"/>
              </w:rPr>
              <w:t>)</w:t>
            </w:r>
          </w:p>
        </w:tc>
        <w:tc>
          <w:tcPr>
            <w:tcW w:w="1980" w:type="dxa"/>
            <w:tcBorders>
              <w:top w:val="nil"/>
              <w:bottom w:val="nil"/>
            </w:tcBorders>
            <w:shd w:val="clear" w:color="auto" w:fill="auto"/>
          </w:tcPr>
          <w:p w14:paraId="0419AF20" w14:textId="09C56A6B" w:rsidR="00C24B3B" w:rsidRPr="00C311AE" w:rsidRDefault="00C311AE" w:rsidP="00020CC7">
            <w:pPr>
              <w:snapToGrid w:val="0"/>
              <w:spacing w:line="360" w:lineRule="auto"/>
              <w:jc w:val="both"/>
              <w:rPr>
                <w:rFonts w:ascii="Book Antiqua" w:hAnsi="Book Antiqua" w:cs="Arial"/>
                <w:bCs/>
              </w:rPr>
            </w:pPr>
            <w:r w:rsidRPr="00C311AE">
              <w:rPr>
                <w:rFonts w:ascii="Book Antiqua" w:eastAsiaTheme="minorEastAsia" w:hAnsi="Book Antiqua" w:cs="Arial" w:hint="eastAsia"/>
                <w:vertAlign w:val="superscript"/>
                <w:lang w:eastAsia="zh-CN"/>
              </w:rPr>
              <w:t>1</w:t>
            </w:r>
            <w:r w:rsidR="0035346C" w:rsidRPr="00C311AE">
              <w:rPr>
                <w:rFonts w:ascii="Book Antiqua" w:hAnsi="Book Antiqua" w:cs="Arial"/>
                <w:bCs/>
              </w:rPr>
              <w:t>2.0</w:t>
            </w:r>
            <w:r w:rsidR="0035346C" w:rsidRPr="00C311AE">
              <w:rPr>
                <w:rFonts w:ascii="Book Antiqua" w:hAnsi="Book Antiqua" w:cs="Arial"/>
              </w:rPr>
              <w:t xml:space="preserve"> (0.5-4.0)</w:t>
            </w:r>
          </w:p>
        </w:tc>
        <w:tc>
          <w:tcPr>
            <w:tcW w:w="1980" w:type="dxa"/>
            <w:tcBorders>
              <w:top w:val="nil"/>
              <w:bottom w:val="nil"/>
            </w:tcBorders>
            <w:shd w:val="clear" w:color="auto" w:fill="auto"/>
          </w:tcPr>
          <w:p w14:paraId="68602189" w14:textId="478BCA86" w:rsidR="00C24B3B" w:rsidRPr="00C311AE" w:rsidRDefault="00C311AE" w:rsidP="00020CC7">
            <w:pPr>
              <w:snapToGrid w:val="0"/>
              <w:spacing w:line="360" w:lineRule="auto"/>
              <w:jc w:val="both"/>
              <w:rPr>
                <w:rFonts w:ascii="Book Antiqua" w:hAnsi="Book Antiqua" w:cs="Arial"/>
                <w:bCs/>
              </w:rPr>
            </w:pPr>
            <w:r w:rsidRPr="00C311AE">
              <w:rPr>
                <w:rFonts w:ascii="Book Antiqua" w:eastAsiaTheme="minorEastAsia" w:hAnsi="Book Antiqua" w:cs="Arial" w:hint="eastAsia"/>
                <w:vertAlign w:val="superscript"/>
                <w:lang w:eastAsia="zh-CN"/>
              </w:rPr>
              <w:t>1</w:t>
            </w:r>
            <w:r w:rsidR="0035346C" w:rsidRPr="00C311AE">
              <w:rPr>
                <w:rFonts w:ascii="Book Antiqua" w:hAnsi="Book Antiqua" w:cs="Arial"/>
                <w:bCs/>
              </w:rPr>
              <w:t>1.5 (0.7-4.5)</w:t>
            </w:r>
          </w:p>
        </w:tc>
        <w:tc>
          <w:tcPr>
            <w:tcW w:w="1350" w:type="dxa"/>
            <w:tcBorders>
              <w:top w:val="nil"/>
              <w:bottom w:val="nil"/>
            </w:tcBorders>
            <w:shd w:val="clear" w:color="auto" w:fill="auto"/>
          </w:tcPr>
          <w:p w14:paraId="4AF3667A"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0.526</w:t>
            </w:r>
          </w:p>
        </w:tc>
      </w:tr>
      <w:tr w:rsidR="00C311AE" w:rsidRPr="00C311AE" w14:paraId="400FAB1E" w14:textId="77777777" w:rsidTr="00B538C7">
        <w:trPr>
          <w:trHeight w:val="330"/>
        </w:trPr>
        <w:tc>
          <w:tcPr>
            <w:tcW w:w="4060" w:type="dxa"/>
            <w:tcBorders>
              <w:top w:val="nil"/>
              <w:bottom w:val="nil"/>
            </w:tcBorders>
            <w:shd w:val="clear" w:color="auto" w:fill="auto"/>
          </w:tcPr>
          <w:p w14:paraId="39086FE1"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rPr>
              <w:t xml:space="preserve">Location of most severe AP </w:t>
            </w:r>
          </w:p>
        </w:tc>
        <w:tc>
          <w:tcPr>
            <w:tcW w:w="1980" w:type="dxa"/>
            <w:tcBorders>
              <w:top w:val="nil"/>
              <w:bottom w:val="nil"/>
            </w:tcBorders>
            <w:shd w:val="clear" w:color="auto" w:fill="auto"/>
          </w:tcPr>
          <w:p w14:paraId="3593658B" w14:textId="47BDBDF5"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Umbilical 41.7% (15/36)</w:t>
            </w:r>
          </w:p>
        </w:tc>
        <w:tc>
          <w:tcPr>
            <w:tcW w:w="1980" w:type="dxa"/>
            <w:tcBorders>
              <w:top w:val="nil"/>
              <w:bottom w:val="nil"/>
            </w:tcBorders>
            <w:shd w:val="clear" w:color="auto" w:fill="auto"/>
          </w:tcPr>
          <w:p w14:paraId="339D761B" w14:textId="552D3220"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Epigastric 44.2% (57/129)</w:t>
            </w:r>
          </w:p>
        </w:tc>
        <w:tc>
          <w:tcPr>
            <w:tcW w:w="1350" w:type="dxa"/>
            <w:tcBorders>
              <w:top w:val="nil"/>
              <w:bottom w:val="nil"/>
            </w:tcBorders>
            <w:shd w:val="clear" w:color="auto" w:fill="auto"/>
          </w:tcPr>
          <w:p w14:paraId="3AC8AFDE"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0.863</w:t>
            </w:r>
          </w:p>
        </w:tc>
      </w:tr>
      <w:tr w:rsidR="00C311AE" w:rsidRPr="00C311AE" w14:paraId="083FBA8E" w14:textId="77777777" w:rsidTr="00B538C7">
        <w:trPr>
          <w:trHeight w:val="330"/>
        </w:trPr>
        <w:tc>
          <w:tcPr>
            <w:tcW w:w="4060" w:type="dxa"/>
            <w:tcBorders>
              <w:top w:val="nil"/>
              <w:bottom w:val="nil"/>
            </w:tcBorders>
            <w:shd w:val="clear" w:color="auto" w:fill="auto"/>
          </w:tcPr>
          <w:p w14:paraId="34248513"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rPr>
              <w:t>AP wakes up at night (%)</w:t>
            </w:r>
          </w:p>
        </w:tc>
        <w:tc>
          <w:tcPr>
            <w:tcW w:w="1980" w:type="dxa"/>
            <w:tcBorders>
              <w:top w:val="nil"/>
              <w:bottom w:val="nil"/>
            </w:tcBorders>
            <w:shd w:val="clear" w:color="auto" w:fill="auto"/>
          </w:tcPr>
          <w:p w14:paraId="7812084F"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78.1% (7/32)</w:t>
            </w:r>
          </w:p>
        </w:tc>
        <w:tc>
          <w:tcPr>
            <w:tcW w:w="1980" w:type="dxa"/>
            <w:tcBorders>
              <w:top w:val="nil"/>
              <w:bottom w:val="nil"/>
            </w:tcBorders>
            <w:shd w:val="clear" w:color="auto" w:fill="auto"/>
          </w:tcPr>
          <w:p w14:paraId="66D5B9CE"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57.3% (71/124)</w:t>
            </w:r>
          </w:p>
        </w:tc>
        <w:tc>
          <w:tcPr>
            <w:tcW w:w="1350" w:type="dxa"/>
            <w:tcBorders>
              <w:top w:val="nil"/>
              <w:bottom w:val="nil"/>
            </w:tcBorders>
            <w:shd w:val="clear" w:color="auto" w:fill="auto"/>
          </w:tcPr>
          <w:p w14:paraId="3045FE76"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0.031</w:t>
            </w:r>
          </w:p>
        </w:tc>
      </w:tr>
      <w:tr w:rsidR="00C311AE" w:rsidRPr="00C311AE" w14:paraId="3CCCF0BD" w14:textId="77777777" w:rsidTr="00B538C7">
        <w:trPr>
          <w:trHeight w:val="330"/>
        </w:trPr>
        <w:tc>
          <w:tcPr>
            <w:tcW w:w="4060" w:type="dxa"/>
            <w:tcBorders>
              <w:top w:val="nil"/>
              <w:bottom w:val="single" w:sz="8" w:space="0" w:color="auto"/>
            </w:tcBorders>
            <w:shd w:val="clear" w:color="auto" w:fill="auto"/>
          </w:tcPr>
          <w:p w14:paraId="0FE48A38"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AP worse with meals (%)</w:t>
            </w:r>
          </w:p>
        </w:tc>
        <w:tc>
          <w:tcPr>
            <w:tcW w:w="1980" w:type="dxa"/>
            <w:tcBorders>
              <w:top w:val="nil"/>
              <w:bottom w:val="single" w:sz="8" w:space="0" w:color="auto"/>
            </w:tcBorders>
            <w:shd w:val="clear" w:color="auto" w:fill="auto"/>
          </w:tcPr>
          <w:p w14:paraId="4D973566"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76.5% (26/34)</w:t>
            </w:r>
          </w:p>
        </w:tc>
        <w:tc>
          <w:tcPr>
            <w:tcW w:w="1980" w:type="dxa"/>
            <w:tcBorders>
              <w:top w:val="nil"/>
              <w:bottom w:val="single" w:sz="8" w:space="0" w:color="auto"/>
            </w:tcBorders>
            <w:shd w:val="clear" w:color="auto" w:fill="auto"/>
          </w:tcPr>
          <w:p w14:paraId="3CE86697"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80.0% (100/125)</w:t>
            </w:r>
          </w:p>
        </w:tc>
        <w:tc>
          <w:tcPr>
            <w:tcW w:w="1350" w:type="dxa"/>
            <w:tcBorders>
              <w:top w:val="nil"/>
              <w:bottom w:val="single" w:sz="8" w:space="0" w:color="auto"/>
            </w:tcBorders>
            <w:shd w:val="clear" w:color="auto" w:fill="auto"/>
          </w:tcPr>
          <w:p w14:paraId="3AB49535"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0.508</w:t>
            </w:r>
          </w:p>
        </w:tc>
      </w:tr>
    </w:tbl>
    <w:p w14:paraId="2FFD48F1" w14:textId="3BAD56FC" w:rsidR="00C24B3B" w:rsidRPr="00C311AE" w:rsidRDefault="00C311AE" w:rsidP="00020CC7">
      <w:pPr>
        <w:snapToGrid w:val="0"/>
        <w:spacing w:line="360" w:lineRule="auto"/>
        <w:jc w:val="both"/>
        <w:rPr>
          <w:rFonts w:ascii="Book Antiqua" w:eastAsiaTheme="minorEastAsia" w:hAnsi="Book Antiqua" w:cs="Arial"/>
          <w:lang w:eastAsia="zh-CN"/>
        </w:rPr>
      </w:pPr>
      <w:r w:rsidRPr="00C311AE">
        <w:rPr>
          <w:rFonts w:ascii="Book Antiqua" w:eastAsiaTheme="minorEastAsia" w:hAnsi="Book Antiqua" w:cs="Arial" w:hint="eastAsia"/>
          <w:vertAlign w:val="superscript"/>
          <w:lang w:eastAsia="zh-CN"/>
        </w:rPr>
        <w:t>1</w:t>
      </w:r>
      <w:r w:rsidRPr="00C311AE">
        <w:rPr>
          <w:rFonts w:ascii="Book Antiqua" w:hAnsi="Book Antiqua" w:cs="Arial"/>
        </w:rPr>
        <w:t>Results with non-normal distribution</w:t>
      </w:r>
      <w:r w:rsidRPr="00C311AE">
        <w:rPr>
          <w:rFonts w:ascii="Book Antiqua" w:eastAsiaTheme="minorEastAsia" w:hAnsi="Book Antiqua" w:cs="Arial" w:hint="eastAsia"/>
          <w:lang w:eastAsia="zh-CN"/>
        </w:rPr>
        <w:t xml:space="preserve">. </w:t>
      </w:r>
      <w:r w:rsidR="00EF642E" w:rsidRPr="00C311AE">
        <w:rPr>
          <w:rFonts w:ascii="Book Antiqua" w:hAnsi="Book Antiqua" w:cs="Arial"/>
        </w:rPr>
        <w:t xml:space="preserve">Results expressed as median with interquartile range, and percentage as appropriate. </w:t>
      </w:r>
      <w:r w:rsidR="00C24B3B" w:rsidRPr="00C311AE">
        <w:rPr>
          <w:rFonts w:ascii="Book Antiqua" w:hAnsi="Book Antiqua" w:cs="Arial"/>
        </w:rPr>
        <w:t>AP</w:t>
      </w:r>
      <w:r w:rsidRPr="00C311AE">
        <w:rPr>
          <w:rFonts w:ascii="Book Antiqua" w:eastAsiaTheme="minorEastAsia" w:hAnsi="Book Antiqua" w:cs="Arial" w:hint="eastAsia"/>
          <w:lang w:eastAsia="zh-CN"/>
        </w:rPr>
        <w:t xml:space="preserve">: </w:t>
      </w:r>
      <w:r w:rsidR="00C24B3B" w:rsidRPr="00C311AE">
        <w:rPr>
          <w:rFonts w:ascii="Book Antiqua" w:hAnsi="Book Antiqua" w:cs="Arial"/>
        </w:rPr>
        <w:t xml:space="preserve">Abdominal </w:t>
      </w:r>
      <w:r w:rsidRPr="00C311AE">
        <w:rPr>
          <w:rFonts w:ascii="Book Antiqua" w:hAnsi="Book Antiqua" w:cs="Arial"/>
        </w:rPr>
        <w:t>p</w:t>
      </w:r>
      <w:r w:rsidR="00C24B3B" w:rsidRPr="00C311AE">
        <w:rPr>
          <w:rFonts w:ascii="Book Antiqua" w:hAnsi="Book Antiqua" w:cs="Arial"/>
        </w:rPr>
        <w:t>ain</w:t>
      </w:r>
      <w:r w:rsidRPr="00C311AE">
        <w:rPr>
          <w:rFonts w:ascii="Book Antiqua" w:eastAsiaTheme="minorEastAsia" w:hAnsi="Book Antiqua" w:cs="Arial" w:hint="eastAsia"/>
          <w:lang w:eastAsia="zh-CN"/>
        </w:rPr>
        <w:t xml:space="preserve">; </w:t>
      </w:r>
      <w:r w:rsidR="00C24B3B" w:rsidRPr="00C311AE">
        <w:rPr>
          <w:rFonts w:ascii="Book Antiqua" w:hAnsi="Book Antiqua" w:cs="Arial"/>
        </w:rPr>
        <w:t>BMs</w:t>
      </w:r>
      <w:r w:rsidRPr="00C311AE">
        <w:rPr>
          <w:rFonts w:ascii="Book Antiqua" w:eastAsiaTheme="minorEastAsia" w:hAnsi="Book Antiqua" w:cs="Arial" w:hint="eastAsia"/>
          <w:lang w:eastAsia="zh-CN"/>
        </w:rPr>
        <w:t xml:space="preserve">: </w:t>
      </w:r>
      <w:r w:rsidR="00C24B3B" w:rsidRPr="00C311AE">
        <w:rPr>
          <w:rFonts w:ascii="Book Antiqua" w:hAnsi="Book Antiqua" w:cs="Arial"/>
        </w:rPr>
        <w:t xml:space="preserve">Bowel </w:t>
      </w:r>
      <w:r w:rsidRPr="00C311AE">
        <w:rPr>
          <w:rFonts w:ascii="Book Antiqua" w:hAnsi="Book Antiqua" w:cs="Arial"/>
        </w:rPr>
        <w:t>m</w:t>
      </w:r>
      <w:r w:rsidR="00C24B3B" w:rsidRPr="00C311AE">
        <w:rPr>
          <w:rFonts w:ascii="Book Antiqua" w:hAnsi="Book Antiqua" w:cs="Arial"/>
        </w:rPr>
        <w:t>ovements</w:t>
      </w:r>
      <w:r w:rsidRPr="00C311AE">
        <w:rPr>
          <w:rFonts w:ascii="Book Antiqua" w:eastAsiaTheme="minorEastAsia" w:hAnsi="Book Antiqua" w:cs="Arial" w:hint="eastAsia"/>
          <w:lang w:eastAsia="zh-CN"/>
        </w:rPr>
        <w:t>;</w:t>
      </w:r>
      <w:r w:rsidR="00C24B3B" w:rsidRPr="00C311AE">
        <w:rPr>
          <w:rFonts w:ascii="Book Antiqua" w:hAnsi="Book Antiqua" w:cs="Arial"/>
        </w:rPr>
        <w:t xml:space="preserve"> GpCO</w:t>
      </w:r>
      <w:r w:rsidRPr="00C311AE">
        <w:rPr>
          <w:rFonts w:ascii="Book Antiqua" w:eastAsiaTheme="minorEastAsia" w:hAnsi="Book Antiqua" w:cs="Arial" w:hint="eastAsia"/>
          <w:lang w:eastAsia="zh-CN"/>
        </w:rPr>
        <w:t xml:space="preserve">: </w:t>
      </w:r>
      <w:r w:rsidR="00C24B3B" w:rsidRPr="00C311AE">
        <w:rPr>
          <w:rFonts w:ascii="Book Antiqua" w:hAnsi="Book Antiqua" w:cs="Arial"/>
        </w:rPr>
        <w:t>Gastroparesis patients on chronic opioids</w:t>
      </w:r>
      <w:r w:rsidRPr="00C311AE">
        <w:rPr>
          <w:rFonts w:ascii="Book Antiqua" w:eastAsiaTheme="minorEastAsia" w:hAnsi="Book Antiqua" w:cs="Arial" w:hint="eastAsia"/>
          <w:lang w:eastAsia="zh-CN"/>
        </w:rPr>
        <w:t xml:space="preserve">; </w:t>
      </w:r>
      <w:r w:rsidR="00C24B3B" w:rsidRPr="00C311AE">
        <w:rPr>
          <w:rFonts w:ascii="Book Antiqua" w:hAnsi="Book Antiqua" w:cs="Arial"/>
        </w:rPr>
        <w:t>GpNO</w:t>
      </w:r>
      <w:r w:rsidRPr="00C311AE">
        <w:rPr>
          <w:rFonts w:ascii="Book Antiqua" w:eastAsiaTheme="minorEastAsia" w:hAnsi="Book Antiqua" w:cs="Arial" w:hint="eastAsia"/>
          <w:lang w:eastAsia="zh-CN"/>
        </w:rPr>
        <w:t xml:space="preserve">: </w:t>
      </w:r>
      <w:r w:rsidR="00C24B3B" w:rsidRPr="00C311AE">
        <w:rPr>
          <w:rFonts w:ascii="Book Antiqua" w:hAnsi="Book Antiqua" w:cs="Arial"/>
        </w:rPr>
        <w:t>Gastroparesis patients not on opioids</w:t>
      </w:r>
      <w:r w:rsidRPr="00C311AE">
        <w:rPr>
          <w:rFonts w:ascii="Book Antiqua" w:eastAsiaTheme="minorEastAsia" w:hAnsi="Book Antiqua" w:cs="Arial" w:hint="eastAsia"/>
          <w:lang w:eastAsia="zh-CN"/>
        </w:rPr>
        <w:t>.</w:t>
      </w:r>
    </w:p>
    <w:p w14:paraId="3D885B6C"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br w:type="page"/>
      </w:r>
    </w:p>
    <w:p w14:paraId="3328202B" w14:textId="0227BFF7" w:rsidR="00C24B3B" w:rsidRPr="00C311AE" w:rsidRDefault="00E445F2" w:rsidP="00020CC7">
      <w:pPr>
        <w:snapToGrid w:val="0"/>
        <w:spacing w:line="360" w:lineRule="auto"/>
        <w:jc w:val="both"/>
        <w:rPr>
          <w:rFonts w:ascii="Book Antiqua" w:eastAsiaTheme="minorEastAsia" w:hAnsi="Book Antiqua" w:cs="Arial"/>
          <w:b/>
          <w:lang w:eastAsia="zh-CN"/>
        </w:rPr>
      </w:pPr>
      <w:r w:rsidRPr="00C311AE">
        <w:rPr>
          <w:rFonts w:ascii="Book Antiqua" w:hAnsi="Book Antiqua" w:cs="Arial"/>
          <w:b/>
        </w:rPr>
        <w:lastRenderedPageBreak/>
        <w:t>Table 6</w:t>
      </w:r>
      <w:r w:rsidR="00C311AE" w:rsidRPr="00C311AE">
        <w:rPr>
          <w:rFonts w:ascii="Book Antiqua" w:eastAsiaTheme="minorEastAsia" w:hAnsi="Book Antiqua" w:cs="Arial" w:hint="eastAsia"/>
          <w:b/>
          <w:lang w:eastAsia="zh-CN"/>
        </w:rPr>
        <w:t xml:space="preserve"> </w:t>
      </w:r>
      <w:r w:rsidR="00C24B3B" w:rsidRPr="00C311AE">
        <w:rPr>
          <w:rFonts w:ascii="Book Antiqua" w:hAnsi="Book Antiqua" w:cs="Arial"/>
          <w:b/>
        </w:rPr>
        <w:t>Frequency of symptoms in the past 3 mo</w:t>
      </w:r>
      <w:r w:rsidR="00C311AE" w:rsidRPr="00C311AE">
        <w:rPr>
          <w:rFonts w:ascii="Book Antiqua" w:eastAsiaTheme="minorEastAsia" w:hAnsi="Book Antiqua" w:cs="Arial" w:hint="eastAsia"/>
          <w:b/>
          <w:lang w:eastAsia="zh-CN"/>
        </w:rPr>
        <w:t xml:space="preserve"> </w:t>
      </w:r>
      <w:r w:rsidR="00C24B3B" w:rsidRPr="00C311AE">
        <w:rPr>
          <w:rFonts w:ascii="Book Antiqua" w:hAnsi="Book Antiqua" w:cs="Arial"/>
          <w:b/>
        </w:rPr>
        <w:t>using Rome IV questionnaire: comparison between gastroparesis patients with chronic scheduled opioid use and patients with no opioid use (percentage of patients with sympt</w:t>
      </w:r>
      <w:r w:rsidR="00C311AE" w:rsidRPr="00C311AE">
        <w:rPr>
          <w:rFonts w:ascii="Book Antiqua" w:hAnsi="Book Antiqua" w:cs="Arial"/>
          <w:b/>
        </w:rPr>
        <w:t>oms once a week or more often)</w:t>
      </w:r>
    </w:p>
    <w:tbl>
      <w:tblPr>
        <w:tblW w:w="5549" w:type="pct"/>
        <w:tblInd w:w="-459" w:type="dxa"/>
        <w:tblBorders>
          <w:top w:val="single" w:sz="4" w:space="0" w:color="auto"/>
          <w:insideH w:val="single" w:sz="4" w:space="0" w:color="auto"/>
        </w:tblBorders>
        <w:tblLayout w:type="fixed"/>
        <w:tblLook w:val="04A0" w:firstRow="1" w:lastRow="0" w:firstColumn="1" w:lastColumn="0" w:noHBand="0" w:noVBand="1"/>
      </w:tblPr>
      <w:tblGrid>
        <w:gridCol w:w="5813"/>
        <w:gridCol w:w="1700"/>
        <w:gridCol w:w="1932"/>
        <w:gridCol w:w="1182"/>
      </w:tblGrid>
      <w:tr w:rsidR="00C311AE" w:rsidRPr="00C311AE" w14:paraId="2AC4F7A9" w14:textId="77777777" w:rsidTr="00C311AE">
        <w:trPr>
          <w:trHeight w:val="324"/>
        </w:trPr>
        <w:tc>
          <w:tcPr>
            <w:tcW w:w="2735" w:type="pct"/>
            <w:shd w:val="clear" w:color="auto" w:fill="auto"/>
            <w:noWrap/>
            <w:vAlign w:val="bottom"/>
            <w:hideMark/>
          </w:tcPr>
          <w:p w14:paraId="2566D49C" w14:textId="77777777" w:rsidR="00C24B3B" w:rsidRPr="00C311AE" w:rsidRDefault="00C24B3B" w:rsidP="00020CC7">
            <w:pPr>
              <w:snapToGrid w:val="0"/>
              <w:spacing w:line="360" w:lineRule="auto"/>
              <w:jc w:val="both"/>
              <w:rPr>
                <w:rFonts w:ascii="Book Antiqua" w:hAnsi="Book Antiqua" w:cs="Arial"/>
                <w:b/>
                <w:bCs/>
              </w:rPr>
            </w:pPr>
            <w:r w:rsidRPr="00C311AE">
              <w:rPr>
                <w:rFonts w:ascii="Book Antiqua" w:hAnsi="Book Antiqua" w:cs="Arial"/>
                <w:b/>
                <w:bCs/>
              </w:rPr>
              <w:t>Symptom</w:t>
            </w:r>
          </w:p>
        </w:tc>
        <w:tc>
          <w:tcPr>
            <w:tcW w:w="800" w:type="pct"/>
            <w:shd w:val="clear" w:color="auto" w:fill="auto"/>
            <w:noWrap/>
            <w:vAlign w:val="bottom"/>
            <w:hideMark/>
          </w:tcPr>
          <w:p w14:paraId="489F61DF" w14:textId="49FC1616" w:rsidR="00C24B3B" w:rsidRPr="00C311AE" w:rsidRDefault="00C311AE" w:rsidP="00020CC7">
            <w:pPr>
              <w:snapToGrid w:val="0"/>
              <w:spacing w:line="360" w:lineRule="auto"/>
              <w:jc w:val="both"/>
              <w:rPr>
                <w:rFonts w:ascii="Book Antiqua" w:eastAsiaTheme="minorEastAsia" w:hAnsi="Book Antiqua" w:cs="Arial"/>
                <w:b/>
                <w:bCs/>
                <w:lang w:eastAsia="zh-CN"/>
              </w:rPr>
            </w:pPr>
            <w:r w:rsidRPr="00C311AE">
              <w:rPr>
                <w:rFonts w:ascii="Book Antiqua" w:hAnsi="Book Antiqua" w:cs="Arial"/>
                <w:b/>
                <w:bCs/>
              </w:rPr>
              <w:t>GpCO</w:t>
            </w:r>
          </w:p>
        </w:tc>
        <w:tc>
          <w:tcPr>
            <w:tcW w:w="909" w:type="pct"/>
            <w:shd w:val="clear" w:color="auto" w:fill="auto"/>
            <w:noWrap/>
            <w:vAlign w:val="bottom"/>
            <w:hideMark/>
          </w:tcPr>
          <w:p w14:paraId="66366C7D" w14:textId="66E81C0A" w:rsidR="00C24B3B" w:rsidRPr="00C311AE" w:rsidRDefault="00C311AE" w:rsidP="00020CC7">
            <w:pPr>
              <w:snapToGrid w:val="0"/>
              <w:spacing w:line="360" w:lineRule="auto"/>
              <w:jc w:val="both"/>
              <w:rPr>
                <w:rFonts w:ascii="Book Antiqua" w:eastAsiaTheme="minorEastAsia" w:hAnsi="Book Antiqua" w:cs="Arial"/>
                <w:b/>
                <w:bCs/>
                <w:lang w:eastAsia="zh-CN"/>
              </w:rPr>
            </w:pPr>
            <w:r w:rsidRPr="00C311AE">
              <w:rPr>
                <w:rFonts w:ascii="Book Antiqua" w:hAnsi="Book Antiqua" w:cs="Arial"/>
                <w:b/>
                <w:bCs/>
              </w:rPr>
              <w:t>GpNO</w:t>
            </w:r>
          </w:p>
        </w:tc>
        <w:tc>
          <w:tcPr>
            <w:tcW w:w="556" w:type="pct"/>
            <w:shd w:val="clear" w:color="auto" w:fill="auto"/>
            <w:noWrap/>
            <w:vAlign w:val="bottom"/>
            <w:hideMark/>
          </w:tcPr>
          <w:p w14:paraId="50ECE2C8" w14:textId="77777777" w:rsidR="00C24B3B" w:rsidRPr="00C311AE" w:rsidRDefault="00C24B3B" w:rsidP="00020CC7">
            <w:pPr>
              <w:snapToGrid w:val="0"/>
              <w:spacing w:line="360" w:lineRule="auto"/>
              <w:jc w:val="both"/>
              <w:rPr>
                <w:rFonts w:ascii="Book Antiqua" w:hAnsi="Book Antiqua" w:cs="Arial"/>
                <w:b/>
                <w:bCs/>
              </w:rPr>
            </w:pPr>
            <w:r w:rsidRPr="00C311AE">
              <w:rPr>
                <w:rFonts w:ascii="Book Antiqua" w:hAnsi="Book Antiqua" w:cs="Arial"/>
                <w:b/>
                <w:bCs/>
                <w:i/>
                <w:caps/>
              </w:rPr>
              <w:t xml:space="preserve">p </w:t>
            </w:r>
            <w:r w:rsidRPr="00C311AE">
              <w:rPr>
                <w:rFonts w:ascii="Book Antiqua" w:hAnsi="Book Antiqua" w:cs="Arial"/>
                <w:b/>
                <w:bCs/>
              </w:rPr>
              <w:t>value</w:t>
            </w:r>
          </w:p>
        </w:tc>
      </w:tr>
      <w:tr w:rsidR="00C311AE" w:rsidRPr="00C311AE" w14:paraId="342F1BA4" w14:textId="77777777" w:rsidTr="00C311AE">
        <w:trPr>
          <w:trHeight w:val="324"/>
        </w:trPr>
        <w:tc>
          <w:tcPr>
            <w:tcW w:w="2735" w:type="pct"/>
            <w:tcBorders>
              <w:bottom w:val="nil"/>
            </w:tcBorders>
            <w:shd w:val="clear" w:color="auto" w:fill="auto"/>
            <w:noWrap/>
            <w:hideMark/>
          </w:tcPr>
          <w:p w14:paraId="615DE28A"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Post-prandial fullness interfering with activities</w:t>
            </w:r>
          </w:p>
        </w:tc>
        <w:tc>
          <w:tcPr>
            <w:tcW w:w="800" w:type="pct"/>
            <w:tcBorders>
              <w:bottom w:val="nil"/>
            </w:tcBorders>
            <w:shd w:val="clear" w:color="auto" w:fill="auto"/>
            <w:noWrap/>
            <w:hideMark/>
          </w:tcPr>
          <w:p w14:paraId="69C8A14C"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81.6% (31/38)</w:t>
            </w:r>
          </w:p>
        </w:tc>
        <w:tc>
          <w:tcPr>
            <w:tcW w:w="909" w:type="pct"/>
            <w:tcBorders>
              <w:bottom w:val="nil"/>
            </w:tcBorders>
            <w:shd w:val="clear" w:color="auto" w:fill="auto"/>
            <w:noWrap/>
            <w:hideMark/>
          </w:tcPr>
          <w:p w14:paraId="50E0C04B"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78.7% (118/150)</w:t>
            </w:r>
          </w:p>
        </w:tc>
        <w:tc>
          <w:tcPr>
            <w:tcW w:w="556" w:type="pct"/>
            <w:tcBorders>
              <w:bottom w:val="nil"/>
            </w:tcBorders>
            <w:shd w:val="clear" w:color="auto" w:fill="auto"/>
            <w:noWrap/>
            <w:hideMark/>
          </w:tcPr>
          <w:p w14:paraId="593DD55C"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0.692</w:t>
            </w:r>
          </w:p>
        </w:tc>
      </w:tr>
      <w:tr w:rsidR="00C311AE" w:rsidRPr="00C311AE" w14:paraId="592FA5D7" w14:textId="77777777" w:rsidTr="00C311AE">
        <w:trPr>
          <w:trHeight w:val="324"/>
        </w:trPr>
        <w:tc>
          <w:tcPr>
            <w:tcW w:w="2735" w:type="pct"/>
            <w:tcBorders>
              <w:top w:val="nil"/>
              <w:bottom w:val="nil"/>
            </w:tcBorders>
            <w:shd w:val="clear" w:color="auto" w:fill="auto"/>
            <w:noWrap/>
            <w:hideMark/>
          </w:tcPr>
          <w:p w14:paraId="0E4427AA"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Unable to finish regular sized meal due to fullness</w:t>
            </w:r>
          </w:p>
        </w:tc>
        <w:tc>
          <w:tcPr>
            <w:tcW w:w="800" w:type="pct"/>
            <w:tcBorders>
              <w:top w:val="nil"/>
              <w:bottom w:val="nil"/>
            </w:tcBorders>
            <w:shd w:val="clear" w:color="auto" w:fill="auto"/>
            <w:noWrap/>
            <w:hideMark/>
          </w:tcPr>
          <w:p w14:paraId="67B26A5D"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84.6% (33/39)</w:t>
            </w:r>
          </w:p>
        </w:tc>
        <w:tc>
          <w:tcPr>
            <w:tcW w:w="909" w:type="pct"/>
            <w:tcBorders>
              <w:top w:val="nil"/>
              <w:bottom w:val="nil"/>
            </w:tcBorders>
            <w:shd w:val="clear" w:color="auto" w:fill="auto"/>
            <w:noWrap/>
            <w:hideMark/>
          </w:tcPr>
          <w:p w14:paraId="42A7682C"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79.1% (117/148)</w:t>
            </w:r>
          </w:p>
        </w:tc>
        <w:tc>
          <w:tcPr>
            <w:tcW w:w="556" w:type="pct"/>
            <w:tcBorders>
              <w:top w:val="nil"/>
              <w:bottom w:val="nil"/>
            </w:tcBorders>
            <w:shd w:val="clear" w:color="auto" w:fill="auto"/>
            <w:noWrap/>
            <w:hideMark/>
          </w:tcPr>
          <w:p w14:paraId="2B543986"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0.438</w:t>
            </w:r>
          </w:p>
        </w:tc>
      </w:tr>
      <w:tr w:rsidR="00C311AE" w:rsidRPr="00C311AE" w14:paraId="1856FD1B" w14:textId="77777777" w:rsidTr="00C311AE">
        <w:trPr>
          <w:trHeight w:val="324"/>
        </w:trPr>
        <w:tc>
          <w:tcPr>
            <w:tcW w:w="2735" w:type="pct"/>
            <w:tcBorders>
              <w:top w:val="nil"/>
              <w:bottom w:val="nil"/>
            </w:tcBorders>
            <w:shd w:val="clear" w:color="auto" w:fill="auto"/>
            <w:noWrap/>
            <w:hideMark/>
          </w:tcPr>
          <w:p w14:paraId="13FA12FB"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Epigastric pain/burning interfering with activities</w:t>
            </w:r>
          </w:p>
        </w:tc>
        <w:tc>
          <w:tcPr>
            <w:tcW w:w="800" w:type="pct"/>
            <w:tcBorders>
              <w:top w:val="nil"/>
              <w:bottom w:val="nil"/>
            </w:tcBorders>
            <w:shd w:val="clear" w:color="auto" w:fill="auto"/>
            <w:noWrap/>
            <w:hideMark/>
          </w:tcPr>
          <w:p w14:paraId="7BB6F3E8"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75.0% (30/40)</w:t>
            </w:r>
          </w:p>
        </w:tc>
        <w:tc>
          <w:tcPr>
            <w:tcW w:w="909" w:type="pct"/>
            <w:tcBorders>
              <w:top w:val="nil"/>
              <w:bottom w:val="nil"/>
            </w:tcBorders>
            <w:shd w:val="clear" w:color="auto" w:fill="auto"/>
            <w:noWrap/>
            <w:hideMark/>
          </w:tcPr>
          <w:p w14:paraId="34B80B7C"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66.9% (103/154)</w:t>
            </w:r>
          </w:p>
        </w:tc>
        <w:tc>
          <w:tcPr>
            <w:tcW w:w="556" w:type="pct"/>
            <w:tcBorders>
              <w:top w:val="nil"/>
              <w:bottom w:val="nil"/>
            </w:tcBorders>
            <w:shd w:val="clear" w:color="auto" w:fill="auto"/>
            <w:noWrap/>
            <w:hideMark/>
          </w:tcPr>
          <w:p w14:paraId="139D65CC"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0.324</w:t>
            </w:r>
          </w:p>
        </w:tc>
      </w:tr>
      <w:tr w:rsidR="00C311AE" w:rsidRPr="00C311AE" w14:paraId="0DA922BC" w14:textId="77777777" w:rsidTr="00C311AE">
        <w:trPr>
          <w:trHeight w:val="324"/>
        </w:trPr>
        <w:tc>
          <w:tcPr>
            <w:tcW w:w="2735" w:type="pct"/>
            <w:tcBorders>
              <w:top w:val="nil"/>
              <w:bottom w:val="nil"/>
            </w:tcBorders>
            <w:shd w:val="clear" w:color="auto" w:fill="auto"/>
            <w:noWrap/>
            <w:hideMark/>
          </w:tcPr>
          <w:p w14:paraId="5C38BEE9"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Nausea interfering with activities</w:t>
            </w:r>
          </w:p>
        </w:tc>
        <w:tc>
          <w:tcPr>
            <w:tcW w:w="800" w:type="pct"/>
            <w:tcBorders>
              <w:top w:val="nil"/>
              <w:bottom w:val="nil"/>
            </w:tcBorders>
            <w:shd w:val="clear" w:color="auto" w:fill="auto"/>
            <w:noWrap/>
            <w:hideMark/>
          </w:tcPr>
          <w:p w14:paraId="0800E324"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92.5% (37/40)</w:t>
            </w:r>
          </w:p>
        </w:tc>
        <w:tc>
          <w:tcPr>
            <w:tcW w:w="909" w:type="pct"/>
            <w:tcBorders>
              <w:top w:val="nil"/>
              <w:bottom w:val="nil"/>
            </w:tcBorders>
            <w:shd w:val="clear" w:color="auto" w:fill="auto"/>
            <w:noWrap/>
            <w:hideMark/>
          </w:tcPr>
          <w:p w14:paraId="25167E2C"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76.0% (117/154)</w:t>
            </w:r>
          </w:p>
        </w:tc>
        <w:tc>
          <w:tcPr>
            <w:tcW w:w="556" w:type="pct"/>
            <w:tcBorders>
              <w:top w:val="nil"/>
              <w:bottom w:val="nil"/>
            </w:tcBorders>
            <w:shd w:val="clear" w:color="auto" w:fill="auto"/>
            <w:noWrap/>
            <w:hideMark/>
          </w:tcPr>
          <w:p w14:paraId="6AF32A42"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0.021</w:t>
            </w:r>
          </w:p>
        </w:tc>
      </w:tr>
      <w:tr w:rsidR="00C311AE" w:rsidRPr="00C311AE" w14:paraId="6082FE44" w14:textId="77777777" w:rsidTr="00C311AE">
        <w:trPr>
          <w:trHeight w:val="324"/>
        </w:trPr>
        <w:tc>
          <w:tcPr>
            <w:tcW w:w="2735" w:type="pct"/>
            <w:tcBorders>
              <w:top w:val="nil"/>
              <w:bottom w:val="nil"/>
            </w:tcBorders>
            <w:shd w:val="clear" w:color="auto" w:fill="auto"/>
            <w:noWrap/>
            <w:hideMark/>
          </w:tcPr>
          <w:p w14:paraId="2CA64A68"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Vomiting</w:t>
            </w:r>
          </w:p>
        </w:tc>
        <w:tc>
          <w:tcPr>
            <w:tcW w:w="800" w:type="pct"/>
            <w:tcBorders>
              <w:top w:val="nil"/>
              <w:bottom w:val="nil"/>
            </w:tcBorders>
            <w:shd w:val="clear" w:color="auto" w:fill="auto"/>
            <w:noWrap/>
            <w:hideMark/>
          </w:tcPr>
          <w:p w14:paraId="028155E5"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70.7% (29/41)</w:t>
            </w:r>
          </w:p>
        </w:tc>
        <w:tc>
          <w:tcPr>
            <w:tcW w:w="909" w:type="pct"/>
            <w:tcBorders>
              <w:top w:val="nil"/>
              <w:bottom w:val="nil"/>
            </w:tcBorders>
            <w:shd w:val="clear" w:color="auto" w:fill="auto"/>
            <w:noWrap/>
            <w:hideMark/>
          </w:tcPr>
          <w:p w14:paraId="36C8EB10"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50.6% (78/154)</w:t>
            </w:r>
          </w:p>
        </w:tc>
        <w:tc>
          <w:tcPr>
            <w:tcW w:w="556" w:type="pct"/>
            <w:tcBorders>
              <w:top w:val="nil"/>
              <w:bottom w:val="nil"/>
            </w:tcBorders>
            <w:shd w:val="clear" w:color="auto" w:fill="auto"/>
            <w:noWrap/>
            <w:hideMark/>
          </w:tcPr>
          <w:p w14:paraId="54EE997C"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0.022</w:t>
            </w:r>
          </w:p>
        </w:tc>
      </w:tr>
      <w:tr w:rsidR="00C311AE" w:rsidRPr="00C311AE" w14:paraId="7ED5A82C" w14:textId="77777777" w:rsidTr="00C311AE">
        <w:trPr>
          <w:trHeight w:val="324"/>
        </w:trPr>
        <w:tc>
          <w:tcPr>
            <w:tcW w:w="2735" w:type="pct"/>
            <w:tcBorders>
              <w:top w:val="nil"/>
              <w:bottom w:val="nil"/>
            </w:tcBorders>
            <w:shd w:val="clear" w:color="auto" w:fill="auto"/>
            <w:noWrap/>
          </w:tcPr>
          <w:p w14:paraId="1C6156D7"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Bloating or stomach distension</w:t>
            </w:r>
          </w:p>
        </w:tc>
        <w:tc>
          <w:tcPr>
            <w:tcW w:w="800" w:type="pct"/>
            <w:tcBorders>
              <w:top w:val="nil"/>
              <w:bottom w:val="nil"/>
            </w:tcBorders>
            <w:shd w:val="clear" w:color="auto" w:fill="auto"/>
            <w:noWrap/>
          </w:tcPr>
          <w:p w14:paraId="5D4D2B4E"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72.5% (29/40)</w:t>
            </w:r>
          </w:p>
        </w:tc>
        <w:tc>
          <w:tcPr>
            <w:tcW w:w="909" w:type="pct"/>
            <w:tcBorders>
              <w:top w:val="nil"/>
              <w:bottom w:val="nil"/>
            </w:tcBorders>
            <w:shd w:val="clear" w:color="auto" w:fill="auto"/>
            <w:noWrap/>
          </w:tcPr>
          <w:p w14:paraId="748327D3"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68.8% (106/154)</w:t>
            </w:r>
          </w:p>
        </w:tc>
        <w:tc>
          <w:tcPr>
            <w:tcW w:w="556" w:type="pct"/>
            <w:tcBorders>
              <w:top w:val="nil"/>
              <w:bottom w:val="nil"/>
            </w:tcBorders>
            <w:shd w:val="clear" w:color="auto" w:fill="auto"/>
            <w:noWrap/>
          </w:tcPr>
          <w:p w14:paraId="669BB758"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0.653</w:t>
            </w:r>
          </w:p>
        </w:tc>
      </w:tr>
      <w:tr w:rsidR="00C311AE" w:rsidRPr="00C311AE" w14:paraId="6D65FFE3" w14:textId="77777777" w:rsidTr="00C311AE">
        <w:trPr>
          <w:trHeight w:val="324"/>
        </w:trPr>
        <w:tc>
          <w:tcPr>
            <w:tcW w:w="2735" w:type="pct"/>
            <w:tcBorders>
              <w:top w:val="nil"/>
              <w:bottom w:val="single" w:sz="8" w:space="0" w:color="auto"/>
            </w:tcBorders>
            <w:shd w:val="clear" w:color="auto" w:fill="auto"/>
            <w:noWrap/>
            <w:hideMark/>
          </w:tcPr>
          <w:p w14:paraId="65A18DD4"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Belching interfering with activities</w:t>
            </w:r>
          </w:p>
        </w:tc>
        <w:tc>
          <w:tcPr>
            <w:tcW w:w="800" w:type="pct"/>
            <w:tcBorders>
              <w:top w:val="nil"/>
              <w:bottom w:val="single" w:sz="8" w:space="0" w:color="auto"/>
            </w:tcBorders>
            <w:shd w:val="clear" w:color="auto" w:fill="auto"/>
            <w:noWrap/>
            <w:hideMark/>
          </w:tcPr>
          <w:p w14:paraId="01CAE2F3"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62.5% (25/40)</w:t>
            </w:r>
          </w:p>
        </w:tc>
        <w:tc>
          <w:tcPr>
            <w:tcW w:w="909" w:type="pct"/>
            <w:tcBorders>
              <w:top w:val="nil"/>
              <w:bottom w:val="single" w:sz="8" w:space="0" w:color="auto"/>
            </w:tcBorders>
            <w:shd w:val="clear" w:color="auto" w:fill="auto"/>
            <w:noWrap/>
            <w:hideMark/>
          </w:tcPr>
          <w:p w14:paraId="5F712B17"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51.3% (79/154)</w:t>
            </w:r>
          </w:p>
        </w:tc>
        <w:tc>
          <w:tcPr>
            <w:tcW w:w="556" w:type="pct"/>
            <w:tcBorders>
              <w:top w:val="nil"/>
              <w:bottom w:val="single" w:sz="8" w:space="0" w:color="auto"/>
            </w:tcBorders>
            <w:shd w:val="clear" w:color="auto" w:fill="auto"/>
            <w:noWrap/>
            <w:hideMark/>
          </w:tcPr>
          <w:p w14:paraId="138EEEA6"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0.206</w:t>
            </w:r>
          </w:p>
        </w:tc>
      </w:tr>
    </w:tbl>
    <w:p w14:paraId="6814497C" w14:textId="4FA6EF3C" w:rsidR="00C24B3B" w:rsidRPr="00C311AE" w:rsidRDefault="00C24B3B" w:rsidP="00020CC7">
      <w:pPr>
        <w:snapToGrid w:val="0"/>
        <w:spacing w:line="360" w:lineRule="auto"/>
        <w:jc w:val="both"/>
        <w:rPr>
          <w:rFonts w:ascii="Book Antiqua" w:eastAsiaTheme="minorEastAsia" w:hAnsi="Book Antiqua" w:cs="Arial"/>
          <w:lang w:eastAsia="zh-CN"/>
        </w:rPr>
      </w:pPr>
      <w:r w:rsidRPr="00C311AE">
        <w:rPr>
          <w:rFonts w:ascii="Book Antiqua" w:hAnsi="Book Antiqua" w:cs="Arial"/>
        </w:rPr>
        <w:t>GpCO</w:t>
      </w:r>
      <w:r w:rsidR="00C311AE" w:rsidRPr="00C311AE">
        <w:rPr>
          <w:rFonts w:ascii="Book Antiqua" w:eastAsiaTheme="minorEastAsia" w:hAnsi="Book Antiqua" w:cs="Arial" w:hint="eastAsia"/>
          <w:lang w:eastAsia="zh-CN"/>
        </w:rPr>
        <w:t xml:space="preserve">: </w:t>
      </w:r>
      <w:r w:rsidRPr="00C311AE">
        <w:rPr>
          <w:rFonts w:ascii="Book Antiqua" w:hAnsi="Book Antiqua" w:cs="Arial"/>
        </w:rPr>
        <w:t>Gastroparesis patients on chronic opioids</w:t>
      </w:r>
      <w:r w:rsidR="00C311AE" w:rsidRPr="00C311AE">
        <w:rPr>
          <w:rFonts w:ascii="Book Antiqua" w:eastAsiaTheme="minorEastAsia" w:hAnsi="Book Antiqua" w:cs="Arial" w:hint="eastAsia"/>
          <w:lang w:eastAsia="zh-CN"/>
        </w:rPr>
        <w:t xml:space="preserve">; </w:t>
      </w:r>
      <w:r w:rsidRPr="00C311AE">
        <w:rPr>
          <w:rFonts w:ascii="Book Antiqua" w:hAnsi="Book Antiqua" w:cs="Arial"/>
        </w:rPr>
        <w:t>GpNO</w:t>
      </w:r>
      <w:r w:rsidR="00C311AE" w:rsidRPr="00C311AE">
        <w:rPr>
          <w:rFonts w:ascii="Book Antiqua" w:eastAsiaTheme="minorEastAsia" w:hAnsi="Book Antiqua" w:cs="Arial" w:hint="eastAsia"/>
          <w:lang w:eastAsia="zh-CN"/>
        </w:rPr>
        <w:t xml:space="preserve">: </w:t>
      </w:r>
      <w:r w:rsidRPr="00C311AE">
        <w:rPr>
          <w:rFonts w:ascii="Book Antiqua" w:hAnsi="Book Antiqua" w:cs="Arial"/>
        </w:rPr>
        <w:t>Gastro</w:t>
      </w:r>
      <w:r w:rsidR="00C311AE" w:rsidRPr="00C311AE">
        <w:rPr>
          <w:rFonts w:ascii="Book Antiqua" w:hAnsi="Book Antiqua" w:cs="Arial"/>
        </w:rPr>
        <w:t>paresis patients not on opioids</w:t>
      </w:r>
      <w:r w:rsidR="00C311AE" w:rsidRPr="00C311AE">
        <w:rPr>
          <w:rFonts w:ascii="Book Antiqua" w:eastAsiaTheme="minorEastAsia" w:hAnsi="Book Antiqua" w:cs="Arial" w:hint="eastAsia"/>
          <w:lang w:eastAsia="zh-CN"/>
        </w:rPr>
        <w:t>.</w:t>
      </w:r>
    </w:p>
    <w:p w14:paraId="6D54118E" w14:textId="77777777" w:rsidR="00C24B3B" w:rsidRPr="00C311AE" w:rsidRDefault="00C24B3B" w:rsidP="00020CC7">
      <w:pPr>
        <w:snapToGrid w:val="0"/>
        <w:spacing w:line="360" w:lineRule="auto"/>
        <w:jc w:val="both"/>
        <w:rPr>
          <w:rFonts w:ascii="Book Antiqua" w:hAnsi="Book Antiqua" w:cs="Arial"/>
        </w:rPr>
      </w:pPr>
    </w:p>
    <w:p w14:paraId="723BB194" w14:textId="77777777" w:rsidR="007875F6" w:rsidRPr="00C311AE" w:rsidRDefault="007875F6" w:rsidP="00020CC7">
      <w:pPr>
        <w:snapToGrid w:val="0"/>
        <w:spacing w:line="360" w:lineRule="auto"/>
        <w:jc w:val="both"/>
        <w:rPr>
          <w:rFonts w:ascii="Book Antiqua" w:hAnsi="Book Antiqua" w:cs="Arial"/>
        </w:rPr>
      </w:pPr>
      <w:r w:rsidRPr="00C311AE">
        <w:rPr>
          <w:rFonts w:ascii="Book Antiqua" w:hAnsi="Book Antiqua" w:cs="Arial"/>
        </w:rPr>
        <w:br w:type="page"/>
      </w:r>
    </w:p>
    <w:p w14:paraId="4C8245F8" w14:textId="2EC4E495" w:rsidR="00C24B3B" w:rsidRPr="00C311AE" w:rsidRDefault="00C24B3B" w:rsidP="00020CC7">
      <w:pPr>
        <w:snapToGrid w:val="0"/>
        <w:spacing w:line="360" w:lineRule="auto"/>
        <w:jc w:val="both"/>
        <w:rPr>
          <w:rFonts w:ascii="Book Antiqua" w:eastAsiaTheme="minorEastAsia" w:hAnsi="Book Antiqua" w:cs="Arial"/>
          <w:b/>
          <w:lang w:eastAsia="zh-CN"/>
        </w:rPr>
      </w:pPr>
      <w:r w:rsidRPr="00C311AE">
        <w:rPr>
          <w:rFonts w:ascii="Book Antiqua" w:hAnsi="Book Antiqua" w:cs="Arial"/>
          <w:b/>
        </w:rPr>
        <w:lastRenderedPageBreak/>
        <w:t xml:space="preserve">Table </w:t>
      </w:r>
      <w:r w:rsidR="00E445F2" w:rsidRPr="00C311AE">
        <w:rPr>
          <w:rFonts w:ascii="Book Antiqua" w:hAnsi="Book Antiqua" w:cs="Arial"/>
          <w:b/>
        </w:rPr>
        <w:t>7</w:t>
      </w:r>
      <w:r w:rsidR="00C311AE" w:rsidRPr="00C311AE">
        <w:rPr>
          <w:rFonts w:ascii="Book Antiqua" w:eastAsiaTheme="minorEastAsia" w:hAnsi="Book Antiqua" w:cs="Arial" w:hint="eastAsia"/>
          <w:b/>
          <w:lang w:eastAsia="zh-CN"/>
        </w:rPr>
        <w:t xml:space="preserve"> </w:t>
      </w:r>
      <w:r w:rsidRPr="00C311AE">
        <w:rPr>
          <w:rFonts w:ascii="Book Antiqua" w:hAnsi="Book Antiqua" w:cs="Arial"/>
          <w:b/>
        </w:rPr>
        <w:t>Comparison of healthcare utilization between chronic opioid using gastroparesis patients a</w:t>
      </w:r>
      <w:r w:rsidR="00C311AE" w:rsidRPr="00C311AE">
        <w:rPr>
          <w:rFonts w:ascii="Book Antiqua" w:hAnsi="Book Antiqua" w:cs="Arial"/>
          <w:b/>
        </w:rPr>
        <w:t>nd patients with no opioid use</w:t>
      </w:r>
    </w:p>
    <w:tbl>
      <w:tblPr>
        <w:tblW w:w="10047" w:type="dxa"/>
        <w:tblInd w:w="98" w:type="dxa"/>
        <w:tblBorders>
          <w:top w:val="single" w:sz="8" w:space="0" w:color="auto"/>
          <w:insideH w:val="single" w:sz="8" w:space="0" w:color="auto"/>
        </w:tblBorders>
        <w:tblLook w:val="04A0" w:firstRow="1" w:lastRow="0" w:firstColumn="1" w:lastColumn="0" w:noHBand="0" w:noVBand="1"/>
      </w:tblPr>
      <w:tblGrid>
        <w:gridCol w:w="4830"/>
        <w:gridCol w:w="1984"/>
        <w:gridCol w:w="1985"/>
        <w:gridCol w:w="1248"/>
      </w:tblGrid>
      <w:tr w:rsidR="00C311AE" w:rsidRPr="00C311AE" w14:paraId="30EC22F0" w14:textId="77777777" w:rsidTr="00383EE2">
        <w:trPr>
          <w:trHeight w:val="389"/>
        </w:trPr>
        <w:tc>
          <w:tcPr>
            <w:tcW w:w="4830" w:type="dxa"/>
            <w:tcBorders>
              <w:right w:val="nil"/>
            </w:tcBorders>
            <w:shd w:val="clear" w:color="auto" w:fill="auto"/>
            <w:noWrap/>
            <w:vAlign w:val="bottom"/>
            <w:hideMark/>
          </w:tcPr>
          <w:p w14:paraId="247F758E" w14:textId="2A3B0D19" w:rsidR="00C24B3B" w:rsidRPr="00C311AE" w:rsidRDefault="00C24B3B" w:rsidP="00020CC7">
            <w:pPr>
              <w:snapToGrid w:val="0"/>
              <w:spacing w:line="360" w:lineRule="auto"/>
              <w:jc w:val="both"/>
              <w:rPr>
                <w:rFonts w:ascii="Book Antiqua" w:eastAsiaTheme="minorEastAsia" w:hAnsi="Book Antiqua" w:cs="Arial"/>
                <w:lang w:eastAsia="zh-CN"/>
              </w:rPr>
            </w:pPr>
          </w:p>
        </w:tc>
        <w:tc>
          <w:tcPr>
            <w:tcW w:w="1984" w:type="dxa"/>
            <w:tcBorders>
              <w:left w:val="nil"/>
              <w:right w:val="nil"/>
            </w:tcBorders>
            <w:shd w:val="clear" w:color="auto" w:fill="auto"/>
            <w:vAlign w:val="bottom"/>
            <w:hideMark/>
          </w:tcPr>
          <w:p w14:paraId="136166D5" w14:textId="4B3AEC1E" w:rsidR="00C24B3B" w:rsidRPr="00C311AE" w:rsidRDefault="00C311AE" w:rsidP="00020CC7">
            <w:pPr>
              <w:snapToGrid w:val="0"/>
              <w:spacing w:line="360" w:lineRule="auto"/>
              <w:jc w:val="both"/>
              <w:rPr>
                <w:rFonts w:ascii="Book Antiqua" w:hAnsi="Book Antiqua" w:cs="Arial"/>
                <w:b/>
                <w:bCs/>
              </w:rPr>
            </w:pPr>
            <w:r w:rsidRPr="00C311AE">
              <w:rPr>
                <w:rFonts w:ascii="Book Antiqua" w:hAnsi="Book Antiqua" w:cs="Arial"/>
                <w:b/>
                <w:bCs/>
              </w:rPr>
              <w:t>GpCO</w:t>
            </w:r>
            <w:r w:rsidRPr="00C311AE">
              <w:rPr>
                <w:rFonts w:ascii="Book Antiqua" w:eastAsiaTheme="minorEastAsia" w:hAnsi="Book Antiqua" w:cs="Arial" w:hint="eastAsia"/>
                <w:b/>
                <w:bCs/>
                <w:lang w:eastAsia="zh-CN"/>
              </w:rPr>
              <w:t xml:space="preserve"> </w:t>
            </w:r>
            <w:r w:rsidR="00C24B3B" w:rsidRPr="00C311AE">
              <w:rPr>
                <w:rFonts w:ascii="Book Antiqua" w:hAnsi="Book Antiqua" w:cs="Arial"/>
                <w:b/>
                <w:bCs/>
              </w:rPr>
              <w:t>(</w:t>
            </w:r>
            <w:r w:rsidR="00C24B3B" w:rsidRPr="00C311AE">
              <w:rPr>
                <w:rFonts w:ascii="Book Antiqua" w:hAnsi="Book Antiqua" w:cs="Arial"/>
                <w:b/>
                <w:bCs/>
                <w:i/>
              </w:rPr>
              <w:t>n</w:t>
            </w:r>
            <w:r w:rsidRPr="00C311AE">
              <w:rPr>
                <w:rFonts w:ascii="Book Antiqua" w:eastAsiaTheme="minorEastAsia" w:hAnsi="Book Antiqua" w:cs="Arial" w:hint="eastAsia"/>
                <w:b/>
                <w:bCs/>
                <w:lang w:eastAsia="zh-CN"/>
              </w:rPr>
              <w:t xml:space="preserve"> </w:t>
            </w:r>
            <w:r w:rsidR="00C24B3B" w:rsidRPr="00C311AE">
              <w:rPr>
                <w:rFonts w:ascii="Book Antiqua" w:hAnsi="Book Antiqua" w:cs="Arial"/>
                <w:b/>
                <w:bCs/>
              </w:rPr>
              <w:t>=</w:t>
            </w:r>
            <w:r w:rsidRPr="00C311AE">
              <w:rPr>
                <w:rFonts w:ascii="Book Antiqua" w:eastAsiaTheme="minorEastAsia" w:hAnsi="Book Antiqua" w:cs="Arial" w:hint="eastAsia"/>
                <w:b/>
                <w:bCs/>
                <w:lang w:eastAsia="zh-CN"/>
              </w:rPr>
              <w:t xml:space="preserve"> </w:t>
            </w:r>
            <w:r w:rsidR="00C24B3B" w:rsidRPr="00C311AE">
              <w:rPr>
                <w:rFonts w:ascii="Book Antiqua" w:hAnsi="Book Antiqua" w:cs="Arial"/>
                <w:b/>
                <w:bCs/>
              </w:rPr>
              <w:t>43)</w:t>
            </w:r>
          </w:p>
        </w:tc>
        <w:tc>
          <w:tcPr>
            <w:tcW w:w="1985" w:type="dxa"/>
            <w:tcBorders>
              <w:left w:val="nil"/>
              <w:right w:val="nil"/>
            </w:tcBorders>
            <w:shd w:val="clear" w:color="auto" w:fill="auto"/>
            <w:vAlign w:val="bottom"/>
            <w:hideMark/>
          </w:tcPr>
          <w:p w14:paraId="571C1702" w14:textId="7EC206ED" w:rsidR="00C24B3B" w:rsidRPr="00C311AE" w:rsidRDefault="00C311AE" w:rsidP="00020CC7">
            <w:pPr>
              <w:snapToGrid w:val="0"/>
              <w:spacing w:line="360" w:lineRule="auto"/>
              <w:jc w:val="both"/>
              <w:rPr>
                <w:rFonts w:ascii="Book Antiqua" w:hAnsi="Book Antiqua" w:cs="Arial"/>
                <w:b/>
                <w:bCs/>
              </w:rPr>
            </w:pPr>
            <w:r w:rsidRPr="00C311AE">
              <w:rPr>
                <w:rFonts w:ascii="Book Antiqua" w:hAnsi="Book Antiqua" w:cs="Arial"/>
                <w:b/>
                <w:bCs/>
              </w:rPr>
              <w:t>GpNO</w:t>
            </w:r>
            <w:r w:rsidRPr="00C311AE">
              <w:rPr>
                <w:rFonts w:ascii="Book Antiqua" w:eastAsiaTheme="minorEastAsia" w:hAnsi="Book Antiqua" w:cs="Arial" w:hint="eastAsia"/>
                <w:b/>
                <w:bCs/>
                <w:lang w:eastAsia="zh-CN"/>
              </w:rPr>
              <w:t xml:space="preserve"> </w:t>
            </w:r>
            <w:r w:rsidR="00C24B3B" w:rsidRPr="00C311AE">
              <w:rPr>
                <w:rFonts w:ascii="Book Antiqua" w:hAnsi="Book Antiqua" w:cs="Arial"/>
                <w:b/>
                <w:bCs/>
              </w:rPr>
              <w:t>(</w:t>
            </w:r>
            <w:r w:rsidRPr="00C311AE">
              <w:rPr>
                <w:rFonts w:ascii="Book Antiqua" w:hAnsi="Book Antiqua" w:cs="Arial"/>
                <w:b/>
                <w:bCs/>
                <w:i/>
              </w:rPr>
              <w:t>n</w:t>
            </w:r>
            <w:r w:rsidRPr="00C311AE">
              <w:rPr>
                <w:rFonts w:ascii="Book Antiqua" w:eastAsiaTheme="minorEastAsia" w:hAnsi="Book Antiqua" w:cs="Arial" w:hint="eastAsia"/>
                <w:b/>
                <w:bCs/>
                <w:lang w:eastAsia="zh-CN"/>
              </w:rPr>
              <w:t xml:space="preserve"> </w:t>
            </w:r>
            <w:r w:rsidR="00C24B3B" w:rsidRPr="00C311AE">
              <w:rPr>
                <w:rFonts w:ascii="Book Antiqua" w:hAnsi="Book Antiqua" w:cs="Arial"/>
                <w:b/>
                <w:bCs/>
              </w:rPr>
              <w:t>=</w:t>
            </w:r>
            <w:r w:rsidRPr="00C311AE">
              <w:rPr>
                <w:rFonts w:ascii="Book Antiqua" w:eastAsiaTheme="minorEastAsia" w:hAnsi="Book Antiqua" w:cs="Arial" w:hint="eastAsia"/>
                <w:b/>
                <w:bCs/>
                <w:lang w:eastAsia="zh-CN"/>
              </w:rPr>
              <w:t xml:space="preserve"> </w:t>
            </w:r>
            <w:r w:rsidR="00C24B3B" w:rsidRPr="00C311AE">
              <w:rPr>
                <w:rFonts w:ascii="Book Antiqua" w:hAnsi="Book Antiqua" w:cs="Arial"/>
                <w:b/>
                <w:bCs/>
              </w:rPr>
              <w:t>158)</w:t>
            </w:r>
          </w:p>
        </w:tc>
        <w:tc>
          <w:tcPr>
            <w:tcW w:w="1248" w:type="dxa"/>
            <w:tcBorders>
              <w:left w:val="nil"/>
            </w:tcBorders>
            <w:shd w:val="clear" w:color="auto" w:fill="auto"/>
            <w:vAlign w:val="bottom"/>
            <w:hideMark/>
          </w:tcPr>
          <w:p w14:paraId="6BAB97D1" w14:textId="77777777" w:rsidR="00C24B3B" w:rsidRPr="00C311AE" w:rsidRDefault="00C24B3B" w:rsidP="00020CC7">
            <w:pPr>
              <w:snapToGrid w:val="0"/>
              <w:spacing w:line="360" w:lineRule="auto"/>
              <w:jc w:val="both"/>
              <w:rPr>
                <w:rFonts w:ascii="Book Antiqua" w:hAnsi="Book Antiqua" w:cs="Arial"/>
                <w:b/>
                <w:bCs/>
              </w:rPr>
            </w:pPr>
            <w:r w:rsidRPr="00C311AE">
              <w:rPr>
                <w:rFonts w:ascii="Book Antiqua" w:hAnsi="Book Antiqua" w:cs="Arial"/>
                <w:b/>
                <w:bCs/>
                <w:i/>
                <w:caps/>
              </w:rPr>
              <w:t>p</w:t>
            </w:r>
            <w:r w:rsidRPr="00C311AE">
              <w:rPr>
                <w:rFonts w:ascii="Book Antiqua" w:hAnsi="Book Antiqua" w:cs="Arial"/>
                <w:b/>
                <w:bCs/>
              </w:rPr>
              <w:t xml:space="preserve"> value</w:t>
            </w:r>
          </w:p>
        </w:tc>
      </w:tr>
      <w:tr w:rsidR="00C311AE" w:rsidRPr="00C311AE" w14:paraId="136E186F" w14:textId="77777777" w:rsidTr="00383EE2">
        <w:trPr>
          <w:trHeight w:val="343"/>
        </w:trPr>
        <w:tc>
          <w:tcPr>
            <w:tcW w:w="4830" w:type="dxa"/>
            <w:tcBorders>
              <w:bottom w:val="nil"/>
              <w:right w:val="nil"/>
            </w:tcBorders>
            <w:shd w:val="clear" w:color="auto" w:fill="auto"/>
            <w:vAlign w:val="bottom"/>
          </w:tcPr>
          <w:p w14:paraId="6E052E52" w14:textId="63D57ACF"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ER visits in</w:t>
            </w:r>
            <w:r w:rsidR="00613E2E">
              <w:rPr>
                <w:rFonts w:ascii="Book Antiqua" w:hAnsi="Book Antiqua" w:cs="Arial"/>
              </w:rPr>
              <w:t xml:space="preserve"> last 1 y</w:t>
            </w:r>
            <w:r w:rsidRPr="00C311AE">
              <w:rPr>
                <w:rFonts w:ascii="Book Antiqua" w:hAnsi="Book Antiqua" w:cs="Arial"/>
              </w:rPr>
              <w:t xml:space="preserve">r from Gp </w:t>
            </w:r>
          </w:p>
        </w:tc>
        <w:tc>
          <w:tcPr>
            <w:tcW w:w="1984" w:type="dxa"/>
            <w:tcBorders>
              <w:left w:val="nil"/>
              <w:bottom w:val="nil"/>
              <w:right w:val="nil"/>
            </w:tcBorders>
            <w:shd w:val="clear" w:color="auto" w:fill="auto"/>
            <w:vAlign w:val="bottom"/>
          </w:tcPr>
          <w:p w14:paraId="57CEF786" w14:textId="70B855D4"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5.1</w:t>
            </w:r>
            <w:r w:rsidR="006868BB" w:rsidRPr="00C311AE">
              <w:rPr>
                <w:rFonts w:ascii="Book Antiqua" w:hAnsi="Book Antiqua" w:cs="Arial"/>
              </w:rPr>
              <w:t xml:space="preserve">3 </w:t>
            </w:r>
            <w:r w:rsidRPr="00C311AE">
              <w:rPr>
                <w:rFonts w:ascii="Book Antiqua" w:hAnsi="Book Antiqua" w:cs="Arial"/>
              </w:rPr>
              <w:t>±</w:t>
            </w:r>
            <w:r w:rsidR="006868BB" w:rsidRPr="00C311AE">
              <w:rPr>
                <w:rFonts w:ascii="Book Antiqua" w:hAnsi="Book Antiqua" w:cs="Arial"/>
              </w:rPr>
              <w:t xml:space="preserve"> 1.46</w:t>
            </w:r>
          </w:p>
        </w:tc>
        <w:tc>
          <w:tcPr>
            <w:tcW w:w="1985" w:type="dxa"/>
            <w:tcBorders>
              <w:left w:val="nil"/>
              <w:bottom w:val="nil"/>
              <w:right w:val="nil"/>
            </w:tcBorders>
            <w:shd w:val="clear" w:color="auto" w:fill="auto"/>
            <w:vAlign w:val="bottom"/>
          </w:tcPr>
          <w:p w14:paraId="39FAB3B6" w14:textId="2C0B3378"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3.7</w:t>
            </w:r>
            <w:r w:rsidR="006868BB" w:rsidRPr="00C311AE">
              <w:rPr>
                <w:rFonts w:ascii="Book Antiqua" w:hAnsi="Book Antiqua" w:cs="Arial"/>
              </w:rPr>
              <w:t>4 ± 0.65</w:t>
            </w:r>
          </w:p>
        </w:tc>
        <w:tc>
          <w:tcPr>
            <w:tcW w:w="1248" w:type="dxa"/>
            <w:tcBorders>
              <w:left w:val="nil"/>
              <w:bottom w:val="nil"/>
            </w:tcBorders>
            <w:shd w:val="clear" w:color="auto" w:fill="auto"/>
            <w:vAlign w:val="bottom"/>
          </w:tcPr>
          <w:p w14:paraId="61CD1366" w14:textId="77777777"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0.468</w:t>
            </w:r>
          </w:p>
        </w:tc>
      </w:tr>
      <w:tr w:rsidR="00C311AE" w:rsidRPr="00C311AE" w14:paraId="69167627" w14:textId="77777777" w:rsidTr="00383EE2">
        <w:trPr>
          <w:trHeight w:val="343"/>
        </w:trPr>
        <w:tc>
          <w:tcPr>
            <w:tcW w:w="4830" w:type="dxa"/>
            <w:tcBorders>
              <w:top w:val="nil"/>
              <w:bottom w:val="single" w:sz="8" w:space="0" w:color="auto"/>
              <w:right w:val="nil"/>
            </w:tcBorders>
            <w:shd w:val="clear" w:color="auto" w:fill="auto"/>
            <w:vAlign w:val="bottom"/>
          </w:tcPr>
          <w:p w14:paraId="01AC0EC7" w14:textId="2BC4CA41" w:rsidR="00C24B3B" w:rsidRPr="00C311AE" w:rsidRDefault="00C24B3B" w:rsidP="00020CC7">
            <w:pPr>
              <w:snapToGrid w:val="0"/>
              <w:spacing w:line="360" w:lineRule="auto"/>
              <w:jc w:val="both"/>
              <w:rPr>
                <w:rFonts w:ascii="Book Antiqua" w:hAnsi="Book Antiqua" w:cs="Arial"/>
              </w:rPr>
            </w:pPr>
            <w:r w:rsidRPr="00C311AE">
              <w:rPr>
                <w:rFonts w:ascii="Book Antiqua" w:hAnsi="Book Antiqua" w:cs="Arial"/>
              </w:rPr>
              <w:t>H</w:t>
            </w:r>
            <w:r w:rsidR="00613E2E">
              <w:rPr>
                <w:rFonts w:ascii="Book Antiqua" w:hAnsi="Book Antiqua" w:cs="Arial"/>
              </w:rPr>
              <w:t>ospital admissions in last 1 y</w:t>
            </w:r>
            <w:r w:rsidRPr="00C311AE">
              <w:rPr>
                <w:rFonts w:ascii="Book Antiqua" w:hAnsi="Book Antiqua" w:cs="Arial"/>
              </w:rPr>
              <w:t xml:space="preserve">r from Gp </w:t>
            </w:r>
          </w:p>
        </w:tc>
        <w:tc>
          <w:tcPr>
            <w:tcW w:w="1984" w:type="dxa"/>
            <w:tcBorders>
              <w:top w:val="nil"/>
              <w:left w:val="nil"/>
              <w:bottom w:val="single" w:sz="8" w:space="0" w:color="auto"/>
              <w:right w:val="nil"/>
            </w:tcBorders>
            <w:shd w:val="clear" w:color="auto" w:fill="auto"/>
            <w:vAlign w:val="bottom"/>
          </w:tcPr>
          <w:p w14:paraId="40BFA177" w14:textId="0FAC0D76"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2.9</w:t>
            </w:r>
            <w:r w:rsidR="00F74461" w:rsidRPr="00C311AE">
              <w:rPr>
                <w:rFonts w:ascii="Book Antiqua" w:hAnsi="Book Antiqua" w:cs="Arial"/>
                <w:bCs/>
              </w:rPr>
              <w:t xml:space="preserve">0 </w:t>
            </w:r>
            <w:r w:rsidR="00F74461" w:rsidRPr="00C311AE">
              <w:rPr>
                <w:rFonts w:ascii="Book Antiqua" w:hAnsi="Book Antiqua" w:cs="Arial"/>
              </w:rPr>
              <w:t>± 0.77</w:t>
            </w:r>
          </w:p>
        </w:tc>
        <w:tc>
          <w:tcPr>
            <w:tcW w:w="1985" w:type="dxa"/>
            <w:tcBorders>
              <w:top w:val="nil"/>
              <w:left w:val="nil"/>
              <w:bottom w:val="single" w:sz="8" w:space="0" w:color="auto"/>
              <w:right w:val="nil"/>
            </w:tcBorders>
            <w:shd w:val="clear" w:color="auto" w:fill="auto"/>
            <w:vAlign w:val="bottom"/>
          </w:tcPr>
          <w:p w14:paraId="12A21C6A" w14:textId="41605B7E" w:rsidR="00C24B3B" w:rsidRPr="00C311AE" w:rsidRDefault="00F74461" w:rsidP="00020CC7">
            <w:pPr>
              <w:snapToGrid w:val="0"/>
              <w:spacing w:line="360" w:lineRule="auto"/>
              <w:jc w:val="both"/>
              <w:rPr>
                <w:rFonts w:ascii="Book Antiqua" w:hAnsi="Book Antiqua" w:cs="Arial"/>
                <w:bCs/>
              </w:rPr>
            </w:pPr>
            <w:r w:rsidRPr="00C311AE">
              <w:rPr>
                <w:rFonts w:ascii="Book Antiqua" w:hAnsi="Book Antiqua" w:cs="Arial"/>
                <w:bCs/>
              </w:rPr>
              <w:t xml:space="preserve">1.26 </w:t>
            </w:r>
            <w:r w:rsidRPr="00C311AE">
              <w:rPr>
                <w:rFonts w:ascii="Book Antiqua" w:hAnsi="Book Antiqua" w:cs="Arial"/>
              </w:rPr>
              <w:t>± 0.23</w:t>
            </w:r>
          </w:p>
        </w:tc>
        <w:tc>
          <w:tcPr>
            <w:tcW w:w="1248" w:type="dxa"/>
            <w:tcBorders>
              <w:top w:val="nil"/>
              <w:left w:val="nil"/>
              <w:bottom w:val="single" w:sz="8" w:space="0" w:color="auto"/>
            </w:tcBorders>
            <w:shd w:val="clear" w:color="auto" w:fill="auto"/>
            <w:vAlign w:val="bottom"/>
          </w:tcPr>
          <w:p w14:paraId="7028D23E" w14:textId="77777777" w:rsidR="00C24B3B" w:rsidRPr="00C311AE" w:rsidRDefault="00C24B3B" w:rsidP="00020CC7">
            <w:pPr>
              <w:snapToGrid w:val="0"/>
              <w:spacing w:line="360" w:lineRule="auto"/>
              <w:jc w:val="both"/>
              <w:rPr>
                <w:rFonts w:ascii="Book Antiqua" w:hAnsi="Book Antiqua" w:cs="Arial"/>
                <w:bCs/>
              </w:rPr>
            </w:pPr>
            <w:r w:rsidRPr="00C311AE">
              <w:rPr>
                <w:rFonts w:ascii="Book Antiqua" w:hAnsi="Book Antiqua" w:cs="Arial"/>
                <w:bCs/>
              </w:rPr>
              <w:t>0.047</w:t>
            </w:r>
          </w:p>
        </w:tc>
      </w:tr>
    </w:tbl>
    <w:p w14:paraId="7DE813A8" w14:textId="2CFBBF8F" w:rsidR="007875F6" w:rsidRPr="00C311AE" w:rsidRDefault="00C311AE" w:rsidP="00020CC7">
      <w:pPr>
        <w:snapToGrid w:val="0"/>
        <w:spacing w:line="360" w:lineRule="auto"/>
        <w:jc w:val="both"/>
        <w:rPr>
          <w:rFonts w:ascii="Book Antiqua" w:eastAsiaTheme="minorEastAsia" w:hAnsi="Book Antiqua" w:cs="Arial"/>
          <w:b/>
          <w:lang w:eastAsia="zh-CN"/>
        </w:rPr>
      </w:pPr>
      <w:r w:rsidRPr="00C311AE">
        <w:rPr>
          <w:rFonts w:ascii="Book Antiqua" w:hAnsi="Book Antiqua" w:cs="Arial"/>
        </w:rPr>
        <w:t xml:space="preserve">Results expressed as mean ± </w:t>
      </w:r>
      <w:r w:rsidR="00020CC7">
        <w:rPr>
          <w:rFonts w:ascii="Book Antiqua" w:eastAsiaTheme="minorEastAsia" w:hAnsi="Book Antiqua" w:cs="Arial" w:hint="eastAsia"/>
          <w:lang w:eastAsia="zh-CN"/>
        </w:rPr>
        <w:t>SE</w:t>
      </w:r>
      <w:r w:rsidRPr="00C311AE">
        <w:rPr>
          <w:rFonts w:ascii="Book Antiqua" w:hAnsi="Book Antiqua" w:cs="Arial"/>
        </w:rPr>
        <w:t xml:space="preserve"> of mean</w:t>
      </w:r>
      <w:r w:rsidRPr="00C311AE">
        <w:rPr>
          <w:rFonts w:ascii="Book Antiqua" w:eastAsiaTheme="minorEastAsia" w:hAnsi="Book Antiqua" w:cs="Arial" w:hint="eastAsia"/>
          <w:b/>
          <w:lang w:eastAsia="zh-CN"/>
        </w:rPr>
        <w:t>.</w:t>
      </w:r>
      <w:r>
        <w:rPr>
          <w:rFonts w:ascii="Book Antiqua" w:eastAsiaTheme="minorEastAsia" w:hAnsi="Book Antiqua" w:cs="Arial" w:hint="eastAsia"/>
          <w:b/>
          <w:lang w:eastAsia="zh-CN"/>
        </w:rPr>
        <w:t xml:space="preserve"> </w:t>
      </w:r>
      <w:r w:rsidR="00C24B3B" w:rsidRPr="00C311AE">
        <w:rPr>
          <w:rFonts w:ascii="Book Antiqua" w:hAnsi="Book Antiqua" w:cs="Arial"/>
        </w:rPr>
        <w:t>ER</w:t>
      </w:r>
      <w:r w:rsidRPr="00C311AE">
        <w:rPr>
          <w:rFonts w:ascii="Book Antiqua" w:eastAsiaTheme="minorEastAsia" w:hAnsi="Book Antiqua" w:cs="Arial" w:hint="eastAsia"/>
          <w:lang w:eastAsia="zh-CN"/>
        </w:rPr>
        <w:t xml:space="preserve">: </w:t>
      </w:r>
      <w:r w:rsidR="00C24B3B" w:rsidRPr="00C311AE">
        <w:rPr>
          <w:rFonts w:ascii="Book Antiqua" w:hAnsi="Book Antiqua" w:cs="Arial"/>
        </w:rPr>
        <w:t xml:space="preserve">Emergency </w:t>
      </w:r>
      <w:r w:rsidRPr="00C311AE">
        <w:rPr>
          <w:rFonts w:ascii="Book Antiqua" w:hAnsi="Book Antiqua" w:cs="Arial"/>
        </w:rPr>
        <w:t>r</w:t>
      </w:r>
      <w:r w:rsidR="00C24B3B" w:rsidRPr="00C311AE">
        <w:rPr>
          <w:rFonts w:ascii="Book Antiqua" w:hAnsi="Book Antiqua" w:cs="Arial"/>
        </w:rPr>
        <w:t>oom</w:t>
      </w:r>
      <w:r w:rsidRPr="00C311AE">
        <w:rPr>
          <w:rFonts w:ascii="Book Antiqua" w:eastAsiaTheme="minorEastAsia" w:hAnsi="Book Antiqua" w:cs="Arial" w:hint="eastAsia"/>
          <w:lang w:eastAsia="zh-CN"/>
        </w:rPr>
        <w:t xml:space="preserve">; </w:t>
      </w:r>
      <w:r w:rsidR="00C24B3B" w:rsidRPr="00C311AE">
        <w:rPr>
          <w:rFonts w:ascii="Book Antiqua" w:hAnsi="Book Antiqua" w:cs="Arial"/>
        </w:rPr>
        <w:t>GpCO</w:t>
      </w:r>
      <w:r w:rsidRPr="00C311AE">
        <w:rPr>
          <w:rFonts w:ascii="Book Antiqua" w:eastAsiaTheme="minorEastAsia" w:hAnsi="Book Antiqua" w:cs="Arial" w:hint="eastAsia"/>
          <w:lang w:eastAsia="zh-CN"/>
        </w:rPr>
        <w:t xml:space="preserve">: </w:t>
      </w:r>
      <w:r w:rsidR="00C24B3B" w:rsidRPr="00C311AE">
        <w:rPr>
          <w:rFonts w:ascii="Book Antiqua" w:hAnsi="Book Antiqua" w:cs="Arial"/>
        </w:rPr>
        <w:t>Gastroparesis patients on chronic opioids</w:t>
      </w:r>
      <w:r w:rsidRPr="00C311AE">
        <w:rPr>
          <w:rFonts w:ascii="Book Antiqua" w:eastAsiaTheme="minorEastAsia" w:hAnsi="Book Antiqua" w:cs="Arial" w:hint="eastAsia"/>
          <w:lang w:eastAsia="zh-CN"/>
        </w:rPr>
        <w:t xml:space="preserve">; </w:t>
      </w:r>
      <w:r w:rsidRPr="00C311AE">
        <w:rPr>
          <w:rFonts w:ascii="Book Antiqua" w:hAnsi="Book Antiqua" w:cs="Arial"/>
        </w:rPr>
        <w:t>GpNO</w:t>
      </w:r>
      <w:r w:rsidRPr="00C311AE">
        <w:rPr>
          <w:rFonts w:ascii="Book Antiqua" w:eastAsiaTheme="minorEastAsia" w:hAnsi="Book Antiqua" w:cs="Arial" w:hint="eastAsia"/>
          <w:lang w:eastAsia="zh-CN"/>
        </w:rPr>
        <w:t xml:space="preserve">: </w:t>
      </w:r>
      <w:r w:rsidR="00C24B3B" w:rsidRPr="00C311AE">
        <w:rPr>
          <w:rFonts w:ascii="Book Antiqua" w:hAnsi="Book Antiqua" w:cs="Arial"/>
        </w:rPr>
        <w:t>Gastroparesis patients not on opioids</w:t>
      </w:r>
      <w:r w:rsidRPr="00C311AE">
        <w:rPr>
          <w:rFonts w:ascii="Book Antiqua" w:eastAsiaTheme="minorEastAsia" w:hAnsi="Book Antiqua" w:cs="Arial" w:hint="eastAsia"/>
          <w:lang w:eastAsia="zh-CN"/>
        </w:rPr>
        <w:t>.</w:t>
      </w:r>
    </w:p>
    <w:sectPr w:rsidR="007875F6" w:rsidRPr="00C311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16418" w14:textId="77777777" w:rsidR="0059799E" w:rsidRDefault="0059799E" w:rsidP="00402996">
      <w:r>
        <w:separator/>
      </w:r>
    </w:p>
  </w:endnote>
  <w:endnote w:type="continuationSeparator" w:id="0">
    <w:p w14:paraId="250D82B0" w14:textId="77777777" w:rsidR="0059799E" w:rsidRDefault="0059799E" w:rsidP="0040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AE6D0" w14:textId="77777777" w:rsidR="0059799E" w:rsidRDefault="0059799E" w:rsidP="00402996">
      <w:r>
        <w:separator/>
      </w:r>
    </w:p>
  </w:footnote>
  <w:footnote w:type="continuationSeparator" w:id="0">
    <w:p w14:paraId="5D0B7565" w14:textId="77777777" w:rsidR="0059799E" w:rsidRDefault="0059799E" w:rsidP="00402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10FB"/>
    <w:multiLevelType w:val="hybridMultilevel"/>
    <w:tmpl w:val="36CA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C5E5D"/>
    <w:multiLevelType w:val="hybridMultilevel"/>
    <w:tmpl w:val="D9DEC3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5317F4"/>
    <w:multiLevelType w:val="hybridMultilevel"/>
    <w:tmpl w:val="5FE2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C2"/>
    <w:rsid w:val="00001540"/>
    <w:rsid w:val="00002B12"/>
    <w:rsid w:val="00003E53"/>
    <w:rsid w:val="000042AE"/>
    <w:rsid w:val="00004597"/>
    <w:rsid w:val="00005CA5"/>
    <w:rsid w:val="00006322"/>
    <w:rsid w:val="00007E25"/>
    <w:rsid w:val="0001599A"/>
    <w:rsid w:val="00020989"/>
    <w:rsid w:val="00020CC7"/>
    <w:rsid w:val="000231F3"/>
    <w:rsid w:val="00024445"/>
    <w:rsid w:val="00026894"/>
    <w:rsid w:val="00027CB2"/>
    <w:rsid w:val="00030A44"/>
    <w:rsid w:val="0003348C"/>
    <w:rsid w:val="0004469F"/>
    <w:rsid w:val="000464C7"/>
    <w:rsid w:val="00051BE0"/>
    <w:rsid w:val="0005287D"/>
    <w:rsid w:val="0005358C"/>
    <w:rsid w:val="000555F0"/>
    <w:rsid w:val="00061D2A"/>
    <w:rsid w:val="000638F7"/>
    <w:rsid w:val="000649E2"/>
    <w:rsid w:val="0007133A"/>
    <w:rsid w:val="000741DA"/>
    <w:rsid w:val="00074BC5"/>
    <w:rsid w:val="0008150D"/>
    <w:rsid w:val="00084BD9"/>
    <w:rsid w:val="00084EF2"/>
    <w:rsid w:val="00085053"/>
    <w:rsid w:val="0008697C"/>
    <w:rsid w:val="0009677B"/>
    <w:rsid w:val="000A0C94"/>
    <w:rsid w:val="000A3F5B"/>
    <w:rsid w:val="000A5945"/>
    <w:rsid w:val="000B0C18"/>
    <w:rsid w:val="000B36EE"/>
    <w:rsid w:val="000B6131"/>
    <w:rsid w:val="000B6795"/>
    <w:rsid w:val="000B70CF"/>
    <w:rsid w:val="000C4AEA"/>
    <w:rsid w:val="000C5197"/>
    <w:rsid w:val="000C6872"/>
    <w:rsid w:val="000C7F07"/>
    <w:rsid w:val="000D3AB6"/>
    <w:rsid w:val="000D469B"/>
    <w:rsid w:val="000D72B2"/>
    <w:rsid w:val="000E4E8D"/>
    <w:rsid w:val="000E73D7"/>
    <w:rsid w:val="000F10DE"/>
    <w:rsid w:val="000F3C94"/>
    <w:rsid w:val="000F6C17"/>
    <w:rsid w:val="00100ACD"/>
    <w:rsid w:val="00104775"/>
    <w:rsid w:val="00104E13"/>
    <w:rsid w:val="001052CC"/>
    <w:rsid w:val="001120BB"/>
    <w:rsid w:val="00117600"/>
    <w:rsid w:val="00120310"/>
    <w:rsid w:val="001205D4"/>
    <w:rsid w:val="001236A8"/>
    <w:rsid w:val="00124914"/>
    <w:rsid w:val="001251AF"/>
    <w:rsid w:val="00126EC2"/>
    <w:rsid w:val="001301AF"/>
    <w:rsid w:val="001306DF"/>
    <w:rsid w:val="00130AAF"/>
    <w:rsid w:val="00133585"/>
    <w:rsid w:val="0013365D"/>
    <w:rsid w:val="001350CF"/>
    <w:rsid w:val="00136F38"/>
    <w:rsid w:val="00140CBB"/>
    <w:rsid w:val="00141984"/>
    <w:rsid w:val="001428C3"/>
    <w:rsid w:val="00143822"/>
    <w:rsid w:val="00147D28"/>
    <w:rsid w:val="00152A7F"/>
    <w:rsid w:val="0016391F"/>
    <w:rsid w:val="00163926"/>
    <w:rsid w:val="00173D48"/>
    <w:rsid w:val="00175E65"/>
    <w:rsid w:val="00176401"/>
    <w:rsid w:val="00176F29"/>
    <w:rsid w:val="00184105"/>
    <w:rsid w:val="00187D5D"/>
    <w:rsid w:val="00190691"/>
    <w:rsid w:val="00192C0B"/>
    <w:rsid w:val="001961AE"/>
    <w:rsid w:val="00197E2C"/>
    <w:rsid w:val="001A62BE"/>
    <w:rsid w:val="001A6E43"/>
    <w:rsid w:val="001A722D"/>
    <w:rsid w:val="001A72BF"/>
    <w:rsid w:val="001B3115"/>
    <w:rsid w:val="001B425C"/>
    <w:rsid w:val="001B6844"/>
    <w:rsid w:val="001C1D1B"/>
    <w:rsid w:val="001C5741"/>
    <w:rsid w:val="001D317E"/>
    <w:rsid w:val="001D7D80"/>
    <w:rsid w:val="001E140A"/>
    <w:rsid w:val="001E267D"/>
    <w:rsid w:val="001E682B"/>
    <w:rsid w:val="001E6B3E"/>
    <w:rsid w:val="001E7C4F"/>
    <w:rsid w:val="001E7FC5"/>
    <w:rsid w:val="001F6CEB"/>
    <w:rsid w:val="002013E2"/>
    <w:rsid w:val="0020263E"/>
    <w:rsid w:val="00203AF8"/>
    <w:rsid w:val="00206DAF"/>
    <w:rsid w:val="002173D3"/>
    <w:rsid w:val="002302BB"/>
    <w:rsid w:val="00231094"/>
    <w:rsid w:val="00232500"/>
    <w:rsid w:val="00237252"/>
    <w:rsid w:val="002402B3"/>
    <w:rsid w:val="00240901"/>
    <w:rsid w:val="00254B9D"/>
    <w:rsid w:val="00255C24"/>
    <w:rsid w:val="0026036D"/>
    <w:rsid w:val="00260E56"/>
    <w:rsid w:val="00261D46"/>
    <w:rsid w:val="0026347B"/>
    <w:rsid w:val="00263636"/>
    <w:rsid w:val="00263783"/>
    <w:rsid w:val="00266729"/>
    <w:rsid w:val="0027028B"/>
    <w:rsid w:val="00271585"/>
    <w:rsid w:val="00271D5B"/>
    <w:rsid w:val="00273188"/>
    <w:rsid w:val="002731E2"/>
    <w:rsid w:val="00273540"/>
    <w:rsid w:val="00273906"/>
    <w:rsid w:val="00273DD7"/>
    <w:rsid w:val="00274CD6"/>
    <w:rsid w:val="00276AC2"/>
    <w:rsid w:val="002842B9"/>
    <w:rsid w:val="00284817"/>
    <w:rsid w:val="00285B91"/>
    <w:rsid w:val="00286E81"/>
    <w:rsid w:val="002960C6"/>
    <w:rsid w:val="002971AA"/>
    <w:rsid w:val="002A1D53"/>
    <w:rsid w:val="002A3D12"/>
    <w:rsid w:val="002A7375"/>
    <w:rsid w:val="002A7B96"/>
    <w:rsid w:val="002A7D91"/>
    <w:rsid w:val="002B3068"/>
    <w:rsid w:val="002B43FA"/>
    <w:rsid w:val="002B5131"/>
    <w:rsid w:val="002C31CC"/>
    <w:rsid w:val="002C4020"/>
    <w:rsid w:val="002C497B"/>
    <w:rsid w:val="002C6880"/>
    <w:rsid w:val="002D5019"/>
    <w:rsid w:val="002E369F"/>
    <w:rsid w:val="002F775D"/>
    <w:rsid w:val="00315181"/>
    <w:rsid w:val="0031673A"/>
    <w:rsid w:val="00316D50"/>
    <w:rsid w:val="003235AE"/>
    <w:rsid w:val="00330D0C"/>
    <w:rsid w:val="00331AA7"/>
    <w:rsid w:val="00340D12"/>
    <w:rsid w:val="0035000C"/>
    <w:rsid w:val="00350C6E"/>
    <w:rsid w:val="00351E42"/>
    <w:rsid w:val="003521D1"/>
    <w:rsid w:val="0035240A"/>
    <w:rsid w:val="003533CD"/>
    <w:rsid w:val="0035346C"/>
    <w:rsid w:val="00355581"/>
    <w:rsid w:val="00356586"/>
    <w:rsid w:val="0035681A"/>
    <w:rsid w:val="00371C40"/>
    <w:rsid w:val="00374C25"/>
    <w:rsid w:val="00377628"/>
    <w:rsid w:val="003816FC"/>
    <w:rsid w:val="00381EF5"/>
    <w:rsid w:val="00382F61"/>
    <w:rsid w:val="00383EE2"/>
    <w:rsid w:val="0038763F"/>
    <w:rsid w:val="003906B4"/>
    <w:rsid w:val="00396A88"/>
    <w:rsid w:val="003A0C8B"/>
    <w:rsid w:val="003A0E71"/>
    <w:rsid w:val="003B4638"/>
    <w:rsid w:val="003D1FB4"/>
    <w:rsid w:val="003D5DE5"/>
    <w:rsid w:val="003D6D98"/>
    <w:rsid w:val="003E54E2"/>
    <w:rsid w:val="003E5548"/>
    <w:rsid w:val="003E58CA"/>
    <w:rsid w:val="00402996"/>
    <w:rsid w:val="00404220"/>
    <w:rsid w:val="00405601"/>
    <w:rsid w:val="004142B0"/>
    <w:rsid w:val="00415C7E"/>
    <w:rsid w:val="00420CE5"/>
    <w:rsid w:val="00422865"/>
    <w:rsid w:val="00424E73"/>
    <w:rsid w:val="0042626D"/>
    <w:rsid w:val="004301B4"/>
    <w:rsid w:val="0043090F"/>
    <w:rsid w:val="00433696"/>
    <w:rsid w:val="00437B72"/>
    <w:rsid w:val="00444F53"/>
    <w:rsid w:val="00445A19"/>
    <w:rsid w:val="00446495"/>
    <w:rsid w:val="00453FD2"/>
    <w:rsid w:val="0045594F"/>
    <w:rsid w:val="0046170C"/>
    <w:rsid w:val="00463240"/>
    <w:rsid w:val="00465D84"/>
    <w:rsid w:val="0047078B"/>
    <w:rsid w:val="004742F0"/>
    <w:rsid w:val="004869E8"/>
    <w:rsid w:val="00495A84"/>
    <w:rsid w:val="00497B7F"/>
    <w:rsid w:val="004A0F3F"/>
    <w:rsid w:val="004A4373"/>
    <w:rsid w:val="004A44C4"/>
    <w:rsid w:val="004A4DC5"/>
    <w:rsid w:val="004A5000"/>
    <w:rsid w:val="004A515E"/>
    <w:rsid w:val="004A5AC0"/>
    <w:rsid w:val="004B0D9B"/>
    <w:rsid w:val="004B2D74"/>
    <w:rsid w:val="004B566B"/>
    <w:rsid w:val="004B7781"/>
    <w:rsid w:val="004C45F8"/>
    <w:rsid w:val="004C6ED8"/>
    <w:rsid w:val="004C74A6"/>
    <w:rsid w:val="004C7D75"/>
    <w:rsid w:val="004D0D8D"/>
    <w:rsid w:val="004D1A39"/>
    <w:rsid w:val="004D2596"/>
    <w:rsid w:val="004D6606"/>
    <w:rsid w:val="004E2F7D"/>
    <w:rsid w:val="004E431F"/>
    <w:rsid w:val="004E66F8"/>
    <w:rsid w:val="004F060B"/>
    <w:rsid w:val="004F06C0"/>
    <w:rsid w:val="004F41F8"/>
    <w:rsid w:val="004F5C87"/>
    <w:rsid w:val="004F7BB7"/>
    <w:rsid w:val="00502F18"/>
    <w:rsid w:val="005056E4"/>
    <w:rsid w:val="005105C4"/>
    <w:rsid w:val="0051456D"/>
    <w:rsid w:val="00515B74"/>
    <w:rsid w:val="00520969"/>
    <w:rsid w:val="00522F5B"/>
    <w:rsid w:val="00524DBB"/>
    <w:rsid w:val="00525B37"/>
    <w:rsid w:val="00534C8E"/>
    <w:rsid w:val="00541811"/>
    <w:rsid w:val="0055191F"/>
    <w:rsid w:val="0055261D"/>
    <w:rsid w:val="00555C11"/>
    <w:rsid w:val="005577AD"/>
    <w:rsid w:val="0056009D"/>
    <w:rsid w:val="00562927"/>
    <w:rsid w:val="00564B07"/>
    <w:rsid w:val="00567C38"/>
    <w:rsid w:val="00567E56"/>
    <w:rsid w:val="00570813"/>
    <w:rsid w:val="00574116"/>
    <w:rsid w:val="00574282"/>
    <w:rsid w:val="005749C4"/>
    <w:rsid w:val="0057670C"/>
    <w:rsid w:val="00576BFA"/>
    <w:rsid w:val="005771C1"/>
    <w:rsid w:val="005778B8"/>
    <w:rsid w:val="0058237C"/>
    <w:rsid w:val="00582418"/>
    <w:rsid w:val="00583FD2"/>
    <w:rsid w:val="00584DF5"/>
    <w:rsid w:val="00593CA3"/>
    <w:rsid w:val="00593CF7"/>
    <w:rsid w:val="0059799E"/>
    <w:rsid w:val="005A29D1"/>
    <w:rsid w:val="005A531F"/>
    <w:rsid w:val="005B2E03"/>
    <w:rsid w:val="005B3F5B"/>
    <w:rsid w:val="005B7065"/>
    <w:rsid w:val="005C21F3"/>
    <w:rsid w:val="005C3CD1"/>
    <w:rsid w:val="005C4B8F"/>
    <w:rsid w:val="005D2633"/>
    <w:rsid w:val="005D3B3E"/>
    <w:rsid w:val="005D68BF"/>
    <w:rsid w:val="005E68DF"/>
    <w:rsid w:val="005F22E4"/>
    <w:rsid w:val="00600964"/>
    <w:rsid w:val="006028B3"/>
    <w:rsid w:val="0060493A"/>
    <w:rsid w:val="00613585"/>
    <w:rsid w:val="00613E2E"/>
    <w:rsid w:val="006142BE"/>
    <w:rsid w:val="00620EA3"/>
    <w:rsid w:val="00627B88"/>
    <w:rsid w:val="0063332F"/>
    <w:rsid w:val="00636041"/>
    <w:rsid w:val="00636E65"/>
    <w:rsid w:val="00636F7D"/>
    <w:rsid w:val="00637D29"/>
    <w:rsid w:val="00640A96"/>
    <w:rsid w:val="00642BD8"/>
    <w:rsid w:val="00643F2E"/>
    <w:rsid w:val="00644AA9"/>
    <w:rsid w:val="00646A48"/>
    <w:rsid w:val="00647AEA"/>
    <w:rsid w:val="00651677"/>
    <w:rsid w:val="0065173D"/>
    <w:rsid w:val="00653A50"/>
    <w:rsid w:val="00665A60"/>
    <w:rsid w:val="0067304A"/>
    <w:rsid w:val="00673129"/>
    <w:rsid w:val="006733E6"/>
    <w:rsid w:val="00680D19"/>
    <w:rsid w:val="006821C5"/>
    <w:rsid w:val="006853FD"/>
    <w:rsid w:val="006868BB"/>
    <w:rsid w:val="00691247"/>
    <w:rsid w:val="00692649"/>
    <w:rsid w:val="00694DC4"/>
    <w:rsid w:val="006A01C1"/>
    <w:rsid w:val="006A640C"/>
    <w:rsid w:val="006B21B6"/>
    <w:rsid w:val="006B2A0F"/>
    <w:rsid w:val="006B2AB3"/>
    <w:rsid w:val="006B650B"/>
    <w:rsid w:val="006B7C8D"/>
    <w:rsid w:val="006C1C6E"/>
    <w:rsid w:val="006C2F09"/>
    <w:rsid w:val="006C4195"/>
    <w:rsid w:val="006C69B0"/>
    <w:rsid w:val="006E36D7"/>
    <w:rsid w:val="006F127A"/>
    <w:rsid w:val="006F6025"/>
    <w:rsid w:val="007019A6"/>
    <w:rsid w:val="0070675A"/>
    <w:rsid w:val="00710CFA"/>
    <w:rsid w:val="00716C6A"/>
    <w:rsid w:val="00721CC9"/>
    <w:rsid w:val="0072356D"/>
    <w:rsid w:val="00730B36"/>
    <w:rsid w:val="00731957"/>
    <w:rsid w:val="007415E3"/>
    <w:rsid w:val="00741CE3"/>
    <w:rsid w:val="007460EE"/>
    <w:rsid w:val="007506C7"/>
    <w:rsid w:val="007531FD"/>
    <w:rsid w:val="007577B4"/>
    <w:rsid w:val="00757CC5"/>
    <w:rsid w:val="00760F56"/>
    <w:rsid w:val="007616D8"/>
    <w:rsid w:val="0076276E"/>
    <w:rsid w:val="00763088"/>
    <w:rsid w:val="00770519"/>
    <w:rsid w:val="00770575"/>
    <w:rsid w:val="0077119A"/>
    <w:rsid w:val="007737C7"/>
    <w:rsid w:val="00774664"/>
    <w:rsid w:val="007752A0"/>
    <w:rsid w:val="00775894"/>
    <w:rsid w:val="00784F1F"/>
    <w:rsid w:val="0078648C"/>
    <w:rsid w:val="007875F6"/>
    <w:rsid w:val="00790050"/>
    <w:rsid w:val="007940E6"/>
    <w:rsid w:val="007A090A"/>
    <w:rsid w:val="007A59DD"/>
    <w:rsid w:val="007A6B21"/>
    <w:rsid w:val="007A7087"/>
    <w:rsid w:val="007B3191"/>
    <w:rsid w:val="007B3E16"/>
    <w:rsid w:val="007B71DB"/>
    <w:rsid w:val="007C021C"/>
    <w:rsid w:val="007C2161"/>
    <w:rsid w:val="007C44C7"/>
    <w:rsid w:val="007C5807"/>
    <w:rsid w:val="007C74EB"/>
    <w:rsid w:val="007C768D"/>
    <w:rsid w:val="007D28BC"/>
    <w:rsid w:val="007D45DF"/>
    <w:rsid w:val="007E1291"/>
    <w:rsid w:val="007E3D5A"/>
    <w:rsid w:val="007E6FE7"/>
    <w:rsid w:val="007F2807"/>
    <w:rsid w:val="00801AEF"/>
    <w:rsid w:val="0080229F"/>
    <w:rsid w:val="00802AF5"/>
    <w:rsid w:val="0080387C"/>
    <w:rsid w:val="00814A1E"/>
    <w:rsid w:val="008151F6"/>
    <w:rsid w:val="00817D2D"/>
    <w:rsid w:val="00820BA9"/>
    <w:rsid w:val="00821CC1"/>
    <w:rsid w:val="00827D3C"/>
    <w:rsid w:val="00844E38"/>
    <w:rsid w:val="0084535A"/>
    <w:rsid w:val="0084559D"/>
    <w:rsid w:val="00853BB4"/>
    <w:rsid w:val="00855ECC"/>
    <w:rsid w:val="00861BC1"/>
    <w:rsid w:val="00862DF6"/>
    <w:rsid w:val="00862E29"/>
    <w:rsid w:val="008634E1"/>
    <w:rsid w:val="00865829"/>
    <w:rsid w:val="008713B8"/>
    <w:rsid w:val="008778AA"/>
    <w:rsid w:val="00881652"/>
    <w:rsid w:val="008818FF"/>
    <w:rsid w:val="00882F7F"/>
    <w:rsid w:val="0088310E"/>
    <w:rsid w:val="00886B14"/>
    <w:rsid w:val="00887BE4"/>
    <w:rsid w:val="00891A91"/>
    <w:rsid w:val="00893C3E"/>
    <w:rsid w:val="00893D71"/>
    <w:rsid w:val="008A1AE5"/>
    <w:rsid w:val="008A54F8"/>
    <w:rsid w:val="008A5F8B"/>
    <w:rsid w:val="008B621C"/>
    <w:rsid w:val="008C1A9A"/>
    <w:rsid w:val="008C1EC5"/>
    <w:rsid w:val="008C1ED4"/>
    <w:rsid w:val="008C3AC5"/>
    <w:rsid w:val="008D1DEA"/>
    <w:rsid w:val="008D26CB"/>
    <w:rsid w:val="008D2C17"/>
    <w:rsid w:val="008D2D18"/>
    <w:rsid w:val="008D64DA"/>
    <w:rsid w:val="008E3842"/>
    <w:rsid w:val="008E3F38"/>
    <w:rsid w:val="008F4446"/>
    <w:rsid w:val="008F6F03"/>
    <w:rsid w:val="008F7199"/>
    <w:rsid w:val="00900F09"/>
    <w:rsid w:val="00903EC8"/>
    <w:rsid w:val="009059CC"/>
    <w:rsid w:val="009068B1"/>
    <w:rsid w:val="00907749"/>
    <w:rsid w:val="009125FF"/>
    <w:rsid w:val="009134B6"/>
    <w:rsid w:val="00916638"/>
    <w:rsid w:val="00917A3C"/>
    <w:rsid w:val="00920D91"/>
    <w:rsid w:val="00923CC8"/>
    <w:rsid w:val="00934E59"/>
    <w:rsid w:val="0094128F"/>
    <w:rsid w:val="00942A59"/>
    <w:rsid w:val="0094604E"/>
    <w:rsid w:val="009461C1"/>
    <w:rsid w:val="00946701"/>
    <w:rsid w:val="009503C6"/>
    <w:rsid w:val="00951BEC"/>
    <w:rsid w:val="00952726"/>
    <w:rsid w:val="009541FC"/>
    <w:rsid w:val="00954B51"/>
    <w:rsid w:val="00955911"/>
    <w:rsid w:val="00960548"/>
    <w:rsid w:val="009622FB"/>
    <w:rsid w:val="00970EBD"/>
    <w:rsid w:val="009752B6"/>
    <w:rsid w:val="009775FC"/>
    <w:rsid w:val="00981776"/>
    <w:rsid w:val="00985E17"/>
    <w:rsid w:val="00987CF0"/>
    <w:rsid w:val="00990818"/>
    <w:rsid w:val="00993967"/>
    <w:rsid w:val="0099652B"/>
    <w:rsid w:val="009A62E6"/>
    <w:rsid w:val="009A7BB3"/>
    <w:rsid w:val="009B528F"/>
    <w:rsid w:val="009B7D7A"/>
    <w:rsid w:val="009C0392"/>
    <w:rsid w:val="009C065D"/>
    <w:rsid w:val="009C09C9"/>
    <w:rsid w:val="009C12E6"/>
    <w:rsid w:val="009C3075"/>
    <w:rsid w:val="009C3615"/>
    <w:rsid w:val="009D1C6C"/>
    <w:rsid w:val="009D3DCB"/>
    <w:rsid w:val="009D5AD8"/>
    <w:rsid w:val="009E0222"/>
    <w:rsid w:val="009E2136"/>
    <w:rsid w:val="009E637B"/>
    <w:rsid w:val="00A03616"/>
    <w:rsid w:val="00A05E20"/>
    <w:rsid w:val="00A12CFD"/>
    <w:rsid w:val="00A130F4"/>
    <w:rsid w:val="00A201F1"/>
    <w:rsid w:val="00A24384"/>
    <w:rsid w:val="00A269D8"/>
    <w:rsid w:val="00A32DA2"/>
    <w:rsid w:val="00A35CC2"/>
    <w:rsid w:val="00A3662A"/>
    <w:rsid w:val="00A4094C"/>
    <w:rsid w:val="00A44B88"/>
    <w:rsid w:val="00A45C8A"/>
    <w:rsid w:val="00A45D6D"/>
    <w:rsid w:val="00A45DEE"/>
    <w:rsid w:val="00A51F6E"/>
    <w:rsid w:val="00A52141"/>
    <w:rsid w:val="00A5260E"/>
    <w:rsid w:val="00A54D38"/>
    <w:rsid w:val="00A640A8"/>
    <w:rsid w:val="00A64A33"/>
    <w:rsid w:val="00A64CCB"/>
    <w:rsid w:val="00A650FA"/>
    <w:rsid w:val="00A7710B"/>
    <w:rsid w:val="00A80159"/>
    <w:rsid w:val="00A842AD"/>
    <w:rsid w:val="00A845CE"/>
    <w:rsid w:val="00A867EB"/>
    <w:rsid w:val="00A936EB"/>
    <w:rsid w:val="00AA0C5A"/>
    <w:rsid w:val="00AA55A7"/>
    <w:rsid w:val="00AB064B"/>
    <w:rsid w:val="00AB281C"/>
    <w:rsid w:val="00AB59B5"/>
    <w:rsid w:val="00AC08A4"/>
    <w:rsid w:val="00AC4B6D"/>
    <w:rsid w:val="00AC61B8"/>
    <w:rsid w:val="00AD15B5"/>
    <w:rsid w:val="00AD1CCA"/>
    <w:rsid w:val="00AD2D1F"/>
    <w:rsid w:val="00AD4F04"/>
    <w:rsid w:val="00AD5EFC"/>
    <w:rsid w:val="00AD681C"/>
    <w:rsid w:val="00AD7951"/>
    <w:rsid w:val="00AE3C63"/>
    <w:rsid w:val="00AE4A9F"/>
    <w:rsid w:val="00AE4AEA"/>
    <w:rsid w:val="00AE6B29"/>
    <w:rsid w:val="00AE6FAA"/>
    <w:rsid w:val="00AF1C97"/>
    <w:rsid w:val="00AF69E3"/>
    <w:rsid w:val="00AF787D"/>
    <w:rsid w:val="00B005BF"/>
    <w:rsid w:val="00B06D66"/>
    <w:rsid w:val="00B145C2"/>
    <w:rsid w:val="00B160C4"/>
    <w:rsid w:val="00B2174B"/>
    <w:rsid w:val="00B23A72"/>
    <w:rsid w:val="00B24A0E"/>
    <w:rsid w:val="00B26D39"/>
    <w:rsid w:val="00B3351A"/>
    <w:rsid w:val="00B36D21"/>
    <w:rsid w:val="00B4035F"/>
    <w:rsid w:val="00B41012"/>
    <w:rsid w:val="00B45426"/>
    <w:rsid w:val="00B47253"/>
    <w:rsid w:val="00B538C7"/>
    <w:rsid w:val="00B558C5"/>
    <w:rsid w:val="00B56E45"/>
    <w:rsid w:val="00B60D77"/>
    <w:rsid w:val="00B67389"/>
    <w:rsid w:val="00B6757C"/>
    <w:rsid w:val="00B71000"/>
    <w:rsid w:val="00B71D45"/>
    <w:rsid w:val="00B721E5"/>
    <w:rsid w:val="00B773D1"/>
    <w:rsid w:val="00B82C49"/>
    <w:rsid w:val="00B87F19"/>
    <w:rsid w:val="00B9015C"/>
    <w:rsid w:val="00B92086"/>
    <w:rsid w:val="00B957FA"/>
    <w:rsid w:val="00BA2684"/>
    <w:rsid w:val="00BA3CE1"/>
    <w:rsid w:val="00BB3932"/>
    <w:rsid w:val="00BB4B03"/>
    <w:rsid w:val="00BB4C1B"/>
    <w:rsid w:val="00BC1C6D"/>
    <w:rsid w:val="00BC4CE8"/>
    <w:rsid w:val="00BD0114"/>
    <w:rsid w:val="00BD113E"/>
    <w:rsid w:val="00BD16E5"/>
    <w:rsid w:val="00BD72B1"/>
    <w:rsid w:val="00BE0C5A"/>
    <w:rsid w:val="00BE3F55"/>
    <w:rsid w:val="00BE6230"/>
    <w:rsid w:val="00BF0F46"/>
    <w:rsid w:val="00BF44A9"/>
    <w:rsid w:val="00C01E3E"/>
    <w:rsid w:val="00C0369C"/>
    <w:rsid w:val="00C11400"/>
    <w:rsid w:val="00C143B7"/>
    <w:rsid w:val="00C144BC"/>
    <w:rsid w:val="00C1540A"/>
    <w:rsid w:val="00C15CF9"/>
    <w:rsid w:val="00C200DF"/>
    <w:rsid w:val="00C21EF2"/>
    <w:rsid w:val="00C24B3B"/>
    <w:rsid w:val="00C27162"/>
    <w:rsid w:val="00C30187"/>
    <w:rsid w:val="00C311AE"/>
    <w:rsid w:val="00C32997"/>
    <w:rsid w:val="00C35E7A"/>
    <w:rsid w:val="00C36A6C"/>
    <w:rsid w:val="00C42DA9"/>
    <w:rsid w:val="00C45FAF"/>
    <w:rsid w:val="00C503E0"/>
    <w:rsid w:val="00C57DF3"/>
    <w:rsid w:val="00C621B7"/>
    <w:rsid w:val="00C67021"/>
    <w:rsid w:val="00C71E9F"/>
    <w:rsid w:val="00C72BA9"/>
    <w:rsid w:val="00C74336"/>
    <w:rsid w:val="00C8313A"/>
    <w:rsid w:val="00C86012"/>
    <w:rsid w:val="00C909ED"/>
    <w:rsid w:val="00C92A25"/>
    <w:rsid w:val="00C931FD"/>
    <w:rsid w:val="00C96C5D"/>
    <w:rsid w:val="00CA01E9"/>
    <w:rsid w:val="00CA3BFB"/>
    <w:rsid w:val="00CB20AE"/>
    <w:rsid w:val="00CB5935"/>
    <w:rsid w:val="00CC20B5"/>
    <w:rsid w:val="00CC36AD"/>
    <w:rsid w:val="00CC4A46"/>
    <w:rsid w:val="00CD0AC2"/>
    <w:rsid w:val="00CD2610"/>
    <w:rsid w:val="00CD697F"/>
    <w:rsid w:val="00CD6D4E"/>
    <w:rsid w:val="00CF0857"/>
    <w:rsid w:val="00CF4EEB"/>
    <w:rsid w:val="00CF6C1A"/>
    <w:rsid w:val="00D03166"/>
    <w:rsid w:val="00D0317F"/>
    <w:rsid w:val="00D04B9B"/>
    <w:rsid w:val="00D11983"/>
    <w:rsid w:val="00D147C5"/>
    <w:rsid w:val="00D20923"/>
    <w:rsid w:val="00D2414B"/>
    <w:rsid w:val="00D249D6"/>
    <w:rsid w:val="00D24E2A"/>
    <w:rsid w:val="00D2572F"/>
    <w:rsid w:val="00D26F03"/>
    <w:rsid w:val="00D274C4"/>
    <w:rsid w:val="00D317AD"/>
    <w:rsid w:val="00D33169"/>
    <w:rsid w:val="00D3490A"/>
    <w:rsid w:val="00D34AF7"/>
    <w:rsid w:val="00D36016"/>
    <w:rsid w:val="00D3757F"/>
    <w:rsid w:val="00D37786"/>
    <w:rsid w:val="00D414F9"/>
    <w:rsid w:val="00D42A92"/>
    <w:rsid w:val="00D53588"/>
    <w:rsid w:val="00D57058"/>
    <w:rsid w:val="00D619C9"/>
    <w:rsid w:val="00D72382"/>
    <w:rsid w:val="00D7371C"/>
    <w:rsid w:val="00D742C8"/>
    <w:rsid w:val="00D76C58"/>
    <w:rsid w:val="00D80A4B"/>
    <w:rsid w:val="00D8497B"/>
    <w:rsid w:val="00D85891"/>
    <w:rsid w:val="00DA2D41"/>
    <w:rsid w:val="00DA6067"/>
    <w:rsid w:val="00DA65D6"/>
    <w:rsid w:val="00DB0DA2"/>
    <w:rsid w:val="00DB2008"/>
    <w:rsid w:val="00DB5102"/>
    <w:rsid w:val="00DB7389"/>
    <w:rsid w:val="00DB75D4"/>
    <w:rsid w:val="00DC0089"/>
    <w:rsid w:val="00DC2C26"/>
    <w:rsid w:val="00DC473F"/>
    <w:rsid w:val="00DD7C32"/>
    <w:rsid w:val="00DE1866"/>
    <w:rsid w:val="00DE215C"/>
    <w:rsid w:val="00DE2A2E"/>
    <w:rsid w:val="00DE7757"/>
    <w:rsid w:val="00DF0A08"/>
    <w:rsid w:val="00DF1961"/>
    <w:rsid w:val="00DF30DC"/>
    <w:rsid w:val="00DF446E"/>
    <w:rsid w:val="00DF5F1B"/>
    <w:rsid w:val="00E0102C"/>
    <w:rsid w:val="00E03453"/>
    <w:rsid w:val="00E03C1E"/>
    <w:rsid w:val="00E13D1D"/>
    <w:rsid w:val="00E1688A"/>
    <w:rsid w:val="00E20164"/>
    <w:rsid w:val="00E20F3F"/>
    <w:rsid w:val="00E2555B"/>
    <w:rsid w:val="00E27197"/>
    <w:rsid w:val="00E316B0"/>
    <w:rsid w:val="00E3771B"/>
    <w:rsid w:val="00E40796"/>
    <w:rsid w:val="00E42F8F"/>
    <w:rsid w:val="00E43297"/>
    <w:rsid w:val="00E445F2"/>
    <w:rsid w:val="00E4606B"/>
    <w:rsid w:val="00E51D52"/>
    <w:rsid w:val="00E53200"/>
    <w:rsid w:val="00E54495"/>
    <w:rsid w:val="00E55A94"/>
    <w:rsid w:val="00E61061"/>
    <w:rsid w:val="00E619AC"/>
    <w:rsid w:val="00E62339"/>
    <w:rsid w:val="00E64198"/>
    <w:rsid w:val="00E65886"/>
    <w:rsid w:val="00E67908"/>
    <w:rsid w:val="00E71B95"/>
    <w:rsid w:val="00E7328C"/>
    <w:rsid w:val="00E8498F"/>
    <w:rsid w:val="00E85ACE"/>
    <w:rsid w:val="00E86514"/>
    <w:rsid w:val="00E92FC1"/>
    <w:rsid w:val="00E97FAF"/>
    <w:rsid w:val="00EA2926"/>
    <w:rsid w:val="00EA6878"/>
    <w:rsid w:val="00EA77A8"/>
    <w:rsid w:val="00EB3147"/>
    <w:rsid w:val="00EB5121"/>
    <w:rsid w:val="00EB7A73"/>
    <w:rsid w:val="00EC047E"/>
    <w:rsid w:val="00EC0722"/>
    <w:rsid w:val="00EC09AA"/>
    <w:rsid w:val="00EC12BC"/>
    <w:rsid w:val="00EC1D7F"/>
    <w:rsid w:val="00EC2F0B"/>
    <w:rsid w:val="00EC4B8D"/>
    <w:rsid w:val="00EE291D"/>
    <w:rsid w:val="00EF387A"/>
    <w:rsid w:val="00EF642E"/>
    <w:rsid w:val="00F0361C"/>
    <w:rsid w:val="00F0539B"/>
    <w:rsid w:val="00F14105"/>
    <w:rsid w:val="00F2011E"/>
    <w:rsid w:val="00F20E73"/>
    <w:rsid w:val="00F2286F"/>
    <w:rsid w:val="00F26B84"/>
    <w:rsid w:val="00F30838"/>
    <w:rsid w:val="00F40404"/>
    <w:rsid w:val="00F42AB4"/>
    <w:rsid w:val="00F45D96"/>
    <w:rsid w:val="00F46AE9"/>
    <w:rsid w:val="00F46E53"/>
    <w:rsid w:val="00F50B74"/>
    <w:rsid w:val="00F5180F"/>
    <w:rsid w:val="00F643F2"/>
    <w:rsid w:val="00F64C3E"/>
    <w:rsid w:val="00F66335"/>
    <w:rsid w:val="00F66E7C"/>
    <w:rsid w:val="00F71AC4"/>
    <w:rsid w:val="00F72229"/>
    <w:rsid w:val="00F74461"/>
    <w:rsid w:val="00F84C81"/>
    <w:rsid w:val="00F87E31"/>
    <w:rsid w:val="00F940C7"/>
    <w:rsid w:val="00FA1BDE"/>
    <w:rsid w:val="00FA521A"/>
    <w:rsid w:val="00FA6F95"/>
    <w:rsid w:val="00FA79D1"/>
    <w:rsid w:val="00FB06D9"/>
    <w:rsid w:val="00FB1DED"/>
    <w:rsid w:val="00FB38B1"/>
    <w:rsid w:val="00FB6647"/>
    <w:rsid w:val="00FC305D"/>
    <w:rsid w:val="00FC325E"/>
    <w:rsid w:val="00FC4302"/>
    <w:rsid w:val="00FC564F"/>
    <w:rsid w:val="00FC58EB"/>
    <w:rsid w:val="00FD2C6C"/>
    <w:rsid w:val="00FD57DE"/>
    <w:rsid w:val="00FD5D56"/>
    <w:rsid w:val="00FE1BC2"/>
    <w:rsid w:val="00FE1F5C"/>
    <w:rsid w:val="00FE3F7C"/>
    <w:rsid w:val="00FF04CE"/>
    <w:rsid w:val="00FF1587"/>
    <w:rsid w:val="00FF5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0C5FC"/>
  <w15:docId w15:val="{DD3CF322-62CF-4F30-8197-4643A3BF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8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567E56"/>
    <w:pPr>
      <w:tabs>
        <w:tab w:val="left" w:pos="504"/>
      </w:tabs>
      <w:spacing w:after="240"/>
      <w:ind w:left="504" w:hanging="504"/>
    </w:pPr>
  </w:style>
  <w:style w:type="paragraph" w:styleId="Header">
    <w:name w:val="header"/>
    <w:basedOn w:val="Normal"/>
    <w:link w:val="HeaderChar"/>
    <w:uiPriority w:val="99"/>
    <w:unhideWhenUsed/>
    <w:rsid w:val="00402996"/>
    <w:pPr>
      <w:tabs>
        <w:tab w:val="center" w:pos="4680"/>
        <w:tab w:val="right" w:pos="9360"/>
      </w:tabs>
    </w:pPr>
  </w:style>
  <w:style w:type="character" w:customStyle="1" w:styleId="HeaderChar">
    <w:name w:val="Header Char"/>
    <w:basedOn w:val="DefaultParagraphFont"/>
    <w:link w:val="Header"/>
    <w:uiPriority w:val="99"/>
    <w:rsid w:val="00402996"/>
  </w:style>
  <w:style w:type="paragraph" w:styleId="Footer">
    <w:name w:val="footer"/>
    <w:basedOn w:val="Normal"/>
    <w:link w:val="FooterChar"/>
    <w:uiPriority w:val="99"/>
    <w:unhideWhenUsed/>
    <w:rsid w:val="00402996"/>
    <w:pPr>
      <w:tabs>
        <w:tab w:val="center" w:pos="4680"/>
        <w:tab w:val="right" w:pos="9360"/>
      </w:tabs>
    </w:pPr>
  </w:style>
  <w:style w:type="character" w:customStyle="1" w:styleId="FooterChar">
    <w:name w:val="Footer Char"/>
    <w:basedOn w:val="DefaultParagraphFont"/>
    <w:link w:val="Footer"/>
    <w:uiPriority w:val="99"/>
    <w:rsid w:val="00402996"/>
  </w:style>
  <w:style w:type="character" w:styleId="Hyperlink">
    <w:name w:val="Hyperlink"/>
    <w:basedOn w:val="DefaultParagraphFont"/>
    <w:uiPriority w:val="99"/>
    <w:unhideWhenUsed/>
    <w:rsid w:val="004742F0"/>
    <w:rPr>
      <w:color w:val="0563C1" w:themeColor="hyperlink"/>
      <w:u w:val="single"/>
    </w:rPr>
  </w:style>
  <w:style w:type="table" w:styleId="TableGrid">
    <w:name w:val="Table Grid"/>
    <w:basedOn w:val="TableNormal"/>
    <w:uiPriority w:val="59"/>
    <w:rsid w:val="0047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AA0C5A"/>
  </w:style>
  <w:style w:type="paragraph" w:styleId="BalloonText">
    <w:name w:val="Balloon Text"/>
    <w:basedOn w:val="Normal"/>
    <w:link w:val="BalloonTextChar"/>
    <w:uiPriority w:val="99"/>
    <w:semiHidden/>
    <w:unhideWhenUsed/>
    <w:rsid w:val="005F22E4"/>
    <w:rPr>
      <w:rFonts w:ascii="Tahoma" w:hAnsi="Tahoma" w:cs="Tahoma"/>
      <w:sz w:val="16"/>
      <w:szCs w:val="16"/>
    </w:rPr>
  </w:style>
  <w:style w:type="character" w:customStyle="1" w:styleId="BalloonTextChar">
    <w:name w:val="Balloon Text Char"/>
    <w:basedOn w:val="DefaultParagraphFont"/>
    <w:link w:val="BalloonText"/>
    <w:uiPriority w:val="99"/>
    <w:semiHidden/>
    <w:rsid w:val="005F22E4"/>
    <w:rPr>
      <w:rFonts w:ascii="Tahoma" w:hAnsi="Tahoma" w:cs="Tahoma"/>
      <w:sz w:val="16"/>
      <w:szCs w:val="16"/>
    </w:rPr>
  </w:style>
  <w:style w:type="paragraph" w:customStyle="1" w:styleId="EndNoteBibliography">
    <w:name w:val="EndNote Bibliography"/>
    <w:basedOn w:val="Normal"/>
    <w:rsid w:val="00BD72B1"/>
    <w:rPr>
      <w:rFonts w:eastAsiaTheme="minorEastAsia"/>
    </w:rPr>
  </w:style>
  <w:style w:type="paragraph" w:styleId="NoSpacing">
    <w:name w:val="No Spacing"/>
    <w:uiPriority w:val="1"/>
    <w:qFormat/>
    <w:rsid w:val="000464C7"/>
    <w:pPr>
      <w:spacing w:after="0" w:line="240" w:lineRule="auto"/>
    </w:pPr>
    <w:rPr>
      <w:rFonts w:ascii="Times New Roman" w:hAnsi="Times New Roman"/>
      <w:sz w:val="24"/>
      <w:szCs w:val="24"/>
    </w:rPr>
  </w:style>
  <w:style w:type="character" w:customStyle="1" w:styleId="pagecontents1">
    <w:name w:val="pagecontents1"/>
    <w:uiPriority w:val="99"/>
    <w:rsid w:val="001428C3"/>
    <w:rPr>
      <w:rFonts w:ascii="Verdana" w:hAnsi="Verdana" w:hint="default"/>
      <w:color w:val="000000"/>
      <w:sz w:val="17"/>
      <w:szCs w:val="17"/>
    </w:rPr>
  </w:style>
  <w:style w:type="paragraph" w:customStyle="1" w:styleId="norm10">
    <w:name w:val="norm10"/>
    <w:basedOn w:val="Normal"/>
    <w:rsid w:val="00F66E7C"/>
    <w:pPr>
      <w:spacing w:before="100" w:beforeAutospacing="1" w:after="100" w:afterAutospacing="1"/>
    </w:pPr>
  </w:style>
  <w:style w:type="character" w:styleId="Strong">
    <w:name w:val="Strong"/>
    <w:basedOn w:val="DefaultParagraphFont"/>
    <w:uiPriority w:val="22"/>
    <w:qFormat/>
    <w:rsid w:val="00F66E7C"/>
    <w:rPr>
      <w:b/>
      <w:bCs/>
    </w:rPr>
  </w:style>
  <w:style w:type="paragraph" w:styleId="ListParagraph">
    <w:name w:val="List Paragraph"/>
    <w:basedOn w:val="Normal"/>
    <w:uiPriority w:val="34"/>
    <w:qFormat/>
    <w:rsid w:val="007577B4"/>
    <w:pPr>
      <w:ind w:left="720"/>
      <w:contextualSpacing/>
    </w:pPr>
  </w:style>
  <w:style w:type="character" w:styleId="CommentReference">
    <w:name w:val="annotation reference"/>
    <w:basedOn w:val="DefaultParagraphFont"/>
    <w:uiPriority w:val="99"/>
    <w:semiHidden/>
    <w:unhideWhenUsed/>
    <w:rsid w:val="00BC4CE8"/>
    <w:rPr>
      <w:sz w:val="16"/>
      <w:szCs w:val="16"/>
    </w:rPr>
  </w:style>
  <w:style w:type="paragraph" w:styleId="CommentText">
    <w:name w:val="annotation text"/>
    <w:basedOn w:val="Normal"/>
    <w:link w:val="CommentTextChar"/>
    <w:uiPriority w:val="99"/>
    <w:unhideWhenUsed/>
    <w:rsid w:val="00BC4CE8"/>
    <w:rPr>
      <w:sz w:val="20"/>
      <w:szCs w:val="20"/>
    </w:rPr>
  </w:style>
  <w:style w:type="character" w:customStyle="1" w:styleId="CommentTextChar">
    <w:name w:val="Comment Text Char"/>
    <w:basedOn w:val="DefaultParagraphFont"/>
    <w:link w:val="CommentText"/>
    <w:uiPriority w:val="99"/>
    <w:rsid w:val="00BC4CE8"/>
    <w:rPr>
      <w:sz w:val="20"/>
      <w:szCs w:val="20"/>
    </w:rPr>
  </w:style>
  <w:style w:type="paragraph" w:styleId="CommentSubject">
    <w:name w:val="annotation subject"/>
    <w:basedOn w:val="CommentText"/>
    <w:next w:val="CommentText"/>
    <w:link w:val="CommentSubjectChar"/>
    <w:uiPriority w:val="99"/>
    <w:semiHidden/>
    <w:unhideWhenUsed/>
    <w:rsid w:val="00BC4CE8"/>
    <w:rPr>
      <w:b/>
      <w:bCs/>
    </w:rPr>
  </w:style>
  <w:style w:type="character" w:customStyle="1" w:styleId="CommentSubjectChar">
    <w:name w:val="Comment Subject Char"/>
    <w:basedOn w:val="CommentTextChar"/>
    <w:link w:val="CommentSubject"/>
    <w:uiPriority w:val="99"/>
    <w:semiHidden/>
    <w:rsid w:val="00BC4CE8"/>
    <w:rPr>
      <w:b/>
      <w:bCs/>
      <w:sz w:val="20"/>
      <w:szCs w:val="20"/>
    </w:rPr>
  </w:style>
  <w:style w:type="character" w:customStyle="1" w:styleId="doi1">
    <w:name w:val="doi1"/>
    <w:basedOn w:val="DefaultParagraphFont"/>
    <w:rsid w:val="004B7781"/>
  </w:style>
  <w:style w:type="character" w:customStyle="1" w:styleId="tgc">
    <w:name w:val="_tgc"/>
    <w:basedOn w:val="DefaultParagraphFont"/>
    <w:rsid w:val="00A80159"/>
  </w:style>
  <w:style w:type="character" w:customStyle="1" w:styleId="st1">
    <w:name w:val="st1"/>
    <w:basedOn w:val="DefaultParagraphFont"/>
    <w:rsid w:val="00A80159"/>
  </w:style>
  <w:style w:type="paragraph" w:customStyle="1" w:styleId="1">
    <w:name w:val="正文1"/>
    <w:uiPriority w:val="99"/>
    <w:rsid w:val="008D2D18"/>
    <w:pPr>
      <w:spacing w:after="0" w:line="276" w:lineRule="auto"/>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4470">
      <w:bodyDiv w:val="1"/>
      <w:marLeft w:val="0"/>
      <w:marRight w:val="0"/>
      <w:marTop w:val="0"/>
      <w:marBottom w:val="0"/>
      <w:divBdr>
        <w:top w:val="none" w:sz="0" w:space="0" w:color="auto"/>
        <w:left w:val="none" w:sz="0" w:space="0" w:color="auto"/>
        <w:bottom w:val="none" w:sz="0" w:space="0" w:color="auto"/>
        <w:right w:val="none" w:sz="0" w:space="0" w:color="auto"/>
      </w:divBdr>
    </w:div>
    <w:div w:id="379213090">
      <w:bodyDiv w:val="1"/>
      <w:marLeft w:val="0"/>
      <w:marRight w:val="0"/>
      <w:marTop w:val="0"/>
      <w:marBottom w:val="0"/>
      <w:divBdr>
        <w:top w:val="none" w:sz="0" w:space="0" w:color="auto"/>
        <w:left w:val="none" w:sz="0" w:space="0" w:color="auto"/>
        <w:bottom w:val="none" w:sz="0" w:space="0" w:color="auto"/>
        <w:right w:val="none" w:sz="0" w:space="0" w:color="auto"/>
      </w:divBdr>
      <w:divsChild>
        <w:div w:id="681976935">
          <w:marLeft w:val="1"/>
          <w:marRight w:val="0"/>
          <w:marTop w:val="0"/>
          <w:marBottom w:val="0"/>
          <w:divBdr>
            <w:top w:val="single" w:sz="6" w:space="0" w:color="FFFFFF"/>
            <w:left w:val="none" w:sz="0" w:space="0" w:color="auto"/>
            <w:bottom w:val="none" w:sz="0" w:space="0" w:color="auto"/>
            <w:right w:val="none" w:sz="0" w:space="0" w:color="auto"/>
          </w:divBdr>
          <w:divsChild>
            <w:div w:id="15802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19192">
      <w:bodyDiv w:val="1"/>
      <w:marLeft w:val="0"/>
      <w:marRight w:val="0"/>
      <w:marTop w:val="0"/>
      <w:marBottom w:val="0"/>
      <w:divBdr>
        <w:top w:val="none" w:sz="0" w:space="0" w:color="auto"/>
        <w:left w:val="none" w:sz="0" w:space="0" w:color="auto"/>
        <w:bottom w:val="none" w:sz="0" w:space="0" w:color="auto"/>
        <w:right w:val="none" w:sz="0" w:space="0" w:color="auto"/>
      </w:divBdr>
    </w:div>
    <w:div w:id="786192291">
      <w:bodyDiv w:val="1"/>
      <w:marLeft w:val="0"/>
      <w:marRight w:val="0"/>
      <w:marTop w:val="0"/>
      <w:marBottom w:val="0"/>
      <w:divBdr>
        <w:top w:val="none" w:sz="0" w:space="0" w:color="auto"/>
        <w:left w:val="none" w:sz="0" w:space="0" w:color="auto"/>
        <w:bottom w:val="none" w:sz="0" w:space="0" w:color="auto"/>
        <w:right w:val="none" w:sz="0" w:space="0" w:color="auto"/>
      </w:divBdr>
    </w:div>
    <w:div w:id="831530517">
      <w:bodyDiv w:val="1"/>
      <w:marLeft w:val="0"/>
      <w:marRight w:val="0"/>
      <w:marTop w:val="0"/>
      <w:marBottom w:val="0"/>
      <w:divBdr>
        <w:top w:val="none" w:sz="0" w:space="0" w:color="auto"/>
        <w:left w:val="none" w:sz="0" w:space="0" w:color="auto"/>
        <w:bottom w:val="none" w:sz="0" w:space="0" w:color="auto"/>
        <w:right w:val="none" w:sz="0" w:space="0" w:color="auto"/>
      </w:divBdr>
    </w:div>
    <w:div w:id="926887097">
      <w:bodyDiv w:val="1"/>
      <w:marLeft w:val="0"/>
      <w:marRight w:val="0"/>
      <w:marTop w:val="0"/>
      <w:marBottom w:val="0"/>
      <w:divBdr>
        <w:top w:val="none" w:sz="0" w:space="0" w:color="auto"/>
        <w:left w:val="none" w:sz="0" w:space="0" w:color="auto"/>
        <w:bottom w:val="none" w:sz="0" w:space="0" w:color="auto"/>
        <w:right w:val="none" w:sz="0" w:space="0" w:color="auto"/>
      </w:divBdr>
    </w:div>
    <w:div w:id="971984363">
      <w:bodyDiv w:val="1"/>
      <w:marLeft w:val="0"/>
      <w:marRight w:val="0"/>
      <w:marTop w:val="0"/>
      <w:marBottom w:val="0"/>
      <w:divBdr>
        <w:top w:val="none" w:sz="0" w:space="0" w:color="auto"/>
        <w:left w:val="none" w:sz="0" w:space="0" w:color="auto"/>
        <w:bottom w:val="none" w:sz="0" w:space="0" w:color="auto"/>
        <w:right w:val="none" w:sz="0" w:space="0" w:color="auto"/>
      </w:divBdr>
      <w:divsChild>
        <w:div w:id="1566799601">
          <w:marLeft w:val="0"/>
          <w:marRight w:val="1"/>
          <w:marTop w:val="0"/>
          <w:marBottom w:val="0"/>
          <w:divBdr>
            <w:top w:val="none" w:sz="0" w:space="0" w:color="auto"/>
            <w:left w:val="none" w:sz="0" w:space="0" w:color="auto"/>
            <w:bottom w:val="none" w:sz="0" w:space="0" w:color="auto"/>
            <w:right w:val="none" w:sz="0" w:space="0" w:color="auto"/>
          </w:divBdr>
          <w:divsChild>
            <w:div w:id="1245410051">
              <w:marLeft w:val="0"/>
              <w:marRight w:val="0"/>
              <w:marTop w:val="0"/>
              <w:marBottom w:val="0"/>
              <w:divBdr>
                <w:top w:val="none" w:sz="0" w:space="0" w:color="auto"/>
                <w:left w:val="none" w:sz="0" w:space="0" w:color="auto"/>
                <w:bottom w:val="none" w:sz="0" w:space="0" w:color="auto"/>
                <w:right w:val="none" w:sz="0" w:space="0" w:color="auto"/>
              </w:divBdr>
              <w:divsChild>
                <w:div w:id="1007555137">
                  <w:marLeft w:val="0"/>
                  <w:marRight w:val="1"/>
                  <w:marTop w:val="0"/>
                  <w:marBottom w:val="0"/>
                  <w:divBdr>
                    <w:top w:val="none" w:sz="0" w:space="0" w:color="auto"/>
                    <w:left w:val="none" w:sz="0" w:space="0" w:color="auto"/>
                    <w:bottom w:val="none" w:sz="0" w:space="0" w:color="auto"/>
                    <w:right w:val="none" w:sz="0" w:space="0" w:color="auto"/>
                  </w:divBdr>
                  <w:divsChild>
                    <w:div w:id="353842658">
                      <w:marLeft w:val="0"/>
                      <w:marRight w:val="0"/>
                      <w:marTop w:val="0"/>
                      <w:marBottom w:val="0"/>
                      <w:divBdr>
                        <w:top w:val="none" w:sz="0" w:space="0" w:color="auto"/>
                        <w:left w:val="none" w:sz="0" w:space="0" w:color="auto"/>
                        <w:bottom w:val="none" w:sz="0" w:space="0" w:color="auto"/>
                        <w:right w:val="none" w:sz="0" w:space="0" w:color="auto"/>
                      </w:divBdr>
                      <w:divsChild>
                        <w:div w:id="196938316">
                          <w:marLeft w:val="0"/>
                          <w:marRight w:val="0"/>
                          <w:marTop w:val="0"/>
                          <w:marBottom w:val="0"/>
                          <w:divBdr>
                            <w:top w:val="none" w:sz="0" w:space="0" w:color="auto"/>
                            <w:left w:val="none" w:sz="0" w:space="0" w:color="auto"/>
                            <w:bottom w:val="none" w:sz="0" w:space="0" w:color="auto"/>
                            <w:right w:val="none" w:sz="0" w:space="0" w:color="auto"/>
                          </w:divBdr>
                          <w:divsChild>
                            <w:div w:id="46994247">
                              <w:marLeft w:val="0"/>
                              <w:marRight w:val="0"/>
                              <w:marTop w:val="120"/>
                              <w:marBottom w:val="360"/>
                              <w:divBdr>
                                <w:top w:val="none" w:sz="0" w:space="0" w:color="auto"/>
                                <w:left w:val="none" w:sz="0" w:space="0" w:color="auto"/>
                                <w:bottom w:val="none" w:sz="0" w:space="0" w:color="auto"/>
                                <w:right w:val="none" w:sz="0" w:space="0" w:color="auto"/>
                              </w:divBdr>
                              <w:divsChild>
                                <w:div w:id="861163482">
                                  <w:marLeft w:val="0"/>
                                  <w:marRight w:val="0"/>
                                  <w:marTop w:val="0"/>
                                  <w:marBottom w:val="0"/>
                                  <w:divBdr>
                                    <w:top w:val="none" w:sz="0" w:space="0" w:color="auto"/>
                                    <w:left w:val="none" w:sz="0" w:space="0" w:color="auto"/>
                                    <w:bottom w:val="none" w:sz="0" w:space="0" w:color="auto"/>
                                    <w:right w:val="none" w:sz="0" w:space="0" w:color="auto"/>
                                  </w:divBdr>
                                  <w:divsChild>
                                    <w:div w:id="17890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626990">
      <w:bodyDiv w:val="1"/>
      <w:marLeft w:val="0"/>
      <w:marRight w:val="0"/>
      <w:marTop w:val="0"/>
      <w:marBottom w:val="0"/>
      <w:divBdr>
        <w:top w:val="none" w:sz="0" w:space="0" w:color="auto"/>
        <w:left w:val="none" w:sz="0" w:space="0" w:color="auto"/>
        <w:bottom w:val="none" w:sz="0" w:space="0" w:color="auto"/>
        <w:right w:val="none" w:sz="0" w:space="0" w:color="auto"/>
      </w:divBdr>
    </w:div>
    <w:div w:id="1353725838">
      <w:bodyDiv w:val="1"/>
      <w:marLeft w:val="0"/>
      <w:marRight w:val="0"/>
      <w:marTop w:val="0"/>
      <w:marBottom w:val="0"/>
      <w:divBdr>
        <w:top w:val="none" w:sz="0" w:space="0" w:color="auto"/>
        <w:left w:val="none" w:sz="0" w:space="0" w:color="auto"/>
        <w:bottom w:val="none" w:sz="0" w:space="0" w:color="auto"/>
        <w:right w:val="none" w:sz="0" w:space="0" w:color="auto"/>
      </w:divBdr>
    </w:div>
    <w:div w:id="1364667164">
      <w:bodyDiv w:val="1"/>
      <w:marLeft w:val="0"/>
      <w:marRight w:val="0"/>
      <w:marTop w:val="0"/>
      <w:marBottom w:val="0"/>
      <w:divBdr>
        <w:top w:val="none" w:sz="0" w:space="0" w:color="auto"/>
        <w:left w:val="none" w:sz="0" w:space="0" w:color="auto"/>
        <w:bottom w:val="none" w:sz="0" w:space="0" w:color="auto"/>
        <w:right w:val="none" w:sz="0" w:space="0" w:color="auto"/>
      </w:divBdr>
    </w:div>
    <w:div w:id="1399943069">
      <w:bodyDiv w:val="1"/>
      <w:marLeft w:val="0"/>
      <w:marRight w:val="0"/>
      <w:marTop w:val="0"/>
      <w:marBottom w:val="0"/>
      <w:divBdr>
        <w:top w:val="none" w:sz="0" w:space="0" w:color="auto"/>
        <w:left w:val="none" w:sz="0" w:space="0" w:color="auto"/>
        <w:bottom w:val="none" w:sz="0" w:space="0" w:color="auto"/>
        <w:right w:val="none" w:sz="0" w:space="0" w:color="auto"/>
      </w:divBdr>
      <w:divsChild>
        <w:div w:id="869495705">
          <w:marLeft w:val="0"/>
          <w:marRight w:val="1"/>
          <w:marTop w:val="0"/>
          <w:marBottom w:val="0"/>
          <w:divBdr>
            <w:top w:val="none" w:sz="0" w:space="0" w:color="auto"/>
            <w:left w:val="none" w:sz="0" w:space="0" w:color="auto"/>
            <w:bottom w:val="none" w:sz="0" w:space="0" w:color="auto"/>
            <w:right w:val="none" w:sz="0" w:space="0" w:color="auto"/>
          </w:divBdr>
          <w:divsChild>
            <w:div w:id="858390589">
              <w:marLeft w:val="0"/>
              <w:marRight w:val="0"/>
              <w:marTop w:val="0"/>
              <w:marBottom w:val="0"/>
              <w:divBdr>
                <w:top w:val="none" w:sz="0" w:space="0" w:color="auto"/>
                <w:left w:val="none" w:sz="0" w:space="0" w:color="auto"/>
                <w:bottom w:val="none" w:sz="0" w:space="0" w:color="auto"/>
                <w:right w:val="none" w:sz="0" w:space="0" w:color="auto"/>
              </w:divBdr>
              <w:divsChild>
                <w:div w:id="570580783">
                  <w:marLeft w:val="0"/>
                  <w:marRight w:val="1"/>
                  <w:marTop w:val="0"/>
                  <w:marBottom w:val="0"/>
                  <w:divBdr>
                    <w:top w:val="none" w:sz="0" w:space="0" w:color="auto"/>
                    <w:left w:val="none" w:sz="0" w:space="0" w:color="auto"/>
                    <w:bottom w:val="none" w:sz="0" w:space="0" w:color="auto"/>
                    <w:right w:val="none" w:sz="0" w:space="0" w:color="auto"/>
                  </w:divBdr>
                  <w:divsChild>
                    <w:div w:id="1809854822">
                      <w:marLeft w:val="0"/>
                      <w:marRight w:val="0"/>
                      <w:marTop w:val="0"/>
                      <w:marBottom w:val="0"/>
                      <w:divBdr>
                        <w:top w:val="none" w:sz="0" w:space="0" w:color="auto"/>
                        <w:left w:val="none" w:sz="0" w:space="0" w:color="auto"/>
                        <w:bottom w:val="none" w:sz="0" w:space="0" w:color="auto"/>
                        <w:right w:val="none" w:sz="0" w:space="0" w:color="auto"/>
                      </w:divBdr>
                      <w:divsChild>
                        <w:div w:id="1809391878">
                          <w:marLeft w:val="0"/>
                          <w:marRight w:val="0"/>
                          <w:marTop w:val="0"/>
                          <w:marBottom w:val="0"/>
                          <w:divBdr>
                            <w:top w:val="none" w:sz="0" w:space="0" w:color="auto"/>
                            <w:left w:val="none" w:sz="0" w:space="0" w:color="auto"/>
                            <w:bottom w:val="none" w:sz="0" w:space="0" w:color="auto"/>
                            <w:right w:val="none" w:sz="0" w:space="0" w:color="auto"/>
                          </w:divBdr>
                          <w:divsChild>
                            <w:div w:id="482545544">
                              <w:marLeft w:val="0"/>
                              <w:marRight w:val="0"/>
                              <w:marTop w:val="120"/>
                              <w:marBottom w:val="360"/>
                              <w:divBdr>
                                <w:top w:val="none" w:sz="0" w:space="0" w:color="auto"/>
                                <w:left w:val="none" w:sz="0" w:space="0" w:color="auto"/>
                                <w:bottom w:val="none" w:sz="0" w:space="0" w:color="auto"/>
                                <w:right w:val="none" w:sz="0" w:space="0" w:color="auto"/>
                              </w:divBdr>
                              <w:divsChild>
                                <w:div w:id="858859550">
                                  <w:marLeft w:val="0"/>
                                  <w:marRight w:val="0"/>
                                  <w:marTop w:val="0"/>
                                  <w:marBottom w:val="0"/>
                                  <w:divBdr>
                                    <w:top w:val="none" w:sz="0" w:space="0" w:color="auto"/>
                                    <w:left w:val="none" w:sz="0" w:space="0" w:color="auto"/>
                                    <w:bottom w:val="none" w:sz="0" w:space="0" w:color="auto"/>
                                    <w:right w:val="none" w:sz="0" w:space="0" w:color="auto"/>
                                  </w:divBdr>
                                  <w:divsChild>
                                    <w:div w:id="4449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746462">
      <w:bodyDiv w:val="1"/>
      <w:marLeft w:val="0"/>
      <w:marRight w:val="0"/>
      <w:marTop w:val="0"/>
      <w:marBottom w:val="0"/>
      <w:divBdr>
        <w:top w:val="none" w:sz="0" w:space="0" w:color="auto"/>
        <w:left w:val="none" w:sz="0" w:space="0" w:color="auto"/>
        <w:bottom w:val="none" w:sz="0" w:space="0" w:color="auto"/>
        <w:right w:val="none" w:sz="0" w:space="0" w:color="auto"/>
      </w:divBdr>
    </w:div>
    <w:div w:id="1488593631">
      <w:bodyDiv w:val="1"/>
      <w:marLeft w:val="0"/>
      <w:marRight w:val="0"/>
      <w:marTop w:val="0"/>
      <w:marBottom w:val="0"/>
      <w:divBdr>
        <w:top w:val="none" w:sz="0" w:space="0" w:color="auto"/>
        <w:left w:val="none" w:sz="0" w:space="0" w:color="auto"/>
        <w:bottom w:val="none" w:sz="0" w:space="0" w:color="auto"/>
        <w:right w:val="none" w:sz="0" w:space="0" w:color="auto"/>
      </w:divBdr>
    </w:div>
    <w:div w:id="1699354831">
      <w:bodyDiv w:val="1"/>
      <w:marLeft w:val="0"/>
      <w:marRight w:val="0"/>
      <w:marTop w:val="0"/>
      <w:marBottom w:val="0"/>
      <w:divBdr>
        <w:top w:val="none" w:sz="0" w:space="0" w:color="auto"/>
        <w:left w:val="none" w:sz="0" w:space="0" w:color="auto"/>
        <w:bottom w:val="none" w:sz="0" w:space="0" w:color="auto"/>
        <w:right w:val="none" w:sz="0" w:space="0" w:color="auto"/>
      </w:divBdr>
    </w:div>
    <w:div w:id="1856310225">
      <w:bodyDiv w:val="1"/>
      <w:marLeft w:val="0"/>
      <w:marRight w:val="0"/>
      <w:marTop w:val="0"/>
      <w:marBottom w:val="0"/>
      <w:divBdr>
        <w:top w:val="none" w:sz="0" w:space="0" w:color="auto"/>
        <w:left w:val="none" w:sz="0" w:space="0" w:color="auto"/>
        <w:bottom w:val="none" w:sz="0" w:space="0" w:color="auto"/>
        <w:right w:val="none" w:sz="0" w:space="0" w:color="auto"/>
      </w:divBdr>
      <w:divsChild>
        <w:div w:id="1607345407">
          <w:marLeft w:val="0"/>
          <w:marRight w:val="1"/>
          <w:marTop w:val="0"/>
          <w:marBottom w:val="0"/>
          <w:divBdr>
            <w:top w:val="none" w:sz="0" w:space="0" w:color="auto"/>
            <w:left w:val="none" w:sz="0" w:space="0" w:color="auto"/>
            <w:bottom w:val="none" w:sz="0" w:space="0" w:color="auto"/>
            <w:right w:val="none" w:sz="0" w:space="0" w:color="auto"/>
          </w:divBdr>
          <w:divsChild>
            <w:div w:id="1490705757">
              <w:marLeft w:val="0"/>
              <w:marRight w:val="0"/>
              <w:marTop w:val="0"/>
              <w:marBottom w:val="0"/>
              <w:divBdr>
                <w:top w:val="none" w:sz="0" w:space="0" w:color="auto"/>
                <w:left w:val="none" w:sz="0" w:space="0" w:color="auto"/>
                <w:bottom w:val="none" w:sz="0" w:space="0" w:color="auto"/>
                <w:right w:val="none" w:sz="0" w:space="0" w:color="auto"/>
              </w:divBdr>
              <w:divsChild>
                <w:div w:id="980426249">
                  <w:marLeft w:val="0"/>
                  <w:marRight w:val="1"/>
                  <w:marTop w:val="0"/>
                  <w:marBottom w:val="0"/>
                  <w:divBdr>
                    <w:top w:val="none" w:sz="0" w:space="0" w:color="auto"/>
                    <w:left w:val="none" w:sz="0" w:space="0" w:color="auto"/>
                    <w:bottom w:val="none" w:sz="0" w:space="0" w:color="auto"/>
                    <w:right w:val="none" w:sz="0" w:space="0" w:color="auto"/>
                  </w:divBdr>
                  <w:divsChild>
                    <w:div w:id="739671534">
                      <w:marLeft w:val="0"/>
                      <w:marRight w:val="0"/>
                      <w:marTop w:val="0"/>
                      <w:marBottom w:val="0"/>
                      <w:divBdr>
                        <w:top w:val="none" w:sz="0" w:space="0" w:color="auto"/>
                        <w:left w:val="none" w:sz="0" w:space="0" w:color="auto"/>
                        <w:bottom w:val="none" w:sz="0" w:space="0" w:color="auto"/>
                        <w:right w:val="none" w:sz="0" w:space="0" w:color="auto"/>
                      </w:divBdr>
                      <w:divsChild>
                        <w:div w:id="219172353">
                          <w:marLeft w:val="0"/>
                          <w:marRight w:val="0"/>
                          <w:marTop w:val="0"/>
                          <w:marBottom w:val="0"/>
                          <w:divBdr>
                            <w:top w:val="none" w:sz="0" w:space="0" w:color="auto"/>
                            <w:left w:val="none" w:sz="0" w:space="0" w:color="auto"/>
                            <w:bottom w:val="none" w:sz="0" w:space="0" w:color="auto"/>
                            <w:right w:val="none" w:sz="0" w:space="0" w:color="auto"/>
                          </w:divBdr>
                          <w:divsChild>
                            <w:div w:id="1667591303">
                              <w:marLeft w:val="0"/>
                              <w:marRight w:val="0"/>
                              <w:marTop w:val="120"/>
                              <w:marBottom w:val="360"/>
                              <w:divBdr>
                                <w:top w:val="none" w:sz="0" w:space="0" w:color="auto"/>
                                <w:left w:val="none" w:sz="0" w:space="0" w:color="auto"/>
                                <w:bottom w:val="none" w:sz="0" w:space="0" w:color="auto"/>
                                <w:right w:val="none" w:sz="0" w:space="0" w:color="auto"/>
                              </w:divBdr>
                              <w:divsChild>
                                <w:div w:id="8341381">
                                  <w:marLeft w:val="0"/>
                                  <w:marRight w:val="0"/>
                                  <w:marTop w:val="0"/>
                                  <w:marBottom w:val="0"/>
                                  <w:divBdr>
                                    <w:top w:val="none" w:sz="0" w:space="0" w:color="auto"/>
                                    <w:left w:val="none" w:sz="0" w:space="0" w:color="auto"/>
                                    <w:bottom w:val="none" w:sz="0" w:space="0" w:color="auto"/>
                                    <w:right w:val="none" w:sz="0" w:space="0" w:color="auto"/>
                                  </w:divBdr>
                                  <w:divsChild>
                                    <w:div w:id="16227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677772">
      <w:bodyDiv w:val="1"/>
      <w:marLeft w:val="0"/>
      <w:marRight w:val="0"/>
      <w:marTop w:val="0"/>
      <w:marBottom w:val="0"/>
      <w:divBdr>
        <w:top w:val="none" w:sz="0" w:space="0" w:color="auto"/>
        <w:left w:val="none" w:sz="0" w:space="0" w:color="auto"/>
        <w:bottom w:val="none" w:sz="0" w:space="0" w:color="auto"/>
        <w:right w:val="none" w:sz="0" w:space="0" w:color="auto"/>
      </w:divBdr>
    </w:div>
    <w:div w:id="1887915315">
      <w:bodyDiv w:val="1"/>
      <w:marLeft w:val="0"/>
      <w:marRight w:val="0"/>
      <w:marTop w:val="0"/>
      <w:marBottom w:val="0"/>
      <w:divBdr>
        <w:top w:val="none" w:sz="0" w:space="0" w:color="auto"/>
        <w:left w:val="none" w:sz="0" w:space="0" w:color="auto"/>
        <w:bottom w:val="none" w:sz="0" w:space="0" w:color="auto"/>
        <w:right w:val="none" w:sz="0" w:space="0" w:color="auto"/>
      </w:divBdr>
    </w:div>
    <w:div w:id="1957710948">
      <w:bodyDiv w:val="1"/>
      <w:marLeft w:val="0"/>
      <w:marRight w:val="0"/>
      <w:marTop w:val="0"/>
      <w:marBottom w:val="0"/>
      <w:divBdr>
        <w:top w:val="none" w:sz="0" w:space="0" w:color="auto"/>
        <w:left w:val="none" w:sz="0" w:space="0" w:color="auto"/>
        <w:bottom w:val="none" w:sz="0" w:space="0" w:color="auto"/>
        <w:right w:val="none" w:sz="0" w:space="0" w:color="auto"/>
      </w:divBdr>
    </w:div>
    <w:div w:id="1993875602">
      <w:bodyDiv w:val="1"/>
      <w:marLeft w:val="0"/>
      <w:marRight w:val="0"/>
      <w:marTop w:val="0"/>
      <w:marBottom w:val="0"/>
      <w:divBdr>
        <w:top w:val="none" w:sz="0" w:space="0" w:color="auto"/>
        <w:left w:val="none" w:sz="0" w:space="0" w:color="auto"/>
        <w:bottom w:val="none" w:sz="0" w:space="0" w:color="auto"/>
        <w:right w:val="none" w:sz="0" w:space="0" w:color="auto"/>
      </w:divBdr>
    </w:div>
    <w:div w:id="2003922264">
      <w:bodyDiv w:val="1"/>
      <w:marLeft w:val="0"/>
      <w:marRight w:val="0"/>
      <w:marTop w:val="0"/>
      <w:marBottom w:val="0"/>
      <w:divBdr>
        <w:top w:val="none" w:sz="0" w:space="0" w:color="auto"/>
        <w:left w:val="none" w:sz="0" w:space="0" w:color="auto"/>
        <w:bottom w:val="none" w:sz="0" w:space="0" w:color="auto"/>
        <w:right w:val="none" w:sz="0" w:space="0" w:color="auto"/>
      </w:divBdr>
      <w:divsChild>
        <w:div w:id="836071618">
          <w:marLeft w:val="0"/>
          <w:marRight w:val="1"/>
          <w:marTop w:val="0"/>
          <w:marBottom w:val="0"/>
          <w:divBdr>
            <w:top w:val="none" w:sz="0" w:space="0" w:color="auto"/>
            <w:left w:val="none" w:sz="0" w:space="0" w:color="auto"/>
            <w:bottom w:val="none" w:sz="0" w:space="0" w:color="auto"/>
            <w:right w:val="none" w:sz="0" w:space="0" w:color="auto"/>
          </w:divBdr>
          <w:divsChild>
            <w:div w:id="867645435">
              <w:marLeft w:val="0"/>
              <w:marRight w:val="0"/>
              <w:marTop w:val="0"/>
              <w:marBottom w:val="0"/>
              <w:divBdr>
                <w:top w:val="none" w:sz="0" w:space="0" w:color="auto"/>
                <w:left w:val="none" w:sz="0" w:space="0" w:color="auto"/>
                <w:bottom w:val="none" w:sz="0" w:space="0" w:color="auto"/>
                <w:right w:val="none" w:sz="0" w:space="0" w:color="auto"/>
              </w:divBdr>
              <w:divsChild>
                <w:div w:id="1993827476">
                  <w:marLeft w:val="0"/>
                  <w:marRight w:val="1"/>
                  <w:marTop w:val="0"/>
                  <w:marBottom w:val="0"/>
                  <w:divBdr>
                    <w:top w:val="none" w:sz="0" w:space="0" w:color="auto"/>
                    <w:left w:val="none" w:sz="0" w:space="0" w:color="auto"/>
                    <w:bottom w:val="none" w:sz="0" w:space="0" w:color="auto"/>
                    <w:right w:val="none" w:sz="0" w:space="0" w:color="auto"/>
                  </w:divBdr>
                  <w:divsChild>
                    <w:div w:id="1793552315">
                      <w:marLeft w:val="0"/>
                      <w:marRight w:val="0"/>
                      <w:marTop w:val="0"/>
                      <w:marBottom w:val="0"/>
                      <w:divBdr>
                        <w:top w:val="none" w:sz="0" w:space="0" w:color="auto"/>
                        <w:left w:val="none" w:sz="0" w:space="0" w:color="auto"/>
                        <w:bottom w:val="none" w:sz="0" w:space="0" w:color="auto"/>
                        <w:right w:val="none" w:sz="0" w:space="0" w:color="auto"/>
                      </w:divBdr>
                      <w:divsChild>
                        <w:div w:id="1269506870">
                          <w:marLeft w:val="0"/>
                          <w:marRight w:val="0"/>
                          <w:marTop w:val="0"/>
                          <w:marBottom w:val="0"/>
                          <w:divBdr>
                            <w:top w:val="none" w:sz="0" w:space="0" w:color="auto"/>
                            <w:left w:val="none" w:sz="0" w:space="0" w:color="auto"/>
                            <w:bottom w:val="none" w:sz="0" w:space="0" w:color="auto"/>
                            <w:right w:val="none" w:sz="0" w:space="0" w:color="auto"/>
                          </w:divBdr>
                          <w:divsChild>
                            <w:div w:id="615989708">
                              <w:marLeft w:val="0"/>
                              <w:marRight w:val="0"/>
                              <w:marTop w:val="120"/>
                              <w:marBottom w:val="360"/>
                              <w:divBdr>
                                <w:top w:val="none" w:sz="0" w:space="0" w:color="auto"/>
                                <w:left w:val="none" w:sz="0" w:space="0" w:color="auto"/>
                                <w:bottom w:val="none" w:sz="0" w:space="0" w:color="auto"/>
                                <w:right w:val="none" w:sz="0" w:space="0" w:color="auto"/>
                              </w:divBdr>
                              <w:divsChild>
                                <w:div w:id="1067730273">
                                  <w:marLeft w:val="0"/>
                                  <w:marRight w:val="0"/>
                                  <w:marTop w:val="0"/>
                                  <w:marBottom w:val="0"/>
                                  <w:divBdr>
                                    <w:top w:val="none" w:sz="0" w:space="0" w:color="auto"/>
                                    <w:left w:val="none" w:sz="0" w:space="0" w:color="auto"/>
                                    <w:bottom w:val="none" w:sz="0" w:space="0" w:color="auto"/>
                                    <w:right w:val="none" w:sz="0" w:space="0" w:color="auto"/>
                                  </w:divBdr>
                                  <w:divsChild>
                                    <w:div w:id="7840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227956">
      <w:bodyDiv w:val="1"/>
      <w:marLeft w:val="0"/>
      <w:marRight w:val="0"/>
      <w:marTop w:val="0"/>
      <w:marBottom w:val="0"/>
      <w:divBdr>
        <w:top w:val="none" w:sz="0" w:space="0" w:color="auto"/>
        <w:left w:val="none" w:sz="0" w:space="0" w:color="auto"/>
        <w:bottom w:val="none" w:sz="0" w:space="0" w:color="auto"/>
        <w:right w:val="none" w:sz="0" w:space="0" w:color="auto"/>
      </w:divBdr>
    </w:div>
    <w:div w:id="2088455223">
      <w:bodyDiv w:val="1"/>
      <w:marLeft w:val="0"/>
      <w:marRight w:val="0"/>
      <w:marTop w:val="0"/>
      <w:marBottom w:val="0"/>
      <w:divBdr>
        <w:top w:val="none" w:sz="0" w:space="0" w:color="auto"/>
        <w:left w:val="none" w:sz="0" w:space="0" w:color="auto"/>
        <w:bottom w:val="none" w:sz="0" w:space="0" w:color="auto"/>
        <w:right w:val="none" w:sz="0" w:space="0" w:color="auto"/>
      </w:divBdr>
    </w:div>
    <w:div w:id="2112388633">
      <w:bodyDiv w:val="1"/>
      <w:marLeft w:val="0"/>
      <w:marRight w:val="0"/>
      <w:marTop w:val="0"/>
      <w:marBottom w:val="0"/>
      <w:divBdr>
        <w:top w:val="none" w:sz="0" w:space="0" w:color="auto"/>
        <w:left w:val="none" w:sz="0" w:space="0" w:color="auto"/>
        <w:bottom w:val="none" w:sz="0" w:space="0" w:color="auto"/>
        <w:right w:val="none" w:sz="0" w:space="0" w:color="auto"/>
      </w:divBdr>
      <w:divsChild>
        <w:div w:id="23022093">
          <w:marLeft w:val="0"/>
          <w:marRight w:val="1"/>
          <w:marTop w:val="0"/>
          <w:marBottom w:val="0"/>
          <w:divBdr>
            <w:top w:val="none" w:sz="0" w:space="0" w:color="auto"/>
            <w:left w:val="none" w:sz="0" w:space="0" w:color="auto"/>
            <w:bottom w:val="none" w:sz="0" w:space="0" w:color="auto"/>
            <w:right w:val="none" w:sz="0" w:space="0" w:color="auto"/>
          </w:divBdr>
          <w:divsChild>
            <w:div w:id="183832540">
              <w:marLeft w:val="0"/>
              <w:marRight w:val="0"/>
              <w:marTop w:val="0"/>
              <w:marBottom w:val="0"/>
              <w:divBdr>
                <w:top w:val="none" w:sz="0" w:space="0" w:color="auto"/>
                <w:left w:val="none" w:sz="0" w:space="0" w:color="auto"/>
                <w:bottom w:val="none" w:sz="0" w:space="0" w:color="auto"/>
                <w:right w:val="none" w:sz="0" w:space="0" w:color="auto"/>
              </w:divBdr>
              <w:divsChild>
                <w:div w:id="1509908383">
                  <w:marLeft w:val="0"/>
                  <w:marRight w:val="1"/>
                  <w:marTop w:val="0"/>
                  <w:marBottom w:val="0"/>
                  <w:divBdr>
                    <w:top w:val="none" w:sz="0" w:space="0" w:color="auto"/>
                    <w:left w:val="none" w:sz="0" w:space="0" w:color="auto"/>
                    <w:bottom w:val="none" w:sz="0" w:space="0" w:color="auto"/>
                    <w:right w:val="none" w:sz="0" w:space="0" w:color="auto"/>
                  </w:divBdr>
                  <w:divsChild>
                    <w:div w:id="193662445">
                      <w:marLeft w:val="0"/>
                      <w:marRight w:val="0"/>
                      <w:marTop w:val="0"/>
                      <w:marBottom w:val="0"/>
                      <w:divBdr>
                        <w:top w:val="none" w:sz="0" w:space="0" w:color="auto"/>
                        <w:left w:val="none" w:sz="0" w:space="0" w:color="auto"/>
                        <w:bottom w:val="none" w:sz="0" w:space="0" w:color="auto"/>
                        <w:right w:val="none" w:sz="0" w:space="0" w:color="auto"/>
                      </w:divBdr>
                      <w:divsChild>
                        <w:div w:id="1080441617">
                          <w:marLeft w:val="0"/>
                          <w:marRight w:val="0"/>
                          <w:marTop w:val="0"/>
                          <w:marBottom w:val="0"/>
                          <w:divBdr>
                            <w:top w:val="none" w:sz="0" w:space="0" w:color="auto"/>
                            <w:left w:val="none" w:sz="0" w:space="0" w:color="auto"/>
                            <w:bottom w:val="none" w:sz="0" w:space="0" w:color="auto"/>
                            <w:right w:val="none" w:sz="0" w:space="0" w:color="auto"/>
                          </w:divBdr>
                          <w:divsChild>
                            <w:div w:id="1314413666">
                              <w:marLeft w:val="0"/>
                              <w:marRight w:val="0"/>
                              <w:marTop w:val="120"/>
                              <w:marBottom w:val="360"/>
                              <w:divBdr>
                                <w:top w:val="none" w:sz="0" w:space="0" w:color="auto"/>
                                <w:left w:val="none" w:sz="0" w:space="0" w:color="auto"/>
                                <w:bottom w:val="none" w:sz="0" w:space="0" w:color="auto"/>
                                <w:right w:val="none" w:sz="0" w:space="0" w:color="auto"/>
                              </w:divBdr>
                              <w:divsChild>
                                <w:div w:id="491675200">
                                  <w:marLeft w:val="0"/>
                                  <w:marRight w:val="0"/>
                                  <w:marTop w:val="0"/>
                                  <w:marBottom w:val="0"/>
                                  <w:divBdr>
                                    <w:top w:val="none" w:sz="0" w:space="0" w:color="auto"/>
                                    <w:left w:val="none" w:sz="0" w:space="0" w:color="auto"/>
                                    <w:bottom w:val="none" w:sz="0" w:space="0" w:color="auto"/>
                                    <w:right w:val="none" w:sz="0" w:space="0" w:color="auto"/>
                                  </w:divBdr>
                                  <w:divsChild>
                                    <w:div w:id="11599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18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nry.Parkman@tuhs.temp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E78C1-445B-4528-9EA1-E0695115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29991</Words>
  <Characters>170949</Characters>
  <Application>Microsoft Office Word</Application>
  <DocSecurity>0</DocSecurity>
  <Lines>1424</Lines>
  <Paragraphs>401</Paragraphs>
  <ScaleCrop>false</ScaleCrop>
  <HeadingPairs>
    <vt:vector size="2" baseType="variant">
      <vt:variant>
        <vt:lpstr>Title</vt:lpstr>
      </vt:variant>
      <vt:variant>
        <vt:i4>1</vt:i4>
      </vt:variant>
    </vt:vector>
  </HeadingPairs>
  <TitlesOfParts>
    <vt:vector size="1" baseType="lpstr">
      <vt:lpstr/>
    </vt:vector>
  </TitlesOfParts>
  <Company>Reading Health System</Company>
  <LinksUpToDate>false</LinksUpToDate>
  <CharactersWithSpaces>200539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Jehangir, Asad, MD</dc:creator>
  <cp:lastModifiedBy>Na Ma</cp:lastModifiedBy>
  <cp:revision>2</cp:revision>
  <dcterms:created xsi:type="dcterms:W3CDTF">2017-09-19T20:19:00Z</dcterms:created>
  <dcterms:modified xsi:type="dcterms:W3CDTF">2017-09-19T20:19:00Z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zotero-version="4.0.29.21"&gt;&lt;session id="4e6aflsU"/&gt;&lt;style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value=""/&gt;&lt;pref name="noteType" value=""/&gt;&lt;/prefs&gt;&lt;/data&gt;</vt:lpwstr>
  </property>
</Properties>
</file>