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FE2703" w14:textId="77777777" w:rsidR="00082FE8" w:rsidRPr="00612653" w:rsidRDefault="00082FE8" w:rsidP="00082279">
      <w:pPr>
        <w:snapToGrid w:val="0"/>
        <w:spacing w:after="0" w:line="360" w:lineRule="auto"/>
        <w:jc w:val="both"/>
        <w:rPr>
          <w:rFonts w:ascii="Book Antiqua" w:eastAsia="SimSun" w:hAnsi="Book Antiqua" w:cs="Times New Roman"/>
          <w:b/>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612653">
        <w:rPr>
          <w:rFonts w:ascii="Book Antiqua" w:eastAsia="SimSun" w:hAnsi="Book Antiqua" w:cs="Times New Roman"/>
          <w:b/>
          <w:sz w:val="24"/>
          <w:szCs w:val="24"/>
          <w:lang w:val="en-US" w:eastAsia="zh-CN"/>
        </w:rPr>
        <w:t xml:space="preserve">Name of </w:t>
      </w:r>
      <w:r w:rsidRPr="00612653">
        <w:rPr>
          <w:rFonts w:ascii="Book Antiqua" w:eastAsia="SimSun" w:hAnsi="Book Antiqua" w:cs="Times New Roman"/>
          <w:b/>
          <w:caps/>
          <w:sz w:val="24"/>
          <w:szCs w:val="24"/>
          <w:lang w:val="en-US" w:eastAsia="zh-CN"/>
        </w:rPr>
        <w:t>j</w:t>
      </w:r>
      <w:r w:rsidRPr="00612653">
        <w:rPr>
          <w:rFonts w:ascii="Book Antiqua" w:eastAsia="SimSun" w:hAnsi="Book Antiqua" w:cs="Times New Roman"/>
          <w:b/>
          <w:sz w:val="24"/>
          <w:szCs w:val="24"/>
          <w:lang w:val="en-US" w:eastAsia="zh-CN"/>
        </w:rPr>
        <w:t xml:space="preserve">ournal: </w:t>
      </w:r>
      <w:bookmarkStart w:id="19" w:name="OLE_LINK718"/>
      <w:bookmarkStart w:id="20" w:name="OLE_LINK719"/>
      <w:r w:rsidRPr="00612653">
        <w:rPr>
          <w:rFonts w:ascii="Book Antiqua" w:eastAsia="SimSun" w:hAnsi="Book Antiqua" w:cs="Times New Roman"/>
          <w:b/>
          <w:i/>
          <w:sz w:val="24"/>
          <w:szCs w:val="24"/>
          <w:lang w:val="en-US" w:eastAsia="zh-CN"/>
        </w:rPr>
        <w:t>World Journal of Gastroenterology</w:t>
      </w:r>
      <w:bookmarkEnd w:id="19"/>
      <w:bookmarkEnd w:id="20"/>
    </w:p>
    <w:p w14:paraId="522B4D72" w14:textId="5694C97A" w:rsidR="00082FE8" w:rsidRPr="00612653" w:rsidRDefault="00082FE8" w:rsidP="00082279">
      <w:pPr>
        <w:snapToGrid w:val="0"/>
        <w:spacing w:after="0" w:line="360" w:lineRule="auto"/>
        <w:jc w:val="both"/>
        <w:rPr>
          <w:rFonts w:ascii="Book Antiqua" w:eastAsia="SimSun" w:hAnsi="Book Antiqua" w:cs="Times New Roman"/>
          <w:b/>
          <w:i/>
          <w:sz w:val="24"/>
          <w:szCs w:val="24"/>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612653">
        <w:rPr>
          <w:rFonts w:ascii="Book Antiqua" w:eastAsia="SimSun" w:hAnsi="Book Antiqua" w:cs="Times New Roman"/>
          <w:b/>
          <w:sz w:val="24"/>
          <w:szCs w:val="24"/>
          <w:lang w:val="pl-PL" w:eastAsia="zh-CN"/>
        </w:rPr>
        <w:t>Manuscript NO:</w:t>
      </w:r>
      <w:bookmarkEnd w:id="21"/>
      <w:bookmarkEnd w:id="22"/>
      <w:bookmarkEnd w:id="23"/>
      <w:bookmarkEnd w:id="24"/>
      <w:r w:rsidRPr="00612653">
        <w:rPr>
          <w:rFonts w:ascii="Book Antiqua" w:eastAsia="SimSun" w:hAnsi="Book Antiqua" w:cs="Times New Roman"/>
          <w:b/>
          <w:sz w:val="24"/>
          <w:szCs w:val="24"/>
          <w:lang w:val="pl-PL" w:eastAsia="zh-CN"/>
        </w:rPr>
        <w:t xml:space="preserve"> 36349</w:t>
      </w:r>
    </w:p>
    <w:p w14:paraId="782BC698" w14:textId="77777777" w:rsidR="00082FE8" w:rsidRPr="00612653" w:rsidRDefault="00082FE8" w:rsidP="00082279">
      <w:pPr>
        <w:snapToGrid w:val="0"/>
        <w:spacing w:after="0" w:line="360" w:lineRule="auto"/>
        <w:jc w:val="both"/>
        <w:rPr>
          <w:rFonts w:ascii="Book Antiqua" w:hAnsi="Book Antiqua"/>
          <w:b/>
          <w:sz w:val="24"/>
          <w:szCs w:val="24"/>
          <w:lang w:val="en-US"/>
        </w:rPr>
      </w:pPr>
      <w:bookmarkStart w:id="27" w:name="OLE_LINK995"/>
      <w:bookmarkStart w:id="28" w:name="OLE_LINK99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5"/>
      <w:bookmarkEnd w:id="26"/>
      <w:r w:rsidRPr="00612653">
        <w:rPr>
          <w:rFonts w:ascii="Book Antiqua" w:hAnsi="Book Antiqua"/>
          <w:b/>
          <w:sz w:val="24"/>
          <w:szCs w:val="24"/>
          <w:shd w:val="clear" w:color="auto" w:fill="FFFFFF"/>
          <w:lang w:val="en-US"/>
        </w:rPr>
        <w:t>Manuscript Type</w:t>
      </w:r>
      <w:r w:rsidRPr="00612653">
        <w:rPr>
          <w:rFonts w:ascii="Book Antiqua" w:hAnsi="Book Antiqua"/>
          <w:b/>
          <w:sz w:val="24"/>
          <w:szCs w:val="24"/>
          <w:lang w:val="en-US"/>
        </w:rPr>
        <w:t>: ORIGINAL ARTICLE</w:t>
      </w:r>
    </w:p>
    <w:p w14:paraId="29ABFF28" w14:textId="77777777" w:rsidR="00082FE8" w:rsidRPr="00612653" w:rsidRDefault="00082FE8" w:rsidP="00082279">
      <w:pPr>
        <w:snapToGrid w:val="0"/>
        <w:spacing w:after="0" w:line="360" w:lineRule="auto"/>
        <w:jc w:val="both"/>
        <w:rPr>
          <w:rFonts w:ascii="Book Antiqua" w:hAnsi="Book Antiqua"/>
          <w:b/>
          <w:i/>
          <w:sz w:val="24"/>
          <w:szCs w:val="24"/>
          <w:lang w:val="en-US" w:eastAsia="zh-CN"/>
        </w:rPr>
      </w:pPr>
    </w:p>
    <w:p w14:paraId="6C2C5CBA" w14:textId="46686903" w:rsidR="008A4A19" w:rsidRPr="00612653" w:rsidRDefault="00082FE8" w:rsidP="00082279">
      <w:pPr>
        <w:snapToGrid w:val="0"/>
        <w:spacing w:after="0" w:line="360" w:lineRule="auto"/>
        <w:jc w:val="both"/>
        <w:rPr>
          <w:rFonts w:ascii="Book Antiqua" w:hAnsi="Book Antiqua"/>
          <w:i/>
          <w:sz w:val="24"/>
          <w:szCs w:val="24"/>
          <w:lang w:val="en-US" w:eastAsia="zh-CN"/>
        </w:rPr>
      </w:pPr>
      <w:r w:rsidRPr="00612653">
        <w:rPr>
          <w:rFonts w:ascii="Book Antiqua" w:hAnsi="Book Antiqua"/>
          <w:b/>
          <w:i/>
          <w:sz w:val="24"/>
          <w:szCs w:val="24"/>
          <w:lang w:val="en-US"/>
        </w:rPr>
        <w:t>Basic Study</w:t>
      </w:r>
      <w:bookmarkEnd w:id="27"/>
      <w:bookmarkEnd w:id="28"/>
    </w:p>
    <w:p w14:paraId="3F671AF1" w14:textId="585F6235" w:rsidR="00F67408" w:rsidRPr="00612653" w:rsidRDefault="0044340A" w:rsidP="00082279">
      <w:pPr>
        <w:snapToGrid w:val="0"/>
        <w:spacing w:after="0" w:line="360" w:lineRule="auto"/>
        <w:jc w:val="both"/>
        <w:rPr>
          <w:rFonts w:ascii="Book Antiqua" w:hAnsi="Book Antiqua"/>
          <w:b/>
          <w:bCs/>
          <w:sz w:val="24"/>
          <w:szCs w:val="24"/>
          <w:lang w:val="en-US"/>
        </w:rPr>
      </w:pPr>
      <w:r w:rsidRPr="00612653">
        <w:rPr>
          <w:rFonts w:ascii="Book Antiqua" w:hAnsi="Book Antiqua"/>
          <w:b/>
          <w:bCs/>
          <w:sz w:val="24"/>
          <w:szCs w:val="24"/>
          <w:lang w:val="en-US"/>
        </w:rPr>
        <w:t>Metabolic and hepatic e</w:t>
      </w:r>
      <w:r w:rsidR="00F67408" w:rsidRPr="00612653">
        <w:rPr>
          <w:rFonts w:ascii="Book Antiqua" w:hAnsi="Book Antiqua"/>
          <w:b/>
          <w:bCs/>
          <w:sz w:val="24"/>
          <w:szCs w:val="24"/>
          <w:lang w:val="en-US"/>
        </w:rPr>
        <w:t>ffects of liraglutide, obeticholic acid</w:t>
      </w:r>
      <w:r w:rsidR="00C0348A" w:rsidRPr="00612653">
        <w:rPr>
          <w:rFonts w:ascii="Book Antiqua" w:hAnsi="Book Antiqua"/>
          <w:b/>
          <w:bCs/>
          <w:sz w:val="24"/>
          <w:szCs w:val="24"/>
          <w:lang w:val="en-US"/>
        </w:rPr>
        <w:t xml:space="preserve"> and elafibranor</w:t>
      </w:r>
      <w:r w:rsidR="00F67408" w:rsidRPr="00612653">
        <w:rPr>
          <w:rFonts w:ascii="Book Antiqua" w:hAnsi="Book Antiqua"/>
          <w:b/>
          <w:bCs/>
          <w:sz w:val="24"/>
          <w:szCs w:val="24"/>
          <w:lang w:val="en-US"/>
        </w:rPr>
        <w:t xml:space="preserve"> in</w:t>
      </w:r>
      <w:r w:rsidR="7B7C5168" w:rsidRPr="00612653">
        <w:rPr>
          <w:rFonts w:ascii="Book Antiqua" w:hAnsi="Book Antiqua"/>
          <w:b/>
          <w:bCs/>
          <w:sz w:val="24"/>
          <w:szCs w:val="24"/>
          <w:lang w:val="en-US"/>
        </w:rPr>
        <w:t xml:space="preserve"> </w:t>
      </w:r>
      <w:r w:rsidR="00D86D96" w:rsidRPr="00612653">
        <w:rPr>
          <w:rFonts w:ascii="Book Antiqua" w:hAnsi="Book Antiqua"/>
          <w:b/>
          <w:bCs/>
          <w:sz w:val="24"/>
          <w:szCs w:val="24"/>
          <w:lang w:val="en-US"/>
        </w:rPr>
        <w:t xml:space="preserve">diet-induced </w:t>
      </w:r>
      <w:r w:rsidR="00091480" w:rsidRPr="00612653">
        <w:rPr>
          <w:rFonts w:ascii="Book Antiqua" w:hAnsi="Book Antiqua"/>
          <w:b/>
          <w:bCs/>
          <w:sz w:val="24"/>
          <w:szCs w:val="24"/>
          <w:lang w:val="en-US"/>
        </w:rPr>
        <w:t xml:space="preserve">obese </w:t>
      </w:r>
      <w:r w:rsidR="506A8B6D" w:rsidRPr="00612653">
        <w:rPr>
          <w:rFonts w:ascii="Book Antiqua" w:hAnsi="Book Antiqua"/>
          <w:b/>
          <w:bCs/>
          <w:sz w:val="24"/>
          <w:szCs w:val="24"/>
          <w:lang w:val="en-US"/>
        </w:rPr>
        <w:t xml:space="preserve">mouse models of </w:t>
      </w:r>
      <w:r w:rsidR="00091480" w:rsidRPr="00612653">
        <w:rPr>
          <w:rFonts w:ascii="Book Antiqua" w:hAnsi="Book Antiqua"/>
          <w:b/>
          <w:bCs/>
          <w:sz w:val="24"/>
          <w:szCs w:val="24"/>
          <w:lang w:val="en-US"/>
        </w:rPr>
        <w:t xml:space="preserve">biopsy-confirmed </w:t>
      </w:r>
      <w:r w:rsidR="00CC70D5" w:rsidRPr="00612653">
        <w:rPr>
          <w:rFonts w:ascii="Book Antiqua" w:hAnsi="Book Antiqua"/>
          <w:b/>
          <w:bCs/>
          <w:sz w:val="24"/>
          <w:szCs w:val="24"/>
          <w:lang w:val="en-US"/>
        </w:rPr>
        <w:t>nonalcoholic steatohepatitis</w:t>
      </w:r>
    </w:p>
    <w:p w14:paraId="62178545" w14:textId="77777777" w:rsidR="008A4A19" w:rsidRPr="00612653" w:rsidRDefault="008A4A19" w:rsidP="00082279">
      <w:pPr>
        <w:snapToGrid w:val="0"/>
        <w:spacing w:after="0" w:line="360" w:lineRule="auto"/>
        <w:jc w:val="both"/>
        <w:rPr>
          <w:rFonts w:ascii="Book Antiqua" w:hAnsi="Book Antiqua"/>
          <w:b/>
          <w:sz w:val="24"/>
          <w:szCs w:val="24"/>
          <w:lang w:val="en-GB" w:eastAsia="zh-CN"/>
        </w:rPr>
      </w:pPr>
    </w:p>
    <w:p w14:paraId="3B60861A" w14:textId="6FFAE2D4" w:rsidR="008A4A19" w:rsidRPr="00612653" w:rsidRDefault="008A4A19" w:rsidP="00082279">
      <w:pPr>
        <w:snapToGrid w:val="0"/>
        <w:spacing w:after="0" w:line="360" w:lineRule="auto"/>
        <w:jc w:val="both"/>
        <w:rPr>
          <w:rFonts w:ascii="Book Antiqua" w:eastAsia="Times New Roman,Arial" w:hAnsi="Book Antiqua"/>
          <w:sz w:val="24"/>
          <w:szCs w:val="24"/>
          <w:lang w:val="en-US"/>
        </w:rPr>
      </w:pPr>
      <w:r w:rsidRPr="00612653">
        <w:rPr>
          <w:rFonts w:ascii="Book Antiqua" w:hAnsi="Book Antiqua"/>
          <w:sz w:val="24"/>
          <w:szCs w:val="24"/>
          <w:lang w:val="en-US"/>
        </w:rPr>
        <w:t>Tølbøl</w:t>
      </w:r>
      <w:r w:rsidRPr="00612653">
        <w:rPr>
          <w:rFonts w:ascii="Book Antiqua" w:eastAsia="Times New Roman,Arial" w:hAnsi="Book Antiqua"/>
          <w:sz w:val="24"/>
          <w:szCs w:val="24"/>
          <w:lang w:val="en-US"/>
        </w:rPr>
        <w:t xml:space="preserve"> </w:t>
      </w:r>
      <w:r w:rsidRPr="00612653">
        <w:rPr>
          <w:rFonts w:ascii="Book Antiqua" w:hAnsi="Book Antiqua"/>
          <w:sz w:val="24"/>
          <w:szCs w:val="24"/>
          <w:lang w:val="en-US" w:eastAsia="zh-CN"/>
        </w:rPr>
        <w:t xml:space="preserve">KS </w:t>
      </w:r>
      <w:r w:rsidRPr="00612653">
        <w:rPr>
          <w:rFonts w:ascii="Book Antiqua" w:hAnsi="Book Antiqua"/>
          <w:i/>
          <w:sz w:val="24"/>
          <w:szCs w:val="24"/>
          <w:lang w:val="en-US" w:eastAsia="zh-CN"/>
        </w:rPr>
        <w:t>et al</w:t>
      </w:r>
      <w:r w:rsidRPr="00612653">
        <w:rPr>
          <w:rFonts w:ascii="Book Antiqua" w:hAnsi="Book Antiqua"/>
          <w:sz w:val="24"/>
          <w:szCs w:val="24"/>
          <w:lang w:val="en-US" w:eastAsia="zh-CN"/>
        </w:rPr>
        <w:t xml:space="preserve">. </w:t>
      </w:r>
      <w:r w:rsidRPr="00612653">
        <w:rPr>
          <w:rFonts w:ascii="Book Antiqua" w:eastAsia="Times New Roman,Arial" w:hAnsi="Book Antiqua"/>
          <w:sz w:val="24"/>
          <w:szCs w:val="24"/>
          <w:lang w:val="en-US"/>
        </w:rPr>
        <w:t>Pharmacodynamics in mouse models of biopsy-confirmed NASH</w:t>
      </w:r>
    </w:p>
    <w:p w14:paraId="6659F565" w14:textId="77777777" w:rsidR="008A4A19" w:rsidRPr="00612653" w:rsidRDefault="008A4A19" w:rsidP="00082279">
      <w:pPr>
        <w:snapToGrid w:val="0"/>
        <w:spacing w:after="0" w:line="360" w:lineRule="auto"/>
        <w:jc w:val="both"/>
        <w:rPr>
          <w:rFonts w:ascii="Book Antiqua" w:hAnsi="Book Antiqua"/>
          <w:sz w:val="24"/>
          <w:szCs w:val="24"/>
          <w:lang w:val="en-US" w:eastAsia="zh-CN"/>
        </w:rPr>
      </w:pPr>
    </w:p>
    <w:p w14:paraId="1B5E31DA" w14:textId="158632ED" w:rsidR="000B6884" w:rsidRPr="00612653" w:rsidRDefault="000B6884" w:rsidP="00082279">
      <w:pPr>
        <w:snapToGrid w:val="0"/>
        <w:spacing w:after="0" w:line="360" w:lineRule="auto"/>
        <w:jc w:val="both"/>
        <w:rPr>
          <w:rFonts w:ascii="Book Antiqua" w:hAnsi="Book Antiqua"/>
          <w:sz w:val="24"/>
          <w:szCs w:val="24"/>
          <w:vertAlign w:val="superscript"/>
          <w:lang w:val="en-US" w:eastAsia="zh-CN"/>
        </w:rPr>
      </w:pPr>
      <w:r w:rsidRPr="00612653">
        <w:rPr>
          <w:rFonts w:ascii="Book Antiqua" w:hAnsi="Book Antiqua"/>
          <w:sz w:val="24"/>
          <w:szCs w:val="24"/>
          <w:lang w:val="en-US"/>
        </w:rPr>
        <w:t>Kirstine S</w:t>
      </w:r>
      <w:r w:rsidR="008A4A19" w:rsidRPr="00612653">
        <w:rPr>
          <w:rFonts w:ascii="Book Antiqua" w:hAnsi="Book Antiqua"/>
          <w:sz w:val="24"/>
          <w:szCs w:val="24"/>
          <w:lang w:val="en-US" w:eastAsia="zh-CN"/>
        </w:rPr>
        <w:t xml:space="preserve"> </w:t>
      </w:r>
      <w:r w:rsidRPr="00612653">
        <w:rPr>
          <w:rFonts w:ascii="Book Antiqua" w:hAnsi="Book Antiqua"/>
          <w:sz w:val="24"/>
          <w:szCs w:val="24"/>
          <w:lang w:val="en-US"/>
        </w:rPr>
        <w:t>Tølbøl</w:t>
      </w:r>
      <w:r w:rsidR="008A4A19" w:rsidRPr="00612653">
        <w:rPr>
          <w:rFonts w:ascii="Book Antiqua" w:hAnsi="Book Antiqua"/>
          <w:sz w:val="24"/>
          <w:szCs w:val="24"/>
          <w:lang w:val="en-US"/>
        </w:rPr>
        <w:t>, Maria N</w:t>
      </w:r>
      <w:r w:rsidRPr="00612653">
        <w:rPr>
          <w:rFonts w:ascii="Book Antiqua" w:hAnsi="Book Antiqua"/>
          <w:sz w:val="24"/>
          <w:szCs w:val="24"/>
          <w:lang w:val="en-US"/>
        </w:rPr>
        <w:t>B</w:t>
      </w:r>
      <w:r w:rsidR="008A4A19" w:rsidRPr="00612653">
        <w:rPr>
          <w:rFonts w:ascii="Book Antiqua" w:hAnsi="Book Antiqua"/>
          <w:sz w:val="24"/>
          <w:szCs w:val="24"/>
          <w:lang w:val="en-US" w:eastAsia="zh-CN"/>
        </w:rPr>
        <w:t xml:space="preserve"> </w:t>
      </w:r>
      <w:r w:rsidRPr="00612653">
        <w:rPr>
          <w:rFonts w:ascii="Book Antiqua" w:hAnsi="Book Antiqua"/>
          <w:sz w:val="24"/>
          <w:szCs w:val="24"/>
          <w:lang w:val="en-US"/>
        </w:rPr>
        <w:t xml:space="preserve">Kristiansen, </w:t>
      </w:r>
      <w:r w:rsidR="00FA3CEF" w:rsidRPr="00612653">
        <w:rPr>
          <w:rFonts w:ascii="Book Antiqua" w:hAnsi="Book Antiqua"/>
          <w:sz w:val="24"/>
          <w:szCs w:val="24"/>
          <w:lang w:val="en-US"/>
        </w:rPr>
        <w:t xml:space="preserve">Henrik </w:t>
      </w:r>
      <w:r w:rsidR="00155A1C" w:rsidRPr="00612653">
        <w:rPr>
          <w:rFonts w:ascii="Book Antiqua" w:hAnsi="Book Antiqua"/>
          <w:sz w:val="24"/>
          <w:szCs w:val="24"/>
          <w:lang w:val="en-US"/>
        </w:rPr>
        <w:t>H</w:t>
      </w:r>
      <w:r w:rsidR="008A4A19" w:rsidRPr="00612653">
        <w:rPr>
          <w:rFonts w:ascii="Book Antiqua" w:hAnsi="Book Antiqua"/>
          <w:sz w:val="24"/>
          <w:szCs w:val="24"/>
          <w:lang w:val="en-US" w:eastAsia="zh-CN"/>
        </w:rPr>
        <w:t xml:space="preserve"> </w:t>
      </w:r>
      <w:r w:rsidR="00FA3CEF" w:rsidRPr="00612653">
        <w:rPr>
          <w:rFonts w:ascii="Book Antiqua" w:hAnsi="Book Antiqua"/>
          <w:sz w:val="24"/>
          <w:szCs w:val="24"/>
          <w:lang w:val="en-US"/>
        </w:rPr>
        <w:t>Hansen</w:t>
      </w:r>
      <w:r w:rsidRPr="00612653">
        <w:rPr>
          <w:rFonts w:ascii="Book Antiqua" w:hAnsi="Book Antiqua"/>
          <w:sz w:val="24"/>
          <w:szCs w:val="24"/>
          <w:lang w:val="en-US"/>
        </w:rPr>
        <w:t>, Sanne</w:t>
      </w:r>
      <w:r w:rsidR="00E74C8B" w:rsidRPr="00612653">
        <w:rPr>
          <w:rFonts w:ascii="Book Antiqua" w:hAnsi="Book Antiqua"/>
          <w:sz w:val="24"/>
          <w:szCs w:val="24"/>
          <w:lang w:val="en-US"/>
        </w:rPr>
        <w:t xml:space="preserve"> S</w:t>
      </w:r>
      <w:r w:rsidR="008A4A19" w:rsidRPr="00612653">
        <w:rPr>
          <w:rFonts w:ascii="Book Antiqua" w:hAnsi="Book Antiqua"/>
          <w:sz w:val="24"/>
          <w:szCs w:val="24"/>
          <w:lang w:val="en-US" w:eastAsia="zh-CN"/>
        </w:rPr>
        <w:t xml:space="preserve"> </w:t>
      </w:r>
      <w:r w:rsidRPr="00612653">
        <w:rPr>
          <w:rFonts w:ascii="Book Antiqua" w:hAnsi="Book Antiqua"/>
          <w:sz w:val="24"/>
          <w:szCs w:val="24"/>
          <w:lang w:val="en-US"/>
        </w:rPr>
        <w:t xml:space="preserve">Veidal, Kristoffer </w:t>
      </w:r>
      <w:r w:rsidR="00EA0792" w:rsidRPr="00612653">
        <w:rPr>
          <w:rFonts w:ascii="Book Antiqua" w:hAnsi="Book Antiqua"/>
          <w:sz w:val="24"/>
          <w:szCs w:val="24"/>
          <w:lang w:val="en-US"/>
        </w:rPr>
        <w:t>T</w:t>
      </w:r>
      <w:r w:rsidR="00174AC1" w:rsidRPr="00612653">
        <w:rPr>
          <w:rFonts w:ascii="Book Antiqua" w:hAnsi="Book Antiqua"/>
          <w:sz w:val="24"/>
          <w:szCs w:val="24"/>
          <w:lang w:val="en-US"/>
        </w:rPr>
        <w:t>G</w:t>
      </w:r>
      <w:r w:rsidR="008A4A19" w:rsidRPr="00612653">
        <w:rPr>
          <w:rFonts w:ascii="Book Antiqua" w:hAnsi="Book Antiqua"/>
          <w:sz w:val="24"/>
          <w:szCs w:val="24"/>
          <w:lang w:val="en-US" w:eastAsia="zh-CN"/>
        </w:rPr>
        <w:t xml:space="preserve"> </w:t>
      </w:r>
      <w:r w:rsidRPr="00612653">
        <w:rPr>
          <w:rFonts w:ascii="Book Antiqua" w:hAnsi="Book Antiqua"/>
          <w:sz w:val="24"/>
          <w:szCs w:val="24"/>
          <w:lang w:val="en-US"/>
        </w:rPr>
        <w:t>Rigbolt,</w:t>
      </w:r>
      <w:r w:rsidR="00DB4248" w:rsidRPr="00612653">
        <w:rPr>
          <w:rFonts w:ascii="Book Antiqua" w:hAnsi="Book Antiqua"/>
          <w:sz w:val="24"/>
          <w:szCs w:val="24"/>
          <w:lang w:val="en-US"/>
        </w:rPr>
        <w:t xml:space="preserve"> Matt</w:t>
      </w:r>
      <w:r w:rsidR="00A85DEC" w:rsidRPr="00612653">
        <w:rPr>
          <w:rFonts w:ascii="Book Antiqua" w:hAnsi="Book Antiqua"/>
          <w:sz w:val="24"/>
          <w:szCs w:val="24"/>
          <w:lang w:val="en-US"/>
        </w:rPr>
        <w:t>hew P</w:t>
      </w:r>
      <w:r w:rsidR="008A4A19" w:rsidRPr="00612653">
        <w:rPr>
          <w:rFonts w:ascii="Book Antiqua" w:hAnsi="Book Antiqua"/>
          <w:sz w:val="24"/>
          <w:szCs w:val="24"/>
          <w:lang w:val="en-US" w:eastAsia="zh-CN"/>
        </w:rPr>
        <w:t xml:space="preserve"> </w:t>
      </w:r>
      <w:r w:rsidR="00DB4248" w:rsidRPr="00612653">
        <w:rPr>
          <w:rFonts w:ascii="Book Antiqua" w:hAnsi="Book Antiqua"/>
          <w:sz w:val="24"/>
          <w:szCs w:val="24"/>
          <w:lang w:val="en-US"/>
        </w:rPr>
        <w:t>Gillum,</w:t>
      </w:r>
      <w:r w:rsidRPr="00612653">
        <w:rPr>
          <w:rFonts w:ascii="Book Antiqua" w:hAnsi="Book Antiqua"/>
          <w:sz w:val="24"/>
          <w:szCs w:val="24"/>
          <w:lang w:val="en-US"/>
        </w:rPr>
        <w:t xml:space="preserve"> Jacob Jelsing, Niels Vrang, </w:t>
      </w:r>
      <w:r w:rsidR="00FA3CEF" w:rsidRPr="00612653">
        <w:rPr>
          <w:rFonts w:ascii="Book Antiqua" w:hAnsi="Book Antiqua"/>
          <w:sz w:val="24"/>
          <w:szCs w:val="24"/>
          <w:lang w:val="en-US"/>
        </w:rPr>
        <w:t>Michael Feigh</w:t>
      </w:r>
    </w:p>
    <w:p w14:paraId="773C50C9" w14:textId="77777777" w:rsidR="008A4A19" w:rsidRPr="00612653" w:rsidRDefault="008A4A19" w:rsidP="00082279">
      <w:pPr>
        <w:snapToGrid w:val="0"/>
        <w:spacing w:after="0" w:line="360" w:lineRule="auto"/>
        <w:jc w:val="both"/>
        <w:rPr>
          <w:rFonts w:ascii="Book Antiqua" w:hAnsi="Book Antiqua"/>
          <w:sz w:val="24"/>
          <w:szCs w:val="24"/>
          <w:lang w:val="en-US" w:eastAsia="zh-CN"/>
        </w:rPr>
      </w:pPr>
    </w:p>
    <w:p w14:paraId="542A671D" w14:textId="6C9CEE9E" w:rsidR="008A4A19" w:rsidRPr="00612653" w:rsidRDefault="008A4A19" w:rsidP="00082279">
      <w:pPr>
        <w:snapToGrid w:val="0"/>
        <w:spacing w:after="0" w:line="360" w:lineRule="auto"/>
        <w:jc w:val="both"/>
        <w:rPr>
          <w:rFonts w:ascii="Book Antiqua" w:hAnsi="Book Antiqua"/>
          <w:sz w:val="24"/>
          <w:szCs w:val="24"/>
          <w:vertAlign w:val="superscript"/>
          <w:lang w:val="en-US" w:eastAsia="zh-CN"/>
        </w:rPr>
      </w:pPr>
      <w:r w:rsidRPr="00612653">
        <w:rPr>
          <w:rFonts w:ascii="Book Antiqua" w:hAnsi="Book Antiqua"/>
          <w:b/>
          <w:sz w:val="24"/>
          <w:szCs w:val="24"/>
          <w:lang w:val="en-US"/>
        </w:rPr>
        <w:t>Kirstine S</w:t>
      </w:r>
      <w:r w:rsidRPr="00612653">
        <w:rPr>
          <w:rFonts w:ascii="Book Antiqua" w:hAnsi="Book Antiqua"/>
          <w:b/>
          <w:sz w:val="24"/>
          <w:szCs w:val="24"/>
          <w:lang w:val="en-US" w:eastAsia="zh-CN"/>
        </w:rPr>
        <w:t xml:space="preserve"> </w:t>
      </w:r>
      <w:r w:rsidRPr="00612653">
        <w:rPr>
          <w:rFonts w:ascii="Book Antiqua" w:hAnsi="Book Antiqua"/>
          <w:b/>
          <w:sz w:val="24"/>
          <w:szCs w:val="24"/>
          <w:lang w:val="en-US"/>
        </w:rPr>
        <w:t>Tølbøl, Maria NB</w:t>
      </w:r>
      <w:r w:rsidRPr="00612653">
        <w:rPr>
          <w:rFonts w:ascii="Book Antiqua" w:hAnsi="Book Antiqua"/>
          <w:b/>
          <w:sz w:val="24"/>
          <w:szCs w:val="24"/>
          <w:lang w:val="en-US" w:eastAsia="zh-CN"/>
        </w:rPr>
        <w:t xml:space="preserve"> </w:t>
      </w:r>
      <w:r w:rsidRPr="00612653">
        <w:rPr>
          <w:rFonts w:ascii="Book Antiqua" w:hAnsi="Book Antiqua"/>
          <w:b/>
          <w:sz w:val="24"/>
          <w:szCs w:val="24"/>
          <w:lang w:val="en-US"/>
        </w:rPr>
        <w:t>Kristiansen, Henrik H</w:t>
      </w:r>
      <w:r w:rsidRPr="00612653">
        <w:rPr>
          <w:rFonts w:ascii="Book Antiqua" w:hAnsi="Book Antiqua"/>
          <w:b/>
          <w:sz w:val="24"/>
          <w:szCs w:val="24"/>
          <w:lang w:val="en-US" w:eastAsia="zh-CN"/>
        </w:rPr>
        <w:t xml:space="preserve"> </w:t>
      </w:r>
      <w:r w:rsidRPr="00612653">
        <w:rPr>
          <w:rFonts w:ascii="Book Antiqua" w:hAnsi="Book Antiqua"/>
          <w:b/>
          <w:sz w:val="24"/>
          <w:szCs w:val="24"/>
          <w:lang w:val="en-US"/>
        </w:rPr>
        <w:t>Hansen, Sanne S</w:t>
      </w:r>
      <w:r w:rsidRPr="00612653">
        <w:rPr>
          <w:rFonts w:ascii="Book Antiqua" w:hAnsi="Book Antiqua"/>
          <w:b/>
          <w:sz w:val="24"/>
          <w:szCs w:val="24"/>
          <w:lang w:val="en-US" w:eastAsia="zh-CN"/>
        </w:rPr>
        <w:t xml:space="preserve"> </w:t>
      </w:r>
      <w:r w:rsidRPr="00612653">
        <w:rPr>
          <w:rFonts w:ascii="Book Antiqua" w:hAnsi="Book Antiqua"/>
          <w:b/>
          <w:sz w:val="24"/>
          <w:szCs w:val="24"/>
          <w:lang w:val="en-US"/>
        </w:rPr>
        <w:t>Veidal, Kristoffer TG</w:t>
      </w:r>
      <w:r w:rsidRPr="00612653">
        <w:rPr>
          <w:rFonts w:ascii="Book Antiqua" w:hAnsi="Book Antiqua"/>
          <w:b/>
          <w:sz w:val="24"/>
          <w:szCs w:val="24"/>
          <w:lang w:val="en-US" w:eastAsia="zh-CN"/>
        </w:rPr>
        <w:t xml:space="preserve"> </w:t>
      </w:r>
      <w:r w:rsidRPr="00612653">
        <w:rPr>
          <w:rFonts w:ascii="Book Antiqua" w:hAnsi="Book Antiqua"/>
          <w:b/>
          <w:sz w:val="24"/>
          <w:szCs w:val="24"/>
          <w:lang w:val="en-US"/>
        </w:rPr>
        <w:t>Rigbolt, Jacob Jelsing, Niels Vrang, Michael Feigh</w:t>
      </w:r>
      <w:r w:rsidRPr="00612653">
        <w:rPr>
          <w:rFonts w:ascii="Book Antiqua" w:hAnsi="Book Antiqua"/>
          <w:b/>
          <w:sz w:val="24"/>
          <w:szCs w:val="24"/>
          <w:lang w:val="en-US" w:eastAsia="zh-CN"/>
        </w:rPr>
        <w:t>,</w:t>
      </w:r>
      <w:r w:rsidR="00082FE8" w:rsidRPr="00612653">
        <w:rPr>
          <w:rFonts w:ascii="Book Antiqua" w:eastAsia="Times New Roman,Arial" w:hAnsi="Book Antiqua"/>
          <w:sz w:val="24"/>
          <w:szCs w:val="24"/>
          <w:vertAlign w:val="superscript"/>
          <w:lang w:val="en-US" w:eastAsia="zh-CN"/>
        </w:rPr>
        <w:t xml:space="preserve"> </w:t>
      </w:r>
      <w:r w:rsidR="000B6884" w:rsidRPr="00612653">
        <w:rPr>
          <w:rFonts w:ascii="Book Antiqua" w:eastAsia="Times New Roman,Arial" w:hAnsi="Book Antiqua"/>
          <w:sz w:val="24"/>
          <w:szCs w:val="24"/>
          <w:lang w:val="en-US"/>
        </w:rPr>
        <w:t>Gubra Aps</w:t>
      </w:r>
      <w:r w:rsidR="00F67408" w:rsidRPr="00612653">
        <w:rPr>
          <w:rFonts w:ascii="Book Antiqua" w:eastAsia="Times New Roman,Arial" w:hAnsi="Book Antiqua"/>
          <w:sz w:val="24"/>
          <w:szCs w:val="24"/>
          <w:lang w:val="en-US"/>
        </w:rPr>
        <w:t>, Hørsholm</w:t>
      </w:r>
      <w:r w:rsidRPr="00612653">
        <w:rPr>
          <w:rFonts w:ascii="Book Antiqua" w:eastAsia="Times New Roman,Arial" w:hAnsi="Book Antiqua"/>
          <w:sz w:val="24"/>
          <w:szCs w:val="24"/>
          <w:lang w:val="en-US" w:eastAsia="zh-CN"/>
        </w:rPr>
        <w:t xml:space="preserve"> </w:t>
      </w:r>
      <w:r w:rsidR="00F67408" w:rsidRPr="00612653">
        <w:rPr>
          <w:rFonts w:ascii="Book Antiqua" w:eastAsia="Times New Roman,Arial" w:hAnsi="Book Antiqua"/>
          <w:sz w:val="24"/>
          <w:szCs w:val="24"/>
          <w:lang w:val="en-US"/>
        </w:rPr>
        <w:t xml:space="preserve">DK-2970, </w:t>
      </w:r>
      <w:r w:rsidR="000B6884" w:rsidRPr="00612653">
        <w:rPr>
          <w:rFonts w:ascii="Book Antiqua" w:eastAsia="Times New Roman,Arial" w:hAnsi="Book Antiqua"/>
          <w:sz w:val="24"/>
          <w:szCs w:val="24"/>
          <w:lang w:val="en-US"/>
        </w:rPr>
        <w:t>Denmark</w:t>
      </w:r>
    </w:p>
    <w:p w14:paraId="01F117F6" w14:textId="77777777" w:rsidR="008A4A19" w:rsidRPr="00612653" w:rsidRDefault="008A4A19" w:rsidP="00082279">
      <w:pPr>
        <w:snapToGrid w:val="0"/>
        <w:spacing w:after="0" w:line="360" w:lineRule="auto"/>
        <w:jc w:val="both"/>
        <w:rPr>
          <w:rFonts w:ascii="Book Antiqua" w:hAnsi="Book Antiqua"/>
          <w:sz w:val="24"/>
          <w:szCs w:val="24"/>
          <w:vertAlign w:val="superscript"/>
          <w:lang w:val="en-US" w:eastAsia="zh-CN"/>
        </w:rPr>
      </w:pPr>
    </w:p>
    <w:p w14:paraId="0708508C" w14:textId="6D3F3030" w:rsidR="008A4A19" w:rsidRPr="00612653" w:rsidRDefault="00082FE8" w:rsidP="00082279">
      <w:pPr>
        <w:snapToGrid w:val="0"/>
        <w:spacing w:after="0" w:line="360" w:lineRule="auto"/>
        <w:jc w:val="both"/>
        <w:rPr>
          <w:rFonts w:ascii="Book Antiqua" w:hAnsi="Book Antiqua"/>
          <w:sz w:val="24"/>
          <w:szCs w:val="24"/>
          <w:lang w:val="en-US" w:eastAsia="zh-CN"/>
        </w:rPr>
      </w:pPr>
      <w:r w:rsidRPr="00612653">
        <w:rPr>
          <w:rFonts w:ascii="Book Antiqua" w:hAnsi="Book Antiqua"/>
          <w:b/>
          <w:sz w:val="24"/>
          <w:szCs w:val="24"/>
          <w:lang w:val="en-US"/>
        </w:rPr>
        <w:t>Kirstine S</w:t>
      </w:r>
      <w:r w:rsidRPr="00612653">
        <w:rPr>
          <w:rFonts w:ascii="Book Antiqua" w:hAnsi="Book Antiqua"/>
          <w:b/>
          <w:sz w:val="24"/>
          <w:szCs w:val="24"/>
          <w:lang w:val="en-US" w:eastAsia="zh-CN"/>
        </w:rPr>
        <w:t xml:space="preserve"> </w:t>
      </w:r>
      <w:r w:rsidRPr="00612653">
        <w:rPr>
          <w:rFonts w:ascii="Book Antiqua" w:hAnsi="Book Antiqua"/>
          <w:b/>
          <w:sz w:val="24"/>
          <w:szCs w:val="24"/>
          <w:lang w:val="en-US"/>
        </w:rPr>
        <w:t>Tølbøl, Maria NB</w:t>
      </w:r>
      <w:r w:rsidRPr="00612653">
        <w:rPr>
          <w:rFonts w:ascii="Book Antiqua" w:hAnsi="Book Antiqua"/>
          <w:b/>
          <w:sz w:val="24"/>
          <w:szCs w:val="24"/>
          <w:lang w:val="en-US" w:eastAsia="zh-CN"/>
        </w:rPr>
        <w:t xml:space="preserve"> </w:t>
      </w:r>
      <w:r w:rsidRPr="00612653">
        <w:rPr>
          <w:rFonts w:ascii="Book Antiqua" w:hAnsi="Book Antiqua"/>
          <w:b/>
          <w:sz w:val="24"/>
          <w:szCs w:val="24"/>
          <w:lang w:val="en-US"/>
        </w:rPr>
        <w:t>Kristiansen,</w:t>
      </w:r>
      <w:r w:rsidRPr="00612653">
        <w:rPr>
          <w:rFonts w:ascii="Book Antiqua" w:eastAsia="Times New Roman,Arial" w:hAnsi="Book Antiqua"/>
          <w:sz w:val="24"/>
          <w:szCs w:val="24"/>
          <w:vertAlign w:val="superscript"/>
          <w:lang w:val="en-US" w:eastAsia="zh-CN"/>
        </w:rPr>
        <w:t xml:space="preserve"> </w:t>
      </w:r>
      <w:r w:rsidR="00EB7E06" w:rsidRPr="00612653">
        <w:rPr>
          <w:rFonts w:ascii="Book Antiqua" w:eastAsia="Times New Roman,Arial" w:hAnsi="Book Antiqua"/>
          <w:sz w:val="24"/>
          <w:szCs w:val="24"/>
          <w:lang w:val="en-US"/>
        </w:rPr>
        <w:t xml:space="preserve">Department of Biomedical Sciences, </w:t>
      </w:r>
      <w:r w:rsidR="001D3822" w:rsidRPr="00612653">
        <w:rPr>
          <w:rFonts w:ascii="Book Antiqua" w:eastAsia="Times New Roman,Arial" w:hAnsi="Book Antiqua"/>
          <w:sz w:val="24"/>
          <w:szCs w:val="24"/>
          <w:lang w:val="en-US"/>
        </w:rPr>
        <w:t>Faculty of Health Sciences</w:t>
      </w:r>
      <w:r w:rsidR="008A4A19" w:rsidRPr="00612653">
        <w:rPr>
          <w:rFonts w:ascii="Book Antiqua" w:eastAsia="Times New Roman,Arial" w:hAnsi="Book Antiqua"/>
          <w:sz w:val="24"/>
          <w:szCs w:val="24"/>
          <w:lang w:val="en-US" w:eastAsia="zh-CN"/>
        </w:rPr>
        <w:t>,</w:t>
      </w:r>
      <w:r w:rsidR="008A4A19" w:rsidRPr="00612653">
        <w:rPr>
          <w:rFonts w:ascii="Book Antiqua" w:hAnsi="Book Antiqua"/>
          <w:sz w:val="24"/>
          <w:szCs w:val="24"/>
          <w:lang w:val="en-US" w:eastAsia="zh-CN"/>
        </w:rPr>
        <w:t xml:space="preserve"> </w:t>
      </w:r>
      <w:r w:rsidR="008A4A19" w:rsidRPr="00612653">
        <w:rPr>
          <w:rFonts w:ascii="Book Antiqua" w:eastAsia="Times New Roman,Arial" w:hAnsi="Book Antiqua"/>
          <w:sz w:val="24"/>
          <w:szCs w:val="24"/>
          <w:lang w:val="en-US"/>
        </w:rPr>
        <w:t>University of Copenhagen, Copenhagen</w:t>
      </w:r>
      <w:r w:rsidR="008A4A19" w:rsidRPr="00612653">
        <w:rPr>
          <w:rFonts w:ascii="Book Antiqua" w:eastAsia="Times New Roman,Arial" w:hAnsi="Book Antiqua"/>
          <w:sz w:val="24"/>
          <w:szCs w:val="24"/>
          <w:lang w:val="en-US" w:eastAsia="zh-CN"/>
        </w:rPr>
        <w:t xml:space="preserve"> DK-2200</w:t>
      </w:r>
      <w:r w:rsidR="008A4A19" w:rsidRPr="00612653">
        <w:rPr>
          <w:rFonts w:ascii="Book Antiqua" w:eastAsia="Times New Roman,Arial" w:hAnsi="Book Antiqua"/>
          <w:sz w:val="24"/>
          <w:szCs w:val="24"/>
          <w:lang w:val="en-US"/>
        </w:rPr>
        <w:t>, Denmark</w:t>
      </w:r>
    </w:p>
    <w:p w14:paraId="3E4C6D4F" w14:textId="77777777" w:rsidR="008A4A19" w:rsidRPr="00612653" w:rsidRDefault="008A4A19" w:rsidP="00082279">
      <w:pPr>
        <w:snapToGrid w:val="0"/>
        <w:spacing w:after="0" w:line="360" w:lineRule="auto"/>
        <w:jc w:val="both"/>
        <w:rPr>
          <w:rFonts w:ascii="Book Antiqua" w:hAnsi="Book Antiqua"/>
          <w:sz w:val="24"/>
          <w:szCs w:val="24"/>
          <w:lang w:val="en-US" w:eastAsia="zh-CN"/>
        </w:rPr>
      </w:pPr>
    </w:p>
    <w:p w14:paraId="6506C6CD" w14:textId="227BD324" w:rsidR="008A4A19" w:rsidRPr="00612653" w:rsidRDefault="00082FE8" w:rsidP="00082279">
      <w:pPr>
        <w:snapToGrid w:val="0"/>
        <w:spacing w:after="0" w:line="360" w:lineRule="auto"/>
        <w:jc w:val="both"/>
        <w:rPr>
          <w:rFonts w:ascii="Book Antiqua" w:hAnsi="Book Antiqua"/>
          <w:sz w:val="24"/>
          <w:szCs w:val="24"/>
          <w:lang w:val="en-US" w:eastAsia="zh-CN"/>
        </w:rPr>
      </w:pPr>
      <w:r w:rsidRPr="00612653">
        <w:rPr>
          <w:rFonts w:ascii="Book Antiqua" w:hAnsi="Book Antiqua"/>
          <w:b/>
          <w:sz w:val="24"/>
          <w:szCs w:val="24"/>
          <w:lang w:val="en-US"/>
        </w:rPr>
        <w:t>Kirstine S</w:t>
      </w:r>
      <w:r w:rsidRPr="00612653">
        <w:rPr>
          <w:rFonts w:ascii="Book Antiqua" w:hAnsi="Book Antiqua"/>
          <w:b/>
          <w:sz w:val="24"/>
          <w:szCs w:val="24"/>
          <w:lang w:val="en-US" w:eastAsia="zh-CN"/>
        </w:rPr>
        <w:t xml:space="preserve"> </w:t>
      </w:r>
      <w:r w:rsidRPr="00612653">
        <w:rPr>
          <w:rFonts w:ascii="Book Antiqua" w:hAnsi="Book Antiqua"/>
          <w:b/>
          <w:sz w:val="24"/>
          <w:szCs w:val="24"/>
          <w:lang w:val="en-US"/>
        </w:rPr>
        <w:t>Tølbøl,</w:t>
      </w:r>
      <w:r w:rsidRPr="00612653">
        <w:rPr>
          <w:rFonts w:ascii="Book Antiqua" w:hAnsi="Book Antiqua"/>
          <w:b/>
          <w:sz w:val="24"/>
          <w:szCs w:val="24"/>
          <w:lang w:val="en-US" w:eastAsia="zh-CN"/>
        </w:rPr>
        <w:t xml:space="preserve"> </w:t>
      </w:r>
      <w:r w:rsidR="008A4A19" w:rsidRPr="00612653">
        <w:rPr>
          <w:rFonts w:ascii="Book Antiqua" w:hAnsi="Book Antiqua"/>
          <w:b/>
          <w:sz w:val="24"/>
          <w:szCs w:val="24"/>
          <w:lang w:val="en-US"/>
        </w:rPr>
        <w:t>Matthew P</w:t>
      </w:r>
      <w:r w:rsidR="008A4A19" w:rsidRPr="00612653">
        <w:rPr>
          <w:rFonts w:ascii="Book Antiqua" w:hAnsi="Book Antiqua"/>
          <w:b/>
          <w:sz w:val="24"/>
          <w:szCs w:val="24"/>
          <w:lang w:val="en-US" w:eastAsia="zh-CN"/>
        </w:rPr>
        <w:t xml:space="preserve"> </w:t>
      </w:r>
      <w:r w:rsidR="008A4A19" w:rsidRPr="00612653">
        <w:rPr>
          <w:rFonts w:ascii="Book Antiqua" w:hAnsi="Book Antiqua"/>
          <w:b/>
          <w:sz w:val="24"/>
          <w:szCs w:val="24"/>
          <w:lang w:val="en-US"/>
        </w:rPr>
        <w:t>Gillum,</w:t>
      </w:r>
      <w:r w:rsidRPr="00612653">
        <w:rPr>
          <w:rFonts w:ascii="Book Antiqua" w:eastAsia="Times New Roman,Arial" w:hAnsi="Book Antiqua"/>
          <w:sz w:val="24"/>
          <w:szCs w:val="24"/>
          <w:vertAlign w:val="superscript"/>
          <w:lang w:val="en-US" w:eastAsia="zh-CN"/>
        </w:rPr>
        <w:t xml:space="preserve"> </w:t>
      </w:r>
      <w:r w:rsidR="00DB4248" w:rsidRPr="00612653">
        <w:rPr>
          <w:rFonts w:ascii="Book Antiqua" w:eastAsia="Times New Roman,Arial" w:hAnsi="Book Antiqua"/>
          <w:sz w:val="24"/>
          <w:szCs w:val="24"/>
          <w:lang w:val="en-US"/>
        </w:rPr>
        <w:t>Section for Metabolic Imaging and Liver Metabolism, The </w:t>
      </w:r>
      <w:r w:rsidR="00DB4248" w:rsidRPr="00612653">
        <w:rPr>
          <w:rFonts w:ascii="Book Antiqua" w:eastAsia="Times New Roman,Arial" w:hAnsi="Book Antiqua"/>
          <w:bCs/>
          <w:sz w:val="24"/>
          <w:szCs w:val="24"/>
          <w:lang w:val="en-US"/>
        </w:rPr>
        <w:t>Novo</w:t>
      </w:r>
      <w:r w:rsidR="00DB4248" w:rsidRPr="00612653">
        <w:rPr>
          <w:rFonts w:ascii="Book Antiqua" w:eastAsia="Times New Roman,Arial" w:hAnsi="Book Antiqua"/>
          <w:sz w:val="24"/>
          <w:szCs w:val="24"/>
          <w:lang w:val="en-US"/>
        </w:rPr>
        <w:t> </w:t>
      </w:r>
      <w:r w:rsidR="00DB4248" w:rsidRPr="00612653">
        <w:rPr>
          <w:rFonts w:ascii="Book Antiqua" w:eastAsia="Times New Roman,Arial" w:hAnsi="Book Antiqua"/>
          <w:bCs/>
          <w:sz w:val="24"/>
          <w:szCs w:val="24"/>
          <w:lang w:val="en-US"/>
        </w:rPr>
        <w:t>Nordisk</w:t>
      </w:r>
      <w:r w:rsidR="00DB4248" w:rsidRPr="00612653">
        <w:rPr>
          <w:rFonts w:ascii="Book Antiqua" w:eastAsia="Times New Roman,Arial" w:hAnsi="Book Antiqua"/>
          <w:sz w:val="24"/>
          <w:szCs w:val="24"/>
          <w:lang w:val="en-US"/>
        </w:rPr>
        <w:t> Foundation</w:t>
      </w:r>
      <w:r w:rsidR="00D8553D" w:rsidRPr="00612653">
        <w:rPr>
          <w:rFonts w:ascii="Book Antiqua" w:eastAsia="Times New Roman,Arial" w:hAnsi="Book Antiqua"/>
          <w:sz w:val="24"/>
          <w:szCs w:val="24"/>
          <w:lang w:val="en-US"/>
        </w:rPr>
        <w:t xml:space="preserve"> </w:t>
      </w:r>
      <w:r w:rsidR="00DB4248" w:rsidRPr="00612653">
        <w:rPr>
          <w:rFonts w:ascii="Book Antiqua" w:eastAsia="Times New Roman,Arial" w:hAnsi="Book Antiqua"/>
          <w:sz w:val="24"/>
          <w:szCs w:val="24"/>
          <w:lang w:val="en-US"/>
        </w:rPr>
        <w:t xml:space="preserve">Center for Basic Metabolic Research, </w:t>
      </w:r>
      <w:r w:rsidR="001D3822" w:rsidRPr="00612653">
        <w:rPr>
          <w:rFonts w:ascii="Book Antiqua" w:eastAsia="Times New Roman,Arial" w:hAnsi="Book Antiqua"/>
          <w:sz w:val="24"/>
          <w:szCs w:val="24"/>
          <w:lang w:val="en-US"/>
        </w:rPr>
        <w:t>Faculty of Health Sciences</w:t>
      </w:r>
      <w:r w:rsidR="008A4A19" w:rsidRPr="00612653">
        <w:rPr>
          <w:rFonts w:ascii="Book Antiqua" w:eastAsia="Times New Roman,Arial" w:hAnsi="Book Antiqua"/>
          <w:sz w:val="24"/>
          <w:szCs w:val="24"/>
          <w:lang w:val="en-US" w:eastAsia="zh-CN"/>
        </w:rPr>
        <w:t>,</w:t>
      </w:r>
      <w:r w:rsidR="008A4A19" w:rsidRPr="00612653">
        <w:rPr>
          <w:rFonts w:ascii="Book Antiqua" w:hAnsi="Book Antiqua"/>
          <w:sz w:val="24"/>
          <w:szCs w:val="24"/>
          <w:lang w:val="en-US" w:eastAsia="zh-CN"/>
        </w:rPr>
        <w:t xml:space="preserve"> </w:t>
      </w:r>
      <w:r w:rsidR="008A4A19" w:rsidRPr="00612653">
        <w:rPr>
          <w:rFonts w:ascii="Book Antiqua" w:eastAsia="Times New Roman,Arial" w:hAnsi="Book Antiqua"/>
          <w:sz w:val="24"/>
          <w:szCs w:val="24"/>
          <w:lang w:val="en-US"/>
        </w:rPr>
        <w:t>University of Copenhagen, Copenhagen</w:t>
      </w:r>
      <w:r w:rsidR="008A4A19" w:rsidRPr="00612653">
        <w:rPr>
          <w:rFonts w:ascii="Book Antiqua" w:eastAsia="Times New Roman,Arial" w:hAnsi="Book Antiqua"/>
          <w:sz w:val="24"/>
          <w:szCs w:val="24"/>
          <w:lang w:val="en-US" w:eastAsia="zh-CN"/>
        </w:rPr>
        <w:t xml:space="preserve"> DK-2200</w:t>
      </w:r>
      <w:r w:rsidR="008A4A19" w:rsidRPr="00612653">
        <w:rPr>
          <w:rFonts w:ascii="Book Antiqua" w:eastAsia="Times New Roman,Arial" w:hAnsi="Book Antiqua"/>
          <w:sz w:val="24"/>
          <w:szCs w:val="24"/>
          <w:lang w:val="en-US"/>
        </w:rPr>
        <w:t>, Denmark</w:t>
      </w:r>
    </w:p>
    <w:p w14:paraId="464109FA" w14:textId="77777777" w:rsidR="008A4A19" w:rsidRPr="00612653" w:rsidRDefault="008A4A19" w:rsidP="00082279">
      <w:pPr>
        <w:snapToGrid w:val="0"/>
        <w:spacing w:after="0" w:line="360" w:lineRule="auto"/>
        <w:jc w:val="both"/>
        <w:rPr>
          <w:rFonts w:ascii="Book Antiqua" w:hAnsi="Book Antiqua"/>
          <w:sz w:val="24"/>
          <w:szCs w:val="24"/>
          <w:lang w:val="en-US" w:eastAsia="zh-CN"/>
        </w:rPr>
      </w:pPr>
    </w:p>
    <w:p w14:paraId="2C8B2B34" w14:textId="5857D6E1" w:rsidR="007D6E64" w:rsidRPr="00612653" w:rsidRDefault="00082FE8" w:rsidP="00082279">
      <w:pPr>
        <w:snapToGrid w:val="0"/>
        <w:spacing w:after="0" w:line="360" w:lineRule="auto"/>
        <w:jc w:val="both"/>
        <w:rPr>
          <w:rFonts w:ascii="Book Antiqua" w:hAnsi="Book Antiqua"/>
          <w:sz w:val="24"/>
          <w:szCs w:val="24"/>
          <w:lang w:val="en-US" w:eastAsia="zh-CN"/>
        </w:rPr>
      </w:pPr>
      <w:r w:rsidRPr="00612653">
        <w:rPr>
          <w:rFonts w:ascii="Book Antiqua" w:hAnsi="Book Antiqua"/>
          <w:b/>
          <w:sz w:val="24"/>
          <w:szCs w:val="24"/>
          <w:lang w:val="en-US"/>
        </w:rPr>
        <w:t>Niels Vrang,</w:t>
      </w:r>
      <w:r w:rsidRPr="00612653">
        <w:rPr>
          <w:rFonts w:ascii="Book Antiqua" w:eastAsia="Times New Roman,Arial" w:hAnsi="Book Antiqua"/>
          <w:sz w:val="24"/>
          <w:szCs w:val="24"/>
          <w:vertAlign w:val="superscript"/>
          <w:lang w:val="en-US" w:eastAsia="zh-CN"/>
        </w:rPr>
        <w:t xml:space="preserve"> </w:t>
      </w:r>
      <w:r w:rsidR="00D8553D" w:rsidRPr="00612653">
        <w:rPr>
          <w:rFonts w:ascii="Book Antiqua" w:eastAsia="Times New Roman,Arial" w:hAnsi="Book Antiqua"/>
          <w:sz w:val="24"/>
          <w:szCs w:val="24"/>
          <w:lang w:val="en-US"/>
        </w:rPr>
        <w:t xml:space="preserve">Department of Chemistry, Faculty of Science, </w:t>
      </w:r>
      <w:r w:rsidR="00D64265" w:rsidRPr="00612653">
        <w:rPr>
          <w:rFonts w:ascii="Book Antiqua" w:eastAsia="Times New Roman,Arial" w:hAnsi="Book Antiqua"/>
          <w:sz w:val="24"/>
          <w:szCs w:val="24"/>
          <w:lang w:val="en-US"/>
        </w:rPr>
        <w:t>University of Copenhagen</w:t>
      </w:r>
      <w:r w:rsidR="00D8553D" w:rsidRPr="00612653">
        <w:rPr>
          <w:rFonts w:ascii="Book Antiqua" w:eastAsia="Times New Roman,Arial" w:hAnsi="Book Antiqua"/>
          <w:sz w:val="24"/>
          <w:szCs w:val="24"/>
          <w:lang w:val="en-US"/>
        </w:rPr>
        <w:t xml:space="preserve">, </w:t>
      </w:r>
      <w:r w:rsidR="00D64265" w:rsidRPr="00612653">
        <w:rPr>
          <w:rFonts w:ascii="Book Antiqua" w:eastAsia="Times New Roman,Arial" w:hAnsi="Book Antiqua"/>
          <w:sz w:val="24"/>
          <w:szCs w:val="24"/>
          <w:lang w:val="en-US"/>
        </w:rPr>
        <w:t>Copenhagen</w:t>
      </w:r>
      <w:r w:rsidR="008A4A19" w:rsidRPr="00612653">
        <w:rPr>
          <w:rFonts w:ascii="Book Antiqua" w:eastAsia="Times New Roman,Arial" w:hAnsi="Book Antiqua"/>
          <w:sz w:val="24"/>
          <w:szCs w:val="24"/>
          <w:lang w:val="en-US" w:eastAsia="zh-CN"/>
        </w:rPr>
        <w:t xml:space="preserve"> DK-2200</w:t>
      </w:r>
      <w:r w:rsidR="00097D61" w:rsidRPr="00612653">
        <w:rPr>
          <w:rFonts w:ascii="Book Antiqua" w:eastAsia="Times New Roman,Arial" w:hAnsi="Book Antiqua"/>
          <w:sz w:val="24"/>
          <w:szCs w:val="24"/>
          <w:lang w:val="en-US"/>
        </w:rPr>
        <w:t>, Denmark</w:t>
      </w:r>
    </w:p>
    <w:p w14:paraId="24281EF3" w14:textId="77777777" w:rsidR="008A4A19" w:rsidRPr="00612653" w:rsidRDefault="008A4A19" w:rsidP="00082279">
      <w:pPr>
        <w:snapToGrid w:val="0"/>
        <w:spacing w:after="0" w:line="360" w:lineRule="auto"/>
        <w:jc w:val="both"/>
        <w:rPr>
          <w:rFonts w:ascii="Book Antiqua" w:hAnsi="Book Antiqua"/>
          <w:sz w:val="24"/>
          <w:szCs w:val="24"/>
          <w:lang w:val="en-GB" w:eastAsia="zh-CN"/>
        </w:rPr>
      </w:pPr>
    </w:p>
    <w:p w14:paraId="1ABA193B" w14:textId="0C47D8DB" w:rsidR="00082FE8" w:rsidRPr="00612653" w:rsidRDefault="00082FE8" w:rsidP="00082279">
      <w:pPr>
        <w:snapToGrid w:val="0"/>
        <w:spacing w:after="0" w:line="360" w:lineRule="auto"/>
        <w:jc w:val="both"/>
        <w:rPr>
          <w:rFonts w:ascii="Book Antiqua" w:hAnsi="Book Antiqua"/>
          <w:sz w:val="24"/>
          <w:szCs w:val="24"/>
          <w:vertAlign w:val="superscript"/>
          <w:lang w:val="en-GB" w:eastAsia="zh-CN"/>
        </w:rPr>
      </w:pPr>
      <w:r w:rsidRPr="00612653">
        <w:rPr>
          <w:rFonts w:ascii="Book Antiqua" w:hAnsi="Book Antiqua"/>
          <w:b/>
          <w:sz w:val="24"/>
          <w:szCs w:val="24"/>
          <w:lang w:val="en-GB"/>
        </w:rPr>
        <w:t>ORCID number:</w:t>
      </w:r>
      <w:r w:rsidRPr="00612653">
        <w:rPr>
          <w:rFonts w:ascii="Book Antiqua" w:hAnsi="Book Antiqua"/>
          <w:b/>
          <w:sz w:val="24"/>
          <w:szCs w:val="24"/>
          <w:lang w:val="en-GB" w:eastAsia="zh-CN"/>
        </w:rPr>
        <w:t xml:space="preserve"> </w:t>
      </w:r>
      <w:r w:rsidRPr="00612653">
        <w:rPr>
          <w:rFonts w:ascii="Book Antiqua" w:hAnsi="Book Antiqua"/>
          <w:sz w:val="24"/>
          <w:szCs w:val="24"/>
          <w:lang w:val="en-GB"/>
        </w:rPr>
        <w:t>Kirstine S</w:t>
      </w:r>
      <w:r w:rsidRPr="00612653">
        <w:rPr>
          <w:rFonts w:ascii="Book Antiqua" w:hAnsi="Book Antiqua"/>
          <w:sz w:val="24"/>
          <w:szCs w:val="24"/>
          <w:lang w:val="en-GB" w:eastAsia="zh-CN"/>
        </w:rPr>
        <w:t xml:space="preserve"> </w:t>
      </w:r>
      <w:r w:rsidRPr="00612653">
        <w:rPr>
          <w:rFonts w:ascii="Book Antiqua" w:hAnsi="Book Antiqua"/>
          <w:sz w:val="24"/>
          <w:szCs w:val="24"/>
          <w:lang w:val="en-GB"/>
        </w:rPr>
        <w:t>Tølbøl</w:t>
      </w:r>
      <w:r w:rsidRPr="00612653">
        <w:rPr>
          <w:rFonts w:ascii="Book Antiqua" w:hAnsi="Book Antiqua"/>
          <w:sz w:val="24"/>
          <w:szCs w:val="24"/>
          <w:lang w:val="en-GB" w:eastAsia="zh-CN"/>
        </w:rPr>
        <w:t xml:space="preserve"> (0000-0001-6817-7441); </w:t>
      </w:r>
      <w:r w:rsidRPr="00612653">
        <w:rPr>
          <w:rFonts w:ascii="Book Antiqua" w:hAnsi="Book Antiqua"/>
          <w:sz w:val="24"/>
          <w:szCs w:val="24"/>
          <w:lang w:val="en-GB"/>
        </w:rPr>
        <w:t>Maria NB</w:t>
      </w:r>
      <w:r w:rsidRPr="00612653">
        <w:rPr>
          <w:rFonts w:ascii="Book Antiqua" w:hAnsi="Book Antiqua"/>
          <w:sz w:val="24"/>
          <w:szCs w:val="24"/>
          <w:lang w:val="en-GB" w:eastAsia="zh-CN"/>
        </w:rPr>
        <w:t xml:space="preserve"> </w:t>
      </w:r>
      <w:r w:rsidRPr="00612653">
        <w:rPr>
          <w:rFonts w:ascii="Book Antiqua" w:hAnsi="Book Antiqua"/>
          <w:sz w:val="24"/>
          <w:szCs w:val="24"/>
          <w:lang w:val="en-GB"/>
        </w:rPr>
        <w:t>Kristiansen</w:t>
      </w:r>
      <w:r w:rsidRPr="00612653">
        <w:rPr>
          <w:rFonts w:ascii="Book Antiqua" w:hAnsi="Book Antiqua"/>
          <w:sz w:val="24"/>
          <w:szCs w:val="24"/>
          <w:lang w:val="en-GB" w:eastAsia="zh-CN"/>
        </w:rPr>
        <w:t xml:space="preserve"> (0000-0001-8732-3977); </w:t>
      </w:r>
      <w:r w:rsidRPr="00612653">
        <w:rPr>
          <w:rFonts w:ascii="Book Antiqua" w:hAnsi="Book Antiqua"/>
          <w:sz w:val="24"/>
          <w:szCs w:val="24"/>
          <w:lang w:val="en-GB"/>
        </w:rPr>
        <w:t>Henrik H</w:t>
      </w:r>
      <w:r w:rsidRPr="00612653">
        <w:rPr>
          <w:rFonts w:ascii="Book Antiqua" w:hAnsi="Book Antiqua"/>
          <w:sz w:val="24"/>
          <w:szCs w:val="24"/>
          <w:lang w:val="en-GB" w:eastAsia="zh-CN"/>
        </w:rPr>
        <w:t xml:space="preserve"> </w:t>
      </w:r>
      <w:r w:rsidRPr="00612653">
        <w:rPr>
          <w:rFonts w:ascii="Book Antiqua" w:hAnsi="Book Antiqua"/>
          <w:sz w:val="24"/>
          <w:szCs w:val="24"/>
          <w:lang w:val="en-GB"/>
        </w:rPr>
        <w:t>Hansen</w:t>
      </w:r>
      <w:r w:rsidRPr="00612653">
        <w:rPr>
          <w:rFonts w:ascii="Book Antiqua" w:hAnsi="Book Antiqua"/>
          <w:sz w:val="24"/>
          <w:szCs w:val="24"/>
          <w:lang w:val="en-GB" w:eastAsia="zh-CN"/>
        </w:rPr>
        <w:t xml:space="preserve"> (0000-0002-3732-0281); </w:t>
      </w:r>
      <w:r w:rsidRPr="00612653">
        <w:rPr>
          <w:rFonts w:ascii="Book Antiqua" w:hAnsi="Book Antiqua"/>
          <w:sz w:val="24"/>
          <w:szCs w:val="24"/>
          <w:lang w:val="en-GB"/>
        </w:rPr>
        <w:t>Sanne S</w:t>
      </w:r>
      <w:r w:rsidRPr="00612653">
        <w:rPr>
          <w:rFonts w:ascii="Book Antiqua" w:hAnsi="Book Antiqua"/>
          <w:sz w:val="24"/>
          <w:szCs w:val="24"/>
          <w:lang w:val="en-GB" w:eastAsia="zh-CN"/>
        </w:rPr>
        <w:t xml:space="preserve"> </w:t>
      </w:r>
      <w:r w:rsidRPr="00612653">
        <w:rPr>
          <w:rFonts w:ascii="Book Antiqua" w:hAnsi="Book Antiqua"/>
          <w:sz w:val="24"/>
          <w:szCs w:val="24"/>
          <w:lang w:val="en-GB"/>
        </w:rPr>
        <w:t>Veidal</w:t>
      </w:r>
      <w:r w:rsidRPr="00612653">
        <w:rPr>
          <w:rFonts w:ascii="Book Antiqua" w:hAnsi="Book Antiqua"/>
          <w:sz w:val="24"/>
          <w:szCs w:val="24"/>
          <w:lang w:val="en-GB" w:eastAsia="zh-CN"/>
        </w:rPr>
        <w:t xml:space="preserve"> (0000-0003-1240-2034); </w:t>
      </w:r>
      <w:r w:rsidRPr="00612653">
        <w:rPr>
          <w:rFonts w:ascii="Book Antiqua" w:hAnsi="Book Antiqua"/>
          <w:sz w:val="24"/>
          <w:szCs w:val="24"/>
          <w:lang w:val="en-GB"/>
        </w:rPr>
        <w:t>Kristoffer TG</w:t>
      </w:r>
      <w:r w:rsidRPr="00612653">
        <w:rPr>
          <w:rFonts w:ascii="Book Antiqua" w:hAnsi="Book Antiqua"/>
          <w:sz w:val="24"/>
          <w:szCs w:val="24"/>
          <w:lang w:val="en-GB" w:eastAsia="zh-CN"/>
        </w:rPr>
        <w:t xml:space="preserve"> </w:t>
      </w:r>
      <w:r w:rsidRPr="00612653">
        <w:rPr>
          <w:rFonts w:ascii="Book Antiqua" w:hAnsi="Book Antiqua"/>
          <w:sz w:val="24"/>
          <w:szCs w:val="24"/>
          <w:lang w:val="en-GB"/>
        </w:rPr>
        <w:t>Rigbolt</w:t>
      </w:r>
      <w:r w:rsidRPr="00612653">
        <w:rPr>
          <w:rFonts w:ascii="Book Antiqua" w:hAnsi="Book Antiqua"/>
          <w:sz w:val="24"/>
          <w:szCs w:val="24"/>
          <w:lang w:val="en-GB" w:eastAsia="zh-CN"/>
        </w:rPr>
        <w:t xml:space="preserve"> (0000-0002-9470-0993); </w:t>
      </w:r>
      <w:r w:rsidRPr="00612653">
        <w:rPr>
          <w:rFonts w:ascii="Book Antiqua" w:hAnsi="Book Antiqua"/>
          <w:sz w:val="24"/>
          <w:szCs w:val="24"/>
          <w:lang w:val="en-GB"/>
        </w:rPr>
        <w:t>Matthew P</w:t>
      </w:r>
      <w:r w:rsidRPr="00612653">
        <w:rPr>
          <w:rFonts w:ascii="Book Antiqua" w:hAnsi="Book Antiqua"/>
          <w:sz w:val="24"/>
          <w:szCs w:val="24"/>
          <w:lang w:val="en-GB" w:eastAsia="zh-CN"/>
        </w:rPr>
        <w:t xml:space="preserve"> </w:t>
      </w:r>
      <w:r w:rsidRPr="00612653">
        <w:rPr>
          <w:rFonts w:ascii="Book Antiqua" w:hAnsi="Book Antiqua"/>
          <w:sz w:val="24"/>
          <w:szCs w:val="24"/>
          <w:lang w:val="en-GB"/>
        </w:rPr>
        <w:t>Gillum</w:t>
      </w:r>
      <w:r w:rsidRPr="00612653">
        <w:rPr>
          <w:rFonts w:ascii="Book Antiqua" w:hAnsi="Book Antiqua"/>
          <w:sz w:val="24"/>
          <w:szCs w:val="24"/>
          <w:lang w:val="en-GB" w:eastAsia="zh-CN"/>
        </w:rPr>
        <w:t xml:space="preserve"> (0000-0003-4893-</w:t>
      </w:r>
      <w:r w:rsidRPr="00612653">
        <w:rPr>
          <w:rFonts w:ascii="Book Antiqua" w:hAnsi="Book Antiqua"/>
          <w:sz w:val="24"/>
          <w:szCs w:val="24"/>
          <w:lang w:val="en-GB" w:eastAsia="zh-CN"/>
        </w:rPr>
        <w:lastRenderedPageBreak/>
        <w:t xml:space="preserve">012X); </w:t>
      </w:r>
      <w:r w:rsidRPr="00612653">
        <w:rPr>
          <w:rFonts w:ascii="Book Antiqua" w:hAnsi="Book Antiqua"/>
          <w:sz w:val="24"/>
          <w:szCs w:val="24"/>
          <w:lang w:val="en-GB"/>
        </w:rPr>
        <w:t>Jacob Jelsing</w:t>
      </w:r>
      <w:r w:rsidRPr="00612653">
        <w:rPr>
          <w:rFonts w:ascii="Book Antiqua" w:hAnsi="Book Antiqua"/>
          <w:sz w:val="24"/>
          <w:szCs w:val="24"/>
          <w:lang w:val="en-GB" w:eastAsia="zh-CN"/>
        </w:rPr>
        <w:t xml:space="preserve"> (0000-0002-4583-1022); </w:t>
      </w:r>
      <w:r w:rsidRPr="00612653">
        <w:rPr>
          <w:rFonts w:ascii="Book Antiqua" w:hAnsi="Book Antiqua"/>
          <w:sz w:val="24"/>
          <w:szCs w:val="24"/>
          <w:lang w:val="en-GB"/>
        </w:rPr>
        <w:t>Niels Vrang</w:t>
      </w:r>
      <w:r w:rsidRPr="00612653">
        <w:rPr>
          <w:rFonts w:ascii="Book Antiqua" w:hAnsi="Book Antiqua"/>
          <w:sz w:val="24"/>
          <w:szCs w:val="24"/>
          <w:lang w:val="en-GB" w:eastAsia="zh-CN"/>
        </w:rPr>
        <w:t xml:space="preserve"> (0000-0002-7203-9532); </w:t>
      </w:r>
      <w:r w:rsidRPr="00612653">
        <w:rPr>
          <w:rFonts w:ascii="Book Antiqua" w:hAnsi="Book Antiqua"/>
          <w:sz w:val="24"/>
          <w:szCs w:val="24"/>
          <w:lang w:val="en-GB"/>
        </w:rPr>
        <w:t>Michael Feigh</w:t>
      </w:r>
      <w:r w:rsidRPr="00612653">
        <w:rPr>
          <w:rFonts w:ascii="Book Antiqua" w:hAnsi="Book Antiqua"/>
          <w:sz w:val="24"/>
          <w:szCs w:val="24"/>
          <w:lang w:val="en-GB" w:eastAsia="zh-CN"/>
        </w:rPr>
        <w:t xml:space="preserve"> (0000-0001-5274-8799).</w:t>
      </w:r>
    </w:p>
    <w:p w14:paraId="34823034" w14:textId="77777777" w:rsidR="00082FE8" w:rsidRPr="00612653" w:rsidRDefault="00082FE8" w:rsidP="00082279">
      <w:pPr>
        <w:snapToGrid w:val="0"/>
        <w:spacing w:after="0" w:line="360" w:lineRule="auto"/>
        <w:jc w:val="both"/>
        <w:rPr>
          <w:rFonts w:ascii="Book Antiqua" w:hAnsi="Book Antiqua"/>
          <w:sz w:val="24"/>
          <w:szCs w:val="24"/>
          <w:lang w:val="en-GB" w:eastAsia="zh-CN"/>
        </w:rPr>
      </w:pPr>
    </w:p>
    <w:p w14:paraId="381F2852" w14:textId="77777777" w:rsidR="008A4A19" w:rsidRPr="00612653" w:rsidRDefault="008A4A19" w:rsidP="00082279">
      <w:pPr>
        <w:snapToGrid w:val="0"/>
        <w:spacing w:after="0" w:line="360" w:lineRule="auto"/>
        <w:jc w:val="both"/>
        <w:rPr>
          <w:rFonts w:ascii="Book Antiqua" w:eastAsia="Times New Roman,Arial" w:hAnsi="Book Antiqua"/>
          <w:sz w:val="24"/>
          <w:szCs w:val="24"/>
          <w:lang w:val="en-GB"/>
        </w:rPr>
      </w:pPr>
      <w:r w:rsidRPr="00612653">
        <w:rPr>
          <w:rFonts w:ascii="Book Antiqua" w:eastAsia="Times New Roman,Arial" w:hAnsi="Book Antiqua"/>
          <w:b/>
          <w:sz w:val="24"/>
          <w:szCs w:val="24"/>
          <w:lang w:val="en-GB"/>
        </w:rPr>
        <w:t xml:space="preserve">Author contributions: </w:t>
      </w:r>
      <w:r w:rsidRPr="00612653">
        <w:rPr>
          <w:rFonts w:ascii="Book Antiqua" w:eastAsia="Times New Roman,Arial" w:hAnsi="Book Antiqua"/>
          <w:sz w:val="24"/>
          <w:szCs w:val="24"/>
          <w:lang w:val="en-GB"/>
        </w:rPr>
        <w:t>Tølbøl KS and Kristiansen MNB contributed equally to the work; Jelsing J, Vrang N, and Feigh M designed the study; Tølbøl KS, Kristiansen MNB, Veidal SS, and Rigbolt KTG acquired and analysed data; Tølbøl Kristiansen MNB, Hansen HH, Veidal SS, Rigbolt KTG, Gillum MP, Jelsing J, Vrang N, and Feigh M interpreted the data and contributed to writing the article, editing and reviewing. A</w:t>
      </w:r>
      <w:r w:rsidRPr="00612653">
        <w:rPr>
          <w:rFonts w:ascii="Book Antiqua" w:eastAsia="Times New Roman,Arial" w:hAnsi="Book Antiqua"/>
          <w:sz w:val="24"/>
          <w:szCs w:val="24"/>
          <w:lang w:val="en-US"/>
        </w:rPr>
        <w:t>ll authors approved the final version of the article.</w:t>
      </w:r>
    </w:p>
    <w:p w14:paraId="52559417" w14:textId="77777777" w:rsidR="008A4A19" w:rsidRPr="00612653" w:rsidRDefault="008A4A19" w:rsidP="00082279">
      <w:pPr>
        <w:snapToGrid w:val="0"/>
        <w:spacing w:after="0" w:line="360" w:lineRule="auto"/>
        <w:jc w:val="both"/>
        <w:rPr>
          <w:rFonts w:ascii="Book Antiqua" w:hAnsi="Book Antiqua"/>
          <w:sz w:val="24"/>
          <w:szCs w:val="24"/>
          <w:lang w:val="en-GB" w:eastAsia="zh-CN"/>
        </w:rPr>
      </w:pPr>
    </w:p>
    <w:p w14:paraId="6874E5D8" w14:textId="64F6BC51" w:rsidR="00B02A8E" w:rsidRPr="00612653" w:rsidRDefault="00B02A8E" w:rsidP="00082279">
      <w:pPr>
        <w:pStyle w:val="Header"/>
        <w:snapToGrid w:val="0"/>
        <w:spacing w:line="360" w:lineRule="auto"/>
        <w:jc w:val="both"/>
        <w:rPr>
          <w:rFonts w:ascii="Book Antiqua" w:hAnsi="Book Antiqua"/>
          <w:sz w:val="24"/>
          <w:szCs w:val="24"/>
          <w:lang w:val="en-US"/>
        </w:rPr>
      </w:pPr>
      <w:bookmarkStart w:id="29" w:name="OLE_LINK616"/>
      <w:bookmarkStart w:id="30" w:name="OLE_LINK617"/>
      <w:r w:rsidRPr="00612653">
        <w:rPr>
          <w:rFonts w:ascii="Book Antiqua" w:hAnsi="Book Antiqua"/>
          <w:b/>
          <w:sz w:val="24"/>
          <w:szCs w:val="24"/>
          <w:lang w:val="en-US"/>
        </w:rPr>
        <w:t>Supported by</w:t>
      </w:r>
      <w:bookmarkEnd w:id="29"/>
      <w:bookmarkEnd w:id="30"/>
      <w:r w:rsidRPr="00612653">
        <w:rPr>
          <w:rFonts w:ascii="Book Antiqua" w:hAnsi="Book Antiqua"/>
          <w:sz w:val="24"/>
          <w:szCs w:val="24"/>
          <w:lang w:val="en-US"/>
        </w:rPr>
        <w:t xml:space="preserve"> Innovation Fund Denmark</w:t>
      </w:r>
      <w:r w:rsidRPr="00612653">
        <w:rPr>
          <w:rFonts w:ascii="Book Antiqua" w:hAnsi="Book Antiqua"/>
          <w:sz w:val="24"/>
          <w:szCs w:val="24"/>
          <w:lang w:val="en-US" w:eastAsia="zh-CN"/>
        </w:rPr>
        <w:t xml:space="preserve">, </w:t>
      </w:r>
      <w:r w:rsidRPr="00612653">
        <w:rPr>
          <w:rFonts w:ascii="Book Antiqua" w:hAnsi="Book Antiqua"/>
          <w:sz w:val="24"/>
          <w:szCs w:val="24"/>
          <w:lang w:val="en-US"/>
        </w:rPr>
        <w:t>KST,</w:t>
      </w:r>
      <w:r w:rsidRPr="00612653">
        <w:rPr>
          <w:rFonts w:ascii="Book Antiqua" w:hAnsi="Book Antiqua"/>
          <w:sz w:val="24"/>
          <w:szCs w:val="24"/>
          <w:lang w:val="en-US" w:eastAsia="zh-CN"/>
        </w:rPr>
        <w:t xml:space="preserve"> </w:t>
      </w:r>
      <w:r w:rsidRPr="00612653">
        <w:rPr>
          <w:rFonts w:ascii="Book Antiqua" w:hAnsi="Book Antiqua"/>
          <w:caps/>
          <w:sz w:val="24"/>
          <w:szCs w:val="24"/>
          <w:lang w:val="en-US"/>
        </w:rPr>
        <w:t>n</w:t>
      </w:r>
      <w:r w:rsidRPr="00612653">
        <w:rPr>
          <w:rFonts w:ascii="Book Antiqua" w:hAnsi="Book Antiqua"/>
          <w:sz w:val="24"/>
          <w:szCs w:val="24"/>
          <w:lang w:val="en-US"/>
        </w:rPr>
        <w:t xml:space="preserve">o. 5016-00168B; </w:t>
      </w:r>
      <w:r w:rsidRPr="00612653">
        <w:rPr>
          <w:rFonts w:ascii="Book Antiqua" w:hAnsi="Book Antiqua"/>
          <w:sz w:val="24"/>
          <w:szCs w:val="24"/>
          <w:lang w:val="en-US" w:eastAsia="zh-CN"/>
        </w:rPr>
        <w:t xml:space="preserve">and </w:t>
      </w:r>
      <w:r w:rsidRPr="00612653">
        <w:rPr>
          <w:rFonts w:ascii="Book Antiqua" w:hAnsi="Book Antiqua"/>
          <w:sz w:val="24"/>
          <w:szCs w:val="24"/>
          <w:lang w:val="en-US"/>
        </w:rPr>
        <w:t>MNBK,</w:t>
      </w:r>
      <w:r w:rsidRPr="00612653">
        <w:rPr>
          <w:rFonts w:ascii="Book Antiqua" w:hAnsi="Book Antiqua"/>
          <w:sz w:val="24"/>
          <w:szCs w:val="24"/>
          <w:lang w:val="en-US" w:eastAsia="zh-CN"/>
        </w:rPr>
        <w:t xml:space="preserve"> </w:t>
      </w:r>
      <w:r w:rsidRPr="00612653">
        <w:rPr>
          <w:rFonts w:ascii="Book Antiqua" w:hAnsi="Book Antiqua"/>
          <w:caps/>
          <w:sz w:val="24"/>
          <w:szCs w:val="24"/>
          <w:lang w:val="en-US"/>
        </w:rPr>
        <w:t>n</w:t>
      </w:r>
      <w:r w:rsidRPr="00612653">
        <w:rPr>
          <w:rFonts w:ascii="Book Antiqua" w:hAnsi="Book Antiqua"/>
          <w:sz w:val="24"/>
          <w:szCs w:val="24"/>
          <w:lang w:val="en-US"/>
        </w:rPr>
        <w:t>o. 5189-00040B.</w:t>
      </w:r>
    </w:p>
    <w:p w14:paraId="134F66FD" w14:textId="77777777" w:rsidR="00B02A8E" w:rsidRPr="00612653" w:rsidRDefault="00B02A8E" w:rsidP="00082279">
      <w:pPr>
        <w:pStyle w:val="1"/>
        <w:snapToGrid w:val="0"/>
        <w:spacing w:line="360" w:lineRule="auto"/>
        <w:jc w:val="both"/>
        <w:rPr>
          <w:rFonts w:ascii="Book Antiqua" w:hAnsi="Book Antiqua" w:cs="Times New Roman"/>
          <w:b/>
          <w:bCs/>
          <w:iCs/>
          <w:color w:val="auto"/>
          <w:sz w:val="24"/>
          <w:szCs w:val="24"/>
          <w:lang w:val="en-US" w:eastAsia="zh-CN"/>
        </w:rPr>
      </w:pPr>
      <w:bookmarkStart w:id="31" w:name="OLE_LINK192"/>
      <w:bookmarkStart w:id="32" w:name="OLE_LINK193"/>
    </w:p>
    <w:p w14:paraId="09AED5DE" w14:textId="6A0A3F59" w:rsidR="00B02A8E" w:rsidRPr="00612653" w:rsidRDefault="00B02A8E" w:rsidP="00082279">
      <w:pPr>
        <w:pStyle w:val="1"/>
        <w:snapToGrid w:val="0"/>
        <w:spacing w:line="360" w:lineRule="auto"/>
        <w:jc w:val="both"/>
        <w:rPr>
          <w:rFonts w:ascii="Book Antiqua" w:hAnsi="Book Antiqua" w:cs="Times New Roman"/>
          <w:b/>
          <w:bCs/>
          <w:iCs/>
          <w:color w:val="auto"/>
          <w:sz w:val="24"/>
          <w:szCs w:val="24"/>
          <w:lang w:val="en-US" w:eastAsia="zh-CN"/>
        </w:rPr>
      </w:pPr>
      <w:r w:rsidRPr="00612653">
        <w:rPr>
          <w:rFonts w:ascii="Book Antiqua" w:hAnsi="Book Antiqua" w:cs="Times New Roman"/>
          <w:b/>
          <w:bCs/>
          <w:iCs/>
          <w:color w:val="auto"/>
          <w:sz w:val="24"/>
          <w:szCs w:val="24"/>
          <w:lang w:val="en-US" w:eastAsia="zh-CN"/>
        </w:rPr>
        <w:t>Institutional animal care and use committee statement:</w:t>
      </w:r>
      <w:r w:rsidR="00082279" w:rsidRPr="00612653">
        <w:rPr>
          <w:rFonts w:ascii="Book Antiqua" w:hAnsi="Book Antiqua" w:cs="Times New Roman"/>
          <w:b/>
          <w:bCs/>
          <w:iCs/>
          <w:color w:val="auto"/>
          <w:sz w:val="24"/>
          <w:szCs w:val="24"/>
          <w:lang w:val="en-US" w:eastAsia="zh-CN"/>
        </w:rPr>
        <w:t xml:space="preserve"> </w:t>
      </w:r>
      <w:r w:rsidR="006E647B" w:rsidRPr="00612653">
        <w:rPr>
          <w:rFonts w:ascii="Book Antiqua" w:hAnsi="Book Antiqua" w:cs="Times New Roman"/>
          <w:bCs/>
          <w:iCs/>
          <w:color w:val="auto"/>
          <w:sz w:val="24"/>
          <w:szCs w:val="24"/>
          <w:lang w:val="en-US" w:eastAsia="zh-CN"/>
        </w:rPr>
        <w:t>All animal experiments conformed to the internationally accepted principles for the care and use of laboratory animals (</w:t>
      </w:r>
      <w:r w:rsidR="006E647B" w:rsidRPr="00612653">
        <w:rPr>
          <w:rFonts w:ascii="Book Antiqua" w:hAnsi="Book Antiqua" w:cs="Times New Roman"/>
          <w:bCs/>
          <w:iCs/>
          <w:caps/>
          <w:color w:val="auto"/>
          <w:sz w:val="24"/>
          <w:szCs w:val="24"/>
          <w:lang w:val="en-US" w:eastAsia="zh-CN"/>
        </w:rPr>
        <w:t>l</w:t>
      </w:r>
      <w:r w:rsidR="006E647B" w:rsidRPr="00612653">
        <w:rPr>
          <w:rFonts w:ascii="Book Antiqua" w:hAnsi="Book Antiqua" w:cs="Times New Roman"/>
          <w:bCs/>
          <w:iCs/>
          <w:color w:val="auto"/>
          <w:sz w:val="24"/>
          <w:szCs w:val="24"/>
          <w:lang w:val="en-US" w:eastAsia="zh-CN"/>
        </w:rPr>
        <w:t>icence </w:t>
      </w:r>
      <w:r w:rsidR="006E647B" w:rsidRPr="00612653">
        <w:rPr>
          <w:rFonts w:ascii="Book Antiqua" w:hAnsi="Book Antiqua" w:cs="Times New Roman"/>
          <w:bCs/>
          <w:iCs/>
          <w:caps/>
          <w:color w:val="auto"/>
          <w:sz w:val="24"/>
          <w:szCs w:val="24"/>
          <w:lang w:val="en-US" w:eastAsia="zh-CN"/>
        </w:rPr>
        <w:t>n</w:t>
      </w:r>
      <w:r w:rsidR="006E647B" w:rsidRPr="00612653">
        <w:rPr>
          <w:rFonts w:ascii="Book Antiqua" w:hAnsi="Book Antiqua" w:cs="Times New Roman"/>
          <w:bCs/>
          <w:iCs/>
          <w:color w:val="auto"/>
          <w:sz w:val="24"/>
          <w:szCs w:val="24"/>
          <w:lang w:val="en-US" w:eastAsia="zh-CN"/>
        </w:rPr>
        <w:t>o. 2013-15-2934-00784, The Animal Experiments Inspectorate, Denmark).</w:t>
      </w:r>
    </w:p>
    <w:bookmarkEnd w:id="31"/>
    <w:bookmarkEnd w:id="32"/>
    <w:p w14:paraId="68A36C1B" w14:textId="77777777" w:rsidR="00B02A8E" w:rsidRPr="00612653" w:rsidRDefault="00B02A8E" w:rsidP="00082279">
      <w:pPr>
        <w:pStyle w:val="Header"/>
        <w:snapToGrid w:val="0"/>
        <w:spacing w:line="360" w:lineRule="auto"/>
        <w:jc w:val="both"/>
        <w:rPr>
          <w:rFonts w:ascii="Book Antiqua" w:hAnsi="Book Antiqua"/>
          <w:sz w:val="24"/>
          <w:szCs w:val="24"/>
          <w:lang w:val="en-US" w:eastAsia="zh-CN"/>
        </w:rPr>
      </w:pPr>
    </w:p>
    <w:p w14:paraId="5F04B278" w14:textId="77777777" w:rsidR="00B02A8E" w:rsidRPr="00612653" w:rsidRDefault="00B02A8E" w:rsidP="00082279">
      <w:pPr>
        <w:snapToGrid w:val="0"/>
        <w:spacing w:after="0" w:line="360" w:lineRule="auto"/>
        <w:jc w:val="both"/>
        <w:rPr>
          <w:rFonts w:ascii="Book Antiqua" w:hAnsi="Book Antiqua"/>
          <w:sz w:val="24"/>
          <w:szCs w:val="24"/>
          <w:lang w:val="en-GB" w:eastAsia="zh-CN"/>
        </w:rPr>
      </w:pPr>
      <w:r w:rsidRPr="00612653">
        <w:rPr>
          <w:rFonts w:ascii="Book Antiqua" w:eastAsia="Times New Roman,Arial" w:hAnsi="Book Antiqua"/>
          <w:b/>
          <w:iCs/>
          <w:sz w:val="24"/>
          <w:szCs w:val="24"/>
          <w:lang w:val="en-GB"/>
        </w:rPr>
        <w:t>Conflict-of-interest statement</w:t>
      </w:r>
      <w:r w:rsidRPr="00612653">
        <w:rPr>
          <w:rFonts w:ascii="Book Antiqua" w:hAnsi="Book Antiqua"/>
          <w:b/>
          <w:iCs/>
          <w:sz w:val="24"/>
          <w:szCs w:val="24"/>
          <w:lang w:val="en-GB" w:eastAsia="zh-CN"/>
        </w:rPr>
        <w:t xml:space="preserve">: </w:t>
      </w:r>
      <w:r w:rsidRPr="00612653">
        <w:rPr>
          <w:rFonts w:ascii="Book Antiqua" w:eastAsia="Times New Roman,Arial" w:hAnsi="Book Antiqua"/>
          <w:sz w:val="24"/>
          <w:szCs w:val="24"/>
          <w:lang w:val="en-GB"/>
        </w:rPr>
        <w:t>The authors declare no conflict of interest.</w:t>
      </w:r>
    </w:p>
    <w:p w14:paraId="7D66E225" w14:textId="77777777" w:rsidR="00B02A8E" w:rsidRPr="00612653" w:rsidRDefault="00B02A8E" w:rsidP="00082279">
      <w:pPr>
        <w:snapToGrid w:val="0"/>
        <w:spacing w:after="0" w:line="360" w:lineRule="auto"/>
        <w:jc w:val="both"/>
        <w:rPr>
          <w:rFonts w:ascii="Book Antiqua" w:hAnsi="Book Antiqua"/>
          <w:b/>
          <w:iCs/>
          <w:sz w:val="24"/>
          <w:szCs w:val="24"/>
          <w:lang w:val="en-GB" w:eastAsia="zh-CN"/>
        </w:rPr>
      </w:pPr>
    </w:p>
    <w:p w14:paraId="38E38B2C" w14:textId="26C18644" w:rsidR="00B02A8E" w:rsidRPr="00612653" w:rsidRDefault="00B02A8E" w:rsidP="00082279">
      <w:pPr>
        <w:snapToGrid w:val="0"/>
        <w:spacing w:after="0" w:line="360" w:lineRule="auto"/>
        <w:jc w:val="both"/>
        <w:rPr>
          <w:rFonts w:ascii="Book Antiqua" w:hAnsi="Book Antiqua"/>
          <w:iCs/>
          <w:sz w:val="24"/>
          <w:szCs w:val="24"/>
          <w:lang w:val="en-US" w:eastAsia="zh-CN"/>
        </w:rPr>
      </w:pPr>
      <w:bookmarkStart w:id="33" w:name="OLE_LINK962"/>
      <w:bookmarkStart w:id="34" w:name="OLE_LINK963"/>
      <w:r w:rsidRPr="00612653">
        <w:rPr>
          <w:rFonts w:ascii="Book Antiqua" w:hAnsi="Book Antiqua" w:cs="Times New Roman"/>
          <w:b/>
          <w:bCs/>
          <w:iCs/>
          <w:sz w:val="24"/>
          <w:szCs w:val="24"/>
          <w:lang w:val="en-US" w:eastAsia="zh-CN"/>
        </w:rPr>
        <w:t>Data sharing statement</w:t>
      </w:r>
      <w:r w:rsidRPr="00612653">
        <w:rPr>
          <w:rFonts w:ascii="Book Antiqua" w:hAnsi="Book Antiqua" w:cs="Times New Roman"/>
          <w:bCs/>
          <w:iCs/>
          <w:sz w:val="24"/>
          <w:szCs w:val="24"/>
          <w:lang w:val="en-US" w:eastAsia="zh-CN"/>
        </w:rPr>
        <w:t>:</w:t>
      </w:r>
      <w:bookmarkEnd w:id="33"/>
      <w:bookmarkEnd w:id="34"/>
      <w:r w:rsidRPr="00612653">
        <w:rPr>
          <w:rFonts w:ascii="Book Antiqua" w:hAnsi="Book Antiqua" w:cs="Times New Roman"/>
          <w:bCs/>
          <w:iCs/>
          <w:sz w:val="24"/>
          <w:szCs w:val="24"/>
          <w:lang w:val="en-US" w:eastAsia="zh-CN"/>
        </w:rPr>
        <w:t xml:space="preserve"> </w:t>
      </w:r>
      <w:r w:rsidR="00136A56" w:rsidRPr="00612653">
        <w:rPr>
          <w:rFonts w:ascii="Book Antiqua" w:hAnsi="Book Antiqua" w:cs="Times New Roman"/>
          <w:bCs/>
          <w:iCs/>
          <w:sz w:val="24"/>
          <w:szCs w:val="24"/>
          <w:lang w:val="en-US" w:eastAsia="zh-CN"/>
        </w:rPr>
        <w:t>No additional data are available</w:t>
      </w:r>
      <w:r w:rsidR="008A52B2" w:rsidRPr="00612653">
        <w:rPr>
          <w:rFonts w:ascii="Book Antiqua" w:hAnsi="Book Antiqua" w:cs="Times New Roman"/>
          <w:bCs/>
          <w:iCs/>
          <w:sz w:val="24"/>
          <w:szCs w:val="24"/>
          <w:lang w:val="en-US" w:eastAsia="zh-CN"/>
        </w:rPr>
        <w:t>.</w:t>
      </w:r>
    </w:p>
    <w:p w14:paraId="062843E1" w14:textId="77777777" w:rsidR="00B02A8E" w:rsidRPr="00612653" w:rsidRDefault="00B02A8E" w:rsidP="00082279">
      <w:pPr>
        <w:snapToGrid w:val="0"/>
        <w:spacing w:after="0" w:line="360" w:lineRule="auto"/>
        <w:jc w:val="both"/>
        <w:rPr>
          <w:rFonts w:ascii="Book Antiqua" w:hAnsi="Book Antiqua"/>
          <w:sz w:val="24"/>
          <w:szCs w:val="24"/>
          <w:lang w:val="en-GB" w:eastAsia="zh-CN"/>
        </w:rPr>
      </w:pPr>
    </w:p>
    <w:p w14:paraId="7E262D21" w14:textId="77777777" w:rsidR="00082FE8" w:rsidRPr="00612653" w:rsidRDefault="00082FE8" w:rsidP="00082279">
      <w:pPr>
        <w:pStyle w:val="1"/>
        <w:snapToGrid w:val="0"/>
        <w:spacing w:line="360" w:lineRule="auto"/>
        <w:jc w:val="both"/>
        <w:rPr>
          <w:rFonts w:ascii="Book Antiqua" w:hAnsi="Book Antiqua" w:cs="Times New Roman"/>
          <w:bCs/>
          <w:color w:val="auto"/>
          <w:sz w:val="24"/>
          <w:szCs w:val="24"/>
          <w:lang w:val="en-US"/>
        </w:rPr>
      </w:pPr>
      <w:bookmarkStart w:id="35" w:name="OLE_LINK734"/>
      <w:bookmarkStart w:id="36" w:name="OLE_LINK441"/>
      <w:bookmarkStart w:id="37" w:name="OLE_LINK442"/>
      <w:bookmarkStart w:id="38" w:name="OLE_LINK1032"/>
      <w:bookmarkStart w:id="39" w:name="OLE_LINK1232"/>
      <w:bookmarkStart w:id="40" w:name="OLE_LINK559"/>
      <w:bookmarkStart w:id="41" w:name="OLE_LINK878"/>
      <w:bookmarkStart w:id="42" w:name="OLE_LINK879"/>
      <w:bookmarkStart w:id="43" w:name="OLE_LINK1100"/>
      <w:bookmarkStart w:id="44" w:name="OLE_LINK1101"/>
      <w:r w:rsidRPr="00612653">
        <w:rPr>
          <w:rFonts w:ascii="Book Antiqua" w:hAnsi="Book Antiqua" w:cs="Times New Roman"/>
          <w:b/>
          <w:bCs/>
          <w:color w:val="auto"/>
          <w:sz w:val="24"/>
          <w:szCs w:val="24"/>
          <w:lang w:val="en-US"/>
        </w:rPr>
        <w:t>Open-Access:</w:t>
      </w:r>
      <w:r w:rsidRPr="00612653">
        <w:rPr>
          <w:rFonts w:ascii="Book Antiqua" w:hAnsi="Book Antiqua" w:cs="Times New Roman"/>
          <w:bCs/>
          <w:color w:val="auto"/>
          <w:sz w:val="24"/>
          <w:szCs w:val="24"/>
          <w:lang w:val="en-US"/>
        </w:rPr>
        <w:t xml:space="preserve"> </w:t>
      </w:r>
      <w:bookmarkStart w:id="45" w:name="OLE_LINK479"/>
      <w:bookmarkStart w:id="46" w:name="OLE_LINK496"/>
      <w:bookmarkStart w:id="47" w:name="OLE_LINK506"/>
      <w:bookmarkStart w:id="48" w:name="OLE_LINK507"/>
      <w:r w:rsidRPr="00612653">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612653">
        <w:rPr>
          <w:rFonts w:ascii="Book Antiqua" w:hAnsi="Book Antiqua" w:cs="Times New Roman"/>
          <w:bCs/>
          <w:color w:val="auto"/>
          <w:sz w:val="24"/>
          <w:szCs w:val="24"/>
          <w:lang w:val="en-US" w:eastAsia="zh-CN"/>
        </w:rPr>
        <w:t xml:space="preserve"> </w:t>
      </w:r>
      <w:r w:rsidRPr="00612653">
        <w:rPr>
          <w:rFonts w:ascii="Book Antiqua" w:hAnsi="Book Antiqua" w:cs="Times New Roman"/>
          <w:bCs/>
          <w:color w:val="auto"/>
          <w:sz w:val="24"/>
          <w:szCs w:val="24"/>
          <w:lang w:val="en-US"/>
        </w:rPr>
        <w:t>in</w:t>
      </w:r>
      <w:r w:rsidRPr="00612653">
        <w:rPr>
          <w:rFonts w:ascii="Book Antiqua" w:hAnsi="Book Antiqua" w:cs="Times New Roman"/>
          <w:bCs/>
          <w:color w:val="auto"/>
          <w:sz w:val="24"/>
          <w:szCs w:val="24"/>
          <w:lang w:val="en-US" w:eastAsia="zh-CN"/>
        </w:rPr>
        <w:t xml:space="preserve"> </w:t>
      </w:r>
      <w:r w:rsidRPr="00612653">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612653">
          <w:rPr>
            <w:rStyle w:val="Hyperlink"/>
            <w:rFonts w:ascii="Book Antiqua" w:hAnsi="Book Antiqua" w:cs="Times New Roman"/>
            <w:bCs/>
            <w:color w:val="auto"/>
            <w:sz w:val="24"/>
            <w:szCs w:val="24"/>
            <w:lang w:val="en-US"/>
          </w:rPr>
          <w:t>http://creativecommons.org/licenses/by-nc/4.0/</w:t>
        </w:r>
      </w:hyperlink>
      <w:bookmarkEnd w:id="35"/>
      <w:bookmarkEnd w:id="45"/>
      <w:bookmarkEnd w:id="46"/>
      <w:bookmarkEnd w:id="47"/>
      <w:bookmarkEnd w:id="48"/>
    </w:p>
    <w:bookmarkEnd w:id="36"/>
    <w:bookmarkEnd w:id="37"/>
    <w:bookmarkEnd w:id="38"/>
    <w:bookmarkEnd w:id="39"/>
    <w:bookmarkEnd w:id="40"/>
    <w:p w14:paraId="68E286AE" w14:textId="546B8261" w:rsidR="00082FE8" w:rsidRPr="00612653" w:rsidRDefault="00082FE8" w:rsidP="00082279">
      <w:pPr>
        <w:pStyle w:val="1"/>
        <w:snapToGrid w:val="0"/>
        <w:spacing w:line="360" w:lineRule="auto"/>
        <w:jc w:val="both"/>
        <w:rPr>
          <w:rFonts w:ascii="Book Antiqua" w:hAnsi="Book Antiqua" w:cs="Times New Roman"/>
          <w:b/>
          <w:bCs/>
          <w:color w:val="auto"/>
          <w:sz w:val="24"/>
          <w:szCs w:val="24"/>
          <w:lang w:val="en-US" w:eastAsia="zh-CN"/>
        </w:rPr>
      </w:pPr>
    </w:p>
    <w:p w14:paraId="5555B772" w14:textId="77777777" w:rsidR="00082FE8" w:rsidRPr="00612653" w:rsidRDefault="00082FE8" w:rsidP="00082279">
      <w:pPr>
        <w:pStyle w:val="1"/>
        <w:snapToGrid w:val="0"/>
        <w:spacing w:line="360" w:lineRule="auto"/>
        <w:jc w:val="both"/>
        <w:rPr>
          <w:rFonts w:ascii="Book Antiqua" w:hAnsi="Book Antiqua" w:cs="Times New Roman"/>
          <w:b/>
          <w:bCs/>
          <w:color w:val="auto"/>
          <w:sz w:val="24"/>
          <w:szCs w:val="24"/>
          <w:lang w:val="en-US"/>
        </w:rPr>
      </w:pPr>
      <w:r w:rsidRPr="00612653">
        <w:rPr>
          <w:rFonts w:ascii="Book Antiqua" w:hAnsi="Book Antiqua" w:cs="Times New Roman"/>
          <w:b/>
          <w:bCs/>
          <w:color w:val="auto"/>
          <w:sz w:val="24"/>
          <w:szCs w:val="24"/>
          <w:lang w:val="en-US"/>
        </w:rPr>
        <w:lastRenderedPageBreak/>
        <w:t>Manuscript source:</w:t>
      </w:r>
      <w:r w:rsidRPr="00612653">
        <w:rPr>
          <w:rFonts w:ascii="Book Antiqua" w:hAnsi="Book Antiqua" w:cs="Times New Roman"/>
          <w:b/>
          <w:bCs/>
          <w:color w:val="auto"/>
          <w:sz w:val="24"/>
          <w:szCs w:val="24"/>
          <w:lang w:val="en-US" w:eastAsia="zh-CN"/>
        </w:rPr>
        <w:t xml:space="preserve"> </w:t>
      </w:r>
      <w:r w:rsidRPr="00612653">
        <w:rPr>
          <w:rFonts w:ascii="Book Antiqua" w:hAnsi="Book Antiqua" w:cs="Times New Roman"/>
          <w:bCs/>
          <w:color w:val="auto"/>
          <w:sz w:val="24"/>
          <w:szCs w:val="24"/>
          <w:lang w:val="en-US"/>
        </w:rPr>
        <w:t>Unsolicited manuscript</w:t>
      </w:r>
      <w:bookmarkEnd w:id="41"/>
      <w:bookmarkEnd w:id="42"/>
      <w:r w:rsidRPr="00612653">
        <w:rPr>
          <w:rFonts w:ascii="Book Antiqua" w:hAnsi="Book Antiqua" w:cs="Times New Roman"/>
          <w:bCs/>
          <w:color w:val="auto"/>
          <w:sz w:val="24"/>
          <w:szCs w:val="24"/>
          <w:lang w:val="en-US"/>
        </w:rPr>
        <w:t xml:space="preserve"> </w:t>
      </w:r>
    </w:p>
    <w:bookmarkEnd w:id="43"/>
    <w:bookmarkEnd w:id="44"/>
    <w:p w14:paraId="42602988" w14:textId="77777777" w:rsidR="00082FE8" w:rsidRPr="00612653" w:rsidRDefault="00082FE8" w:rsidP="00082279">
      <w:pPr>
        <w:snapToGrid w:val="0"/>
        <w:spacing w:after="0" w:line="360" w:lineRule="auto"/>
        <w:jc w:val="both"/>
        <w:rPr>
          <w:rFonts w:ascii="Book Antiqua" w:hAnsi="Book Antiqua"/>
          <w:sz w:val="24"/>
          <w:szCs w:val="24"/>
          <w:lang w:val="en-GB" w:eastAsia="zh-CN"/>
        </w:rPr>
      </w:pPr>
    </w:p>
    <w:p w14:paraId="6A20294F" w14:textId="2176466A" w:rsidR="00A726E4" w:rsidRPr="00612653" w:rsidRDefault="00082FE8" w:rsidP="00082279">
      <w:pPr>
        <w:snapToGrid w:val="0"/>
        <w:spacing w:after="0" w:line="360" w:lineRule="auto"/>
        <w:jc w:val="both"/>
        <w:rPr>
          <w:rFonts w:ascii="Book Antiqua" w:hAnsi="Book Antiqua"/>
          <w:sz w:val="24"/>
          <w:szCs w:val="24"/>
          <w:lang w:val="de-DE" w:eastAsia="zh-CN"/>
        </w:rPr>
      </w:pPr>
      <w:r w:rsidRPr="00612653">
        <w:rPr>
          <w:rFonts w:ascii="Book Antiqua" w:eastAsia="Times New Roman,Arial" w:hAnsi="Book Antiqua"/>
          <w:b/>
          <w:sz w:val="24"/>
          <w:szCs w:val="24"/>
          <w:lang w:val="en-GB"/>
        </w:rPr>
        <w:t>Correspondence to:</w:t>
      </w:r>
      <w:r w:rsidRPr="00612653">
        <w:rPr>
          <w:rFonts w:ascii="Book Antiqua" w:eastAsia="Times New Roman,Arial" w:hAnsi="Book Antiqua"/>
          <w:sz w:val="24"/>
          <w:szCs w:val="24"/>
          <w:lang w:val="en-GB" w:eastAsia="zh-CN"/>
        </w:rPr>
        <w:t xml:space="preserve"> </w:t>
      </w:r>
      <w:r w:rsidR="00CE3458" w:rsidRPr="00612653">
        <w:rPr>
          <w:rFonts w:ascii="Book Antiqua" w:eastAsia="Times New Roman,Arial" w:hAnsi="Book Antiqua"/>
          <w:b/>
          <w:sz w:val="24"/>
          <w:szCs w:val="24"/>
          <w:lang w:val="en-GB"/>
        </w:rPr>
        <w:t>Kirstine S</w:t>
      </w:r>
      <w:r w:rsidR="008A4A19" w:rsidRPr="00612653">
        <w:rPr>
          <w:rFonts w:ascii="Book Antiqua" w:eastAsia="Times New Roman,Arial" w:hAnsi="Book Antiqua"/>
          <w:b/>
          <w:sz w:val="24"/>
          <w:szCs w:val="24"/>
          <w:lang w:val="en-GB" w:eastAsia="zh-CN"/>
        </w:rPr>
        <w:t xml:space="preserve"> </w:t>
      </w:r>
      <w:r w:rsidR="00CE3458" w:rsidRPr="00612653">
        <w:rPr>
          <w:rFonts w:ascii="Book Antiqua" w:eastAsia="Times New Roman,Arial" w:hAnsi="Book Antiqua"/>
          <w:b/>
          <w:sz w:val="24"/>
          <w:szCs w:val="24"/>
          <w:lang w:val="en-GB"/>
        </w:rPr>
        <w:t>Tølbøl</w:t>
      </w:r>
      <w:r w:rsidR="008A4A19" w:rsidRPr="00612653">
        <w:rPr>
          <w:rFonts w:ascii="Book Antiqua" w:eastAsia="Times New Roman,Arial" w:hAnsi="Book Antiqua"/>
          <w:b/>
          <w:sz w:val="24"/>
          <w:szCs w:val="24"/>
          <w:lang w:val="en-GB" w:eastAsia="zh-CN"/>
        </w:rPr>
        <w:t>, MSc, Research Scientist,</w:t>
      </w:r>
      <w:r w:rsidR="008A4A19" w:rsidRPr="00612653">
        <w:rPr>
          <w:rFonts w:ascii="Book Antiqua" w:eastAsia="Times New Roman,Arial" w:hAnsi="Book Antiqua"/>
          <w:sz w:val="24"/>
          <w:szCs w:val="24"/>
          <w:lang w:val="en-GB" w:eastAsia="zh-CN"/>
        </w:rPr>
        <w:t xml:space="preserve"> </w:t>
      </w:r>
      <w:r w:rsidR="008A4A19" w:rsidRPr="00612653">
        <w:rPr>
          <w:rFonts w:ascii="Book Antiqua" w:eastAsia="Times New Roman,Arial" w:hAnsi="Book Antiqua"/>
          <w:sz w:val="24"/>
          <w:szCs w:val="24"/>
          <w:lang w:val="en-US"/>
        </w:rPr>
        <w:t>Gubra Aps,</w:t>
      </w:r>
      <w:r w:rsidR="008A4A19" w:rsidRPr="00612653">
        <w:rPr>
          <w:rFonts w:ascii="Book Antiqua" w:hAnsi="Book Antiqua"/>
          <w:sz w:val="24"/>
          <w:szCs w:val="24"/>
          <w:lang w:val="en-GB" w:eastAsia="zh-CN"/>
        </w:rPr>
        <w:t xml:space="preserve"> </w:t>
      </w:r>
      <w:r w:rsidR="00A726E4" w:rsidRPr="00612653">
        <w:rPr>
          <w:rFonts w:ascii="Book Antiqua" w:eastAsia="Times New Roman,Arial" w:hAnsi="Book Antiqua"/>
          <w:sz w:val="24"/>
          <w:szCs w:val="24"/>
          <w:lang w:val="en-US"/>
        </w:rPr>
        <w:t>Hørsholm Kongevej 11B</w:t>
      </w:r>
      <w:r w:rsidR="008A4A19" w:rsidRPr="00612653">
        <w:rPr>
          <w:rFonts w:ascii="Book Antiqua" w:hAnsi="Book Antiqua"/>
          <w:sz w:val="24"/>
          <w:szCs w:val="24"/>
          <w:lang w:val="en-US" w:eastAsia="zh-CN"/>
        </w:rPr>
        <w:t>,</w:t>
      </w:r>
      <w:r w:rsidR="008A4A19" w:rsidRPr="00612653">
        <w:rPr>
          <w:rFonts w:ascii="Book Antiqua" w:eastAsia="Times New Roman,Arial" w:hAnsi="Book Antiqua"/>
          <w:sz w:val="24"/>
          <w:szCs w:val="24"/>
          <w:lang w:val="de-DE" w:eastAsia="zh-CN"/>
        </w:rPr>
        <w:t xml:space="preserve"> </w:t>
      </w:r>
      <w:r w:rsidR="00A726E4" w:rsidRPr="00612653">
        <w:rPr>
          <w:rFonts w:ascii="Book Antiqua" w:eastAsia="Times New Roman,Arial" w:hAnsi="Book Antiqua"/>
          <w:sz w:val="24"/>
          <w:szCs w:val="24"/>
          <w:lang w:val="de-DE"/>
        </w:rPr>
        <w:t>Hørsholm</w:t>
      </w:r>
      <w:r w:rsidR="008A4A19" w:rsidRPr="00612653">
        <w:rPr>
          <w:rFonts w:ascii="Book Antiqua" w:eastAsia="Times New Roman,Arial" w:hAnsi="Book Antiqua"/>
          <w:sz w:val="24"/>
          <w:szCs w:val="24"/>
          <w:lang w:val="de-DE" w:eastAsia="zh-CN"/>
        </w:rPr>
        <w:t xml:space="preserve"> </w:t>
      </w:r>
      <w:r w:rsidR="008A4A19" w:rsidRPr="00612653">
        <w:rPr>
          <w:rFonts w:ascii="Book Antiqua" w:eastAsia="Times New Roman,Arial" w:hAnsi="Book Antiqua"/>
          <w:sz w:val="24"/>
          <w:szCs w:val="24"/>
          <w:lang w:val="en-US"/>
        </w:rPr>
        <w:t>DK-2970</w:t>
      </w:r>
      <w:r w:rsidR="00A726E4" w:rsidRPr="00612653">
        <w:rPr>
          <w:rFonts w:ascii="Book Antiqua" w:eastAsia="Times New Roman,Arial" w:hAnsi="Book Antiqua"/>
          <w:sz w:val="24"/>
          <w:szCs w:val="24"/>
          <w:lang w:val="de-DE"/>
        </w:rPr>
        <w:t>, Denmark</w:t>
      </w:r>
      <w:r w:rsidR="008A4A19" w:rsidRPr="00612653">
        <w:rPr>
          <w:rFonts w:ascii="Book Antiqua" w:eastAsia="Times New Roman,Arial" w:hAnsi="Book Antiqua"/>
          <w:sz w:val="24"/>
          <w:szCs w:val="24"/>
          <w:lang w:val="de-DE" w:eastAsia="zh-CN"/>
        </w:rPr>
        <w:t xml:space="preserve">. </w:t>
      </w:r>
      <w:hyperlink r:id="rId12" w:history="1">
        <w:r w:rsidR="008A4A19" w:rsidRPr="00612653">
          <w:rPr>
            <w:rStyle w:val="Hyperlink"/>
            <w:rFonts w:ascii="Book Antiqua" w:eastAsia="Times New Roman,Arial" w:hAnsi="Book Antiqua"/>
            <w:color w:val="auto"/>
            <w:sz w:val="24"/>
            <w:szCs w:val="24"/>
            <w:lang w:val="de-DE"/>
          </w:rPr>
          <w:t>kst@gubra.dk</w:t>
        </w:r>
      </w:hyperlink>
    </w:p>
    <w:p w14:paraId="40541C0B" w14:textId="1A55EE95" w:rsidR="00082FE8" w:rsidRPr="00612653" w:rsidRDefault="00082FE8" w:rsidP="00082279">
      <w:pPr>
        <w:snapToGrid w:val="0"/>
        <w:spacing w:after="0" w:line="360" w:lineRule="auto"/>
        <w:jc w:val="both"/>
        <w:rPr>
          <w:rFonts w:ascii="Book Antiqua" w:eastAsia="SimSun" w:hAnsi="Book Antiqua" w:cs="SimSun"/>
          <w:sz w:val="24"/>
          <w:szCs w:val="24"/>
          <w:lang w:val="pl-PL" w:eastAsia="zh-CN"/>
        </w:rPr>
      </w:pPr>
      <w:bookmarkStart w:id="49" w:name="OLE_LINK1091"/>
      <w:bookmarkStart w:id="50" w:name="OLE_LINK1092"/>
      <w:bookmarkStart w:id="51" w:name="OLE_LINK389"/>
      <w:bookmarkStart w:id="52" w:name="OLE_LINK406"/>
      <w:bookmarkStart w:id="53" w:name="OLE_LINK658"/>
      <w:bookmarkStart w:id="54" w:name="OLE_LINK904"/>
      <w:bookmarkStart w:id="55" w:name="OLE_LINK1009"/>
      <w:bookmarkStart w:id="56" w:name="OLE_LINK1027"/>
      <w:r w:rsidRPr="00612653">
        <w:rPr>
          <w:rFonts w:ascii="Book Antiqua" w:eastAsia="SimSun" w:hAnsi="Book Antiqua" w:cs="SimSun"/>
          <w:b/>
          <w:sz w:val="24"/>
          <w:szCs w:val="24"/>
          <w:lang w:val="pl-PL" w:eastAsia="zh-CN"/>
        </w:rPr>
        <w:t>Telephone:</w:t>
      </w:r>
      <w:r w:rsidRPr="00612653">
        <w:rPr>
          <w:rFonts w:ascii="Book Antiqua" w:eastAsia="SimSun" w:hAnsi="Book Antiqua" w:cs="SimSun"/>
          <w:sz w:val="24"/>
          <w:szCs w:val="24"/>
          <w:lang w:val="pl-PL" w:eastAsia="zh-CN"/>
        </w:rPr>
        <w:t xml:space="preserve"> </w:t>
      </w:r>
      <w:r w:rsidR="00A105A0" w:rsidRPr="00612653">
        <w:rPr>
          <w:rFonts w:ascii="Book Antiqua" w:eastAsia="SimSun" w:hAnsi="Book Antiqua" w:cs="SimSun"/>
          <w:sz w:val="24"/>
          <w:szCs w:val="24"/>
          <w:lang w:val="pl-PL" w:eastAsia="zh-CN"/>
        </w:rPr>
        <w:t xml:space="preserve">+45 </w:t>
      </w:r>
      <w:hyperlink r:id="rId13" w:tooltip="Ring via Hangouts" w:history="1">
        <w:r w:rsidR="00A105A0" w:rsidRPr="00612653">
          <w:rPr>
            <w:rStyle w:val="Hyperlink"/>
            <w:rFonts w:ascii="Book Antiqua" w:eastAsia="SimSun" w:hAnsi="Book Antiqua" w:cs="SimSun"/>
            <w:color w:val="auto"/>
            <w:sz w:val="24"/>
            <w:szCs w:val="24"/>
            <w:u w:val="none"/>
            <w:lang w:val="en-US" w:eastAsia="zh-CN"/>
          </w:rPr>
          <w:t>31522650</w:t>
        </w:r>
      </w:hyperlink>
    </w:p>
    <w:p w14:paraId="13A53211" w14:textId="77777777" w:rsidR="00082FE8" w:rsidRPr="00612653" w:rsidRDefault="00082FE8" w:rsidP="00082279">
      <w:pPr>
        <w:snapToGrid w:val="0"/>
        <w:spacing w:after="0" w:line="360" w:lineRule="auto"/>
        <w:jc w:val="both"/>
        <w:rPr>
          <w:rFonts w:ascii="Book Antiqua" w:eastAsia="SimSun" w:hAnsi="Book Antiqua" w:cs="SimSun"/>
          <w:b/>
          <w:sz w:val="24"/>
          <w:szCs w:val="24"/>
          <w:lang w:val="en-US" w:eastAsia="zh-CN"/>
        </w:rPr>
      </w:pPr>
      <w:bookmarkStart w:id="57" w:name="OLE_LINK952"/>
      <w:bookmarkEnd w:id="49"/>
      <w:bookmarkEnd w:id="50"/>
      <w:bookmarkEnd w:id="51"/>
      <w:bookmarkEnd w:id="52"/>
      <w:bookmarkEnd w:id="53"/>
      <w:bookmarkEnd w:id="54"/>
      <w:bookmarkEnd w:id="55"/>
      <w:bookmarkEnd w:id="56"/>
    </w:p>
    <w:p w14:paraId="437E6934" w14:textId="59B0C2BA" w:rsidR="00082FE8" w:rsidRPr="00612653" w:rsidRDefault="00082FE8" w:rsidP="00082279">
      <w:pPr>
        <w:snapToGrid w:val="0"/>
        <w:spacing w:after="0" w:line="360" w:lineRule="auto"/>
        <w:jc w:val="both"/>
        <w:rPr>
          <w:rFonts w:ascii="Book Antiqua" w:eastAsia="SimSun" w:hAnsi="Book Antiqua" w:cs="SimSun"/>
          <w:b/>
          <w:sz w:val="24"/>
          <w:szCs w:val="24"/>
          <w:lang w:val="en-US" w:eastAsia="zh-CN"/>
        </w:rPr>
      </w:pPr>
      <w:r w:rsidRPr="00612653">
        <w:rPr>
          <w:rFonts w:ascii="Book Antiqua" w:eastAsia="SimSun" w:hAnsi="Book Antiqua" w:cs="SimSun"/>
          <w:b/>
          <w:sz w:val="24"/>
          <w:szCs w:val="24"/>
          <w:lang w:val="en-US" w:eastAsia="zh-CN"/>
        </w:rPr>
        <w:t>Received:</w:t>
      </w:r>
      <w:r w:rsidR="005C3ECE" w:rsidRPr="00612653">
        <w:rPr>
          <w:rFonts w:ascii="Book Antiqua" w:eastAsia="SimSun" w:hAnsi="Book Antiqua" w:cs="SimSun"/>
          <w:b/>
          <w:sz w:val="24"/>
          <w:szCs w:val="24"/>
          <w:lang w:val="en-US" w:eastAsia="zh-CN"/>
        </w:rPr>
        <w:t xml:space="preserve"> </w:t>
      </w:r>
      <w:r w:rsidR="005C3ECE" w:rsidRPr="00612653">
        <w:rPr>
          <w:rFonts w:ascii="Book Antiqua" w:eastAsia="SimSun" w:hAnsi="Book Antiqua" w:cs="SimSun"/>
          <w:sz w:val="24"/>
          <w:szCs w:val="24"/>
          <w:lang w:val="en-US" w:eastAsia="zh-CN"/>
        </w:rPr>
        <w:t>September 25, 2017</w:t>
      </w:r>
    </w:p>
    <w:p w14:paraId="6396BE1D" w14:textId="1B3851AC" w:rsidR="00082FE8" w:rsidRPr="00612653" w:rsidRDefault="00082FE8" w:rsidP="00082279">
      <w:pPr>
        <w:snapToGrid w:val="0"/>
        <w:spacing w:after="0" w:line="360" w:lineRule="auto"/>
        <w:jc w:val="both"/>
        <w:rPr>
          <w:rFonts w:ascii="Book Antiqua" w:eastAsia="SimSun" w:hAnsi="Book Antiqua" w:cs="SimSun"/>
          <w:b/>
          <w:sz w:val="24"/>
          <w:szCs w:val="24"/>
          <w:lang w:val="en-US" w:eastAsia="zh-CN"/>
        </w:rPr>
      </w:pPr>
      <w:r w:rsidRPr="00612653">
        <w:rPr>
          <w:rFonts w:ascii="Book Antiqua" w:eastAsia="SimSun" w:hAnsi="Book Antiqua" w:cs="SimSun"/>
          <w:b/>
          <w:sz w:val="24"/>
          <w:szCs w:val="24"/>
          <w:lang w:val="en-US" w:eastAsia="zh-CN"/>
        </w:rPr>
        <w:t>Peer-review started:</w:t>
      </w:r>
      <w:r w:rsidR="005C3ECE" w:rsidRPr="00612653">
        <w:rPr>
          <w:rFonts w:ascii="Book Antiqua" w:eastAsia="SimSun" w:hAnsi="Book Antiqua" w:cs="SimSun"/>
          <w:sz w:val="24"/>
          <w:szCs w:val="24"/>
          <w:lang w:val="en-US" w:eastAsia="zh-CN"/>
        </w:rPr>
        <w:t xml:space="preserve"> September 25, 2017</w:t>
      </w:r>
    </w:p>
    <w:p w14:paraId="290850A7" w14:textId="5D9D62E3" w:rsidR="00082FE8" w:rsidRPr="00612653" w:rsidRDefault="00082FE8" w:rsidP="00082279">
      <w:pPr>
        <w:snapToGrid w:val="0"/>
        <w:spacing w:after="0" w:line="360" w:lineRule="auto"/>
        <w:jc w:val="both"/>
        <w:rPr>
          <w:rFonts w:ascii="Book Antiqua" w:eastAsia="SimSun" w:hAnsi="Book Antiqua" w:cs="SimSun"/>
          <w:b/>
          <w:sz w:val="24"/>
          <w:szCs w:val="24"/>
          <w:lang w:val="en-US" w:eastAsia="zh-CN"/>
        </w:rPr>
      </w:pPr>
      <w:r w:rsidRPr="00612653">
        <w:rPr>
          <w:rFonts w:ascii="Book Antiqua" w:eastAsia="SimSun" w:hAnsi="Book Antiqua" w:cs="SimSun"/>
          <w:b/>
          <w:sz w:val="24"/>
          <w:szCs w:val="24"/>
          <w:lang w:val="en-US" w:eastAsia="zh-CN"/>
        </w:rPr>
        <w:t>First decision:</w:t>
      </w:r>
      <w:r w:rsidR="005C3ECE" w:rsidRPr="00612653">
        <w:rPr>
          <w:rFonts w:ascii="Book Antiqua" w:eastAsia="SimSun" w:hAnsi="Book Antiqua" w:cs="SimSun"/>
          <w:b/>
          <w:sz w:val="24"/>
          <w:szCs w:val="24"/>
          <w:lang w:val="en-US" w:eastAsia="zh-CN"/>
        </w:rPr>
        <w:t xml:space="preserve"> </w:t>
      </w:r>
      <w:r w:rsidR="005C3ECE" w:rsidRPr="00612653">
        <w:rPr>
          <w:rFonts w:ascii="Book Antiqua" w:eastAsia="SimSun" w:hAnsi="Book Antiqua" w:cs="SimSun"/>
          <w:sz w:val="24"/>
          <w:szCs w:val="24"/>
          <w:lang w:val="en-US" w:eastAsia="zh-CN"/>
        </w:rPr>
        <w:t>November 3, 2017</w:t>
      </w:r>
    </w:p>
    <w:p w14:paraId="3F0AE2A5" w14:textId="3BFDBC94" w:rsidR="00082FE8" w:rsidRPr="00612653" w:rsidRDefault="00082FE8" w:rsidP="00082279">
      <w:pPr>
        <w:snapToGrid w:val="0"/>
        <w:spacing w:after="0" w:line="360" w:lineRule="auto"/>
        <w:jc w:val="both"/>
        <w:rPr>
          <w:rFonts w:ascii="Book Antiqua" w:eastAsia="SimSun" w:hAnsi="Book Antiqua" w:cs="SimSun"/>
          <w:b/>
          <w:sz w:val="24"/>
          <w:szCs w:val="24"/>
          <w:lang w:val="en-US" w:eastAsia="zh-CN"/>
        </w:rPr>
      </w:pPr>
      <w:r w:rsidRPr="00612653">
        <w:rPr>
          <w:rFonts w:ascii="Book Antiqua" w:eastAsia="SimSun" w:hAnsi="Book Antiqua" w:cs="SimSun"/>
          <w:b/>
          <w:sz w:val="24"/>
          <w:szCs w:val="24"/>
          <w:lang w:val="en-US" w:eastAsia="zh-CN"/>
        </w:rPr>
        <w:t>Revised:</w:t>
      </w:r>
      <w:r w:rsidR="005C3ECE" w:rsidRPr="00612653">
        <w:rPr>
          <w:rFonts w:ascii="Book Antiqua" w:eastAsia="SimSun" w:hAnsi="Book Antiqua" w:cs="SimSun"/>
          <w:b/>
          <w:sz w:val="24"/>
          <w:szCs w:val="24"/>
          <w:lang w:val="en-US" w:eastAsia="zh-CN"/>
        </w:rPr>
        <w:t xml:space="preserve"> </w:t>
      </w:r>
      <w:r w:rsidR="005C3ECE" w:rsidRPr="00612653">
        <w:rPr>
          <w:rFonts w:ascii="Book Antiqua" w:eastAsia="SimSun" w:hAnsi="Book Antiqua" w:cs="SimSun"/>
          <w:sz w:val="24"/>
          <w:szCs w:val="24"/>
          <w:lang w:val="en-US" w:eastAsia="zh-CN"/>
        </w:rPr>
        <w:t>November 24, 2017</w:t>
      </w:r>
    </w:p>
    <w:p w14:paraId="1FA5B4D3" w14:textId="1BCD432F" w:rsidR="00082FE8" w:rsidRPr="00612653" w:rsidRDefault="00082FE8" w:rsidP="00082279">
      <w:pPr>
        <w:snapToGrid w:val="0"/>
        <w:spacing w:after="0" w:line="360" w:lineRule="auto"/>
        <w:jc w:val="both"/>
        <w:rPr>
          <w:rFonts w:ascii="Book Antiqua" w:eastAsia="SimSun" w:hAnsi="Book Antiqua" w:cs="SimSun"/>
          <w:b/>
          <w:sz w:val="24"/>
          <w:szCs w:val="24"/>
          <w:lang w:val="en-US" w:eastAsia="zh-CN"/>
        </w:rPr>
      </w:pPr>
      <w:r w:rsidRPr="00612653">
        <w:rPr>
          <w:rFonts w:ascii="Book Antiqua" w:eastAsia="SimSun" w:hAnsi="Book Antiqua" w:cs="SimSun"/>
          <w:b/>
          <w:sz w:val="24"/>
          <w:szCs w:val="24"/>
          <w:lang w:val="en-US" w:eastAsia="zh-CN"/>
        </w:rPr>
        <w:t>Accepted:</w:t>
      </w:r>
      <w:r w:rsidR="001A4D6C" w:rsidRPr="001A4D6C">
        <w:t xml:space="preserve"> </w:t>
      </w:r>
      <w:r w:rsidR="001A4D6C" w:rsidRPr="001A4D6C">
        <w:rPr>
          <w:rFonts w:ascii="Book Antiqua" w:eastAsia="SimSun" w:hAnsi="Book Antiqua" w:cs="SimSun"/>
          <w:sz w:val="24"/>
          <w:szCs w:val="24"/>
          <w:lang w:val="en-US" w:eastAsia="zh-CN"/>
        </w:rPr>
        <w:t>December 5, 2017</w:t>
      </w:r>
    </w:p>
    <w:p w14:paraId="3316D72C" w14:textId="77777777" w:rsidR="00082FE8" w:rsidRPr="00612653" w:rsidRDefault="00082FE8" w:rsidP="00082279">
      <w:pPr>
        <w:snapToGrid w:val="0"/>
        <w:spacing w:after="0" w:line="360" w:lineRule="auto"/>
        <w:jc w:val="both"/>
        <w:rPr>
          <w:rFonts w:ascii="Book Antiqua" w:eastAsia="SimSun" w:hAnsi="Book Antiqua" w:cs="SimSun"/>
          <w:b/>
          <w:sz w:val="24"/>
          <w:szCs w:val="24"/>
          <w:lang w:val="en-US" w:eastAsia="zh-CN"/>
        </w:rPr>
      </w:pPr>
      <w:r w:rsidRPr="00612653">
        <w:rPr>
          <w:rFonts w:ascii="Book Antiqua" w:eastAsia="SimSun" w:hAnsi="Book Antiqua" w:cs="SimSun"/>
          <w:b/>
          <w:sz w:val="24"/>
          <w:szCs w:val="24"/>
          <w:lang w:val="en-US" w:eastAsia="zh-CN"/>
        </w:rPr>
        <w:t>Article in press:</w:t>
      </w:r>
    </w:p>
    <w:p w14:paraId="0E4988A1" w14:textId="77777777" w:rsidR="00082FE8" w:rsidRPr="00612653" w:rsidRDefault="00082FE8" w:rsidP="00082279">
      <w:pPr>
        <w:snapToGrid w:val="0"/>
        <w:spacing w:after="0" w:line="360" w:lineRule="auto"/>
        <w:jc w:val="both"/>
        <w:rPr>
          <w:rFonts w:ascii="Book Antiqua" w:eastAsia="SimSun" w:hAnsi="Book Antiqua" w:cs="Arial"/>
          <w:b/>
          <w:sz w:val="24"/>
          <w:szCs w:val="24"/>
          <w:lang w:val="pl-PL" w:eastAsia="zh-CN"/>
        </w:rPr>
      </w:pPr>
      <w:r w:rsidRPr="00612653">
        <w:rPr>
          <w:rFonts w:ascii="Book Antiqua" w:eastAsia="SimSun" w:hAnsi="Book Antiqua" w:cs="Arial"/>
          <w:b/>
          <w:sz w:val="24"/>
          <w:szCs w:val="24"/>
          <w:lang w:val="pl-PL" w:eastAsia="pl-PL"/>
        </w:rPr>
        <w:t>Published online:</w:t>
      </w:r>
      <w:bookmarkStart w:id="58" w:name="_GoBack"/>
      <w:bookmarkEnd w:id="58"/>
    </w:p>
    <w:bookmarkEnd w:id="57"/>
    <w:p w14:paraId="2E8C7FE4" w14:textId="77777777" w:rsidR="008A4A19" w:rsidRPr="00612653" w:rsidRDefault="008A4A19" w:rsidP="00082279">
      <w:pPr>
        <w:snapToGrid w:val="0"/>
        <w:spacing w:after="0" w:line="360" w:lineRule="auto"/>
        <w:jc w:val="both"/>
        <w:rPr>
          <w:rFonts w:ascii="Book Antiqua" w:hAnsi="Book Antiqua"/>
          <w:i/>
          <w:sz w:val="24"/>
          <w:szCs w:val="24"/>
          <w:lang w:val="en-GB" w:eastAsia="zh-CN"/>
        </w:rPr>
      </w:pPr>
    </w:p>
    <w:p w14:paraId="7D33394C" w14:textId="77777777" w:rsidR="008A4A19" w:rsidRPr="00612653" w:rsidRDefault="008A4A19" w:rsidP="00082279">
      <w:pPr>
        <w:snapToGrid w:val="0"/>
        <w:spacing w:after="0" w:line="360" w:lineRule="auto"/>
        <w:rPr>
          <w:rFonts w:ascii="Book Antiqua" w:eastAsia="Times New Roman" w:hAnsi="Book Antiqua"/>
          <w:b/>
          <w:bCs/>
          <w:sz w:val="24"/>
          <w:szCs w:val="24"/>
          <w:lang w:val="en-GB"/>
        </w:rPr>
      </w:pPr>
      <w:r w:rsidRPr="00612653">
        <w:rPr>
          <w:rFonts w:ascii="Book Antiqua" w:eastAsia="Times New Roman" w:hAnsi="Book Antiqua"/>
          <w:b/>
          <w:bCs/>
          <w:sz w:val="24"/>
          <w:szCs w:val="24"/>
          <w:lang w:val="en-GB"/>
        </w:rPr>
        <w:br w:type="page"/>
      </w:r>
    </w:p>
    <w:p w14:paraId="4FFF7FA9" w14:textId="4D3835E2" w:rsidR="000B6884" w:rsidRPr="00612653" w:rsidRDefault="000B6884" w:rsidP="00082279">
      <w:pPr>
        <w:snapToGrid w:val="0"/>
        <w:spacing w:after="0" w:line="360" w:lineRule="auto"/>
        <w:jc w:val="both"/>
        <w:rPr>
          <w:rFonts w:ascii="Book Antiqua" w:eastAsia="Times New Roman" w:hAnsi="Book Antiqua"/>
          <w:b/>
          <w:bCs/>
          <w:sz w:val="24"/>
          <w:szCs w:val="24"/>
          <w:lang w:val="en-GB"/>
        </w:rPr>
      </w:pPr>
      <w:r w:rsidRPr="00612653">
        <w:rPr>
          <w:rFonts w:ascii="Book Antiqua" w:eastAsia="Times New Roman" w:hAnsi="Book Antiqua"/>
          <w:b/>
          <w:bCs/>
          <w:sz w:val="24"/>
          <w:szCs w:val="24"/>
          <w:lang w:val="en-GB"/>
        </w:rPr>
        <w:lastRenderedPageBreak/>
        <w:t>A</w:t>
      </w:r>
      <w:r w:rsidR="00D15D8C" w:rsidRPr="00612653">
        <w:rPr>
          <w:rFonts w:ascii="Book Antiqua" w:eastAsia="Times New Roman" w:hAnsi="Book Antiqua"/>
          <w:b/>
          <w:bCs/>
          <w:sz w:val="24"/>
          <w:szCs w:val="24"/>
          <w:lang w:val="en-GB"/>
        </w:rPr>
        <w:t>bstract</w:t>
      </w:r>
    </w:p>
    <w:p w14:paraId="16D518DF" w14:textId="77777777" w:rsidR="00D15D8C" w:rsidRPr="00612653" w:rsidRDefault="00AE0555" w:rsidP="00082279">
      <w:pPr>
        <w:snapToGrid w:val="0"/>
        <w:spacing w:after="0" w:line="360" w:lineRule="auto"/>
        <w:jc w:val="both"/>
        <w:rPr>
          <w:rFonts w:ascii="Book Antiqua" w:hAnsi="Book Antiqua"/>
          <w:b/>
          <w:sz w:val="24"/>
          <w:szCs w:val="24"/>
          <w:lang w:val="en-US" w:eastAsia="zh-CN"/>
        </w:rPr>
      </w:pPr>
      <w:r w:rsidRPr="00612653">
        <w:rPr>
          <w:rFonts w:ascii="Book Antiqua" w:hAnsi="Book Antiqua"/>
          <w:b/>
          <w:i/>
          <w:sz w:val="24"/>
          <w:szCs w:val="24"/>
          <w:lang w:val="en-US"/>
        </w:rPr>
        <w:t>AIM</w:t>
      </w:r>
    </w:p>
    <w:p w14:paraId="1EDB613A" w14:textId="0827D8F7" w:rsidR="006D39F3" w:rsidRPr="00612653" w:rsidRDefault="00F733D8" w:rsidP="00082279">
      <w:pPr>
        <w:snapToGrid w:val="0"/>
        <w:spacing w:after="0" w:line="360" w:lineRule="auto"/>
        <w:jc w:val="both"/>
        <w:rPr>
          <w:rFonts w:ascii="Book Antiqua" w:eastAsia="Times New Roman" w:hAnsi="Book Antiqua"/>
          <w:sz w:val="24"/>
          <w:szCs w:val="24"/>
          <w:lang w:val="en-US"/>
        </w:rPr>
      </w:pPr>
      <w:r w:rsidRPr="00612653">
        <w:rPr>
          <w:rFonts w:ascii="Book Antiqua" w:hAnsi="Book Antiqua"/>
          <w:sz w:val="24"/>
          <w:szCs w:val="24"/>
          <w:lang w:val="en-US"/>
        </w:rPr>
        <w:t>T</w:t>
      </w:r>
      <w:r w:rsidR="0F9EA20F" w:rsidRPr="00612653">
        <w:rPr>
          <w:rFonts w:ascii="Book Antiqua" w:hAnsi="Book Antiqua"/>
          <w:sz w:val="24"/>
          <w:szCs w:val="24"/>
          <w:lang w:val="en-US"/>
        </w:rPr>
        <w:t xml:space="preserve">o </w:t>
      </w:r>
      <w:r w:rsidR="009B4D6F" w:rsidRPr="00612653">
        <w:rPr>
          <w:rFonts w:ascii="Book Antiqua" w:hAnsi="Book Antiqua"/>
          <w:sz w:val="24"/>
          <w:szCs w:val="24"/>
          <w:lang w:val="en-US"/>
        </w:rPr>
        <w:t>evaluate</w:t>
      </w:r>
      <w:r w:rsidR="0F9EA20F" w:rsidRPr="00612653">
        <w:rPr>
          <w:rFonts w:ascii="Book Antiqua" w:hAnsi="Book Antiqua"/>
          <w:sz w:val="24"/>
          <w:szCs w:val="24"/>
          <w:lang w:val="en-US"/>
        </w:rPr>
        <w:t xml:space="preserve"> the pharmacodynamics of compounds in clinical development </w:t>
      </w:r>
      <w:r w:rsidRPr="00612653">
        <w:rPr>
          <w:rFonts w:ascii="Book Antiqua" w:hAnsi="Book Antiqua"/>
          <w:sz w:val="24"/>
          <w:szCs w:val="24"/>
          <w:lang w:val="en-US"/>
        </w:rPr>
        <w:t xml:space="preserve">for nonalcoholic steatohepatitis (NASH) </w:t>
      </w:r>
      <w:r w:rsidR="0F9EA20F" w:rsidRPr="00612653">
        <w:rPr>
          <w:rFonts w:ascii="Book Antiqua" w:hAnsi="Book Antiqua"/>
          <w:sz w:val="24"/>
          <w:szCs w:val="24"/>
          <w:lang w:val="en-US"/>
        </w:rPr>
        <w:t xml:space="preserve">in </w:t>
      </w:r>
      <w:r w:rsidRPr="00612653">
        <w:rPr>
          <w:rFonts w:ascii="Book Antiqua" w:hAnsi="Book Antiqua"/>
          <w:sz w:val="24"/>
          <w:szCs w:val="24"/>
          <w:lang w:val="en-US"/>
        </w:rPr>
        <w:t xml:space="preserve">obese </w:t>
      </w:r>
      <w:r w:rsidR="0F9EA20F" w:rsidRPr="00612653">
        <w:rPr>
          <w:rFonts w:ascii="Book Antiqua" w:hAnsi="Book Antiqua"/>
          <w:sz w:val="24"/>
          <w:szCs w:val="24"/>
          <w:lang w:val="en-US"/>
        </w:rPr>
        <w:t xml:space="preserve">mouse models of </w:t>
      </w:r>
      <w:r w:rsidR="0F9EA20F" w:rsidRPr="00612653">
        <w:rPr>
          <w:rFonts w:ascii="Book Antiqua" w:eastAsia="Times New Roman" w:hAnsi="Book Antiqua"/>
          <w:sz w:val="24"/>
          <w:szCs w:val="24"/>
          <w:lang w:val="en-US"/>
        </w:rPr>
        <w:t>biopsy-confirmed NASH.</w:t>
      </w:r>
    </w:p>
    <w:p w14:paraId="312A1C2F" w14:textId="77777777" w:rsidR="008A4A19" w:rsidRPr="00612653" w:rsidRDefault="008A4A19" w:rsidP="00082279">
      <w:pPr>
        <w:snapToGrid w:val="0"/>
        <w:spacing w:after="0" w:line="360" w:lineRule="auto"/>
        <w:jc w:val="both"/>
        <w:rPr>
          <w:rFonts w:ascii="Book Antiqua" w:hAnsi="Book Antiqua"/>
          <w:b/>
          <w:i/>
          <w:sz w:val="24"/>
          <w:szCs w:val="24"/>
          <w:lang w:val="en-US" w:eastAsia="zh-CN"/>
        </w:rPr>
      </w:pPr>
    </w:p>
    <w:p w14:paraId="5786208F" w14:textId="77777777" w:rsidR="00D15D8C" w:rsidRPr="00612653" w:rsidRDefault="00AE0555" w:rsidP="00082279">
      <w:pPr>
        <w:snapToGrid w:val="0"/>
        <w:spacing w:after="0" w:line="360" w:lineRule="auto"/>
        <w:jc w:val="both"/>
        <w:rPr>
          <w:rFonts w:ascii="Book Antiqua" w:hAnsi="Book Antiqua"/>
          <w:b/>
          <w:sz w:val="24"/>
          <w:szCs w:val="24"/>
          <w:lang w:val="en-US" w:eastAsia="zh-CN"/>
        </w:rPr>
      </w:pPr>
      <w:r w:rsidRPr="00612653">
        <w:rPr>
          <w:rFonts w:ascii="Book Antiqua" w:eastAsia="Times New Roman" w:hAnsi="Book Antiqua"/>
          <w:b/>
          <w:i/>
          <w:sz w:val="24"/>
          <w:szCs w:val="24"/>
          <w:lang w:val="en-US"/>
        </w:rPr>
        <w:t>METHODS</w:t>
      </w:r>
    </w:p>
    <w:p w14:paraId="11B6082B" w14:textId="7F7079A3" w:rsidR="006D39F3" w:rsidRPr="00612653" w:rsidRDefault="009E28C4" w:rsidP="00082279">
      <w:pPr>
        <w:snapToGrid w:val="0"/>
        <w:spacing w:after="0" w:line="360" w:lineRule="auto"/>
        <w:jc w:val="both"/>
        <w:rPr>
          <w:rFonts w:ascii="Book Antiqua" w:eastAsia="Times New Roman" w:hAnsi="Book Antiqua"/>
          <w:sz w:val="24"/>
          <w:szCs w:val="24"/>
          <w:lang w:val="en-US"/>
        </w:rPr>
      </w:pPr>
      <w:r w:rsidRPr="00612653">
        <w:rPr>
          <w:rFonts w:ascii="Book Antiqua" w:eastAsia="Times New Roman" w:hAnsi="Book Antiqua"/>
          <w:sz w:val="24"/>
          <w:szCs w:val="24"/>
          <w:lang w:val="en-US"/>
        </w:rPr>
        <w:t>Male wild-type C57BL/6J mice (DIO-NASH) and Lep</w:t>
      </w:r>
      <w:r w:rsidRPr="00612653">
        <w:rPr>
          <w:rFonts w:ascii="Book Antiqua" w:eastAsia="Times New Roman" w:hAnsi="Book Antiqua"/>
          <w:i/>
          <w:sz w:val="24"/>
          <w:szCs w:val="24"/>
          <w:vertAlign w:val="superscript"/>
          <w:lang w:val="en-US"/>
        </w:rPr>
        <w:t>ob/ob</w:t>
      </w:r>
      <w:r w:rsidRPr="00612653">
        <w:rPr>
          <w:rFonts w:ascii="Book Antiqua" w:eastAsia="Times New Roman" w:hAnsi="Book Antiqua"/>
          <w:sz w:val="24"/>
          <w:szCs w:val="24"/>
          <w:lang w:val="en-US"/>
        </w:rPr>
        <w:t xml:space="preserve"> (</w:t>
      </w:r>
      <w:r w:rsidRPr="00612653">
        <w:rPr>
          <w:rFonts w:ascii="Book Antiqua" w:eastAsia="Times New Roman" w:hAnsi="Book Antiqua"/>
          <w:i/>
          <w:sz w:val="24"/>
          <w:szCs w:val="24"/>
          <w:lang w:val="en-US"/>
        </w:rPr>
        <w:t>ob/ob</w:t>
      </w:r>
      <w:r w:rsidRPr="00612653">
        <w:rPr>
          <w:rFonts w:ascii="Book Antiqua" w:eastAsia="Times New Roman" w:hAnsi="Book Antiqua"/>
          <w:sz w:val="24"/>
          <w:szCs w:val="24"/>
          <w:lang w:val="en-US"/>
        </w:rPr>
        <w:t>-NASH) mice were fed a diet high in trans-fat (40%), fructose (22%) and cholesterol (2%)</w:t>
      </w:r>
      <w:r w:rsidR="00D15D8C" w:rsidRPr="00612653">
        <w:rPr>
          <w:rFonts w:ascii="Book Antiqua" w:eastAsia="Times New Roman" w:hAnsi="Book Antiqua"/>
          <w:sz w:val="24"/>
          <w:szCs w:val="24"/>
          <w:lang w:val="en-US"/>
        </w:rPr>
        <w:t xml:space="preserve"> for 30 and 21 wk</w:t>
      </w:r>
      <w:r w:rsidR="00D61243" w:rsidRPr="00612653">
        <w:rPr>
          <w:rFonts w:ascii="Book Antiqua" w:eastAsia="Times New Roman" w:hAnsi="Book Antiqua"/>
          <w:sz w:val="24"/>
          <w:szCs w:val="24"/>
          <w:lang w:val="en-US"/>
        </w:rPr>
        <w:t>, respectively</w:t>
      </w:r>
      <w:r w:rsidRPr="00612653">
        <w:rPr>
          <w:rFonts w:ascii="Book Antiqua" w:eastAsia="Times New Roman" w:hAnsi="Book Antiqua"/>
          <w:sz w:val="24"/>
          <w:szCs w:val="24"/>
          <w:lang w:val="en-US"/>
        </w:rPr>
        <w:t xml:space="preserve">. </w:t>
      </w:r>
      <w:r w:rsidR="00D544A8" w:rsidRPr="00612653">
        <w:rPr>
          <w:rFonts w:ascii="Book Antiqua" w:eastAsia="Times New Roman" w:hAnsi="Book Antiqua"/>
          <w:sz w:val="24"/>
          <w:szCs w:val="24"/>
          <w:lang w:val="en-US"/>
        </w:rPr>
        <w:t>Prior to treatment</w:t>
      </w:r>
      <w:r w:rsidRPr="00612653">
        <w:rPr>
          <w:rFonts w:ascii="Book Antiqua" w:eastAsia="Times New Roman" w:hAnsi="Book Antiqua"/>
          <w:sz w:val="24"/>
          <w:szCs w:val="24"/>
          <w:lang w:val="en-US"/>
        </w:rPr>
        <w:t>, all mice underwent liver biopsy for confirmation and stratification of liver steatosis and fibrosis</w:t>
      </w:r>
      <w:r w:rsidR="00D34B9A" w:rsidRPr="00612653">
        <w:rPr>
          <w:rFonts w:ascii="Book Antiqua" w:eastAsia="Times New Roman" w:hAnsi="Book Antiqua"/>
          <w:sz w:val="24"/>
          <w:szCs w:val="24"/>
          <w:lang w:val="en-US"/>
        </w:rPr>
        <w:t>,</w:t>
      </w:r>
      <w:r w:rsidRPr="00612653">
        <w:rPr>
          <w:rFonts w:ascii="Book Antiqua" w:eastAsia="Times New Roman" w:hAnsi="Book Antiqua"/>
          <w:sz w:val="24"/>
          <w:szCs w:val="24"/>
          <w:lang w:val="en-US"/>
        </w:rPr>
        <w:t xml:space="preserve"> using the </w:t>
      </w:r>
      <w:r w:rsidR="006527C0" w:rsidRPr="00612653">
        <w:rPr>
          <w:rFonts w:ascii="Book Antiqua" w:eastAsia="Times New Roman" w:hAnsi="Book Antiqua"/>
          <w:sz w:val="24"/>
          <w:szCs w:val="24"/>
          <w:lang w:val="en-US"/>
        </w:rPr>
        <w:t>nonalcoholic fatty liver di</w:t>
      </w:r>
      <w:r w:rsidR="006D39F3" w:rsidRPr="00612653">
        <w:rPr>
          <w:rFonts w:ascii="Book Antiqua" w:eastAsia="Times New Roman" w:hAnsi="Book Antiqua"/>
          <w:sz w:val="24"/>
          <w:szCs w:val="24"/>
          <w:lang w:val="en-US"/>
        </w:rPr>
        <w:t>s</w:t>
      </w:r>
      <w:r w:rsidR="006527C0" w:rsidRPr="00612653">
        <w:rPr>
          <w:rFonts w:ascii="Book Antiqua" w:eastAsia="Times New Roman" w:hAnsi="Book Antiqua"/>
          <w:sz w:val="24"/>
          <w:szCs w:val="24"/>
          <w:lang w:val="en-US"/>
        </w:rPr>
        <w:t>ease</w:t>
      </w:r>
      <w:r w:rsidRPr="00612653">
        <w:rPr>
          <w:rFonts w:ascii="Book Antiqua" w:eastAsia="Times New Roman" w:hAnsi="Book Antiqua"/>
          <w:sz w:val="24"/>
          <w:szCs w:val="24"/>
          <w:lang w:val="en-US"/>
        </w:rPr>
        <w:t xml:space="preserve"> activity score (NAS) and fibrosis staging system. </w:t>
      </w:r>
      <w:r w:rsidR="002307A6" w:rsidRPr="00612653">
        <w:rPr>
          <w:rFonts w:ascii="Book Antiqua" w:eastAsia="Times New Roman" w:hAnsi="Book Antiqua"/>
          <w:sz w:val="24"/>
          <w:szCs w:val="24"/>
          <w:lang w:val="en-US"/>
        </w:rPr>
        <w:t xml:space="preserve">The </w:t>
      </w:r>
      <w:r w:rsidR="006527C0" w:rsidRPr="00612653">
        <w:rPr>
          <w:rFonts w:ascii="Book Antiqua" w:eastAsia="Times New Roman" w:hAnsi="Book Antiqua"/>
          <w:sz w:val="24"/>
          <w:szCs w:val="24"/>
          <w:lang w:val="en-US"/>
        </w:rPr>
        <w:t xml:space="preserve">mice </w:t>
      </w:r>
      <w:r w:rsidR="006D39F3" w:rsidRPr="00612653">
        <w:rPr>
          <w:rFonts w:ascii="Book Antiqua" w:eastAsia="Times New Roman" w:hAnsi="Book Antiqua"/>
          <w:sz w:val="24"/>
          <w:szCs w:val="24"/>
          <w:lang w:val="en-US"/>
        </w:rPr>
        <w:t>were kept on</w:t>
      </w:r>
      <w:r w:rsidR="006527C0" w:rsidRPr="00612653">
        <w:rPr>
          <w:rFonts w:ascii="Book Antiqua" w:eastAsia="Times New Roman" w:hAnsi="Book Antiqua"/>
          <w:sz w:val="24"/>
          <w:szCs w:val="24"/>
          <w:lang w:val="en-US"/>
        </w:rPr>
        <w:t xml:space="preserve"> the diet and received </w:t>
      </w:r>
      <w:r w:rsidR="006D39F3" w:rsidRPr="00612653">
        <w:rPr>
          <w:rFonts w:ascii="Book Antiqua" w:eastAsia="Times New Roman" w:hAnsi="Book Antiqua"/>
          <w:sz w:val="24"/>
          <w:szCs w:val="24"/>
          <w:lang w:val="en-US"/>
        </w:rPr>
        <w:t xml:space="preserve">vehicle, </w:t>
      </w:r>
      <w:r w:rsidR="006527C0" w:rsidRPr="00612653">
        <w:rPr>
          <w:rFonts w:ascii="Book Antiqua" w:eastAsia="Times New Roman" w:hAnsi="Book Antiqua"/>
          <w:sz w:val="24"/>
          <w:szCs w:val="24"/>
          <w:lang w:val="en-US"/>
        </w:rPr>
        <w:t>l</w:t>
      </w:r>
      <w:r w:rsidR="00EC44C4" w:rsidRPr="00612653">
        <w:rPr>
          <w:rFonts w:ascii="Book Antiqua" w:eastAsia="Times New Roman" w:hAnsi="Book Antiqua"/>
          <w:sz w:val="24"/>
          <w:szCs w:val="24"/>
          <w:lang w:val="en-US"/>
        </w:rPr>
        <w:t>iraglutide (</w:t>
      </w:r>
      <w:r w:rsidR="00540D2A" w:rsidRPr="00612653">
        <w:rPr>
          <w:rFonts w:ascii="Book Antiqua" w:hAnsi="Book Antiqua"/>
          <w:sz w:val="24"/>
          <w:szCs w:val="24"/>
          <w:lang w:val="en-US"/>
        </w:rPr>
        <w:t>0.2 mg/kg</w:t>
      </w:r>
      <w:r w:rsidR="0098557B" w:rsidRPr="00612653">
        <w:rPr>
          <w:rFonts w:ascii="Book Antiqua" w:hAnsi="Book Antiqua"/>
          <w:sz w:val="24"/>
          <w:szCs w:val="24"/>
          <w:lang w:val="en-US"/>
        </w:rPr>
        <w:t>/d</w:t>
      </w:r>
      <w:r w:rsidR="00540D2A" w:rsidRPr="00612653">
        <w:rPr>
          <w:rFonts w:ascii="Book Antiqua" w:hAnsi="Book Antiqua"/>
          <w:sz w:val="24"/>
          <w:szCs w:val="24"/>
          <w:lang w:val="en-US"/>
        </w:rPr>
        <w:t>, SC, BID</w:t>
      </w:r>
      <w:r w:rsidR="00EC44C4" w:rsidRPr="00612653">
        <w:rPr>
          <w:rFonts w:ascii="Book Antiqua" w:eastAsia="Times New Roman" w:hAnsi="Book Antiqua"/>
          <w:sz w:val="24"/>
          <w:szCs w:val="24"/>
          <w:lang w:val="en-US"/>
        </w:rPr>
        <w:t>), obeticholic acid (OCA,</w:t>
      </w:r>
      <w:r w:rsidR="00EC44C4" w:rsidRPr="00612653">
        <w:rPr>
          <w:rFonts w:ascii="Book Antiqua" w:hAnsi="Book Antiqua"/>
          <w:sz w:val="24"/>
          <w:szCs w:val="24"/>
          <w:lang w:val="en-US"/>
        </w:rPr>
        <w:t xml:space="preserve"> </w:t>
      </w:r>
      <w:r w:rsidR="00EC44C4" w:rsidRPr="00612653">
        <w:rPr>
          <w:rFonts w:ascii="Book Antiqua" w:eastAsia="Times New Roman" w:hAnsi="Book Antiqua"/>
          <w:sz w:val="24"/>
          <w:szCs w:val="24"/>
          <w:lang w:val="en-US"/>
        </w:rPr>
        <w:t>30 mg/kg</w:t>
      </w:r>
      <w:r w:rsidR="00D15D8C" w:rsidRPr="00612653">
        <w:rPr>
          <w:rFonts w:ascii="Book Antiqua" w:eastAsia="Times New Roman" w:hAnsi="Book Antiqua"/>
          <w:sz w:val="24"/>
          <w:szCs w:val="24"/>
          <w:lang w:val="en-US"/>
        </w:rPr>
        <w:t>/d</w:t>
      </w:r>
      <w:r w:rsidR="00D15D8C" w:rsidRPr="00612653">
        <w:rPr>
          <w:rFonts w:ascii="Book Antiqua" w:eastAsia="Times New Roman" w:hAnsi="Book Antiqua"/>
          <w:sz w:val="24"/>
          <w:szCs w:val="24"/>
          <w:lang w:val="en-US" w:eastAsia="zh-CN"/>
        </w:rPr>
        <w:t xml:space="preserve"> </w:t>
      </w:r>
      <w:r w:rsidR="00C15B7B" w:rsidRPr="00612653">
        <w:rPr>
          <w:rFonts w:ascii="Book Antiqua" w:eastAsia="Times New Roman" w:hAnsi="Book Antiqua"/>
          <w:sz w:val="24"/>
          <w:szCs w:val="24"/>
          <w:lang w:val="en-US"/>
        </w:rPr>
        <w:t>PO, QD</w:t>
      </w:r>
      <w:r w:rsidR="00EC44C4" w:rsidRPr="00612653">
        <w:rPr>
          <w:rFonts w:ascii="Book Antiqua" w:eastAsia="Times New Roman" w:hAnsi="Book Antiqua"/>
          <w:sz w:val="24"/>
          <w:szCs w:val="24"/>
          <w:lang w:val="en-US"/>
        </w:rPr>
        <w:t>)</w:t>
      </w:r>
      <w:r w:rsidR="006D39F3" w:rsidRPr="00612653">
        <w:rPr>
          <w:rFonts w:ascii="Book Antiqua" w:eastAsia="Times New Roman" w:hAnsi="Book Antiqua"/>
          <w:sz w:val="24"/>
          <w:szCs w:val="24"/>
          <w:lang w:val="en-US"/>
        </w:rPr>
        <w:t>, or</w:t>
      </w:r>
      <w:r w:rsidR="0085759F" w:rsidRPr="00612653">
        <w:rPr>
          <w:rFonts w:ascii="Book Antiqua" w:eastAsia="Times New Roman" w:hAnsi="Book Antiqua"/>
          <w:sz w:val="24"/>
          <w:szCs w:val="24"/>
          <w:lang w:val="en-US"/>
        </w:rPr>
        <w:t xml:space="preserve"> elafibranor (30 mg/</w:t>
      </w:r>
      <w:r w:rsidR="00D15D8C" w:rsidRPr="00612653">
        <w:rPr>
          <w:rFonts w:ascii="Book Antiqua" w:eastAsia="Times New Roman" w:hAnsi="Book Antiqua"/>
          <w:sz w:val="24"/>
          <w:szCs w:val="24"/>
          <w:lang w:val="en-US"/>
        </w:rPr>
        <w:t>kg/d</w:t>
      </w:r>
      <w:r w:rsidR="00C15B7B" w:rsidRPr="00612653">
        <w:rPr>
          <w:rFonts w:ascii="Book Antiqua" w:eastAsia="Times New Roman" w:hAnsi="Book Antiqua"/>
          <w:sz w:val="24"/>
          <w:szCs w:val="24"/>
          <w:lang w:val="en-US"/>
        </w:rPr>
        <w:t xml:space="preserve"> PO, QD</w:t>
      </w:r>
      <w:r w:rsidR="0085759F" w:rsidRPr="00612653">
        <w:rPr>
          <w:rFonts w:ascii="Book Antiqua" w:eastAsia="Times New Roman" w:hAnsi="Book Antiqua"/>
          <w:sz w:val="24"/>
          <w:szCs w:val="24"/>
          <w:lang w:val="en-US"/>
        </w:rPr>
        <w:t xml:space="preserve">) for </w:t>
      </w:r>
      <w:r w:rsidR="00D6435B" w:rsidRPr="00612653">
        <w:rPr>
          <w:rFonts w:ascii="Book Antiqua" w:eastAsia="Times New Roman" w:hAnsi="Book Antiqua"/>
          <w:sz w:val="24"/>
          <w:szCs w:val="24"/>
          <w:lang w:val="en-US"/>
        </w:rPr>
        <w:t xml:space="preserve">eight </w:t>
      </w:r>
      <w:r w:rsidR="0085759F" w:rsidRPr="00612653">
        <w:rPr>
          <w:rFonts w:ascii="Book Antiqua" w:eastAsia="Times New Roman" w:hAnsi="Book Antiqua"/>
          <w:sz w:val="24"/>
          <w:szCs w:val="24"/>
          <w:lang w:val="en-US"/>
        </w:rPr>
        <w:t>weeks</w:t>
      </w:r>
      <w:r w:rsidR="000C10BF" w:rsidRPr="00612653">
        <w:rPr>
          <w:rFonts w:ascii="Book Antiqua" w:eastAsia="Times New Roman" w:hAnsi="Book Antiqua"/>
          <w:sz w:val="24"/>
          <w:szCs w:val="24"/>
          <w:lang w:val="en-US"/>
        </w:rPr>
        <w:t>.</w:t>
      </w:r>
      <w:r w:rsidR="006D39F3" w:rsidRPr="00612653">
        <w:rPr>
          <w:rFonts w:ascii="Book Antiqua" w:eastAsia="Times New Roman" w:hAnsi="Book Antiqua"/>
          <w:sz w:val="24"/>
          <w:szCs w:val="24"/>
          <w:lang w:val="en-US"/>
        </w:rPr>
        <w:t xml:space="preserve"> Within-subject comparisons were performed on</w:t>
      </w:r>
      <w:r w:rsidR="006003A6" w:rsidRPr="00612653">
        <w:rPr>
          <w:rFonts w:ascii="Book Antiqua" w:eastAsia="Times New Roman" w:hAnsi="Book Antiqua"/>
          <w:sz w:val="24"/>
          <w:szCs w:val="24"/>
          <w:lang w:val="en-US"/>
        </w:rPr>
        <w:t xml:space="preserve"> changes in</w:t>
      </w:r>
      <w:r w:rsidR="006D39F3" w:rsidRPr="00612653">
        <w:rPr>
          <w:rFonts w:ascii="Book Antiqua" w:eastAsia="Times New Roman" w:hAnsi="Book Antiqua"/>
          <w:sz w:val="24"/>
          <w:szCs w:val="24"/>
          <w:lang w:val="en-US"/>
        </w:rPr>
        <w:t xml:space="preserve"> steatosis, inflammation, ballooning </w:t>
      </w:r>
      <w:r w:rsidR="00553D65" w:rsidRPr="00612653">
        <w:rPr>
          <w:rFonts w:ascii="Book Antiqua" w:eastAsia="Times New Roman" w:hAnsi="Book Antiqua"/>
          <w:sz w:val="24"/>
          <w:szCs w:val="24"/>
          <w:lang w:val="en-US"/>
        </w:rPr>
        <w:t xml:space="preserve">degeneration, </w:t>
      </w:r>
      <w:r w:rsidR="006D39F3" w:rsidRPr="00612653">
        <w:rPr>
          <w:rFonts w:ascii="Book Antiqua" w:eastAsia="Times New Roman" w:hAnsi="Book Antiqua"/>
          <w:sz w:val="24"/>
          <w:szCs w:val="24"/>
          <w:lang w:val="en-US"/>
        </w:rPr>
        <w:t>and fibrosis</w:t>
      </w:r>
      <w:r w:rsidR="00553D65" w:rsidRPr="00612653">
        <w:rPr>
          <w:rFonts w:ascii="Book Antiqua" w:eastAsia="Times New Roman" w:hAnsi="Book Antiqua"/>
          <w:sz w:val="24"/>
          <w:szCs w:val="24"/>
          <w:lang w:val="en-US"/>
        </w:rPr>
        <w:t xml:space="preserve"> scores. </w:t>
      </w:r>
      <w:r w:rsidR="003B6F1A" w:rsidRPr="00612653">
        <w:rPr>
          <w:rFonts w:ascii="Book Antiqua" w:eastAsia="Times New Roman" w:hAnsi="Book Antiqua"/>
          <w:sz w:val="24"/>
          <w:szCs w:val="24"/>
          <w:lang w:val="en-US"/>
        </w:rPr>
        <w:t xml:space="preserve">In addition, compound effects were evaluated by quantitative liver histology, including </w:t>
      </w:r>
      <w:r w:rsidR="000C1DFB" w:rsidRPr="00612653">
        <w:rPr>
          <w:rFonts w:ascii="Book Antiqua" w:eastAsia="Times New Roman" w:hAnsi="Book Antiqua"/>
          <w:sz w:val="24"/>
          <w:szCs w:val="24"/>
          <w:lang w:val="en-US"/>
        </w:rPr>
        <w:t xml:space="preserve">percent </w:t>
      </w:r>
      <w:r w:rsidR="003B6F1A" w:rsidRPr="00612653">
        <w:rPr>
          <w:rFonts w:ascii="Book Antiqua" w:eastAsia="Times New Roman" w:hAnsi="Book Antiqua"/>
          <w:sz w:val="24"/>
          <w:szCs w:val="24"/>
          <w:lang w:val="en-US"/>
        </w:rPr>
        <w:t>fractional area of liver fat, galectin-3 and collagen 1a1.</w:t>
      </w:r>
    </w:p>
    <w:p w14:paraId="37880F6A" w14:textId="77777777" w:rsidR="008A4A19" w:rsidRPr="00612653" w:rsidRDefault="008A4A19" w:rsidP="00082279">
      <w:pPr>
        <w:snapToGrid w:val="0"/>
        <w:spacing w:after="0" w:line="360" w:lineRule="auto"/>
        <w:jc w:val="both"/>
        <w:rPr>
          <w:rFonts w:ascii="Book Antiqua" w:hAnsi="Book Antiqua"/>
          <w:b/>
          <w:i/>
          <w:sz w:val="24"/>
          <w:szCs w:val="24"/>
          <w:lang w:val="en-US" w:eastAsia="zh-CN"/>
        </w:rPr>
      </w:pPr>
    </w:p>
    <w:p w14:paraId="0BC9FF03" w14:textId="77777777" w:rsidR="00D15D8C" w:rsidRPr="00612653" w:rsidRDefault="00AE0555" w:rsidP="00082279">
      <w:pPr>
        <w:snapToGrid w:val="0"/>
        <w:spacing w:after="0" w:line="360" w:lineRule="auto"/>
        <w:jc w:val="both"/>
        <w:rPr>
          <w:rFonts w:ascii="Book Antiqua" w:hAnsi="Book Antiqua"/>
          <w:b/>
          <w:sz w:val="24"/>
          <w:szCs w:val="24"/>
          <w:lang w:val="en-US" w:eastAsia="zh-CN"/>
        </w:rPr>
      </w:pPr>
      <w:r w:rsidRPr="00612653">
        <w:rPr>
          <w:rFonts w:ascii="Book Antiqua" w:eastAsia="Times New Roman" w:hAnsi="Book Antiqua"/>
          <w:b/>
          <w:i/>
          <w:sz w:val="24"/>
          <w:szCs w:val="24"/>
          <w:lang w:val="en-US"/>
        </w:rPr>
        <w:t>RESULTS</w:t>
      </w:r>
    </w:p>
    <w:p w14:paraId="40295B7C" w14:textId="7F25BE44" w:rsidR="006D39F3" w:rsidRPr="00612653" w:rsidRDefault="003D579A" w:rsidP="00082279">
      <w:pPr>
        <w:snapToGrid w:val="0"/>
        <w:spacing w:after="0" w:line="360" w:lineRule="auto"/>
        <w:jc w:val="both"/>
        <w:rPr>
          <w:rFonts w:ascii="Book Antiqua" w:eastAsia="Times New Roman" w:hAnsi="Book Antiqua"/>
          <w:sz w:val="24"/>
          <w:szCs w:val="24"/>
          <w:lang w:val="en-US"/>
        </w:rPr>
      </w:pPr>
      <w:r w:rsidRPr="00612653">
        <w:rPr>
          <w:rFonts w:ascii="Book Antiqua" w:eastAsia="Times New Roman" w:hAnsi="Book Antiqua"/>
          <w:sz w:val="24"/>
          <w:szCs w:val="24"/>
          <w:lang w:val="en-US"/>
        </w:rPr>
        <w:t>L</w:t>
      </w:r>
      <w:r w:rsidR="00100B05" w:rsidRPr="00612653">
        <w:rPr>
          <w:rFonts w:ascii="Book Antiqua" w:eastAsia="Times New Roman" w:hAnsi="Book Antiqua"/>
          <w:sz w:val="24"/>
          <w:szCs w:val="24"/>
          <w:lang w:val="en-US"/>
        </w:rPr>
        <w:t>iraglutide and elafibranor</w:t>
      </w:r>
      <w:r w:rsidR="008044A4" w:rsidRPr="00612653">
        <w:rPr>
          <w:rFonts w:ascii="Book Antiqua" w:eastAsia="Times New Roman" w:hAnsi="Book Antiqua"/>
          <w:sz w:val="24"/>
          <w:szCs w:val="24"/>
          <w:lang w:val="en-US"/>
        </w:rPr>
        <w:t xml:space="preserve">, but not </w:t>
      </w:r>
      <w:r w:rsidR="000C10BF" w:rsidRPr="00612653">
        <w:rPr>
          <w:rFonts w:ascii="Book Antiqua" w:eastAsia="Times New Roman" w:hAnsi="Book Antiqua"/>
          <w:sz w:val="24"/>
          <w:szCs w:val="24"/>
          <w:lang w:val="en-US"/>
        </w:rPr>
        <w:t>OCA</w:t>
      </w:r>
      <w:r w:rsidR="00100B05" w:rsidRPr="00612653">
        <w:rPr>
          <w:rFonts w:ascii="Book Antiqua" w:eastAsia="Times New Roman" w:hAnsi="Book Antiqua"/>
          <w:sz w:val="24"/>
          <w:szCs w:val="24"/>
          <w:lang w:val="en-US"/>
        </w:rPr>
        <w:t xml:space="preserve">, </w:t>
      </w:r>
      <w:r w:rsidR="00144C2E" w:rsidRPr="00612653">
        <w:rPr>
          <w:rFonts w:ascii="Book Antiqua" w:eastAsia="Times New Roman" w:hAnsi="Book Antiqua"/>
          <w:sz w:val="24"/>
          <w:szCs w:val="24"/>
          <w:lang w:val="en-US"/>
        </w:rPr>
        <w:t>reduced body</w:t>
      </w:r>
      <w:r w:rsidR="00100B05" w:rsidRPr="00612653">
        <w:rPr>
          <w:rFonts w:ascii="Book Antiqua" w:eastAsia="Times New Roman" w:hAnsi="Book Antiqua"/>
          <w:sz w:val="24"/>
          <w:szCs w:val="24"/>
          <w:lang w:val="en-US"/>
        </w:rPr>
        <w:t xml:space="preserve"> weight in both </w:t>
      </w:r>
      <w:r w:rsidR="008044A4" w:rsidRPr="00612653">
        <w:rPr>
          <w:rFonts w:ascii="Book Antiqua" w:eastAsia="Times New Roman" w:hAnsi="Book Antiqua"/>
          <w:sz w:val="24"/>
          <w:szCs w:val="24"/>
          <w:lang w:val="en-US"/>
        </w:rPr>
        <w:t>models</w:t>
      </w:r>
      <w:r w:rsidR="00100B05" w:rsidRPr="00612653">
        <w:rPr>
          <w:rFonts w:ascii="Book Antiqua" w:eastAsia="Times New Roman" w:hAnsi="Book Antiqua"/>
          <w:sz w:val="24"/>
          <w:szCs w:val="24"/>
          <w:lang w:val="en-US"/>
        </w:rPr>
        <w:t xml:space="preserve">. </w:t>
      </w:r>
      <w:r w:rsidR="00587361" w:rsidRPr="00612653">
        <w:rPr>
          <w:rFonts w:ascii="Book Antiqua" w:eastAsia="Times New Roman" w:hAnsi="Book Antiqua"/>
          <w:sz w:val="24"/>
          <w:szCs w:val="24"/>
          <w:lang w:val="en-US"/>
        </w:rPr>
        <w:t xml:space="preserve">Liraglutide improved steatosis scores in DIO-NASH mice only. </w:t>
      </w:r>
      <w:r w:rsidR="00100B05" w:rsidRPr="00612653">
        <w:rPr>
          <w:rFonts w:ascii="Book Antiqua" w:eastAsia="Times New Roman" w:hAnsi="Book Antiqua"/>
          <w:sz w:val="24"/>
          <w:szCs w:val="24"/>
          <w:lang w:val="en-US"/>
        </w:rPr>
        <w:t xml:space="preserve">Elafibranor and OCA reduced </w:t>
      </w:r>
      <w:r w:rsidR="009B39AA" w:rsidRPr="00612653">
        <w:rPr>
          <w:rFonts w:ascii="Book Antiqua" w:eastAsia="Times New Roman" w:hAnsi="Book Antiqua"/>
          <w:sz w:val="24"/>
          <w:szCs w:val="24"/>
          <w:lang w:val="en-US"/>
        </w:rPr>
        <w:t xml:space="preserve">histopathological </w:t>
      </w:r>
      <w:r w:rsidR="00D6435B" w:rsidRPr="00612653">
        <w:rPr>
          <w:rFonts w:ascii="Book Antiqua" w:eastAsia="Times New Roman" w:hAnsi="Book Antiqua"/>
          <w:sz w:val="24"/>
          <w:szCs w:val="24"/>
          <w:lang w:val="en-US"/>
        </w:rPr>
        <w:t xml:space="preserve">scores of </w:t>
      </w:r>
      <w:r w:rsidR="0030232D" w:rsidRPr="00612653">
        <w:rPr>
          <w:rFonts w:ascii="Book Antiqua" w:eastAsia="Times New Roman" w:hAnsi="Book Antiqua"/>
          <w:sz w:val="24"/>
          <w:szCs w:val="24"/>
          <w:lang w:val="en-US"/>
        </w:rPr>
        <w:t xml:space="preserve">hepatic </w:t>
      </w:r>
      <w:r w:rsidR="00100B05" w:rsidRPr="00612653">
        <w:rPr>
          <w:rFonts w:ascii="Book Antiqua" w:eastAsia="Times New Roman" w:hAnsi="Book Antiqua"/>
          <w:sz w:val="24"/>
          <w:szCs w:val="24"/>
          <w:lang w:val="en-US"/>
        </w:rPr>
        <w:t>steatosis a</w:t>
      </w:r>
      <w:r w:rsidR="0044340A" w:rsidRPr="00612653">
        <w:rPr>
          <w:rFonts w:ascii="Book Antiqua" w:eastAsia="Times New Roman" w:hAnsi="Book Antiqua"/>
          <w:sz w:val="24"/>
          <w:szCs w:val="24"/>
          <w:lang w:val="en-US"/>
        </w:rPr>
        <w:t>nd inflammation in both models</w:t>
      </w:r>
      <w:r w:rsidR="009B39AA" w:rsidRPr="00612653">
        <w:rPr>
          <w:rFonts w:ascii="Book Antiqua" w:eastAsia="Times New Roman" w:hAnsi="Book Antiqua"/>
          <w:sz w:val="24"/>
          <w:szCs w:val="24"/>
          <w:lang w:val="en-US"/>
        </w:rPr>
        <w:t xml:space="preserve">, </w:t>
      </w:r>
      <w:r w:rsidR="00B62207" w:rsidRPr="00612653">
        <w:rPr>
          <w:rFonts w:ascii="Book Antiqua" w:eastAsia="Times New Roman" w:hAnsi="Book Antiqua"/>
          <w:sz w:val="24"/>
          <w:szCs w:val="24"/>
          <w:lang w:val="en-US"/>
        </w:rPr>
        <w:t>but</w:t>
      </w:r>
      <w:r w:rsidR="009B39AA" w:rsidRPr="00612653">
        <w:rPr>
          <w:rFonts w:ascii="Book Antiqua" w:eastAsia="Times New Roman" w:hAnsi="Book Antiqua"/>
          <w:sz w:val="24"/>
          <w:szCs w:val="24"/>
          <w:lang w:val="en-US"/>
        </w:rPr>
        <w:t xml:space="preserve"> o</w:t>
      </w:r>
      <w:r w:rsidR="00100B05" w:rsidRPr="00612653">
        <w:rPr>
          <w:rFonts w:ascii="Book Antiqua" w:eastAsia="Times New Roman" w:hAnsi="Book Antiqua"/>
          <w:sz w:val="24"/>
          <w:szCs w:val="24"/>
          <w:lang w:val="en-US"/>
        </w:rPr>
        <w:t>nly elafibranor reduced</w:t>
      </w:r>
      <w:r w:rsidR="00EC4E32" w:rsidRPr="00612653">
        <w:rPr>
          <w:rFonts w:ascii="Book Antiqua" w:eastAsia="Times New Roman" w:hAnsi="Book Antiqua"/>
          <w:sz w:val="24"/>
          <w:szCs w:val="24"/>
          <w:lang w:val="en-US"/>
        </w:rPr>
        <w:t xml:space="preserve"> </w:t>
      </w:r>
      <w:r w:rsidR="00100B05" w:rsidRPr="00612653">
        <w:rPr>
          <w:rFonts w:ascii="Book Antiqua" w:eastAsia="Times New Roman" w:hAnsi="Book Antiqua"/>
          <w:sz w:val="24"/>
          <w:szCs w:val="24"/>
          <w:lang w:val="en-US"/>
        </w:rPr>
        <w:t xml:space="preserve">fibrosis </w:t>
      </w:r>
      <w:r w:rsidR="00EC4E32" w:rsidRPr="00612653">
        <w:rPr>
          <w:rFonts w:ascii="Book Antiqua" w:eastAsia="Times New Roman" w:hAnsi="Book Antiqua"/>
          <w:sz w:val="24"/>
          <w:szCs w:val="24"/>
          <w:lang w:val="en-US"/>
        </w:rPr>
        <w:t>severity</w:t>
      </w:r>
      <w:r w:rsidR="00100B05" w:rsidRPr="00612653">
        <w:rPr>
          <w:rFonts w:ascii="Book Antiqua" w:eastAsia="Times New Roman" w:hAnsi="Book Antiqua"/>
          <w:sz w:val="24"/>
          <w:szCs w:val="24"/>
          <w:lang w:val="en-US"/>
        </w:rPr>
        <w:t xml:space="preserve">. </w:t>
      </w:r>
      <w:r w:rsidR="00587361" w:rsidRPr="00612653">
        <w:rPr>
          <w:rFonts w:ascii="Book Antiqua" w:eastAsia="Times New Roman" w:hAnsi="Book Antiqua"/>
          <w:sz w:val="24"/>
          <w:szCs w:val="24"/>
          <w:lang w:val="en-US"/>
        </w:rPr>
        <w:t xml:space="preserve">Liraglutide </w:t>
      </w:r>
      <w:r w:rsidR="00C76B07" w:rsidRPr="00612653">
        <w:rPr>
          <w:rFonts w:ascii="Book Antiqua" w:eastAsia="Times New Roman" w:hAnsi="Book Antiqua"/>
          <w:sz w:val="24"/>
          <w:szCs w:val="24"/>
          <w:lang w:val="en-US"/>
        </w:rPr>
        <w:t xml:space="preserve">and OCA </w:t>
      </w:r>
      <w:r w:rsidR="00313753" w:rsidRPr="00612653">
        <w:rPr>
          <w:rFonts w:ascii="Book Antiqua" w:eastAsia="Times New Roman" w:hAnsi="Book Antiqua"/>
          <w:sz w:val="24"/>
          <w:szCs w:val="24"/>
          <w:lang w:val="en-US"/>
        </w:rPr>
        <w:t>reduc</w:t>
      </w:r>
      <w:r w:rsidR="00B62207" w:rsidRPr="00612653">
        <w:rPr>
          <w:rFonts w:ascii="Book Antiqua" w:eastAsia="Times New Roman" w:hAnsi="Book Antiqua"/>
          <w:sz w:val="24"/>
          <w:szCs w:val="24"/>
          <w:lang w:val="en-US"/>
        </w:rPr>
        <w:t>ed</w:t>
      </w:r>
      <w:r w:rsidR="00313753" w:rsidRPr="00612653">
        <w:rPr>
          <w:rFonts w:ascii="Book Antiqua" w:eastAsia="Times New Roman" w:hAnsi="Book Antiqua"/>
          <w:sz w:val="24"/>
          <w:szCs w:val="24"/>
          <w:lang w:val="en-US"/>
        </w:rPr>
        <w:t xml:space="preserve"> total </w:t>
      </w:r>
      <w:r w:rsidR="00587361" w:rsidRPr="00612653">
        <w:rPr>
          <w:rFonts w:ascii="Book Antiqua" w:eastAsia="Times New Roman" w:hAnsi="Book Antiqua"/>
          <w:sz w:val="24"/>
          <w:szCs w:val="24"/>
          <w:lang w:val="en-US"/>
        </w:rPr>
        <w:t>liver fat</w:t>
      </w:r>
      <w:r w:rsidR="00313753" w:rsidRPr="00612653">
        <w:rPr>
          <w:rFonts w:ascii="Book Antiqua" w:eastAsia="Times New Roman" w:hAnsi="Book Antiqua"/>
          <w:sz w:val="24"/>
          <w:szCs w:val="24"/>
          <w:lang w:val="en-US"/>
        </w:rPr>
        <w:t xml:space="preserve">, </w:t>
      </w:r>
      <w:r w:rsidR="00587361" w:rsidRPr="00612653">
        <w:rPr>
          <w:rFonts w:ascii="Book Antiqua" w:eastAsia="Times New Roman" w:hAnsi="Book Antiqua"/>
          <w:sz w:val="24"/>
          <w:szCs w:val="24"/>
          <w:lang w:val="en-US"/>
        </w:rPr>
        <w:t>collagen 1a1 and galectin-3</w:t>
      </w:r>
      <w:r w:rsidR="00F346A3" w:rsidRPr="00612653">
        <w:rPr>
          <w:rFonts w:ascii="Book Antiqua" w:eastAsia="Times New Roman" w:hAnsi="Book Antiqua"/>
          <w:sz w:val="24"/>
          <w:szCs w:val="24"/>
          <w:lang w:val="en-US"/>
        </w:rPr>
        <w:t xml:space="preserve"> </w:t>
      </w:r>
      <w:r w:rsidR="00587361" w:rsidRPr="00612653">
        <w:rPr>
          <w:rFonts w:ascii="Book Antiqua" w:eastAsia="Times New Roman" w:hAnsi="Book Antiqua"/>
          <w:sz w:val="24"/>
          <w:szCs w:val="24"/>
          <w:lang w:val="en-US"/>
        </w:rPr>
        <w:t>content</w:t>
      </w:r>
      <w:r w:rsidR="00B62207" w:rsidRPr="00612653">
        <w:rPr>
          <w:rFonts w:ascii="Book Antiqua" w:eastAsia="Times New Roman" w:hAnsi="Book Antiqua"/>
          <w:sz w:val="24"/>
          <w:szCs w:val="24"/>
          <w:lang w:val="en-US"/>
        </w:rPr>
        <w:t xml:space="preserve">, </w:t>
      </w:r>
      <w:r w:rsidR="00587361" w:rsidRPr="00612653">
        <w:rPr>
          <w:rFonts w:ascii="Book Antiqua" w:eastAsia="Times New Roman" w:hAnsi="Book Antiqua"/>
          <w:sz w:val="24"/>
          <w:szCs w:val="24"/>
          <w:lang w:val="en-US"/>
        </w:rPr>
        <w:t>driven by significant reductions in liver weight</w:t>
      </w:r>
      <w:r w:rsidR="00100B05" w:rsidRPr="00612653">
        <w:rPr>
          <w:rFonts w:ascii="Book Antiqua" w:eastAsia="Times New Roman" w:hAnsi="Book Antiqua"/>
          <w:sz w:val="24"/>
          <w:szCs w:val="24"/>
          <w:lang w:val="en-US"/>
        </w:rPr>
        <w:t xml:space="preserve">. </w:t>
      </w:r>
      <w:r w:rsidR="00F346A3" w:rsidRPr="00612653">
        <w:rPr>
          <w:rFonts w:ascii="Book Antiqua" w:eastAsia="Times New Roman" w:hAnsi="Book Antiqua"/>
          <w:sz w:val="24"/>
          <w:szCs w:val="24"/>
          <w:lang w:val="en-US"/>
        </w:rPr>
        <w:t>The</w:t>
      </w:r>
      <w:r w:rsidR="00100B05" w:rsidRPr="00612653">
        <w:rPr>
          <w:rFonts w:ascii="Book Antiqua" w:eastAsia="Times New Roman" w:hAnsi="Book Antiqua"/>
          <w:sz w:val="24"/>
          <w:szCs w:val="24"/>
          <w:lang w:val="en-US"/>
        </w:rPr>
        <w:t xml:space="preserve"> individual drug effects on </w:t>
      </w:r>
      <w:r w:rsidR="00313753" w:rsidRPr="00612653">
        <w:rPr>
          <w:rFonts w:ascii="Book Antiqua" w:eastAsia="Times New Roman" w:hAnsi="Book Antiqua"/>
          <w:sz w:val="24"/>
          <w:szCs w:val="24"/>
          <w:lang w:val="en-US"/>
        </w:rPr>
        <w:t>NA</w:t>
      </w:r>
      <w:r w:rsidR="00B62207" w:rsidRPr="00612653">
        <w:rPr>
          <w:rFonts w:ascii="Book Antiqua" w:eastAsia="Times New Roman" w:hAnsi="Book Antiqua"/>
          <w:sz w:val="24"/>
          <w:szCs w:val="24"/>
          <w:lang w:val="en-US"/>
        </w:rPr>
        <w:t>SH histological end</w:t>
      </w:r>
      <w:r w:rsidR="00313753" w:rsidRPr="00612653">
        <w:rPr>
          <w:rFonts w:ascii="Book Antiqua" w:eastAsia="Times New Roman" w:hAnsi="Book Antiqua"/>
          <w:sz w:val="24"/>
          <w:szCs w:val="24"/>
          <w:lang w:val="en-US"/>
        </w:rPr>
        <w:t>points</w:t>
      </w:r>
      <w:r w:rsidR="00F346A3" w:rsidRPr="00612653">
        <w:rPr>
          <w:rFonts w:ascii="Book Antiqua" w:eastAsia="Times New Roman" w:hAnsi="Book Antiqua"/>
          <w:sz w:val="24"/>
          <w:szCs w:val="24"/>
          <w:lang w:val="en-US"/>
        </w:rPr>
        <w:t xml:space="preserve"> were supported by </w:t>
      </w:r>
      <w:r w:rsidR="00D02721" w:rsidRPr="00612653">
        <w:rPr>
          <w:rFonts w:ascii="Book Antiqua" w:eastAsia="Times New Roman" w:hAnsi="Book Antiqua"/>
          <w:sz w:val="24"/>
          <w:szCs w:val="24"/>
          <w:lang w:val="en-US"/>
        </w:rPr>
        <w:t>global gene expression (</w:t>
      </w:r>
      <w:r w:rsidR="00F346A3" w:rsidRPr="00612653">
        <w:rPr>
          <w:rFonts w:ascii="Book Antiqua" w:eastAsia="Times New Roman" w:hAnsi="Book Antiqua"/>
          <w:sz w:val="24"/>
          <w:szCs w:val="24"/>
          <w:lang w:val="en-US"/>
        </w:rPr>
        <w:t>RNA sequencing</w:t>
      </w:r>
      <w:r w:rsidR="00D02721" w:rsidRPr="00612653">
        <w:rPr>
          <w:rFonts w:ascii="Book Antiqua" w:eastAsia="Times New Roman" w:hAnsi="Book Antiqua"/>
          <w:sz w:val="24"/>
          <w:szCs w:val="24"/>
          <w:lang w:val="en-US"/>
        </w:rPr>
        <w:t>) and liver lipid biochemistry</w:t>
      </w:r>
      <w:r w:rsidR="00100B05" w:rsidRPr="00612653">
        <w:rPr>
          <w:rFonts w:ascii="Book Antiqua" w:eastAsia="Times New Roman" w:hAnsi="Book Antiqua"/>
          <w:sz w:val="24"/>
          <w:szCs w:val="24"/>
          <w:lang w:val="en-US"/>
        </w:rPr>
        <w:t>.</w:t>
      </w:r>
    </w:p>
    <w:p w14:paraId="79C43543" w14:textId="77777777" w:rsidR="008A4A19" w:rsidRPr="00612653" w:rsidRDefault="008A4A19" w:rsidP="00082279">
      <w:pPr>
        <w:snapToGrid w:val="0"/>
        <w:spacing w:after="0" w:line="360" w:lineRule="auto"/>
        <w:jc w:val="both"/>
        <w:rPr>
          <w:rFonts w:ascii="Book Antiqua" w:hAnsi="Book Antiqua"/>
          <w:b/>
          <w:i/>
          <w:sz w:val="24"/>
          <w:szCs w:val="24"/>
          <w:lang w:val="en-US" w:eastAsia="zh-CN"/>
        </w:rPr>
      </w:pPr>
    </w:p>
    <w:p w14:paraId="2C36FE68" w14:textId="77777777" w:rsidR="00D15D8C" w:rsidRPr="00612653" w:rsidRDefault="00AE0555" w:rsidP="00082279">
      <w:pPr>
        <w:snapToGrid w:val="0"/>
        <w:spacing w:after="0" w:line="360" w:lineRule="auto"/>
        <w:jc w:val="both"/>
        <w:rPr>
          <w:rFonts w:ascii="Book Antiqua" w:hAnsi="Book Antiqua"/>
          <w:b/>
          <w:sz w:val="24"/>
          <w:szCs w:val="24"/>
          <w:lang w:val="en-US" w:eastAsia="zh-CN"/>
        </w:rPr>
      </w:pPr>
      <w:r w:rsidRPr="00612653">
        <w:rPr>
          <w:rFonts w:ascii="Book Antiqua" w:eastAsia="Times New Roman" w:hAnsi="Book Antiqua"/>
          <w:b/>
          <w:i/>
          <w:sz w:val="24"/>
          <w:szCs w:val="24"/>
          <w:lang w:val="en-US"/>
        </w:rPr>
        <w:t>CONCLUSION</w:t>
      </w:r>
    </w:p>
    <w:p w14:paraId="76C00CEC" w14:textId="50C0B872" w:rsidR="00091480" w:rsidRPr="00612653" w:rsidRDefault="004A6605" w:rsidP="00082279">
      <w:pPr>
        <w:snapToGrid w:val="0"/>
        <w:spacing w:after="0" w:line="360" w:lineRule="auto"/>
        <w:jc w:val="both"/>
        <w:rPr>
          <w:rFonts w:ascii="Book Antiqua" w:hAnsi="Book Antiqua"/>
          <w:sz w:val="24"/>
          <w:szCs w:val="24"/>
          <w:lang w:val="en-US" w:eastAsia="zh-CN"/>
        </w:rPr>
      </w:pPr>
      <w:r w:rsidRPr="00612653">
        <w:rPr>
          <w:rFonts w:ascii="Book Antiqua" w:eastAsia="Times New Roman" w:hAnsi="Book Antiqua"/>
          <w:sz w:val="24"/>
          <w:szCs w:val="24"/>
          <w:lang w:val="en-US"/>
        </w:rPr>
        <w:t xml:space="preserve">DIO-NASH and </w:t>
      </w:r>
      <w:r w:rsidRPr="00612653">
        <w:rPr>
          <w:rFonts w:ascii="Book Antiqua" w:eastAsia="Times New Roman" w:hAnsi="Book Antiqua"/>
          <w:i/>
          <w:sz w:val="24"/>
          <w:szCs w:val="24"/>
          <w:lang w:val="en-US"/>
        </w:rPr>
        <w:t>ob/ob</w:t>
      </w:r>
      <w:r w:rsidRPr="00612653">
        <w:rPr>
          <w:rFonts w:ascii="Book Antiqua" w:eastAsia="Times New Roman" w:hAnsi="Book Antiqua"/>
          <w:sz w:val="24"/>
          <w:szCs w:val="24"/>
          <w:lang w:val="en-US"/>
        </w:rPr>
        <w:t>-NASH</w:t>
      </w:r>
      <w:r w:rsidR="00091480" w:rsidRPr="00612653">
        <w:rPr>
          <w:rFonts w:ascii="Book Antiqua" w:hAnsi="Book Antiqua"/>
          <w:sz w:val="24"/>
          <w:szCs w:val="24"/>
          <w:lang w:val="en-US"/>
        </w:rPr>
        <w:t xml:space="preserve"> mouse models </w:t>
      </w:r>
      <w:r w:rsidR="00E400B8" w:rsidRPr="00612653">
        <w:rPr>
          <w:rFonts w:ascii="Book Antiqua" w:hAnsi="Book Antiqua"/>
          <w:sz w:val="24"/>
          <w:szCs w:val="24"/>
          <w:lang w:val="en-US"/>
        </w:rPr>
        <w:t>show</w:t>
      </w:r>
      <w:r w:rsidR="00091480" w:rsidRPr="00612653">
        <w:rPr>
          <w:rFonts w:ascii="Book Antiqua" w:hAnsi="Book Antiqua"/>
          <w:sz w:val="24"/>
          <w:szCs w:val="24"/>
          <w:lang w:val="en-US"/>
        </w:rPr>
        <w:t xml:space="preserve"> distinct </w:t>
      </w:r>
      <w:r w:rsidR="00B62207" w:rsidRPr="00612653">
        <w:rPr>
          <w:rFonts w:ascii="Book Antiqua" w:hAnsi="Book Antiqua"/>
          <w:sz w:val="24"/>
          <w:szCs w:val="24"/>
          <w:lang w:val="en-US"/>
        </w:rPr>
        <w:t>treatment</w:t>
      </w:r>
      <w:r w:rsidR="00091480" w:rsidRPr="00612653">
        <w:rPr>
          <w:rFonts w:ascii="Book Antiqua" w:hAnsi="Book Antiqua"/>
          <w:sz w:val="24"/>
          <w:szCs w:val="24"/>
          <w:lang w:val="en-US"/>
        </w:rPr>
        <w:t xml:space="preserve"> effects of liraglutide, OCA, and elafibranor</w:t>
      </w:r>
      <w:r w:rsidR="00E400B8" w:rsidRPr="00612653">
        <w:rPr>
          <w:rFonts w:ascii="Book Antiqua" w:hAnsi="Book Antiqua"/>
          <w:sz w:val="24"/>
          <w:szCs w:val="24"/>
          <w:lang w:val="en-US"/>
        </w:rPr>
        <w:t xml:space="preserve">, being </w:t>
      </w:r>
      <w:r w:rsidR="003C1BEF" w:rsidRPr="00612653">
        <w:rPr>
          <w:rFonts w:ascii="Book Antiqua" w:hAnsi="Book Antiqua"/>
          <w:sz w:val="24"/>
          <w:szCs w:val="24"/>
          <w:lang w:val="en-US"/>
        </w:rPr>
        <w:t xml:space="preserve">in </w:t>
      </w:r>
      <w:r w:rsidR="00A46B3D" w:rsidRPr="00612653">
        <w:rPr>
          <w:rFonts w:ascii="Book Antiqua" w:hAnsi="Book Antiqua"/>
          <w:sz w:val="24"/>
          <w:szCs w:val="24"/>
          <w:lang w:val="en-US"/>
        </w:rPr>
        <w:t xml:space="preserve">general </w:t>
      </w:r>
      <w:r w:rsidR="003C1BEF" w:rsidRPr="00612653">
        <w:rPr>
          <w:rFonts w:ascii="Book Antiqua" w:hAnsi="Book Antiqua"/>
          <w:sz w:val="24"/>
          <w:szCs w:val="24"/>
          <w:lang w:val="en-US"/>
        </w:rPr>
        <w:t xml:space="preserve">agreement with </w:t>
      </w:r>
      <w:r w:rsidR="0089428C" w:rsidRPr="00612653">
        <w:rPr>
          <w:rFonts w:ascii="Book Antiqua" w:hAnsi="Book Antiqua"/>
          <w:sz w:val="24"/>
          <w:szCs w:val="24"/>
          <w:lang w:val="en-US"/>
        </w:rPr>
        <w:t xml:space="preserve">corresponding </w:t>
      </w:r>
      <w:r w:rsidR="003C1BEF" w:rsidRPr="00612653">
        <w:rPr>
          <w:rFonts w:ascii="Book Antiqua" w:hAnsi="Book Antiqua"/>
          <w:sz w:val="24"/>
          <w:szCs w:val="24"/>
          <w:lang w:val="en-US"/>
        </w:rPr>
        <w:t>fi</w:t>
      </w:r>
      <w:r w:rsidR="00E400B8" w:rsidRPr="00612653">
        <w:rPr>
          <w:rFonts w:ascii="Book Antiqua" w:hAnsi="Book Antiqua"/>
          <w:sz w:val="24"/>
          <w:szCs w:val="24"/>
          <w:lang w:val="en-US"/>
        </w:rPr>
        <w:t>ndings</w:t>
      </w:r>
      <w:r w:rsidR="00066D45" w:rsidRPr="00612653">
        <w:rPr>
          <w:rFonts w:ascii="Book Antiqua" w:hAnsi="Book Antiqua"/>
          <w:sz w:val="24"/>
          <w:szCs w:val="24"/>
          <w:lang w:val="en-US"/>
        </w:rPr>
        <w:t xml:space="preserve"> in clinical </w:t>
      </w:r>
      <w:r w:rsidR="00066D45" w:rsidRPr="00612653">
        <w:rPr>
          <w:rFonts w:ascii="Book Antiqua" w:hAnsi="Book Antiqua"/>
          <w:sz w:val="24"/>
          <w:szCs w:val="24"/>
          <w:lang w:val="en-US"/>
        </w:rPr>
        <w:lastRenderedPageBreak/>
        <w:t>trials for NASH</w:t>
      </w:r>
      <w:r w:rsidR="00E400B8" w:rsidRPr="00612653">
        <w:rPr>
          <w:rFonts w:ascii="Book Antiqua" w:hAnsi="Book Antiqua"/>
          <w:sz w:val="24"/>
          <w:szCs w:val="24"/>
          <w:lang w:val="en-US"/>
        </w:rPr>
        <w:t>.</w:t>
      </w:r>
      <w:r w:rsidR="00CC1B98" w:rsidRPr="00612653">
        <w:rPr>
          <w:rFonts w:ascii="Book Antiqua" w:hAnsi="Book Antiqua"/>
          <w:sz w:val="24"/>
          <w:szCs w:val="24"/>
          <w:lang w:val="en-US"/>
        </w:rPr>
        <w:t xml:space="preserve"> </w:t>
      </w:r>
      <w:r w:rsidR="000F2D4B" w:rsidRPr="00612653">
        <w:rPr>
          <w:rFonts w:ascii="Book Antiqua" w:hAnsi="Book Antiqua"/>
          <w:sz w:val="24"/>
          <w:szCs w:val="24"/>
          <w:lang w:val="en-US"/>
        </w:rPr>
        <w:t xml:space="preserve">The present data therefore further supports the clinical translatability and utility of DIO-NASH and </w:t>
      </w:r>
      <w:r w:rsidR="000F2D4B" w:rsidRPr="00612653">
        <w:rPr>
          <w:rFonts w:ascii="Book Antiqua" w:hAnsi="Book Antiqua"/>
          <w:i/>
          <w:sz w:val="24"/>
          <w:szCs w:val="24"/>
          <w:lang w:val="en-US"/>
        </w:rPr>
        <w:t>ob/ob</w:t>
      </w:r>
      <w:r w:rsidR="000F2D4B" w:rsidRPr="00612653">
        <w:rPr>
          <w:rFonts w:ascii="Book Antiqua" w:hAnsi="Book Antiqua"/>
          <w:sz w:val="24"/>
          <w:szCs w:val="24"/>
          <w:lang w:val="en-US"/>
        </w:rPr>
        <w:t xml:space="preserve">-NASH mouse models of NASH </w:t>
      </w:r>
      <w:r w:rsidR="00BA33F8" w:rsidRPr="00612653">
        <w:rPr>
          <w:rFonts w:ascii="Book Antiqua" w:hAnsi="Book Antiqua"/>
          <w:sz w:val="24"/>
          <w:szCs w:val="24"/>
          <w:lang w:val="en-US"/>
        </w:rPr>
        <w:t xml:space="preserve">for probing </w:t>
      </w:r>
      <w:r w:rsidR="001D0454" w:rsidRPr="00612653">
        <w:rPr>
          <w:rFonts w:ascii="Book Antiqua" w:hAnsi="Book Antiqua"/>
          <w:sz w:val="24"/>
          <w:szCs w:val="24"/>
          <w:lang w:val="en-US"/>
        </w:rPr>
        <w:t xml:space="preserve">the </w:t>
      </w:r>
      <w:r w:rsidR="00737A54" w:rsidRPr="00612653">
        <w:rPr>
          <w:rFonts w:ascii="Book Antiqua" w:hAnsi="Book Antiqua"/>
          <w:sz w:val="24"/>
          <w:szCs w:val="24"/>
          <w:lang w:val="en-US"/>
        </w:rPr>
        <w:t xml:space="preserve">therapeutic </w:t>
      </w:r>
      <w:r w:rsidR="00BA33F8" w:rsidRPr="00612653">
        <w:rPr>
          <w:rFonts w:ascii="Book Antiqua" w:hAnsi="Book Antiqua"/>
          <w:sz w:val="24"/>
          <w:szCs w:val="24"/>
          <w:lang w:val="en-US"/>
        </w:rPr>
        <w:t>efficacy of compounds</w:t>
      </w:r>
      <w:r w:rsidR="00056645" w:rsidRPr="00612653">
        <w:rPr>
          <w:rFonts w:ascii="Book Antiqua" w:hAnsi="Book Antiqua"/>
          <w:sz w:val="24"/>
          <w:szCs w:val="24"/>
          <w:lang w:val="en-US"/>
        </w:rPr>
        <w:t xml:space="preserve"> in preclinical drug development for NASH</w:t>
      </w:r>
      <w:r w:rsidR="000F2D4B" w:rsidRPr="00612653">
        <w:rPr>
          <w:rFonts w:ascii="Book Antiqua" w:hAnsi="Book Antiqua"/>
          <w:sz w:val="24"/>
          <w:szCs w:val="24"/>
          <w:lang w:val="en-US"/>
        </w:rPr>
        <w:t>.</w:t>
      </w:r>
    </w:p>
    <w:p w14:paraId="4801FDE8" w14:textId="77777777" w:rsidR="008A4A19" w:rsidRPr="00612653" w:rsidRDefault="008A4A19" w:rsidP="00082279">
      <w:pPr>
        <w:snapToGrid w:val="0"/>
        <w:spacing w:after="0" w:line="360" w:lineRule="auto"/>
        <w:jc w:val="both"/>
        <w:rPr>
          <w:rFonts w:ascii="Book Antiqua" w:hAnsi="Book Antiqua"/>
          <w:sz w:val="24"/>
          <w:szCs w:val="24"/>
          <w:lang w:val="en-US" w:eastAsia="zh-CN"/>
        </w:rPr>
      </w:pPr>
    </w:p>
    <w:p w14:paraId="5291DD3B" w14:textId="0253C346" w:rsidR="008A4A19" w:rsidRPr="00612653" w:rsidRDefault="008A4A19" w:rsidP="00082279">
      <w:pPr>
        <w:snapToGrid w:val="0"/>
        <w:spacing w:after="0" w:line="360" w:lineRule="auto"/>
        <w:jc w:val="both"/>
        <w:rPr>
          <w:rFonts w:ascii="Book Antiqua" w:hAnsi="Book Antiqua"/>
          <w:sz w:val="24"/>
          <w:szCs w:val="24"/>
          <w:lang w:val="en-US" w:eastAsia="zh-CN"/>
        </w:rPr>
      </w:pPr>
      <w:r w:rsidRPr="00612653">
        <w:rPr>
          <w:rFonts w:ascii="Book Antiqua" w:eastAsia="Times New Roman" w:hAnsi="Book Antiqua"/>
          <w:b/>
          <w:iCs/>
          <w:sz w:val="24"/>
          <w:szCs w:val="24"/>
          <w:lang w:val="en-GB"/>
        </w:rPr>
        <w:t>Key</w:t>
      </w:r>
      <w:r w:rsidRPr="00612653">
        <w:rPr>
          <w:rFonts w:ascii="Book Antiqua" w:eastAsia="Times New Roman" w:hAnsi="Book Antiqua"/>
          <w:b/>
          <w:iCs/>
          <w:sz w:val="24"/>
          <w:szCs w:val="24"/>
          <w:lang w:val="en-GB" w:eastAsia="zh-CN"/>
        </w:rPr>
        <w:t xml:space="preserve"> </w:t>
      </w:r>
      <w:r w:rsidRPr="00612653">
        <w:rPr>
          <w:rFonts w:ascii="Book Antiqua" w:eastAsia="Times New Roman" w:hAnsi="Book Antiqua"/>
          <w:b/>
          <w:iCs/>
          <w:sz w:val="24"/>
          <w:szCs w:val="24"/>
          <w:lang w:val="en-GB"/>
        </w:rPr>
        <w:t>words</w:t>
      </w:r>
      <w:r w:rsidRPr="00612653">
        <w:rPr>
          <w:rFonts w:ascii="Book Antiqua" w:eastAsia="Times New Roman" w:hAnsi="Book Antiqua"/>
          <w:b/>
          <w:sz w:val="24"/>
          <w:szCs w:val="24"/>
          <w:lang w:val="en-GB"/>
        </w:rPr>
        <w:t xml:space="preserve">: </w:t>
      </w:r>
      <w:r w:rsidRPr="00612653">
        <w:rPr>
          <w:rFonts w:ascii="Book Antiqua" w:hAnsi="Book Antiqua"/>
          <w:sz w:val="24"/>
          <w:szCs w:val="24"/>
          <w:lang w:val="en-US"/>
        </w:rPr>
        <w:t>Nonalcoholic steatohepatitis; Disease models; Pathology; Fibrosis; Liver biopsy; Transcriptomics; Pharmacodynamics;</w:t>
      </w:r>
      <w:r w:rsidR="00F32BD1">
        <w:rPr>
          <w:rFonts w:ascii="Book Antiqua" w:hAnsi="Book Antiqua" w:hint="eastAsia"/>
          <w:sz w:val="24"/>
          <w:szCs w:val="24"/>
          <w:lang w:val="en-US" w:eastAsia="zh-CN"/>
        </w:rPr>
        <w:t xml:space="preserve"> </w:t>
      </w:r>
      <w:r w:rsidRPr="00612653">
        <w:rPr>
          <w:rFonts w:ascii="Book Antiqua" w:hAnsi="Book Antiqua"/>
          <w:sz w:val="24"/>
          <w:szCs w:val="24"/>
          <w:lang w:val="en-US"/>
        </w:rPr>
        <w:t>Glucagon-like peptide-1 receptor; Peroxisome</w:t>
      </w:r>
      <w:r w:rsidRPr="00612653">
        <w:rPr>
          <w:rFonts w:ascii="Book Antiqua" w:hAnsi="Book Antiqua"/>
          <w:sz w:val="24"/>
          <w:szCs w:val="24"/>
          <w:lang w:val="en-US" w:eastAsia="zh-CN"/>
        </w:rPr>
        <w:t xml:space="preserve"> </w:t>
      </w:r>
      <w:r w:rsidRPr="00612653">
        <w:rPr>
          <w:rFonts w:ascii="Book Antiqua" w:hAnsi="Book Antiqua"/>
          <w:sz w:val="24"/>
          <w:szCs w:val="24"/>
          <w:lang w:val="en-US"/>
        </w:rPr>
        <w:t>proliferator-activated receptor; Farnesoid X receptor</w:t>
      </w:r>
    </w:p>
    <w:p w14:paraId="3CA5B2FC" w14:textId="77777777" w:rsidR="00D15D8C" w:rsidRPr="00612653" w:rsidRDefault="00D15D8C" w:rsidP="00082279">
      <w:pPr>
        <w:snapToGrid w:val="0"/>
        <w:spacing w:after="0" w:line="360" w:lineRule="auto"/>
        <w:jc w:val="both"/>
        <w:rPr>
          <w:rFonts w:ascii="Book Antiqua" w:hAnsi="Book Antiqua"/>
          <w:sz w:val="24"/>
          <w:szCs w:val="24"/>
          <w:lang w:val="en-US" w:eastAsia="zh-CN"/>
        </w:rPr>
      </w:pPr>
    </w:p>
    <w:p w14:paraId="4B522BFC" w14:textId="77777777" w:rsidR="00D15D8C" w:rsidRPr="00612653" w:rsidRDefault="00D15D8C" w:rsidP="00082279">
      <w:pPr>
        <w:adjustRightInd w:val="0"/>
        <w:snapToGrid w:val="0"/>
        <w:spacing w:after="0" w:line="360" w:lineRule="auto"/>
        <w:jc w:val="both"/>
        <w:rPr>
          <w:rFonts w:ascii="Book Antiqua" w:eastAsia="SimSun" w:hAnsi="Book Antiqua" w:cs="SimSun"/>
          <w:sz w:val="24"/>
          <w:szCs w:val="24"/>
          <w:lang w:val="en-US" w:eastAsia="zh-CN"/>
        </w:rPr>
      </w:pPr>
      <w:bookmarkStart w:id="59" w:name="OLE_LINK363"/>
      <w:bookmarkStart w:id="60" w:name="OLE_LINK364"/>
      <w:bookmarkStart w:id="61" w:name="OLE_LINK359"/>
      <w:bookmarkStart w:id="62" w:name="OLE_LINK1037"/>
      <w:bookmarkStart w:id="63" w:name="OLE_LINK1195"/>
      <w:bookmarkStart w:id="64" w:name="OLE_LINK1140"/>
      <w:bookmarkStart w:id="65" w:name="OLE_LINK1062"/>
      <w:bookmarkStart w:id="66" w:name="OLE_LINK500"/>
      <w:bookmarkStart w:id="67" w:name="OLE_LINK916"/>
      <w:bookmarkStart w:id="68" w:name="OLE_LINK956"/>
      <w:bookmarkStart w:id="69" w:name="OLE_LINK994"/>
      <w:r w:rsidRPr="00612653">
        <w:rPr>
          <w:rFonts w:ascii="Book Antiqua" w:eastAsia="SimSun" w:hAnsi="Book Antiqua" w:cs="SimSun"/>
          <w:b/>
          <w:sz w:val="24"/>
          <w:szCs w:val="24"/>
          <w:lang w:val="en-US" w:eastAsia="zh-CN"/>
        </w:rPr>
        <w:t>© The Author(s) 2017.</w:t>
      </w:r>
      <w:r w:rsidRPr="00612653">
        <w:rPr>
          <w:rFonts w:ascii="Book Antiqua" w:eastAsia="SimSun" w:hAnsi="Book Antiqua" w:cs="SimSun"/>
          <w:sz w:val="24"/>
          <w:szCs w:val="24"/>
          <w:lang w:val="en-US" w:eastAsia="zh-CN"/>
        </w:rPr>
        <w:t xml:space="preserve"> Published by Baishideng Publishing Group Inc. All rights reserved.</w:t>
      </w:r>
    </w:p>
    <w:bookmarkEnd w:id="59"/>
    <w:bookmarkEnd w:id="60"/>
    <w:bookmarkEnd w:id="61"/>
    <w:bookmarkEnd w:id="62"/>
    <w:bookmarkEnd w:id="63"/>
    <w:bookmarkEnd w:id="64"/>
    <w:bookmarkEnd w:id="65"/>
    <w:bookmarkEnd w:id="66"/>
    <w:bookmarkEnd w:id="67"/>
    <w:bookmarkEnd w:id="68"/>
    <w:bookmarkEnd w:id="69"/>
    <w:p w14:paraId="3BD054F3" w14:textId="77777777" w:rsidR="00D15D8C" w:rsidRPr="00612653" w:rsidRDefault="00D15D8C" w:rsidP="00082279">
      <w:pPr>
        <w:snapToGrid w:val="0"/>
        <w:spacing w:after="0" w:line="360" w:lineRule="auto"/>
        <w:jc w:val="both"/>
        <w:rPr>
          <w:rFonts w:ascii="Book Antiqua" w:hAnsi="Book Antiqua"/>
          <w:sz w:val="24"/>
          <w:szCs w:val="24"/>
          <w:lang w:val="en-US" w:eastAsia="zh-CN"/>
        </w:rPr>
      </w:pPr>
    </w:p>
    <w:p w14:paraId="0F76907E" w14:textId="6700B782" w:rsidR="008A4A19" w:rsidRPr="00612653" w:rsidRDefault="00256FFC" w:rsidP="00082279">
      <w:pPr>
        <w:snapToGrid w:val="0"/>
        <w:spacing w:after="0" w:line="360" w:lineRule="auto"/>
        <w:jc w:val="both"/>
        <w:rPr>
          <w:rFonts w:ascii="Book Antiqua" w:hAnsi="Book Antiqua" w:cs="Times New Roman"/>
          <w:sz w:val="24"/>
          <w:szCs w:val="24"/>
          <w:lang w:val="en-US" w:eastAsia="zh-CN"/>
        </w:rPr>
      </w:pPr>
      <w:bookmarkStart w:id="70" w:name="OLE_LINK1196"/>
      <w:bookmarkStart w:id="71" w:name="OLE_LINK1154"/>
      <w:bookmarkStart w:id="72" w:name="OLE_LINK1155"/>
      <w:bookmarkStart w:id="73" w:name="OLE_LINK1322"/>
      <w:bookmarkStart w:id="74" w:name="OLE_LINK1044"/>
      <w:bookmarkStart w:id="75" w:name="OLE_LINK1224"/>
      <w:bookmarkStart w:id="76" w:name="OLE_LINK1225"/>
      <w:bookmarkStart w:id="77" w:name="OLE_LINK1634"/>
      <w:bookmarkStart w:id="78" w:name="OLE_LINK1635"/>
      <w:bookmarkStart w:id="79" w:name="OLE_LINK1762"/>
      <w:bookmarkStart w:id="80" w:name="OLE_LINK1763"/>
      <w:bookmarkStart w:id="81" w:name="OLE_LINK1764"/>
      <w:bookmarkStart w:id="82" w:name="OLE_LINK1939"/>
      <w:bookmarkStart w:id="83" w:name="OLE_LINK2194"/>
      <w:bookmarkStart w:id="84" w:name="OLE_LINK2878"/>
      <w:r w:rsidRPr="00612653">
        <w:rPr>
          <w:rFonts w:ascii="Book Antiqua" w:hAnsi="Book Antiqua" w:cs="Times New Roman"/>
          <w:b/>
          <w:sz w:val="24"/>
          <w:szCs w:val="24"/>
          <w:lang w:val="en-US" w:eastAsia="zh-CN"/>
        </w:rPr>
        <w:t>Core tip:</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0079666F" w:rsidRPr="00612653">
        <w:rPr>
          <w:rFonts w:ascii="Book Antiqua" w:hAnsi="Book Antiqua" w:cs="Times New Roman"/>
          <w:b/>
          <w:sz w:val="24"/>
          <w:szCs w:val="24"/>
          <w:lang w:val="en-US" w:eastAsia="zh-CN"/>
        </w:rPr>
        <w:t xml:space="preserve"> </w:t>
      </w:r>
      <w:r w:rsidR="00BF03C1" w:rsidRPr="00612653">
        <w:rPr>
          <w:rFonts w:ascii="Book Antiqua" w:hAnsi="Book Antiqua" w:cs="Times New Roman"/>
          <w:sz w:val="24"/>
          <w:szCs w:val="24"/>
          <w:lang w:val="en-US" w:eastAsia="zh-CN"/>
        </w:rPr>
        <w:t>The pharmacodynamics of three compounds in advanced clinical development for the treatment of nonalcoholic steatohepatitis (NASH), including liraglutide, elafibranor and obeticholic acid, were evaluated in wild-type and genetically (</w:t>
      </w:r>
      <w:r w:rsidR="00BF03C1" w:rsidRPr="00612653">
        <w:rPr>
          <w:rFonts w:ascii="Book Antiqua" w:hAnsi="Book Antiqua" w:cs="Times New Roman"/>
          <w:bCs/>
          <w:i/>
          <w:iCs/>
          <w:sz w:val="24"/>
          <w:szCs w:val="24"/>
          <w:lang w:val="en-US" w:eastAsia="zh-CN"/>
        </w:rPr>
        <w:t>ob/ob</w:t>
      </w:r>
      <w:r w:rsidR="00BF03C1" w:rsidRPr="00612653">
        <w:rPr>
          <w:rFonts w:ascii="Book Antiqua" w:hAnsi="Book Antiqua" w:cs="Times New Roman"/>
          <w:bCs/>
          <w:sz w:val="24"/>
          <w:szCs w:val="24"/>
          <w:lang w:val="en-US" w:eastAsia="zh-CN"/>
        </w:rPr>
        <w:t xml:space="preserve">) </w:t>
      </w:r>
      <w:r w:rsidR="00BF03C1" w:rsidRPr="00612653">
        <w:rPr>
          <w:rFonts w:ascii="Book Antiqua" w:hAnsi="Book Antiqua" w:cs="Times New Roman"/>
          <w:sz w:val="24"/>
          <w:szCs w:val="24"/>
          <w:lang w:val="en-US" w:eastAsia="zh-CN"/>
        </w:rPr>
        <w:t xml:space="preserve">obese mouse models of NASH. </w:t>
      </w:r>
      <w:r w:rsidR="00BF03C1" w:rsidRPr="00612653">
        <w:rPr>
          <w:rFonts w:ascii="Book Antiqua" w:hAnsi="Book Antiqua" w:cs="Times New Roman"/>
          <w:bCs/>
          <w:sz w:val="24"/>
          <w:szCs w:val="24"/>
          <w:lang w:val="en-US" w:eastAsia="zh-CN"/>
        </w:rPr>
        <w:t>Prior to treatment, all mice underwent liver biopsy for confirmation and stratification of liver steatosis and fibrosis. Within-subject comparisons were performed on changes</w:t>
      </w:r>
      <w:r w:rsidR="008A52B2" w:rsidRPr="00612653">
        <w:rPr>
          <w:rFonts w:ascii="Book Antiqua" w:hAnsi="Book Antiqua" w:cs="Times New Roman"/>
          <w:bCs/>
          <w:sz w:val="24"/>
          <w:szCs w:val="24"/>
          <w:lang w:val="en-US" w:eastAsia="zh-CN"/>
        </w:rPr>
        <w:t xml:space="preserve"> </w:t>
      </w:r>
      <w:r w:rsidR="00BF03C1" w:rsidRPr="00612653">
        <w:rPr>
          <w:rFonts w:ascii="Book Antiqua" w:hAnsi="Book Antiqua" w:cs="Times New Roman"/>
          <w:bCs/>
          <w:sz w:val="24"/>
          <w:szCs w:val="24"/>
          <w:lang w:val="en-US" w:eastAsia="zh-CN"/>
        </w:rPr>
        <w:t>in </w:t>
      </w:r>
      <w:r w:rsidR="008A52B2" w:rsidRPr="00612653">
        <w:rPr>
          <w:rFonts w:ascii="Book Antiqua" w:hAnsi="Book Antiqua" w:cs="Times New Roman"/>
          <w:bCs/>
          <w:sz w:val="24"/>
          <w:szCs w:val="24"/>
          <w:lang w:val="en-US" w:eastAsia="zh-CN"/>
        </w:rPr>
        <w:t>liver histopathology.</w:t>
      </w:r>
      <w:r w:rsidR="0079666F" w:rsidRPr="00612653">
        <w:rPr>
          <w:rFonts w:ascii="Book Antiqua" w:hAnsi="Book Antiqua" w:cs="Times New Roman"/>
          <w:bCs/>
          <w:sz w:val="24"/>
          <w:szCs w:val="24"/>
          <w:lang w:val="en-US" w:eastAsia="zh-CN"/>
        </w:rPr>
        <w:t xml:space="preserve"> </w:t>
      </w:r>
      <w:r w:rsidR="008A52B2" w:rsidRPr="00612653">
        <w:rPr>
          <w:rFonts w:ascii="Book Antiqua" w:hAnsi="Book Antiqua" w:cs="Times New Roman"/>
          <w:bCs/>
          <w:sz w:val="24"/>
          <w:szCs w:val="24"/>
          <w:lang w:val="en-US" w:eastAsia="zh-CN"/>
        </w:rPr>
        <w:t xml:space="preserve">Wild-type </w:t>
      </w:r>
      <w:r w:rsidR="00BF03C1" w:rsidRPr="00612653">
        <w:rPr>
          <w:rFonts w:ascii="Book Antiqua" w:hAnsi="Book Antiqua" w:cs="Times New Roman"/>
          <w:bCs/>
          <w:sz w:val="24"/>
          <w:szCs w:val="24"/>
          <w:lang w:val="en-US" w:eastAsia="zh-CN"/>
        </w:rPr>
        <w:t>and</w:t>
      </w:r>
      <w:r w:rsidR="0079666F" w:rsidRPr="00612653">
        <w:rPr>
          <w:rFonts w:ascii="Book Antiqua" w:hAnsi="Book Antiqua" w:cs="Times New Roman"/>
          <w:bCs/>
          <w:sz w:val="24"/>
          <w:szCs w:val="24"/>
          <w:lang w:val="en-US" w:eastAsia="zh-CN"/>
        </w:rPr>
        <w:t xml:space="preserve"> </w:t>
      </w:r>
      <w:r w:rsidR="00BF03C1" w:rsidRPr="00612653">
        <w:rPr>
          <w:rFonts w:ascii="Book Antiqua" w:hAnsi="Book Antiqua" w:cs="Times New Roman"/>
          <w:bCs/>
          <w:i/>
          <w:iCs/>
          <w:sz w:val="24"/>
          <w:szCs w:val="24"/>
          <w:lang w:val="en-US" w:eastAsia="zh-CN"/>
        </w:rPr>
        <w:t>ob/ob</w:t>
      </w:r>
      <w:r w:rsidR="00BF03C1" w:rsidRPr="00612653">
        <w:rPr>
          <w:rFonts w:ascii="Book Antiqua" w:hAnsi="Book Antiqua" w:cs="Times New Roman"/>
          <w:bCs/>
          <w:sz w:val="24"/>
          <w:szCs w:val="24"/>
          <w:lang w:val="en-US" w:eastAsia="zh-CN"/>
        </w:rPr>
        <w:t>-NASH obese mice</w:t>
      </w:r>
      <w:r w:rsidR="0079666F" w:rsidRPr="00612653">
        <w:rPr>
          <w:rFonts w:ascii="Book Antiqua" w:hAnsi="Book Antiqua" w:cs="Times New Roman"/>
          <w:bCs/>
          <w:sz w:val="24"/>
          <w:szCs w:val="24"/>
          <w:lang w:val="en-US" w:eastAsia="zh-CN"/>
        </w:rPr>
        <w:t xml:space="preserve"> </w:t>
      </w:r>
      <w:r w:rsidR="00BF03C1" w:rsidRPr="00612653">
        <w:rPr>
          <w:rFonts w:ascii="Book Antiqua" w:hAnsi="Book Antiqua" w:cs="Times New Roman"/>
          <w:bCs/>
          <w:sz w:val="24"/>
          <w:szCs w:val="24"/>
          <w:lang w:val="en-US" w:eastAsia="zh-CN"/>
        </w:rPr>
        <w:t>showed</w:t>
      </w:r>
      <w:r w:rsidR="0079666F" w:rsidRPr="00612653">
        <w:rPr>
          <w:rFonts w:ascii="Book Antiqua" w:hAnsi="Book Antiqua" w:cs="Times New Roman"/>
          <w:bCs/>
          <w:sz w:val="24"/>
          <w:szCs w:val="24"/>
          <w:lang w:val="en-US" w:eastAsia="zh-CN"/>
        </w:rPr>
        <w:t xml:space="preserve"> </w:t>
      </w:r>
      <w:r w:rsidR="00BF03C1" w:rsidRPr="00612653">
        <w:rPr>
          <w:rFonts w:ascii="Book Antiqua" w:hAnsi="Book Antiqua" w:cs="Times New Roman"/>
          <w:bCs/>
          <w:sz w:val="24"/>
          <w:szCs w:val="24"/>
          <w:lang w:val="en-US" w:eastAsia="zh-CN"/>
        </w:rPr>
        <w:t>distinct</w:t>
      </w:r>
      <w:r w:rsidR="0079666F" w:rsidRPr="00612653">
        <w:rPr>
          <w:rFonts w:ascii="Book Antiqua" w:hAnsi="Book Antiqua" w:cs="Times New Roman"/>
          <w:bCs/>
          <w:sz w:val="24"/>
          <w:szCs w:val="24"/>
          <w:lang w:val="en-US" w:eastAsia="zh-CN"/>
        </w:rPr>
        <w:t xml:space="preserve"> </w:t>
      </w:r>
      <w:r w:rsidR="00BF03C1" w:rsidRPr="00612653">
        <w:rPr>
          <w:rFonts w:ascii="Book Antiqua" w:hAnsi="Book Antiqua" w:cs="Times New Roman"/>
          <w:bCs/>
          <w:sz w:val="24"/>
          <w:szCs w:val="24"/>
          <w:lang w:val="en-US" w:eastAsia="zh-CN"/>
        </w:rPr>
        <w:t>treatment effects</w:t>
      </w:r>
      <w:r w:rsidR="008A52B2" w:rsidRPr="00612653">
        <w:rPr>
          <w:rFonts w:ascii="Book Antiqua" w:hAnsi="Book Antiqua" w:cs="Times New Roman"/>
          <w:bCs/>
          <w:sz w:val="24"/>
          <w:szCs w:val="24"/>
          <w:lang w:val="en-US" w:eastAsia="zh-CN"/>
        </w:rPr>
        <w:t xml:space="preserve"> </w:t>
      </w:r>
      <w:r w:rsidR="00BF03C1" w:rsidRPr="00612653">
        <w:rPr>
          <w:rFonts w:ascii="Book Antiqua" w:hAnsi="Book Antiqua" w:cs="Times New Roman"/>
          <w:bCs/>
          <w:sz w:val="24"/>
          <w:szCs w:val="24"/>
          <w:lang w:val="en-US" w:eastAsia="zh-CN"/>
        </w:rPr>
        <w:t>of</w:t>
      </w:r>
      <w:r w:rsidR="008A52B2" w:rsidRPr="00612653">
        <w:rPr>
          <w:rFonts w:ascii="Book Antiqua" w:hAnsi="Book Antiqua" w:cs="Times New Roman"/>
          <w:bCs/>
          <w:sz w:val="24"/>
          <w:szCs w:val="24"/>
          <w:lang w:val="en-US" w:eastAsia="zh-CN"/>
        </w:rPr>
        <w:t xml:space="preserve"> </w:t>
      </w:r>
      <w:r w:rsidR="00BF03C1" w:rsidRPr="00612653">
        <w:rPr>
          <w:rFonts w:ascii="Book Antiqua" w:hAnsi="Book Antiqua" w:cs="Times New Roman"/>
          <w:bCs/>
          <w:sz w:val="24"/>
          <w:szCs w:val="24"/>
          <w:lang w:val="en-US" w:eastAsia="zh-CN"/>
        </w:rPr>
        <w:t>liraglutide,</w:t>
      </w:r>
      <w:r w:rsidR="008A52B2" w:rsidRPr="00612653">
        <w:rPr>
          <w:rFonts w:ascii="Book Antiqua" w:hAnsi="Book Antiqua" w:cs="Times New Roman"/>
          <w:bCs/>
          <w:sz w:val="24"/>
          <w:szCs w:val="24"/>
          <w:lang w:val="en-US" w:eastAsia="zh-CN"/>
        </w:rPr>
        <w:t xml:space="preserve"> </w:t>
      </w:r>
      <w:r w:rsidR="00BF03C1" w:rsidRPr="00612653">
        <w:rPr>
          <w:rFonts w:ascii="Book Antiqua" w:hAnsi="Book Antiqua" w:cs="Times New Roman"/>
          <w:bCs/>
          <w:sz w:val="24"/>
          <w:szCs w:val="24"/>
          <w:lang w:val="en-US" w:eastAsia="zh-CN"/>
        </w:rPr>
        <w:t>OCA,</w:t>
      </w:r>
      <w:r w:rsidR="008A52B2" w:rsidRPr="00612653">
        <w:rPr>
          <w:rFonts w:ascii="Book Antiqua" w:hAnsi="Book Antiqua" w:cs="Times New Roman"/>
          <w:bCs/>
          <w:sz w:val="24"/>
          <w:szCs w:val="24"/>
          <w:lang w:val="en-US" w:eastAsia="zh-CN"/>
        </w:rPr>
        <w:t xml:space="preserve"> </w:t>
      </w:r>
      <w:r w:rsidR="00BF03C1" w:rsidRPr="00612653">
        <w:rPr>
          <w:rFonts w:ascii="Book Antiqua" w:hAnsi="Book Antiqua" w:cs="Times New Roman"/>
          <w:bCs/>
          <w:sz w:val="24"/>
          <w:szCs w:val="24"/>
          <w:lang w:val="en-US" w:eastAsia="zh-CN"/>
        </w:rPr>
        <w:t>and elafibranor, being</w:t>
      </w:r>
      <w:r w:rsidR="0079666F" w:rsidRPr="00612653">
        <w:rPr>
          <w:rFonts w:ascii="Book Antiqua" w:hAnsi="Book Antiqua" w:cs="Times New Roman"/>
          <w:bCs/>
          <w:sz w:val="24"/>
          <w:szCs w:val="24"/>
          <w:lang w:val="en-US" w:eastAsia="zh-CN"/>
        </w:rPr>
        <w:t xml:space="preserve"> </w:t>
      </w:r>
      <w:r w:rsidR="00BF03C1" w:rsidRPr="00612653">
        <w:rPr>
          <w:rFonts w:ascii="Book Antiqua" w:hAnsi="Book Antiqua" w:cs="Times New Roman"/>
          <w:bCs/>
          <w:sz w:val="24"/>
          <w:szCs w:val="24"/>
          <w:lang w:val="en-US" w:eastAsia="zh-CN"/>
        </w:rPr>
        <w:t>in</w:t>
      </w:r>
      <w:r w:rsidR="0079666F" w:rsidRPr="00612653">
        <w:rPr>
          <w:rFonts w:ascii="Book Antiqua" w:hAnsi="Book Antiqua" w:cs="Times New Roman"/>
          <w:bCs/>
          <w:sz w:val="24"/>
          <w:szCs w:val="24"/>
          <w:lang w:val="en-US" w:eastAsia="zh-CN"/>
        </w:rPr>
        <w:t xml:space="preserve"> </w:t>
      </w:r>
      <w:r w:rsidR="00BF03C1" w:rsidRPr="00612653">
        <w:rPr>
          <w:rFonts w:ascii="Book Antiqua" w:hAnsi="Book Antiqua" w:cs="Times New Roman"/>
          <w:bCs/>
          <w:sz w:val="24"/>
          <w:szCs w:val="24"/>
          <w:lang w:val="en-US" w:eastAsia="zh-CN"/>
        </w:rPr>
        <w:t>general</w:t>
      </w:r>
      <w:r w:rsidR="0079666F" w:rsidRPr="00612653">
        <w:rPr>
          <w:rFonts w:ascii="Book Antiqua" w:hAnsi="Book Antiqua" w:cs="Times New Roman"/>
          <w:bCs/>
          <w:sz w:val="24"/>
          <w:szCs w:val="24"/>
          <w:lang w:val="en-US" w:eastAsia="zh-CN"/>
        </w:rPr>
        <w:t xml:space="preserve"> </w:t>
      </w:r>
      <w:r w:rsidR="00BF03C1" w:rsidRPr="00612653">
        <w:rPr>
          <w:rFonts w:ascii="Book Antiqua" w:hAnsi="Book Antiqua" w:cs="Times New Roman"/>
          <w:bCs/>
          <w:sz w:val="24"/>
          <w:szCs w:val="24"/>
          <w:lang w:val="en-US" w:eastAsia="zh-CN"/>
        </w:rPr>
        <w:t xml:space="preserve">agreement with corresponding findings in clinical trials for NASH. In conclusion, </w:t>
      </w:r>
      <w:r w:rsidR="00BF03C1" w:rsidRPr="00612653">
        <w:rPr>
          <w:rFonts w:ascii="Book Antiqua" w:hAnsi="Book Antiqua" w:cs="Times New Roman"/>
          <w:sz w:val="24"/>
          <w:szCs w:val="24"/>
          <w:lang w:val="en-US" w:eastAsia="zh-CN"/>
        </w:rPr>
        <w:t xml:space="preserve">the two obese mouse models of NASH show </w:t>
      </w:r>
      <w:r w:rsidR="00BF03C1" w:rsidRPr="00612653">
        <w:rPr>
          <w:rFonts w:ascii="Book Antiqua" w:hAnsi="Book Antiqua" w:cs="Times New Roman"/>
          <w:bCs/>
          <w:sz w:val="24"/>
          <w:szCs w:val="24"/>
          <w:lang w:val="en-US" w:eastAsia="zh-CN"/>
        </w:rPr>
        <w:t>clinical translatability with respect to disease etiology, histopathology and drug treatment effects, which supports their utility in preclinical drug development.</w:t>
      </w:r>
    </w:p>
    <w:p w14:paraId="0C34109F" w14:textId="77777777" w:rsidR="00256FFC" w:rsidRPr="00612653" w:rsidRDefault="00256FFC" w:rsidP="00082279">
      <w:pPr>
        <w:snapToGrid w:val="0"/>
        <w:spacing w:after="0" w:line="360" w:lineRule="auto"/>
        <w:jc w:val="both"/>
        <w:rPr>
          <w:rFonts w:ascii="Book Antiqua" w:hAnsi="Book Antiqua"/>
          <w:sz w:val="24"/>
          <w:szCs w:val="24"/>
          <w:lang w:val="en-US" w:eastAsia="zh-CN"/>
        </w:rPr>
      </w:pPr>
    </w:p>
    <w:p w14:paraId="44966FE9" w14:textId="14DFE19B" w:rsidR="00256FFC" w:rsidRPr="00612653" w:rsidRDefault="00256FFC" w:rsidP="00082279">
      <w:pPr>
        <w:snapToGrid w:val="0"/>
        <w:spacing w:after="0" w:line="360" w:lineRule="auto"/>
        <w:jc w:val="both"/>
        <w:rPr>
          <w:rFonts w:ascii="Book Antiqua" w:hAnsi="Book Antiqua"/>
          <w:bCs/>
          <w:sz w:val="24"/>
          <w:szCs w:val="24"/>
          <w:lang w:val="en-US" w:eastAsia="zh-CN"/>
        </w:rPr>
      </w:pPr>
      <w:r w:rsidRPr="00612653">
        <w:rPr>
          <w:rFonts w:ascii="Book Antiqua" w:hAnsi="Book Antiqua"/>
          <w:sz w:val="24"/>
          <w:szCs w:val="24"/>
          <w:lang w:val="en-US"/>
        </w:rPr>
        <w:t>Tølbøl KS, Kristiansen MNB, Hansen HH, Veidal SS, Rigbolt KTG, Gillum MP, Jelsing J, Vrang N, Feigh M</w:t>
      </w:r>
      <w:r w:rsidRPr="00612653">
        <w:rPr>
          <w:rFonts w:ascii="Book Antiqua" w:hAnsi="Book Antiqua"/>
          <w:sz w:val="24"/>
          <w:szCs w:val="24"/>
          <w:lang w:val="en-US" w:eastAsia="zh-CN"/>
        </w:rPr>
        <w:t xml:space="preserve">. </w:t>
      </w:r>
      <w:r w:rsidRPr="00612653">
        <w:rPr>
          <w:rFonts w:ascii="Book Antiqua" w:hAnsi="Book Antiqua"/>
          <w:bCs/>
          <w:sz w:val="24"/>
          <w:szCs w:val="24"/>
          <w:lang w:val="en-US"/>
        </w:rPr>
        <w:t>Metabolic and hepatic effects of liraglutide, obeticholic acid and elafibranor in diet-induced obese mouse models of biopsy-confirmed nonalcoholic steatohepatitis</w:t>
      </w:r>
      <w:r w:rsidRPr="00612653">
        <w:rPr>
          <w:rFonts w:ascii="Book Antiqua" w:hAnsi="Book Antiqua"/>
          <w:bCs/>
          <w:sz w:val="24"/>
          <w:szCs w:val="24"/>
          <w:lang w:val="en-US" w:eastAsia="zh-CN"/>
        </w:rPr>
        <w:t xml:space="preserve">. </w:t>
      </w:r>
      <w:bookmarkStart w:id="85" w:name="OLE_LINK1105"/>
      <w:bookmarkStart w:id="86" w:name="OLE_LINK1107"/>
      <w:r w:rsidRPr="00612653">
        <w:rPr>
          <w:rFonts w:ascii="Book Antiqua" w:hAnsi="Book Antiqua"/>
          <w:bCs/>
          <w:i/>
          <w:sz w:val="24"/>
          <w:szCs w:val="24"/>
          <w:lang w:val="en-US" w:eastAsia="zh-CN"/>
        </w:rPr>
        <w:t xml:space="preserve">World J Gastroenterol </w:t>
      </w:r>
      <w:r w:rsidRPr="00612653">
        <w:rPr>
          <w:rFonts w:ascii="Book Antiqua" w:hAnsi="Book Antiqua"/>
          <w:bCs/>
          <w:sz w:val="24"/>
          <w:szCs w:val="24"/>
          <w:lang w:val="en-US" w:eastAsia="zh-CN"/>
        </w:rPr>
        <w:t>2017; In press</w:t>
      </w:r>
      <w:bookmarkEnd w:id="85"/>
      <w:bookmarkEnd w:id="86"/>
    </w:p>
    <w:p w14:paraId="495D2684" w14:textId="77777777" w:rsidR="00256FFC" w:rsidRPr="00612653" w:rsidRDefault="00256FFC" w:rsidP="00082279">
      <w:pPr>
        <w:snapToGrid w:val="0"/>
        <w:spacing w:after="0" w:line="360" w:lineRule="auto"/>
        <w:jc w:val="both"/>
        <w:rPr>
          <w:rFonts w:ascii="Book Antiqua" w:hAnsi="Book Antiqua"/>
          <w:b/>
          <w:bCs/>
          <w:sz w:val="24"/>
          <w:szCs w:val="24"/>
          <w:lang w:val="en-US" w:eastAsia="zh-CN"/>
        </w:rPr>
      </w:pPr>
    </w:p>
    <w:p w14:paraId="178EF9BB" w14:textId="77777777" w:rsidR="00427E8D" w:rsidRPr="00612653" w:rsidRDefault="00427E8D" w:rsidP="00082279">
      <w:pPr>
        <w:snapToGrid w:val="0"/>
        <w:spacing w:after="0" w:line="360" w:lineRule="auto"/>
        <w:jc w:val="both"/>
        <w:rPr>
          <w:rFonts w:ascii="Book Antiqua" w:hAnsi="Book Antiqua"/>
          <w:b/>
          <w:bCs/>
          <w:sz w:val="24"/>
          <w:szCs w:val="24"/>
          <w:lang w:val="en-US"/>
        </w:rPr>
      </w:pPr>
      <w:r w:rsidRPr="00612653">
        <w:rPr>
          <w:rFonts w:ascii="Book Antiqua" w:hAnsi="Book Antiqua"/>
          <w:b/>
          <w:bCs/>
          <w:sz w:val="24"/>
          <w:szCs w:val="24"/>
          <w:lang w:val="en-US"/>
        </w:rPr>
        <w:br w:type="page"/>
      </w:r>
    </w:p>
    <w:p w14:paraId="46EE3229" w14:textId="66B3B761" w:rsidR="00814ABE" w:rsidRPr="00612653" w:rsidRDefault="008A4EC9" w:rsidP="00082279">
      <w:pPr>
        <w:snapToGrid w:val="0"/>
        <w:spacing w:after="0" w:line="360" w:lineRule="auto"/>
        <w:jc w:val="both"/>
        <w:rPr>
          <w:rFonts w:ascii="Book Antiqua" w:hAnsi="Book Antiqua"/>
          <w:b/>
          <w:bCs/>
          <w:sz w:val="24"/>
          <w:szCs w:val="24"/>
          <w:lang w:val="en-US"/>
        </w:rPr>
      </w:pPr>
      <w:r w:rsidRPr="00612653">
        <w:rPr>
          <w:rFonts w:ascii="Book Antiqua" w:hAnsi="Book Antiqua"/>
          <w:b/>
          <w:bCs/>
          <w:sz w:val="24"/>
          <w:szCs w:val="24"/>
          <w:lang w:val="en-US"/>
        </w:rPr>
        <w:lastRenderedPageBreak/>
        <w:t>INTRODUCTION</w:t>
      </w:r>
    </w:p>
    <w:p w14:paraId="50F6EB90" w14:textId="0178168D" w:rsidR="00193B67" w:rsidRPr="00612653" w:rsidRDefault="00A60A44"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t>Nonalcoholic steatohepatitis (NASH) is characterized by varying degrees of hepatic steatosis, cytoskeletal damage, and lobular inflammation</w:t>
      </w:r>
      <w:r w:rsidR="009C0356" w:rsidRPr="00612653">
        <w:rPr>
          <w:rFonts w:ascii="Book Antiqua" w:hAnsi="Book Antiqua"/>
          <w:sz w:val="24"/>
          <w:szCs w:val="24"/>
          <w:lang w:val="en-US"/>
        </w:rPr>
        <w:t xml:space="preserve"> with or without fibrosis</w:t>
      </w:r>
      <w:r w:rsidRPr="00612653">
        <w:rPr>
          <w:rFonts w:ascii="Book Antiqua" w:hAnsi="Book Antiqua"/>
          <w:sz w:val="24"/>
          <w:szCs w:val="24"/>
          <w:lang w:val="en-US"/>
        </w:rPr>
        <w:fldChar w:fldCharType="begin" w:fldLock="1"/>
      </w:r>
      <w:r w:rsidR="00A41EF4" w:rsidRPr="00612653">
        <w:rPr>
          <w:rFonts w:ascii="Book Antiqua" w:hAnsi="Book Antiqua"/>
          <w:sz w:val="24"/>
          <w:szCs w:val="24"/>
          <w:lang w:val="en-US"/>
        </w:rPr>
        <w:instrText>ADDIN CSL_CITATION { "citationItems" : [ { "id" : "ITEM-1", "itemData" : { "DOI" : "10.1111/liv.13301", "ISSN" : "14783223", "PMID" : "28052629", "abstract" : "Non-alcoholic fatty liver disease (NAFLD) covers a spectrum of lesions ranging from steatosis (Non-alcoholic Fatty Liver or NAFL) to a complex pattern with hepatocellular injury and inflammation (non-alcoholic steatohepatitis; NASH) in the absence of alcohol intake. However, it is increasingly clear that intermediate patterns may exist. The histopathological evaluation of liver biopsy samples is central in the diagnosis of NAFLD and NASH in the absence of sufficiently accurate non-invasive tests because a precise definition of each group is a key issue. When at least 5% of hepatocytes display steatosis, patients can be defined as having NAFLD in an appropriate clinical context. When, in addition, lobular inflammation and liver cell clarification/ballooning are present, then the lesion is usually defined as NASH. Evaluation of the stage of fibrosis is even more fundamental than necroinflammation since it is the main prognostic factor of this disease. Semi-quantitative histological scoring systems have been proposed for NAFLD, but they are not useful in clinical practice and each has certain limitations. For comprehensive purposes, we suggest describing histopathological lesions in NAFLD using the SAF (Steatosis, Activity, Fibrosis) score which assesses separately the grade of steatosis (S, from S0 to S3), the grade of activity (A from A0 to A4 by adding grades of ballooning and lobular inflammation, both from 0 to 2) and the stage of fibrosis (F from F0 to F4).", "author" : [ { "dropping-particle" : "", "family" : "Bedossa", "given" : "Pierre", "non-dropping-particle" : "", "parse-names" : false, "suffix" : "" } ], "container-title" : "Liver International", "id" : "ITEM-1", "issued" : { "date-parts" : [ [ "2017", "1" ] ] }, "note" : "From Duplicate 2 (Pathology of non-alcoholic fatty liver disease - Bedossa, Pierre)\n\nNULL", "page" : "85-89", "title" : "Pathology of non-alcoholic fatty liver disease", "type" : "article-journal", "volume" : "37" }, "uris" : [ "http://www.mendeley.com/documents/?uuid=a42fae58-0a47-4348-a6fc-18de2323fa5a" ] } ], "mendeley" : { "formattedCitation" : "&lt;sup&gt;[1]&lt;/sup&gt;", "plainTextFormattedCitation" : "[1]", "previouslyFormattedCitation" : "&lt;sup&gt;[1]&lt;/sup&gt;" }, "properties" : { "noteIndex" : 0 }, "schema" : "https://github.com/citation-style-language/schema/raw/master/csl-citation.json" }</w:instrText>
      </w:r>
      <w:r w:rsidRPr="00612653">
        <w:rPr>
          <w:rFonts w:ascii="Book Antiqua" w:hAnsi="Book Antiqua"/>
          <w:sz w:val="24"/>
          <w:szCs w:val="24"/>
          <w:lang w:val="en-US"/>
        </w:rPr>
        <w:fldChar w:fldCharType="separate"/>
      </w:r>
      <w:r w:rsidR="00EA5EFB" w:rsidRPr="00612653">
        <w:rPr>
          <w:rFonts w:ascii="Book Antiqua" w:hAnsi="Book Antiqua"/>
          <w:noProof/>
          <w:sz w:val="24"/>
          <w:szCs w:val="24"/>
          <w:vertAlign w:val="superscript"/>
          <w:lang w:val="en-US"/>
        </w:rPr>
        <w:t>[1]</w:t>
      </w:r>
      <w:r w:rsidRPr="00612653">
        <w:rPr>
          <w:rFonts w:ascii="Book Antiqua" w:hAnsi="Book Antiqua"/>
          <w:sz w:val="24"/>
          <w:szCs w:val="24"/>
          <w:lang w:val="en-US"/>
        </w:rPr>
        <w:fldChar w:fldCharType="end"/>
      </w:r>
      <w:r w:rsidR="009C0356" w:rsidRPr="00612653">
        <w:rPr>
          <w:rFonts w:ascii="Book Antiqua" w:hAnsi="Book Antiqua"/>
          <w:sz w:val="24"/>
          <w:szCs w:val="24"/>
          <w:lang w:val="en-US"/>
        </w:rPr>
        <w:t xml:space="preserve">. </w:t>
      </w:r>
      <w:r w:rsidR="00976574" w:rsidRPr="00612653">
        <w:rPr>
          <w:rFonts w:ascii="Book Antiqua" w:hAnsi="Book Antiqua"/>
          <w:sz w:val="24"/>
          <w:szCs w:val="24"/>
          <w:lang w:val="en-US"/>
        </w:rPr>
        <w:t xml:space="preserve">The pathogenesis of NASH is complex </w:t>
      </w:r>
      <w:r w:rsidR="00542E03" w:rsidRPr="00612653">
        <w:rPr>
          <w:rFonts w:ascii="Book Antiqua" w:hAnsi="Book Antiqua"/>
          <w:sz w:val="24"/>
          <w:szCs w:val="24"/>
          <w:lang w:val="en-US"/>
        </w:rPr>
        <w:t>with</w:t>
      </w:r>
      <w:r w:rsidR="00976574" w:rsidRPr="00612653">
        <w:rPr>
          <w:rFonts w:ascii="Book Antiqua" w:hAnsi="Book Antiqua"/>
          <w:sz w:val="24"/>
          <w:szCs w:val="24"/>
          <w:lang w:val="en-US"/>
        </w:rPr>
        <w:t xml:space="preserve"> </w:t>
      </w:r>
      <w:r w:rsidR="00542E03" w:rsidRPr="00612653">
        <w:rPr>
          <w:rFonts w:ascii="Book Antiqua" w:hAnsi="Book Antiqua"/>
          <w:sz w:val="24"/>
          <w:szCs w:val="24"/>
          <w:lang w:val="en-US"/>
        </w:rPr>
        <w:t xml:space="preserve">current hypotheses </w:t>
      </w:r>
      <w:r w:rsidR="00976574" w:rsidRPr="00612653">
        <w:rPr>
          <w:rFonts w:ascii="Book Antiqua" w:hAnsi="Book Antiqua"/>
          <w:sz w:val="24"/>
          <w:szCs w:val="24"/>
          <w:lang w:val="en-US"/>
        </w:rPr>
        <w:t>involv</w:t>
      </w:r>
      <w:r w:rsidR="00542E03" w:rsidRPr="00612653">
        <w:rPr>
          <w:rFonts w:ascii="Book Antiqua" w:hAnsi="Book Antiqua"/>
          <w:sz w:val="24"/>
          <w:szCs w:val="24"/>
          <w:lang w:val="en-US"/>
        </w:rPr>
        <w:t>ing</w:t>
      </w:r>
      <w:r w:rsidR="00976574" w:rsidRPr="00612653">
        <w:rPr>
          <w:rFonts w:ascii="Book Antiqua" w:hAnsi="Book Antiqua"/>
          <w:sz w:val="24"/>
          <w:szCs w:val="24"/>
          <w:lang w:val="en-US"/>
        </w:rPr>
        <w:t xml:space="preserve"> </w:t>
      </w:r>
      <w:r w:rsidR="00B308D3" w:rsidRPr="00612653">
        <w:rPr>
          <w:rFonts w:ascii="Book Antiqua" w:hAnsi="Book Antiqua"/>
          <w:sz w:val="24"/>
          <w:szCs w:val="24"/>
          <w:lang w:val="en-US"/>
        </w:rPr>
        <w:t>f</w:t>
      </w:r>
      <w:r w:rsidR="00976574" w:rsidRPr="00612653">
        <w:rPr>
          <w:rFonts w:ascii="Book Antiqua" w:hAnsi="Book Antiqua"/>
          <w:sz w:val="24"/>
          <w:szCs w:val="24"/>
          <w:lang w:val="en-US"/>
        </w:rPr>
        <w:t>atty acid-mediated lipotoxicity</w:t>
      </w:r>
      <w:r w:rsidR="00B308D3" w:rsidRPr="00612653">
        <w:rPr>
          <w:rFonts w:ascii="Book Antiqua" w:hAnsi="Book Antiqua"/>
          <w:sz w:val="24"/>
          <w:szCs w:val="24"/>
          <w:lang w:val="en-US"/>
        </w:rPr>
        <w:t xml:space="preserve"> </w:t>
      </w:r>
      <w:r w:rsidR="00542E03" w:rsidRPr="00612653">
        <w:rPr>
          <w:rFonts w:ascii="Book Antiqua" w:hAnsi="Book Antiqua"/>
          <w:sz w:val="24"/>
          <w:szCs w:val="24"/>
          <w:lang w:val="en-US"/>
        </w:rPr>
        <w:t>exhausting</w:t>
      </w:r>
      <w:r w:rsidR="00B308D3" w:rsidRPr="00612653">
        <w:rPr>
          <w:rFonts w:ascii="Book Antiqua" w:hAnsi="Book Antiqua"/>
          <w:sz w:val="24"/>
          <w:szCs w:val="24"/>
          <w:lang w:val="en-US"/>
        </w:rPr>
        <w:t xml:space="preserve"> hepatocyte adaptive and regenerative responses,</w:t>
      </w:r>
      <w:r w:rsidR="00976574" w:rsidRPr="00612653">
        <w:rPr>
          <w:rFonts w:ascii="Book Antiqua" w:hAnsi="Book Antiqua"/>
          <w:sz w:val="24"/>
          <w:szCs w:val="24"/>
          <w:lang w:val="en-US"/>
        </w:rPr>
        <w:t xml:space="preserve"> whereby</w:t>
      </w:r>
      <w:r w:rsidR="00B308D3" w:rsidRPr="00612653">
        <w:rPr>
          <w:rFonts w:ascii="Book Antiqua" w:hAnsi="Book Antiqua"/>
          <w:sz w:val="24"/>
          <w:szCs w:val="24"/>
          <w:lang w:val="en-US"/>
        </w:rPr>
        <w:t xml:space="preserve"> accumulating oxidati</w:t>
      </w:r>
      <w:r w:rsidR="00976574" w:rsidRPr="00612653">
        <w:rPr>
          <w:rFonts w:ascii="Book Antiqua" w:hAnsi="Book Antiqua"/>
          <w:sz w:val="24"/>
          <w:szCs w:val="24"/>
          <w:lang w:val="en-US"/>
        </w:rPr>
        <w:t xml:space="preserve">ve stress </w:t>
      </w:r>
      <w:r w:rsidR="00542E03" w:rsidRPr="00612653">
        <w:rPr>
          <w:rFonts w:ascii="Book Antiqua" w:hAnsi="Book Antiqua"/>
          <w:sz w:val="24"/>
          <w:szCs w:val="24"/>
          <w:lang w:val="en-US"/>
        </w:rPr>
        <w:t>can</w:t>
      </w:r>
      <w:r w:rsidR="00B308D3" w:rsidRPr="00612653">
        <w:rPr>
          <w:rFonts w:ascii="Book Antiqua" w:hAnsi="Book Antiqua"/>
          <w:sz w:val="24"/>
          <w:szCs w:val="24"/>
          <w:lang w:val="en-US"/>
        </w:rPr>
        <w:t xml:space="preserve"> trigger hepatocyte</w:t>
      </w:r>
      <w:r w:rsidR="00976574" w:rsidRPr="00612653">
        <w:rPr>
          <w:rFonts w:ascii="Book Antiqua" w:hAnsi="Book Antiqua"/>
          <w:sz w:val="24"/>
          <w:szCs w:val="24"/>
          <w:lang w:val="en-US"/>
        </w:rPr>
        <w:t xml:space="preserve"> </w:t>
      </w:r>
      <w:r w:rsidR="00B308D3" w:rsidRPr="00612653">
        <w:rPr>
          <w:rFonts w:ascii="Book Antiqua" w:hAnsi="Book Antiqua"/>
          <w:sz w:val="24"/>
          <w:szCs w:val="24"/>
          <w:lang w:val="en-US"/>
        </w:rPr>
        <w:t>necroinflammation, fibrosis, and disruption of hepatic cytoarchitectur</w:t>
      </w:r>
      <w:r w:rsidR="00976574" w:rsidRPr="00612653">
        <w:rPr>
          <w:rFonts w:ascii="Book Antiqua" w:hAnsi="Book Antiqua"/>
          <w:sz w:val="24"/>
          <w:szCs w:val="24"/>
          <w:lang w:val="en-US"/>
        </w:rPr>
        <w:t>e</w:t>
      </w:r>
      <w:r w:rsidR="00976574" w:rsidRPr="00612653">
        <w:rPr>
          <w:rFonts w:ascii="Book Antiqua" w:hAnsi="Book Antiqua"/>
          <w:sz w:val="24"/>
          <w:szCs w:val="24"/>
          <w:lang w:val="en-US"/>
        </w:rPr>
        <w:fldChar w:fldCharType="begin" w:fldLock="1"/>
      </w:r>
      <w:r w:rsidR="00976574" w:rsidRPr="00612653">
        <w:rPr>
          <w:rFonts w:ascii="Book Antiqua" w:hAnsi="Book Antiqua"/>
          <w:sz w:val="24"/>
          <w:szCs w:val="24"/>
          <w:lang w:val="en-US"/>
        </w:rPr>
        <w:instrText>ADDIN CSL_CITATION { "citationItems" : [ { "id" : "ITEM-1", "itemData" : { "DOI" : "10.3748/wjg.v20.i27.9038", "ISSN" : "2219-2840", "PMID" : "25083077", "abstract" : "Over the past few decades, non-alcoholic fatty liver disease (NAFLD) has become one, if not the most common, cause of chronic liver disease affecting both adults and children. The increasing number of cases at an early age is the most worrying aspect of this pathology, since it provides more time for its evolution. The spectrum of this disease ranges from liver steatosis to steatohepatitis, fibrosis and in some cases, hepatocellular carcinoma. NAFLD may not always be considered a benign disease and hepatologists must be cautious in the presence of fatty liver. This should prompt the use of the available experimental models to understand better the pathogenesis and to develop a rational treatment of a disease that is dangerously increasing. In spite of the growing efforts, the pathogenesis of NAFLD is still poorly understood. In the present article we review the most relevant hypotheses and evidence that account for the progression of NAFLD to non-alcoholic steatohepatitis (NASH) and fibrosis. The available in vitro and in vivo experimental models of NASH are discussed and revised in terms of their validity in translational studies. These studies must be aimed at the discovery of the still unknown triggers or mediators that induce the progression of hepatic inflammation, apoptosis and fibrosis.", "author" : [ { "dropping-particle" : "", "family" : "Rosso", "given" : "Natalia", "non-dropping-particle" : "", "parse-names" : false, "suffix" : "" }, { "dropping-particle" : "", "family" : "Chavez-Tapia", "given" : "Norberto C", "non-dropping-particle" : "", "parse-names" : false, "suffix" : "" }, { "dropping-particle" : "", "family" : "Tiribelli", "given" : "Claudio", "non-dropping-particle" : "", "parse-names" : false, "suffix" : "" }, { "dropping-particle" : "", "family" : "Bellentani", "given" : "Stefano", "non-dropping-particle" : "", "parse-names" : false, "suffix" : "" } ], "container-title" : "World journal of gastroenterology", "id" : "ITEM-1", "issue" : "27", "issued" : { "date-parts" : [ [ "2014", "7", "21" ] ] }, "page" : "9038-49", "title" : "Translational approaches: from fatty liver to non-alcoholic steatohepatitis.", "type" : "article-journal", "volume" : "20" }, "uris" : [ "http://www.mendeley.com/documents/?uuid=4a4413ae-c576-35fb-a81a-efe7dfd56cd4" ] }, { "id" : "ITEM-2", "itemData" : { "DOI" : "10.2147/CEG.S62831", "ISSN" : "1178-7023", "PMID" : "25045276", "abstract" : "Non-alcoholic fatty liver disease (NAFLD) is a clinicopathological change characterized by the accumulation of triglycerides in hepatocytes and has frequently been associated with obesity, type 2 diabetes mellitus, hyperlipidemia, and insulin resistance. It is an increasingly recognized condition that has become the most common liver disorder in developed countries, affecting over one-third of the population and is associated with increased cardiovascular- and liver-related mortality. NAFLD is a spectrum of disorders, beginning as simple steatosis. In about 15% of all NAFLD cases, simple steatosis can evolve into non-alcoholic steatohepatitis, a medley of inflammation, hepatocellular injury, and fibrosis, often resulting in cirrhosis and even hepatocellular cancer. However, the molecular mechanism underlying NAFLD progression is not completely understood. Its pathogenesis has often been interpreted by the \"double-hit\" hypothesis. The primary insult or the \"first hit\" includes lipid accumulation in the liver, followed by a \"second hit\" in which proinflammatory mediators induce inflammation, hepatocellular injury, and fibrosis. Nowadays, a more complex model suggests that fatty acids (FAs) and their metabolites may be the true lipotoxic agents that contribute to NAFLD progression; a multiple parallel hits hypothesis has also been suggested. In NAFLD patients, insulin resistance leads to hepatic steatosis via multiple mechanisms. Despite the excess hepatic accumulation of FAs in NAFLD, it has been described that not only de novo FA synthesis is increased, but FAs are also taken up from the serum. Furthermore, a decrease in mitochondrial FA oxidation and secretion of very-low-density lipoproteins has been reported. This review discusses the molecular mechanisms that underlie the pathophysiological changes of hepatic lipid metabolism that contribute to NAFLD.", "author" : [ { "dropping-particle" : "", "family" : "Berlanga", "given" : "Alba", "non-dropping-particle" : "", "parse-names" : false, "suffix" : "" }, { "dropping-particle" : "", "family" : "Guiu-Jurado", "given" : "Esther", "non-dropping-particle" : "", "parse-names" : false, "suffix" : "" }, { "dropping-particle" : "", "family" : "Porras", "given" : "Jos\u00e9 Antonio", "non-dropping-particle" : "", "parse-names" : false, "suffix" : "" }, { "dropping-particle" : "", "family" : "Auguet", "given" : "Teresa", "non-dropping-particle" : "", "parse-names" : false, "suffix" : "" } ], "container-title" : "Clinical and experimental gastroenterology", "id" : "ITEM-2", "issued" : { "date-parts" : [ [ "2014", "7" ] ] }, "page" : "221-39", "title" : "Molecular pathways in non-alcoholic fatty liver disease.", "type" : "article-journal", "volume" : "7" }, "uris" : [ "http://www.mendeley.com/documents/?uuid=2d927056-2ef3-3237-b756-097174e63aa9" ] } ], "mendeley" : { "formattedCitation" : "&lt;sup&gt;[2,3]&lt;/sup&gt;", "plainTextFormattedCitation" : "[2,3]", "previouslyFormattedCitation" : "&lt;sup&gt;[2,3]&lt;/sup&gt;" }, "properties" : { "noteIndex" : 3 }, "schema" : "https://github.com/citation-style-language/schema/raw/master/csl-citation.json" }</w:instrText>
      </w:r>
      <w:r w:rsidR="00976574" w:rsidRPr="00612653">
        <w:rPr>
          <w:rFonts w:ascii="Book Antiqua" w:hAnsi="Book Antiqua"/>
          <w:sz w:val="24"/>
          <w:szCs w:val="24"/>
          <w:lang w:val="en-US"/>
        </w:rPr>
        <w:fldChar w:fldCharType="separate"/>
      </w:r>
      <w:r w:rsidR="00976574" w:rsidRPr="00612653">
        <w:rPr>
          <w:rFonts w:ascii="Book Antiqua" w:hAnsi="Book Antiqua"/>
          <w:noProof/>
          <w:sz w:val="24"/>
          <w:szCs w:val="24"/>
          <w:vertAlign w:val="superscript"/>
          <w:lang w:val="en-US"/>
        </w:rPr>
        <w:t>[2,3]</w:t>
      </w:r>
      <w:r w:rsidR="00976574" w:rsidRPr="00612653">
        <w:rPr>
          <w:rFonts w:ascii="Book Antiqua" w:hAnsi="Book Antiqua"/>
          <w:sz w:val="24"/>
          <w:szCs w:val="24"/>
          <w:lang w:val="en-US"/>
        </w:rPr>
        <w:fldChar w:fldCharType="end"/>
      </w:r>
      <w:r w:rsidR="00976574" w:rsidRPr="00612653">
        <w:rPr>
          <w:rFonts w:ascii="Book Antiqua" w:hAnsi="Book Antiqua"/>
          <w:sz w:val="24"/>
          <w:szCs w:val="24"/>
          <w:lang w:val="en-US"/>
        </w:rPr>
        <w:t>.</w:t>
      </w:r>
      <w:r w:rsidR="00C97CC5" w:rsidRPr="00612653">
        <w:rPr>
          <w:rFonts w:ascii="Book Antiqua" w:hAnsi="Book Antiqua"/>
          <w:sz w:val="24"/>
          <w:szCs w:val="24"/>
          <w:lang w:val="en-US"/>
        </w:rPr>
        <w:t xml:space="preserve"> </w:t>
      </w:r>
      <w:r w:rsidR="00542E03" w:rsidRPr="00612653">
        <w:rPr>
          <w:rFonts w:ascii="Book Antiqua" w:hAnsi="Book Antiqua"/>
          <w:sz w:val="24"/>
          <w:szCs w:val="24"/>
          <w:lang w:val="en-US"/>
        </w:rPr>
        <w:t>Immunopatholog</w:t>
      </w:r>
      <w:r w:rsidR="00F52A2C" w:rsidRPr="00612653">
        <w:rPr>
          <w:rFonts w:ascii="Book Antiqua" w:hAnsi="Book Antiqua"/>
          <w:sz w:val="24"/>
          <w:szCs w:val="24"/>
          <w:lang w:val="en-US"/>
        </w:rPr>
        <w:t xml:space="preserve">ical alterations </w:t>
      </w:r>
      <w:r w:rsidR="00542E03" w:rsidRPr="00612653">
        <w:rPr>
          <w:rFonts w:ascii="Book Antiqua" w:hAnsi="Book Antiqua"/>
          <w:sz w:val="24"/>
          <w:szCs w:val="24"/>
          <w:lang w:val="en-US"/>
        </w:rPr>
        <w:t xml:space="preserve">likely also play a key role in NASH, </w:t>
      </w:r>
      <w:r w:rsidR="00F52A2C" w:rsidRPr="00612653">
        <w:rPr>
          <w:rFonts w:ascii="Book Antiqua" w:hAnsi="Book Antiqua"/>
          <w:sz w:val="24"/>
          <w:szCs w:val="24"/>
          <w:lang w:val="en-US"/>
        </w:rPr>
        <w:t xml:space="preserve">presumably driven </w:t>
      </w:r>
      <w:r w:rsidR="00C4381B" w:rsidRPr="00612653">
        <w:rPr>
          <w:rFonts w:ascii="Book Antiqua" w:hAnsi="Book Antiqua"/>
          <w:sz w:val="24"/>
          <w:szCs w:val="24"/>
          <w:lang w:val="en-US"/>
        </w:rPr>
        <w:t xml:space="preserve">by maladaptive responses in the </w:t>
      </w:r>
      <w:r w:rsidR="00F52A2C" w:rsidRPr="00612653">
        <w:rPr>
          <w:rFonts w:ascii="Book Antiqua" w:hAnsi="Book Antiqua"/>
          <w:sz w:val="24"/>
          <w:szCs w:val="24"/>
          <w:lang w:val="en-US"/>
        </w:rPr>
        <w:t xml:space="preserve">innate </w:t>
      </w:r>
      <w:r w:rsidR="00193B67" w:rsidRPr="00612653">
        <w:rPr>
          <w:rFonts w:ascii="Book Antiqua" w:hAnsi="Book Antiqua"/>
          <w:sz w:val="24"/>
          <w:szCs w:val="24"/>
          <w:lang w:val="en-US"/>
        </w:rPr>
        <w:t xml:space="preserve">and adaptive </w:t>
      </w:r>
      <w:r w:rsidR="00F52A2C" w:rsidRPr="00612653">
        <w:rPr>
          <w:rFonts w:ascii="Book Antiqua" w:hAnsi="Book Antiqua"/>
          <w:sz w:val="24"/>
          <w:szCs w:val="24"/>
          <w:lang w:val="en-US"/>
        </w:rPr>
        <w:t xml:space="preserve">immune </w:t>
      </w:r>
      <w:r w:rsidR="00C4381B" w:rsidRPr="00612653">
        <w:rPr>
          <w:rFonts w:ascii="Book Antiqua" w:hAnsi="Book Antiqua"/>
          <w:sz w:val="24"/>
          <w:szCs w:val="24"/>
          <w:lang w:val="en-US"/>
        </w:rPr>
        <w:t>system</w:t>
      </w:r>
      <w:r w:rsidR="00193B67" w:rsidRPr="00612653">
        <w:rPr>
          <w:rFonts w:ascii="Book Antiqua" w:hAnsi="Book Antiqua"/>
          <w:sz w:val="24"/>
          <w:szCs w:val="24"/>
          <w:lang w:val="en-US"/>
        </w:rPr>
        <w:fldChar w:fldCharType="begin" w:fldLock="1"/>
      </w:r>
      <w:r w:rsidR="0045230C" w:rsidRPr="00612653">
        <w:rPr>
          <w:rFonts w:ascii="Book Antiqua" w:hAnsi="Book Antiqua"/>
          <w:sz w:val="24"/>
          <w:szCs w:val="24"/>
          <w:lang w:val="en-US"/>
        </w:rPr>
        <w:instrText>ADDIN CSL_CITATION { "citationItems" : [ { "id" : "ITEM-1", "itemData" : { "DOI" : "10.4254/wjh.v7.i13.1725", "ISSN" : "1948-5182", "PMID" : "26167244", "abstract" : "The growing diffusion of nonalcoholic fatty liver disease (NAFLD) is a consequence of the worldwide increase in the prevalence of obesity. Oxidative stress is widely recognized to play a pivotal role in NAFLD evolution to nonalcoholic steatohepatitis (NASH). Here we review recent evidence suggesting that oxidative stress-derived antigens originating within fatty livers stimulate both humoral and cellular adaptive immune responses and the possible mechanisms involved in sustaining hepatic inflammation in NASH.", "author" : [ { "dropping-particle" : "", "family" : "Sutti", "given" : "Salvatore", "non-dropping-particle" : "", "parse-names" : false, "suffix" : "" }, { "dropping-particle" : "", "family" : "Jindal", "given" : "Aastha", "non-dropping-particle" : "", "parse-names" : false, "suffix" : "" }, { "dropping-particle" : "", "family" : "Bruzz\u00ec", "given" : "Stefania", "non-dropping-particle" : "", "parse-names" : false, "suffix" : "" }, { "dropping-particle" : "", "family" : "Locatelli", "given" : "Irene", "non-dropping-particle" : "", "parse-names" : false, "suffix" : "" }, { "dropping-particle" : "", "family" : "Bozzola", "given" : "Cristina", "non-dropping-particle" : "", "parse-names" : false, "suffix" : "" }, { "dropping-particle" : "", "family" : "Albano", "given" : "Emanuele", "non-dropping-particle" : "", "parse-names" : false, "suffix" : "" } ], "container-title" : "World journal of hepatology", "id" : "ITEM-1", "issue" : "13", "issued" : { "date-parts" : [ [ "2015", "7", "8" ] ] }, "page" : "1725-9", "title" : "Is there a role for adaptive immunity in nonalcoholic steatohepatitis?", "type" : "article-journal", "volume" : "7" }, "uris" : [ "http://www.mendeley.com/documents/?uuid=ab971344-d132-4011-af46-9a741323860e" ] }, { "id" : "ITEM-2", "itemData" : { "DOI" : "10.1007/s12072-013-9468-6", "ISSN" : "1936-0541", "PMID" : "24587847", "abstract" : "Immune and inflammatory pathways have a central role in the pathogenesis of non-alcoholic fatty liver disease (NAFLD). Both the innate and adaptive immune systems contribute to the development of NAFLD. Pathogen-associated molecular patterns and danger-associated molecular patterns are known to activate a variety of pattern-recognition receptors that result in inflammation. The key features of the immune system and inflammatory pathways in the development of NAFLD are discussed in this review.", "author" : [ { "dropping-particle" : "", "family" : "Ganz", "given" : "Michal", "non-dropping-particle" : "", "parse-names" : false, "suffix" : "" }, { "dropping-particle" : "", "family" : "Szabo", "given" : "Gyongyi", "non-dropping-particle" : "", "parse-names" : false, "suffix" : "" } ], "container-title" : "Hepatology international", "id" : "ITEM-2", "issued" : { "date-parts" : [ [ "2013", "12" ] ] }, "page" : "771-81", "title" : "Immune and inflammatory pathways in NASH.", "type" : "article-journal", "volume" : "7 Suppl 2" }, "uris" : [ "http://www.mendeley.com/documents/?uuid=66c67173-21ca-3955-97f6-8a506ee0a4ca" ] } ], "mendeley" : { "formattedCitation" : "&lt;sup&gt;[4,5]&lt;/sup&gt;", "plainTextFormattedCitation" : "[4,5]", "previouslyFormattedCitation" : "&lt;sup&gt;[4,5]&lt;/sup&gt;" }, "properties" : { "noteIndex" : 3 }, "schema" : "https://github.com/citation-style-language/schema/raw/master/csl-citation.json" }</w:instrText>
      </w:r>
      <w:r w:rsidR="00193B67" w:rsidRPr="00612653">
        <w:rPr>
          <w:rFonts w:ascii="Book Antiqua" w:hAnsi="Book Antiqua"/>
          <w:sz w:val="24"/>
          <w:szCs w:val="24"/>
          <w:lang w:val="en-US"/>
        </w:rPr>
        <w:fldChar w:fldCharType="separate"/>
      </w:r>
      <w:r w:rsidR="00193B67" w:rsidRPr="00612653">
        <w:rPr>
          <w:rFonts w:ascii="Book Antiqua" w:hAnsi="Book Antiqua"/>
          <w:noProof/>
          <w:sz w:val="24"/>
          <w:szCs w:val="24"/>
          <w:vertAlign w:val="superscript"/>
          <w:lang w:val="en-US"/>
        </w:rPr>
        <w:t>[4,5]</w:t>
      </w:r>
      <w:r w:rsidR="00193B67" w:rsidRPr="00612653">
        <w:rPr>
          <w:rFonts w:ascii="Book Antiqua" w:hAnsi="Book Antiqua"/>
          <w:sz w:val="24"/>
          <w:szCs w:val="24"/>
          <w:lang w:val="en-US"/>
        </w:rPr>
        <w:fldChar w:fldCharType="end"/>
      </w:r>
      <w:r w:rsidR="00193B67" w:rsidRPr="00612653">
        <w:rPr>
          <w:rFonts w:ascii="Book Antiqua" w:hAnsi="Book Antiqua"/>
          <w:sz w:val="24"/>
          <w:szCs w:val="24"/>
          <w:lang w:val="en-US"/>
        </w:rPr>
        <w:t>.</w:t>
      </w:r>
    </w:p>
    <w:p w14:paraId="5DA8C39A" w14:textId="417D4607" w:rsidR="0080719C" w:rsidRPr="00612653" w:rsidRDefault="009C0356" w:rsidP="00082279">
      <w:pPr>
        <w:snapToGrid w:val="0"/>
        <w:spacing w:after="0" w:line="360" w:lineRule="auto"/>
        <w:ind w:firstLineChars="100" w:firstLine="240"/>
        <w:jc w:val="both"/>
        <w:rPr>
          <w:rFonts w:ascii="Book Antiqua" w:hAnsi="Book Antiqua"/>
          <w:sz w:val="24"/>
          <w:szCs w:val="24"/>
          <w:lang w:val="en-US"/>
        </w:rPr>
      </w:pPr>
      <w:r w:rsidRPr="00612653">
        <w:rPr>
          <w:rFonts w:ascii="Book Antiqua" w:hAnsi="Book Antiqua"/>
          <w:sz w:val="24"/>
          <w:szCs w:val="24"/>
          <w:lang w:val="en-US"/>
        </w:rPr>
        <w:t>The primary drivers</w:t>
      </w:r>
      <w:r w:rsidR="00940700" w:rsidRPr="00612653">
        <w:rPr>
          <w:rFonts w:ascii="Book Antiqua" w:hAnsi="Book Antiqua"/>
          <w:sz w:val="24"/>
          <w:szCs w:val="24"/>
          <w:lang w:val="en-US"/>
        </w:rPr>
        <w:t xml:space="preserve"> of</w:t>
      </w:r>
      <w:r w:rsidRPr="00612653">
        <w:rPr>
          <w:rFonts w:ascii="Book Antiqua" w:hAnsi="Book Antiqua"/>
          <w:sz w:val="24"/>
          <w:szCs w:val="24"/>
          <w:lang w:val="en-US"/>
        </w:rPr>
        <w:t xml:space="preserve"> NASH are obesity and diabetes, </w:t>
      </w:r>
      <w:r w:rsidR="00A60A44" w:rsidRPr="00612653">
        <w:rPr>
          <w:rFonts w:ascii="Book Antiqua" w:hAnsi="Book Antiqua"/>
          <w:sz w:val="24"/>
          <w:szCs w:val="24"/>
          <w:lang w:val="en-US"/>
        </w:rPr>
        <w:t xml:space="preserve">and the high prevalence of </w:t>
      </w:r>
      <w:r w:rsidRPr="00612653">
        <w:rPr>
          <w:rFonts w:ascii="Book Antiqua" w:hAnsi="Book Antiqua"/>
          <w:sz w:val="24"/>
          <w:szCs w:val="24"/>
          <w:lang w:val="en-US"/>
        </w:rPr>
        <w:t xml:space="preserve">these </w:t>
      </w:r>
      <w:r w:rsidR="00E55CB7" w:rsidRPr="00612653">
        <w:rPr>
          <w:rFonts w:ascii="Book Antiqua" w:hAnsi="Book Antiqua"/>
          <w:sz w:val="24"/>
          <w:szCs w:val="24"/>
          <w:lang w:val="en-US"/>
        </w:rPr>
        <w:t xml:space="preserve">major </w:t>
      </w:r>
      <w:r w:rsidRPr="00612653">
        <w:rPr>
          <w:rFonts w:ascii="Book Antiqua" w:hAnsi="Book Antiqua"/>
          <w:sz w:val="24"/>
          <w:szCs w:val="24"/>
          <w:lang w:val="en-US"/>
        </w:rPr>
        <w:t>metabolic diseases</w:t>
      </w:r>
      <w:r w:rsidR="00A60A44" w:rsidRPr="00612653">
        <w:rPr>
          <w:rFonts w:ascii="Book Antiqua" w:hAnsi="Book Antiqua"/>
          <w:sz w:val="24"/>
          <w:szCs w:val="24"/>
          <w:lang w:val="en-US"/>
        </w:rPr>
        <w:t xml:space="preserve"> is expected to make NASH one of the most common causes of advanced liver disorders in the coming decade</w:t>
      </w:r>
      <w:r w:rsidR="00A60A44" w:rsidRPr="00612653">
        <w:rPr>
          <w:rFonts w:ascii="Book Antiqua" w:hAnsi="Book Antiqua"/>
          <w:sz w:val="24"/>
          <w:szCs w:val="24"/>
          <w:lang w:val="en-US"/>
        </w:rPr>
        <w:fldChar w:fldCharType="begin" w:fldLock="1"/>
      </w:r>
      <w:r w:rsidR="00193B67" w:rsidRPr="00612653">
        <w:rPr>
          <w:rFonts w:ascii="Book Antiqua" w:hAnsi="Book Antiqua"/>
          <w:sz w:val="24"/>
          <w:szCs w:val="24"/>
          <w:lang w:val="en-US"/>
        </w:rPr>
        <w:instrText>ADDIN CSL_CITATION { "citationItems" : [ { "id" : "ITEM-1", "itemData" : { "DOI" : "10.1002/hep.28431", "ISSN" : "1527-3350", "PMID" : "26707365", "abstract" : "UNLABELLED Nonalcoholic fatty liver disease (NAFLD) is a major cause of liver disease worldwide. We estimated the global prevalence, incidence, progression, and outcomes of NAFLD and nonalcoholic steatohepatitis (NASH). PubMed/MEDLINE were searched from 1989 to 2015 for terms involving epidemiology and progression of NAFLD. Exclusions included selected groups (studies that exclusively enrolled morbidly obese or diabetics or pediatric) and no data on alcohol consumption or other liver diseases. Incidence of hepatocellular carcinoma (HCC), cirrhosis, overall mortality, and liver-related mortality were determined. NASH required histological diagnosis. All studies were reviewed by three independent investigators. Analysis was stratified by region, diagnostic technique, biopsy indication, and study population. We used random-effects models to provide point estimates (95% confidence interval [CI]) of prevalence, incidence, mortality and incidence rate ratios, and metaregression with subgroup analysis to account for heterogeneity. Of 729 studies, 86 were included with a sample size of 8,515,431 from 22 countries. Global prevalence of NAFLD is 25.24% (95% CI: 22.10-28.65) with highest prevalence in the Middle East and South America and lowest in Africa. Metabolic comorbidities associated with NAFLD included obesity (51.34%; 95% CI: 41.38-61.20), type 2 diabetes (22.51%; 95% CI: 17.92-27.89), hyperlipidemia (69.16%; 95% CI: 49.91-83.46%), hypertension (39.34%; 95% CI: 33.15-45.88), and metabolic syndrome (42.54%; 95% CI: 30.06-56.05). Fibrosis progression proportion, and mean annual rate of progression in NASH were 40.76% (95% CI: 34.69-47.13) and 0.09 (95% CI: 0.06-0.12). HCC incidence among NAFLD patients was 0.44 per 1,000 person-years (range, 0.29-0.66). Liver-specific mortality and overall mortality among NAFLD and NASH were 0.77 per 1,000 (range, 0.33-1.77) and 11.77 per 1,000 person-years (range, 7.10-19.53) and 15.44 per 1,000 (range, 11.72-20.34) and 25.56 per 1,000 person-years (range, 6.29-103.80). Incidence risk ratios for liver-specific and overall mortality for NAFLD were 1.94 (range, 1.28-2.92) and 1.05 (range, 0.70-1.56). CONCLUSIONS As the global epidemic of obesity fuels metabolic conditions, the clinical and economic burden of NAFLD will become enormous. (Hepatology 2016;64:73-84).", "author" : [ { "dropping-particle" : "", "family" : "Younossi", "given" : "Zobair M", "non-dropping-particle" : "", "parse-names" : false, "suffix" : "" }, { "dropping-particle" : "", "family" : "Koenig", "given" : "Aaron B", "non-dropping-particle" : "", "parse-names" : false, "suffix" : "" }, { "dropping-particle" : "", "family" : "Abdelatif", "given" : "Dinan", "non-dropping-particle" : "", "parse-names" : false, "suffix" : "" }, { "dropping-particle" : "", "family" : "Fazel", "given" : "Yousef", "non-dropping-particle" : "", "parse-names" : false, "suffix" : "" }, { "dropping-particle" : "", "family" : "Henry", "given" : "Linda", "non-dropping-particle" : "", "parse-names" : false, "suffix" : "" }, { "dropping-particle" : "", "family" : "Wymer", "given" : "Mark", "non-dropping-particle" : "", "parse-names" : false, "suffix" : "" } ], "container-title" : "Hepatology (Baltimore, Md.)", "id" : "ITEM-1", "issue" : "1", "issued" : { "date-parts" : [ [ "2016", "7" ] ] }, "page" : "73-84", "title" : "Global epidemiology of nonalcoholic fatty liver disease-Meta-analytic assessment of prevalence, incidence, and outcomes.", "type" : "article-journal", "volume" : "64" }, "uris" : [ "http://www.mendeley.com/documents/?uuid=fe17b70d-bc2e-303f-a87e-de4508422dc3" ] } ], "mendeley" : { "formattedCitation" : "&lt;sup&gt;[6]&lt;/sup&gt;", "plainTextFormattedCitation" : "[6]", "previouslyFormattedCitation" : "&lt;sup&gt;[6]&lt;/sup&gt;" }, "properties" : { "noteIndex" : 0 }, "schema" : "https://github.com/citation-style-language/schema/raw/master/csl-citation.json" }</w:instrText>
      </w:r>
      <w:r w:rsidR="00A60A44" w:rsidRPr="00612653">
        <w:rPr>
          <w:rFonts w:ascii="Book Antiqua" w:hAnsi="Book Antiqua"/>
          <w:sz w:val="24"/>
          <w:szCs w:val="24"/>
          <w:lang w:val="en-US"/>
        </w:rPr>
        <w:fldChar w:fldCharType="separate"/>
      </w:r>
      <w:r w:rsidR="00193B67" w:rsidRPr="00612653">
        <w:rPr>
          <w:rFonts w:ascii="Book Antiqua" w:hAnsi="Book Antiqua"/>
          <w:noProof/>
          <w:sz w:val="24"/>
          <w:szCs w:val="24"/>
          <w:vertAlign w:val="superscript"/>
          <w:lang w:val="en-US"/>
        </w:rPr>
        <w:t>[6]</w:t>
      </w:r>
      <w:r w:rsidR="00A60A44" w:rsidRPr="00612653">
        <w:rPr>
          <w:rFonts w:ascii="Book Antiqua" w:hAnsi="Book Antiqua"/>
          <w:sz w:val="24"/>
          <w:szCs w:val="24"/>
          <w:lang w:val="en-US"/>
        </w:rPr>
        <w:fldChar w:fldCharType="end"/>
      </w:r>
      <w:r w:rsidR="00A60A44" w:rsidRPr="00612653">
        <w:rPr>
          <w:rFonts w:ascii="Book Antiqua" w:hAnsi="Book Antiqua"/>
          <w:sz w:val="24"/>
          <w:szCs w:val="24"/>
          <w:lang w:val="en-US"/>
        </w:rPr>
        <w:t>.</w:t>
      </w:r>
      <w:r w:rsidRPr="00612653">
        <w:rPr>
          <w:rFonts w:ascii="Book Antiqua" w:hAnsi="Book Antiqua"/>
          <w:sz w:val="24"/>
          <w:szCs w:val="24"/>
          <w:lang w:val="en-US"/>
        </w:rPr>
        <w:t xml:space="preserve"> </w:t>
      </w:r>
      <w:r w:rsidR="00A60A44" w:rsidRPr="00612653">
        <w:rPr>
          <w:rFonts w:ascii="Book Antiqua" w:hAnsi="Book Antiqua"/>
          <w:sz w:val="24"/>
          <w:szCs w:val="24"/>
          <w:lang w:val="en-US"/>
        </w:rPr>
        <w:t>N</w:t>
      </w:r>
      <w:r w:rsidR="009775FF" w:rsidRPr="00612653">
        <w:rPr>
          <w:rFonts w:ascii="Book Antiqua" w:hAnsi="Book Antiqua"/>
          <w:sz w:val="24"/>
          <w:szCs w:val="24"/>
          <w:lang w:val="en-US"/>
        </w:rPr>
        <w:t xml:space="preserve">ASH is </w:t>
      </w:r>
      <w:r w:rsidR="00A60A44" w:rsidRPr="00612653">
        <w:rPr>
          <w:rFonts w:ascii="Book Antiqua" w:hAnsi="Book Antiqua"/>
          <w:sz w:val="24"/>
          <w:szCs w:val="24"/>
          <w:lang w:val="en-US"/>
        </w:rPr>
        <w:t xml:space="preserve">therefore </w:t>
      </w:r>
      <w:r w:rsidR="009775FF" w:rsidRPr="00612653">
        <w:rPr>
          <w:rFonts w:ascii="Book Antiqua" w:hAnsi="Book Antiqua"/>
          <w:sz w:val="24"/>
          <w:szCs w:val="24"/>
          <w:lang w:val="en-US"/>
        </w:rPr>
        <w:t>rapidly emerging a</w:t>
      </w:r>
      <w:r w:rsidR="00110BDC" w:rsidRPr="00612653">
        <w:rPr>
          <w:rFonts w:ascii="Book Antiqua" w:hAnsi="Book Antiqua"/>
          <w:sz w:val="24"/>
          <w:szCs w:val="24"/>
          <w:lang w:val="en-US"/>
        </w:rPr>
        <w:t>s a major public health problem</w:t>
      </w:r>
      <w:r w:rsidRPr="00612653">
        <w:rPr>
          <w:rFonts w:ascii="Book Antiqua" w:hAnsi="Book Antiqua"/>
          <w:sz w:val="24"/>
          <w:szCs w:val="24"/>
          <w:lang w:val="en-US"/>
        </w:rPr>
        <w:t>, however,</w:t>
      </w:r>
      <w:r w:rsidR="009775FF" w:rsidRPr="00612653">
        <w:rPr>
          <w:rFonts w:ascii="Book Antiqua" w:hAnsi="Book Antiqua"/>
          <w:sz w:val="24"/>
          <w:szCs w:val="24"/>
          <w:lang w:val="en-US"/>
        </w:rPr>
        <w:t xml:space="preserve"> </w:t>
      </w:r>
      <w:r w:rsidR="00B45A04" w:rsidRPr="00612653">
        <w:rPr>
          <w:rFonts w:ascii="Book Antiqua" w:hAnsi="Book Antiqua"/>
          <w:sz w:val="24"/>
          <w:szCs w:val="24"/>
          <w:lang w:val="en-US"/>
        </w:rPr>
        <w:t xml:space="preserve">with </w:t>
      </w:r>
      <w:r w:rsidRPr="00612653">
        <w:rPr>
          <w:rFonts w:ascii="Book Antiqua" w:hAnsi="Book Antiqua"/>
          <w:sz w:val="24"/>
          <w:szCs w:val="24"/>
          <w:lang w:val="en-US"/>
        </w:rPr>
        <w:t>current</w:t>
      </w:r>
      <w:r w:rsidR="00050E27" w:rsidRPr="00612653">
        <w:rPr>
          <w:rFonts w:ascii="Book Antiqua" w:hAnsi="Book Antiqua"/>
          <w:sz w:val="24"/>
          <w:szCs w:val="24"/>
          <w:lang w:val="en-US"/>
        </w:rPr>
        <w:t>ly no</w:t>
      </w:r>
      <w:r w:rsidRPr="00612653">
        <w:rPr>
          <w:rFonts w:ascii="Book Antiqua" w:hAnsi="Book Antiqua"/>
          <w:sz w:val="24"/>
          <w:szCs w:val="24"/>
          <w:lang w:val="en-US"/>
        </w:rPr>
        <w:t xml:space="preserve"> </w:t>
      </w:r>
      <w:r w:rsidR="009775FF" w:rsidRPr="00612653">
        <w:rPr>
          <w:rFonts w:ascii="Book Antiqua" w:hAnsi="Book Antiqua"/>
          <w:sz w:val="24"/>
          <w:szCs w:val="24"/>
          <w:lang w:val="en-US"/>
        </w:rPr>
        <w:t>evidence-based approved drug therapies. This has prompted substantial efforts to identify novel pharmacological concepts for correcting the underlying metabolic deficits and alleviate, or prevent, hepatic fibrosis in NASH</w:t>
      </w:r>
      <w:r w:rsidR="009775FF" w:rsidRPr="00612653">
        <w:rPr>
          <w:rFonts w:ascii="Book Antiqua" w:hAnsi="Book Antiqua"/>
          <w:sz w:val="24"/>
          <w:szCs w:val="24"/>
          <w:lang w:val="en-US"/>
        </w:rPr>
        <w:fldChar w:fldCharType="begin" w:fldLock="1"/>
      </w:r>
      <w:r w:rsidR="0045230C" w:rsidRPr="00612653">
        <w:rPr>
          <w:rFonts w:ascii="Book Antiqua" w:hAnsi="Book Antiqua"/>
          <w:sz w:val="24"/>
          <w:szCs w:val="24"/>
          <w:lang w:val="en-US"/>
        </w:rPr>
        <w:instrText>ADDIN CSL_CITATION { "citationItems" : [ { "id" : "ITEM-1", "itemData" : { "DOI" : "10.1136/gutjnl-2016-312431", "ISSN" : "1468-3288", "PMID" : "27646933", "abstract" : "Given the high prevalence and rising incidence of non-alcoholic fatty liver disease (NAFLD), the absence of approved therapies is striking. Although the mainstay of treatment of NAFLD is weight loss, it is hard to maintain, prompting the need for pharmacotherapy as well. A greater understanding of disease pathogenesis in recent years was followed by development of new classes of medications, as well as potential repurposing of currently available agents. NAFLD therapies target four main pathways. The dominant approach is targeting hepatic fat accumulation and the resultant metabolic stress. Medications in this group include peroxisome proliferator-activator receptor agonists (eg, pioglitazone, elafibranor, saroglitazar), medications targeting the bile acid-farnesoid X receptor axis (obeticholic acid), inhibitors of de novo lipogenesis (aramchol, NDI-010976), incretins (liraglutide) and fibroblast growth factor (FGF)-21 or FGF-19 analogues. A second approach is targeting the oxidative stress, inflammation and injury that follow the metabolic stress. Medications from this group include antioxidants (vitamin E), medications with a target in the tumour necrosis factor \u03b1 pathway (emricasan, pentoxifylline) and immune modulators (amlexanox, cenicriviroc). A third group has a target in the gut, including antiobesity agents such as orlistat or gut microbiome modulators (IMM-124e, faecal microbial transplant, solithromycin). Finally, as the ongoing injury leads to fibrosis, the harbinger of liver-related morbidity and mortality, antifibrotics (simtuzumab and GR-MD-02) will be an important element of therapy. It is very likely that in the next few years several medications will be available to clinicians treating patients with NAFLD across the entire spectrum of disease.", "author" : [ { "dropping-particle" : "", "family" : "Rotman", "given" : "Yaron", "non-dropping-particle" : "", "parse-names" : false, "suffix" : "" }, { "dropping-particle" : "", "family" : "Sanyal", "given" : "Arun J", "non-dropping-particle" : "", "parse-names" : false, "suffix" : "" } ], "container-title" : "Gut", "id" : "ITEM-1", "issue" : "1", "issued" : { "date-parts" : [ [ "2017", "1" ] ] }, "page" : "180-190", "title" : "Current and upcoming pharmacotherapy for non-alcoholic fatty liver disease.", "type" : "article-journal", "volume" : "66" }, "uris" : [ "http://www.mendeley.com/documents/?uuid=646b29f8-d542-376b-aaa8-56d8b3ebb5ab" ] }, { "id" : "ITEM-2", "itemData" : { "DOI" : "10.1016/j.drudis.2017.06.007", "ISSN" : "1878-5832", "PMID" : "28687459", "abstract" : "Nonalcoholic fatty liver disease (NAFLD) has become the most common cause of chronic liver disease in the Western world. NAFLD is a complex spectrum of liver diseases ranging from benign hepatic steatosis to its more aggressive necroinflammatory manifestation, nonalcoholic steatohepatitis (NASH). NASH pathogenesis is multifactorial and risk factors are almost identical to those of the metabolic syndrome. This has prompted substantial efforts to identify novel drug therapies for correcting underlying metabolic deficits, and to prevent or alleviate hepatic fibrosis in NASH. Available mouse models of NASH address different aspects of the disease, have varying clinical translatability, and, therefore, also show different utility in drug discovery.", "author" : [ { "dropping-particle" : "", "family" : "Hansen", "given" : "Henrik H.", "non-dropping-particle" : "", "parse-names" : false, "suffix" : "" }, { "dropping-particle" : "", "family" : "Feigh", "given" : "Michael",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"Vrang", "given" : "Niels", "non-dropping-particle" : "", "parse-names" : false, "suffix" : "" }, { "dropping-particle" : "", "family" : "Fosgerau", "given" : "Keld", "non-dropping-particle" : "", "parse-names" : false, "suffix" : "" } ], "container-title" : "Drug discovery today", "id" : "ITEM-2", "issue" : "11", "issued" : { "date-parts" : [ [ "2017", "7", "4" ] ] }, "page" : "1707-1718", "title" : "Mouse models of nonalcoholic steatohepatitis in preclinical drug development.", "type" : "article-journal", "volume" : "22" }, "uris" : [ "http://www.mendeley.com/documents/?uuid=e30a1a22-369c-41ab-9d50-b11e3601d690" ] } ], "mendeley" : { "formattedCitation" : "&lt;sup&gt;[7,8]&lt;/sup&gt;", "plainTextFormattedCitation" : "[7,8]", "previouslyFormattedCitation" : "&lt;sup&gt;[7,8]&lt;/sup&gt;" }, "properties" : { "noteIndex" : 0 }, "schema" : "https://github.com/citation-style-language/schema/raw/master/csl-citation.json" }</w:instrText>
      </w:r>
      <w:r w:rsidR="009775FF" w:rsidRPr="00612653">
        <w:rPr>
          <w:rFonts w:ascii="Book Antiqua" w:hAnsi="Book Antiqua"/>
          <w:sz w:val="24"/>
          <w:szCs w:val="24"/>
          <w:lang w:val="en-US"/>
        </w:rPr>
        <w:fldChar w:fldCharType="separate"/>
      </w:r>
      <w:r w:rsidR="00193B67" w:rsidRPr="00612653">
        <w:rPr>
          <w:rFonts w:ascii="Book Antiqua" w:hAnsi="Book Antiqua"/>
          <w:noProof/>
          <w:sz w:val="24"/>
          <w:szCs w:val="24"/>
          <w:vertAlign w:val="superscript"/>
          <w:lang w:val="en-US"/>
        </w:rPr>
        <w:t>[7,8]</w:t>
      </w:r>
      <w:r w:rsidR="009775FF" w:rsidRPr="00612653">
        <w:rPr>
          <w:rFonts w:ascii="Book Antiqua" w:hAnsi="Book Antiqua"/>
          <w:sz w:val="24"/>
          <w:szCs w:val="24"/>
          <w:lang w:val="en-US"/>
        </w:rPr>
        <w:fldChar w:fldCharType="end"/>
      </w:r>
      <w:r w:rsidR="009775FF" w:rsidRPr="00612653">
        <w:rPr>
          <w:rFonts w:ascii="Book Antiqua" w:hAnsi="Book Antiqua"/>
          <w:sz w:val="24"/>
          <w:szCs w:val="24"/>
          <w:lang w:val="en-US"/>
        </w:rPr>
        <w:t>.</w:t>
      </w:r>
      <w:r w:rsidR="004576F3" w:rsidRPr="00612653">
        <w:rPr>
          <w:rFonts w:ascii="Book Antiqua" w:hAnsi="Book Antiqua"/>
          <w:sz w:val="24"/>
          <w:szCs w:val="24"/>
          <w:lang w:val="en-US"/>
        </w:rPr>
        <w:t xml:space="preserve"> </w:t>
      </w:r>
      <w:r w:rsidR="00CE2FB8" w:rsidRPr="00612653">
        <w:rPr>
          <w:rFonts w:ascii="Book Antiqua" w:hAnsi="Book Antiqua"/>
          <w:sz w:val="24"/>
          <w:szCs w:val="24"/>
          <w:lang w:val="en-US"/>
        </w:rPr>
        <w:t xml:space="preserve">To </w:t>
      </w:r>
      <w:r w:rsidR="00DE5FEA" w:rsidRPr="00612653">
        <w:rPr>
          <w:rFonts w:ascii="Book Antiqua" w:hAnsi="Book Antiqua"/>
          <w:sz w:val="24"/>
          <w:szCs w:val="24"/>
          <w:lang w:val="en-US"/>
        </w:rPr>
        <w:t xml:space="preserve">improve the understanding of NASH pathogenesis and </w:t>
      </w:r>
      <w:r w:rsidR="00CE2FB8" w:rsidRPr="00612653">
        <w:rPr>
          <w:rFonts w:ascii="Book Antiqua" w:hAnsi="Book Antiqua"/>
          <w:sz w:val="24"/>
          <w:szCs w:val="24"/>
          <w:lang w:val="en-US"/>
        </w:rPr>
        <w:t>facilitate the development of novel therapeutic</w:t>
      </w:r>
      <w:r w:rsidR="00B45A04" w:rsidRPr="00612653">
        <w:rPr>
          <w:rFonts w:ascii="Book Antiqua" w:hAnsi="Book Antiqua"/>
          <w:sz w:val="24"/>
          <w:szCs w:val="24"/>
          <w:lang w:val="en-US"/>
        </w:rPr>
        <w:t>s</w:t>
      </w:r>
      <w:r w:rsidR="00110BDC" w:rsidRPr="00612653">
        <w:rPr>
          <w:rFonts w:ascii="Book Antiqua" w:hAnsi="Book Antiqua"/>
          <w:sz w:val="24"/>
          <w:szCs w:val="24"/>
          <w:lang w:val="en-US"/>
        </w:rPr>
        <w:t xml:space="preserve"> </w:t>
      </w:r>
      <w:r w:rsidR="00DE5FEA" w:rsidRPr="00612653">
        <w:rPr>
          <w:rFonts w:ascii="Book Antiqua" w:hAnsi="Book Antiqua"/>
          <w:sz w:val="24"/>
          <w:szCs w:val="24"/>
          <w:lang w:val="en-US"/>
        </w:rPr>
        <w:t>for</w:t>
      </w:r>
      <w:r w:rsidR="00CE2FB8" w:rsidRPr="00612653">
        <w:rPr>
          <w:rFonts w:ascii="Book Antiqua" w:hAnsi="Book Antiqua"/>
          <w:sz w:val="24"/>
          <w:szCs w:val="24"/>
          <w:lang w:val="en-US"/>
        </w:rPr>
        <w:t xml:space="preserve"> NASH, </w:t>
      </w:r>
      <w:r w:rsidR="00993AFE" w:rsidRPr="00612653">
        <w:rPr>
          <w:rFonts w:ascii="Book Antiqua" w:hAnsi="Book Antiqua"/>
          <w:sz w:val="24"/>
          <w:szCs w:val="24"/>
          <w:lang w:val="en-US"/>
        </w:rPr>
        <w:t>several</w:t>
      </w:r>
      <w:r w:rsidR="00195768" w:rsidRPr="00612653">
        <w:rPr>
          <w:rFonts w:ascii="Book Antiqua" w:hAnsi="Book Antiqua"/>
          <w:sz w:val="24"/>
          <w:szCs w:val="24"/>
          <w:lang w:val="en-US"/>
        </w:rPr>
        <w:t xml:space="preserve"> </w:t>
      </w:r>
      <w:r w:rsidR="00BE7F48" w:rsidRPr="00612653">
        <w:rPr>
          <w:rFonts w:ascii="Book Antiqua" w:hAnsi="Book Antiqua"/>
          <w:sz w:val="24"/>
          <w:szCs w:val="24"/>
          <w:lang w:val="en-US"/>
        </w:rPr>
        <w:t xml:space="preserve">mouse models </w:t>
      </w:r>
      <w:r w:rsidR="00DE5FEA" w:rsidRPr="00612653">
        <w:rPr>
          <w:rFonts w:ascii="Book Antiqua" w:hAnsi="Book Antiqua"/>
          <w:sz w:val="24"/>
          <w:szCs w:val="24"/>
          <w:lang w:val="en-US"/>
        </w:rPr>
        <w:t>have been employed</w:t>
      </w:r>
      <w:r w:rsidR="00F050B8" w:rsidRPr="00612653">
        <w:rPr>
          <w:rFonts w:ascii="Book Antiqua" w:hAnsi="Book Antiqua"/>
          <w:sz w:val="24"/>
          <w:szCs w:val="24"/>
          <w:lang w:val="en-US"/>
        </w:rPr>
        <w:fldChar w:fldCharType="begin" w:fldLock="1"/>
      </w:r>
      <w:r w:rsidR="0045230C" w:rsidRPr="00612653">
        <w:rPr>
          <w:rFonts w:ascii="Book Antiqua" w:hAnsi="Book Antiqua"/>
          <w:sz w:val="24"/>
          <w:szCs w:val="24"/>
          <w:lang w:val="en-US"/>
        </w:rPr>
        <w:instrText>ADDIN CSL_CITATION { "citationItems" : [ { "id" : "ITEM-1", "itemData" : { "DOI" : "10.1016/j.drudis.2017.06.007", "ISSN" : "1878-5832", "PMID" : "28687459", "abstract" : "Nonalcoholic fatty liver disease (NAFLD) has become the most common cause of chronic liver disease in the Western world. NAFLD is a complex spectrum of liver diseases ranging from benign hepatic steatosis to its more aggressive necroinflammatory manifestation, nonalcoholic steatohepatitis (NASH). NASH pathogenesis is multifactorial and risk factors are almost identical to those of the metabolic syndrome. This has prompted substantial efforts to identify novel drug therapies for correcting underlying metabolic deficits, and to prevent or alleviate hepatic fibrosis in NASH. Available mouse models of NASH address different aspects of the disease, have varying clinical translatability, and, therefore, also show different utility in drug discovery.", "author" : [ { "dropping-particle" : "", "family" : "Hansen", "given" : "Henrik H.", "non-dropping-particle" : "", "parse-names" : false, "suffix" : "" }, { "dropping-particle" : "", "family" : "Feigh", "given" : "Michael",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"Vrang", "given" : "Niels", "non-dropping-particle" : "", "parse-names" : false, "suffix" : "" }, { "dropping-particle" : "", "family" : "Fosgerau", "given" : "Keld", "non-dropping-particle" : "", "parse-names" : false, "suffix" : "" } ], "container-title" : "Drug discovery today", "id" : "ITEM-1", "issue" : "11", "issued" : { "date-parts" : [ [ "2017", "7", "4" ] ] }, "page" : "1707-1718", "title" : "Mouse models of nonalcoholic steatohepatitis in preclinical drug development.", "type" : "article-journal", "volume" : "22" }, "uris" : [ "http://www.mendeley.com/documents/?uuid=e30a1a22-369c-41ab-9d50-b11e3601d690" ] } ], "mendeley" : { "formattedCitation" : "&lt;sup&gt;[8]&lt;/sup&gt;", "plainTextFormattedCitation" : "[8]", "previouslyFormattedCitation" : "&lt;sup&gt;[8]&lt;/sup&gt;" }, "properties" : { "noteIndex" : 0 }, "schema" : "https://github.com/citation-style-language/schema/raw/master/csl-citation.json" }</w:instrText>
      </w:r>
      <w:r w:rsidR="00F050B8" w:rsidRPr="00612653">
        <w:rPr>
          <w:rFonts w:ascii="Book Antiqua" w:hAnsi="Book Antiqua"/>
          <w:sz w:val="24"/>
          <w:szCs w:val="24"/>
          <w:lang w:val="en-US"/>
        </w:rPr>
        <w:fldChar w:fldCharType="separate"/>
      </w:r>
      <w:r w:rsidR="0045230C" w:rsidRPr="00612653">
        <w:rPr>
          <w:rFonts w:ascii="Book Antiqua" w:hAnsi="Book Antiqua"/>
          <w:noProof/>
          <w:sz w:val="24"/>
          <w:szCs w:val="24"/>
          <w:vertAlign w:val="superscript"/>
          <w:lang w:val="en-US"/>
        </w:rPr>
        <w:t>[8]</w:t>
      </w:r>
      <w:r w:rsidR="00F050B8" w:rsidRPr="00612653">
        <w:rPr>
          <w:rFonts w:ascii="Book Antiqua" w:hAnsi="Book Antiqua"/>
          <w:sz w:val="24"/>
          <w:szCs w:val="24"/>
          <w:lang w:val="en-US"/>
        </w:rPr>
        <w:fldChar w:fldCharType="end"/>
      </w:r>
      <w:r w:rsidR="00A65C29" w:rsidRPr="00612653">
        <w:rPr>
          <w:rFonts w:ascii="Book Antiqua" w:hAnsi="Book Antiqua"/>
          <w:sz w:val="24"/>
          <w:szCs w:val="24"/>
          <w:lang w:val="en-US"/>
        </w:rPr>
        <w:t xml:space="preserve">. </w:t>
      </w:r>
      <w:r w:rsidR="00C53781" w:rsidRPr="00612653">
        <w:rPr>
          <w:rFonts w:ascii="Book Antiqua" w:hAnsi="Book Antiqua"/>
          <w:sz w:val="24"/>
          <w:szCs w:val="24"/>
          <w:lang w:val="en-US"/>
        </w:rPr>
        <w:t>A number of d</w:t>
      </w:r>
      <w:r w:rsidR="008B07A3" w:rsidRPr="00612653">
        <w:rPr>
          <w:rFonts w:ascii="Book Antiqua" w:hAnsi="Book Antiqua"/>
          <w:sz w:val="24"/>
          <w:szCs w:val="24"/>
          <w:lang w:val="en-US"/>
        </w:rPr>
        <w:t xml:space="preserve">iet-induced </w:t>
      </w:r>
      <w:r w:rsidR="00BD775F" w:rsidRPr="00612653">
        <w:rPr>
          <w:rFonts w:ascii="Book Antiqua" w:hAnsi="Book Antiqua"/>
          <w:sz w:val="24"/>
          <w:szCs w:val="24"/>
          <w:lang w:val="en-US"/>
        </w:rPr>
        <w:t xml:space="preserve">obesity (DIO) models </w:t>
      </w:r>
      <w:r w:rsidR="00E55CB7" w:rsidRPr="00612653">
        <w:rPr>
          <w:rFonts w:ascii="Book Antiqua" w:hAnsi="Book Antiqua"/>
          <w:sz w:val="24"/>
          <w:szCs w:val="24"/>
          <w:lang w:val="en-US"/>
        </w:rPr>
        <w:t xml:space="preserve">mimic the natural history of NASH and have </w:t>
      </w:r>
      <w:r w:rsidR="00050E27" w:rsidRPr="00612653">
        <w:rPr>
          <w:rFonts w:ascii="Book Antiqua" w:hAnsi="Book Antiqua"/>
          <w:sz w:val="24"/>
          <w:szCs w:val="24"/>
          <w:lang w:val="en-US"/>
        </w:rPr>
        <w:t xml:space="preserve">demonstrated </w:t>
      </w:r>
      <w:r w:rsidR="008B07A3" w:rsidRPr="00612653">
        <w:rPr>
          <w:rFonts w:ascii="Book Antiqua" w:hAnsi="Book Antiqua"/>
          <w:sz w:val="24"/>
          <w:szCs w:val="24"/>
          <w:lang w:val="en-US"/>
        </w:rPr>
        <w:t>relative</w:t>
      </w:r>
      <w:r w:rsidR="00917658" w:rsidRPr="00612653">
        <w:rPr>
          <w:rFonts w:ascii="Book Antiqua" w:hAnsi="Book Antiqua"/>
          <w:sz w:val="24"/>
          <w:szCs w:val="24"/>
          <w:lang w:val="en-US"/>
        </w:rPr>
        <w:t xml:space="preserve">ly good clinical translatability with respect to key metabolic and </w:t>
      </w:r>
      <w:r w:rsidR="00C22A21" w:rsidRPr="00612653">
        <w:rPr>
          <w:rFonts w:ascii="Book Antiqua" w:hAnsi="Book Antiqua"/>
          <w:sz w:val="24"/>
          <w:szCs w:val="24"/>
          <w:lang w:val="en-US"/>
        </w:rPr>
        <w:t xml:space="preserve">liver </w:t>
      </w:r>
      <w:r w:rsidR="00917658" w:rsidRPr="00612653">
        <w:rPr>
          <w:rFonts w:ascii="Book Antiqua" w:hAnsi="Book Antiqua"/>
          <w:sz w:val="24"/>
          <w:szCs w:val="24"/>
          <w:lang w:val="en-US"/>
        </w:rPr>
        <w:t xml:space="preserve">pathological changes </w:t>
      </w:r>
      <w:r w:rsidR="00050E27" w:rsidRPr="00612653">
        <w:rPr>
          <w:rFonts w:ascii="Book Antiqua" w:hAnsi="Book Antiqua"/>
          <w:sz w:val="24"/>
          <w:szCs w:val="24"/>
          <w:lang w:val="en-US"/>
        </w:rPr>
        <w:t>with mild- to moderate-grade liver fibrosis</w:t>
      </w:r>
      <w:r w:rsidR="00E1132E" w:rsidRPr="00612653">
        <w:rPr>
          <w:rFonts w:ascii="Book Antiqua" w:hAnsi="Book Antiqua"/>
          <w:sz w:val="24"/>
          <w:szCs w:val="24"/>
          <w:lang w:val="en-US"/>
        </w:rPr>
        <w:t xml:space="preserve">, and </w:t>
      </w:r>
      <w:r w:rsidR="00E55CB7" w:rsidRPr="00612653">
        <w:rPr>
          <w:rFonts w:ascii="Book Antiqua" w:hAnsi="Book Antiqua"/>
          <w:sz w:val="24"/>
          <w:szCs w:val="24"/>
          <w:lang w:val="en-US"/>
        </w:rPr>
        <w:t xml:space="preserve">these models </w:t>
      </w:r>
      <w:r w:rsidR="00741093" w:rsidRPr="00612653">
        <w:rPr>
          <w:rFonts w:ascii="Book Antiqua" w:hAnsi="Book Antiqua"/>
          <w:sz w:val="24"/>
          <w:szCs w:val="24"/>
          <w:lang w:val="en-US"/>
        </w:rPr>
        <w:t>have</w:t>
      </w:r>
      <w:r w:rsidR="001D5C91" w:rsidRPr="00612653">
        <w:rPr>
          <w:rFonts w:ascii="Book Antiqua" w:hAnsi="Book Antiqua"/>
          <w:sz w:val="24"/>
          <w:szCs w:val="24"/>
          <w:lang w:val="en-US"/>
        </w:rPr>
        <w:t xml:space="preserve"> </w:t>
      </w:r>
      <w:r w:rsidR="00E1132E" w:rsidRPr="00612653">
        <w:rPr>
          <w:rFonts w:ascii="Book Antiqua" w:hAnsi="Book Antiqua"/>
          <w:sz w:val="24"/>
          <w:szCs w:val="24"/>
          <w:lang w:val="en-US"/>
        </w:rPr>
        <w:t xml:space="preserve">therefore </w:t>
      </w:r>
      <w:r w:rsidR="00741093" w:rsidRPr="00612653">
        <w:rPr>
          <w:rFonts w:ascii="Book Antiqua" w:hAnsi="Book Antiqua"/>
          <w:sz w:val="24"/>
          <w:szCs w:val="24"/>
          <w:lang w:val="en-US"/>
        </w:rPr>
        <w:t xml:space="preserve">been </w:t>
      </w:r>
      <w:r w:rsidR="00E1132E" w:rsidRPr="00612653">
        <w:rPr>
          <w:rFonts w:ascii="Book Antiqua" w:hAnsi="Book Antiqua"/>
          <w:sz w:val="24"/>
          <w:szCs w:val="24"/>
          <w:lang w:val="en-US"/>
        </w:rPr>
        <w:t>increasingly used in preclinical drug development</w:t>
      </w:r>
      <w:r w:rsidR="00917658" w:rsidRPr="00612653">
        <w:rPr>
          <w:rFonts w:ascii="Book Antiqua" w:hAnsi="Book Antiqua"/>
          <w:sz w:val="24"/>
          <w:szCs w:val="24"/>
          <w:lang w:val="en-US"/>
        </w:rPr>
        <w:fldChar w:fldCharType="begin" w:fldLock="1"/>
      </w:r>
      <w:r w:rsidR="0045230C" w:rsidRPr="00612653">
        <w:rPr>
          <w:rFonts w:ascii="Book Antiqua" w:hAnsi="Book Antiqua"/>
          <w:sz w:val="24"/>
          <w:szCs w:val="24"/>
          <w:lang w:val="en-US"/>
        </w:rPr>
        <w:instrText>ADDIN CSL_CITATION { "citationItems" : [ { "id" : "ITEM-1", "itemData" : { "DOI" : "10.1152/ajpgi.00079.2013", "ISBN" : "0193-1857", "ISSN" : "0193-1857", "PMID" : "23886860", "abstract" : "Shortcomings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\u223c18%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 "author" : [ { "dropping-particle" : "", "family" : "Clapper", "given" : "Jason R.", "non-dropping-particle" : "", "parse-names" : false, "suffix" : "" }, { "dropping-particle" : "", "family" : "Hendricks", "given" : "Michelle D.", "non-dropping-particle" : "", "parse-names" : false, "suffix" : "" }, { "dropping-particle" : "", "family" : "Gu", "given" : "Guibao", "non-dropping-particle" : "", "parse-names" : false, "suffix" : "" }, { "dropping-particle" : "", "family" : "Wittmer", "given" : "Carrie", "non-dropping-particle" : "", "parse-names" : false, "suffix" : "" }, { "dropping-particle" : "", "family" : "Dolman", "given" : "Carrie S.", "non-dropping-particle" : "", "parse-names" : false, "suffix" : "" }, { "dropping-particle" : "", "family" : "Herich", "given" : "John", "non-dropping-particle" : "", "parse-names" : false, "suffix" : "" }, { "dropping-particle" : "", "family" : "Athanacio", "given" : "Jennifer", "non-dropping-particle" : "", "parse-names" : false, "suffix" : "" }, { "dropping-particle" : "", "family" : "Villescaz", "given" : "Christiane", "non-dropping-particle" : "", "parse-names" : false, "suffix" : "" }, { "dropping-particle" : "", "family" : "Ghosh", "given" : "Soumitra S.", "non-dropping-particle" : "", "parse-names" : false, "suffix" : "" }, { "dropping-particle" : "", "family" : "Heilig", "given" : "Joseph S.", "non-dropping-particle" : "", "parse-names" : false, "suffix" : "" }, { "dropping-particle" : "", "family" : "Lowe", "given" : "Carolyn", "non-dropping-particle" : "", "parse-names" : false, "suffix" : "" }, { "dropping-particle" : "", "family" : "Roth", "given" : "Jonathan D.", "non-dropping-particle" : "", "parse-names" : false, "suffix" : "" } ], "container-title" : "AJP: Gastrointestinal and Liver Physiology", "id" : "ITEM-1", "issue" : "7", "issued" : { "date-parts" : [ [ "2013", "10", "1" ] ] }, "note" : "From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 "page" : "G483-G495", "title" : "Diet-induced mouse model of fatty liver disease and nonalcoholic steatohepatitis reflecting clinical disease progression and methods of assessment", "type" : "article-journal", "volume" : "305" }, "uris" : [ "http://www.mendeley.com/documents/?uuid=f296c90d-1058-4388-a031-b0fef4d5ade2" ] }, { "id" : "ITEM-2", "itemData" : { "DOI" : "10.1152/ajpgi.00476.2011", "ISSN" : "0193-1857", "PMID" : "22268099", "abstract" : "These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 "author" : [ { "dropping-particle" : "", "family" : "Trevaskis", "given" : "J. L.", "non-dropping-particle" : "", "parse-names" : false, "suffix" : "" }, { "dropping-particle" : "", "family" : "Griffin", "given" : "P. S.", "non-dropping-particle" : "", "parse-names" : false, "suffix" : "" }, { "dropping-particle" : "", "family" : "Wittmer", "given" : "C.", "non-dropping-particle" : "", "parse-names" : false, "suffix" : "" }, { "dropping-particle" : "", "family" : "Neuschwander-Tetri", "given" : "B. A.", "non-dropping-particle" : "", "parse-names" : false, "suffix" : "" }, { "dropping-particle" : "", "family" : "Brunt", "given" : "E. M.", "non-dropping-particle" : "", "parse-names" : false, "suffix" : "" }, { "dropping-particle" : "", "family" : "Dolman", "given" : "C. S.", "non-dropping-particle" : "", "parse-names" : false, "suffix" : "" }, { "dropping-particle" : "", "family" : "Erickson", "given" : "M. R.", "non-dropping-particle" : "", "parse-names" : false, "suffix" : "" }, { "dropping-particle" : "", "family" : "Napora", "given" : "J.", "non-dropping-particle" : "", "parse-names" : false, "suffix" : "" }, { "dropping-particle" : "", "family" : "Parkes", "given" : "D. G.", "non-dropping-particle" : "", "parse-names" : false, "suffix" : "" }, { "dropping-particle" : "", "family" : "Roth", "given" : "J. D.", "non-dropping-particle" : "", "parse-names" : false, "suffix" : "" } ], "container-title" : "AJP: Gastrointestinal and Liver Physiology", "id" : "ITEM-2", "issue" : "8", "issued" : { "date-parts" : [ [ "2012", "4", "1" ] ] }, "page" : "G762-G772", "title" : "Glucagon-like peptide-1 receptor agonism improves metabolic, biochemical, and histopathological indices of nonalcoholic steatohepatitis in mice", "type" : "article-journal", "volume" : "302" }, "uris" : [ "http://www.mendeley.com/documents/?uuid=64b2a52f-d879-3106-88dc-e74d1e6a88cb" ] }, { "id" : "ITEM-3", "itemData" : { "DOI" : "10.1016/j.jhep.2016.05.005", "ISSN" : "1600-0641", "PMID" : "27261415", "abstract" : "BACKGROUND &amp; AIMS The lack of a preclinical model of progressive non-alcoholic steatohepatitis (NASH) that recapitulates human disease is a barrier to therapeutic development. METHODS A stable isogenic cross between C57BL/6J (B6) and 129S1/SvImJ (S129) mice were fed a high fat diet with ad libitum consumption of glucose and fructose in physiologically relevant concentrations and compared to mice fed a chow diet and also to both parent strains. RESULTS Following initiation of the obesogenic diet, B6/129 mice developed obesity, insulin resistance, hypertriglyceridemia and increased LDL-cholesterol. They sequentially also developed steatosis (4-8weeks), steatohepatitis (16-24weeks), progressive fibrosis (16weeks onwards) and spontaneous hepatocellular cancer (HCC). There was a strong concordance between the pattern of pathway activation at a transcriptomic level between humans and mice with similar histological phenotypes (FDR 0.02 for early and 0.08 for late time points). Lipogenic, inflammatory and apoptotic signaling pathways activated in human NASH were also activated in these mice. The HCC gene signature resembled the S1 and S2 human subclasses of HCC (FDR 0.01 for both). Only the B6/129 mouse but not the parent strains recapitulated all of these aspects of human NAFLD. CONCLUSIONS We here describe a diet-induced animal model of non-alcoholic fatty liver disease (DIAMOND) that recapitulates the key physiological, metabolic, histologic, transcriptomic and cell-signaling changes seen in humans with progressive NASH. LAY SUMMARY We have developed a diet-induced mouse model of non-alcoholic steatohepatitis (NASH) and hepatic cancers in a cross between two mouse strains (129S1/SvImJ and C57Bl/6J). This model mimics all the physiological, metabolic, histological, transcriptomic gene signature and clinical endpoints of human NASH and can facilitate preclinical development of therapeutic targets for NASH.", "author" : [ { "dropping-particle" : "", "family" : "Asgharpour", "given" : "Amon", "non-dropping-particle" : "", "parse-names" : false, "suffix" : "" }, { "dropping-particle" : "", "family" : "Cazanave", "given" : "Sophie C", "non-dropping-particle" : "", "parse-names" : false, "suffix" : "" }, { "dropping-particle" : "", "family" : "Pacana", "given" : "Tommy", "non-dropping-particle" : "", "parse-names" : false, "suffix" : "" }, { "dropping-particle" : "", "family" : "Seneshaw", "given" : "Mulugeta", "non-dropping-particle" : "", "parse-names" : false, "suffix" : "" }, { "dropping-particle" : "", "family" : "Vincent", "given" : "Robert", "non-dropping-particle" : "", "parse-names" : false, "suffix" : "" }, { "dropping-particle" : "", "family" : "Banini", "given" : "Bubu A", "non-dropping-particle" : "", "parse-names" : false, "suffix" : "" }, { "dropping-particle" : "", "family" : "Kumar", "given" : "Divya Prasanna", "non-dropping-particle" : "", "parse-names" : false, "suffix" : "" }, { "dropping-particle" : "", "family" : "Daita", "given" : "Kalyani", "non-dropping-particle" : "", "parse-names" : false, "suffix" : "" }, { "dropping-particle" : "", "family" : "Min", "given" : "Hae-Ki", "non-dropping-particle" : "", "parse-names" : false, "suffix" : "" }, { "dropping-particle" : "", "family" : "Mirshahi", "given" : "Faridoddin", "non-dropping-particle" : "", "parse-names" : false, "suffix" : "" }, { "dropping-particle" : "", "family" : "Bedossa", "given" : "Pierre", "non-dropping-particle" : "", "parse-names" : false, "suffix" : "" }, { "dropping-particle" : "", "family" : "Sun", "given" : "Xiaochen", "non-dropping-particle" : "", "parse-names" : false, "suffix" : "" }, { "dropping-particle" : "", "family" : "Hoshida", "given" : "Yujin", "non-dropping-particle" : "", "parse-names" : false, "suffix" : "" }, { "dropping-particle" : "V", "family" : "Koduru", "given" : "Srinivas", "non-dropping-particle" : "", "parse-names" : false, "suffix" : "" }, { "dropping-particle" : "", "family" : "Contaifer", "given" : "Daniel", "non-dropping-particle" : "", "parse-names" : false, "suffix" : "" }, { "dropping-particle" : "", "family" : "Warncke", "given" : "Urszula Osinska", "non-dropping-particle" : "", "parse-names" : false, "suffix" : "" }, { "dropping-particle" : "", "family" : "Wijesinghe", "given" : "Dayanjan S", "non-dropping-particle" : "", "parse-names" : false, "suffix" : "" }, { "dropping-particle" : "", "family" : "Sanyal", "given" : "Arun J", "non-dropping-particle" : "", "parse-names" : false, "suffix" : "" } ], "container-title" : "Journal of hepatology", "id" : "ITEM-3", "issue" : "3", "issued" : { "date-parts" : [ [ "2016", "9" ] ] }, "page" : "579-88", "title" : "A diet-induced animal model of non-alcoholic fatty liver disease and hepatocellular cancer.", "type" : "article-journal", "volume" : "65" }, "uris" : [ "http://www.mendeley.com/documents/?uuid=ade1b669-4f9a-3fd4-b621-01ef975e443a" ] }, { "id" : "ITEM-4", "itemData" : { "DOI" : "10.1152/ajpgi.00213.2016", "ISSN" : "1522-1547", "PMID" : "28232454", "abstract" : "The sequence of events that lead to inflammation and fibrosing nonalcoholic steatohepatitis (NASH) is incompletely understood. Hence, we investigated the chronology of whole body, tissue, and cellular events that occur during the evolution of diet-induced NASH. Male C57Bl/6 mice were assigned to a fast-food (FF; high calorie, high cholesterol, high fructose) or standard-chow (SC) diet over a period of 36 wk. Liver histology, body composition, mitochondrial respiration, metabolic rate, gene expression, and hepatic lipid content were analyzed. Insulin resistance [homeostasis model assessment-insulin resistance (HOMA-IR)] increased 10-fold after 4 wk. Fibrosing NASH was fully established by 16 wk. Total hepatic lipids increased by 4 wk and remained two- to threefold increased throughout. Hepatic triglycerides declined from sixfold increase at 8 wk to threefold increase by 36 wk. In contrast, hepatic cholesterol levels steadily increased from baseline at 8 wk to twofold by 36 wk. The hepatic immune cell population altered over time with macrophages persisting beyond 16 wk. Mitochondrial oxygen flux rates of FF mice diet were uniformly lower with all the tested substrates (13-276 pmol\u00b7s(-1)\u00b7ml(-1) per unit citrate synthase) than SC mice (17-394 pmol\u00b7s(-1)\u00b7ml(-1) per unit citrate synthase) and was accompanied by decreased mitochondrial:nuclear gene copy number ratios after 4 wk. Metabolic rate was lower in FF mice. Mitochondrial glutathione was significantly decreased at 24 wk in FF mice. Expression of dismutases and catalase was also decreased in FF mice. The evolution of NASH in the FF diet-induced model is multiphasic, particularly in terms of hepatic lipid composition. Insulin resistance precedes hepatic inflammation and fibrosis. Mitochondrial dysfunction and depletion occur after the histological features of NASH are apparent. Collectively, these observations provide a unique overview of the sequence of changes that coevolve with the histological evolution of NASH.NEW &amp; NOTEWORTHY This study demonstrates in a first of kind longitudinal analysis, the evolution of nonalcoholic steatohepatitis (NASH) on a fast-food diet-induced model. Key findings include 1) hepatic lipid composition changes in a multiphasic fashion as NASH evolves; 2) insulin resistance precedes hepatic inflammation and fibrosis, answering a longstanding chicken-and-egg question regarding the relationship of insulin resistance to liver histology in NASH; and 3) mitochondrial dysfunction a\u2026", "author" : [ { "dropping-particle" : "", "family" : "Krishnan", "given" : "Anuradha", "non-dropping-particle" : "", "parse-names" : false, "suffix" : "" }, { "dropping-particle" : "", "family" : "Abdullah", "given" : "Tasduq Sheikh", "non-dropping-particle" : "", "parse-names" : false, "suffix" : "" }, { "dropping-particle" : "", "family" : "Mounajjed", "given" : "Taofic", "non-dropping-particle" : "", "parse-names" : false, "suffix" : "" }, { "dropping-particle" : "", "family" : "Hartono", "given" : "Stella", "non-dropping-particle" : "", "parse-names" : false, "suffix" : "" }, { "dropping-particle" : "", "family" : "McConico", "given" : "Andrea", "non-dropping-particle" : "", "parse-names" : false, "suffix" : "" }, { "dropping-particle" : "", "family" : "White", "given" : "Thomas", "non-dropping-particle" : "", "parse-names" : false, "suffix" : "" }, { "dropping-particle" : "", "family" : "LeBrasseur", "given" : "Nathan", "non-dropping-particle" : "", "parse-names" : false, "suffix" : "" }, { "dropping-particle" : "", "family" : "Lanza", "given" : "Ian", "non-dropping-particle" : "", "parse-names" : false, "suffix" : "" }, { "dropping-particle" : "", "family" : "Nair", "given" : "Sreekumaran", "non-dropping-particle" : "", "parse-names" : false, "suffix" : "" }, { "dropping-particle" : "", "family" : "Gores", "given" : "Gregory", "non-dropping-particle" : "", "parse-names" : false, "suffix" : "" }, { "dropping-particle" : "", "family" : "Charlton", "given" : "Michael", "non-dropping-particle" : "", "parse-names" : false, "suffix" : "" } ], "container-title" : "American journal of physiology. Gastrointestinal and liver physiology", "id" : "ITEM-4", "issue" : "6", "issued" : { "date-parts" : [ [ "2017", "6", "1" ] ] }, "page" : "G666-G680", "title" : "A longitudinal study of whole body, tissue, and cellular physiology in a mouse model of fibrosing NASH with high fidelity to the human condition.", "type" : "article-journal", "volume" : "312" }, "uris" : [ "http://www.mendeley.com/documents/?uuid=6a84eab6-7a8b-3b9e-bf38-9fbdd5390487" ] }, { "id" : "ITEM-5", "itemData" : { "DOI" : "10.1002/oby.21701", "ISSN" : "1930-739X", "PMID" : "27804232", "abstract" : "OBJECTIVE Nonalcoholic steatohepatitis (NASH) is the outcome of interactions between overnutrition, energy metabolism, and adipose function. Obeticholic acid (OCA) improves steatosis in patients but for unknown reasons does not resolve NASH pathology. This study therefore investigated OCA effects in Wt mice, which develop obesity with atherogenic dietary feeding, and appetite-dysregulated, Alms1 mutant foz/foz mice fed the same diet, which develop metabolic obesity and diabetes. METHODS OCA (1 mg/kg) was administered orally to female foz/foz mice and Wt littermates from weaning until 28 weeks. Adipose indices, glucose tolerance, and fatty liver pathology were studied. Experiments were repeated with OCA 10 mg/kg. RESULTS OCA reduced body weight and hepatic lipids and improved glucose disposal only in Wt mice. OCA limited Wt adipose expansion, altered morphometry in favor of small adipocytes, enhanced expression of genes indicating adipose browning, and reduced crown-like structure number in visceral adipose tissue. foz/foz mice showed more crown-like structures in all compartments; OCA failed to alter adipose morphometry, browning, inflammation, or improve NASH severity, even at 10 mg/kg. CONCLUSIONS OCA improved adipose indices, glucose tolerance, and steatosis in a milder metabolic phenotype but failed to improve these factors in morbidly obese diabetic mice. These results help explain OCA's limited efficacy to reverse human NASH.", "author" : [ { "dropping-particle" : "", "family" : "Haczeyni", "given" : "Fahrettin", "non-dropping-particle" : "", "parse-names" : false, "suffix" : "" }, { "dropping-particle" : "", "family" : "Poekes", "given" : "Laurence", "non-dropping-particle" : "", "parse-names" : false, "suffix" : "" }, { "dropping-particle" : "", "family" : "Wang", "given" : "Hans", "non-dropping-particle" : "", "parse-names" : false, "suffix" : "" }, { "dropping-particle" : "", "family" : "Mridha", "given" : "Auvro R", "non-dropping-particle" : "", "parse-names" : false, "suffix" : "" }, { "dropping-particle" : "", "family" : "Barn", "given" : "Vanessa", "non-dropping-particle" : "", "parse-names" : false, "suffix" : "" }, { "dropping-particle" : "", "family" : "Geoffrey Haigh", "given" : "W", "non-dropping-particle" : "", "parse-names" : false, "suffix" : "" }, { "dropping-particle" : "", "family" : "Ioannou", "given" : "George N", "non-dropping-particle" : "", "parse-names" : false, "suffix" : "" }, { "dropping-particle" : "", "family" : "Yeh", "given" : "Matthew M", "non-dropping-particle" : "", "parse-names" : false, "suffix" : "" }, { "dropping-particle" : "", "family" : "Leclercq", "given" : "Isabelle A", "non-dropping-particle" : "", "parse-names" : false, "suffix" : "" }, { "dropping-particle" : "", "family" : "Teoh", "given" : "Narcissus C", "non-dropping-particle" : "", "parse-names" : false, "suffix" : "" }, { "dropping-particle" : "", "family" : "Farrell", "given" : "Geoffrey C", "non-dropping-particle" : "", "parse-names" : false, "suffix" : "" } ], "container-title" : "Obesity (Silver Spring, Md.)", "id" : "ITEM-5", "issue" : "1", "issued" : { "date-parts" : [ [ "2017", "1" ] ] }, "page" : "155-165", "title" : "Obeticholic acid improves adipose morphometry and inflammation and reduces steatosis in dietary but not metabolic obesity in mice.", "type" : "article-journal", "volume" : "25" }, "uris" : [ "http://www.mendeley.com/documents/?uuid=aca95c94-5b43-316e-8edc-a492d341e981" ] } ], "mendeley" : { "formattedCitation" : "&lt;sup&gt;[9\u201313]&lt;/sup&gt;", "plainTextFormattedCitation" : "[9\u201313]", "previouslyFormattedCitation" : "&lt;sup&gt;[9\u201313]&lt;/sup&gt;" }, "properties" : { "noteIndex" : 0 }, "schema" : "https://github.com/citation-style-language/schema/raw/master/csl-citation.json" }</w:instrText>
      </w:r>
      <w:r w:rsidR="00917658" w:rsidRPr="00612653">
        <w:rPr>
          <w:rFonts w:ascii="Book Antiqua" w:hAnsi="Book Antiqua"/>
          <w:sz w:val="24"/>
          <w:szCs w:val="24"/>
          <w:lang w:val="en-US"/>
        </w:rPr>
        <w:fldChar w:fldCharType="separate"/>
      </w:r>
      <w:r w:rsidR="00193B67" w:rsidRPr="00612653">
        <w:rPr>
          <w:rFonts w:ascii="Book Antiqua" w:hAnsi="Book Antiqua"/>
          <w:noProof/>
          <w:sz w:val="24"/>
          <w:szCs w:val="24"/>
          <w:vertAlign w:val="superscript"/>
          <w:lang w:val="en-US"/>
        </w:rPr>
        <w:t>[9</w:t>
      </w:r>
      <w:r w:rsidR="0042492D">
        <w:rPr>
          <w:rFonts w:ascii="Book Antiqua" w:hAnsi="Book Antiqua" w:hint="eastAsia"/>
          <w:noProof/>
          <w:sz w:val="24"/>
          <w:szCs w:val="24"/>
          <w:vertAlign w:val="superscript"/>
          <w:lang w:val="en-US" w:eastAsia="zh-CN"/>
        </w:rPr>
        <w:t>-</w:t>
      </w:r>
      <w:r w:rsidR="00193B67" w:rsidRPr="00612653">
        <w:rPr>
          <w:rFonts w:ascii="Book Antiqua" w:hAnsi="Book Antiqua"/>
          <w:noProof/>
          <w:sz w:val="24"/>
          <w:szCs w:val="24"/>
          <w:vertAlign w:val="superscript"/>
          <w:lang w:val="en-US"/>
        </w:rPr>
        <w:t>13]</w:t>
      </w:r>
      <w:r w:rsidR="00917658" w:rsidRPr="00612653">
        <w:rPr>
          <w:rFonts w:ascii="Book Antiqua" w:hAnsi="Book Antiqua"/>
          <w:sz w:val="24"/>
          <w:szCs w:val="24"/>
          <w:lang w:val="en-US"/>
        </w:rPr>
        <w:fldChar w:fldCharType="end"/>
      </w:r>
      <w:r w:rsidR="00917658" w:rsidRPr="00612653">
        <w:rPr>
          <w:rFonts w:ascii="Book Antiqua" w:hAnsi="Book Antiqua"/>
          <w:sz w:val="24"/>
          <w:szCs w:val="24"/>
          <w:lang w:val="en-US"/>
        </w:rPr>
        <w:t>.</w:t>
      </w:r>
      <w:r w:rsidR="00D37F6E" w:rsidRPr="00612653">
        <w:rPr>
          <w:rFonts w:ascii="Book Antiqua" w:hAnsi="Book Antiqua"/>
          <w:sz w:val="24"/>
          <w:szCs w:val="24"/>
          <w:lang w:val="en-US"/>
        </w:rPr>
        <w:t xml:space="preserve"> </w:t>
      </w:r>
      <w:r w:rsidR="00C53781" w:rsidRPr="00612653">
        <w:rPr>
          <w:rFonts w:ascii="Book Antiqua" w:hAnsi="Book Antiqua"/>
          <w:sz w:val="24"/>
          <w:szCs w:val="24"/>
          <w:lang w:val="en-US"/>
        </w:rPr>
        <w:t xml:space="preserve">In </w:t>
      </w:r>
      <w:r w:rsidR="009C4BA5" w:rsidRPr="00612653">
        <w:rPr>
          <w:rFonts w:ascii="Book Antiqua" w:hAnsi="Book Antiqua"/>
          <w:sz w:val="24"/>
          <w:szCs w:val="24"/>
          <w:lang w:val="en-US"/>
        </w:rPr>
        <w:t>comparison</w:t>
      </w:r>
      <w:r w:rsidR="00C53781" w:rsidRPr="00612653">
        <w:rPr>
          <w:rFonts w:ascii="Book Antiqua" w:hAnsi="Book Antiqua"/>
          <w:sz w:val="24"/>
          <w:szCs w:val="24"/>
          <w:lang w:val="en-US"/>
        </w:rPr>
        <w:t>, n</w:t>
      </w:r>
      <w:r w:rsidR="00F050B8" w:rsidRPr="00612653">
        <w:rPr>
          <w:rFonts w:ascii="Book Antiqua" w:hAnsi="Book Antiqua"/>
          <w:sz w:val="24"/>
          <w:szCs w:val="24"/>
          <w:lang w:val="en-US"/>
        </w:rPr>
        <w:t>on-physiological diets that are low or devoid of certain essential amino acids</w:t>
      </w:r>
      <w:r w:rsidR="00C53781" w:rsidRPr="00612653">
        <w:rPr>
          <w:rFonts w:ascii="Book Antiqua" w:hAnsi="Book Antiqua"/>
          <w:sz w:val="24"/>
          <w:szCs w:val="24"/>
          <w:lang w:val="en-US"/>
        </w:rPr>
        <w:t xml:space="preserve"> promote more severe liver fibrosis</w:t>
      </w:r>
      <w:r w:rsidR="00F050B8" w:rsidRPr="00612653">
        <w:rPr>
          <w:rFonts w:ascii="Book Antiqua" w:hAnsi="Book Antiqua"/>
          <w:sz w:val="24"/>
          <w:szCs w:val="24"/>
          <w:lang w:val="en-US"/>
        </w:rPr>
        <w:t xml:space="preserve">, but </w:t>
      </w:r>
      <w:r w:rsidR="00992944" w:rsidRPr="00612653">
        <w:rPr>
          <w:rFonts w:ascii="Book Antiqua" w:hAnsi="Book Antiqua"/>
          <w:sz w:val="24"/>
          <w:szCs w:val="24"/>
          <w:lang w:val="en-US"/>
        </w:rPr>
        <w:t xml:space="preserve">also </w:t>
      </w:r>
      <w:r w:rsidR="00F050B8" w:rsidRPr="00612653">
        <w:rPr>
          <w:rFonts w:ascii="Book Antiqua" w:hAnsi="Book Antiqua"/>
          <w:sz w:val="24"/>
          <w:szCs w:val="24"/>
          <w:lang w:val="en-US"/>
        </w:rPr>
        <w:t>result in</w:t>
      </w:r>
      <w:r w:rsidR="00C53781" w:rsidRPr="00612653">
        <w:rPr>
          <w:rFonts w:ascii="Book Antiqua" w:hAnsi="Book Antiqua"/>
          <w:sz w:val="24"/>
          <w:szCs w:val="24"/>
          <w:lang w:val="en-US"/>
        </w:rPr>
        <w:t xml:space="preserve"> </w:t>
      </w:r>
      <w:r w:rsidR="00F050B8" w:rsidRPr="00612653">
        <w:rPr>
          <w:rFonts w:ascii="Book Antiqua" w:hAnsi="Book Antiqua"/>
          <w:sz w:val="24"/>
          <w:szCs w:val="24"/>
          <w:lang w:val="en-US"/>
        </w:rPr>
        <w:t>significant</w:t>
      </w:r>
      <w:r w:rsidR="00E1132E" w:rsidRPr="00612653">
        <w:rPr>
          <w:rFonts w:ascii="Book Antiqua" w:hAnsi="Book Antiqua"/>
          <w:sz w:val="24"/>
          <w:szCs w:val="24"/>
          <w:lang w:val="en-US"/>
        </w:rPr>
        <w:t xml:space="preserve"> weight</w:t>
      </w:r>
      <w:r w:rsidR="00992944" w:rsidRPr="00612653">
        <w:rPr>
          <w:rFonts w:ascii="Book Antiqua" w:hAnsi="Book Antiqua"/>
          <w:sz w:val="24"/>
          <w:szCs w:val="24"/>
          <w:lang w:val="en-US"/>
        </w:rPr>
        <w:t xml:space="preserve"> loss,</w:t>
      </w:r>
      <w:r w:rsidR="00E1132E" w:rsidRPr="00612653">
        <w:rPr>
          <w:rFonts w:ascii="Book Antiqua" w:hAnsi="Book Antiqua"/>
          <w:sz w:val="24"/>
          <w:szCs w:val="24"/>
          <w:lang w:val="en-US"/>
        </w:rPr>
        <w:t xml:space="preserve"> </w:t>
      </w:r>
      <w:r w:rsidR="00992944" w:rsidRPr="00612653">
        <w:rPr>
          <w:rFonts w:ascii="Book Antiqua" w:hAnsi="Book Antiqua"/>
          <w:sz w:val="24"/>
          <w:szCs w:val="24"/>
          <w:lang w:val="en-US"/>
        </w:rPr>
        <w:t xml:space="preserve">making these </w:t>
      </w:r>
      <w:r w:rsidR="003D0F7D" w:rsidRPr="00612653">
        <w:rPr>
          <w:rFonts w:ascii="Book Antiqua" w:hAnsi="Book Antiqua"/>
          <w:sz w:val="24"/>
          <w:szCs w:val="24"/>
          <w:lang w:val="en-US"/>
        </w:rPr>
        <w:t xml:space="preserve">NASH </w:t>
      </w:r>
      <w:r w:rsidR="00992944" w:rsidRPr="00612653">
        <w:rPr>
          <w:rFonts w:ascii="Book Antiqua" w:hAnsi="Book Antiqua"/>
          <w:sz w:val="24"/>
          <w:szCs w:val="24"/>
          <w:lang w:val="en-US"/>
        </w:rPr>
        <w:t xml:space="preserve">models </w:t>
      </w:r>
      <w:r w:rsidR="001D5C91" w:rsidRPr="00612653">
        <w:rPr>
          <w:rFonts w:ascii="Book Antiqua" w:hAnsi="Book Antiqua"/>
          <w:sz w:val="24"/>
          <w:szCs w:val="24"/>
          <w:lang w:val="en-US"/>
        </w:rPr>
        <w:t>mo</w:t>
      </w:r>
      <w:r w:rsidR="00F56765" w:rsidRPr="00612653">
        <w:rPr>
          <w:rFonts w:ascii="Book Antiqua" w:hAnsi="Book Antiqua"/>
          <w:sz w:val="24"/>
          <w:szCs w:val="24"/>
          <w:lang w:val="en-US"/>
        </w:rPr>
        <w:t>re</w:t>
      </w:r>
      <w:r w:rsidR="001D5C91" w:rsidRPr="00612653">
        <w:rPr>
          <w:rFonts w:ascii="Book Antiqua" w:hAnsi="Book Antiqua"/>
          <w:sz w:val="24"/>
          <w:szCs w:val="24"/>
          <w:lang w:val="en-US"/>
        </w:rPr>
        <w:t xml:space="preserve"> </w:t>
      </w:r>
      <w:r w:rsidR="00992944" w:rsidRPr="00612653">
        <w:rPr>
          <w:rFonts w:ascii="Book Antiqua" w:hAnsi="Book Antiqua"/>
          <w:sz w:val="24"/>
          <w:szCs w:val="24"/>
          <w:lang w:val="en-US"/>
        </w:rPr>
        <w:t>applicable for</w:t>
      </w:r>
      <w:r w:rsidR="00C53781" w:rsidRPr="00612653">
        <w:rPr>
          <w:rFonts w:ascii="Book Antiqua" w:hAnsi="Book Antiqua"/>
          <w:sz w:val="24"/>
          <w:szCs w:val="24"/>
          <w:lang w:val="en-US"/>
        </w:rPr>
        <w:t xml:space="preserve"> probing </w:t>
      </w:r>
      <w:r w:rsidR="00E1132E" w:rsidRPr="00612653">
        <w:rPr>
          <w:rFonts w:ascii="Book Antiqua" w:hAnsi="Book Antiqua"/>
          <w:sz w:val="24"/>
          <w:szCs w:val="24"/>
          <w:lang w:val="en-US"/>
        </w:rPr>
        <w:t xml:space="preserve">drug treatment </w:t>
      </w:r>
      <w:r w:rsidR="00C53781" w:rsidRPr="00612653">
        <w:rPr>
          <w:rFonts w:ascii="Book Antiqua" w:hAnsi="Book Antiqua"/>
          <w:sz w:val="24"/>
          <w:szCs w:val="24"/>
          <w:lang w:val="en-US"/>
        </w:rPr>
        <w:t>efficacy on hepatic injury and regeneration</w:t>
      </w:r>
      <w:r w:rsidR="00E1132E" w:rsidRPr="00612653">
        <w:rPr>
          <w:rFonts w:ascii="Book Antiqua" w:hAnsi="Book Antiqua"/>
          <w:sz w:val="24"/>
          <w:szCs w:val="24"/>
          <w:lang w:val="en-US"/>
        </w:rPr>
        <w:fldChar w:fldCharType="begin" w:fldLock="1"/>
      </w:r>
      <w:r w:rsidR="00193B67" w:rsidRPr="00612653">
        <w:rPr>
          <w:rFonts w:ascii="Book Antiqua" w:hAnsi="Book Antiqua"/>
          <w:sz w:val="24"/>
          <w:szCs w:val="24"/>
          <w:lang w:val="en-US"/>
        </w:rPr>
        <w:instrText>ADDIN CSL_CITATION { "citationItems" : [ { "id" : "ITEM-1", "itemData" : { "DOI" : "10.1002/hep.20170", "ISSN" : "0270-9139", "PMID" : "15122757", "abstract" : "Administration of a methionine and choline deficient (MCD) diet to rodents causes progressive fibrosing steatohepatitis pathologically similar to human metabolic steatohepatitis. We have previously shown that the peroxisome proliferator-activated receptor-alpha (PPARalpha) agonist, Wy-14,643, prevented the development of MCD diet-induced steatohepatitis. We have now tested whether Wy-14,643 ameliorates established steatohepatitis and fibrosis. Male C57BL6 mice were fed the MCD diet for 51 days to induce severe steatohepatitis. They were then treated with Wy-14,643 together with the MCD diet for 5 or 12 days; positive controls continued on the MCD diet for 5 or 12 days. After 5 days of Wy-14,643 treatment, alanine aminotransferase (ALT) levels were significantly decreased, steatohepatitis less severe, and hepatic lipoperoxides significantly reduced. After 12 days, hepatic triglycerides were normalized and there was near resolution of histological changes. MCD dietary feeding was associated with increased expression of vascular cell adhesion molecule (VCAM)-1, and increased numbers of activated macrophages in the liver. Treatment with Wy-14,643 reduced VCAM-1 expression and macrophage numbers. MCD diet-fed mice developed hepatic fibrosis with increased hepatic collagen alpha1(I), tissue inhibitor of metalloproteinases (TIMP)-1, TIMP-2, and matrix metalloproteinase (MMP)-13 mRNA levels. After treatment with Wy-14,643, expression of these genes was reduced in a manner that paralleled the reduction in activated hepatic stellate cells and near resolution of liver fibrosis. In conclusion, the present study shows that MCD diet-induced fibrosing steatohepatitis can be reversed by treatment with Wy-14,643. It is likely that activation of PPARalpha reverses fibrosis indirectly by reducing stimuli, such as lipid peroxides, and activation of cells responsible for promoting hepatic fibrosis.", "author" : [ { "dropping-particle" : "", "family" : "Ip", "given" : "Emilia", "non-dropping-particle" : "", "parse-names" : false, "suffix" : "" }, { "dropping-particle" : "", "family" : "Farrell", "given" : "Geoff", "non-dropping-particle" : "", "parse-names" : false, "suffix" : "" }, { "dropping-particle" : "", "family" : "Hall", "given" : "Pauline", "non-dropping-particle" : "", "parse-names" : false, "suffix" : "" }, { "dropping-particle" : "", "family" : "Robertson", "given" : "Graham", "non-dropping-particle" : "", "parse-names" : false, "suffix" : "" }, { "dropping-particle" : "", "family" : "Leclercq", "given" : "Isabelle", "non-dropping-particle" : "", "parse-names" : false, "suffix" : "" } ], "container-title" : "Hepatology", "id" : "ITEM-1", "issue" : "5", "issued" : { "date-parts" : [ [ "2004", "5" ] ] }, "page" : "1286-1296", "title" : "Administration of the potent PPARalpha agonist, Wy-14,643, reverses nutritional fibrosis and steatohepatitis in mice", "type" : "article-journal", "volume" : "39" }, "uris" : [ "http://www.mendeley.com/documents/?uuid=45fa3614-e69e-328b-a72e-6e2aabc1a91e" ] }, { "id" : "ITEM-2", "itemData" : { "DOI" : "10.1016/j.jhep.2009.03.025", "ISSN" : "01688278", "PMID" : "19501927", "abstract" : "BACKGROUND/AIMS The farnesoid X receptor (FXR) is a member of the nuclear hormone receptor superfamily, which plays an essential role in the regulation of enterohepatic circulation and lipid homeostasis. Here we investigated whether WAY-362450, a synthetic potent FXR agonist, could protect against non-alcoholic steatohepatitis (NASH) in mice fed a methionine and choline-deficient (MCD) diet. METHODS Male C57BL/6 mice on the MCD diet were treated with or without WAY-362450 (30 mg/kg) for 4 weeks. RESULTS The elevations of serum ALT and AST activities induced by the MCD diet were decreased with WAY-362450 treatment. In terms of liver histology, while WAY-362450 treatment showed no impact on hepatic triglyceride accumulation, it significantly reduced inflammatory cell infiltration and hepatic fibrosis. The reduction in inflammatory cell infiltration correlated with deceased serum levels of keratinocyte derived chemokine (mKC) and MCP 1 and decreased hepatic gene expression of MCP-1 and VCAM-1. The reduction of hepatic fibrosis by WAY-362450 treatment corresponded to a reduction in hepatic gene expression of fibrosis markers. The positive effects of WAY-362450 were FXR-dependent since no protection was observed in MCD diet-fed FXR deficient mice. CONCLUSIONS These findings demonstrate that FXR agonists may be useful for the treatment of non-alcoholic steatohepatitis.", "author" : [ { "dropping-particle" : "", "family" : "Zhang", "given" : "Songwen", "non-dropping-particle" : "", "parse-names" : false, "suffix" : "" }, { "dropping-particle" : "", "family" : "Wang", "given" : "Juan", "non-dropping-particle" : "", "parse-names" : false, "suffix" : "" }, { "dropping-particle" : "", "family" : "Liu", "given" : "Qiangyuan", "non-dropping-particle" : "", "parse-names" : false, "suffix" : "" }, { "dropping-particle" : "", "family" : "Harnish", "given" : "Douglas C.", "non-dropping-particle" : "", "parse-names" : false, "suffix" : "" } ], "container-title" : "Journal of Hepatology", "id" : "ITEM-2", "issue" : "2", "issued" : { "date-parts" : [ [ "2009", "8" ] ] }, "page" : "380-388", "title" : "Farnesoid X receptor agonist WAY-362450 attenuates liver inflammation and fibrosis in murine model of non-alcoholic steatohepatitis", "type" : "article-journal", "volume" : "51" }, "uris" : [ "http://www.mendeley.com/documents/?uuid=9a1d4eb0-f50e-3270-a97a-f7809e4f7904" ] }, { "id" : "ITEM-3", "itemData" : { "PMID" : "27904677", "abstract" : "Non-alcoholic fatty liver disease (NAFLD) is a prevalent obesity-related disease that affects large populations throughout the world due to excessive calorie intake and an increasingly sedentary lifestyle. Fibroblast growth factor 21 (FGF21) has recently emerged as a promising therapeutic candidate for the treatment of obesity and diabetes. FGF21 is a starvation-induced pleiotropic hormone with various beneficial metabolic effects, and pharmacological treatment in rodents has been shown to improve insulin sensitivity and decrease simple fatty liver disease. However, its effects on reversing the symptoms of advanced liver disease have yet to be validated. Here, we investigated the protective effects of the LY2405319 compound, an engineered FGF21 variant, in a non-alcoholic steatohepatitis (NASH) model using leptin-deficient ob/ob mice and a methionine- and choline-deficient (MCD) diet to induce steatohepatitis. LY2405319 treatment in ob/ob mice corroborated previous results showing that improvements in the metabolic parameters were due to increased mitochondrial oxygen consumption rate and fatty acid oxidation. LY2405319 treatment in ob/ob mice on an MCD diet significantly reduced the symptoms of steatohepatitis, as confirmed by Masson's trichrome staining intensity. Serum levels of AST and ALT were also reduced, suggesting an attenuation of liver injury, while detection of inflammatory markers showed decreased mRNA expression of TGF-\u03b21 and type-I collagen, and decreased phosphorylation of NF-kB p65, JNK1/2, and p38. Collectively, these data show that LY2405319 treatment attenuated MCD diet-induced NASH progression. We propose that the LY2405319 compound is a potential therapeutic candidate for the treatment of advanced liver disease.", "author" : [ { "dropping-particle" : "", "family" : "Lee", "given" : "Ju Hee", "non-dropping-particle" : "", "parse-names" : false, "suffix" : "" }, { "dropping-particle" : "", "family" : "Kang", "given" : "Yea Eun", "non-dropping-particle" : "", "parse-names" : false, "suffix" : "" }, { "dropping-particle" : "", "family" : "Chang", "given" : "Joon Young", "non-dropping-particle" : "", "parse-names" : false, "suffix" : "" }, { "dropping-particle" : "", "family" : "Park", "given" : "Ki Cheol", "non-dropping-particle" : "", "parse-names" : false, "suffix" : "" }, { "dropping-particle" : "", "family" : "Kim", "given" : "Hyeon-Woo", "non-dropping-particle" : "", "parse-names" : false, "suffix" : "" }, { "dropping-particle" : "", "family" : "Kim", "given" : "Jung Tae", "non-dropping-particle" : "", "parse-names" : false, "suffix" : "" }, { "dropping-particle" : "", "family" : "Kim", "given" : "Hyun Jin", "non-dropping-particle" : "", "parse-names" : false, "suffix" : "" }, { "dropping-particle" : "", "family" : "Yi", "given" : "Hyon-Seung", "non-dropping-particle" : "", "parse-names" : false, "suffix" : "" }, { "dropping-particle" : "", "family" : "Shong", "given" : "Minho", "non-dropping-particle" : "", "parse-names" : false, "suffix" : "" }, { "dropping-particle" : "", "family" : "Chung", "given" : "Hyo Kyun", "non-dropping-particle" : "", "parse-names" : false, "suffix" : "" }, { "dropping-particle" : "", "family" : "Kim", "given" : "Koon Soon", "non-dropping-particle" : "", "parse-names" : false, "suffix" : "" } ], "container-title" : "American journal of translational research", "id" : "ITEM-3", "issue" : "11", "issued" : { "date-parts" : [ [ "2016" ] ] }, "page" : "4750-4763", "title" : "An engineered FGF21 variant, LY2405319, can prevent non-alcoholic steatohepatitis by enhancing hepatic mitochondrial function.", "type" : "article-journal", "volume" : "8" }, "uris" : [ "http://www.mendeley.com/documents/?uuid=df294a0b-a2ff-3dde-942e-271427ee03b3" ] }, { "id" : "ITEM-4", "itemData" : { "DOI" : "10.1002/oby.21701", "ISSN" : "1930-739X", "PMID" : "27804232", "abstract" : "OBJECTIVE Nonalcoholic steatohepatitis (NASH) is the outcome of interactions between overnutrition, energy metabolism, and adipose function. Obeticholic acid (OCA) improves steatosis in patients but for unknown reasons does not resolve NASH pathology. This study therefore investigated OCA effects in Wt mice, which develop obesity with atherogenic dietary feeding, and appetite-dysregulated, Alms1 mutant foz/foz mice fed the same diet, which develop metabolic obesity and diabetes. METHODS OCA (1 mg/kg) was administered orally to female foz/foz mice and Wt littermates from weaning until 28 weeks. Adipose indices, glucose tolerance, and fatty liver pathology were studied. Experiments were repeated with OCA 10 mg/kg. RESULTS OCA reduced body weight and hepatic lipids and improved glucose disposal only in Wt mice. OCA limited Wt adipose expansion, altered morphometry in favor of small adipocytes, enhanced expression of genes indicating adipose browning, and reduced crown-like structure number in visceral adipose tissue. foz/foz mice showed more crown-like structures in all compartments; OCA failed to alter adipose morphometry, browning, inflammation, or improve NASH severity, even at 10 mg/kg. CONCLUSIONS OCA improved adipose indices, glucose tolerance, and steatosis in a milder metabolic phenotype but failed to improve these factors in morbidly obese diabetic mice. These results help explain OCA's limited efficacy to reverse human NASH.", "author" : [ { "dropping-particle" : "", "family" : "Haczeyni", "given" : "Fahrettin", "non-dropping-particle" : "", "parse-names" : false, "suffix" : "" }, { "dropping-particle" : "", "family" : "Poekes", "given" : "Laurence", "non-dropping-particle" : "", "parse-names" : false, "suffix" : "" }, { "dropping-particle" : "", "family" : "Wang", "given" : "Hans", "non-dropping-particle" : "", "parse-names" : false, "suffix" : "" }, { "dropping-particle" : "", "family" : "Mridha", "given" : "Auvro R", "non-dropping-particle" : "", "parse-names" : false, "suffix" : "" }, { "dropping-particle" : "", "family" : "Barn", "given" : "Vanessa", "non-dropping-particle" : "", "parse-names" : false, "suffix" : "" }, { "dropping-particle" : "", "family" : "Geoffrey Haigh", "given" : "W", "non-dropping-particle" : "", "parse-names" : false, "suffix" : "" }, { "dropping-particle" : "", "family" : "Ioannou", "given" : "George N", "non-dropping-particle" : "", "parse-names" : false, "suffix" : "" }, { "dropping-particle" : "", "family" : "Yeh", "given" : "Matthew M", "non-dropping-particle" : "", "parse-names" : false, "suffix" : "" }, { "dropping-particle" : "", "family" : "Leclercq", "given" : "Isabelle A", "non-dropping-particle" : "", "parse-names" : false, "suffix" : "" }, { "dropping-particle" : "", "family" : "Teoh", "given" : "Narcissus C", "non-dropping-particle" : "", "parse-names" : false, "suffix" : "" }, { "dropping-particle" : "", "family" : "Farrell", "given" : "Geoffrey C", "non-dropping-particle" : "", "parse-names" : false, "suffix" : "" } ], "container-title" : "Obesity (Silver Spring, Md.)", "id" : "ITEM-4", "issue" : "1", "issued" : { "date-parts" : [ [ "2017", "1" ] ] }, "page" : "155-165", "title" : "Obeticholic acid improves adipose morphometry and inflammation and reduces steatosis in dietary but not metabolic obesity in mice.", "type" : "article-journal", "volume" : "25" }, "uris" : [ "http://www.mendeley.com/documents/?uuid=aca95c94-5b43-316e-8edc-a492d341e981" ] } ], "mendeley" : { "formattedCitation" : "&lt;sup&gt;[13\u201316]&lt;/sup&gt;", "plainTextFormattedCitation" : "[13\u201316]", "previouslyFormattedCitation" : "&lt;sup&gt;[13\u201316]&lt;/sup&gt;" }, "properties" : { "noteIndex" : 0 }, "schema" : "https://github.com/citation-style-language/schema/raw/master/csl-citation.json" }</w:instrText>
      </w:r>
      <w:r w:rsidR="00E1132E" w:rsidRPr="00612653">
        <w:rPr>
          <w:rFonts w:ascii="Book Antiqua" w:hAnsi="Book Antiqua"/>
          <w:sz w:val="24"/>
          <w:szCs w:val="24"/>
          <w:lang w:val="en-US"/>
        </w:rPr>
        <w:fldChar w:fldCharType="separate"/>
      </w:r>
      <w:r w:rsidR="00193B67" w:rsidRPr="00612653">
        <w:rPr>
          <w:rFonts w:ascii="Book Antiqua" w:hAnsi="Book Antiqua"/>
          <w:noProof/>
          <w:sz w:val="24"/>
          <w:szCs w:val="24"/>
          <w:vertAlign w:val="superscript"/>
          <w:lang w:val="en-US"/>
        </w:rPr>
        <w:t>[13</w:t>
      </w:r>
      <w:r w:rsidR="0042492D">
        <w:rPr>
          <w:rFonts w:ascii="Book Antiqua" w:hAnsi="Book Antiqua" w:hint="eastAsia"/>
          <w:noProof/>
          <w:sz w:val="24"/>
          <w:szCs w:val="24"/>
          <w:vertAlign w:val="superscript"/>
          <w:lang w:val="en-US" w:eastAsia="zh-CN"/>
        </w:rPr>
        <w:t>-</w:t>
      </w:r>
      <w:r w:rsidR="00193B67" w:rsidRPr="00612653">
        <w:rPr>
          <w:rFonts w:ascii="Book Antiqua" w:hAnsi="Book Antiqua"/>
          <w:noProof/>
          <w:sz w:val="24"/>
          <w:szCs w:val="24"/>
          <w:vertAlign w:val="superscript"/>
          <w:lang w:val="en-US"/>
        </w:rPr>
        <w:t>16]</w:t>
      </w:r>
      <w:r w:rsidR="00E1132E" w:rsidRPr="00612653">
        <w:rPr>
          <w:rFonts w:ascii="Book Antiqua" w:hAnsi="Book Antiqua"/>
          <w:sz w:val="24"/>
          <w:szCs w:val="24"/>
          <w:lang w:val="en-US"/>
        </w:rPr>
        <w:fldChar w:fldCharType="end"/>
      </w:r>
      <w:r w:rsidR="00712478" w:rsidRPr="00612653">
        <w:rPr>
          <w:rFonts w:ascii="Book Antiqua" w:hAnsi="Book Antiqua"/>
          <w:sz w:val="24"/>
          <w:szCs w:val="24"/>
          <w:lang w:val="en-US"/>
        </w:rPr>
        <w:t>.</w:t>
      </w:r>
    </w:p>
    <w:p w14:paraId="458D513A" w14:textId="7D417B45" w:rsidR="00C42961" w:rsidRPr="00612653" w:rsidRDefault="00DC417A" w:rsidP="00082279">
      <w:pPr>
        <w:snapToGrid w:val="0"/>
        <w:spacing w:after="0" w:line="360" w:lineRule="auto"/>
        <w:ind w:firstLineChars="100" w:firstLine="240"/>
        <w:jc w:val="both"/>
        <w:rPr>
          <w:rFonts w:ascii="Book Antiqua" w:hAnsi="Book Antiqua"/>
          <w:sz w:val="24"/>
          <w:szCs w:val="24"/>
          <w:lang w:val="en-US"/>
        </w:rPr>
      </w:pPr>
      <w:r w:rsidRPr="00612653">
        <w:rPr>
          <w:rFonts w:ascii="Book Antiqua" w:hAnsi="Book Antiqua"/>
          <w:sz w:val="24"/>
          <w:szCs w:val="24"/>
          <w:lang w:val="en-US"/>
        </w:rPr>
        <w:t xml:space="preserve">Notably, </w:t>
      </w:r>
      <w:r w:rsidR="007D3EF2" w:rsidRPr="00612653">
        <w:rPr>
          <w:rFonts w:ascii="Book Antiqua" w:hAnsi="Book Antiqua"/>
          <w:sz w:val="24"/>
          <w:szCs w:val="24"/>
          <w:lang w:val="en-US"/>
        </w:rPr>
        <w:t>NASH</w:t>
      </w:r>
      <w:r w:rsidR="00172995" w:rsidRPr="00612653">
        <w:rPr>
          <w:rFonts w:ascii="Book Antiqua" w:hAnsi="Book Antiqua"/>
          <w:sz w:val="24"/>
          <w:szCs w:val="24"/>
          <w:lang w:val="en-US"/>
        </w:rPr>
        <w:t xml:space="preserve"> </w:t>
      </w:r>
      <w:r w:rsidR="000C1AEA" w:rsidRPr="00612653">
        <w:rPr>
          <w:rFonts w:ascii="Book Antiqua" w:hAnsi="Book Antiqua"/>
          <w:sz w:val="24"/>
          <w:szCs w:val="24"/>
          <w:lang w:val="en-US"/>
        </w:rPr>
        <w:t>show spontaneous and unpredictable on</w:t>
      </w:r>
      <w:r w:rsidR="00265F0D" w:rsidRPr="00612653">
        <w:rPr>
          <w:rFonts w:ascii="Book Antiqua" w:hAnsi="Book Antiqua"/>
          <w:sz w:val="24"/>
          <w:szCs w:val="24"/>
          <w:lang w:val="en-US"/>
        </w:rPr>
        <w:t>set</w:t>
      </w:r>
      <w:r w:rsidR="005E24D5" w:rsidRPr="00612653">
        <w:rPr>
          <w:rFonts w:ascii="Book Antiqua" w:hAnsi="Book Antiqua"/>
          <w:sz w:val="24"/>
          <w:szCs w:val="24"/>
          <w:lang w:val="en-US"/>
        </w:rPr>
        <w:t xml:space="preserve"> with</w:t>
      </w:r>
      <w:r w:rsidR="000C1AEA" w:rsidRPr="00612653">
        <w:rPr>
          <w:rFonts w:ascii="Book Antiqua" w:hAnsi="Book Antiqua"/>
          <w:sz w:val="24"/>
          <w:szCs w:val="24"/>
          <w:lang w:val="en-US"/>
        </w:rPr>
        <w:t xml:space="preserve"> varying </w:t>
      </w:r>
      <w:r w:rsidR="00821E03" w:rsidRPr="00612653">
        <w:rPr>
          <w:rFonts w:ascii="Book Antiqua" w:hAnsi="Book Antiqua"/>
          <w:sz w:val="24"/>
          <w:szCs w:val="24"/>
          <w:lang w:val="en-US"/>
        </w:rPr>
        <w:t xml:space="preserve">disease </w:t>
      </w:r>
      <w:r w:rsidR="000C1AEA" w:rsidRPr="00612653">
        <w:rPr>
          <w:rFonts w:ascii="Book Antiqua" w:hAnsi="Book Antiqua"/>
          <w:sz w:val="24"/>
          <w:szCs w:val="24"/>
          <w:lang w:val="en-US"/>
        </w:rPr>
        <w:t>severity</w:t>
      </w:r>
      <w:r w:rsidR="00265F0D" w:rsidRPr="00612653">
        <w:rPr>
          <w:rFonts w:ascii="Book Antiqua" w:hAnsi="Book Antiqua"/>
          <w:sz w:val="24"/>
          <w:szCs w:val="24"/>
          <w:lang w:val="en-US"/>
        </w:rPr>
        <w:t xml:space="preserve"> and different rates of progression</w:t>
      </w:r>
      <w:r w:rsidR="00172995" w:rsidRPr="00612653">
        <w:rPr>
          <w:rFonts w:ascii="Book Antiqua" w:hAnsi="Book Antiqua"/>
          <w:sz w:val="24"/>
          <w:szCs w:val="24"/>
          <w:lang w:val="en-US"/>
        </w:rPr>
        <w:fldChar w:fldCharType="begin" w:fldLock="1"/>
      </w:r>
      <w:r w:rsidR="00A41EF4" w:rsidRPr="00612653">
        <w:rPr>
          <w:rFonts w:ascii="Book Antiqua" w:hAnsi="Book Antiqua"/>
          <w:sz w:val="24"/>
          <w:szCs w:val="24"/>
          <w:lang w:val="en-US"/>
        </w:rPr>
        <w:instrText>ADDIN CSL_CITATION { "citationItems" : [ { "id" : "ITEM-1", "itemData" : { "DOI" : "10.1111/liv.13301", "ISSN" : "14783223", "PMID" : "28052629", "abstract" : "Non-alcoholic fatty liver disease (NAFLD) covers a spectrum of lesions ranging from steatosis (Non-alcoholic Fatty Liver or NAFL) to a complex pattern with hepatocellular injury and inflammation (non-alcoholic steatohepatitis; NASH) in the absence of alcohol intake. However, it is increasingly clear that intermediate patterns may exist. The histopathological evaluation of liver biopsy samples is central in the diagnosis of NAFLD and NASH in the absence of sufficiently accurate non-invasive tests because a precise definition of each group is a key issue. When at least 5% of hepatocytes display steatosis, patients can be defined as having NAFLD in an appropriate clinical context. When, in addition, lobular inflammation and liver cell clarification/ballooning are present, then the lesion is usually defined as NASH. Evaluation of the stage of fibrosis is even more fundamental than necroinflammation since it is the main prognostic factor of this disease. Semi-quantitative histological scoring systems have been proposed for NAFLD, but they are not useful in clinical practice and each has certain limitations. For comprehensive purposes, we suggest describing histopathological lesions in NAFLD using the SAF (Steatosis, Activity, Fibrosis) score which assesses separately the grade of steatosis (S, from S0 to S3), the grade of activity (A from A0 to A4 by adding grades of ballooning and lobular inflammation, both from 0 to 2) and the stage of fibrosis (F from F0 to F4).", "author" : [ { "dropping-particle" : "", "family" : "Bedossa", "given" : "Pierre", "non-dropping-particle" : "", "parse-names" : false, "suffix" : "" } ], "container-title" : "Liver International", "id" : "ITEM-1", "issued" : { "date-parts" : [ [ "2017", "1" ] ] }, "note" : "From Duplicate 2 (Pathology of non-alcoholic fatty liver disease - Bedossa, Pierre)\n\nNULL", "page" : "85-89", "title" : "Pathology of non-alcoholic fatty liver disease", "type" : "article-journal", "volume" : "37" }, "uris" : [ "http://www.mendeley.com/documents/?uuid=a42fae58-0a47-4348-a6fc-18de2323fa5a" ] } ], "mendeley" : { "formattedCitation" : "&lt;sup&gt;[1]&lt;/sup&gt;", "plainTextFormattedCitation" : "[1]", "previouslyFormattedCitation" : "&lt;sup&gt;[1]&lt;/sup&gt;" }, "properties" : { "noteIndex" : 0 }, "schema" : "https://github.com/citation-style-language/schema/raw/master/csl-citation.json" }</w:instrText>
      </w:r>
      <w:r w:rsidR="00172995" w:rsidRPr="00612653">
        <w:rPr>
          <w:rFonts w:ascii="Book Antiqua" w:hAnsi="Book Antiqua"/>
          <w:sz w:val="24"/>
          <w:szCs w:val="24"/>
          <w:lang w:val="en-US"/>
        </w:rPr>
        <w:fldChar w:fldCharType="separate"/>
      </w:r>
      <w:r w:rsidR="00EA5EFB" w:rsidRPr="00612653">
        <w:rPr>
          <w:rFonts w:ascii="Book Antiqua" w:hAnsi="Book Antiqua"/>
          <w:noProof/>
          <w:sz w:val="24"/>
          <w:szCs w:val="24"/>
          <w:vertAlign w:val="superscript"/>
          <w:lang w:val="en-US"/>
        </w:rPr>
        <w:t>[1]</w:t>
      </w:r>
      <w:r w:rsidR="00172995" w:rsidRPr="00612653">
        <w:rPr>
          <w:rFonts w:ascii="Book Antiqua" w:hAnsi="Book Antiqua"/>
          <w:sz w:val="24"/>
          <w:szCs w:val="24"/>
          <w:lang w:val="en-US"/>
        </w:rPr>
        <w:fldChar w:fldCharType="end"/>
      </w:r>
      <w:r w:rsidR="00172995" w:rsidRPr="00612653">
        <w:rPr>
          <w:rFonts w:ascii="Book Antiqua" w:hAnsi="Book Antiqua"/>
          <w:sz w:val="24"/>
          <w:szCs w:val="24"/>
          <w:lang w:val="en-US"/>
        </w:rPr>
        <w:t xml:space="preserve">. </w:t>
      </w:r>
      <w:r w:rsidR="0056295A" w:rsidRPr="00612653">
        <w:rPr>
          <w:rFonts w:ascii="Book Antiqua" w:hAnsi="Book Antiqua"/>
          <w:sz w:val="24"/>
          <w:szCs w:val="24"/>
          <w:lang w:val="en-US"/>
        </w:rPr>
        <w:t xml:space="preserve">Today, liver biopsy-confirmed pathology is the mainstay for clinical trials which allows </w:t>
      </w:r>
      <w:r w:rsidR="002066D4" w:rsidRPr="00612653">
        <w:rPr>
          <w:rFonts w:ascii="Book Antiqua" w:hAnsi="Book Antiqua"/>
          <w:sz w:val="24"/>
          <w:szCs w:val="24"/>
          <w:lang w:val="en-US"/>
        </w:rPr>
        <w:t xml:space="preserve">for </w:t>
      </w:r>
      <w:r w:rsidR="00C67FBF" w:rsidRPr="00612653">
        <w:rPr>
          <w:rFonts w:ascii="Book Antiqua" w:hAnsi="Book Antiqua"/>
          <w:sz w:val="24"/>
          <w:szCs w:val="24"/>
          <w:lang w:val="en-US"/>
        </w:rPr>
        <w:t>stratification of</w:t>
      </w:r>
      <w:r w:rsidR="0056295A" w:rsidRPr="00612653">
        <w:rPr>
          <w:rFonts w:ascii="Book Antiqua" w:hAnsi="Book Antiqua"/>
          <w:sz w:val="24"/>
          <w:szCs w:val="24"/>
          <w:lang w:val="en-US"/>
        </w:rPr>
        <w:t xml:space="preserve"> disease severity</w:t>
      </w:r>
      <w:r w:rsidR="002066D4" w:rsidRPr="00612653">
        <w:rPr>
          <w:rFonts w:ascii="Book Antiqua" w:hAnsi="Book Antiqua"/>
          <w:sz w:val="24"/>
          <w:szCs w:val="24"/>
          <w:lang w:val="en-US"/>
        </w:rPr>
        <w:t>/stage</w:t>
      </w:r>
      <w:r w:rsidR="0056295A" w:rsidRPr="00612653">
        <w:rPr>
          <w:rFonts w:ascii="Book Antiqua" w:hAnsi="Book Antiqua"/>
          <w:sz w:val="24"/>
          <w:szCs w:val="24"/>
          <w:lang w:val="en-US"/>
        </w:rPr>
        <w:t xml:space="preserve"> and within-subject</w:t>
      </w:r>
      <w:r w:rsidR="00821E03" w:rsidRPr="00612653">
        <w:rPr>
          <w:rFonts w:ascii="Book Antiqua" w:hAnsi="Book Antiqua"/>
          <w:sz w:val="24"/>
          <w:szCs w:val="24"/>
          <w:lang w:val="en-US"/>
        </w:rPr>
        <w:t xml:space="preserve"> evaluation of</w:t>
      </w:r>
      <w:r w:rsidR="0056295A" w:rsidRPr="00612653">
        <w:rPr>
          <w:rFonts w:ascii="Book Antiqua" w:hAnsi="Book Antiqua"/>
          <w:sz w:val="24"/>
          <w:szCs w:val="24"/>
          <w:lang w:val="en-US"/>
        </w:rPr>
        <w:t xml:space="preserve"> </w:t>
      </w:r>
      <w:r w:rsidR="002066D4" w:rsidRPr="00612653">
        <w:rPr>
          <w:rFonts w:ascii="Book Antiqua" w:hAnsi="Book Antiqua"/>
          <w:sz w:val="24"/>
          <w:szCs w:val="24"/>
          <w:lang w:val="en-US"/>
        </w:rPr>
        <w:t xml:space="preserve">endpoint </w:t>
      </w:r>
      <w:r w:rsidR="0056295A" w:rsidRPr="00612653">
        <w:rPr>
          <w:rFonts w:ascii="Book Antiqua" w:hAnsi="Book Antiqua"/>
          <w:sz w:val="24"/>
          <w:szCs w:val="24"/>
          <w:lang w:val="en-US"/>
        </w:rPr>
        <w:t>liver histology</w:t>
      </w:r>
      <w:r w:rsidR="0056295A" w:rsidRPr="00612653">
        <w:rPr>
          <w:rFonts w:ascii="Book Antiqua" w:hAnsi="Book Antiqua"/>
          <w:sz w:val="24"/>
          <w:szCs w:val="24"/>
        </w:rPr>
        <w:fldChar w:fldCharType="begin" w:fldLock="1"/>
      </w:r>
      <w:r w:rsidR="00193B67" w:rsidRPr="00612653">
        <w:rPr>
          <w:rFonts w:ascii="Book Antiqua" w:hAnsi="Book Antiqua"/>
          <w:sz w:val="24"/>
          <w:szCs w:val="24"/>
          <w:lang w:val="en-US"/>
        </w:rPr>
        <w:instrText>ADDIN CSL_CITATION { "citationItems" : [ { "id" : "ITEM-1", "itemData" : { "DOI" : "10.1002/hep.27678", "ISSN" : "1527-3350", "PMID" : "25557690", "abstract" : "Nonalcoholic fatty liver disease (NAFLD) is the most common cause of chronic liver disease (CLD) in North America. It is a growing contributor to the burden of CDL requiring liver transplantation. Cirrhosis is also associated with an increased risk of hepatocellular cancer, which may occur even in the absence of cirrhosis in subjects with nonalcoholic steatohepatitis (NASH), the histological form of NAFLD associated with increased liver-related mortality. The diagnosis of NASH currently requires a liver biopsy. There are also no U.S. Food and Drug Administration (FDA)-approved therapies for NASH. Therefore, there is a need to develop better diagnostic and therapeutic strategies for patients with NASH, targeting both those with early-stage disease as well as those with advanced liver fibrosis. There are unique challenges in the design of studies for these target populations. The long relatively asymptomatic time interval in the progression of NAFLD and NASH to cirrhosis and ultimately liver failure, along with gaps in knowledge regarding disease modifiers, combine to present significant challenges in trial design. Therefore, there is an urgent need to develop methods to identify the populations at particular risk of disease progression and validate endpoints that reflect meaningful changes in health status in this population. This article summarizes the discussion at a joint workshop held September 5 and 6, 2013 in Silver Spring, Maryland, sponsored by the FDA and the American Association for the Study of Liver Diseases to develop guidance on diagnostic and therapeutic modalities for NASH.", "author" : [ { "dropping-particle" : "", "family" : "Sanyal", "given" : "Arun J", "non-dropping-particle" : "", "parse-names" : false, "suffix" : "" }, { "dropping-particle" : "", "family" : "Friedman", "given" : "Scott L", "non-dropping-particle" : "", "parse-names" : false, "suffix" : "" }, { "dropping-particle" : "", "family" : "McCullough", "given" : "Arthur J", "non-dropping-particle" : "", "parse-names" : false, "suffix" : "" }, { "dropping-particle" : "", "family" : "Dimick-Santos", "given" : "Lara", "non-dropping-particle" : "", "parse-names" : false, "suffix" : "" }, { "dropping-particle" : "", "family" : "American Association for the Study of Liver Diseases", "given" : "", "non-dropping-particle" : "", "parse-names" : false, "suffix" : "" }, { "dropping-particle" : "", "family" : "United States Food and Drug Administration", "given" : "", "non-dropping-particle" : "", "parse-names" : false, "suffix" : "" } ], "container-title" : "Hepatology (Baltimore, Md.)", "id" : "ITEM-1", "issue" : "4", "issued" : { "date-parts" : [ [ "2015", "4" ] ] }, "page" : "1392-405", "title" : "Challenges and opportunities in drug and biomarker development for nonalcoholic steatohepatitis: findings and recommendations from an American Association for the Study of Liver Diseases-U.S. Food and Drug Administration Joint Workshop.", "type" : "article-journal", "volume" : "61" }, "uris" : [ "http://www.mendeley.com/documents/?uuid=b0f59849-4b0a-38bd-a677-22d8d21f3210", "http://www.mendeley.com/documents/?uuid=a2489cc2-7a70-4ada-bbf0-642dc5d2ea64" ] }, { "id" : "ITEM-2", "itemData" : { "DOI" : "10.1016/j.jhep.2010.04.008", "ISSN" : "1600-0641", "PMID" : "20494470", "author" : [ { "dropping-particle" : "", "family" : "Ratziu", "given" : "Vlad", "non-dropping-particle" : "", "parse-names" : false, "suffix" : "" }, { "dropping-particle" : "", "family" : "Bellentani", "given" : "Stefano", "non-dropping-particle" : "", "parse-names" : false, "suffix" : "" }, { "dropping-particle" : "", "family" : "Cortez-Pinto", "given" : "Helena", "non-dropping-particle" : "", "parse-names" : false, "suffix" : "" }, { "dropping-particle" : "", "family" : "Day", "given" : "Chris", "non-dropping-particle" : "", "parse-names" : false, "suffix" : "" }, { "dropping-particle" : "", "family" : "Marchesini", "given" : "Giulio", "non-dropping-particle" : "", "parse-names" : false, "suffix" : "" } ], "container-title" : "Journal of hepatology", "id" : "ITEM-2", "issue" : "2", "issued" : { "date-parts" : [ [ "2010", "8" ] ] }, "page" : "372-84", "title" : "A position statement on NAFLD/NASH based on the EASL 2009 special conference.", "type" : "article-journal", "volume" : "53" }, "uris" : [ "http://www.mendeley.com/documents/?uuid=6b8076e3-4972-3ea0-81f4-8af49d29343d" ] } ], "mendeley" : { "formattedCitation" : "&lt;sup&gt;[17,18]&lt;/sup&gt;", "plainTextFormattedCitation" : "[17,18]", "previouslyFormattedCitation" : "&lt;sup&gt;[17,18]&lt;/sup&gt;" }, "properties" : { "noteIndex" : 0 }, "schema" : "https://github.com/citation-style-language/schema/raw/master/csl-citation.json" }</w:instrText>
      </w:r>
      <w:r w:rsidR="0056295A" w:rsidRPr="00612653">
        <w:rPr>
          <w:rFonts w:ascii="Book Antiqua" w:hAnsi="Book Antiqua"/>
          <w:sz w:val="24"/>
          <w:szCs w:val="24"/>
          <w:vertAlign w:val="superscript"/>
          <w:lang w:val="en-US"/>
        </w:rPr>
        <w:fldChar w:fldCharType="separate"/>
      </w:r>
      <w:r w:rsidR="00193B67" w:rsidRPr="00612653">
        <w:rPr>
          <w:rFonts w:ascii="Book Antiqua" w:hAnsi="Book Antiqua"/>
          <w:noProof/>
          <w:sz w:val="24"/>
          <w:szCs w:val="24"/>
          <w:vertAlign w:val="superscript"/>
          <w:lang w:val="en-US"/>
        </w:rPr>
        <w:t>[17,18]</w:t>
      </w:r>
      <w:r w:rsidR="0056295A" w:rsidRPr="00612653">
        <w:rPr>
          <w:rFonts w:ascii="Book Antiqua" w:hAnsi="Book Antiqua"/>
          <w:sz w:val="24"/>
          <w:szCs w:val="24"/>
        </w:rPr>
        <w:fldChar w:fldCharType="end"/>
      </w:r>
      <w:r w:rsidR="0056295A" w:rsidRPr="00612653">
        <w:rPr>
          <w:rFonts w:ascii="Book Antiqua" w:hAnsi="Book Antiqua"/>
          <w:sz w:val="24"/>
          <w:szCs w:val="24"/>
          <w:lang w:val="en-US"/>
        </w:rPr>
        <w:t xml:space="preserve">. </w:t>
      </w:r>
      <w:r w:rsidR="00EF734B" w:rsidRPr="00612653">
        <w:rPr>
          <w:rFonts w:ascii="Book Antiqua" w:hAnsi="Book Antiqua"/>
          <w:sz w:val="24"/>
          <w:szCs w:val="24"/>
          <w:lang w:val="en-US"/>
        </w:rPr>
        <w:t xml:space="preserve">In agreement with </w:t>
      </w:r>
      <w:r w:rsidR="00E55CB7" w:rsidRPr="00612653">
        <w:rPr>
          <w:rFonts w:ascii="Book Antiqua" w:hAnsi="Book Antiqua"/>
          <w:sz w:val="24"/>
          <w:szCs w:val="24"/>
          <w:lang w:val="en-US"/>
        </w:rPr>
        <w:t xml:space="preserve">the </w:t>
      </w:r>
      <w:r w:rsidR="00EF734B" w:rsidRPr="00612653">
        <w:rPr>
          <w:rFonts w:ascii="Book Antiqua" w:hAnsi="Book Antiqua"/>
          <w:sz w:val="24"/>
          <w:szCs w:val="24"/>
          <w:lang w:val="en-US"/>
        </w:rPr>
        <w:t xml:space="preserve">clinical findings, </w:t>
      </w:r>
      <w:r w:rsidR="00172995" w:rsidRPr="00612653">
        <w:rPr>
          <w:rFonts w:ascii="Book Antiqua" w:hAnsi="Book Antiqua"/>
          <w:sz w:val="24"/>
          <w:szCs w:val="24"/>
          <w:lang w:val="en-US"/>
        </w:rPr>
        <w:t>DIO mouse models of NASH</w:t>
      </w:r>
      <w:r w:rsidR="0056295A" w:rsidRPr="00612653">
        <w:rPr>
          <w:rFonts w:ascii="Book Antiqua" w:hAnsi="Book Antiqua"/>
          <w:sz w:val="24"/>
          <w:szCs w:val="24"/>
          <w:lang w:val="en-US"/>
        </w:rPr>
        <w:t xml:space="preserve"> show </w:t>
      </w:r>
      <w:r w:rsidR="00EF734B" w:rsidRPr="00612653">
        <w:rPr>
          <w:rFonts w:ascii="Book Antiqua" w:hAnsi="Book Antiqua"/>
          <w:sz w:val="24"/>
          <w:szCs w:val="24"/>
          <w:lang w:val="en-US"/>
        </w:rPr>
        <w:t xml:space="preserve">variable disease </w:t>
      </w:r>
      <w:r w:rsidR="00CA05CC" w:rsidRPr="00612653">
        <w:rPr>
          <w:rFonts w:ascii="Book Antiqua" w:hAnsi="Book Antiqua"/>
          <w:sz w:val="24"/>
          <w:szCs w:val="24"/>
          <w:lang w:val="en-US"/>
        </w:rPr>
        <w:t>severity</w:t>
      </w:r>
      <w:r w:rsidR="00E55CB7" w:rsidRPr="00612653">
        <w:rPr>
          <w:rFonts w:ascii="Book Antiqua" w:hAnsi="Book Antiqua"/>
          <w:sz w:val="24"/>
          <w:szCs w:val="24"/>
          <w:lang w:val="en-US"/>
        </w:rPr>
        <w:t>. R</w:t>
      </w:r>
      <w:r w:rsidR="00AB3E70" w:rsidRPr="00612653">
        <w:rPr>
          <w:rFonts w:ascii="Book Antiqua" w:hAnsi="Book Antiqua"/>
          <w:sz w:val="24"/>
          <w:szCs w:val="24"/>
          <w:lang w:val="en-US"/>
        </w:rPr>
        <w:t xml:space="preserve">ecent reports have </w:t>
      </w:r>
      <w:r w:rsidR="00AB3E70" w:rsidRPr="00612653">
        <w:rPr>
          <w:rFonts w:ascii="Book Antiqua" w:hAnsi="Book Antiqua"/>
          <w:sz w:val="24"/>
          <w:szCs w:val="24"/>
          <w:lang w:val="en-US"/>
        </w:rPr>
        <w:lastRenderedPageBreak/>
        <w:t xml:space="preserve">demonstrated that </w:t>
      </w:r>
      <w:r w:rsidR="00AE048F" w:rsidRPr="00612653">
        <w:rPr>
          <w:rFonts w:ascii="Book Antiqua" w:hAnsi="Book Antiqua"/>
          <w:sz w:val="24"/>
          <w:szCs w:val="24"/>
          <w:lang w:val="en-US"/>
        </w:rPr>
        <w:t xml:space="preserve">all </w:t>
      </w:r>
      <w:r w:rsidR="00AB3E70" w:rsidRPr="00612653">
        <w:rPr>
          <w:rFonts w:ascii="Book Antiqua" w:hAnsi="Book Antiqua"/>
          <w:sz w:val="24"/>
          <w:szCs w:val="24"/>
          <w:lang w:val="en-US"/>
        </w:rPr>
        <w:t xml:space="preserve">stages of NASH are represented in mice fed Western-type obesogenic diets </w:t>
      </w:r>
      <w:r w:rsidR="00CA05CC" w:rsidRPr="00612653">
        <w:rPr>
          <w:rFonts w:ascii="Book Antiqua" w:hAnsi="Book Antiqua"/>
          <w:sz w:val="24"/>
          <w:szCs w:val="24"/>
          <w:lang w:val="en-US"/>
        </w:rPr>
        <w:t xml:space="preserve">for any period </w:t>
      </w:r>
      <w:r w:rsidR="00CA05CC" w:rsidRPr="00612653">
        <w:rPr>
          <w:rFonts w:ascii="Book Antiqua" w:hAnsi="Book Antiqua" w:cstheme="minorHAnsi"/>
          <w:sz w:val="24"/>
          <w:szCs w:val="24"/>
          <w:lang w:val="en-US"/>
        </w:rPr>
        <w:t>≥</w:t>
      </w:r>
      <w:r w:rsidR="00D15D8C" w:rsidRPr="00612653">
        <w:rPr>
          <w:rFonts w:ascii="Book Antiqua" w:hAnsi="Book Antiqua" w:cstheme="minorHAnsi"/>
          <w:sz w:val="24"/>
          <w:szCs w:val="24"/>
          <w:lang w:val="en-US" w:eastAsia="zh-CN"/>
        </w:rPr>
        <w:t xml:space="preserve"> </w:t>
      </w:r>
      <w:r w:rsidR="00D15D8C" w:rsidRPr="00612653">
        <w:rPr>
          <w:rFonts w:ascii="Book Antiqua" w:hAnsi="Book Antiqua"/>
          <w:sz w:val="24"/>
          <w:szCs w:val="24"/>
          <w:lang w:val="en-US"/>
        </w:rPr>
        <w:t>20 wk</w:t>
      </w:r>
      <w:r w:rsidR="00CA05CC" w:rsidRPr="00612653">
        <w:rPr>
          <w:rFonts w:ascii="Book Antiqua" w:hAnsi="Book Antiqua"/>
          <w:sz w:val="24"/>
          <w:szCs w:val="24"/>
          <w:lang w:val="en-US"/>
        </w:rPr>
        <w:t xml:space="preserve">, </w:t>
      </w:r>
      <w:r w:rsidR="00E5122E" w:rsidRPr="00612653">
        <w:rPr>
          <w:rFonts w:ascii="Book Antiqua" w:hAnsi="Book Antiqua"/>
          <w:sz w:val="24"/>
          <w:szCs w:val="24"/>
          <w:lang w:val="en-US"/>
        </w:rPr>
        <w:t>and a</w:t>
      </w:r>
      <w:r w:rsidR="00003A2F" w:rsidRPr="00612653">
        <w:rPr>
          <w:rFonts w:ascii="Book Antiqua" w:hAnsi="Book Antiqua"/>
          <w:sz w:val="24"/>
          <w:szCs w:val="24"/>
          <w:lang w:val="en-US"/>
        </w:rPr>
        <w:t xml:space="preserve"> significant proportion of </w:t>
      </w:r>
      <w:r w:rsidR="00E5122E" w:rsidRPr="00612653">
        <w:rPr>
          <w:rFonts w:ascii="Book Antiqua" w:hAnsi="Book Antiqua"/>
          <w:sz w:val="24"/>
          <w:szCs w:val="24"/>
          <w:lang w:val="en-US"/>
        </w:rPr>
        <w:t xml:space="preserve">up to 30% of the </w:t>
      </w:r>
      <w:r w:rsidR="00003A2F" w:rsidRPr="00612653">
        <w:rPr>
          <w:rFonts w:ascii="Book Antiqua" w:hAnsi="Book Antiqua"/>
          <w:sz w:val="24"/>
          <w:szCs w:val="24"/>
          <w:lang w:val="en-US"/>
        </w:rPr>
        <w:t xml:space="preserve">animals fail to develop steatohepatitis and </w:t>
      </w:r>
      <w:r w:rsidR="00E5122E" w:rsidRPr="00612653">
        <w:rPr>
          <w:rFonts w:ascii="Book Antiqua" w:hAnsi="Book Antiqua"/>
          <w:sz w:val="24"/>
          <w:szCs w:val="24"/>
          <w:lang w:val="en-US"/>
        </w:rPr>
        <w:t xml:space="preserve">liver </w:t>
      </w:r>
      <w:r w:rsidR="00003A2F" w:rsidRPr="00612653">
        <w:rPr>
          <w:rFonts w:ascii="Book Antiqua" w:hAnsi="Book Antiqua"/>
          <w:sz w:val="24"/>
          <w:szCs w:val="24"/>
          <w:lang w:val="en-US"/>
        </w:rPr>
        <w:t>fibrosis</w:t>
      </w:r>
      <w:r w:rsidR="00172995" w:rsidRPr="00612653">
        <w:rPr>
          <w:rFonts w:ascii="Book Antiqua" w:hAnsi="Book Antiqua"/>
          <w:sz w:val="24"/>
          <w:szCs w:val="24"/>
        </w:rPr>
        <w:fldChar w:fldCharType="begin" w:fldLock="1"/>
      </w:r>
      <w:r w:rsidR="00267B22" w:rsidRPr="00612653">
        <w:rPr>
          <w:rFonts w:ascii="Book Antiqua" w:hAnsi="Book Antiqua"/>
          <w:sz w:val="24"/>
          <w:szCs w:val="24"/>
          <w:lang w:val="en-US"/>
        </w:rPr>
        <w:instrText>ADDIN CSL_CITATION { "citationItems" : [ { "id" : "ITEM-1", "itemData" : { "DOI" : "10.1152/ajpgi.00079.2013", "ISBN" : "0193-1857", "ISSN" : "0193-1857", "PMID" : "23886860", "abstract" : "Shortcomings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\u223c18%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 "author" : [ { "dropping-particle" : "", "family" : "Clapper", "given" : "Jason R.", "non-dropping-particle" : "", "parse-names" : false, "suffix" : "" }, { "dropping-particle" : "", "family" : "Hendricks", "given" : "Michelle D.", "non-dropping-particle" : "", "parse-names" : false, "suffix" : "" }, { "dropping-particle" : "", "family" : "Gu", "given" : "Guibao", "non-dropping-particle" : "", "parse-names" : false, "suffix" : "" }, { "dropping-particle" : "", "family" : "Wittmer", "given" : "Carrie", "non-dropping-particle" : "", "parse-names" : false, "suffix" : "" }, { "dropping-particle" : "", "family" : "Dolman", "given" : "Carrie S.", "non-dropping-particle" : "", "parse-names" : false, "suffix" : "" }, { "dropping-particle" : "", "family" : "Herich", "given" : "John", "non-dropping-particle" : "", "parse-names" : false, "suffix" : "" }, { "dropping-particle" : "", "family" : "Athanacio", "given" : "Jennifer", "non-dropping-particle" : "", "parse-names" : false, "suffix" : "" }, { "dropping-particle" : "", "family" : "Villescaz", "given" : "Christiane", "non-dropping-particle" : "", "parse-names" : false, "suffix" : "" }, { "dropping-particle" : "", "family" : "Ghosh", "given" : "Soumitra S.", "non-dropping-particle" : "", "parse-names" : false, "suffix" : "" }, { "dropping-particle" : "", "family" : "Heilig", "given" : "Joseph S.", "non-dropping-particle" : "", "parse-names" : false, "suffix" : "" }, { "dropping-particle" : "", "family" : "Lowe", "given" : "Carolyn", "non-dropping-particle" : "", "parse-names" : false, "suffix" : "" }, { "dropping-particle" : "", "family" : "Roth", "given" : "Jonathan D.", "non-dropping-particle" : "", "parse-names" : false, "suffix" : "" } ], "container-title" : "AJP: Gastrointestinal and Liver Physiology", "id" : "ITEM-1", "issue" : "7", "issued" : { "date-parts" : [ [ "2013", "10", "1" ] ] }, "note" : "From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 "page" : "G483-G495", "title" : "Diet-induced mouse model of fatty liver disease and nonalcoholic steatohepatitis reflecting clinical disease progression and methods of assessment", "type" : "article-journal", "volume" : "305" }, "uris" : [ "http://www.mendeley.com/documents/?uuid=f296c90d-1058-4388-a031-b0fef4d5ade2" ] }, { "id" : "ITEM-2", "itemData" : { "DOI" : "10.1002/oby.21701", "ISSN" : "1930-739X", "PMID" : "27804232", "abstract" : "OBJECTIVE Nonalcoholic steatohepatitis (NASH) is the outcome of interactions between overnutrition, energy metabolism, and adipose function. Obeticholic acid (OCA) improves steatosis in patients but for unknown reasons does not resolve NASH pathology. This study therefore investigated OCA effects in Wt mice, which develop obesity with atherogenic dietary feeding, and appetite-dysregulated, Alms1 mutant foz/foz mice fed the same diet, which develop metabolic obesity and diabetes. METHODS OCA (1 mg/kg) was administered orally to female foz/foz mice and Wt littermates from weaning until 28 weeks. Adipose indices, glucose tolerance, and fatty liver pathology were studied. Experiments were repeated with OCA 10 mg/kg. RESULTS OCA reduced body weight and hepatic lipids and improved glucose disposal only in Wt mice. OCA limited Wt adipose expansion, altered morphometry in favor of small adipocytes, enhanced expression of genes indicating adipose browning, and reduced crown-like structure number in visceral adipose tissue. foz/foz mice showed more crown-like structures in all compartments; OCA failed to alter adipose morphometry, browning, inflammation, or improve NASH severity, even at 10 mg/kg. CONCLUSIONS OCA improved adipose indices, glucose tolerance, and steatosis in a milder metabolic phenotype but failed to improve these factors in morbidly obese diabetic mice. These results help explain OCA's limited efficacy to reverse human NASH.", "author" : [ { "dropping-particle" : "", "family" : "Haczeyni", "given" : "Fahrettin", "non-dropping-particle" : "", "parse-names" : false, "suffix" : "" }, { "dropping-particle" : "", "family" : "Poekes", "given" : "Laurence", "non-dropping-particle" : "", "parse-names" : false, "suffix" : "" }, { "dropping-particle" : "", "family" : "Wang", "given" : "Hans", "non-dropping-particle" : "", "parse-names" : false, "suffix" : "" }, { "dropping-particle" : "", "family" : "Mridha", "given" : "Auvro R", "non-dropping-particle" : "", "parse-names" : false, "suffix" : "" }, { "dropping-particle" : "", "family" : "Barn", "given" : "Vanessa", "non-dropping-particle" : "", "parse-names" : false, "suffix" : "" }, { "dropping-particle" : "", "family" : "Geoffrey Haigh", "given" : "W", "non-dropping-particle" : "", "parse-names" : false, "suffix" : "" }, { "dropping-particle" : "", "family" : "Ioannou", "given" : "George N", "non-dropping-particle" : "", "parse-names" : false, "suffix" : "" }, { "dropping-particle" : "", "family" : "Yeh", "given" : "Matthew M", "non-dropping-particle" : "", "parse-names" : false, "suffix" : "" }, { "dropping-particle" : "", "family" : "Leclercq", "given" : "Isabelle A", "non-dropping-particle" : "", "parse-names" : false, "suffix" : "" }, { "dropping-particle" : "", "family" : "Teoh", "given" : "Narcissus C", "non-dropping-particle" : "", "parse-names" : false, "suffix" : "" }, { "dropping-particle" : "", "family" : "Farrell", "given" : "Geoffrey C", "non-dropping-particle" : "", "parse-names" : false, "suffix" : "" } ], "container-title" : "Obesity (Silver Spring, Md.)", "id" : "ITEM-2", "issue" : "1", "issued" : { "date-parts" : [ [ "2017", "1" ] ] }, "page" : "155-165", "title" : "Obeticholic acid improves adipose morphometry and inflammation and reduces steatosis in dietary but not metabolic obesity in mice.", "type" : "article-journal", "volume" : "25" }, "uris" : [ "http://www.mendeley.com/documents/?uuid=aca95c94-5b43-316e-8edc-a492d341e981" ] }, { "id" : "ITEM-3", "itemData" : { "DOI" : "10.4254/wjh.v8.i16.673", "ISSN" : "1948-5182", "PMID" : "27326314", "abstract" : "AIM To characterize development of diet-induced nonalcoholic steatohepatitis (NASH) by performing liver biopsy in wild-type and genetically obese mice. METHODS Male wild-type C57BL/6J (C57) mice (DIO-NASH) and male Lep(ob) /Lep(ob) (ob/ob) mice (ob/ob-NASH) were maintained on a diet high in trans-fat (40%), fructose (22%) and cholesterol (2%) for 26 and 12 wk, respectively. A normal chow diet served as control in C57 mice (lean chow) and ob/ob mice (ob/ob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ob/ob-NASH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ob/ob-NASH vs DIO-NASH mice. During the eight week repeated vehicle dosing period, the metabolic phenotype was sustained in DIO-NASH and ob/ob-NASH mice in conjunction with hepatomegaly and increased hepatic lipids and collagen accumulation. Histopathological scoring demonstrated significantly increased NAS of DIO-NASH mice (0 vs 4.7 \u00b1 0.4, P &lt; 0.001 compared to lean chow) and ob/ob-NASH mice (2.4 \u00b1 0.3 vs 6.3 \u00b1 0.2, P &lt; 0.001 compared to ob/ob chow), respectively. Furthermore, fibrosis stage was significantly elevated for DIO-NASH mice (0 vs 1.2 \u00b1 0.2, P &lt; 0.05 compared to lean chow) and ob/ob NASH (0.1 \u00b1 0.1 vs 3.0 \u00b1 0.2, P &lt; 0.001 compared to ob/ob chow). Notably, fibrosis stage was significantly (P &lt; 0.001) increased in ob/ob-NASH mice, when compared to DIO-NASH mice. CONCLUSION These data introduce the obese diet-induced DIO-NASH and ob/ob-NASH mouse models\u2026", "author" : [ { "dropping-particle" : "", "family" : "Kristiansen", "given" : "Maria Nicoline Baandrup",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"T\u00f8lb\u00f8l", "given" : "Kirstine Sloth", "non-dropping-particle" : "", "parse-names" : false, "suffix" : "" }, { "dropping-particle" : "", "family" : "Roth", "given" : "Jonathan David", "non-dropping-particle" : "", "parse-names" : false, "suffix" : "" }, { "dropping-particle" : "", "family" : "Jelsing", "given" : "Jacob", "non-dropping-particle" : "", "parse-names" : false, "suffix" : "" }, { "dropping-particle" : "", "family" : "Vrang", "given" : "Niels", "non-dropping-particle" : "", "parse-names" : false, "suffix" : "" }, { "dropping-particle" : "", "family" : "Feigh", "given" : "Michael", "non-dropping-particle" : "", "parse-names" : false, "suffix" : "" } ], "container-title" : "World Journal of Hepatology", "id" : "ITEM-3", "issue" : "16", "issued" : { "date-parts" : [ [ "2016", "6", "8" ] ] }, "page" : "673", "title" : "Obese diet-induced mouse models of nonalcoholic steatohepatitis-tracking disease by liver biopsy", "type" : "article-journal", "volume" : "8" }, "uris" : [ "http://www.mendeley.com/documents/?uuid=69bb0cda-5036-450b-90a1-83c8b0817689" ] } ], "mendeley" : { "formattedCitation" : "&lt;sup&gt;[9,13,19]&lt;/sup&gt;", "plainTextFormattedCitation" : "[9,13,19]", "previouslyFormattedCitation" : "&lt;sup&gt;[9,13,19]&lt;/sup&gt;" }, "properties" : { "noteIndex" : 0 }, "schema" : "https://github.com/citation-style-language/schema/raw/master/csl-citation.json" }</w:instrText>
      </w:r>
      <w:r w:rsidR="00172995" w:rsidRPr="00612653">
        <w:rPr>
          <w:rFonts w:ascii="Book Antiqua" w:hAnsi="Book Antiqua"/>
          <w:sz w:val="24"/>
          <w:szCs w:val="24"/>
          <w:vertAlign w:val="superscript"/>
          <w:lang w:val="en-US"/>
        </w:rPr>
        <w:fldChar w:fldCharType="separate"/>
      </w:r>
      <w:r w:rsidR="00267B22" w:rsidRPr="00612653">
        <w:rPr>
          <w:rFonts w:ascii="Book Antiqua" w:hAnsi="Book Antiqua"/>
          <w:noProof/>
          <w:sz w:val="24"/>
          <w:szCs w:val="24"/>
          <w:vertAlign w:val="superscript"/>
          <w:lang w:val="en-US"/>
        </w:rPr>
        <w:t>[9,13,19]</w:t>
      </w:r>
      <w:r w:rsidR="00172995" w:rsidRPr="00612653">
        <w:rPr>
          <w:rFonts w:ascii="Book Antiqua" w:hAnsi="Book Antiqua"/>
          <w:sz w:val="24"/>
          <w:szCs w:val="24"/>
        </w:rPr>
        <w:fldChar w:fldCharType="end"/>
      </w:r>
      <w:r w:rsidR="008314F3" w:rsidRPr="00612653">
        <w:rPr>
          <w:rFonts w:ascii="Book Antiqua" w:hAnsi="Book Antiqua"/>
          <w:sz w:val="24"/>
          <w:szCs w:val="24"/>
          <w:lang w:val="en-US"/>
        </w:rPr>
        <w:t xml:space="preserve">, </w:t>
      </w:r>
      <w:r w:rsidR="00AE048F" w:rsidRPr="00612653">
        <w:rPr>
          <w:rFonts w:ascii="Book Antiqua" w:hAnsi="Book Antiqua"/>
          <w:sz w:val="24"/>
          <w:szCs w:val="24"/>
          <w:lang w:val="en-US"/>
        </w:rPr>
        <w:t>indicat</w:t>
      </w:r>
      <w:r w:rsidR="00331E85" w:rsidRPr="00612653">
        <w:rPr>
          <w:rFonts w:ascii="Book Antiqua" w:hAnsi="Book Antiqua"/>
          <w:sz w:val="24"/>
          <w:szCs w:val="24"/>
          <w:lang w:val="en-US"/>
        </w:rPr>
        <w:t xml:space="preserve">ing </w:t>
      </w:r>
      <w:r w:rsidR="00AE048F" w:rsidRPr="00612653">
        <w:rPr>
          <w:rFonts w:ascii="Book Antiqua" w:hAnsi="Book Antiqua"/>
          <w:sz w:val="24"/>
          <w:szCs w:val="24"/>
          <w:lang w:val="en-US"/>
        </w:rPr>
        <w:t xml:space="preserve">that </w:t>
      </w:r>
      <w:r w:rsidR="00DC6818" w:rsidRPr="00612653">
        <w:rPr>
          <w:rFonts w:ascii="Book Antiqua" w:hAnsi="Book Antiqua"/>
          <w:sz w:val="24"/>
          <w:szCs w:val="24"/>
          <w:lang w:val="en-US"/>
        </w:rPr>
        <w:t xml:space="preserve">individual </w:t>
      </w:r>
      <w:r w:rsidR="008314F3" w:rsidRPr="00612653">
        <w:rPr>
          <w:rFonts w:ascii="Book Antiqua" w:hAnsi="Book Antiqua"/>
          <w:sz w:val="24"/>
          <w:szCs w:val="24"/>
          <w:lang w:val="en-US"/>
        </w:rPr>
        <w:t>b</w:t>
      </w:r>
      <w:r w:rsidR="00265F0D" w:rsidRPr="00612653">
        <w:rPr>
          <w:rFonts w:ascii="Book Antiqua" w:hAnsi="Book Antiqua"/>
          <w:sz w:val="24"/>
          <w:szCs w:val="24"/>
          <w:lang w:val="en-US"/>
        </w:rPr>
        <w:t>as</w:t>
      </w:r>
      <w:r w:rsidR="0056295A" w:rsidRPr="00612653">
        <w:rPr>
          <w:rFonts w:ascii="Book Antiqua" w:hAnsi="Book Antiqua"/>
          <w:sz w:val="24"/>
          <w:szCs w:val="24"/>
          <w:lang w:val="en-US"/>
        </w:rPr>
        <w:t>eline disease sta</w:t>
      </w:r>
      <w:r w:rsidR="008451D2" w:rsidRPr="00612653">
        <w:rPr>
          <w:rFonts w:ascii="Book Antiqua" w:hAnsi="Book Antiqua"/>
          <w:sz w:val="24"/>
          <w:szCs w:val="24"/>
          <w:lang w:val="en-US"/>
        </w:rPr>
        <w:t>ge</w:t>
      </w:r>
      <w:r w:rsidR="0056295A" w:rsidRPr="00612653">
        <w:rPr>
          <w:rFonts w:ascii="Book Antiqua" w:hAnsi="Book Antiqua"/>
          <w:sz w:val="24"/>
          <w:szCs w:val="24"/>
          <w:lang w:val="en-US"/>
        </w:rPr>
        <w:t xml:space="preserve"> </w:t>
      </w:r>
      <w:r w:rsidR="00AE048F" w:rsidRPr="00612653">
        <w:rPr>
          <w:rFonts w:ascii="Book Antiqua" w:hAnsi="Book Antiqua"/>
          <w:sz w:val="24"/>
          <w:szCs w:val="24"/>
          <w:lang w:val="en-US"/>
        </w:rPr>
        <w:t xml:space="preserve">is </w:t>
      </w:r>
      <w:r w:rsidR="00C67FBF" w:rsidRPr="00612653">
        <w:rPr>
          <w:rFonts w:ascii="Book Antiqua" w:hAnsi="Book Antiqua"/>
          <w:sz w:val="24"/>
          <w:szCs w:val="24"/>
          <w:lang w:val="en-US"/>
        </w:rPr>
        <w:t xml:space="preserve">also </w:t>
      </w:r>
      <w:r w:rsidR="005731E5" w:rsidRPr="00612653">
        <w:rPr>
          <w:rFonts w:ascii="Book Antiqua" w:hAnsi="Book Antiqua"/>
          <w:sz w:val="24"/>
          <w:szCs w:val="24"/>
          <w:lang w:val="en-US"/>
        </w:rPr>
        <w:t xml:space="preserve">a </w:t>
      </w:r>
      <w:r w:rsidR="000C1AEA" w:rsidRPr="00612653">
        <w:rPr>
          <w:rFonts w:ascii="Book Antiqua" w:hAnsi="Book Antiqua"/>
          <w:sz w:val="24"/>
          <w:szCs w:val="24"/>
          <w:lang w:val="en-US"/>
        </w:rPr>
        <w:t xml:space="preserve">critical factor </w:t>
      </w:r>
      <w:r w:rsidR="005E24D5" w:rsidRPr="00612653">
        <w:rPr>
          <w:rFonts w:ascii="Book Antiqua" w:hAnsi="Book Antiqua"/>
          <w:sz w:val="24"/>
          <w:szCs w:val="24"/>
          <w:lang w:val="en-US"/>
        </w:rPr>
        <w:t xml:space="preserve">in </w:t>
      </w:r>
      <w:r w:rsidR="008D6661" w:rsidRPr="00612653">
        <w:rPr>
          <w:rFonts w:ascii="Book Antiqua" w:hAnsi="Book Antiqua"/>
          <w:sz w:val="24"/>
          <w:szCs w:val="24"/>
          <w:lang w:val="en-US"/>
        </w:rPr>
        <w:t xml:space="preserve">the assessment of treatment effects in </w:t>
      </w:r>
      <w:r w:rsidR="00422D88" w:rsidRPr="00612653">
        <w:rPr>
          <w:rFonts w:ascii="Book Antiqua" w:hAnsi="Book Antiqua"/>
          <w:sz w:val="24"/>
          <w:szCs w:val="24"/>
          <w:lang w:val="en-US"/>
        </w:rPr>
        <w:t>DIO mouse models of NASH</w:t>
      </w:r>
      <w:r w:rsidR="00265F0D" w:rsidRPr="00612653">
        <w:rPr>
          <w:rFonts w:ascii="Book Antiqua" w:hAnsi="Book Antiqua"/>
          <w:sz w:val="24"/>
          <w:szCs w:val="24"/>
          <w:lang w:val="en-US"/>
        </w:rPr>
        <w:t xml:space="preserve">. </w:t>
      </w:r>
      <w:r w:rsidR="00EF734B" w:rsidRPr="00612653">
        <w:rPr>
          <w:rFonts w:ascii="Book Antiqua" w:hAnsi="Book Antiqua"/>
          <w:sz w:val="24"/>
          <w:szCs w:val="24"/>
          <w:lang w:val="en-US"/>
        </w:rPr>
        <w:t>However</w:t>
      </w:r>
      <w:r w:rsidR="00BD538E" w:rsidRPr="00612653">
        <w:rPr>
          <w:rFonts w:ascii="Book Antiqua" w:hAnsi="Book Antiqua"/>
          <w:sz w:val="24"/>
          <w:szCs w:val="24"/>
          <w:lang w:val="en-US"/>
        </w:rPr>
        <w:t>, disease state heterogeneity</w:t>
      </w:r>
      <w:r w:rsidR="00C67FBF" w:rsidRPr="00612653">
        <w:rPr>
          <w:rFonts w:ascii="Book Antiqua" w:hAnsi="Book Antiqua"/>
          <w:sz w:val="24"/>
          <w:szCs w:val="24"/>
          <w:lang w:val="en-US"/>
        </w:rPr>
        <w:t xml:space="preserve"> is often </w:t>
      </w:r>
      <w:r w:rsidR="00BD538E" w:rsidRPr="00612653">
        <w:rPr>
          <w:rFonts w:ascii="Book Antiqua" w:hAnsi="Book Antiqua"/>
          <w:sz w:val="24"/>
          <w:szCs w:val="24"/>
          <w:lang w:val="en-US"/>
        </w:rPr>
        <w:t xml:space="preserve">overlooked </w:t>
      </w:r>
      <w:r w:rsidR="00B12EA9" w:rsidRPr="00612653">
        <w:rPr>
          <w:rFonts w:ascii="Book Antiqua" w:hAnsi="Book Antiqua"/>
          <w:sz w:val="24"/>
          <w:szCs w:val="24"/>
          <w:lang w:val="en-US"/>
        </w:rPr>
        <w:t>in preclinical NASH studies</w:t>
      </w:r>
      <w:r w:rsidR="00BD538E" w:rsidRPr="00612653">
        <w:rPr>
          <w:rFonts w:ascii="Book Antiqua" w:hAnsi="Book Antiqua"/>
          <w:sz w:val="24"/>
          <w:szCs w:val="24"/>
          <w:lang w:val="en-US"/>
        </w:rPr>
        <w:t xml:space="preserve"> which may </w:t>
      </w:r>
      <w:r w:rsidR="00E55CB7" w:rsidRPr="00612653">
        <w:rPr>
          <w:rFonts w:ascii="Book Antiqua" w:hAnsi="Book Antiqua"/>
          <w:sz w:val="24"/>
          <w:szCs w:val="24"/>
          <w:lang w:val="en-US"/>
        </w:rPr>
        <w:t>result in</w:t>
      </w:r>
      <w:r w:rsidR="00B12EA9" w:rsidRPr="00612653">
        <w:rPr>
          <w:rFonts w:ascii="Book Antiqua" w:hAnsi="Book Antiqua"/>
          <w:sz w:val="24"/>
          <w:szCs w:val="24"/>
          <w:lang w:val="en-US"/>
        </w:rPr>
        <w:t xml:space="preserve"> </w:t>
      </w:r>
      <w:r w:rsidR="00BD538E" w:rsidRPr="00612653">
        <w:rPr>
          <w:rFonts w:ascii="Book Antiqua" w:hAnsi="Book Antiqua"/>
          <w:sz w:val="24"/>
          <w:szCs w:val="24"/>
          <w:lang w:val="en-US"/>
        </w:rPr>
        <w:t xml:space="preserve">unintentional large </w:t>
      </w:r>
      <w:r w:rsidR="006E4B9C" w:rsidRPr="00612653">
        <w:rPr>
          <w:rFonts w:ascii="Book Antiqua" w:hAnsi="Book Antiqua"/>
          <w:sz w:val="24"/>
          <w:szCs w:val="24"/>
          <w:lang w:val="en-US"/>
        </w:rPr>
        <w:t>variability in endpoint histopathology</w:t>
      </w:r>
      <w:r w:rsidR="00E55CB7" w:rsidRPr="00612653">
        <w:rPr>
          <w:rFonts w:ascii="Book Antiqua" w:hAnsi="Book Antiqua"/>
          <w:sz w:val="24"/>
          <w:szCs w:val="24"/>
          <w:lang w:val="en-US"/>
        </w:rPr>
        <w:t xml:space="preserve"> and</w:t>
      </w:r>
      <w:r w:rsidR="00C67FBF" w:rsidRPr="00612653">
        <w:rPr>
          <w:rFonts w:ascii="Book Antiqua" w:hAnsi="Book Antiqua"/>
          <w:sz w:val="24"/>
          <w:szCs w:val="24"/>
          <w:lang w:val="en-US"/>
        </w:rPr>
        <w:t xml:space="preserve"> </w:t>
      </w:r>
      <w:r w:rsidR="00B12EA9" w:rsidRPr="00612653">
        <w:rPr>
          <w:rFonts w:ascii="Book Antiqua" w:hAnsi="Book Antiqua"/>
          <w:sz w:val="24"/>
          <w:szCs w:val="24"/>
          <w:lang w:val="en-US"/>
        </w:rPr>
        <w:t xml:space="preserve">narrow the window for detection of </w:t>
      </w:r>
      <w:r w:rsidR="008D6661" w:rsidRPr="00612653">
        <w:rPr>
          <w:rFonts w:ascii="Book Antiqua" w:hAnsi="Book Antiqua"/>
          <w:sz w:val="24"/>
          <w:szCs w:val="24"/>
          <w:lang w:val="en-US"/>
        </w:rPr>
        <w:t>therapeutic</w:t>
      </w:r>
      <w:r w:rsidR="00B12EA9" w:rsidRPr="00612653">
        <w:rPr>
          <w:rFonts w:ascii="Book Antiqua" w:hAnsi="Book Antiqua"/>
          <w:sz w:val="24"/>
          <w:szCs w:val="24"/>
          <w:lang w:val="en-US"/>
        </w:rPr>
        <w:t xml:space="preserve"> effects</w:t>
      </w:r>
      <w:r w:rsidR="006E4B9C" w:rsidRPr="00612653">
        <w:rPr>
          <w:rFonts w:ascii="Book Antiqua" w:hAnsi="Book Antiqua"/>
          <w:sz w:val="24"/>
          <w:szCs w:val="24"/>
          <w:lang w:val="en-US"/>
        </w:rPr>
        <w:t>.</w:t>
      </w:r>
      <w:r w:rsidR="00F851E0" w:rsidRPr="00612653">
        <w:rPr>
          <w:rFonts w:ascii="Book Antiqua" w:hAnsi="Book Antiqua"/>
          <w:sz w:val="24"/>
          <w:szCs w:val="24"/>
          <w:lang w:val="en-US"/>
        </w:rPr>
        <w:t xml:space="preserve"> </w:t>
      </w:r>
      <w:r w:rsidR="00445AE7" w:rsidRPr="00612653">
        <w:rPr>
          <w:rFonts w:ascii="Book Antiqua" w:hAnsi="Book Antiqua"/>
          <w:sz w:val="24"/>
          <w:szCs w:val="24"/>
          <w:lang w:val="en-US"/>
        </w:rPr>
        <w:t xml:space="preserve">Another factor to be considered in preclinical drug development for NASH is </w:t>
      </w:r>
      <w:r w:rsidR="00E55CB7" w:rsidRPr="00612653">
        <w:rPr>
          <w:rFonts w:ascii="Book Antiqua" w:hAnsi="Book Antiqua"/>
          <w:sz w:val="24"/>
          <w:szCs w:val="24"/>
          <w:lang w:val="en-US"/>
        </w:rPr>
        <w:t xml:space="preserve">that </w:t>
      </w:r>
      <w:r w:rsidR="00C42961" w:rsidRPr="00612653">
        <w:rPr>
          <w:rFonts w:ascii="Book Antiqua" w:hAnsi="Book Antiqua"/>
          <w:sz w:val="24"/>
          <w:szCs w:val="24"/>
          <w:lang w:val="en-US"/>
        </w:rPr>
        <w:t>drug treatment pe</w:t>
      </w:r>
      <w:r w:rsidR="00671FD1" w:rsidRPr="00612653">
        <w:rPr>
          <w:rFonts w:ascii="Book Antiqua" w:hAnsi="Book Antiqua"/>
          <w:sz w:val="24"/>
          <w:szCs w:val="24"/>
          <w:lang w:val="en-US"/>
        </w:rPr>
        <w:t xml:space="preserve">riods </w:t>
      </w:r>
      <w:r w:rsidR="00C27F86" w:rsidRPr="00612653">
        <w:rPr>
          <w:rFonts w:ascii="Book Antiqua" w:hAnsi="Book Antiqua"/>
          <w:sz w:val="24"/>
          <w:szCs w:val="24"/>
          <w:lang w:val="en-US"/>
        </w:rPr>
        <w:t xml:space="preserve">in </w:t>
      </w:r>
      <w:r w:rsidR="00E601D0" w:rsidRPr="00612653">
        <w:rPr>
          <w:rFonts w:ascii="Book Antiqua" w:hAnsi="Book Antiqua"/>
          <w:sz w:val="24"/>
          <w:szCs w:val="24"/>
          <w:lang w:val="en-US"/>
        </w:rPr>
        <w:t xml:space="preserve">mouse </w:t>
      </w:r>
      <w:r w:rsidR="00C27F86" w:rsidRPr="00612653">
        <w:rPr>
          <w:rFonts w:ascii="Book Antiqua" w:hAnsi="Book Antiqua"/>
          <w:sz w:val="24"/>
          <w:szCs w:val="24"/>
          <w:lang w:val="en-US"/>
        </w:rPr>
        <w:t xml:space="preserve">models of NASH </w:t>
      </w:r>
      <w:r w:rsidR="00C42961" w:rsidRPr="00612653">
        <w:rPr>
          <w:rFonts w:ascii="Book Antiqua" w:hAnsi="Book Antiqua"/>
          <w:sz w:val="24"/>
          <w:szCs w:val="24"/>
          <w:lang w:val="en-US"/>
        </w:rPr>
        <w:t xml:space="preserve">have varied from subacute to chronic dosing </w:t>
      </w:r>
      <w:r w:rsidR="00671FD1" w:rsidRPr="00612653">
        <w:rPr>
          <w:rFonts w:ascii="Book Antiqua" w:hAnsi="Book Antiqua"/>
          <w:sz w:val="24"/>
          <w:szCs w:val="24"/>
          <w:lang w:val="en-US"/>
        </w:rPr>
        <w:t>settings</w:t>
      </w:r>
      <w:r w:rsidR="00C42961" w:rsidRPr="00612653">
        <w:rPr>
          <w:rFonts w:ascii="Book Antiqua" w:hAnsi="Book Antiqua"/>
          <w:sz w:val="24"/>
          <w:szCs w:val="24"/>
          <w:lang w:val="en-US"/>
        </w:rPr>
        <w:t xml:space="preserve"> with histological endpoints evaluated by different qualitative and quantitative methods</w:t>
      </w:r>
      <w:r w:rsidR="00C27F86" w:rsidRPr="00612653">
        <w:rPr>
          <w:rFonts w:ascii="Book Antiqua" w:hAnsi="Book Antiqua"/>
          <w:sz w:val="24"/>
          <w:szCs w:val="24"/>
          <w:lang w:val="en-US"/>
        </w:rPr>
        <w:t xml:space="preserve">. </w:t>
      </w:r>
      <w:r w:rsidR="00C67FBF" w:rsidRPr="00612653">
        <w:rPr>
          <w:rFonts w:ascii="Book Antiqua" w:hAnsi="Book Antiqua"/>
          <w:sz w:val="24"/>
          <w:szCs w:val="24"/>
          <w:lang w:val="en-US"/>
        </w:rPr>
        <w:t>C</w:t>
      </w:r>
      <w:r w:rsidR="00C42961" w:rsidRPr="00612653">
        <w:rPr>
          <w:rFonts w:ascii="Book Antiqua" w:hAnsi="Book Antiqua"/>
          <w:sz w:val="24"/>
          <w:szCs w:val="24"/>
          <w:lang w:val="en-US"/>
        </w:rPr>
        <w:t>omparison of preclinical treatment effects</w:t>
      </w:r>
      <w:r w:rsidR="00C27F86" w:rsidRPr="00612653">
        <w:rPr>
          <w:rFonts w:ascii="Book Antiqua" w:hAnsi="Book Antiqua"/>
          <w:sz w:val="24"/>
          <w:szCs w:val="24"/>
          <w:lang w:val="en-US"/>
        </w:rPr>
        <w:t xml:space="preserve"> of potential anti-NASH compounds</w:t>
      </w:r>
      <w:r w:rsidR="00C42961" w:rsidRPr="00612653">
        <w:rPr>
          <w:rFonts w:ascii="Book Antiqua" w:hAnsi="Book Antiqua"/>
          <w:sz w:val="24"/>
          <w:szCs w:val="24"/>
          <w:lang w:val="en-US"/>
        </w:rPr>
        <w:t xml:space="preserve"> is therefore misleading in the absence of head-to-head </w:t>
      </w:r>
      <w:r w:rsidR="00C54BED" w:rsidRPr="00612653">
        <w:rPr>
          <w:rFonts w:ascii="Book Antiqua" w:hAnsi="Book Antiqua"/>
          <w:sz w:val="24"/>
          <w:szCs w:val="24"/>
          <w:lang w:val="en-US"/>
        </w:rPr>
        <w:t xml:space="preserve">pharmacological </w:t>
      </w:r>
      <w:r w:rsidR="00C42961" w:rsidRPr="00612653">
        <w:rPr>
          <w:rFonts w:ascii="Book Antiqua" w:hAnsi="Book Antiqua"/>
          <w:sz w:val="24"/>
          <w:szCs w:val="24"/>
          <w:lang w:val="en-US"/>
        </w:rPr>
        <w:t>studies</w:t>
      </w:r>
      <w:r w:rsidR="00E601D0" w:rsidRPr="00612653">
        <w:rPr>
          <w:rFonts w:ascii="Book Antiqua" w:hAnsi="Book Antiqua"/>
          <w:sz w:val="24"/>
          <w:szCs w:val="24"/>
          <w:lang w:val="en-US"/>
        </w:rPr>
        <w:t xml:space="preserve"> in experimental models of NASH</w:t>
      </w:r>
      <w:r w:rsidR="00C42961" w:rsidRPr="00612653">
        <w:rPr>
          <w:rFonts w:ascii="Book Antiqua" w:hAnsi="Book Antiqua"/>
          <w:sz w:val="24"/>
          <w:szCs w:val="24"/>
          <w:lang w:val="en-US"/>
        </w:rPr>
        <w:t>.</w:t>
      </w:r>
    </w:p>
    <w:p w14:paraId="0328C168" w14:textId="29D09A19" w:rsidR="00D15D8C" w:rsidRPr="00612653" w:rsidRDefault="004A6F51" w:rsidP="00082279">
      <w:pPr>
        <w:snapToGrid w:val="0"/>
        <w:spacing w:after="0" w:line="360" w:lineRule="auto"/>
        <w:ind w:firstLineChars="100" w:firstLine="240"/>
        <w:jc w:val="both"/>
        <w:rPr>
          <w:rFonts w:ascii="Book Antiqua" w:hAnsi="Book Antiqua"/>
          <w:sz w:val="24"/>
          <w:szCs w:val="24"/>
          <w:lang w:val="en-US" w:eastAsia="zh-CN"/>
        </w:rPr>
      </w:pPr>
      <w:r w:rsidRPr="00612653">
        <w:rPr>
          <w:rFonts w:ascii="Book Antiqua" w:hAnsi="Book Antiqua"/>
          <w:sz w:val="24"/>
          <w:szCs w:val="24"/>
          <w:lang w:val="en-US"/>
        </w:rPr>
        <w:t>W</w:t>
      </w:r>
      <w:r w:rsidR="00D20BBE" w:rsidRPr="00612653">
        <w:rPr>
          <w:rFonts w:ascii="Book Antiqua" w:hAnsi="Book Antiqua"/>
          <w:sz w:val="24"/>
          <w:szCs w:val="24"/>
          <w:lang w:val="en-US"/>
        </w:rPr>
        <w:t xml:space="preserve">e </w:t>
      </w:r>
      <w:r w:rsidR="00975903" w:rsidRPr="00612653">
        <w:rPr>
          <w:rFonts w:ascii="Book Antiqua" w:hAnsi="Book Antiqua"/>
          <w:sz w:val="24"/>
          <w:szCs w:val="24"/>
          <w:lang w:val="en-US"/>
        </w:rPr>
        <w:t>have recently reported</w:t>
      </w:r>
      <w:r w:rsidR="00E51F13" w:rsidRPr="00612653">
        <w:rPr>
          <w:rFonts w:ascii="Book Antiqua" w:hAnsi="Book Antiqua"/>
          <w:sz w:val="24"/>
          <w:szCs w:val="24"/>
          <w:lang w:val="en-US"/>
        </w:rPr>
        <w:t xml:space="preserve"> </w:t>
      </w:r>
      <w:r w:rsidR="00D20BBE" w:rsidRPr="00612653">
        <w:rPr>
          <w:rFonts w:ascii="Book Antiqua" w:hAnsi="Book Antiqua"/>
          <w:sz w:val="24"/>
          <w:szCs w:val="24"/>
          <w:lang w:val="en-US"/>
        </w:rPr>
        <w:t xml:space="preserve">liver </w:t>
      </w:r>
      <w:r w:rsidR="00975903" w:rsidRPr="00612653">
        <w:rPr>
          <w:rFonts w:ascii="Book Antiqua" w:hAnsi="Book Antiqua"/>
          <w:sz w:val="24"/>
          <w:szCs w:val="24"/>
          <w:lang w:val="en-US"/>
        </w:rPr>
        <w:t xml:space="preserve">biopsy-confirmed </w:t>
      </w:r>
      <w:r w:rsidR="00D20BBE" w:rsidRPr="00612653">
        <w:rPr>
          <w:rFonts w:ascii="Book Antiqua" w:hAnsi="Book Antiqua"/>
          <w:sz w:val="24"/>
          <w:szCs w:val="24"/>
          <w:lang w:val="en-US"/>
        </w:rPr>
        <w:t>histo</w:t>
      </w:r>
      <w:r w:rsidR="00975903" w:rsidRPr="00612653">
        <w:rPr>
          <w:rFonts w:ascii="Book Antiqua" w:hAnsi="Book Antiqua"/>
          <w:sz w:val="24"/>
          <w:szCs w:val="24"/>
          <w:lang w:val="en-US"/>
        </w:rPr>
        <w:t>pathology in wild-type (DIO-NASH) and genetically obese (</w:t>
      </w:r>
      <w:r w:rsidR="00975903" w:rsidRPr="00612653">
        <w:rPr>
          <w:rFonts w:ascii="Book Antiqua" w:hAnsi="Book Antiqua"/>
          <w:i/>
          <w:iCs/>
          <w:sz w:val="24"/>
          <w:szCs w:val="24"/>
          <w:lang w:val="en-US"/>
        </w:rPr>
        <w:t>ob/ob</w:t>
      </w:r>
      <w:r w:rsidR="00975903" w:rsidRPr="00612653">
        <w:rPr>
          <w:rFonts w:ascii="Book Antiqua" w:hAnsi="Book Antiqua"/>
          <w:sz w:val="24"/>
          <w:szCs w:val="24"/>
          <w:lang w:val="en-US"/>
        </w:rPr>
        <w:t>-NASH) mouse models of NASH</w:t>
      </w:r>
      <w:r w:rsidR="00975903" w:rsidRPr="00612653">
        <w:rPr>
          <w:rFonts w:ascii="Book Antiqua" w:hAnsi="Book Antiqua"/>
          <w:sz w:val="24"/>
          <w:szCs w:val="24"/>
        </w:rPr>
        <w:fldChar w:fldCharType="begin" w:fldLock="1"/>
      </w:r>
      <w:r w:rsidR="00267B22" w:rsidRPr="00612653">
        <w:rPr>
          <w:rFonts w:ascii="Book Antiqua" w:hAnsi="Book Antiqua"/>
          <w:sz w:val="24"/>
          <w:szCs w:val="24"/>
          <w:lang w:val="en-US"/>
        </w:rPr>
        <w:instrText>ADDIN CSL_CITATION { "citationItems" : [ { "id" : "ITEM-1", "itemData" : { "DOI" : "10.4254/wjh.v8.i16.673", "ISSN" : "1948-5182", "PMID" : "27326314", "abstract" : "AIM To characterize development of diet-induced nonalcoholic steatohepatitis (NASH) by performing liver biopsy in wild-type and genetically obese mice. METHODS Male wild-type C57BL/6J (C57) mice (DIO-NASH) and male Lep(ob) /Lep(ob) (ob/ob) mice (ob/ob-NASH) were maintained on a diet high in trans-fat (40%), fructose (22%) and cholesterol (2%) for 26 and 12 wk, respectively. A normal chow diet served as control in C57 mice (lean chow) and ob/ob mice (ob/ob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ob/ob-NASH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ob/ob-NASH vs DIO-NASH mice. During the eight week repeated vehicle dosing period, the metabolic phenotype was sustained in DIO-NASH and ob/ob-NASH mice in conjunction with hepatomegaly and increased hepatic lipids and collagen accumulation. Histopathological scoring demonstrated significantly increased NAS of DIO-NASH mice (0 vs 4.7 \u00b1 0.4, P &lt; 0.001 compared to lean chow) and ob/ob-NASH mice (2.4 \u00b1 0.3 vs 6.3 \u00b1 0.2, P &lt; 0.001 compared to ob/ob chow), respectively. Furthermore, fibrosis stage was significantly elevated for DIO-NASH mice (0 vs 1.2 \u00b1 0.2, P &lt; 0.05 compared to lean chow) and ob/ob NASH (0.1 \u00b1 0.1 vs 3.0 \u00b1 0.2, P &lt; 0.001 compared to ob/ob chow). Notably, fibrosis stage was significantly (P &lt; 0.001) increased in ob/ob-NASH mice, when compared to DIO-NASH mice. CONCLUSION These data introduce the obese diet-induced DIO-NASH and ob/ob-NASH mouse models\u2026", "author" : [ { "dropping-particle" : "", "family" : "Kristiansen", "given" : "Maria Nicoline Baandrup",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"T\u00f8lb\u00f8l", "given" : "Kirstine Sloth", "non-dropping-particle" : "", "parse-names" : false, "suffix" : "" }, { "dropping-particle" : "", "family" : "Roth", "given" : "Jonathan David", "non-dropping-particle" : "", "parse-names" : false, "suffix" : "" }, { "dropping-particle" : "", "family" : "Jelsing", "given" : "Jacob", "non-dropping-particle" : "", "parse-names" : false, "suffix" : "" }, { "dropping-particle" : "", "family" : "Vrang", "given" : "Niels", "non-dropping-particle" : "", "parse-names" : false, "suffix" : "" }, { "dropping-particle" : "", "family" : "Feigh", "given" : "Michael", "non-dropping-particle" : "", "parse-names" : false, "suffix" : "" } ], "container-title" : "World Journal of Hepatology", "id" : "ITEM-1", "issue" : "16", "issued" : { "date-parts" : [ [ "2016", "6", "8" ] ] }, "page" : "673", "title" : "Obese diet-induced mouse models of nonalcoholic steatohepatitis-tracking disease by liver biopsy", "type" : "article-journal", "volume" : "8" }, "uris" : [ "http://www.mendeley.com/documents/?uuid=69bb0cda-5036-450b-90a1-83c8b0817689" ] } ], "mendeley" : { "formattedCitation" : "&lt;sup&gt;[19]&lt;/sup&gt;", "plainTextFormattedCitation" : "[19]", "previouslyFormattedCitation" : "&lt;sup&gt;[19]&lt;/sup&gt;" }, "properties" : { "noteIndex" : 0 }, "schema" : "https://github.com/citation-style-language/schema/raw/master/csl-citation.json" }</w:instrText>
      </w:r>
      <w:r w:rsidR="00975903" w:rsidRPr="00612653">
        <w:rPr>
          <w:rFonts w:ascii="Book Antiqua" w:hAnsi="Book Antiqua"/>
          <w:sz w:val="24"/>
          <w:szCs w:val="24"/>
          <w:vertAlign w:val="superscript"/>
          <w:lang w:val="en-US"/>
        </w:rPr>
        <w:fldChar w:fldCharType="separate"/>
      </w:r>
      <w:r w:rsidR="00267B22" w:rsidRPr="00612653">
        <w:rPr>
          <w:rFonts w:ascii="Book Antiqua" w:hAnsi="Book Antiqua"/>
          <w:noProof/>
          <w:sz w:val="24"/>
          <w:szCs w:val="24"/>
          <w:vertAlign w:val="superscript"/>
          <w:lang w:val="en-US"/>
        </w:rPr>
        <w:t>[19]</w:t>
      </w:r>
      <w:r w:rsidR="00975903" w:rsidRPr="00612653">
        <w:rPr>
          <w:rFonts w:ascii="Book Antiqua" w:hAnsi="Book Antiqua"/>
          <w:sz w:val="24"/>
          <w:szCs w:val="24"/>
        </w:rPr>
        <w:fldChar w:fldCharType="end"/>
      </w:r>
      <w:r w:rsidR="00975903" w:rsidRPr="00612653">
        <w:rPr>
          <w:rFonts w:ascii="Book Antiqua" w:hAnsi="Book Antiqua"/>
          <w:sz w:val="24"/>
          <w:szCs w:val="24"/>
          <w:lang w:val="en-US"/>
        </w:rPr>
        <w:t xml:space="preserve">. </w:t>
      </w:r>
      <w:r w:rsidR="00354D67" w:rsidRPr="00612653">
        <w:rPr>
          <w:rFonts w:ascii="Book Antiqua" w:hAnsi="Book Antiqua"/>
          <w:sz w:val="24"/>
          <w:szCs w:val="24"/>
          <w:lang w:val="en-US"/>
        </w:rPr>
        <w:t>B</w:t>
      </w:r>
      <w:r w:rsidR="00975903" w:rsidRPr="00612653">
        <w:rPr>
          <w:rFonts w:ascii="Book Antiqua" w:hAnsi="Book Antiqua"/>
          <w:sz w:val="24"/>
          <w:szCs w:val="24"/>
          <w:lang w:val="en-US"/>
        </w:rPr>
        <w:t xml:space="preserve">oth models display hallmarks of NASH, </w:t>
      </w:r>
      <w:r w:rsidR="00975903" w:rsidRPr="00612653">
        <w:rPr>
          <w:rFonts w:ascii="Book Antiqua" w:hAnsi="Book Antiqua"/>
          <w:i/>
          <w:iCs/>
          <w:sz w:val="24"/>
          <w:szCs w:val="24"/>
          <w:lang w:val="en-US"/>
        </w:rPr>
        <w:t>i.e.</w:t>
      </w:r>
      <w:r w:rsidR="00975903" w:rsidRPr="00612653">
        <w:rPr>
          <w:rFonts w:ascii="Book Antiqua" w:hAnsi="Book Antiqua"/>
          <w:sz w:val="24"/>
          <w:szCs w:val="24"/>
          <w:lang w:val="en-US"/>
        </w:rPr>
        <w:t xml:space="preserve"> steatosis, lobular inflammation, hepatocellular ballooning, but are distinguishe</w:t>
      </w:r>
      <w:r w:rsidR="005B660C" w:rsidRPr="00612653">
        <w:rPr>
          <w:rFonts w:ascii="Book Antiqua" w:hAnsi="Book Antiqua"/>
          <w:sz w:val="24"/>
          <w:szCs w:val="24"/>
          <w:lang w:val="en-US"/>
        </w:rPr>
        <w:t xml:space="preserve">d </w:t>
      </w:r>
      <w:r w:rsidR="00445AE7" w:rsidRPr="00612653">
        <w:rPr>
          <w:rFonts w:ascii="Book Antiqua" w:hAnsi="Book Antiqua"/>
          <w:sz w:val="24"/>
          <w:szCs w:val="24"/>
          <w:lang w:val="en-US"/>
        </w:rPr>
        <w:t xml:space="preserve">histologically </w:t>
      </w:r>
      <w:r w:rsidR="005B660C" w:rsidRPr="00612653">
        <w:rPr>
          <w:rFonts w:ascii="Book Antiqua" w:hAnsi="Book Antiqua"/>
          <w:sz w:val="24"/>
          <w:szCs w:val="24"/>
          <w:lang w:val="en-US"/>
        </w:rPr>
        <w:t>by the representation of mild</w:t>
      </w:r>
      <w:r w:rsidR="00975903" w:rsidRPr="00612653">
        <w:rPr>
          <w:rFonts w:ascii="Book Antiqua" w:hAnsi="Book Antiqua"/>
          <w:sz w:val="24"/>
          <w:szCs w:val="24"/>
          <w:lang w:val="en-US"/>
        </w:rPr>
        <w:t xml:space="preserve"> (DIO-NASH) </w:t>
      </w:r>
      <w:r w:rsidR="005B660C" w:rsidRPr="00612653">
        <w:rPr>
          <w:rFonts w:ascii="Book Antiqua" w:hAnsi="Book Antiqua"/>
          <w:sz w:val="24"/>
          <w:szCs w:val="24"/>
          <w:lang w:val="en-US"/>
        </w:rPr>
        <w:t>or</w:t>
      </w:r>
      <w:r w:rsidR="00975903" w:rsidRPr="00612653">
        <w:rPr>
          <w:rFonts w:ascii="Book Antiqua" w:hAnsi="Book Antiqua"/>
          <w:sz w:val="24"/>
          <w:szCs w:val="24"/>
          <w:lang w:val="en-US"/>
        </w:rPr>
        <w:t xml:space="preserve"> moderate</w:t>
      </w:r>
      <w:r w:rsidR="005B660C" w:rsidRPr="00612653">
        <w:rPr>
          <w:rFonts w:ascii="Book Antiqua" w:hAnsi="Book Antiqua"/>
          <w:sz w:val="24"/>
          <w:szCs w:val="24"/>
          <w:lang w:val="en-US"/>
        </w:rPr>
        <w:t xml:space="preserve"> </w:t>
      </w:r>
      <w:r w:rsidR="00975903" w:rsidRPr="00612653">
        <w:rPr>
          <w:rFonts w:ascii="Book Antiqua" w:hAnsi="Book Antiqua"/>
          <w:sz w:val="24"/>
          <w:szCs w:val="24"/>
          <w:lang w:val="en-US"/>
        </w:rPr>
        <w:t>(</w:t>
      </w:r>
      <w:r w:rsidR="00975903" w:rsidRPr="00612653">
        <w:rPr>
          <w:rFonts w:ascii="Book Antiqua" w:hAnsi="Book Antiqua"/>
          <w:i/>
          <w:iCs/>
          <w:sz w:val="24"/>
          <w:szCs w:val="24"/>
          <w:lang w:val="en-US"/>
        </w:rPr>
        <w:t>ob/ob</w:t>
      </w:r>
      <w:r w:rsidR="00975903" w:rsidRPr="00612653">
        <w:rPr>
          <w:rFonts w:ascii="Book Antiqua" w:hAnsi="Book Antiqua"/>
          <w:sz w:val="24"/>
          <w:szCs w:val="24"/>
          <w:lang w:val="en-US"/>
        </w:rPr>
        <w:t xml:space="preserve">-NASH) </w:t>
      </w:r>
      <w:r w:rsidR="005B660C" w:rsidRPr="00612653">
        <w:rPr>
          <w:rFonts w:ascii="Book Antiqua" w:hAnsi="Book Antiqua"/>
          <w:sz w:val="24"/>
          <w:szCs w:val="24"/>
          <w:lang w:val="en-US"/>
        </w:rPr>
        <w:t xml:space="preserve">grade </w:t>
      </w:r>
      <w:r w:rsidR="00DC5C89" w:rsidRPr="00612653">
        <w:rPr>
          <w:rFonts w:ascii="Book Antiqua" w:hAnsi="Book Antiqua"/>
          <w:sz w:val="24"/>
          <w:szCs w:val="24"/>
          <w:lang w:val="en-US"/>
        </w:rPr>
        <w:t xml:space="preserve">hepatic </w:t>
      </w:r>
      <w:r w:rsidR="00975903" w:rsidRPr="00612653">
        <w:rPr>
          <w:rFonts w:ascii="Book Antiqua" w:hAnsi="Book Antiqua"/>
          <w:sz w:val="24"/>
          <w:szCs w:val="24"/>
          <w:lang w:val="en-US"/>
        </w:rPr>
        <w:t>fibro</w:t>
      </w:r>
      <w:r w:rsidR="00270FA5" w:rsidRPr="00612653">
        <w:rPr>
          <w:rFonts w:ascii="Book Antiqua" w:hAnsi="Book Antiqua"/>
          <w:sz w:val="24"/>
          <w:szCs w:val="24"/>
          <w:lang w:val="en-US"/>
        </w:rPr>
        <w:t>sis</w:t>
      </w:r>
      <w:r w:rsidR="00975903" w:rsidRPr="00612653">
        <w:rPr>
          <w:rFonts w:ascii="Book Antiqua" w:hAnsi="Book Antiqua"/>
          <w:sz w:val="24"/>
          <w:szCs w:val="24"/>
        </w:rPr>
        <w:fldChar w:fldCharType="begin" w:fldLock="1"/>
      </w:r>
      <w:r w:rsidR="004A5E9A" w:rsidRPr="00612653">
        <w:rPr>
          <w:rFonts w:ascii="Book Antiqua" w:hAnsi="Book Antiqua"/>
          <w:sz w:val="24"/>
          <w:szCs w:val="24"/>
          <w:lang w:val="en-US"/>
        </w:rPr>
        <w:instrText>ADDIN CSL_CITATION { "citationItems" : [ { "id" : "ITEM-1", "itemData" : { "DOI" : "10.1152/ajpgi.00079.2013", "ISBN" : "0193-1857", "ISSN" : "0193-1857", "PMID" : "23886860", "abstract" : "Shortcomings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\u223c18%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 "author" : [ { "dropping-particle" : "", "family" : "Clapper", "given" : "Jason R.", "non-dropping-particle" : "", "parse-names" : false, "suffix" : "" }, { "dropping-particle" : "", "family" : "Hendricks", "given" : "Michelle D.", "non-dropping-particle" : "", "parse-names" : false, "suffix" : "" }, { "dropping-particle" : "", "family" : "Gu", "given" : "Guibao", "non-dropping-particle" : "", "parse-names" : false, "suffix" : "" }, { "dropping-particle" : "", "family" : "Wittmer", "given" : "Carrie", "non-dropping-particle" : "", "parse-names" : false, "suffix" : "" }, { "dropping-particle" : "", "family" : "Dolman", "given" : "Carrie S.", "non-dropping-particle" : "", "parse-names" : false, "suffix" : "" }, { "dropping-particle" : "", "family" : "Herich", "given" : "John", "non-dropping-particle" : "", "parse-names" : false, "suffix" : "" }, { "dropping-particle" : "", "family" : "Athanacio", "given" : "Jennifer", "non-dropping-particle" : "", "parse-names" : false, "suffix" : "" }, { "dropping-particle" : "", "family" : "Villescaz", "given" : "Christiane", "non-dropping-particle" : "", "parse-names" : false, "suffix" : "" }, { "dropping-particle" : "", "family" : "Ghosh", "given" : "Soumitra S.", "non-dropping-particle" : "", "parse-names" : false, "suffix" : "" }, { "dropping-particle" : "", "family" : "Heilig", "given" : "Joseph S.", "non-dropping-particle" : "", "parse-names" : false, "suffix" : "" }, { "dropping-particle" : "", "family" : "Lowe", "given" : "Carolyn", "non-dropping-particle" : "", "parse-names" : false, "suffix" : "" }, { "dropping-particle" : "", "family" : "Roth", "given" : "Jonathan D.", "non-dropping-particle" : "", "parse-names" : false, "suffix" : "" } ], "container-title" : "AJP: Gastrointestinal and Liver Physiology", "id" : "ITEM-1", "issue" : "7", "issued" : { "date-parts" : [ [ "2013", "10", "1" ] ] }, "note" : "From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 "page" : "G483-G495", "title" : "Diet-induced mouse model of fatty liver disease and nonalcoholic steatohepatitis reflecting clinical disease progression and methods of assessment", "type" : "article-journal", "volume" : "305" }, "uris" : [ "http://www.mendeley.com/documents/?uuid=f296c90d-1058-4388-a031-b0fef4d5ade2" ] }, { "id" : "ITEM-2", "itemData" : { "DOI" : "10.4254/wjh.v8.i16.673", "ISSN" : "1948-5182", "PMID" : "27326314", "abstract" : "AIM To characterize development of diet-induced nonalcoholic steatohepatitis (NASH) by performing liver biopsy in wild-type and genetically obese mice. METHODS Male wild-type C57BL/6J (C57) mice (DIO-NASH) and male Lep(ob) /Lep(ob) (ob/ob) mice (ob/ob-NASH) were maintained on a diet high in trans-fat (40%), fructose (22%) and cholesterol (2%) for 26 and 12 wk, respectively. A normal chow diet served as control in C57 mice (lean chow) and ob/ob mice (ob/ob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ob/ob-NASH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ob/ob-NASH vs DIO-NASH mice. During the eight week repeated vehicle dosing period, the metabolic phenotype was sustained in DIO-NASH and ob/ob-NASH mice in conjunction with hepatomegaly and increased hepatic lipids and collagen accumulation. Histopathological scoring demonstrated significantly increased NAS of DIO-NASH mice (0 vs 4.7 \u00b1 0.4, P &lt; 0.001 compared to lean chow) and ob/ob-NASH mice (2.4 \u00b1 0.3 vs 6.3 \u00b1 0.2, P &lt; 0.001 compared to ob/ob chow), respectively. Furthermore, fibrosis stage was significantly elevated for DIO-NASH mice (0 vs 1.2 \u00b1 0.2, P &lt; 0.05 compared to lean chow) and ob/ob NASH (0.1 \u00b1 0.1 vs 3.0 \u00b1 0.2, P &lt; 0.001 compared to ob/ob chow). Notably, fibrosis stage was significantly (P &lt; 0.001) increased in ob/ob-NASH mice, when compared to DIO-NASH mice. CONCLUSION These data introduce the obese diet-induced DIO-NASH and ob/ob-NASH mouse models\u2026", "author" : [ { "dropping-particle" : "", "family" : "Kristiansen", "given" : "Maria Nicoline Baandrup",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"T\u00f8lb\u00f8l", "given" : "Kirstine Sloth", "non-dropping-particle" : "", "parse-names" : false, "suffix" : "" }, { "dropping-particle" : "", "family" : "Roth", "given" : "Jonathan David", "non-dropping-particle" : "", "parse-names" : false, "suffix" : "" }, { "dropping-particle" : "", "family" : "Jelsing", "given" : "Jacob", "non-dropping-particle" : "", "parse-names" : false, "suffix" : "" }, { "dropping-particle" : "", "family" : "Vrang", "given" : "Niels", "non-dropping-particle" : "", "parse-names" : false, "suffix" : "" }, { "dropping-particle" : "", "family" : "Feigh", "given" : "Michael", "non-dropping-particle" : "", "parse-names" : false, "suffix" : "" } ], "container-title" : "World Journal of Hepatology", "id" : "ITEM-2", "issue" : "16", "issued" : { "date-parts" : [ [ "2016", "6", "8" ] ] }, "page" : "673", "title" : "Obese diet-induced mouse models of nonalcoholic steatohepatitis-tracking disease by liver biopsy", "type" : "article-journal", "volume" : "8" }, "uris" : [ "http://www.mendeley.com/documents/?uuid=69bb0cda-5036-450b-90a1-83c8b0817689" ] } ], "mendeley" : { "formattedCitation" : "&lt;sup&gt;[9,19]&lt;/sup&gt;", "plainTextFormattedCitation" : "[9,19]", "previouslyFormattedCitation" : "&lt;sup&gt;[9,19]&lt;/sup&gt;" }, "properties" : { "noteIndex" : 0 }, "schema" : "https://github.com/citation-style-language/schema/raw/master/csl-citation.json" }</w:instrText>
      </w:r>
      <w:r w:rsidR="00975903" w:rsidRPr="00612653">
        <w:rPr>
          <w:rFonts w:ascii="Book Antiqua" w:hAnsi="Book Antiqua"/>
          <w:sz w:val="24"/>
          <w:szCs w:val="24"/>
          <w:lang w:val="en-US"/>
        </w:rPr>
        <w:fldChar w:fldCharType="separate"/>
      </w:r>
      <w:r w:rsidR="004A5E9A" w:rsidRPr="00612653">
        <w:rPr>
          <w:rFonts w:ascii="Book Antiqua" w:hAnsi="Book Antiqua"/>
          <w:noProof/>
          <w:sz w:val="24"/>
          <w:szCs w:val="24"/>
          <w:vertAlign w:val="superscript"/>
          <w:lang w:val="en-US"/>
        </w:rPr>
        <w:t>[9,19]</w:t>
      </w:r>
      <w:r w:rsidR="00975903" w:rsidRPr="00612653">
        <w:rPr>
          <w:rFonts w:ascii="Book Antiqua" w:hAnsi="Book Antiqua"/>
          <w:sz w:val="24"/>
          <w:szCs w:val="24"/>
        </w:rPr>
        <w:fldChar w:fldCharType="end"/>
      </w:r>
      <w:r w:rsidR="00975903" w:rsidRPr="00612653">
        <w:rPr>
          <w:rFonts w:ascii="Book Antiqua" w:hAnsi="Book Antiqua"/>
          <w:sz w:val="24"/>
          <w:szCs w:val="24"/>
          <w:lang w:val="en-US"/>
        </w:rPr>
        <w:t>.</w:t>
      </w:r>
      <w:r w:rsidR="00F6732A" w:rsidRPr="00612653">
        <w:rPr>
          <w:rFonts w:ascii="Book Antiqua" w:hAnsi="Book Antiqua"/>
          <w:sz w:val="24"/>
          <w:szCs w:val="24"/>
          <w:lang w:val="en-US"/>
        </w:rPr>
        <w:t xml:space="preserve"> </w:t>
      </w:r>
      <w:r w:rsidR="00DF5F77" w:rsidRPr="00612653">
        <w:rPr>
          <w:rFonts w:ascii="Book Antiqua" w:hAnsi="Book Antiqua"/>
          <w:sz w:val="24"/>
          <w:szCs w:val="24"/>
          <w:lang w:val="en-US"/>
        </w:rPr>
        <w:t>The present</w:t>
      </w:r>
      <w:r w:rsidR="00FB543B" w:rsidRPr="00612653">
        <w:rPr>
          <w:rFonts w:ascii="Book Antiqua" w:hAnsi="Book Antiqua"/>
          <w:sz w:val="24"/>
          <w:szCs w:val="24"/>
          <w:lang w:val="en-US"/>
        </w:rPr>
        <w:t xml:space="preserve"> comparative</w:t>
      </w:r>
      <w:r w:rsidR="00DF5F77" w:rsidRPr="00612653">
        <w:rPr>
          <w:rFonts w:ascii="Book Antiqua" w:hAnsi="Book Antiqua"/>
          <w:sz w:val="24"/>
          <w:szCs w:val="24"/>
          <w:lang w:val="en-US"/>
        </w:rPr>
        <w:t xml:space="preserve"> study </w:t>
      </w:r>
      <w:r w:rsidRPr="00612653">
        <w:rPr>
          <w:rFonts w:ascii="Book Antiqua" w:hAnsi="Book Antiqua"/>
          <w:sz w:val="24"/>
          <w:szCs w:val="24"/>
          <w:lang w:val="en-US"/>
        </w:rPr>
        <w:t xml:space="preserve">in the DIO-NASH and </w:t>
      </w:r>
      <w:r w:rsidRPr="00612653">
        <w:rPr>
          <w:rFonts w:ascii="Book Antiqua" w:hAnsi="Book Antiqua"/>
          <w:i/>
          <w:iCs/>
          <w:sz w:val="24"/>
          <w:szCs w:val="24"/>
          <w:lang w:val="en-US"/>
        </w:rPr>
        <w:t>ob/ob</w:t>
      </w:r>
      <w:r w:rsidRPr="00612653">
        <w:rPr>
          <w:rFonts w:ascii="Book Antiqua" w:hAnsi="Book Antiqua"/>
          <w:sz w:val="24"/>
          <w:szCs w:val="24"/>
          <w:lang w:val="en-US"/>
        </w:rPr>
        <w:t xml:space="preserve">-NASH mouse models of biopsy-confirmed histopathology aimed </w:t>
      </w:r>
      <w:r w:rsidR="00687C8E" w:rsidRPr="00612653">
        <w:rPr>
          <w:rFonts w:ascii="Book Antiqua" w:hAnsi="Book Antiqua"/>
          <w:sz w:val="24"/>
          <w:szCs w:val="24"/>
          <w:lang w:val="en-US"/>
        </w:rPr>
        <w:t xml:space="preserve">to characterize within-subject treatment responses </w:t>
      </w:r>
      <w:r w:rsidR="008A55BD" w:rsidRPr="00612653">
        <w:rPr>
          <w:rFonts w:ascii="Book Antiqua" w:hAnsi="Book Antiqua"/>
          <w:sz w:val="24"/>
          <w:szCs w:val="24"/>
          <w:lang w:val="en-US"/>
        </w:rPr>
        <w:t>of compounds</w:t>
      </w:r>
      <w:r w:rsidR="00536615" w:rsidRPr="00612653">
        <w:rPr>
          <w:rFonts w:ascii="Book Antiqua" w:hAnsi="Book Antiqua"/>
          <w:sz w:val="24"/>
          <w:szCs w:val="24"/>
          <w:lang w:val="en-US"/>
        </w:rPr>
        <w:t xml:space="preserve"> </w:t>
      </w:r>
      <w:r w:rsidR="00DF5F77" w:rsidRPr="00612653">
        <w:rPr>
          <w:rFonts w:ascii="Book Antiqua" w:hAnsi="Book Antiqua"/>
          <w:sz w:val="24"/>
          <w:szCs w:val="24"/>
          <w:lang w:val="en-US"/>
        </w:rPr>
        <w:t xml:space="preserve">in </w:t>
      </w:r>
      <w:r w:rsidR="00FB543B" w:rsidRPr="00612653">
        <w:rPr>
          <w:rFonts w:ascii="Book Antiqua" w:hAnsi="Book Antiqua"/>
          <w:sz w:val="24"/>
          <w:szCs w:val="24"/>
          <w:lang w:val="en-US"/>
        </w:rPr>
        <w:t xml:space="preserve">current </w:t>
      </w:r>
      <w:r w:rsidR="005B660C" w:rsidRPr="00612653">
        <w:rPr>
          <w:rFonts w:ascii="Book Antiqua" w:hAnsi="Book Antiqua"/>
          <w:sz w:val="24"/>
          <w:szCs w:val="24"/>
          <w:lang w:val="en-US"/>
        </w:rPr>
        <w:t>advanced</w:t>
      </w:r>
      <w:r w:rsidR="00DF5F77" w:rsidRPr="00612653">
        <w:rPr>
          <w:rFonts w:ascii="Book Antiqua" w:hAnsi="Book Antiqua"/>
          <w:sz w:val="24"/>
          <w:szCs w:val="24"/>
          <w:lang w:val="en-US"/>
        </w:rPr>
        <w:t xml:space="preserve"> clinical development for NASH</w:t>
      </w:r>
      <w:r w:rsidR="00636AFF" w:rsidRPr="00612653">
        <w:rPr>
          <w:rFonts w:ascii="Book Antiqua" w:hAnsi="Book Antiqua"/>
          <w:sz w:val="24"/>
          <w:szCs w:val="24"/>
          <w:lang w:val="en-US"/>
        </w:rPr>
        <w:t xml:space="preserve">, </w:t>
      </w:r>
      <w:r w:rsidR="00B83565" w:rsidRPr="00612653">
        <w:rPr>
          <w:rFonts w:ascii="Book Antiqua" w:hAnsi="Book Antiqua"/>
          <w:sz w:val="24"/>
          <w:szCs w:val="24"/>
          <w:lang w:val="en-US"/>
        </w:rPr>
        <w:t>includ</w:t>
      </w:r>
      <w:r w:rsidR="00636AFF" w:rsidRPr="00612653">
        <w:rPr>
          <w:rFonts w:ascii="Book Antiqua" w:hAnsi="Book Antiqua"/>
          <w:sz w:val="24"/>
          <w:szCs w:val="24"/>
          <w:lang w:val="en-US"/>
        </w:rPr>
        <w:t>ing</w:t>
      </w:r>
      <w:r w:rsidR="00B83565" w:rsidRPr="00612653">
        <w:rPr>
          <w:rFonts w:ascii="Book Antiqua" w:hAnsi="Book Antiqua"/>
          <w:sz w:val="24"/>
          <w:szCs w:val="24"/>
          <w:lang w:val="en-US"/>
        </w:rPr>
        <w:t xml:space="preserve"> </w:t>
      </w:r>
      <w:r w:rsidR="00D27064" w:rsidRPr="00612653">
        <w:rPr>
          <w:rFonts w:ascii="Book Antiqua" w:hAnsi="Book Antiqua"/>
          <w:sz w:val="24"/>
          <w:szCs w:val="24"/>
          <w:lang w:val="en-US"/>
        </w:rPr>
        <w:t>liraglutide</w:t>
      </w:r>
      <w:r w:rsidR="00D27064" w:rsidRPr="00612653">
        <w:rPr>
          <w:rFonts w:ascii="Book Antiqua" w:hAnsi="Book Antiqua"/>
          <w:sz w:val="24"/>
          <w:szCs w:val="24"/>
          <w:lang w:val="en-US"/>
        </w:rPr>
        <w:fldChar w:fldCharType="begin" w:fldLock="1"/>
      </w:r>
      <w:r w:rsidR="004A5E9A" w:rsidRPr="00612653">
        <w:rPr>
          <w:rFonts w:ascii="Book Antiqua" w:hAnsi="Book Antiqua"/>
          <w:sz w:val="24"/>
          <w:szCs w:val="24"/>
          <w:lang w:val="en-US"/>
        </w:rPr>
        <w:instrText>ADDIN CSL_CITATION { "citationItems" : [ { "id" : "ITEM-1", "itemData" : { "DOI" : "10.1016/S0140-6736(15)00803-X", "ISBN" : "0140-6736", "ISSN" : "01406736", "PMID" : "26608256", "abstract" : "BACKGROUND Glucagon-like peptide-1 (GLP-1) analogues reduce hepatic steatosis, concentrations of liver enzymes, and insulin resistance in murine models of fatty liver disease. These analogues are licensed for type 2 diabetes, but their efficacy in patients with non-alcoholic steatohepatitis is unknown. We assessed the safety and efficacy of the long-acting GLP-1 analogue, liraglutide, in patients with non-alcoholic steatohepatitis. METHODS This multicentre, double-blinded, randomised, placebo-controlled phase 2 trial was conducted in four UK medical centres to assess subcutaneous injections of liraglutide (1\u00b78 mg daily) compared with placebo for patients who are overweight and show clinical evidence of non-alcoholic steatohepatitis. Patients were randomly assigned (1:1) using a computer-generated, centrally administered procedure, stratified by trial centre and diabetes status. The trial was designed using A'Hern's single-group method, which required eight (38%) of 21 successes in the liraglutide group for the effect of liraglutide to be considered clinically significant. Patients, investigators, clinical trial site staff, and pathologists were masked to treatment assignment throughout the study. The primary outcome measure was resolution of definite non-alcoholic steatohepatitis with no worsening in fibrosis from baseline to end of treatment (48 weeks), as assessed centrally by two independent pathologists. Analysis was done by intention-to-treat analysis, which included all patients who underwent end-of-treatment biopsy. The trial was registered with ClinicalTrials.gov, number NCT01237119. FINDINGS Between Aug 1, 2010, and May 31, 2013, 26 patients were randomly assigned to receive liraglutide and 26 to placebo. Nine (39%) of 23 patients who received liraglutide and underwent end-of-treatment liver biopsy had resolution of definite non-alcoholic steatohepatitis compared with two (9%) of 22 such patients in the placebo group (relative risk 4\u00b73 [95% CI 1\u00b70-17\u00b77]; p=0\u00b7019). Two (9%) of 23 patients in the liraglutide group versus eight (36%) of 22 patients in the placebo group had progression of fibrosis (0\u00b72 [0\u00b71-1\u00b70]; p=0\u00b704). Most adverse events were grade 1 (mild) to grade 2 (moderate) in severity, transient, and similar in the two treatment groups for all organ classes and symptoms, with the exception of gastrointestinal disorders in 21 (81%) of 23 patients in the liraglutide group and 17 (65%) of 22 patients in the placebo group, which included diar\u2026", "author" : [ { "dropping-particle" : "", "family" : "Armstrong", "given" : "Matthew James", "non-dropping-particle" : "", "parse-names" : false, "suffix" : "" }, { "dropping-particle" : "", "family" : "Gaunt", "given" : "Piers", "non-dropping-particle" : "", "parse-names" : false, "suffix" : "" }, { "dropping-particle" : "", "family" : "Aithal", "given" : "Guruprasad P.", "non-dropping-particle" : "", "parse-names" : false, "suffix" : "" }, { "dropping-particle" : "", "family" : "Barton", "given" : "Darren", "non-dropping-particle" : "", "parse-names" : false, "suffix" : "" }, { "dropping-particle" : "", "family" : "Hull", "given" : "Diana", "non-dropping-particle" : "", "parse-names" : false, "suffix" : "" }, { "dropping-particle" : "", "family" : "Parker", "given" : "Richard", "non-dropping-particle" : "", "parse-names" : false, "suffix" : "" }, { "dropping-particle" : "", "family" : "Hazlehurst", "given" : "Jonathan M.", "non-dropping-particle" : "", "parse-names" : false, "suffix" : "" }, { "dropping-particle" : "", "family" : "Guo", "given" : "Kathy", "non-dropping-particle" : "", "parse-names" : false, "suffix" : "" }, { "dropping-particle" : "", "family" : "Abouda", "given" : "George", "non-dropping-particle" : "", "parse-names" : false, "suffix" : "" }, { "dropping-particle" : "", "family" : "Aldersley", "given" : "Mark A.", "non-dropping-particle" : "", "parse-names" : false, "suffix" : "" }, { "dropping-particle" : "", "family" : "Stocken", "given" : "Deborah", "non-dropping-particle" : "", "parse-names" : false, "suffix" : "" }, { "dropping-particle" : "", "family" : "Gough", "given" : "Stephen C.", "non-dropping-particle" : "", "parse-names" : false, "suffix" : "" }, { "dropping-particle" : "", "family" : "Tomlinson", "given" : "Jeremy W.", "non-dropping-particle" : "", "parse-names" : false, "suffix" : "" }, { "dropping-particle" : "", "family" : "Brown", "given" : "Rachel M.", "non-dropping-particle" : "", "parse-names" : false, "suffix" : "" }, { "dropping-particle" : "", "family" : "H\u00fcbscher", "given" : "Stefan G.", "non-dropping-particle" : "", "parse-names" : false, "suffix" : "" }, { "dropping-particle" : "", "family" : "Newsome", "given" : "Philip N.", "non-dropping-particle" : "", "parse-names" : false, "suffix" : "" }, { "dropping-particle" : "", "family" : "Newsome", "given" : "Philip N.", "non-dropping-particle" : "", "parse-names" : false, "suffix" : "" } ], "container-title" : "The Lancet", "id" : "ITEM-1", "issue" : "10019", "issued" : { "date-parts" : [ [ "2016", "2", "13" ] ] }, "page" : "679-690", "title" : "Liraglutide safety and efficacy in patients with non-alcoholic steatohepatitis (LEAN): a multicentre, double-blind, randomised, placebo-controlled phase 2 study.", "type" : "article-journal", "volume" : "387" }, "uris" : [ "http://www.mendeley.com/documents/?uuid=bbf66a32-0855-4fcf-b9a0-2c5e6316606b" ] } ], "mendeley" : { "formattedCitation" : "&lt;sup&gt;[20]&lt;/sup&gt;", "plainTextFormattedCitation" : "[20]", "previouslyFormattedCitation" : "&lt;sup&gt;[20]&lt;/sup&gt;" }, "properties" : { "noteIndex" : 4 }, "schema" : "https://github.com/citation-style-language/schema/raw/master/csl-citation.json" }</w:instrText>
      </w:r>
      <w:r w:rsidR="00D27064" w:rsidRPr="00612653">
        <w:rPr>
          <w:rFonts w:ascii="Book Antiqua" w:hAnsi="Book Antiqua"/>
          <w:sz w:val="24"/>
          <w:szCs w:val="24"/>
          <w:lang w:val="en-US"/>
        </w:rPr>
        <w:fldChar w:fldCharType="separate"/>
      </w:r>
      <w:r w:rsidR="004A5E9A" w:rsidRPr="00612653">
        <w:rPr>
          <w:rFonts w:ascii="Book Antiqua" w:hAnsi="Book Antiqua"/>
          <w:noProof/>
          <w:sz w:val="24"/>
          <w:szCs w:val="24"/>
          <w:vertAlign w:val="superscript"/>
          <w:lang w:val="en-US"/>
        </w:rPr>
        <w:t>[20]</w:t>
      </w:r>
      <w:r w:rsidR="00D27064" w:rsidRPr="00612653">
        <w:rPr>
          <w:rFonts w:ascii="Book Antiqua" w:hAnsi="Book Antiqua"/>
          <w:sz w:val="24"/>
          <w:szCs w:val="24"/>
          <w:lang w:val="en-US"/>
        </w:rPr>
        <w:fldChar w:fldCharType="end"/>
      </w:r>
      <w:r w:rsidR="00D27064" w:rsidRPr="00612653">
        <w:rPr>
          <w:rFonts w:ascii="Book Antiqua" w:hAnsi="Book Antiqua"/>
          <w:sz w:val="24"/>
          <w:szCs w:val="24"/>
          <w:lang w:val="en-US"/>
        </w:rPr>
        <w:t>, obeticholic acid</w:t>
      </w:r>
      <w:r w:rsidR="00A30EAE" w:rsidRPr="00612653">
        <w:rPr>
          <w:rFonts w:ascii="Book Antiqua" w:hAnsi="Book Antiqua"/>
          <w:sz w:val="24"/>
          <w:szCs w:val="24"/>
          <w:lang w:val="en-US"/>
        </w:rPr>
        <w:t xml:space="preserve"> (OCA</w:t>
      </w:r>
      <w:r w:rsidR="0088745A" w:rsidRPr="00612653">
        <w:rPr>
          <w:rFonts w:ascii="Book Antiqua" w:hAnsi="Book Antiqua"/>
          <w:sz w:val="24"/>
          <w:szCs w:val="24"/>
          <w:lang w:val="en-US"/>
        </w:rPr>
        <w:t>, INT-747</w:t>
      </w:r>
      <w:r w:rsidR="00A30EAE" w:rsidRPr="00612653">
        <w:rPr>
          <w:rFonts w:ascii="Book Antiqua" w:hAnsi="Book Antiqua"/>
          <w:sz w:val="24"/>
          <w:szCs w:val="24"/>
          <w:lang w:val="en-US"/>
        </w:rPr>
        <w:t>)</w:t>
      </w:r>
      <w:r w:rsidR="00D27064" w:rsidRPr="00612653">
        <w:rPr>
          <w:rFonts w:ascii="Book Antiqua" w:hAnsi="Book Antiqua"/>
          <w:sz w:val="24"/>
          <w:szCs w:val="24"/>
          <w:lang w:val="en-US"/>
        </w:rPr>
        <w:fldChar w:fldCharType="begin" w:fldLock="1"/>
      </w:r>
      <w:r w:rsidR="004A5E9A" w:rsidRPr="00612653">
        <w:rPr>
          <w:rFonts w:ascii="Book Antiqua" w:hAnsi="Book Antiqua"/>
          <w:sz w:val="24"/>
          <w:szCs w:val="24"/>
          <w:lang w:val="en-US"/>
        </w:rPr>
        <w:instrText>ADDIN CSL_CITATION { "citationItems" : [ { "id" : "ITEM-1", "itemData" : { "DOI" : "10.1016/S0140-6736(14)61933-4", "ISSN" : "01406736", "PMID" : "25468160", "abstract" : "BACKGROUND The bile acid derivative 6-ethylchenodeoxycholic acid (obeticholic acid) is a potent activator of the farnesoid X nuclear receptor that reduces liver fat and fibrosis in animal models of fatty liver disease. We assessed the efficacy of obeticholic acid in adult patients with non-alcoholic steatohepatitis. METHODS We did a multicentre, double-blind, placebo-controlled, parallel group, randomised clinical trial at medical centres in the USA in patients with non-cirrhotic, non-alcoholic steatohepatitis to assess treatment with obeticholic acid given orally (25 mg daily) or placebo for 72 weeks. Patients were randomly assigned 1:1 using a computer-generated, centrally administered procedure, stratified by clinical centre and diabetes status. The primary outcome measure was improvement in centrally scored liver histology defined as a decrease in non-alcoholic fatty liver disease activity score by at least 2 points without worsening of fibrosis from baseline to the end of treatment. A planned interim analysis of change in alanine aminotransferase at 24 weeks undertaken before end-of-treatment (72 weeks) biopsies supported the decision to continue the trial (relative change in alanine aminotransferase -24%, 95% CI -45 to -3). A planned interim analysis of the primary outcome showed improved efficacy of obeticholic acid (p=0\u00b70024) and supported a decision not to do end-of-treatment biopsies and end treatment early in 64 patients, but to continue the trial to obtain the 24-week post-treatment measures. Analyses were done by intention-to-treat. This trial was registered with ClinicalTrials.gov, number NCT01265498. FINDINGS Between March 16, 2011, and Dec 3, 2012, 141 patients were randomly assigned to receive obeticholic acid and 142 to placebo. 50 (45%) of 110 patients in the obeticholic acid group who were meant to have biopsies at baseline and 72 weeks had improved liver histology compared with 23 (21%) of 109 such patients in the placebo group (relative risk 1\u00b79, 95% CI 1\u00b73 to 2\u00b78; p=0\u00b70002). 33 (23%) of 141 patients in the obeticholic acid developed pruritus compared with nine (6%) of 142 in the placebo group. INTERPRETATION Obeticholic acid improved the histological features of non-alcoholic steatohepatitis, but its long-term benefits and safety need further clarification. FUNDING National Institute of Diabetes and Digestive and Kidney Diseases, Intercept Pharmaceuticals.", "author" : [ { "dropping-particle" : "", "family" : "Neuschwander-Tetri", "given" : "Brent A", "non-dropping-particle" : "", "parse-names" : false, "suffix" : "" }, { "dropping-particle" : "", "family" : "Loomba", "given" : "Rohit", "non-dropping-particle" : "", "parse-names" : false, "suffix" : "" }, { "dropping-particle" : "", "family" : "Sanyal", "given" : "Arun J", "non-dropping-particle" : "", "parse-names" : false, "suffix" : "" }, { "dropping-particle" : "", "family" : "Lavine", "given" : "Joel E", "non-dropping-particle" : "", "parse-names" : false, "suffix" : "" }, { "dropping-particle" : "", "family" : "Natta", "given" : "Mark L", "non-dropping-particle" : "Van", "parse-names" : false, "suffix" : "" }, { "dropping-particle" : "", "family" : "Abdelmalek", "given" : "Manal F", "non-dropping-particle" : "", "parse-names" : false, "suffix" : "" }, { "dropping-particle" : "", "family" : "Chalasani", "given" : "Naga", "non-dropping-particle" : "", "parse-names" : false, "suffix" : "" }, { "dropping-particle" : "", "family" : "Dasarathy", "given" : "Srinivasan", "non-dropping-particle" : "", "parse-names" : false, "suffix" : "" }, { "dropping-particle" : "", "family" : "Diehl", "given" : "Anna Mae", "non-dropping-particle" : "", "parse-names" : false, "suffix" : "" }, { "dropping-particle" : "", "family" : "Hameed", "given" : "Bilal", "non-dropping-particle" : "", "parse-names" : false, "suffix" : "" }, { "dropping-particle" : "V", "family" : "Kowdley", "given" : "Kris", "non-dropping-particle" : "", "parse-names" : false, "suffix" : "" }, { "dropping-particle" : "", "family" : "McCullough", "given" : "Arthur", "non-dropping-particle" : "", "parse-names" : false, "suffix" : "" }, { "dropping-particle" : "", "family" : "Terrault", "given" : "Norah", "non-dropping-particle" : "", "parse-names" : false, "suffix" : "" }, { "dropping-particle" : "", "family" : "Clark", "given" : "Jeanne M", "non-dropping-particle" : "", "parse-names" : false, "suffix" : "" }, { "dropping-particle" : "", "family" : "Tonascia", "given" : "James", "non-dropping-particle" : "", "parse-names" : false, "suffix" : "" }, { "dropping-particle" : "", "family" : "Brunt", "given" : "Elizabeth M", "non-dropping-particle" : "", "parse-names" : false, "suffix" : "" }, { "dropping-particle" : "", "family" : "Kleiner", "given" : "David E", "non-dropping-particle" : "", "parse-names" : false, "suffix" : "" }, { "dropping-particle" : "", "family" : "Doo", "given" : "Edward", "non-dropping-particle" : "", "parse-names" : false, "suffix" : "" }, { "dropping-particle" : "", "family" : "NASH Clinical Research Network", "given" : "", "non-dropping-particle" : "", "parse-names" : false, "suffix" : "" } ], "container-title" : "The Lancet", "id" : "ITEM-1", "issue" : "9972", "issued" : { "date-parts" : [ [ "2015", "3", "14" ] ] }, "page" : "956-965", "title" : "Farnesoid X nuclear receptor ligand obeticholic acid for non-cirrhotic, non-alcoholic steatohepatitis (FLINT): a multicentre, randomised, placebo-controlled trial", "type" : "article-journal", "volume" : "385" }, "uris" : [ "http://www.mendeley.com/documents/?uuid=f8fd340b-8c77-3c73-b079-2ad9566c2d77" ] } ], "mendeley" : { "formattedCitation" : "&lt;sup&gt;[21]&lt;/sup&gt;", "plainTextFormattedCitation" : "[21]", "previouslyFormattedCitation" : "&lt;sup&gt;[21]&lt;/sup&gt;" }, "properties" : { "noteIndex" : 4 }, "schema" : "https://github.com/citation-style-language/schema/raw/master/csl-citation.json" }</w:instrText>
      </w:r>
      <w:r w:rsidR="00D27064" w:rsidRPr="00612653">
        <w:rPr>
          <w:rFonts w:ascii="Book Antiqua" w:hAnsi="Book Antiqua"/>
          <w:sz w:val="24"/>
          <w:szCs w:val="24"/>
          <w:lang w:val="en-US"/>
        </w:rPr>
        <w:fldChar w:fldCharType="separate"/>
      </w:r>
      <w:r w:rsidR="004A5E9A" w:rsidRPr="00612653">
        <w:rPr>
          <w:rFonts w:ascii="Book Antiqua" w:hAnsi="Book Antiqua"/>
          <w:noProof/>
          <w:sz w:val="24"/>
          <w:szCs w:val="24"/>
          <w:vertAlign w:val="superscript"/>
          <w:lang w:val="en-US"/>
        </w:rPr>
        <w:t>[21]</w:t>
      </w:r>
      <w:r w:rsidR="00D27064" w:rsidRPr="00612653">
        <w:rPr>
          <w:rFonts w:ascii="Book Antiqua" w:hAnsi="Book Antiqua"/>
          <w:sz w:val="24"/>
          <w:szCs w:val="24"/>
          <w:lang w:val="en-US"/>
        </w:rPr>
        <w:fldChar w:fldCharType="end"/>
      </w:r>
      <w:r w:rsidR="00D27064" w:rsidRPr="00612653">
        <w:rPr>
          <w:rFonts w:ascii="Book Antiqua" w:hAnsi="Book Antiqua"/>
          <w:sz w:val="24"/>
          <w:szCs w:val="24"/>
          <w:lang w:val="en-US"/>
        </w:rPr>
        <w:t>, and elafibranor</w:t>
      </w:r>
      <w:r w:rsidR="008B3342" w:rsidRPr="00612653">
        <w:rPr>
          <w:rFonts w:ascii="Book Antiqua" w:hAnsi="Book Antiqua"/>
          <w:sz w:val="24"/>
          <w:szCs w:val="24"/>
          <w:lang w:val="en-US"/>
        </w:rPr>
        <w:t xml:space="preserve"> (GFT-505)</w:t>
      </w:r>
      <w:r w:rsidR="00D27064" w:rsidRPr="00612653">
        <w:rPr>
          <w:rFonts w:ascii="Book Antiqua" w:hAnsi="Book Antiqua"/>
          <w:sz w:val="24"/>
          <w:szCs w:val="24"/>
          <w:lang w:val="en-US"/>
        </w:rPr>
        <w:fldChar w:fldCharType="begin" w:fldLock="1"/>
      </w:r>
      <w:r w:rsidR="004A5E9A" w:rsidRPr="00612653">
        <w:rPr>
          <w:rFonts w:ascii="Book Antiqua" w:hAnsi="Book Antiqua"/>
          <w:sz w:val="24"/>
          <w:szCs w:val="24"/>
          <w:lang w:val="en-US"/>
        </w:rPr>
        <w:instrText>ADDIN CSL_CITATION { "citationItems" : [ { "id" : "ITEM-1", "itemData" : { "DOI" : "10.1053/j.gastro.2016.01.038", "ISSN" : "00165085", "PMID" : "26874076", "abstract" : "BACKGROUND &amp; AIMS Elafibranor is an agonist of the peroxisome proliferator-activated receptor-\u03b1 and peroxisome proliferator-activated receptor-\u03b4. Elafibranor improves insulin sensitivity, glucose homeostasis, and lipid metabolism and reduces inflammation. We assessed the safety and efficacy of elafibranor in an international, randomized, double-blind placebo-controlled trial of patients with nonalcoholic steatohepatitis (NASH). METHODS Patients with NASH without cirrhosis were randomly assigned to groups given elafibranor 80 mg (n\u00a0= 93), elafibranor 120 mg (n\u00a0= 91), or placebo (n\u00a0= 92) each day for 52 weeks at sites in Europe and the United States. Clinical and laboratory evaluations were performed every 2 months during this 1-year period. Liver biopsies were then collected and patients were assessed 3 months later. The primary outcome was resolution of NASH without fibrosis worsening, using protocol-defined and modified definitions. Data from the groups given the different doses of elafibranor were compared with those from the placebo group using step-down logistic regression, adjusting for baseline nonalcoholic fatty liver disease activity score. RESULTS In intention-to-treat analysis, there was no significant difference between the elafibranor and placebo groups in the protocol-defined primary outcome. However, NASH resolved without fibrosis worsening in a higher proportion of patients in the 120-mg elafibranor group vs the placebo group (19% vs 12%; odds ratio\u00a0= 2.31; 95% confidence interval: 1.02-5.24; P\u00a0= .045), based on a post-hoc analysis for the modified definition. In post-hoc analyses of patients with nonalcoholic fatty liver disease activity score \u22654 (n\u00a0= 234), elafibranor 120 mg resolved NASH in larger proportions of patients than placebo based on the protocol definition (20% vs 11%; odds ratio\u00a0= 3.16; 95% confidence interval: 1.22-8.13; P\u00a0= .018) and the modified definitions (19% vs 9%; odds ratio\u00a0= 3.52; 95% confidence interval: 1.32-9.40; P\u00a0= .013). Patients with NASH resolution after receiving elafibranor 120 mg had reduced liver fibrosis stages compared with those without NASH resolution (mean reduction of 0.65 \u00b1 0.61 in responders for the primary outcome vs an increase of 0.10 \u00b1 0.98 in nonresponders; P &lt; .001). Liver enzymes, lipids, glucose profiles, and markers of systemic inflammation were significantly reduced in the elafibranor 120-mg group vs the placebo group. Elafibranor was well\u00a0tolerated and did not cause weight gain or car\u2026", "author" : [ { "dropping-particle" : "", "family" : "Ratziu", "given" : "Vlad", "non-dropping-particle" : "", "parse-names" : false, "suffix" : "" }, { "dropping-particle" : "", "family" : "Harrison", "given" : "Stephen A.", "non-dropping-particle" : "", "parse-names" : false, "suffix" : "" }, { "dropping-particle" : "", "family" : "Francque", "given" : "Sven", "non-dropping-particle" : "", "parse-names" : false, "suffix" : "" }, { "dropping-particle" : "", "family" : "Bedossa", "given" : "Pierre", "non-dropping-particle" : "", "parse-names" : false, "suffix" : "" }, { "dropping-particle" : "", "family" : "Lehert", "given" : "Philippe", "non-dropping-particle" : "", "parse-names" : false, "suffix" : "" }, { "dropping-particle" : "", "family" : "Serfaty", "given" : "Lawrence", "non-dropping-particle" : "", "parse-names" : false, "suffix" : "" }, { "dropping-particle" : "", "family" : "Romero-Gomez", "given" : "Manuel", "non-dropping-particle" : "", "parse-names" : false, "suffix" : "" }, { "dropping-particle" : "", "family" : "Boursier", "given" : "J\u00e9r\u00f4me", "non-dropping-particle" : "", "parse-names" : false, "suffix" : "" }, { "dropping-particle" : "", "family" : "Abdelmalek", "given" : "Manal", "non-dropping-particle" : "", "parse-names" : false, "suffix" : "" }, { "dropping-particle" : "", "family" : "Caldwell", "given" : "Steve", "non-dropping-particle" : "", "parse-names" : false, "suffix" : "" }, { "dropping-particle" : "", "family" : "Drenth", "given" : "Joost", "non-dropping-particle" : "", "parse-names" : false, "suffix" : "" }, { "dropping-particle" : "", "family" : "Anstee", "given" : "Quentin M.", "non-dropping-particle" : "", "parse-names" : false, "suffix" : "" }, { "dropping-particle" : "", "family" : "Hum", "given" : "Dean", "non-dropping-particle" : "", "parse-names" : false, "suffix" : "" }, { "dropping-particle" : "", "family" : "Hanf", "given" : "Remy", "non-dropping-particle" : "", "parse-names" : false, "suffix" : "" }, { "dropping-particle" : "", "family" : "Roudot", "given" : "Alice", "non-dropping-particle" : "", "parse-names" : false, "suffix" : "" }, { "dropping-particle" : "", "family" : "Megnien", "given" : "Sophie", "non-dropping-particle" : "", "parse-names" : false, "suffix" : "" }, { "dropping-particle" : "", "family" : "Staels", "given" : "Bart", "non-dropping-particle" : "", "parse-names" : false, "suffix" : "" }, { "dropping-particle" : "", "family" : "Sanyal", "given" : "Arun", "non-dropping-particle" : "", "parse-names" : false, "suffix" : "" }, { "dropping-particle" : "", "family" : "Mathurin", "given" : "P.", "non-dropping-particle" : "", "parse-names" : false, "suffix" : "" }, { "dropping-particle" : "", "family" : "Gournay", "given" : "J.", "non-dropping-particle" : "", "parse-names" : false, "suffix" : "" }, { "dropping-particle" : "", "family" : "Nguyen-Khac", "given" : "E.", "non-dropping-particle" : "", "parse-names" : false, "suffix" : "" }, { "dropping-particle" : "", "family" : "Ledinghen", "given" : "V.", "non-dropping-particle" : "De", "parse-names" : false, "suffix" : "" }, { "dropping-particle" : "", "family" : "Larrey", "given" : "D.", "non-dropping-particle" : "", "parse-names" : false, "suffix" : "" }, { "dropping-particle" : "", "family" : "Tran", "given" : "A.", "non-dropping-particle" : "", "parse-names" : false, "suffix" : "" }, { "dropping-particle" : "", "family" : "Bourliere", "given" : "M.", "non-dropping-particle" : "", "parse-names" : false, "suffix" : "" }, { "dropping-particle" : "", "family" : "Maynard-Muet", "given" : "M.", "non-dropping-particle" : "", "parse-names" : false, "suffix" : "" }, { "dropping-particle" : "", "family" : "Asselah", "given" : "T.", "non-dropping-particle" : "", "parse-names" : false, "suffix" : "" }, { "dropping-particle" : "", "family" : "Henrion", "given" : "J.", "non-dropping-particle" : "", "parse-names" : false, "suffix" : "" }, { "dropping-particle" : "", "family" : "Nevens", "given" : "F.", "non-dropping-particle" : "", "parse-names" : false, "suffix" : "" }, { "dropping-particle" : "", "family" : "Cassiman", "given" : "D.", "non-dropping-particle" : "", "parse-names" : false, "suffix" : "" }, { "dropping-particle" : "", "family" : "Geerts", "given" : "A.", "non-dropping-particle" : "", "parse-names" : false, "suffix" : "" }, { "dropping-particle" : "", "family" : "Moreno", "given" : "C.", "non-dropping-particle" : "", "parse-names" : false, "suffix" : "" }, { "dropping-particle" : "", "family" : "Beuers", "given" : "U.H.", "non-dropping-particle" : "", "parse-names" : false, "suffix" : "" }, { "dropping-particle" : "", "family" : "Galle", "given" : "P.R.", "non-dropping-particle" : "", "parse-names" : false, "suffix" : "" }, { "dropping-particle" : "", "family" : "Spengler", "given" : "U.", "non-dropping-particle" : "", "parse-names" : false, "suffix" : "" }, { "dropping-particle" : "", "family" : "Bugianesi", "given" : "E.", "non-dropping-particle" : "", "parse-names" : false, "suffix" : "" }, { "dropping-particle" : "", "family" : "Craxi", "given" : "A.", "non-dropping-particle" : "", "parse-names" : false, "suffix" : "" }, { "dropping-particle" : "", "family" : "Angelico", "given" : "M.", "non-dropping-particle" : "", "parse-names" : false, "suffix" : "" }, { "dropping-particle" : "", "family" : "Fargion", "given" : "S.", "non-dropping-particle" : "", "parse-names" : false, "suffix" : "" }, { "dropping-particle" : "", "family" : "Voiculescu", "given" : "M.", "non-dropping-particle" : "", "parse-names" : false, "suffix" : "" }, { "dropping-particle" : "", "family" : "Gheorghe", "given" : "L.", "non-dropping-particle" : "", "parse-names" : false, "suffix" : "" }, { "dropping-particle" : "", "family" : "Preotescu", "given" : "L.", "non-dropping-particle" : "", "parse-names" : false, "suffix" : "" }, { "dropping-particle" : "", "family" : "Caballeria", "given" : "J.", "non-dropping-particle" : "", "parse-names" : false, "suffix" : "" }, { "dropping-particle" : "", "family" : "Andrade", "given" : "R.J.", "non-dropping-particle" : "", "parse-names" : false, "suffix" : "" }, { "dropping-particle" : "", "family" : "Crespo", "given" : "J.", "non-dropping-particle" : "", "parse-names" : false, "suffix" : "" }, { "dropping-particle" : "", "family" : "Callera", "given" : "J.L.", "non-dropping-particle" : "", "parse-names" : false, "suffix" : "" }, { "dropping-particle" : "", "family" : "Ala", "given" : "A.", "non-dropping-particle" : "", "parse-names" : false, "suffix" : "" }, { "dropping-particle" : "", "family" : "Aithal", "given" : "G.", "non-dropping-particle" : "", "parse-names" : false, "suffix" : "" }, { "dropping-particle" : "", "family" : "Abouda", "given" : "G.", "non-dropping-particle" : "", "parse-names" : false, "suffix" : "" }, { "dropping-particle" : "", "family" : "Luketic", "given" : "V.", "non-dropping-particle" : "", "parse-names" : false, "suffix" : "" }, { "dropping-particle" : "", "family" : "Huang", "given" : "M.A.", "non-dropping-particle" : "", "parse-names" : false, "suffix" : "" }, { "dropping-particle" : "", "family" : "Gordon", "given" : "S.", "non-dropping-particle" : "", "parse-names" : false, "suffix" : "" }, { "dropping-particle" : "", "family" : "Pockros", "given" : "P.", "non-dropping-particle" : "", "parse-names" : false, "suffix" : "" }, { "dropping-particle" : "", "family" : "Poordad", "given" : "F.", "non-dropping-particle" : "", "parse-names" : false, "suffix" : "" }, { "dropping-particle" : "", "family" : "Shores", "given" : "N.", "non-dropping-particle" : "", "parse-names" : false, "suffix" : "" }, { "dropping-particle" : "", "family" : "Moehlen", "given" : "M.W.", "non-dropping-particle" : "", "parse-names" : false, "suffix" : "" }, { "dropping-particle" : "", "family" : "Bambha", "given" : "K.", "non-dropping-particle" : "", "parse-names" : false, "suffix" : "" }, { "dropping-particle" : "", "family" : "Clark", "given" : "V.", "non-dropping-particle" : "", "parse-names" : false, "suffix" : "" }, { "dropping-particle" : "", "family" : "Satapathy", "given" : "S.", "non-dropping-particle" : "", "parse-names" : false, "suffix" : "" }, { "dropping-particle" : "", "family" : "Parekh", "given" : "S.", "non-dropping-particle" : "", "parse-names" : false, "suffix" : "" }, { "dropping-particle" : "", "family" : "Reddy", "given" : "R.K.", "non-dropping-particle" : "", "parse-names" : false, "suffix" : "" }, { "dropping-particle" : "", "family" : "Sheikh", "given" : "M.Y.", "non-dropping-particle" : "", "parse-names" : false, "suffix" : "" }, { "dropping-particle" : "", "family" : "Szabo", "given" : "G.", "non-dropping-particle" : "", "parse-names" : false, "suffix" : "" }, { "dropping-particle" : "", "family" : "Vierling", "given" : "J.", "non-dropping-particle" : "", "parse-names" : false, "suffix" : "" }, { "dropping-particle" : "", "family" : "Foster", "given" : "T.", "non-dropping-particle" : "", "parse-names" : false, "suffix" : "" }, { "dropping-particle" : "", "family" : "Umpierrez", "given" : "G.", "non-dropping-particle" : "", "parse-names" : false, "suffix" : "" }, { "dropping-particle" : "", "family" : "Chang", "given" : "C.", "non-dropping-particle" : "", "parse-names" : false, "suffix" : "" }, { "dropping-particle" : "", "family" : "Box", "given" : "T.", "non-dropping-particle" : "", "parse-names" : false, "suffix" : "" }, { "dropping-particle" : "", "family" : "Gallegos-Orozco", "given" : "J.", "non-dropping-particle" : "", "parse-names" : false, "suffix" : "" } ], "container-title" : "Gastroenterology", "id" : "ITEM-1", "issue" : "5", "issued" : { "date-parts" : [ [ "2016", "5" ] ] }, "page" : "1147-1159.e5", "title" : "Elafibranor, an Agonist of the Peroxisome Proliferator\u2212Activated Receptor\u2212\u03b1 and\u00a0\u2212\u03b4, Induces Resolution of Nonalcoholic Steatohepatitis Without Fibrosis Worsening", "type" : "article-journal", "volume" : "150" }, "uris" : [ "http://www.mendeley.com/documents/?uuid=f07a3ce6-2387-3c74-ad39-ef9b8f1c4f59" ] } ], "mendeley" : { "formattedCitation" : "&lt;sup&gt;[22]&lt;/sup&gt;", "plainTextFormattedCitation" : "[22]", "previouslyFormattedCitation" : "&lt;sup&gt;[22]&lt;/sup&gt;" }, "properties" : { "noteIndex" : 4 }, "schema" : "https://github.com/citation-style-language/schema/raw/master/csl-citation.json" }</w:instrText>
      </w:r>
      <w:r w:rsidR="00D27064" w:rsidRPr="00612653">
        <w:rPr>
          <w:rFonts w:ascii="Book Antiqua" w:hAnsi="Book Antiqua"/>
          <w:sz w:val="24"/>
          <w:szCs w:val="24"/>
          <w:lang w:val="en-US"/>
        </w:rPr>
        <w:fldChar w:fldCharType="separate"/>
      </w:r>
      <w:r w:rsidR="004A5E9A" w:rsidRPr="00612653">
        <w:rPr>
          <w:rFonts w:ascii="Book Antiqua" w:hAnsi="Book Antiqua"/>
          <w:noProof/>
          <w:sz w:val="24"/>
          <w:szCs w:val="24"/>
          <w:vertAlign w:val="superscript"/>
          <w:lang w:val="en-US"/>
        </w:rPr>
        <w:t>[22]</w:t>
      </w:r>
      <w:r w:rsidR="00D27064" w:rsidRPr="00612653">
        <w:rPr>
          <w:rFonts w:ascii="Book Antiqua" w:hAnsi="Book Antiqua"/>
          <w:sz w:val="24"/>
          <w:szCs w:val="24"/>
          <w:lang w:val="en-US"/>
        </w:rPr>
        <w:fldChar w:fldCharType="end"/>
      </w:r>
      <w:r w:rsidR="00C04CFF" w:rsidRPr="00612653">
        <w:rPr>
          <w:rFonts w:ascii="Book Antiqua" w:hAnsi="Book Antiqua"/>
          <w:sz w:val="24"/>
          <w:szCs w:val="24"/>
          <w:lang w:val="en-US"/>
        </w:rPr>
        <w:t xml:space="preserve">. </w:t>
      </w:r>
      <w:r w:rsidR="00EA5EFB" w:rsidRPr="00612653">
        <w:rPr>
          <w:rFonts w:ascii="Book Antiqua" w:hAnsi="Book Antiqua"/>
          <w:sz w:val="24"/>
          <w:szCs w:val="24"/>
          <w:lang w:val="en-US"/>
        </w:rPr>
        <w:t>Liraglutide is a</w:t>
      </w:r>
      <w:r w:rsidR="00920D4C" w:rsidRPr="00612653">
        <w:rPr>
          <w:rFonts w:ascii="Book Antiqua" w:hAnsi="Book Antiqua"/>
          <w:sz w:val="24"/>
          <w:szCs w:val="24"/>
          <w:lang w:val="en-US"/>
        </w:rPr>
        <w:t xml:space="preserve"> l</w:t>
      </w:r>
      <w:r w:rsidR="00A41EF4" w:rsidRPr="00612653">
        <w:rPr>
          <w:rFonts w:ascii="Book Antiqua" w:hAnsi="Book Antiqua"/>
          <w:sz w:val="24"/>
          <w:szCs w:val="24"/>
          <w:lang w:val="en-US"/>
        </w:rPr>
        <w:t xml:space="preserve">ong-acting </w:t>
      </w:r>
      <w:r w:rsidR="00EA5EFB" w:rsidRPr="00612653">
        <w:rPr>
          <w:rFonts w:ascii="Book Antiqua" w:hAnsi="Book Antiqua"/>
          <w:sz w:val="24"/>
          <w:szCs w:val="24"/>
          <w:lang w:val="en-US"/>
        </w:rPr>
        <w:t>glucagon-like peptide 1 (GLP-1)</w:t>
      </w:r>
      <w:r w:rsidR="00A41EF4" w:rsidRPr="00612653">
        <w:rPr>
          <w:rFonts w:ascii="Book Antiqua" w:hAnsi="Book Antiqua"/>
          <w:sz w:val="24"/>
          <w:szCs w:val="24"/>
          <w:lang w:val="en-US"/>
        </w:rPr>
        <w:t xml:space="preserve"> analogue </w:t>
      </w:r>
      <w:r w:rsidR="0025515C" w:rsidRPr="00612653">
        <w:rPr>
          <w:rFonts w:ascii="Book Antiqua" w:hAnsi="Book Antiqua"/>
          <w:sz w:val="24"/>
          <w:szCs w:val="24"/>
          <w:lang w:val="en-US"/>
        </w:rPr>
        <w:t>with picomolar GLP-1 receptor binding potency</w:t>
      </w:r>
      <w:r w:rsidR="00A41EF4" w:rsidRPr="00612653">
        <w:rPr>
          <w:rFonts w:ascii="Book Antiqua" w:hAnsi="Book Antiqua"/>
          <w:sz w:val="24"/>
          <w:szCs w:val="24"/>
          <w:lang w:val="en-US"/>
        </w:rPr>
        <w:fldChar w:fldCharType="begin" w:fldLock="1"/>
      </w:r>
      <w:r w:rsidR="004A5E9A" w:rsidRPr="00612653">
        <w:rPr>
          <w:rFonts w:ascii="Book Antiqua" w:hAnsi="Book Antiqua"/>
          <w:sz w:val="24"/>
          <w:szCs w:val="24"/>
          <w:lang w:val="en-US"/>
        </w:rPr>
        <w:instrText>ADDIN CSL_CITATION { "citationItems" : [ { "id" : "ITEM-1", "itemData" : { "DOI" : "10.1021/jm070861j", "ISBN" : "0022-2623", "ISSN" : "0022-2623", "PMID" : "17975905", "abstract" : "We here report a series of derivatives describing the structure-activity relationship around liraglutide, a once-daily human glucagon-like peptide-1 fatty acid derivative, with respect to potency as well as protraction in vivo. The spacer region between the fatty acid and the peptide is mostly important for potency, whereas the fatty acid or fatty acid mimetic is important for both potency and protraction. The length of the fatty acid is the most important parameter for protraction.", "author" : [ { "dropping-particle" : "", "family" : "Madsen", "given" : "Kjeld", "non-dropping-particle" : "", "parse-names" : false, "suffix" : "" }, { "dropping-particle" : "", "family" : "Knudsen", "given" : "Lotte Bjerre", "non-dropping-particle" : "", "parse-names" : false, "suffix" : "" }, { "dropping-particle" : "", "family" : "Agersoe", "given" : "Henrik", "non-dropping-particle" : "", "parse-names" : false, "suffix" : "" }, { "dropping-particle" : "", "family" : "Nielsen", "given" : "Per Franklin", "non-dropping-particle" : "", "parse-names" : false, "suffix" : "" }, { "dropping-particle" : "", "family" : "Th\u00f8gersen", "given" : "Henning", "non-dropping-particle" : "", "parse-names" : false, "suffix" : "" }, { "dropping-particle" : "", "family" : "Wilken", "given" : "Michael", "non-dropping-particle" : "", "parse-names" : false, "suffix" : "" }, { "dropping-particle" : "", "family" : "Johansen", "given" : "Nils Langeland", "non-dropping-particle" : "", "parse-names" : false, "suffix" : "" } ], "container-title" : "Journal of medicinal chemistry", "id" : "ITEM-1", "issue" : "24", "issued" : { "date-parts" : [ [ "2007", "11", "29" ] ] }, "page" : "6126-6132", "title" : "Structure-activity and protraction relationship of long-acting glucagon-like peptide-1 derivatives: importance of fatty acid length, polarity, and bulkiness", "type" : "article-journal", "volume" : "50" }, "uris" : [ "http://www.mendeley.com/documents/?uuid=46c6c7a2-1f4c-4f47-b769-58d79ccea5a9" ] } ], "mendeley" : { "formattedCitation" : "&lt;sup&gt;[23]&lt;/sup&gt;", "plainTextFormattedCitation" : "[23]", "previouslyFormattedCitation" : "&lt;sup&gt;[23]&lt;/sup&gt;" }, "properties" : { "noteIndex" : 4 }, "schema" : "https://github.com/citation-style-language/schema/raw/master/csl-citation.json" }</w:instrText>
      </w:r>
      <w:r w:rsidR="00A41EF4" w:rsidRPr="00612653">
        <w:rPr>
          <w:rFonts w:ascii="Book Antiqua" w:hAnsi="Book Antiqua"/>
          <w:sz w:val="24"/>
          <w:szCs w:val="24"/>
          <w:vertAlign w:val="superscript"/>
          <w:lang w:val="en-US"/>
        </w:rPr>
        <w:fldChar w:fldCharType="separate"/>
      </w:r>
      <w:r w:rsidR="004A5E9A" w:rsidRPr="00612653">
        <w:rPr>
          <w:rFonts w:ascii="Book Antiqua" w:hAnsi="Book Antiqua"/>
          <w:noProof/>
          <w:sz w:val="24"/>
          <w:szCs w:val="24"/>
          <w:vertAlign w:val="superscript"/>
          <w:lang w:val="en-US"/>
        </w:rPr>
        <w:t>[23]</w:t>
      </w:r>
      <w:r w:rsidR="00A41EF4" w:rsidRPr="00612653">
        <w:rPr>
          <w:rFonts w:ascii="Book Antiqua" w:hAnsi="Book Antiqua"/>
          <w:sz w:val="24"/>
          <w:szCs w:val="24"/>
          <w:lang w:val="en-US"/>
        </w:rPr>
        <w:fldChar w:fldCharType="end"/>
      </w:r>
      <w:r w:rsidR="00157B5C" w:rsidRPr="00612653">
        <w:rPr>
          <w:rFonts w:ascii="Book Antiqua" w:hAnsi="Book Antiqua"/>
          <w:sz w:val="24"/>
          <w:szCs w:val="24"/>
          <w:lang w:val="en-US"/>
        </w:rPr>
        <w:t>, and is</w:t>
      </w:r>
      <w:r w:rsidR="00AA5D83" w:rsidRPr="00612653">
        <w:rPr>
          <w:rFonts w:ascii="Book Antiqua" w:hAnsi="Book Antiqua"/>
          <w:sz w:val="24"/>
          <w:szCs w:val="24"/>
          <w:lang w:val="en-US"/>
        </w:rPr>
        <w:t xml:space="preserve"> approved for the management of type 2 diabetes and obesity. Whereas liraglutide improves glycemia by stimulating pancreatic</w:t>
      </w:r>
      <w:r w:rsidR="00D15D8C" w:rsidRPr="00612653">
        <w:rPr>
          <w:rFonts w:ascii="Book Antiqua" w:hAnsi="Book Antiqua"/>
          <w:sz w:val="24"/>
          <w:szCs w:val="24"/>
          <w:lang w:val="en-US" w:eastAsia="zh-CN"/>
        </w:rPr>
        <w:t xml:space="preserve"> </w:t>
      </w:r>
      <w:r w:rsidR="00AA5D83" w:rsidRPr="00612653">
        <w:rPr>
          <w:rFonts w:ascii="Book Antiqua" w:hAnsi="Book Antiqua"/>
          <w:sz w:val="24"/>
          <w:szCs w:val="24"/>
          <w:lang w:val="en-US"/>
        </w:rPr>
        <w:t>cell function</w:t>
      </w:r>
      <w:r w:rsidR="00650EE8" w:rsidRPr="00612653">
        <w:rPr>
          <w:rFonts w:ascii="Book Antiqua" w:hAnsi="Book Antiqua"/>
          <w:sz w:val="24"/>
          <w:szCs w:val="24"/>
          <w:lang w:val="en-US"/>
        </w:rPr>
        <w:t>, its</w:t>
      </w:r>
      <w:r w:rsidR="00AA5D83" w:rsidRPr="00612653">
        <w:rPr>
          <w:rFonts w:ascii="Book Antiqua" w:hAnsi="Book Antiqua"/>
          <w:sz w:val="24"/>
          <w:szCs w:val="24"/>
          <w:lang w:val="en-US"/>
        </w:rPr>
        <w:t xml:space="preserve"> anti-obesity effects are </w:t>
      </w:r>
      <w:r w:rsidR="005722A5" w:rsidRPr="00612653">
        <w:rPr>
          <w:rFonts w:ascii="Book Antiqua" w:hAnsi="Book Antiqua"/>
          <w:sz w:val="24"/>
          <w:szCs w:val="24"/>
          <w:lang w:val="en-US"/>
        </w:rPr>
        <w:t xml:space="preserve">predominantly centrally </w:t>
      </w:r>
      <w:r w:rsidR="00AA5D83" w:rsidRPr="00612653">
        <w:rPr>
          <w:rFonts w:ascii="Book Antiqua" w:hAnsi="Book Antiqua"/>
          <w:sz w:val="24"/>
          <w:szCs w:val="24"/>
          <w:lang w:val="en-US"/>
        </w:rPr>
        <w:t>mediated through suppression of hypothalamic appetite signaling</w:t>
      </w:r>
      <w:r w:rsidR="00AA5D83" w:rsidRPr="00612653">
        <w:rPr>
          <w:rFonts w:ascii="Book Antiqua" w:hAnsi="Book Antiqua"/>
          <w:sz w:val="24"/>
          <w:szCs w:val="24"/>
          <w:lang w:val="en-US"/>
        </w:rPr>
        <w:fldChar w:fldCharType="begin" w:fldLock="1"/>
      </w:r>
      <w:r w:rsidR="004A5E9A" w:rsidRPr="00612653">
        <w:rPr>
          <w:rFonts w:ascii="Book Antiqua" w:hAnsi="Book Antiqua"/>
          <w:sz w:val="24"/>
          <w:szCs w:val="24"/>
          <w:lang w:val="en-US"/>
        </w:rPr>
        <w:instrText>ADDIN CSL_CITATION { "citationItems" : [ { "id" : "ITEM-1", "itemData" : { "DOI" : "10.1038/nrd3148", "ISSN" : "1474-1776", "PMID" : "20357801", "abstract" : "In January 2010, liraglutide (Victoza; Novo Nordisk)--an injectable glucagon-like peptide 1 receptor agonist--was approved by the US FDA to improve glycaemic control in adults with type 2 diabetes mellitus.", "author" : [ { "dropping-particle" : "", "family" : "Drucker", "given" : "Daniel J.", "non-dropping-particle" : "", "parse-names" : false, "suffix" : "" }, { "dropping-particle" : "", "family" : "Dritselis", "given" : "Argyris", "non-dropping-particle" : "", "parse-names" : false, "suffix" : "" }, { "dropping-particle" : "", "family" : "Kirkpatrick", "given" : "Peter", "non-dropping-particle" : "", "parse-names" : false, "suffix" : "" } ], "container-title" : "Nature Reviews Drug Discovery", "id" : "ITEM-1", "issue" : "4", "issued" : { "date-parts" : [ [ "2010", "4" ] ] }, "page" : "267-268", "title" : "Liraglutide", "type" : "article-journal", "volume" : "9" }, "uris" : [ "http://www.mendeley.com/documents/?uuid=1a98220f-6ab2-4f26-9109-5b5875d26035" ] }, { "id" : "ITEM-2", "itemData" : { "DOI" : "10.1002/phar.1639", "ISSN" : "02770008", "PMID" : "26497479", "abstract" : "Obesity continues to pose a major public health risk to the United States and across the world, with an estimated one-third of adult Americans being defined as obese. Obesity treatment guidelines recommend the use of pharmacologic therapy in adults who have a body mass index (BMI) of 30\u00a0kg/m(2) or higher or in patients with a BMI of 27\u00a0kg/m(2) or higher who have at least one weight-related comorbid condition (e.g., hypertension, dyslipidemia, insulin resistance, type 2 diabetes mellitus). Liraglutide is a glucagon-like peptide-1 receptor agonist that has been successfully used in the treatment of type 2 diabetes for several years. Weight loss has been well described as an additional benefit with liraglutide therapy, which prompted the manufacturer to evaluate and develop a higher dose formulation specifically for the treatment of obesity. Liraglutide 3\u00a0mg/day was approved by the U.S. Food and Drug Administration for this indication in December 2014. We performed a search of the Medline database to identify relevant literature focused on liraglutide's role specifically in treating obesity. Five clinical trials with this primary end point were identified. Data demonstrated that liraglutide can successfully achieve weight-loss benchmarks of 5% or more and 10% or more loss from baseline. The most common adverse effects were gastrointestinal and mild to moderate in intensity. The cost of therapy is high, averaging over $1000/month for out-of-pocket expenses if insurance coverage is not available. Liraglutide is also available for delivery only by subcutaneous injection, which may represent a barrier for patients. Liraglutide 3\u00a0mg/day represents another pharmacologic option for the treatment of obesity.", "author" : [ { "dropping-particle" : "", "family" : "Nuffer", "given" : "Wesley A.", "non-dropping-particle" : "", "parse-names" : false, "suffix" : "" }, { "dropping-particle" : "", "family" : "Trujillo", "given" : "Jennifer M.", "non-dropping-particle" : "", "parse-names" : false, "suffix" : "" } ], "container-title" : "Pharmacotherapy: The Journal of Human Pharmacology and Drug Therapy", "id" : "ITEM-2", "issue" : "10", "issued" : { "date-parts" : [ [ "2015", "10" ] ] }, "page" : "926-934", "title" : "Liraglutide: A New Option for the Treatment of Obesity", "type" : "article-journal", "volume" : "35" }, "uris" : [ "http://www.mendeley.com/documents/?uuid=00820345-d941-4b58-a254-2a3dd388136f" ] } ], "mendeley" : { "formattedCitation" : "&lt;sup&gt;[24,25]&lt;/sup&gt;", "plainTextFormattedCitation" : "[24,25]", "previouslyFormattedCitation" : "&lt;sup&gt;[24,25]&lt;/sup&gt;" }, "properties" : { "noteIndex" : 0 }, "schema" : "https://github.com/citation-style-language/schema/raw/master/csl-citation.json" }</w:instrText>
      </w:r>
      <w:r w:rsidR="00AA5D83" w:rsidRPr="00612653">
        <w:rPr>
          <w:rFonts w:ascii="Book Antiqua" w:hAnsi="Book Antiqua"/>
          <w:sz w:val="24"/>
          <w:szCs w:val="24"/>
          <w:lang w:val="en-US"/>
        </w:rPr>
        <w:fldChar w:fldCharType="separate"/>
      </w:r>
      <w:r w:rsidR="004A5E9A" w:rsidRPr="00612653">
        <w:rPr>
          <w:rFonts w:ascii="Book Antiqua" w:hAnsi="Book Antiqua"/>
          <w:noProof/>
          <w:sz w:val="24"/>
          <w:szCs w:val="24"/>
          <w:vertAlign w:val="superscript"/>
          <w:lang w:val="en-US"/>
        </w:rPr>
        <w:t>[24,25]</w:t>
      </w:r>
      <w:r w:rsidR="00AA5D83" w:rsidRPr="00612653">
        <w:rPr>
          <w:rFonts w:ascii="Book Antiqua" w:hAnsi="Book Antiqua"/>
          <w:sz w:val="24"/>
          <w:szCs w:val="24"/>
          <w:lang w:val="en-US"/>
        </w:rPr>
        <w:fldChar w:fldCharType="end"/>
      </w:r>
      <w:r w:rsidR="00AA5D83" w:rsidRPr="00612653">
        <w:rPr>
          <w:rFonts w:ascii="Book Antiqua" w:hAnsi="Book Antiqua"/>
          <w:sz w:val="24"/>
          <w:szCs w:val="24"/>
          <w:lang w:val="en-US"/>
        </w:rPr>
        <w:t>.</w:t>
      </w:r>
      <w:r w:rsidR="00A30EAE" w:rsidRPr="00612653">
        <w:rPr>
          <w:rFonts w:ascii="Book Antiqua" w:hAnsi="Book Antiqua"/>
          <w:sz w:val="24"/>
          <w:szCs w:val="24"/>
          <w:lang w:val="en-US"/>
        </w:rPr>
        <w:t xml:space="preserve"> OCA is a semi-synthetic bile acid</w:t>
      </w:r>
      <w:r w:rsidR="00B930D5" w:rsidRPr="00612653">
        <w:rPr>
          <w:rFonts w:ascii="Book Antiqua" w:hAnsi="Book Antiqua"/>
          <w:sz w:val="24"/>
          <w:szCs w:val="24"/>
          <w:lang w:val="en-US"/>
        </w:rPr>
        <w:t xml:space="preserve"> and is</w:t>
      </w:r>
      <w:r w:rsidR="00122269" w:rsidRPr="00612653">
        <w:rPr>
          <w:rFonts w:ascii="Book Antiqua" w:hAnsi="Book Antiqua"/>
          <w:sz w:val="24"/>
          <w:szCs w:val="24"/>
          <w:lang w:val="en-US"/>
        </w:rPr>
        <w:t xml:space="preserve"> </w:t>
      </w:r>
      <w:r w:rsidR="00B930D5" w:rsidRPr="00612653">
        <w:rPr>
          <w:rFonts w:ascii="Book Antiqua" w:hAnsi="Book Antiqua"/>
          <w:sz w:val="24"/>
          <w:szCs w:val="24"/>
          <w:lang w:val="en-US"/>
        </w:rPr>
        <w:t xml:space="preserve">currently </w:t>
      </w:r>
      <w:r w:rsidR="00122269" w:rsidRPr="00612653">
        <w:rPr>
          <w:rFonts w:ascii="Book Antiqua" w:hAnsi="Book Antiqua"/>
          <w:sz w:val="24"/>
          <w:szCs w:val="24"/>
          <w:lang w:val="en-US"/>
        </w:rPr>
        <w:t>approved for the treatment of</w:t>
      </w:r>
      <w:r w:rsidR="00B930D5" w:rsidRPr="00612653">
        <w:rPr>
          <w:rFonts w:ascii="Book Antiqua" w:hAnsi="Book Antiqua"/>
          <w:sz w:val="24"/>
          <w:szCs w:val="24"/>
          <w:lang w:val="en-US"/>
        </w:rPr>
        <w:t> primary biliary cholangitis</w:t>
      </w:r>
      <w:r w:rsidR="00B930D5" w:rsidRPr="00612653">
        <w:rPr>
          <w:rFonts w:ascii="Book Antiqua" w:hAnsi="Book Antiqua"/>
          <w:sz w:val="24"/>
          <w:szCs w:val="24"/>
          <w:lang w:val="en-US"/>
        </w:rPr>
        <w:fldChar w:fldCharType="begin" w:fldLock="1"/>
      </w:r>
      <w:r w:rsidR="004A5E9A" w:rsidRPr="00612653">
        <w:rPr>
          <w:rFonts w:ascii="Book Antiqua" w:hAnsi="Book Antiqua"/>
          <w:sz w:val="24"/>
          <w:szCs w:val="24"/>
          <w:lang w:val="en-US"/>
        </w:rPr>
        <w:instrText>ADDIN CSL_CITATION { "citationItems" : [ { "id" : "ITEM-1", "itemData" : { "DOI" : "10.1007/s40265-016-0616-x", "ISSN" : "0012-6667", "PMID" : "27406083", "abstract" : "Obeticholic acid (Ocaliva(TM)) is a farnesoid-X receptor (FXR) agonist that is being developed by Intercept Pharmaceuticals for the treatment of various liver diseases, and has recently been granted accelerated approval in the USA for the treatment of primary biliary cholangitis in combination with ursodeoxycholic acid in adults with an inadequate response to ursodeoxycholic acid, or as monotherapy in adults unable to tolerate ursodeoxycholic acid. The drug is in preregistration for this indication in the EU. This article summarizes the milestones in the development of obeticholic acid leading to this first approval for primary biliary cholangitis.", "author" : [ { "dropping-particle" : "", "family" : "Markham", "given" : "A.", "non-dropping-particle" : "", "parse-names" : false, "suffix" : "" }, { "dropping-particle" : "", "family" : "Keam", "given" : "Susan J.", "non-dropping-particle" : "", "parse-names" : false, "suffix" : "" } ], "container-title" : "Drugs", "id" : "ITEM-1", "issue" : "12", "issued" : { "date-parts" : [ [ "2016", "8", "12" ] ] }, "page" : "1221-1226", "title" : "Obeticholic Acid: First Global Approval", "type" : "article-journal", "volume" : "76" }, "uris" : [ "http://www.mendeley.com/documents/?uuid=3b7f9a7e-2ffb-3d0d-962d-88c30578153e" ] } ], "mendeley" : { "formattedCitation" : "&lt;sup&gt;[26]&lt;/sup&gt;", "plainTextFormattedCitation" : "[26]", "previouslyFormattedCitation" : "&lt;sup&gt;[26]&lt;/sup&gt;" }, "properties" : { "noteIndex" : 4 }, "schema" : "https://github.com/citation-style-language/schema/raw/master/csl-citation.json" }</w:instrText>
      </w:r>
      <w:r w:rsidR="00B930D5" w:rsidRPr="00612653">
        <w:rPr>
          <w:rFonts w:ascii="Book Antiqua" w:hAnsi="Book Antiqua"/>
          <w:sz w:val="24"/>
          <w:szCs w:val="24"/>
          <w:lang w:val="en-US"/>
        </w:rPr>
        <w:fldChar w:fldCharType="separate"/>
      </w:r>
      <w:r w:rsidR="004A5E9A" w:rsidRPr="00612653">
        <w:rPr>
          <w:rFonts w:ascii="Book Antiqua" w:hAnsi="Book Antiqua"/>
          <w:noProof/>
          <w:sz w:val="24"/>
          <w:szCs w:val="24"/>
          <w:vertAlign w:val="superscript"/>
          <w:lang w:val="en-US"/>
        </w:rPr>
        <w:t>[26]</w:t>
      </w:r>
      <w:r w:rsidR="00B930D5" w:rsidRPr="00612653">
        <w:rPr>
          <w:rFonts w:ascii="Book Antiqua" w:hAnsi="Book Antiqua"/>
          <w:sz w:val="24"/>
          <w:szCs w:val="24"/>
          <w:lang w:val="en-US"/>
        </w:rPr>
        <w:fldChar w:fldCharType="end"/>
      </w:r>
      <w:r w:rsidR="00B930D5" w:rsidRPr="00612653">
        <w:rPr>
          <w:rFonts w:ascii="Book Antiqua" w:hAnsi="Book Antiqua"/>
          <w:sz w:val="24"/>
          <w:szCs w:val="24"/>
          <w:lang w:val="en-US"/>
        </w:rPr>
        <w:t xml:space="preserve">. </w:t>
      </w:r>
      <w:r w:rsidR="00157B5C" w:rsidRPr="00612653">
        <w:rPr>
          <w:rFonts w:ascii="Book Antiqua" w:hAnsi="Book Antiqua"/>
          <w:sz w:val="24"/>
          <w:szCs w:val="24"/>
          <w:lang w:val="en-US"/>
        </w:rPr>
        <w:t>OCA acts as a transcriptional activator t</w:t>
      </w:r>
      <w:r w:rsidR="00B930D5" w:rsidRPr="00612653">
        <w:rPr>
          <w:rFonts w:ascii="Book Antiqua" w:hAnsi="Book Antiqua"/>
          <w:sz w:val="24"/>
          <w:szCs w:val="24"/>
          <w:lang w:val="en-US"/>
        </w:rPr>
        <w:t xml:space="preserve">hrough high-affinity binding to </w:t>
      </w:r>
      <w:r w:rsidR="0088745A" w:rsidRPr="00612653">
        <w:rPr>
          <w:rFonts w:ascii="Book Antiqua" w:hAnsi="Book Antiqua"/>
          <w:sz w:val="24"/>
          <w:szCs w:val="24"/>
          <w:lang w:val="en-US"/>
        </w:rPr>
        <w:t xml:space="preserve">the </w:t>
      </w:r>
      <w:r w:rsidR="00B930D5" w:rsidRPr="00612653">
        <w:rPr>
          <w:rFonts w:ascii="Book Antiqua" w:hAnsi="Book Antiqua"/>
          <w:sz w:val="24"/>
          <w:szCs w:val="24"/>
          <w:lang w:val="en-US"/>
        </w:rPr>
        <w:t>nuclear farnesoid X receptor</w:t>
      </w:r>
      <w:r w:rsidR="0088745A" w:rsidRPr="00612653">
        <w:rPr>
          <w:rFonts w:ascii="Book Antiqua" w:hAnsi="Book Antiqua"/>
          <w:sz w:val="24"/>
          <w:szCs w:val="24"/>
          <w:lang w:val="en-US"/>
        </w:rPr>
        <w:t xml:space="preserve"> (FXR)</w:t>
      </w:r>
      <w:r w:rsidR="00B930D5" w:rsidRPr="00612653">
        <w:rPr>
          <w:rFonts w:ascii="Book Antiqua" w:hAnsi="Book Antiqua"/>
          <w:sz w:val="24"/>
          <w:szCs w:val="24"/>
        </w:rPr>
        <w:fldChar w:fldCharType="begin" w:fldLock="1"/>
      </w:r>
      <w:r w:rsidR="004A5E9A" w:rsidRPr="00612653">
        <w:rPr>
          <w:rFonts w:ascii="Book Antiqua" w:hAnsi="Book Antiqua"/>
          <w:sz w:val="24"/>
          <w:szCs w:val="24"/>
          <w:lang w:val="en-US"/>
        </w:rPr>
        <w:instrText>ADDIN CSL_CITATION { "citationItems" : [ { "id" : "ITEM-1", "itemData" : { "ISSN" : "0022-2623", "PMID" : "12166927", "abstract" : "A series of 6alpha-alkyl-substituted analogues of chenodeoxycholic acid (CDCA) were synthesized and evaluated as potential farnesoid X receptor (FXR) ligands. Among them, 6alpha-ethyl-chenodeoxycholic acid (6-ECDCA) was shown to be a very potent and selective FXR agonist (EC(50) = 99 nM) and to be endowed with anticholeretic activity in an in vivo rat model of cholestasis.", "author" : [ { "dropping-particle" : "", "family" : "Pellicciari", "given" : "Roberto", "non-dropping-particle" : "", "parse-names" : false, "suffix" : "" }, { "dropping-particle" : "", "family" : "Fiorucci", "given" : "Stefano", "non-dropping-particle" : "", "parse-names" : false, "suffix" : "" }, { "dropping-particle" : "", "family" : "Camaioni", "given" : "Emidio", "non-dropping-particle" : "", "parse-names" : false, "suffix" : "" }, { "dropping-particle" : "", "family" : "Clerici", "given" : "Carlo", "non-dropping-particle" : "", "parse-names" : false, "suffix" : "" }, { "dropping-particle" : "", "family" : "Costantino", "given" : "Gabriele", "non-dropping-particle" : "", "parse-names" : false, "suffix" : "" }, { "dropping-particle" : "", "family" : "Maloney", "given" : "Patrick R", "non-dropping-particle" : "", "parse-names" : false, "suffix" : "" }, { "dropping-particle" : "", "family" : "Morelli", "given" : "Antonio", "non-dropping-particle" : "", "parse-names" : false, "suffix" : "" }, { "dropping-particle" : "", "family" : "Parks", "given" : "Derek J", "non-dropping-particle" : "", "parse-names" : false, "suffix" : "" }, { "dropping-particle" : "", "family" : "Willson", "given" : "Timothy M", "non-dropping-particle" : "", "parse-names" : false, "suffix" : "" } ], "container-title" : "Journal of medicinal chemistry", "id" : "ITEM-1", "issue" : "17", "issued" : { "date-parts" : [ [ "2002", "8", "15" ] ] }, "page" : "3569-72", "title" : "6alpha-ethyl-chenodeoxycholic acid (6-ECDCA), a potent and selective FXR agonist endowed with anticholestatic activity.", "type" : "article-journal", "volume" : "45" }, "uris" : [ "http://www.mendeley.com/documents/?uuid=9e24726a-2d9b-3598-8f5c-064f34f3077a", "http://www.mendeley.com/documents/?uuid=d306744b-8c71-4c5b-bbef-0d08116251dd" ] } ], "mendeley" : { "formattedCitation" : "&lt;sup&gt;[27]&lt;/sup&gt;", "plainTextFormattedCitation" : "[27]", "previouslyFormattedCitation" : "&lt;sup&gt;[27]&lt;/sup&gt;" }, "properties" : { "noteIndex" : 0 }, "schema" : "https://github.com/citation-style-language/schema/raw/master/csl-citation.json" }</w:instrText>
      </w:r>
      <w:r w:rsidR="00B930D5" w:rsidRPr="00612653">
        <w:rPr>
          <w:rFonts w:ascii="Book Antiqua" w:hAnsi="Book Antiqua"/>
          <w:sz w:val="24"/>
          <w:szCs w:val="24"/>
          <w:vertAlign w:val="superscript"/>
          <w:lang w:val="en-US"/>
        </w:rPr>
        <w:fldChar w:fldCharType="separate"/>
      </w:r>
      <w:r w:rsidR="004A5E9A" w:rsidRPr="00612653">
        <w:rPr>
          <w:rFonts w:ascii="Book Antiqua" w:hAnsi="Book Antiqua"/>
          <w:noProof/>
          <w:sz w:val="24"/>
          <w:szCs w:val="24"/>
          <w:vertAlign w:val="superscript"/>
          <w:lang w:val="en-US"/>
        </w:rPr>
        <w:t>[27]</w:t>
      </w:r>
      <w:r w:rsidR="00B930D5" w:rsidRPr="00612653">
        <w:rPr>
          <w:rFonts w:ascii="Book Antiqua" w:hAnsi="Book Antiqua"/>
          <w:sz w:val="24"/>
          <w:szCs w:val="24"/>
        </w:rPr>
        <w:fldChar w:fldCharType="end"/>
      </w:r>
      <w:r w:rsidR="00157B5C" w:rsidRPr="00612653">
        <w:rPr>
          <w:rFonts w:ascii="Book Antiqua" w:hAnsi="Book Antiqua"/>
          <w:sz w:val="24"/>
          <w:szCs w:val="24"/>
          <w:lang w:val="en-US"/>
        </w:rPr>
        <w:t xml:space="preserve"> </w:t>
      </w:r>
      <w:r w:rsidR="002D2289" w:rsidRPr="00612653">
        <w:rPr>
          <w:rFonts w:ascii="Book Antiqua" w:hAnsi="Book Antiqua"/>
          <w:sz w:val="24"/>
          <w:szCs w:val="24"/>
          <w:lang w:val="en-US"/>
        </w:rPr>
        <w:t xml:space="preserve">to </w:t>
      </w:r>
      <w:r w:rsidR="0088745A" w:rsidRPr="00612653">
        <w:rPr>
          <w:rFonts w:ascii="Book Antiqua" w:hAnsi="Book Antiqua"/>
          <w:sz w:val="24"/>
          <w:szCs w:val="24"/>
          <w:lang w:val="en-US"/>
        </w:rPr>
        <w:t xml:space="preserve">regulate </w:t>
      </w:r>
      <w:r w:rsidR="00B930D5" w:rsidRPr="00612653">
        <w:rPr>
          <w:rFonts w:ascii="Book Antiqua" w:hAnsi="Book Antiqua"/>
          <w:sz w:val="24"/>
          <w:szCs w:val="24"/>
          <w:lang w:val="en-US"/>
        </w:rPr>
        <w:t>bile acid synthesis</w:t>
      </w:r>
      <w:r w:rsidR="0088745A" w:rsidRPr="00612653">
        <w:rPr>
          <w:rFonts w:ascii="Book Antiqua" w:hAnsi="Book Antiqua"/>
          <w:sz w:val="24"/>
          <w:szCs w:val="24"/>
          <w:lang w:val="en-US"/>
        </w:rPr>
        <w:t xml:space="preserve"> and transport, </w:t>
      </w:r>
      <w:r w:rsidR="00B930D5" w:rsidRPr="00612653">
        <w:rPr>
          <w:rFonts w:ascii="Book Antiqua" w:hAnsi="Book Antiqua"/>
          <w:sz w:val="24"/>
          <w:szCs w:val="24"/>
          <w:lang w:val="en-US"/>
        </w:rPr>
        <w:t>hepatic lipid and carbohydrate metabolism</w:t>
      </w:r>
      <w:r w:rsidR="00650EE8" w:rsidRPr="00612653">
        <w:rPr>
          <w:rFonts w:ascii="Book Antiqua" w:hAnsi="Book Antiqua"/>
          <w:sz w:val="24"/>
          <w:szCs w:val="24"/>
          <w:lang w:val="en-US"/>
        </w:rPr>
        <w:t>, as well as immune function</w:t>
      </w:r>
      <w:r w:rsidR="00740941" w:rsidRPr="00612653">
        <w:rPr>
          <w:rFonts w:ascii="Book Antiqua" w:hAnsi="Book Antiqua"/>
          <w:sz w:val="24"/>
          <w:szCs w:val="24"/>
          <w:lang w:val="en-US"/>
        </w:rPr>
        <w:fldChar w:fldCharType="begin" w:fldLock="1"/>
      </w:r>
      <w:r w:rsidR="004A5E9A" w:rsidRPr="00612653">
        <w:rPr>
          <w:rFonts w:ascii="Book Antiqua" w:hAnsi="Book Antiqua"/>
          <w:sz w:val="24"/>
          <w:szCs w:val="24"/>
          <w:lang w:val="en-US"/>
        </w:rPr>
        <w:instrText>ADDIN CSL_CITATION { "citationItems" : [ { "id" : "ITEM-1", "itemData" : { "DOI" : "10.1007/s12072-015-9656-7", "ISSN" : "1936-0533", "PMID" : "26320013", "abstract" : "Bile acids are well known for their effects on cholesterol homeostasis and lipid digestion. Since the discovery of bile acid receptors, of which there are farnesoid X receptor (FXR), a nuclear receptor, and the plasma membrane G-protein receptor, as well as Takeda G-protein coupled receptor clone 5, further roles have been elucidated for bile acids including glucose and lipid metabolism as well as inflammation. Additionally, treatment with bile acid receptor agonists has shown a decrease in the amount of atherosclerosis plaque formation and decreased portal vascular resistance and portal hypotension in animal models. Furthermore, rodent models have demonstrated antifibrotic activity using bile acid receptor agonists. Early human data using a FXR agonist, obeticholic acid, have shown promising results with improvement of histological activity and even a reduction of fibrosis. Human studies are ongoing and will provide further information on bile acid receptor agonist therapies. Thus, bile acids and their derivatives have the potential for management of liver diseases and potentially other disease states including diabetes and the metabolic syndrome.", "author" : [ { "dropping-particle" : "", "family" : "Asgharpour", "given" : "Amon", "non-dropping-particle" : "", "parse-names" : false, "suffix" : "" }, { "dropping-particle" : "", "family" : "Kumar", "given" : "Divya", "non-dropping-particle" : "", "parse-names" : false, "suffix" : "" }, { "dropping-particle" : "", "family" : "Sanyal", "given" : "Arun", "non-dropping-particle" : "", "parse-names" : false, "suffix" : "" } ], "container-title" : "Hepatology International", "id" : "ITEM-1", "issue" : "4", "issued" : { "date-parts" : [ [ "2015", "10", "29" ] ] }, "page" : "527-533", "title" : "Bile acids: emerging role in management of liver diseases", "type" : "article-journal", "volume" : "9" }, "uris" : [ "http://www.mendeley.com/documents/?uuid=89294e08-c592-331c-9581-fc39cbb0385b" ] } ], "mendeley" : { "formattedCitation" : "&lt;sup&gt;[28]&lt;/sup&gt;", "plainTextFormattedCitation" : "[28]", "previouslyFormattedCitation" : "&lt;sup&gt;[28]&lt;/sup&gt;" }, "properties" : { "noteIndex" : 4 }, "schema" : "https://github.com/citation-style-language/schema/raw/master/csl-citation.json" }</w:instrText>
      </w:r>
      <w:r w:rsidR="00740941" w:rsidRPr="00612653">
        <w:rPr>
          <w:rFonts w:ascii="Book Antiqua" w:hAnsi="Book Antiqua"/>
          <w:sz w:val="24"/>
          <w:szCs w:val="24"/>
          <w:lang w:val="en-US"/>
        </w:rPr>
        <w:fldChar w:fldCharType="separate"/>
      </w:r>
      <w:r w:rsidR="004A5E9A" w:rsidRPr="00612653">
        <w:rPr>
          <w:rFonts w:ascii="Book Antiqua" w:hAnsi="Book Antiqua"/>
          <w:noProof/>
          <w:sz w:val="24"/>
          <w:szCs w:val="24"/>
          <w:vertAlign w:val="superscript"/>
          <w:lang w:val="en-US"/>
        </w:rPr>
        <w:t>[28]</w:t>
      </w:r>
      <w:r w:rsidR="00740941" w:rsidRPr="00612653">
        <w:rPr>
          <w:rFonts w:ascii="Book Antiqua" w:hAnsi="Book Antiqua"/>
          <w:sz w:val="24"/>
          <w:szCs w:val="24"/>
          <w:lang w:val="en-US"/>
        </w:rPr>
        <w:fldChar w:fldCharType="end"/>
      </w:r>
      <w:r w:rsidR="00650EE8" w:rsidRPr="00612653">
        <w:rPr>
          <w:rFonts w:ascii="Book Antiqua" w:hAnsi="Book Antiqua"/>
          <w:sz w:val="24"/>
          <w:szCs w:val="24"/>
          <w:lang w:val="en-US"/>
        </w:rPr>
        <w:t xml:space="preserve">. </w:t>
      </w:r>
      <w:r w:rsidR="00A162E5" w:rsidRPr="00612653">
        <w:rPr>
          <w:rFonts w:ascii="Book Antiqua" w:hAnsi="Book Antiqua"/>
          <w:sz w:val="24"/>
          <w:szCs w:val="24"/>
          <w:lang w:val="en-US"/>
        </w:rPr>
        <w:t>Elafibranor is a</w:t>
      </w:r>
      <w:r w:rsidR="00650EE8" w:rsidRPr="00612653">
        <w:rPr>
          <w:rFonts w:ascii="Book Antiqua" w:hAnsi="Book Antiqua"/>
          <w:sz w:val="24"/>
          <w:szCs w:val="24"/>
          <w:lang w:val="en-US"/>
        </w:rPr>
        <w:t xml:space="preserve"> </w:t>
      </w:r>
      <w:r w:rsidR="00650EE8" w:rsidRPr="00612653">
        <w:rPr>
          <w:rFonts w:ascii="Book Antiqua" w:hAnsi="Book Antiqua"/>
          <w:sz w:val="24"/>
          <w:szCs w:val="24"/>
          <w:lang w:val="en-US"/>
        </w:rPr>
        <w:lastRenderedPageBreak/>
        <w:t>selective</w:t>
      </w:r>
      <w:r w:rsidR="00A162E5" w:rsidRPr="00612653">
        <w:rPr>
          <w:rFonts w:ascii="Book Antiqua" w:hAnsi="Book Antiqua"/>
          <w:sz w:val="24"/>
          <w:szCs w:val="24"/>
          <w:lang w:val="en-US"/>
        </w:rPr>
        <w:t xml:space="preserve"> </w:t>
      </w:r>
      <w:r w:rsidR="00CD667A" w:rsidRPr="00612653">
        <w:rPr>
          <w:rFonts w:ascii="Book Antiqua" w:hAnsi="Book Antiqua"/>
          <w:sz w:val="24"/>
          <w:szCs w:val="24"/>
          <w:lang w:val="en-US"/>
        </w:rPr>
        <w:t xml:space="preserve">dual </w:t>
      </w:r>
      <w:r w:rsidR="00A162E5" w:rsidRPr="00612653">
        <w:rPr>
          <w:rFonts w:ascii="Book Antiqua" w:hAnsi="Book Antiqua"/>
          <w:sz w:val="24"/>
          <w:szCs w:val="24"/>
          <w:lang w:val="en-US"/>
        </w:rPr>
        <w:t xml:space="preserve">agonist for peroxisome proliferator-activated </w:t>
      </w:r>
      <w:r w:rsidR="00CD667A" w:rsidRPr="00612653">
        <w:rPr>
          <w:rFonts w:ascii="Book Antiqua" w:hAnsi="Book Antiqua"/>
          <w:sz w:val="24"/>
          <w:szCs w:val="24"/>
        </w:rPr>
        <w:t>α</w:t>
      </w:r>
      <w:r w:rsidR="00CD667A" w:rsidRPr="00612653">
        <w:rPr>
          <w:rFonts w:ascii="Book Antiqua" w:hAnsi="Book Antiqua"/>
          <w:sz w:val="24"/>
          <w:szCs w:val="24"/>
          <w:lang w:val="en-US"/>
        </w:rPr>
        <w:t>/</w:t>
      </w:r>
      <w:r w:rsidR="00CD667A" w:rsidRPr="00612653">
        <w:rPr>
          <w:rFonts w:ascii="Book Antiqua" w:hAnsi="Book Antiqua"/>
          <w:sz w:val="24"/>
          <w:szCs w:val="24"/>
        </w:rPr>
        <w:t>δ</w:t>
      </w:r>
      <w:r w:rsidR="00CD667A" w:rsidRPr="00612653">
        <w:rPr>
          <w:rFonts w:ascii="Book Antiqua" w:hAnsi="Book Antiqua"/>
          <w:sz w:val="24"/>
          <w:szCs w:val="24"/>
          <w:lang w:val="en-US"/>
        </w:rPr>
        <w:t xml:space="preserve"> </w:t>
      </w:r>
      <w:r w:rsidR="00A162E5" w:rsidRPr="00612653">
        <w:rPr>
          <w:rFonts w:ascii="Book Antiqua" w:hAnsi="Book Antiqua"/>
          <w:sz w:val="24"/>
          <w:szCs w:val="24"/>
          <w:lang w:val="en-US"/>
        </w:rPr>
        <w:t>receptor</w:t>
      </w:r>
      <w:r w:rsidR="00CD667A" w:rsidRPr="00612653">
        <w:rPr>
          <w:rFonts w:ascii="Book Antiqua" w:hAnsi="Book Antiqua"/>
          <w:sz w:val="24"/>
          <w:szCs w:val="24"/>
          <w:lang w:val="en-US"/>
        </w:rPr>
        <w:t xml:space="preserve">s </w:t>
      </w:r>
      <w:r w:rsidR="00A162E5" w:rsidRPr="00612653">
        <w:rPr>
          <w:rFonts w:ascii="Book Antiqua" w:hAnsi="Book Antiqua"/>
          <w:sz w:val="24"/>
          <w:szCs w:val="24"/>
          <w:lang w:val="en-US"/>
        </w:rPr>
        <w:t>(PPAR</w:t>
      </w:r>
      <w:r w:rsidR="00CD667A" w:rsidRPr="00612653">
        <w:rPr>
          <w:rFonts w:ascii="Book Antiqua" w:hAnsi="Book Antiqua"/>
          <w:sz w:val="24"/>
          <w:szCs w:val="24"/>
          <w:lang w:val="en-US"/>
        </w:rPr>
        <w:t xml:space="preserve">- </w:t>
      </w:r>
      <w:r w:rsidR="00CD667A" w:rsidRPr="00612653">
        <w:rPr>
          <w:rFonts w:ascii="Book Antiqua" w:hAnsi="Book Antiqua"/>
          <w:sz w:val="24"/>
          <w:szCs w:val="24"/>
        </w:rPr>
        <w:t>α</w:t>
      </w:r>
      <w:r w:rsidR="00CD667A" w:rsidRPr="00612653">
        <w:rPr>
          <w:rFonts w:ascii="Book Antiqua" w:hAnsi="Book Antiqua"/>
          <w:sz w:val="24"/>
          <w:szCs w:val="24"/>
          <w:lang w:val="en-US"/>
        </w:rPr>
        <w:t>/</w:t>
      </w:r>
      <w:r w:rsidR="00CD667A" w:rsidRPr="00612653">
        <w:rPr>
          <w:rFonts w:ascii="Book Antiqua" w:hAnsi="Book Antiqua"/>
          <w:sz w:val="24"/>
          <w:szCs w:val="24"/>
        </w:rPr>
        <w:t>δ</w:t>
      </w:r>
      <w:r w:rsidR="00CD667A" w:rsidRPr="00612653">
        <w:rPr>
          <w:rFonts w:ascii="Book Antiqua" w:hAnsi="Book Antiqua"/>
          <w:sz w:val="24"/>
          <w:szCs w:val="24"/>
          <w:lang w:val="en-US"/>
        </w:rPr>
        <w:t>)</w:t>
      </w:r>
      <w:r w:rsidR="00CD667A" w:rsidRPr="00612653">
        <w:rPr>
          <w:rFonts w:ascii="Book Antiqua" w:hAnsi="Book Antiqua"/>
          <w:sz w:val="24"/>
          <w:szCs w:val="24"/>
          <w:lang w:val="en-US"/>
        </w:rPr>
        <w:fldChar w:fldCharType="begin" w:fldLock="1"/>
      </w:r>
      <w:r w:rsidR="004A5E9A" w:rsidRPr="00612653">
        <w:rPr>
          <w:rFonts w:ascii="Book Antiqua" w:hAnsi="Book Antiqua"/>
          <w:sz w:val="24"/>
          <w:szCs w:val="24"/>
          <w:lang w:val="en-US"/>
        </w:rPr>
        <w:instrText>ADDIN CSL_CITATION { "citationItems" : [ { "id" : "ITEM-1", "itemData" : { "DOI" : "10.2337/dc12-2012", "ISSN" : "1935-5548", "PMID" : "23715754", "abstract" : "OBJECTIVE The development of new insulin sensitizers is an unmet need for the treatment of type 2 diabetes. We investigated the effect of GFT505, a dual peroxisome proliferator-activated receptor (PPAR)-\u03b1/\u03b4 agonist, on peripheral and hepatic insulin sensitivity. RESEARCH DESIGN AND METHODS Twenty-two abdominally obese insulin-resistant males (homeostasis model assessment of insulin resistance&gt;3) were randomly assigned in a randomized crossover study to subsequent 8-week treatment periods with GFT505 (80 mg/day) or placebo, followed by a two-step hyperinsulinemic-euglycemic insulin clamp with a glucose tracer to calculate endogenous glucose production (EGP). The primary end point was the improvement in glucose infusion rate (GIR). Gene expression analysis was performed on skeletal muscle biopsy specimens. RESULTS GFT505 improved peripheral insulin sensitivity, with a 21% (P=0.048) increase of the GIR at the second insulin infusion period. GFT505 also enhanced hepatic insulin sensitivity, with a 44% (P=0.006) increase of insulin suppression of EGP at the first insulin infusion period. Insulin-suppressed plasma free fatty acid concentrations were significantly reduced on GFT505 treatment (0.21\u00b10.07 vs. 0.27\u00b10.11 mmol/L; P=0.006). Neither PPAR\u03b1 nor PPAR\u03b4 target genes were induced in skeletal muscle, suggesting a liver-targeted action of GFT505. GFT505 significantly reduced fasting plasma triglycerides (-21%; P=0.003) and LDL cholesterol (-13%; P=0.0006), as well as liver enzyme concentrations (\u03b3-glutamyltranspeptidase: -30.4%, P=0.003; alanine aminotransferase: -20.5%, P=0.004). There was no safety concern or any indication of PPAR\u03b3 activation with GFT505. CONCLUSIONS The dual PPAR\u03b1/\u03b4 agonist GFT505 is a liver-targeted insulin-sensitizer that is a promising drug candidate for the treatment of type 2 diabetes and nonalcoholic fatty liver disease.", "author" : [ { "dropping-particle" : "", "family" : "Cariou", "given" : "Bertrand", "non-dropping-particle" : "", "parse-names" : false, "suffix" : "" }, { "dropping-particle" : "", "family" : "Hanf", "given" : "R\u00e9my", "non-dropping-particle" : "", "parse-names" : false, "suffix" : "" }, { "dropping-particle" : "", "family" : "Lambert-Porcheron", "given" : "St\u00e9phanie", "non-dropping-particle" : "", "parse-names" : false, "suffix" : "" }, { "dropping-particle" : "", "family" : "Za\u00efr", "given" : "Yassine", "non-dropping-particle" : "", "parse-names" : false, "suffix" : "" }, { "dropping-particle" : "", "family" : "Sauvinet", "given" : "Val\u00e9rie", "non-dropping-particle" : "", "parse-names" : false, "suffix" : "" }, { "dropping-particle" : "", "family" : "No\u00ebl", "given" : "Benoit", "non-dropping-particle" : "", "parse-names" : false, "suffix" : "" }, { "dropping-particle" : "", "family" : "Flet", "given" : "Laurent", "non-dropping-particle" : "", "parse-names" : false, "suffix" : "" }, { "dropping-particle" : "", "family" : "Vidal", "given" : "Hubert", "non-dropping-particle" : "", "parse-names" : false, "suffix" : "" }, { "dropping-particle" : "", "family" : "Staels", "given" : "Bart", "non-dropping-particle" : "", "parse-names" : false, "suffix" : "" }, { "dropping-particle" : "", "family" : "Laville", "given" : "Martine", "non-dropping-particle" : "", "parse-names" : false, "suffix" : "" } ], "container-title" : "Diabetes care", "id" : "ITEM-1", "issue" : "10", "issued" : { "date-parts" : [ [ "2013", "10", "1" ] ] }, "page" : "2923-30", "title" : "Dual peroxisome proliferator-activated receptor \u03b1/\u03b4 agonist GFT505 improves hepatic and peripheral insulin sensitivity in abdominally obese subjects.", "type" : "article-journal", "volume" : "36" }, "uris" : [ "http://www.mendeley.com/documents/?uuid=234aed17-8393-4deb-8a73-a9792c821f73" ] } ], "mendeley" : { "formattedCitation" : "&lt;sup&gt;[29]&lt;/sup&gt;", "plainTextFormattedCitation" : "[29]", "previouslyFormattedCitation" : "&lt;sup&gt;[29]&lt;/sup&gt;" }, "properties" : { "noteIndex" : 4 }, "schema" : "https://github.com/citation-style-language/schema/raw/master/csl-citation.json" }</w:instrText>
      </w:r>
      <w:r w:rsidR="00CD667A" w:rsidRPr="00612653">
        <w:rPr>
          <w:rFonts w:ascii="Book Antiqua" w:hAnsi="Book Antiqua"/>
          <w:sz w:val="24"/>
          <w:szCs w:val="24"/>
          <w:lang w:val="en-US"/>
        </w:rPr>
        <w:fldChar w:fldCharType="separate"/>
      </w:r>
      <w:r w:rsidR="004A5E9A" w:rsidRPr="00612653">
        <w:rPr>
          <w:rFonts w:ascii="Book Antiqua" w:hAnsi="Book Antiqua"/>
          <w:noProof/>
          <w:sz w:val="24"/>
          <w:szCs w:val="24"/>
          <w:vertAlign w:val="superscript"/>
          <w:lang w:val="en-US"/>
        </w:rPr>
        <w:t>[29]</w:t>
      </w:r>
      <w:r w:rsidR="00CD667A" w:rsidRPr="00612653">
        <w:rPr>
          <w:rFonts w:ascii="Book Antiqua" w:hAnsi="Book Antiqua"/>
          <w:sz w:val="24"/>
          <w:szCs w:val="24"/>
          <w:lang w:val="en-US"/>
        </w:rPr>
        <w:fldChar w:fldCharType="end"/>
      </w:r>
      <w:r w:rsidR="00CD667A" w:rsidRPr="00612653">
        <w:rPr>
          <w:rFonts w:ascii="Book Antiqua" w:hAnsi="Book Antiqua"/>
          <w:sz w:val="24"/>
          <w:szCs w:val="24"/>
          <w:lang w:val="en-US"/>
        </w:rPr>
        <w:t xml:space="preserve">, another </w:t>
      </w:r>
      <w:r w:rsidR="00833B6A" w:rsidRPr="00612653">
        <w:rPr>
          <w:rFonts w:ascii="Book Antiqua" w:hAnsi="Book Antiqua"/>
          <w:sz w:val="24"/>
          <w:szCs w:val="24"/>
          <w:lang w:val="en-US"/>
        </w:rPr>
        <w:t>group</w:t>
      </w:r>
      <w:r w:rsidR="00CD667A" w:rsidRPr="00612653">
        <w:rPr>
          <w:rFonts w:ascii="Book Antiqua" w:hAnsi="Book Antiqua"/>
          <w:sz w:val="24"/>
          <w:szCs w:val="24"/>
          <w:lang w:val="en-US"/>
        </w:rPr>
        <w:t xml:space="preserve"> of ligand-activated nuclear receptors with particularly </w:t>
      </w:r>
      <w:r w:rsidR="005A1E3E" w:rsidRPr="00612653">
        <w:rPr>
          <w:rFonts w:ascii="Book Antiqua" w:hAnsi="Book Antiqua"/>
          <w:sz w:val="24"/>
          <w:szCs w:val="24"/>
          <w:lang w:val="en-US"/>
        </w:rPr>
        <w:t>highly abundan</w:t>
      </w:r>
      <w:r w:rsidR="00CD667A" w:rsidRPr="00612653">
        <w:rPr>
          <w:rFonts w:ascii="Book Antiqua" w:hAnsi="Book Antiqua"/>
          <w:sz w:val="24"/>
          <w:szCs w:val="24"/>
          <w:lang w:val="en-US"/>
        </w:rPr>
        <w:t xml:space="preserve">cy </w:t>
      </w:r>
      <w:r w:rsidR="005A1E3E" w:rsidRPr="00612653">
        <w:rPr>
          <w:rFonts w:ascii="Book Antiqua" w:hAnsi="Book Antiqua"/>
          <w:sz w:val="24"/>
          <w:szCs w:val="24"/>
          <w:lang w:val="en-US"/>
        </w:rPr>
        <w:t>in the liver</w:t>
      </w:r>
      <w:r w:rsidR="00CD667A" w:rsidRPr="00612653">
        <w:rPr>
          <w:rFonts w:ascii="Book Antiqua" w:hAnsi="Book Antiqua"/>
          <w:sz w:val="24"/>
          <w:szCs w:val="24"/>
          <w:lang w:val="en-US"/>
        </w:rPr>
        <w:t>.</w:t>
      </w:r>
      <w:r w:rsidR="00CD37BF" w:rsidRPr="00612653">
        <w:rPr>
          <w:rFonts w:ascii="Book Antiqua" w:hAnsi="Book Antiqua"/>
          <w:sz w:val="24"/>
          <w:szCs w:val="24"/>
          <w:lang w:val="en-US"/>
        </w:rPr>
        <w:t xml:space="preserve"> As for OCA, elafibranor</w:t>
      </w:r>
      <w:r w:rsidR="005A1E3E" w:rsidRPr="00612653">
        <w:rPr>
          <w:rFonts w:ascii="Book Antiqua" w:hAnsi="Book Antiqua"/>
          <w:sz w:val="24"/>
          <w:szCs w:val="24"/>
          <w:lang w:val="en-US"/>
        </w:rPr>
        <w:t xml:space="preserve"> exerts its major effects </w:t>
      </w:r>
      <w:r w:rsidR="00CD37BF" w:rsidRPr="00612653">
        <w:rPr>
          <w:rFonts w:ascii="Book Antiqua" w:hAnsi="Book Antiqua"/>
          <w:sz w:val="24"/>
          <w:szCs w:val="24"/>
          <w:lang w:val="en-US"/>
        </w:rPr>
        <w:t xml:space="preserve">through transcriptional </w:t>
      </w:r>
      <w:r w:rsidR="00D14FF9" w:rsidRPr="00612653">
        <w:rPr>
          <w:rFonts w:ascii="Book Antiqua" w:hAnsi="Book Antiqua"/>
          <w:sz w:val="24"/>
          <w:szCs w:val="24"/>
          <w:lang w:val="en-US"/>
        </w:rPr>
        <w:t>regulation</w:t>
      </w:r>
      <w:r w:rsidR="00CD37BF" w:rsidRPr="00612653">
        <w:rPr>
          <w:rFonts w:ascii="Book Antiqua" w:hAnsi="Book Antiqua"/>
          <w:sz w:val="24"/>
          <w:szCs w:val="24"/>
          <w:lang w:val="en-US"/>
        </w:rPr>
        <w:t xml:space="preserve"> of </w:t>
      </w:r>
      <w:r w:rsidR="00D14FF9" w:rsidRPr="00612653">
        <w:rPr>
          <w:rFonts w:ascii="Book Antiqua" w:hAnsi="Book Antiqua"/>
          <w:sz w:val="24"/>
          <w:szCs w:val="24"/>
          <w:lang w:val="en-US"/>
        </w:rPr>
        <w:t xml:space="preserve">key </w:t>
      </w:r>
      <w:r w:rsidR="00CD37BF" w:rsidRPr="00612653">
        <w:rPr>
          <w:rFonts w:ascii="Book Antiqua" w:hAnsi="Book Antiqua"/>
          <w:sz w:val="24"/>
          <w:szCs w:val="24"/>
          <w:lang w:val="en-US"/>
        </w:rPr>
        <w:t xml:space="preserve">genes involved in </w:t>
      </w:r>
      <w:r w:rsidR="005A1E3E" w:rsidRPr="00612653">
        <w:rPr>
          <w:rFonts w:ascii="Book Antiqua" w:hAnsi="Book Antiqua"/>
          <w:sz w:val="24"/>
          <w:szCs w:val="24"/>
          <w:lang w:val="en-US"/>
        </w:rPr>
        <w:t xml:space="preserve">hepatic </w:t>
      </w:r>
      <w:r w:rsidR="00650EE8" w:rsidRPr="00612653">
        <w:rPr>
          <w:rFonts w:ascii="Book Antiqua" w:hAnsi="Book Antiqua"/>
          <w:sz w:val="24"/>
          <w:szCs w:val="24"/>
          <w:lang w:val="en-US"/>
        </w:rPr>
        <w:t>lipid and glucose metabolism</w:t>
      </w:r>
      <w:r w:rsidR="007515FB" w:rsidRPr="00612653">
        <w:rPr>
          <w:rFonts w:ascii="Book Antiqua" w:hAnsi="Book Antiqua"/>
          <w:sz w:val="24"/>
          <w:szCs w:val="24"/>
          <w:lang w:val="en-US"/>
        </w:rPr>
        <w:t xml:space="preserve">, but </w:t>
      </w:r>
      <w:r w:rsidR="001A5A92" w:rsidRPr="00612653">
        <w:rPr>
          <w:rFonts w:ascii="Book Antiqua" w:hAnsi="Book Antiqua"/>
          <w:sz w:val="24"/>
          <w:szCs w:val="24"/>
          <w:lang w:val="en-US"/>
        </w:rPr>
        <w:t>also</w:t>
      </w:r>
      <w:r w:rsidR="007515FB" w:rsidRPr="00612653">
        <w:rPr>
          <w:rFonts w:ascii="Book Antiqua" w:hAnsi="Book Antiqua"/>
          <w:sz w:val="24"/>
          <w:szCs w:val="24"/>
          <w:lang w:val="en-US"/>
        </w:rPr>
        <w:t xml:space="preserve"> modulate</w:t>
      </w:r>
      <w:r w:rsidR="001A5A92" w:rsidRPr="00612653">
        <w:rPr>
          <w:rFonts w:ascii="Book Antiqua" w:hAnsi="Book Antiqua"/>
          <w:sz w:val="24"/>
          <w:szCs w:val="24"/>
          <w:lang w:val="en-US"/>
        </w:rPr>
        <w:t>s</w:t>
      </w:r>
      <w:r w:rsidR="007515FB" w:rsidRPr="00612653">
        <w:rPr>
          <w:rFonts w:ascii="Book Antiqua" w:hAnsi="Book Antiqua"/>
          <w:sz w:val="24"/>
          <w:szCs w:val="24"/>
          <w:lang w:val="en-US"/>
        </w:rPr>
        <w:t xml:space="preserve"> </w:t>
      </w:r>
      <w:r w:rsidR="001A5A92" w:rsidRPr="00612653">
        <w:rPr>
          <w:rFonts w:ascii="Book Antiqua" w:hAnsi="Book Antiqua"/>
          <w:sz w:val="24"/>
          <w:szCs w:val="24"/>
          <w:lang w:val="en-US"/>
        </w:rPr>
        <w:t xml:space="preserve">hepatic inflammation and </w:t>
      </w:r>
      <w:r w:rsidR="007515FB" w:rsidRPr="00612653">
        <w:rPr>
          <w:rFonts w:ascii="Book Antiqua" w:hAnsi="Book Antiqua"/>
          <w:sz w:val="24"/>
          <w:szCs w:val="24"/>
          <w:lang w:val="en-US"/>
        </w:rPr>
        <w:t>collagen turnover</w:t>
      </w:r>
      <w:r w:rsidR="001A5A92" w:rsidRPr="00612653">
        <w:rPr>
          <w:rFonts w:ascii="Book Antiqua" w:hAnsi="Book Antiqua"/>
          <w:sz w:val="24"/>
          <w:szCs w:val="24"/>
          <w:lang w:val="en-US"/>
        </w:rPr>
        <w:fldChar w:fldCharType="begin" w:fldLock="1"/>
      </w:r>
      <w:r w:rsidR="004A5E9A" w:rsidRPr="00612653">
        <w:rPr>
          <w:rFonts w:ascii="Book Antiqua" w:hAnsi="Book Antiqua"/>
          <w:sz w:val="24"/>
          <w:szCs w:val="24"/>
          <w:lang w:val="en-US"/>
        </w:rPr>
        <w:instrText>ADDIN CSL_CITATION { "citationItems" : [ { "id" : "ITEM-1", "itemData" : { "DOI" : "10.1002/hep.26461", "ISSN" : "02709139", "PMID" : "23703580", "abstract" : "UNLABELLED Nonalcoholic fatty liver disease (NAFLD) covers a spectrum of liver damage ranging from simple steatosis to nonalcoholic steatohepatitis (NASH), fibrosis, and cirrhosis. To date, no pharmacological treatment is approved for NAFLD/NASH. Here, we report on preclinical and clinical data with GFT505, a novel dual peroxisome proliferator-activated receptor alpha/delta (PPAR-\u03b1/\u03b4) agonist. In the rat, GFT505 concentrated in the liver with limited extrahepatic exposure and underwent extensive enterohepatic cycling. The efficacy of GFT505 was assessed in animal models of NAFLD/NASH and liver fibrosis (Western diet [WD]-fed human apolipoprotein E2 [hApoE2] transgenic mice, methionine- and choline-deficient diet-fed db/db mice, and CCl4 -induced fibrosis in rats). GFT505 demonstrated liver-protective effects on steatosis, inflammation, and fibrosis. In addition, GFT505 improved liver dysfunction markers, decreased hepatic lipid accumulation, and inhibited proinflammatory (interleukin-1 beta, tumor necrosis factor alpha, and F4/80) and profibrotic (transforming growth factor beta, tissue inhibitor of metalloproteinase 2, collagen type I, alpha 1, and collagen type I, alpha 2) gene expression. To determine the role of PPAR-\u03b1-independent mechanisms, the effect of GFT505 was assessed in hApoE2 knock-in/PPAR-\u03b1 knockout mice. In these mice, GFT505 also prevented WD-induced liver steatosis and inflammation, indicating a contribution of PPAR-\u03b1-independent mechanisms. Finally, the effect of GFT505 on liver dysfunction markers was assessed in a combined analysis of four phase II clinical studies in metabolic syndrome patients. GFT505 treatment decreased plasma concentrations of alanine aminotransferase, gamma-glutamyl transpeptidase, and alkaline phosphatase. CONCLUSION The dual PPAR-\u03b1/\u03b4 agonist, GFT505, is a promising liver-targeted drug for treatment of NAFLD/NASH. In animals, its protective effects are mediated by both PPAR-\u03b1-dependent and -independent mechanisms.", "author" : [ { "dropping-particle" : "", "family" : "Staels", "given" : "Bart", "non-dropping-particle" : "", "parse-names" : false, "suffix" : "" }, { "dropping-particle" : "", "family" : "Rubenstrunk", "given" : "Anne", "non-dropping-particle" : "", "parse-names" : false, "suffix" : "" }, { "dropping-particle" : "", "family" : "Noel", "given" : "Benoit", "non-dropping-particle" : "", "parse-names" : false, "suffix" : "" }, { "dropping-particle" : "", "family" : "Rigou", "given" : "G\u00e9raldine", "non-dropping-particle" : "", "parse-names" : false, "suffix" : "" }, { "dropping-particle" : "", "family" : "Delataille", "given" : "Philippe", "non-dropping-particle" : "", "parse-names" : false, "suffix" : "" }, { "dropping-particle" : "", "family" : "Millatt", "given" : "Lesley J.", "non-dropping-particle" : "", "parse-names" : false, "suffix" : "" }, { "dropping-particle" : "", "family" : "Baron", "given" : "Morgane", "non-dropping-particle" : "", "parse-names" : false, "suffix" : "" }, { "dropping-particle" : "", "family" : "Lucas", "given" : "Anthony", "non-dropping-particle" : "", "parse-names" : false, "suffix" : "" }, { "dropping-particle" : "", "family" : "Tailleux", "given" : "Anne", "non-dropping-particle" : "", "parse-names" : false, "suffix" : "" }, { "dropping-particle" : "", "family" : "Hum", "given" : "Dean W.", "non-dropping-particle" : "", "parse-names" : false, "suffix" : "" }, { "dropping-particle" : "", "family" : "Ratziu", "given" : "Vlad", "non-dropping-particle" : "", "parse-names" : false, "suffix" : "" }, { "dropping-particle" : "", "family" : "Cariou", "given" : "Bertrand", "non-dropping-particle" : "", "parse-names" : false, "suffix" : "" }, { "dropping-particle" : "", "family" : "Hanf", "given" : "R\u00e9my", "non-dropping-particle" : "", "parse-names" : false, "suffix" : "" } ], "container-title" : "Hepatology", "id" : "ITEM-1", "issue" : "6", "issued" : { "date-parts" : [ [ "2013", "12" ] ] }, "page" : "1941-1952", "title" : "Hepatoprotective effects of the dual peroxisome proliferator-activated receptor alpha/delta agonist, GFT505, in rodent models of nonalcoholic fatty liver disease/nonalcoholic steatohepatitis", "type" : "article-journal", "volume" : "58" }, "uris" : [ "http://www.mendeley.com/documents/?uuid=9c07d5cb-caac-333d-ad11-008d20640e82" ] } ], "mendeley" : { "formattedCitation" : "&lt;sup&gt;[30]&lt;/sup&gt;", "plainTextFormattedCitation" : "[30]", "previouslyFormattedCitation" : "&lt;sup&gt;[30]&lt;/sup&gt;" }, "properties" : { "noteIndex" : 4 }, "schema" : "https://github.com/citation-style-language/schema/raw/master/csl-citation.json" }</w:instrText>
      </w:r>
      <w:r w:rsidR="001A5A92" w:rsidRPr="00612653">
        <w:rPr>
          <w:rFonts w:ascii="Book Antiqua" w:hAnsi="Book Antiqua"/>
          <w:sz w:val="24"/>
          <w:szCs w:val="24"/>
          <w:lang w:val="en-US"/>
        </w:rPr>
        <w:fldChar w:fldCharType="separate"/>
      </w:r>
      <w:r w:rsidR="004A5E9A" w:rsidRPr="00612653">
        <w:rPr>
          <w:rFonts w:ascii="Book Antiqua" w:hAnsi="Book Antiqua"/>
          <w:noProof/>
          <w:sz w:val="24"/>
          <w:szCs w:val="24"/>
          <w:vertAlign w:val="superscript"/>
          <w:lang w:val="en-US"/>
        </w:rPr>
        <w:t>[30]</w:t>
      </w:r>
      <w:r w:rsidR="001A5A92" w:rsidRPr="00612653">
        <w:rPr>
          <w:rFonts w:ascii="Book Antiqua" w:hAnsi="Book Antiqua"/>
          <w:sz w:val="24"/>
          <w:szCs w:val="24"/>
          <w:lang w:val="en-US"/>
        </w:rPr>
        <w:fldChar w:fldCharType="end"/>
      </w:r>
      <w:r w:rsidR="001A5A92" w:rsidRPr="00612653">
        <w:rPr>
          <w:rFonts w:ascii="Book Antiqua" w:hAnsi="Book Antiqua"/>
          <w:sz w:val="24"/>
          <w:szCs w:val="24"/>
          <w:lang w:val="en-US"/>
        </w:rPr>
        <w:t>.</w:t>
      </w:r>
      <w:r w:rsidR="00EF714A" w:rsidRPr="00612653">
        <w:rPr>
          <w:rFonts w:ascii="Book Antiqua" w:hAnsi="Book Antiqua"/>
          <w:sz w:val="24"/>
          <w:szCs w:val="24"/>
          <w:lang w:val="en-US"/>
        </w:rPr>
        <w:t xml:space="preserve"> </w:t>
      </w:r>
      <w:r w:rsidR="00B105A8" w:rsidRPr="00612653">
        <w:rPr>
          <w:rFonts w:ascii="Book Antiqua" w:hAnsi="Book Antiqua"/>
          <w:sz w:val="24"/>
          <w:szCs w:val="24"/>
          <w:lang w:val="en-US"/>
        </w:rPr>
        <w:t xml:space="preserve">Liraglutide, OCA and elafibranor </w:t>
      </w:r>
      <w:r w:rsidR="00C04CFF" w:rsidRPr="00612653">
        <w:rPr>
          <w:rFonts w:ascii="Book Antiqua" w:hAnsi="Book Antiqua"/>
          <w:sz w:val="24"/>
          <w:szCs w:val="24"/>
          <w:lang w:val="en-US"/>
        </w:rPr>
        <w:t xml:space="preserve">therefore </w:t>
      </w:r>
      <w:r w:rsidR="00592419" w:rsidRPr="00612653">
        <w:rPr>
          <w:rFonts w:ascii="Book Antiqua" w:hAnsi="Book Antiqua"/>
          <w:sz w:val="24"/>
          <w:szCs w:val="24"/>
          <w:lang w:val="en-US"/>
        </w:rPr>
        <w:t>influences different</w:t>
      </w:r>
      <w:r w:rsidR="00C04CFF" w:rsidRPr="00612653">
        <w:rPr>
          <w:rFonts w:ascii="Book Antiqua" w:hAnsi="Book Antiqua"/>
          <w:sz w:val="24"/>
          <w:szCs w:val="24"/>
          <w:lang w:val="en-US"/>
        </w:rPr>
        <w:t xml:space="preserve"> disease </w:t>
      </w:r>
      <w:r w:rsidR="00592419" w:rsidRPr="00612653">
        <w:rPr>
          <w:rFonts w:ascii="Book Antiqua" w:hAnsi="Book Antiqua"/>
          <w:sz w:val="24"/>
          <w:szCs w:val="24"/>
          <w:lang w:val="en-US"/>
        </w:rPr>
        <w:t xml:space="preserve">mechanisms in NASH, making </w:t>
      </w:r>
      <w:r w:rsidR="00B105A8" w:rsidRPr="00612653">
        <w:rPr>
          <w:rFonts w:ascii="Book Antiqua" w:hAnsi="Book Antiqua"/>
          <w:sz w:val="24"/>
          <w:szCs w:val="24"/>
          <w:lang w:val="en-US"/>
        </w:rPr>
        <w:t>these compounds well-s</w:t>
      </w:r>
      <w:r w:rsidR="00C04CFF" w:rsidRPr="00612653">
        <w:rPr>
          <w:rFonts w:ascii="Book Antiqua" w:hAnsi="Book Antiqua"/>
          <w:sz w:val="24"/>
          <w:szCs w:val="24"/>
          <w:lang w:val="en-US"/>
        </w:rPr>
        <w:t>uited for comparing the treatment efficacy of different therapeutic concepts in the tw</w:t>
      </w:r>
      <w:r w:rsidR="007C5756" w:rsidRPr="00612653">
        <w:rPr>
          <w:rFonts w:ascii="Book Antiqua" w:hAnsi="Book Antiqua"/>
          <w:sz w:val="24"/>
          <w:szCs w:val="24"/>
          <w:lang w:val="en-US"/>
        </w:rPr>
        <w:t>o mouse models of NASH.</w:t>
      </w:r>
    </w:p>
    <w:p w14:paraId="370E6EE9" w14:textId="77777777" w:rsidR="00D15D8C" w:rsidRPr="00612653" w:rsidRDefault="00D15D8C" w:rsidP="00082279">
      <w:pPr>
        <w:snapToGrid w:val="0"/>
        <w:spacing w:after="0" w:line="360" w:lineRule="auto"/>
        <w:jc w:val="both"/>
        <w:rPr>
          <w:rFonts w:ascii="Book Antiqua" w:hAnsi="Book Antiqua"/>
          <w:sz w:val="24"/>
          <w:szCs w:val="24"/>
          <w:lang w:val="en-US" w:eastAsia="zh-CN"/>
        </w:rPr>
      </w:pPr>
    </w:p>
    <w:p w14:paraId="3A56F8B0" w14:textId="3FC1B098" w:rsidR="009F6856" w:rsidRPr="00612653" w:rsidRDefault="00C76575" w:rsidP="00082279">
      <w:pPr>
        <w:snapToGrid w:val="0"/>
        <w:spacing w:after="0" w:line="360" w:lineRule="auto"/>
        <w:jc w:val="both"/>
        <w:rPr>
          <w:rFonts w:ascii="Book Antiqua" w:hAnsi="Book Antiqua"/>
          <w:sz w:val="24"/>
          <w:szCs w:val="24"/>
          <w:lang w:val="en-US"/>
        </w:rPr>
      </w:pPr>
      <w:r w:rsidRPr="00612653">
        <w:rPr>
          <w:rFonts w:ascii="Book Antiqua" w:hAnsi="Book Antiqua"/>
          <w:b/>
          <w:bCs/>
          <w:sz w:val="24"/>
          <w:szCs w:val="24"/>
          <w:lang w:val="en-US"/>
        </w:rPr>
        <w:t>MATERIALS AND METHODS</w:t>
      </w:r>
    </w:p>
    <w:p w14:paraId="3E38D8D1" w14:textId="6A534343" w:rsidR="007E20A9" w:rsidRPr="00612653" w:rsidRDefault="007E20A9" w:rsidP="00082279">
      <w:pPr>
        <w:snapToGrid w:val="0"/>
        <w:spacing w:after="0" w:line="360" w:lineRule="auto"/>
        <w:jc w:val="both"/>
        <w:rPr>
          <w:rFonts w:ascii="Book Antiqua" w:hAnsi="Book Antiqua"/>
          <w:b/>
          <w:i/>
          <w:iCs/>
          <w:sz w:val="24"/>
          <w:szCs w:val="24"/>
          <w:lang w:val="en-US"/>
        </w:rPr>
      </w:pPr>
      <w:r w:rsidRPr="00612653">
        <w:rPr>
          <w:rFonts w:ascii="Book Antiqua" w:hAnsi="Book Antiqua"/>
          <w:b/>
          <w:i/>
          <w:iCs/>
          <w:sz w:val="24"/>
          <w:szCs w:val="24"/>
          <w:lang w:val="en-US"/>
        </w:rPr>
        <w:t>Animals</w:t>
      </w:r>
    </w:p>
    <w:p w14:paraId="72C7E340" w14:textId="14A2B65C" w:rsidR="00441F40" w:rsidRPr="00612653" w:rsidRDefault="00876D0E"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t>All animal experiments were conducted according to international</w:t>
      </w:r>
      <w:r w:rsidR="00632F22" w:rsidRPr="00612653">
        <w:rPr>
          <w:rFonts w:ascii="Book Antiqua" w:hAnsi="Book Antiqua"/>
          <w:sz w:val="24"/>
          <w:szCs w:val="24"/>
          <w:lang w:val="en-US"/>
        </w:rPr>
        <w:t>ly</w:t>
      </w:r>
      <w:r w:rsidRPr="00612653">
        <w:rPr>
          <w:rFonts w:ascii="Book Antiqua" w:hAnsi="Book Antiqua"/>
          <w:sz w:val="24"/>
          <w:szCs w:val="24"/>
          <w:lang w:val="en-US"/>
        </w:rPr>
        <w:t xml:space="preserve"> accepted principles for the care and use of laboratory animals (</w:t>
      </w:r>
      <w:r w:rsidR="00EA5D7D" w:rsidRPr="00612653">
        <w:rPr>
          <w:rFonts w:ascii="Book Antiqua" w:hAnsi="Book Antiqua"/>
          <w:sz w:val="24"/>
          <w:szCs w:val="24"/>
          <w:lang w:val="en-US"/>
        </w:rPr>
        <w:t xml:space="preserve">licence </w:t>
      </w:r>
      <w:r w:rsidR="00091480" w:rsidRPr="00612653">
        <w:rPr>
          <w:rFonts w:ascii="Book Antiqua" w:hAnsi="Book Antiqua"/>
          <w:sz w:val="24"/>
          <w:szCs w:val="24"/>
          <w:lang w:val="en-US"/>
        </w:rPr>
        <w:t xml:space="preserve">no. </w:t>
      </w:r>
      <w:r w:rsidR="005B660C" w:rsidRPr="00612653">
        <w:rPr>
          <w:rFonts w:ascii="Book Antiqua" w:hAnsi="Book Antiqua"/>
          <w:sz w:val="24"/>
          <w:szCs w:val="24"/>
          <w:lang w:val="en-US"/>
        </w:rPr>
        <w:t xml:space="preserve">2013-15-2934-00784, </w:t>
      </w:r>
      <w:r w:rsidR="0090566A" w:rsidRPr="00612653">
        <w:rPr>
          <w:rFonts w:ascii="Book Antiqua" w:hAnsi="Book Antiqua"/>
          <w:sz w:val="24"/>
          <w:szCs w:val="24"/>
          <w:lang w:val="en-US"/>
        </w:rPr>
        <w:t xml:space="preserve">The Animal Experiments Inspectorate, </w:t>
      </w:r>
      <w:r w:rsidRPr="00612653">
        <w:rPr>
          <w:rFonts w:ascii="Book Antiqua" w:hAnsi="Book Antiqua"/>
          <w:sz w:val="24"/>
          <w:szCs w:val="24"/>
          <w:lang w:val="en-US"/>
        </w:rPr>
        <w:t xml:space="preserve">Denmark). </w:t>
      </w:r>
      <w:r w:rsidR="00B96FA5" w:rsidRPr="00612653">
        <w:rPr>
          <w:rFonts w:ascii="Book Antiqua" w:hAnsi="Book Antiqua"/>
          <w:sz w:val="24"/>
          <w:szCs w:val="24"/>
          <w:lang w:val="en-US"/>
        </w:rPr>
        <w:t xml:space="preserve">The animal protocol was designed to minimize pain or discomfort to the animals. </w:t>
      </w:r>
      <w:r w:rsidR="00A16F65" w:rsidRPr="00612653">
        <w:rPr>
          <w:rFonts w:ascii="Book Antiqua" w:hAnsi="Book Antiqua"/>
          <w:sz w:val="24"/>
          <w:szCs w:val="24"/>
          <w:lang w:val="en-US"/>
        </w:rPr>
        <w:t>Male m</w:t>
      </w:r>
      <w:r w:rsidR="003C6179" w:rsidRPr="00612653">
        <w:rPr>
          <w:rFonts w:ascii="Book Antiqua" w:hAnsi="Book Antiqua"/>
          <w:sz w:val="24"/>
          <w:szCs w:val="24"/>
          <w:lang w:val="en-US"/>
        </w:rPr>
        <w:t>i</w:t>
      </w:r>
      <w:r w:rsidR="00A86F0C" w:rsidRPr="00612653">
        <w:rPr>
          <w:rFonts w:ascii="Book Antiqua" w:hAnsi="Book Antiqua"/>
          <w:sz w:val="24"/>
          <w:szCs w:val="24"/>
          <w:lang w:val="en-US"/>
        </w:rPr>
        <w:t>ce</w:t>
      </w:r>
      <w:r w:rsidR="001D219C" w:rsidRPr="00612653">
        <w:rPr>
          <w:rFonts w:ascii="Book Antiqua" w:hAnsi="Book Antiqua"/>
          <w:sz w:val="24"/>
          <w:szCs w:val="24"/>
          <w:lang w:val="en-US"/>
        </w:rPr>
        <w:t xml:space="preserve"> were </w:t>
      </w:r>
      <w:r w:rsidR="00A86F0C" w:rsidRPr="00612653">
        <w:rPr>
          <w:rFonts w:ascii="Book Antiqua" w:hAnsi="Book Antiqua"/>
          <w:sz w:val="24"/>
          <w:szCs w:val="24"/>
          <w:lang w:val="en-US"/>
        </w:rPr>
        <w:t xml:space="preserve">obtained from </w:t>
      </w:r>
      <w:r w:rsidR="001D219C" w:rsidRPr="00612653">
        <w:rPr>
          <w:rFonts w:ascii="Book Antiqua" w:hAnsi="Book Antiqua"/>
          <w:sz w:val="24"/>
          <w:szCs w:val="24"/>
          <w:lang w:val="en-US"/>
        </w:rPr>
        <w:t xml:space="preserve">Janvier </w:t>
      </w:r>
      <w:r w:rsidR="00940897" w:rsidRPr="00612653">
        <w:rPr>
          <w:rFonts w:ascii="Book Antiqua" w:hAnsi="Book Antiqua"/>
          <w:sz w:val="24"/>
          <w:szCs w:val="24"/>
          <w:lang w:val="en-US"/>
        </w:rPr>
        <w:t>Labs</w:t>
      </w:r>
      <w:r w:rsidR="00FE697D" w:rsidRPr="00612653">
        <w:rPr>
          <w:rFonts w:ascii="Book Antiqua" w:hAnsi="Book Antiqua"/>
          <w:sz w:val="24"/>
          <w:szCs w:val="24"/>
          <w:lang w:val="en-US"/>
        </w:rPr>
        <w:t xml:space="preserve"> </w:t>
      </w:r>
      <w:r w:rsidR="001D219C" w:rsidRPr="00612653">
        <w:rPr>
          <w:rFonts w:ascii="Book Antiqua" w:hAnsi="Book Antiqua"/>
          <w:sz w:val="24"/>
          <w:szCs w:val="24"/>
          <w:lang w:val="en-US"/>
        </w:rPr>
        <w:t xml:space="preserve">(Le Genest Saint Isle, France) </w:t>
      </w:r>
      <w:r w:rsidR="00A86F0C" w:rsidRPr="00612653">
        <w:rPr>
          <w:rFonts w:ascii="Book Antiqua" w:hAnsi="Book Antiqua"/>
          <w:sz w:val="24"/>
          <w:szCs w:val="24"/>
          <w:lang w:val="en-US"/>
        </w:rPr>
        <w:t xml:space="preserve">and </w:t>
      </w:r>
      <w:r w:rsidR="001D219C" w:rsidRPr="00612653">
        <w:rPr>
          <w:rFonts w:ascii="Book Antiqua" w:hAnsi="Book Antiqua"/>
          <w:sz w:val="24"/>
          <w:szCs w:val="24"/>
          <w:lang w:val="en-US"/>
        </w:rPr>
        <w:t>housed in a controlled environment (12</w:t>
      </w:r>
      <w:r w:rsidR="006D0E42" w:rsidRPr="00612653">
        <w:rPr>
          <w:rFonts w:ascii="Book Antiqua" w:hAnsi="Book Antiqua"/>
          <w:sz w:val="24"/>
          <w:szCs w:val="24"/>
          <w:lang w:val="en-US" w:eastAsia="zh-CN"/>
        </w:rPr>
        <w:t xml:space="preserve"> </w:t>
      </w:r>
      <w:r w:rsidR="001D219C" w:rsidRPr="00612653">
        <w:rPr>
          <w:rFonts w:ascii="Book Antiqua" w:hAnsi="Book Antiqua"/>
          <w:sz w:val="24"/>
          <w:szCs w:val="24"/>
          <w:lang w:val="en-US"/>
        </w:rPr>
        <w:t>h light/dark cycle, light on</w:t>
      </w:r>
      <w:r w:rsidR="00C90477" w:rsidRPr="00612653">
        <w:rPr>
          <w:rFonts w:ascii="Book Antiqua" w:hAnsi="Book Antiqua"/>
          <w:sz w:val="24"/>
          <w:szCs w:val="24"/>
          <w:lang w:val="en-US"/>
        </w:rPr>
        <w:t xml:space="preserve"> at 3 AM</w:t>
      </w:r>
      <w:r w:rsidR="001D219C" w:rsidRPr="00612653">
        <w:rPr>
          <w:rFonts w:ascii="Book Antiqua" w:hAnsi="Book Antiqua"/>
          <w:sz w:val="24"/>
          <w:szCs w:val="24"/>
          <w:lang w:val="en-US"/>
        </w:rPr>
        <w:t>, 2</w:t>
      </w:r>
      <w:r w:rsidR="00C90477" w:rsidRPr="00612653">
        <w:rPr>
          <w:rFonts w:ascii="Book Antiqua" w:hAnsi="Book Antiqua"/>
          <w:sz w:val="24"/>
          <w:szCs w:val="24"/>
          <w:lang w:val="en-US"/>
        </w:rPr>
        <w:t>1</w:t>
      </w:r>
      <w:r w:rsidR="00D15D8C" w:rsidRPr="00612653">
        <w:rPr>
          <w:rFonts w:ascii="Book Antiqua" w:hAnsi="Book Antiqua"/>
          <w:sz w:val="24"/>
          <w:szCs w:val="24"/>
          <w:lang w:val="en-US" w:eastAsia="zh-CN"/>
        </w:rPr>
        <w:t xml:space="preserve"> </w:t>
      </w:r>
      <w:r w:rsidR="001D219C" w:rsidRPr="00612653">
        <w:rPr>
          <w:rFonts w:ascii="Book Antiqua" w:hAnsi="Book Antiqua"/>
          <w:sz w:val="24"/>
          <w:szCs w:val="24"/>
          <w:lang w:val="en-US"/>
        </w:rPr>
        <w:t xml:space="preserve">± </w:t>
      </w:r>
      <w:r w:rsidR="00C90477" w:rsidRPr="00612653">
        <w:rPr>
          <w:rFonts w:ascii="Book Antiqua" w:hAnsi="Book Antiqua"/>
          <w:sz w:val="24"/>
          <w:szCs w:val="24"/>
          <w:lang w:val="en-US"/>
        </w:rPr>
        <w:t>2</w:t>
      </w:r>
      <w:r w:rsidR="001D219C" w:rsidRPr="00612653">
        <w:rPr>
          <w:rFonts w:ascii="Book Antiqua" w:hAnsi="Book Antiqua"/>
          <w:sz w:val="24"/>
          <w:szCs w:val="24"/>
          <w:lang w:val="en-US"/>
        </w:rPr>
        <w:t>°</w:t>
      </w:r>
      <w:r w:rsidR="00D15D8C" w:rsidRPr="00612653">
        <w:rPr>
          <w:rFonts w:ascii="Book Antiqua" w:hAnsi="Book Antiqua"/>
          <w:sz w:val="24"/>
          <w:szCs w:val="24"/>
          <w:lang w:val="en-US"/>
        </w:rPr>
        <w:t>C, humidity 50</w:t>
      </w:r>
      <w:r w:rsidR="001D219C" w:rsidRPr="00612653">
        <w:rPr>
          <w:rFonts w:ascii="Book Antiqua" w:hAnsi="Book Antiqua"/>
          <w:sz w:val="24"/>
          <w:szCs w:val="24"/>
          <w:lang w:val="en-US"/>
        </w:rPr>
        <w:t>% ±</w:t>
      </w:r>
      <w:r w:rsidR="00D15D8C" w:rsidRPr="00612653">
        <w:rPr>
          <w:rFonts w:ascii="Book Antiqua" w:hAnsi="Book Antiqua"/>
          <w:sz w:val="24"/>
          <w:szCs w:val="24"/>
          <w:lang w:val="en-US"/>
        </w:rPr>
        <w:t xml:space="preserve"> 10</w:t>
      </w:r>
      <w:r w:rsidR="001D219C" w:rsidRPr="00612653">
        <w:rPr>
          <w:rFonts w:ascii="Book Antiqua" w:hAnsi="Book Antiqua"/>
          <w:sz w:val="24"/>
          <w:szCs w:val="24"/>
          <w:lang w:val="en-US"/>
        </w:rPr>
        <w:t xml:space="preserve">%). </w:t>
      </w:r>
      <w:r w:rsidR="00026C7D" w:rsidRPr="00612653">
        <w:rPr>
          <w:rFonts w:ascii="Book Antiqua" w:hAnsi="Book Antiqua"/>
          <w:sz w:val="24"/>
          <w:szCs w:val="24"/>
          <w:lang w:val="en-US"/>
        </w:rPr>
        <w:t xml:space="preserve">Each animal was identified by an implantable microchip (PetID Microchip, E-vet, Haderslev, Denmark). </w:t>
      </w:r>
      <w:r w:rsidR="000A1C14" w:rsidRPr="00612653">
        <w:rPr>
          <w:rFonts w:ascii="Book Antiqua" w:hAnsi="Book Antiqua"/>
          <w:sz w:val="24"/>
          <w:szCs w:val="24"/>
          <w:lang w:val="en-US"/>
        </w:rPr>
        <w:t xml:space="preserve">Mice </w:t>
      </w:r>
      <w:r w:rsidR="00A86F0C" w:rsidRPr="00612653">
        <w:rPr>
          <w:rFonts w:ascii="Book Antiqua" w:hAnsi="Book Antiqua"/>
          <w:sz w:val="24"/>
          <w:szCs w:val="24"/>
          <w:lang w:val="en-US"/>
        </w:rPr>
        <w:t xml:space="preserve">had </w:t>
      </w:r>
      <w:r w:rsidR="00A86F0C" w:rsidRPr="00612653">
        <w:rPr>
          <w:rFonts w:ascii="Book Antiqua" w:hAnsi="Book Antiqua"/>
          <w:i/>
          <w:sz w:val="24"/>
          <w:szCs w:val="24"/>
          <w:lang w:val="en-US"/>
        </w:rPr>
        <w:t>ad lib</w:t>
      </w:r>
      <w:r w:rsidR="00091480" w:rsidRPr="00612653">
        <w:rPr>
          <w:rFonts w:ascii="Book Antiqua" w:hAnsi="Book Antiqua"/>
          <w:i/>
          <w:sz w:val="24"/>
          <w:szCs w:val="24"/>
          <w:lang w:val="en-US"/>
        </w:rPr>
        <w:t>itum</w:t>
      </w:r>
      <w:r w:rsidR="00A86F0C" w:rsidRPr="00612653">
        <w:rPr>
          <w:rFonts w:ascii="Book Antiqua" w:hAnsi="Book Antiqua"/>
          <w:sz w:val="24"/>
          <w:szCs w:val="24"/>
          <w:lang w:val="en-US"/>
        </w:rPr>
        <w:t xml:space="preserve"> access to tap water and either</w:t>
      </w:r>
      <w:r w:rsidR="00091480" w:rsidRPr="00612653">
        <w:rPr>
          <w:rFonts w:ascii="Book Antiqua" w:hAnsi="Book Antiqua"/>
          <w:sz w:val="24"/>
          <w:szCs w:val="24"/>
          <w:lang w:val="en-US"/>
        </w:rPr>
        <w:t xml:space="preserve"> </w:t>
      </w:r>
      <w:r w:rsidR="001D219C" w:rsidRPr="00612653">
        <w:rPr>
          <w:rFonts w:ascii="Book Antiqua" w:hAnsi="Book Antiqua"/>
          <w:sz w:val="24"/>
          <w:szCs w:val="24"/>
          <w:lang w:val="en-US"/>
        </w:rPr>
        <w:t>regular rodent chow (Altromin 1324, Brogaarden, H</w:t>
      </w:r>
      <w:r w:rsidR="002C099F" w:rsidRPr="00612653">
        <w:rPr>
          <w:rFonts w:ascii="Book Antiqua" w:hAnsi="Book Antiqua"/>
          <w:sz w:val="24"/>
          <w:szCs w:val="24"/>
          <w:lang w:val="en-US"/>
        </w:rPr>
        <w:t>oersholm, Denmark)</w:t>
      </w:r>
      <w:r w:rsidR="00091480" w:rsidRPr="00612653">
        <w:rPr>
          <w:rFonts w:ascii="Book Antiqua" w:hAnsi="Book Antiqua"/>
          <w:sz w:val="24"/>
          <w:szCs w:val="24"/>
          <w:lang w:val="en-US"/>
        </w:rPr>
        <w:t>,</w:t>
      </w:r>
      <w:r w:rsidR="000A1C14" w:rsidRPr="00612653">
        <w:rPr>
          <w:rFonts w:ascii="Book Antiqua" w:hAnsi="Book Antiqua"/>
          <w:sz w:val="24"/>
          <w:szCs w:val="24"/>
          <w:lang w:val="en-US"/>
        </w:rPr>
        <w:t xml:space="preserve"> </w:t>
      </w:r>
      <w:r w:rsidR="005B660C" w:rsidRPr="00612653">
        <w:rPr>
          <w:rFonts w:ascii="Book Antiqua" w:hAnsi="Book Antiqua"/>
          <w:sz w:val="24"/>
          <w:szCs w:val="24"/>
          <w:lang w:val="en-US"/>
        </w:rPr>
        <w:t xml:space="preserve">or </w:t>
      </w:r>
      <w:r w:rsidR="006310AC" w:rsidRPr="00612653">
        <w:rPr>
          <w:rFonts w:ascii="Book Antiqua" w:hAnsi="Book Antiqua"/>
          <w:sz w:val="24"/>
          <w:szCs w:val="24"/>
          <w:lang w:val="en-US"/>
        </w:rPr>
        <w:t xml:space="preserve">a diet high in fat (40%, containing 18% trans-fat), 40% carbohydrates (20% fructose) and </w:t>
      </w:r>
      <w:r w:rsidR="0050240D" w:rsidRPr="00612653">
        <w:rPr>
          <w:rFonts w:ascii="Book Antiqua" w:hAnsi="Book Antiqua"/>
          <w:sz w:val="24"/>
          <w:szCs w:val="24"/>
          <w:lang w:val="en-US"/>
        </w:rPr>
        <w:t xml:space="preserve">2% </w:t>
      </w:r>
      <w:r w:rsidR="001D219C" w:rsidRPr="00612653">
        <w:rPr>
          <w:rFonts w:ascii="Book Antiqua" w:hAnsi="Book Antiqua"/>
          <w:sz w:val="24"/>
          <w:szCs w:val="24"/>
          <w:lang w:val="en-US"/>
        </w:rPr>
        <w:t>cholesterol</w:t>
      </w:r>
      <w:r w:rsidR="0050240D" w:rsidRPr="00612653">
        <w:rPr>
          <w:rFonts w:ascii="Book Antiqua" w:hAnsi="Book Antiqua"/>
          <w:sz w:val="24"/>
          <w:szCs w:val="24"/>
          <w:lang w:val="en-US"/>
        </w:rPr>
        <w:t xml:space="preserve"> </w:t>
      </w:r>
      <w:r w:rsidR="001D219C" w:rsidRPr="00612653">
        <w:rPr>
          <w:rFonts w:ascii="Book Antiqua" w:hAnsi="Book Antiqua"/>
          <w:sz w:val="24"/>
          <w:szCs w:val="24"/>
          <w:lang w:val="en-US"/>
        </w:rPr>
        <w:t>(</w:t>
      </w:r>
      <w:r w:rsidR="002C099F" w:rsidRPr="00612653">
        <w:rPr>
          <w:rFonts w:ascii="Book Antiqua" w:hAnsi="Book Antiqua"/>
          <w:sz w:val="24"/>
          <w:szCs w:val="24"/>
          <w:lang w:val="en-US"/>
        </w:rPr>
        <w:t>AMLN</w:t>
      </w:r>
      <w:r w:rsidR="00514477" w:rsidRPr="00612653">
        <w:rPr>
          <w:rFonts w:ascii="Book Antiqua" w:hAnsi="Book Antiqua"/>
          <w:sz w:val="24"/>
          <w:szCs w:val="24"/>
          <w:lang w:val="en-US"/>
        </w:rPr>
        <w:t xml:space="preserve"> diet</w:t>
      </w:r>
      <w:r w:rsidR="002C099F" w:rsidRPr="00612653">
        <w:rPr>
          <w:rFonts w:ascii="Book Antiqua" w:hAnsi="Book Antiqua"/>
          <w:sz w:val="24"/>
          <w:szCs w:val="24"/>
          <w:lang w:val="en-US"/>
        </w:rPr>
        <w:t xml:space="preserve">; </w:t>
      </w:r>
      <w:r w:rsidR="001D219C" w:rsidRPr="00612653">
        <w:rPr>
          <w:rFonts w:ascii="Book Antiqua" w:hAnsi="Book Antiqua"/>
          <w:sz w:val="24"/>
          <w:szCs w:val="24"/>
          <w:lang w:val="en-US"/>
        </w:rPr>
        <w:t>D09100301, Research Diets, New Brunswick, NJ)</w:t>
      </w:r>
      <w:r w:rsidR="00BD7A7C" w:rsidRPr="00612653">
        <w:rPr>
          <w:rFonts w:ascii="Book Antiqua" w:hAnsi="Book Antiqua"/>
          <w:sz w:val="24"/>
          <w:szCs w:val="24"/>
        </w:rPr>
        <w:fldChar w:fldCharType="begin" w:fldLock="1"/>
      </w:r>
      <w:r w:rsidR="00267B22" w:rsidRPr="00612653">
        <w:rPr>
          <w:rFonts w:ascii="Book Antiqua" w:hAnsi="Book Antiqua"/>
          <w:sz w:val="24"/>
          <w:szCs w:val="24"/>
          <w:lang w:val="en-US"/>
        </w:rPr>
        <w:instrText>ADDIN CSL_CITATION { "citationItems" : [ { "id" : "ITEM-1", "itemData" : { "DOI" : "10.4254/wjh.v8.i16.673", "ISSN" : "1948-5182", "PMID" : "27326314", "abstract" : "AIM To characterize development of diet-induced nonalcoholic steatohepatitis (NASH) by performing liver biopsy in wild-type and genetically obese mice. METHODS Male wild-type C57BL/6J (C57) mice (DIO-NASH) and male Lep(ob) /Lep(ob) (ob/ob) mice (ob/ob-NASH) were maintained on a diet high in trans-fat (40%), fructose (22%) and cholesterol (2%) for 26 and 12 wk, respectively. A normal chow diet served as control in C57 mice (lean chow) and ob/ob mice (ob/ob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ob/ob-NASH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ob/ob-NASH vs DIO-NASH mice. During the eight week repeated vehicle dosing period, the metabolic phenotype was sustained in DIO-NASH and ob/ob-NASH mice in conjunction with hepatomegaly and increased hepatic lipids and collagen accumulation. Histopathological scoring demonstrated significantly increased NAS of DIO-NASH mice (0 vs 4.7 \u00b1 0.4, P &lt; 0.001 compared to lean chow) and ob/ob-NASH mice (2.4 \u00b1 0.3 vs 6.3 \u00b1 0.2, P &lt; 0.001 compared to ob/ob chow), respectively. Furthermore, fibrosis stage was significantly elevated for DIO-NASH mice (0 vs 1.2 \u00b1 0.2, P &lt; 0.05 compared to lean chow) and ob/ob NASH (0.1 \u00b1 0.1 vs 3.0 \u00b1 0.2, P &lt; 0.001 compared to ob/ob chow). Notably, fibrosis stage was significantly (P &lt; 0.001) increased in ob/ob-NASH mice, when compared to DIO-NASH mice. CONCLUSION These data introduce the obese diet-induced DIO-NASH and ob/ob-NASH mouse models\u2026", "author" : [ { "dropping-particle" : "", "family" : "Kristiansen", "given" : "Maria Nicoline Baandrup",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"T\u00f8lb\u00f8l", "given" : "Kirstine Sloth", "non-dropping-particle" : "", "parse-names" : false, "suffix" : "" }, { "dropping-particle" : "", "family" : "Roth", "given" : "Jonathan David", "non-dropping-particle" : "", "parse-names" : false, "suffix" : "" }, { "dropping-particle" : "", "family" : "Jelsing", "given" : "Jacob", "non-dropping-particle" : "", "parse-names" : false, "suffix" : "" }, { "dropping-particle" : "", "family" : "Vrang", "given" : "Niels", "non-dropping-particle" : "", "parse-names" : false, "suffix" : "" }, { "dropping-particle" : "", "family" : "Feigh", "given" : "Michael", "non-dropping-particle" : "", "parse-names" : false, "suffix" : "" } ], "container-title" : "World Journal of Hepatology", "id" : "ITEM-1", "issue" : "16", "issued" : { "date-parts" : [ [ "2016", "6", "8" ] ] }, "page" : "673", "title" : "Obese diet-induced mouse models of nonalcoholic steatohepatitis-tracking disease by liver biopsy", "type" : "article-journal", "volume" : "8" }, "uris" : [ "http://www.mendeley.com/documents/?uuid=69bb0cda-5036-450b-90a1-83c8b0817689" ] } ], "mendeley" : { "formattedCitation" : "&lt;sup&gt;[19]&lt;/sup&gt;", "plainTextFormattedCitation" : "[19]", "previouslyFormattedCitation" : "&lt;sup&gt;[19]&lt;/sup&gt;" }, "properties" : { "noteIndex" : 0 }, "schema" : "https://github.com/citation-style-language/schema/raw/master/csl-citation.json" }</w:instrText>
      </w:r>
      <w:r w:rsidR="00BD7A7C" w:rsidRPr="00612653">
        <w:rPr>
          <w:rFonts w:ascii="Book Antiqua" w:hAnsi="Book Antiqua"/>
          <w:sz w:val="24"/>
          <w:szCs w:val="24"/>
          <w:vertAlign w:val="superscript"/>
          <w:lang w:val="en-US"/>
        </w:rPr>
        <w:fldChar w:fldCharType="separate"/>
      </w:r>
      <w:r w:rsidR="00267B22" w:rsidRPr="00612653">
        <w:rPr>
          <w:rFonts w:ascii="Book Antiqua" w:hAnsi="Book Antiqua"/>
          <w:noProof/>
          <w:sz w:val="24"/>
          <w:szCs w:val="24"/>
          <w:vertAlign w:val="superscript"/>
          <w:lang w:val="en-US"/>
        </w:rPr>
        <w:t>[19]</w:t>
      </w:r>
      <w:r w:rsidR="00BD7A7C" w:rsidRPr="00612653">
        <w:rPr>
          <w:rFonts w:ascii="Book Antiqua" w:hAnsi="Book Antiqua"/>
          <w:sz w:val="24"/>
          <w:szCs w:val="24"/>
        </w:rPr>
        <w:fldChar w:fldCharType="end"/>
      </w:r>
      <w:r w:rsidR="002C099F" w:rsidRPr="00612653">
        <w:rPr>
          <w:rFonts w:ascii="Book Antiqua" w:hAnsi="Book Antiqua"/>
          <w:sz w:val="24"/>
          <w:szCs w:val="24"/>
          <w:lang w:val="en-US"/>
        </w:rPr>
        <w:t>.</w:t>
      </w:r>
      <w:r w:rsidR="000A1C14" w:rsidRPr="00612653">
        <w:rPr>
          <w:rFonts w:ascii="Book Antiqua" w:hAnsi="Book Antiqua"/>
          <w:sz w:val="24"/>
          <w:szCs w:val="24"/>
          <w:lang w:val="en-US"/>
        </w:rPr>
        <w:t xml:space="preserve"> </w:t>
      </w:r>
      <w:r w:rsidR="000947BA" w:rsidRPr="00612653">
        <w:rPr>
          <w:rFonts w:ascii="Book Antiqua" w:hAnsi="Book Antiqua"/>
          <w:sz w:val="24"/>
          <w:szCs w:val="24"/>
          <w:lang w:val="en-US"/>
        </w:rPr>
        <w:t>Dis</w:t>
      </w:r>
      <w:r w:rsidRPr="00612653">
        <w:rPr>
          <w:rFonts w:ascii="Book Antiqua" w:hAnsi="Book Antiqua"/>
          <w:sz w:val="24"/>
          <w:szCs w:val="24"/>
          <w:lang w:val="en-US"/>
        </w:rPr>
        <w:t xml:space="preserve">ease progression </w:t>
      </w:r>
      <w:r w:rsidR="000947BA" w:rsidRPr="00612653">
        <w:rPr>
          <w:rFonts w:ascii="Book Antiqua" w:hAnsi="Book Antiqua"/>
          <w:sz w:val="24"/>
          <w:szCs w:val="24"/>
          <w:lang w:val="en-US"/>
        </w:rPr>
        <w:t xml:space="preserve">was characterized </w:t>
      </w:r>
      <w:r w:rsidRPr="00612653">
        <w:rPr>
          <w:rFonts w:ascii="Book Antiqua" w:hAnsi="Book Antiqua"/>
          <w:sz w:val="24"/>
          <w:szCs w:val="24"/>
          <w:lang w:val="en-US"/>
        </w:rPr>
        <w:t>in wild-type DIO-NASH mice</w:t>
      </w:r>
      <w:r w:rsidR="0005065A" w:rsidRPr="00612653">
        <w:rPr>
          <w:rFonts w:ascii="Book Antiqua" w:hAnsi="Book Antiqua"/>
          <w:sz w:val="24"/>
          <w:szCs w:val="24"/>
          <w:lang w:val="en-US"/>
        </w:rPr>
        <w:t xml:space="preserve">, </w:t>
      </w:r>
      <w:r w:rsidR="007C5756" w:rsidRPr="00612653">
        <w:rPr>
          <w:rFonts w:ascii="Book Antiqua" w:hAnsi="Book Antiqua"/>
          <w:sz w:val="24"/>
          <w:szCs w:val="24"/>
          <w:lang w:val="en-US"/>
        </w:rPr>
        <w:t>5 wk</w:t>
      </w:r>
      <w:r w:rsidR="001D219C" w:rsidRPr="00612653">
        <w:rPr>
          <w:rFonts w:ascii="Book Antiqua" w:hAnsi="Book Antiqua"/>
          <w:sz w:val="24"/>
          <w:szCs w:val="24"/>
          <w:lang w:val="en-US"/>
        </w:rPr>
        <w:t>-</w:t>
      </w:r>
      <w:r w:rsidR="002924FB" w:rsidRPr="00612653">
        <w:rPr>
          <w:rFonts w:ascii="Book Antiqua" w:hAnsi="Book Antiqua"/>
          <w:sz w:val="24"/>
          <w:szCs w:val="24"/>
          <w:lang w:val="en-US"/>
        </w:rPr>
        <w:t xml:space="preserve">old </w:t>
      </w:r>
      <w:r w:rsidR="000947BA" w:rsidRPr="00612653">
        <w:rPr>
          <w:rFonts w:ascii="Book Antiqua" w:hAnsi="Book Antiqua"/>
          <w:sz w:val="24"/>
          <w:szCs w:val="24"/>
          <w:lang w:val="en-US"/>
        </w:rPr>
        <w:t>at the arrival at Gubra</w:t>
      </w:r>
      <w:r w:rsidR="00A5350E" w:rsidRPr="00612653">
        <w:rPr>
          <w:rFonts w:ascii="Book Antiqua" w:hAnsi="Book Antiqua"/>
          <w:sz w:val="24"/>
          <w:szCs w:val="24"/>
          <w:lang w:val="en-US"/>
        </w:rPr>
        <w:t>, and</w:t>
      </w:r>
      <w:r w:rsidR="007E20A9" w:rsidRPr="00612653">
        <w:rPr>
          <w:rFonts w:ascii="Book Antiqua" w:hAnsi="Book Antiqua"/>
          <w:sz w:val="24"/>
          <w:szCs w:val="24"/>
          <w:lang w:val="en-US"/>
        </w:rPr>
        <w:t xml:space="preserve"> </w:t>
      </w:r>
      <w:r w:rsidR="001D219C" w:rsidRPr="00612653">
        <w:rPr>
          <w:rFonts w:ascii="Book Antiqua" w:hAnsi="Book Antiqua"/>
          <w:sz w:val="24"/>
          <w:szCs w:val="24"/>
          <w:lang w:val="en-US"/>
        </w:rPr>
        <w:t xml:space="preserve">fed AMLN diet </w:t>
      </w:r>
      <w:r w:rsidR="00EA5D7D" w:rsidRPr="00612653">
        <w:rPr>
          <w:rFonts w:ascii="Book Antiqua" w:hAnsi="Book Antiqua"/>
          <w:sz w:val="24"/>
          <w:szCs w:val="24"/>
          <w:lang w:val="en-US"/>
        </w:rPr>
        <w:t xml:space="preserve">for </w:t>
      </w:r>
      <w:r w:rsidR="00A5350E" w:rsidRPr="00612653">
        <w:rPr>
          <w:rFonts w:ascii="Book Antiqua" w:hAnsi="Book Antiqua"/>
          <w:sz w:val="24"/>
          <w:szCs w:val="24"/>
          <w:lang w:val="en-US"/>
        </w:rPr>
        <w:t xml:space="preserve">up to </w:t>
      </w:r>
      <w:r w:rsidR="005B660C" w:rsidRPr="00612653">
        <w:rPr>
          <w:rFonts w:ascii="Book Antiqua" w:hAnsi="Book Antiqua"/>
          <w:sz w:val="24"/>
          <w:szCs w:val="24"/>
          <w:lang w:val="en-US"/>
        </w:rPr>
        <w:t xml:space="preserve">50 </w:t>
      </w:r>
      <w:r w:rsidR="007C5756" w:rsidRPr="00612653">
        <w:rPr>
          <w:rFonts w:ascii="Book Antiqua" w:hAnsi="Book Antiqua"/>
          <w:sz w:val="24"/>
          <w:szCs w:val="24"/>
          <w:lang w:val="en-US"/>
        </w:rPr>
        <w:t>wk</w:t>
      </w:r>
      <w:r w:rsidR="009575FE" w:rsidRPr="00612653">
        <w:rPr>
          <w:rFonts w:ascii="Book Antiqua" w:hAnsi="Book Antiqua"/>
          <w:sz w:val="24"/>
          <w:szCs w:val="24"/>
          <w:lang w:val="en-US"/>
        </w:rPr>
        <w:t xml:space="preserve"> (</w:t>
      </w:r>
      <w:r w:rsidR="001D219C" w:rsidRPr="00612653">
        <w:rPr>
          <w:rFonts w:ascii="Book Antiqua" w:hAnsi="Book Antiqua"/>
          <w:i/>
          <w:sz w:val="24"/>
          <w:szCs w:val="24"/>
          <w:lang w:val="en-US"/>
        </w:rPr>
        <w:t>n</w:t>
      </w:r>
      <w:r w:rsidR="007C5756" w:rsidRPr="00612653">
        <w:rPr>
          <w:rFonts w:ascii="Book Antiqua" w:hAnsi="Book Antiqua"/>
          <w:sz w:val="24"/>
          <w:szCs w:val="24"/>
          <w:lang w:val="en-US" w:eastAsia="zh-CN"/>
        </w:rPr>
        <w:t xml:space="preserve"> </w:t>
      </w:r>
      <w:r w:rsidR="001D219C" w:rsidRPr="00612653">
        <w:rPr>
          <w:rFonts w:ascii="Book Antiqua" w:hAnsi="Book Antiqua"/>
          <w:sz w:val="24"/>
          <w:szCs w:val="24"/>
          <w:lang w:val="en-US"/>
        </w:rPr>
        <w:t>=</w:t>
      </w:r>
      <w:r w:rsidR="007C5756" w:rsidRPr="00612653">
        <w:rPr>
          <w:rFonts w:ascii="Book Antiqua" w:hAnsi="Book Antiqua"/>
          <w:sz w:val="24"/>
          <w:szCs w:val="24"/>
          <w:lang w:val="en-US" w:eastAsia="zh-CN"/>
        </w:rPr>
        <w:t xml:space="preserve"> </w:t>
      </w:r>
      <w:r w:rsidR="00043B74" w:rsidRPr="00612653">
        <w:rPr>
          <w:rFonts w:ascii="Book Antiqua" w:hAnsi="Book Antiqua"/>
          <w:sz w:val="24"/>
          <w:szCs w:val="24"/>
          <w:lang w:val="en-US"/>
        </w:rPr>
        <w:t>8</w:t>
      </w:r>
      <w:r w:rsidR="00E6418D" w:rsidRPr="00612653">
        <w:rPr>
          <w:rFonts w:ascii="Book Antiqua" w:hAnsi="Book Antiqua"/>
          <w:sz w:val="24"/>
          <w:szCs w:val="24"/>
          <w:lang w:val="en-US"/>
        </w:rPr>
        <w:t>-</w:t>
      </w:r>
      <w:r w:rsidR="001D219C" w:rsidRPr="00612653">
        <w:rPr>
          <w:rFonts w:ascii="Book Antiqua" w:hAnsi="Book Antiqua"/>
          <w:sz w:val="24"/>
          <w:szCs w:val="24"/>
          <w:lang w:val="en-US"/>
        </w:rPr>
        <w:t>10 animals per time</w:t>
      </w:r>
      <w:r w:rsidR="002C099F" w:rsidRPr="00612653">
        <w:rPr>
          <w:rFonts w:ascii="Book Antiqua" w:hAnsi="Book Antiqua"/>
          <w:sz w:val="24"/>
          <w:szCs w:val="24"/>
          <w:lang w:val="en-US"/>
        </w:rPr>
        <w:t xml:space="preserve"> </w:t>
      </w:r>
      <w:r w:rsidR="001D219C" w:rsidRPr="00612653">
        <w:rPr>
          <w:rFonts w:ascii="Book Antiqua" w:hAnsi="Book Antiqua"/>
          <w:sz w:val="24"/>
          <w:szCs w:val="24"/>
          <w:lang w:val="en-US"/>
        </w:rPr>
        <w:t>point</w:t>
      </w:r>
      <w:r w:rsidR="009575FE" w:rsidRPr="00612653">
        <w:rPr>
          <w:rFonts w:ascii="Book Antiqua" w:hAnsi="Book Antiqua"/>
          <w:sz w:val="24"/>
          <w:szCs w:val="24"/>
          <w:lang w:val="en-US"/>
        </w:rPr>
        <w:t>)</w:t>
      </w:r>
      <w:r w:rsidR="001D219C" w:rsidRPr="00612653">
        <w:rPr>
          <w:rFonts w:ascii="Book Antiqua" w:hAnsi="Book Antiqua"/>
          <w:sz w:val="24"/>
          <w:szCs w:val="24"/>
          <w:lang w:val="en-US"/>
        </w:rPr>
        <w:t>.</w:t>
      </w:r>
      <w:r w:rsidR="00374744" w:rsidRPr="00612653">
        <w:rPr>
          <w:rFonts w:ascii="Book Antiqua" w:hAnsi="Book Antiqua"/>
          <w:sz w:val="24"/>
          <w:szCs w:val="24"/>
          <w:lang w:val="en-US"/>
        </w:rPr>
        <w:t xml:space="preserve"> </w:t>
      </w:r>
      <w:r w:rsidR="009F540C" w:rsidRPr="00612653">
        <w:rPr>
          <w:rFonts w:ascii="Book Antiqua" w:hAnsi="Book Antiqua"/>
          <w:sz w:val="24"/>
          <w:szCs w:val="24"/>
          <w:lang w:val="en-US"/>
        </w:rPr>
        <w:t>Effects of d</w:t>
      </w:r>
      <w:r w:rsidR="001D219C" w:rsidRPr="00612653">
        <w:rPr>
          <w:rFonts w:ascii="Book Antiqua" w:hAnsi="Book Antiqua"/>
          <w:sz w:val="24"/>
          <w:szCs w:val="24"/>
          <w:lang w:val="en-US"/>
        </w:rPr>
        <w:t xml:space="preserve">rug treatment </w:t>
      </w:r>
      <w:r w:rsidR="009F540C" w:rsidRPr="00612653">
        <w:rPr>
          <w:rFonts w:ascii="Book Antiqua" w:hAnsi="Book Antiqua"/>
          <w:sz w:val="24"/>
          <w:szCs w:val="24"/>
          <w:lang w:val="en-US"/>
        </w:rPr>
        <w:t xml:space="preserve">were evaluated </w:t>
      </w:r>
      <w:r w:rsidR="0016106A" w:rsidRPr="00612653">
        <w:rPr>
          <w:rFonts w:ascii="Book Antiqua" w:hAnsi="Book Antiqua"/>
          <w:sz w:val="24"/>
          <w:szCs w:val="24"/>
          <w:lang w:val="en-US"/>
        </w:rPr>
        <w:t xml:space="preserve">in wild-type C57BL/6J and </w:t>
      </w:r>
      <w:r w:rsidR="00EB625E" w:rsidRPr="00612653">
        <w:rPr>
          <w:rFonts w:ascii="Book Antiqua" w:hAnsi="Book Antiqua"/>
          <w:sz w:val="24"/>
          <w:szCs w:val="24"/>
          <w:lang w:val="en-US"/>
        </w:rPr>
        <w:t>B6.V-</w:t>
      </w:r>
      <w:r w:rsidR="00EB625E" w:rsidRPr="00612653">
        <w:rPr>
          <w:rFonts w:ascii="Book Antiqua" w:hAnsi="Book Antiqua"/>
          <w:i/>
          <w:iCs/>
          <w:sz w:val="24"/>
          <w:szCs w:val="24"/>
          <w:lang w:val="en-US"/>
        </w:rPr>
        <w:t>Lep</w:t>
      </w:r>
      <w:r w:rsidR="00EB625E" w:rsidRPr="00612653">
        <w:rPr>
          <w:rFonts w:ascii="Book Antiqua" w:hAnsi="Book Antiqua"/>
          <w:i/>
          <w:iCs/>
          <w:sz w:val="24"/>
          <w:szCs w:val="24"/>
          <w:vertAlign w:val="superscript"/>
          <w:lang w:val="en-US"/>
        </w:rPr>
        <w:t>ob</w:t>
      </w:r>
      <w:r w:rsidR="00EB625E" w:rsidRPr="00612653">
        <w:rPr>
          <w:rFonts w:ascii="Book Antiqua" w:hAnsi="Book Antiqua"/>
          <w:sz w:val="24"/>
          <w:szCs w:val="24"/>
          <w:lang w:val="en-US"/>
        </w:rPr>
        <w:t>/JRj (</w:t>
      </w:r>
      <w:r w:rsidR="00EB625E" w:rsidRPr="00612653">
        <w:rPr>
          <w:rFonts w:ascii="Book Antiqua" w:hAnsi="Book Antiqua"/>
          <w:i/>
          <w:iCs/>
          <w:sz w:val="24"/>
          <w:szCs w:val="24"/>
          <w:lang w:val="en-US"/>
        </w:rPr>
        <w:t>ob/ob</w:t>
      </w:r>
      <w:r w:rsidR="00EB625E" w:rsidRPr="00612653">
        <w:rPr>
          <w:rFonts w:ascii="Book Antiqua" w:hAnsi="Book Antiqua"/>
          <w:sz w:val="24"/>
          <w:szCs w:val="24"/>
          <w:lang w:val="en-US"/>
        </w:rPr>
        <w:t>) mice</w:t>
      </w:r>
      <w:r w:rsidR="001D219C" w:rsidRPr="00612653">
        <w:rPr>
          <w:rFonts w:ascii="Book Antiqua" w:hAnsi="Book Antiqua"/>
          <w:sz w:val="24"/>
          <w:szCs w:val="24"/>
          <w:lang w:val="en-US"/>
        </w:rPr>
        <w:t xml:space="preserve"> 5-6 weeks-old </w:t>
      </w:r>
      <w:r w:rsidR="00A5350E" w:rsidRPr="00612653">
        <w:rPr>
          <w:rFonts w:ascii="Book Antiqua" w:hAnsi="Book Antiqua"/>
          <w:sz w:val="24"/>
          <w:szCs w:val="24"/>
          <w:lang w:val="en-US"/>
        </w:rPr>
        <w:t xml:space="preserve">at the arrival at Gubra. </w:t>
      </w:r>
      <w:r w:rsidR="001D219C" w:rsidRPr="00612653">
        <w:rPr>
          <w:rFonts w:ascii="Book Antiqua" w:hAnsi="Book Antiqua"/>
          <w:sz w:val="24"/>
          <w:szCs w:val="24"/>
          <w:lang w:val="en-US"/>
        </w:rPr>
        <w:t xml:space="preserve">C57BL/6J </w:t>
      </w:r>
      <w:r w:rsidR="00404373" w:rsidRPr="00612653">
        <w:rPr>
          <w:rFonts w:ascii="Book Antiqua" w:hAnsi="Book Antiqua"/>
          <w:sz w:val="24"/>
          <w:szCs w:val="24"/>
          <w:lang w:val="en-US"/>
        </w:rPr>
        <w:t xml:space="preserve">mice </w:t>
      </w:r>
      <w:r w:rsidR="001D219C" w:rsidRPr="00612653">
        <w:rPr>
          <w:rFonts w:ascii="Book Antiqua" w:hAnsi="Book Antiqua"/>
          <w:sz w:val="24"/>
          <w:szCs w:val="24"/>
          <w:lang w:val="en-US"/>
        </w:rPr>
        <w:t xml:space="preserve">were </w:t>
      </w:r>
      <w:r w:rsidR="002C099F" w:rsidRPr="00612653">
        <w:rPr>
          <w:rFonts w:ascii="Book Antiqua" w:hAnsi="Book Antiqua"/>
          <w:sz w:val="24"/>
          <w:szCs w:val="24"/>
          <w:lang w:val="en-US"/>
        </w:rPr>
        <w:t xml:space="preserve">fed </w:t>
      </w:r>
      <w:r w:rsidR="001D219C" w:rsidRPr="00612653">
        <w:rPr>
          <w:rFonts w:ascii="Book Antiqua" w:hAnsi="Book Antiqua"/>
          <w:sz w:val="24"/>
          <w:szCs w:val="24"/>
          <w:lang w:val="en-US"/>
        </w:rPr>
        <w:t xml:space="preserve">chow </w:t>
      </w:r>
      <w:r w:rsidR="002C099F" w:rsidRPr="00612653">
        <w:rPr>
          <w:rFonts w:ascii="Book Antiqua" w:hAnsi="Book Antiqua"/>
          <w:sz w:val="24"/>
          <w:szCs w:val="24"/>
          <w:lang w:val="en-US"/>
        </w:rPr>
        <w:t xml:space="preserve">(controls) </w:t>
      </w:r>
      <w:r w:rsidR="009D45F6" w:rsidRPr="00612653">
        <w:rPr>
          <w:rFonts w:ascii="Book Antiqua" w:hAnsi="Book Antiqua"/>
          <w:sz w:val="24"/>
          <w:szCs w:val="24"/>
          <w:lang w:val="en-US"/>
        </w:rPr>
        <w:t xml:space="preserve">or AMLN diet </w:t>
      </w:r>
      <w:r w:rsidR="002C099F" w:rsidRPr="00612653">
        <w:rPr>
          <w:rFonts w:ascii="Book Antiqua" w:hAnsi="Book Antiqua"/>
          <w:sz w:val="24"/>
          <w:szCs w:val="24"/>
          <w:lang w:val="en-US"/>
        </w:rPr>
        <w:t xml:space="preserve">(DIO-NASH mice) </w:t>
      </w:r>
      <w:r w:rsidR="007C5756" w:rsidRPr="00612653">
        <w:rPr>
          <w:rFonts w:ascii="Book Antiqua" w:hAnsi="Book Antiqua"/>
          <w:sz w:val="24"/>
          <w:szCs w:val="24"/>
          <w:lang w:val="en-US"/>
        </w:rPr>
        <w:t>for 30 wk</w:t>
      </w:r>
      <w:r w:rsidR="009D45F6" w:rsidRPr="00612653">
        <w:rPr>
          <w:rFonts w:ascii="Book Antiqua" w:hAnsi="Book Antiqua"/>
          <w:sz w:val="24"/>
          <w:szCs w:val="24"/>
          <w:lang w:val="en-US"/>
        </w:rPr>
        <w:t xml:space="preserve"> </w:t>
      </w:r>
      <w:r w:rsidR="00486D0F" w:rsidRPr="00612653">
        <w:rPr>
          <w:rFonts w:ascii="Book Antiqua" w:hAnsi="Book Antiqua"/>
          <w:sz w:val="24"/>
          <w:szCs w:val="24"/>
          <w:lang w:val="en-US"/>
        </w:rPr>
        <w:t xml:space="preserve">prior to treatment start. </w:t>
      </w:r>
      <w:r w:rsidR="00486D0F" w:rsidRPr="00612653">
        <w:rPr>
          <w:rFonts w:ascii="Book Antiqua" w:hAnsi="Book Antiqua"/>
          <w:i/>
          <w:iCs/>
          <w:sz w:val="24"/>
          <w:szCs w:val="24"/>
          <w:lang w:val="en-US"/>
        </w:rPr>
        <w:t>ob/ob</w:t>
      </w:r>
      <w:r w:rsidR="00486D0F" w:rsidRPr="00612653">
        <w:rPr>
          <w:rFonts w:ascii="Book Antiqua" w:hAnsi="Book Antiqua"/>
          <w:sz w:val="24"/>
          <w:szCs w:val="24"/>
          <w:lang w:val="en-US"/>
        </w:rPr>
        <w:t xml:space="preserve"> mice were fed chow </w:t>
      </w:r>
      <w:r w:rsidR="002C099F" w:rsidRPr="00612653">
        <w:rPr>
          <w:rFonts w:ascii="Book Antiqua" w:hAnsi="Book Antiqua"/>
          <w:sz w:val="24"/>
          <w:szCs w:val="24"/>
          <w:lang w:val="en-US"/>
        </w:rPr>
        <w:t>(</w:t>
      </w:r>
      <w:r w:rsidR="002C099F" w:rsidRPr="00612653">
        <w:rPr>
          <w:rFonts w:ascii="Book Antiqua" w:hAnsi="Book Antiqua"/>
          <w:i/>
          <w:iCs/>
          <w:sz w:val="24"/>
          <w:szCs w:val="24"/>
          <w:lang w:val="en-US"/>
        </w:rPr>
        <w:t>ob/ob</w:t>
      </w:r>
      <w:r w:rsidR="002C099F" w:rsidRPr="00612653">
        <w:rPr>
          <w:rFonts w:ascii="Book Antiqua" w:hAnsi="Book Antiqua"/>
          <w:sz w:val="24"/>
          <w:szCs w:val="24"/>
          <w:lang w:val="en-US"/>
        </w:rPr>
        <w:t xml:space="preserve"> control</w:t>
      </w:r>
      <w:r w:rsidR="00374744" w:rsidRPr="00612653">
        <w:rPr>
          <w:rFonts w:ascii="Book Antiqua" w:hAnsi="Book Antiqua"/>
          <w:sz w:val="24"/>
          <w:szCs w:val="24"/>
          <w:lang w:val="en-US"/>
        </w:rPr>
        <w:t>s</w:t>
      </w:r>
      <w:r w:rsidR="002C099F" w:rsidRPr="00612653">
        <w:rPr>
          <w:rFonts w:ascii="Book Antiqua" w:hAnsi="Book Antiqua"/>
          <w:sz w:val="24"/>
          <w:szCs w:val="24"/>
          <w:lang w:val="en-US"/>
        </w:rPr>
        <w:t xml:space="preserve">) </w:t>
      </w:r>
      <w:r w:rsidR="00486D0F" w:rsidRPr="00612653">
        <w:rPr>
          <w:rFonts w:ascii="Book Antiqua" w:hAnsi="Book Antiqua"/>
          <w:sz w:val="24"/>
          <w:szCs w:val="24"/>
          <w:lang w:val="en-US"/>
        </w:rPr>
        <w:t xml:space="preserve">or AMLN diet </w:t>
      </w:r>
      <w:r w:rsidR="002C099F" w:rsidRPr="00612653">
        <w:rPr>
          <w:rFonts w:ascii="Book Antiqua" w:hAnsi="Book Antiqua"/>
          <w:sz w:val="24"/>
          <w:szCs w:val="24"/>
          <w:lang w:val="en-US"/>
        </w:rPr>
        <w:t>(</w:t>
      </w:r>
      <w:r w:rsidR="002C099F" w:rsidRPr="00612653">
        <w:rPr>
          <w:rFonts w:ascii="Book Antiqua" w:hAnsi="Book Antiqua"/>
          <w:i/>
          <w:iCs/>
          <w:sz w:val="24"/>
          <w:szCs w:val="24"/>
          <w:lang w:val="en-US"/>
        </w:rPr>
        <w:t>ob/ob</w:t>
      </w:r>
      <w:r w:rsidR="002C099F" w:rsidRPr="00612653">
        <w:rPr>
          <w:rFonts w:ascii="Book Antiqua" w:hAnsi="Book Antiqua"/>
          <w:sz w:val="24"/>
          <w:szCs w:val="24"/>
          <w:lang w:val="en-US"/>
        </w:rPr>
        <w:t xml:space="preserve">-NASH mice) </w:t>
      </w:r>
      <w:r w:rsidR="007C5756" w:rsidRPr="00612653">
        <w:rPr>
          <w:rFonts w:ascii="Book Antiqua" w:hAnsi="Book Antiqua"/>
          <w:sz w:val="24"/>
          <w:szCs w:val="24"/>
          <w:lang w:val="en-US"/>
        </w:rPr>
        <w:t>for 21 wk</w:t>
      </w:r>
      <w:r w:rsidR="00486D0F" w:rsidRPr="00612653">
        <w:rPr>
          <w:rFonts w:ascii="Book Antiqua" w:hAnsi="Book Antiqua"/>
          <w:sz w:val="24"/>
          <w:szCs w:val="24"/>
          <w:lang w:val="en-US"/>
        </w:rPr>
        <w:t xml:space="preserve"> prior to treatment start.</w:t>
      </w:r>
      <w:r w:rsidR="009575FE" w:rsidRPr="00612653">
        <w:rPr>
          <w:rFonts w:ascii="Book Antiqua" w:hAnsi="Book Antiqua"/>
          <w:sz w:val="24"/>
          <w:szCs w:val="24"/>
          <w:lang w:val="en-US"/>
        </w:rPr>
        <w:t xml:space="preserve"> Body weight was measured daily during the treatment period.</w:t>
      </w:r>
      <w:r w:rsidR="00486D0F" w:rsidRPr="00612653">
        <w:rPr>
          <w:rFonts w:ascii="Book Antiqua" w:hAnsi="Book Antiqua"/>
          <w:sz w:val="24"/>
          <w:szCs w:val="24"/>
          <w:lang w:val="en-US"/>
        </w:rPr>
        <w:t xml:space="preserve"> </w:t>
      </w:r>
    </w:p>
    <w:p w14:paraId="438EE1FD" w14:textId="77777777" w:rsidR="00374744" w:rsidRPr="00612653" w:rsidRDefault="00374744" w:rsidP="00082279">
      <w:pPr>
        <w:snapToGrid w:val="0"/>
        <w:spacing w:after="0" w:line="360" w:lineRule="auto"/>
        <w:jc w:val="both"/>
        <w:rPr>
          <w:rFonts w:ascii="Book Antiqua" w:hAnsi="Book Antiqua"/>
          <w:i/>
          <w:sz w:val="24"/>
          <w:szCs w:val="24"/>
          <w:lang w:val="en-US"/>
        </w:rPr>
      </w:pPr>
    </w:p>
    <w:p w14:paraId="31AFA6BC" w14:textId="008FD1C3" w:rsidR="00B51410" w:rsidRPr="00612653" w:rsidRDefault="00374744" w:rsidP="00082279">
      <w:pPr>
        <w:snapToGrid w:val="0"/>
        <w:spacing w:after="0" w:line="360" w:lineRule="auto"/>
        <w:jc w:val="both"/>
        <w:rPr>
          <w:rFonts w:ascii="Book Antiqua" w:hAnsi="Book Antiqua"/>
          <w:b/>
          <w:i/>
          <w:iCs/>
          <w:sz w:val="24"/>
          <w:szCs w:val="24"/>
          <w:lang w:val="en-US"/>
        </w:rPr>
      </w:pPr>
      <w:r w:rsidRPr="00612653">
        <w:rPr>
          <w:rFonts w:ascii="Book Antiqua" w:hAnsi="Book Antiqua"/>
          <w:b/>
          <w:i/>
          <w:iCs/>
          <w:sz w:val="24"/>
          <w:szCs w:val="24"/>
          <w:lang w:val="en-US"/>
        </w:rPr>
        <w:t>Baseline liver biopsy</w:t>
      </w:r>
    </w:p>
    <w:p w14:paraId="1A051063" w14:textId="7E3D5278" w:rsidR="00A53F15" w:rsidRPr="00612653" w:rsidRDefault="00A16F65"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lastRenderedPageBreak/>
        <w:t>All animals included in the drug treatment experiments underwent liver biopsy</w:t>
      </w:r>
      <w:r w:rsidR="00126CDE" w:rsidRPr="00612653">
        <w:rPr>
          <w:rFonts w:ascii="Book Antiqua" w:hAnsi="Book Antiqua"/>
          <w:sz w:val="24"/>
          <w:szCs w:val="24"/>
          <w:lang w:val="en-US"/>
        </w:rPr>
        <w:t>, as</w:t>
      </w:r>
      <w:r w:rsidR="007C5756" w:rsidRPr="00612653">
        <w:rPr>
          <w:rFonts w:ascii="Book Antiqua" w:hAnsi="Book Antiqua"/>
          <w:sz w:val="24"/>
          <w:szCs w:val="24"/>
          <w:lang w:val="en-US"/>
        </w:rPr>
        <w:t xml:space="preserve"> described in detail previously</w:t>
      </w:r>
      <w:r w:rsidR="00126CDE" w:rsidRPr="00612653">
        <w:rPr>
          <w:rFonts w:ascii="Book Antiqua" w:hAnsi="Book Antiqua"/>
          <w:sz w:val="24"/>
          <w:szCs w:val="24"/>
          <w:lang w:val="en-US"/>
        </w:rPr>
        <w:fldChar w:fldCharType="begin" w:fldLock="1"/>
      </w:r>
      <w:r w:rsidR="004A5E9A" w:rsidRPr="00612653">
        <w:rPr>
          <w:rFonts w:ascii="Book Antiqua" w:hAnsi="Book Antiqua"/>
          <w:sz w:val="24"/>
          <w:szCs w:val="24"/>
          <w:lang w:val="en-US"/>
        </w:rPr>
        <w:instrText>ADDIN CSL_CITATION { "citationItems" : [ { "id" : "ITEM-1", "itemData" : { "DOI" : "10.1152/ajpgi.00079.2013", "ISBN" : "0193-1857", "ISSN" : "0193-1857", "PMID" : "23886860", "abstract" : "Shortcomings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\u223c18%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 "author" : [ { "dropping-particle" : "", "family" : "Clapper", "given" : "Jason R.", "non-dropping-particle" : "", "parse-names" : false, "suffix" : "" }, { "dropping-particle" : "", "family" : "Hendricks", "given" : "Michelle D.", "non-dropping-particle" : "", "parse-names" : false, "suffix" : "" }, { "dropping-particle" : "", "family" : "Gu", "given" : "Guibao", "non-dropping-particle" : "", "parse-names" : false, "suffix" : "" }, { "dropping-particle" : "", "family" : "Wittmer", "given" : "Carrie", "non-dropping-particle" : "", "parse-names" : false, "suffix" : "" }, { "dropping-particle" : "", "family" : "Dolman", "given" : "Carrie S.", "non-dropping-particle" : "", "parse-names" : false, "suffix" : "" }, { "dropping-particle" : "", "family" : "Herich", "given" : "John", "non-dropping-particle" : "", "parse-names" : false, "suffix" : "" }, { "dropping-particle" : "", "family" : "Athanacio", "given" : "Jennifer", "non-dropping-particle" : "", "parse-names" : false, "suffix" : "" }, { "dropping-particle" : "", "family" : "Villescaz", "given" : "Christiane", "non-dropping-particle" : "", "parse-names" : false, "suffix" : "" }, { "dropping-particle" : "", "family" : "Ghosh", "given" : "Soumitra S.", "non-dropping-particle" : "", "parse-names" : false, "suffix" : "" }, { "dropping-particle" : "", "family" : "Heilig", "given" : "Joseph S.", "non-dropping-particle" : "", "parse-names" : false, "suffix" : "" }, { "dropping-particle" : "", "family" : "Lowe", "given" : "Carolyn", "non-dropping-particle" : "", "parse-names" : false, "suffix" : "" }, { "dropping-particle" : "", "family" : "Roth", "given" : "Jonathan D.", "non-dropping-particle" : "", "parse-names" : false, "suffix" : "" } ], "container-title" : "AJP: Gastrointestinal and Liver Physiology", "id" : "ITEM-1", "issue" : "7", "issued" : { "date-parts" : [ [ "2013", "10", "1" ] ] }, "note" : "From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 "page" : "G483-G495", "title" : "Diet-induced mouse model of fatty liver disease and nonalcoholic steatohepatitis reflecting clinical disease progression and methods of assessment", "type" : "article-journal", "volume" : "305" }, "uris" : [ "http://www.mendeley.com/documents/?uuid=f296c90d-1058-4388-a031-b0fef4d5ade2" ] }, { "id" : "ITEM-2", "itemData" : { "DOI" : "10.4254/wjh.v8.i16.673", "ISSN" : "1948-5182", "PMID" : "27326314", "abstract" : "AIM To characterize development of diet-induced nonalcoholic steatohepatitis (NASH) by performing liver biopsy in wild-type and genetically obese mice. METHODS Male wild-type C57BL/6J (C57) mice (DIO-NASH) and male Lep(ob) /Lep(ob) (ob/ob) mice (ob/ob-NASH) were maintained on a diet high in trans-fat (40%), fructose (22%) and cholesterol (2%) for 26 and 12 wk, respectively. A normal chow diet served as control in C57 mice (lean chow) and ob/ob mice (ob/ob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ob/ob-NASH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ob/ob-NASH vs DIO-NASH mice. During the eight week repeated vehicle dosing period, the metabolic phenotype was sustained in DIO-NASH and ob/ob-NASH mice in conjunction with hepatomegaly and increased hepatic lipids and collagen accumulation. Histopathological scoring demonstrated significantly increased NAS of DIO-NASH mice (0 vs 4.7 \u00b1 0.4, P &lt; 0.001 compared to lean chow) and ob/ob-NASH mice (2.4 \u00b1 0.3 vs 6.3 \u00b1 0.2, P &lt; 0.001 compared to ob/ob chow), respectively. Furthermore, fibrosis stage was significantly elevated for DIO-NASH mice (0 vs 1.2 \u00b1 0.2, P &lt; 0.05 compared to lean chow) and ob/ob NASH (0.1 \u00b1 0.1 vs 3.0 \u00b1 0.2, P &lt; 0.001 compared to ob/ob chow). Notably, fibrosis stage was significantly (P &lt; 0.001) increased in ob/ob-NASH mice, when compared to DIO-NASH mice. CONCLUSION These data introduce the obese diet-induced DIO-NASH and ob/ob-NASH mouse models\u2026", "author" : [ { "dropping-particle" : "", "family" : "Kristiansen", "given" : "Maria Nicoline Baandrup",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"T\u00f8lb\u00f8l", "given" : "Kirstine Sloth", "non-dropping-particle" : "", "parse-names" : false, "suffix" : "" }, { "dropping-particle" : "", "family" : "Roth", "given" : "Jonathan David", "non-dropping-particle" : "", "parse-names" : false, "suffix" : "" }, { "dropping-particle" : "", "family" : "Jelsing", "given" : "Jacob", "non-dropping-particle" : "", "parse-names" : false, "suffix" : "" }, { "dropping-particle" : "", "family" : "Vrang", "given" : "Niels", "non-dropping-particle" : "", "parse-names" : false, "suffix" : "" }, { "dropping-particle" : "", "family" : "Feigh", "given" : "Michael", "non-dropping-particle" : "", "parse-names" : false, "suffix" : "" } ], "container-title" : "World Journal of Hepatology", "id" : "ITEM-2", "issue" : "16", "issued" : { "date-parts" : [ [ "2016", "6", "8" ] ] }, "page" : "673", "title" : "Obese diet-induced mouse models of nonalcoholic steatohepatitis-tracking disease by liver biopsy", "type" : "article-journal", "volume" : "8" }, "uris" : [ "http://www.mendeley.com/documents/?uuid=69bb0cda-5036-450b-90a1-83c8b0817689" ] } ], "mendeley" : { "formattedCitation" : "&lt;sup&gt;[9,19]&lt;/sup&gt;", "plainTextFormattedCitation" : "[9,19]", "previouslyFormattedCitation" : "&lt;sup&gt;[9,19]&lt;/sup&gt;" }, "properties" : { "noteIndex" : 0 }, "schema" : "https://github.com/citation-style-language/schema/raw/master/csl-citation.json" }</w:instrText>
      </w:r>
      <w:r w:rsidR="00126CDE" w:rsidRPr="00612653">
        <w:rPr>
          <w:rFonts w:ascii="Book Antiqua" w:hAnsi="Book Antiqua"/>
          <w:sz w:val="24"/>
          <w:szCs w:val="24"/>
          <w:vertAlign w:val="superscript"/>
          <w:lang w:val="en-US"/>
        </w:rPr>
        <w:fldChar w:fldCharType="separate"/>
      </w:r>
      <w:r w:rsidR="004A5E9A" w:rsidRPr="00612653">
        <w:rPr>
          <w:rFonts w:ascii="Book Antiqua" w:hAnsi="Book Antiqua"/>
          <w:noProof/>
          <w:sz w:val="24"/>
          <w:szCs w:val="24"/>
          <w:vertAlign w:val="superscript"/>
          <w:lang w:val="en-US"/>
        </w:rPr>
        <w:t>[9,19]</w:t>
      </w:r>
      <w:r w:rsidR="00126CDE" w:rsidRPr="00612653">
        <w:rPr>
          <w:rFonts w:ascii="Book Antiqua" w:hAnsi="Book Antiqua"/>
          <w:sz w:val="24"/>
          <w:szCs w:val="24"/>
          <w:lang w:val="en-US"/>
        </w:rPr>
        <w:fldChar w:fldCharType="end"/>
      </w:r>
      <w:r w:rsidR="00126CDE" w:rsidRPr="00612653">
        <w:rPr>
          <w:rFonts w:ascii="Book Antiqua" w:hAnsi="Book Antiqua"/>
          <w:sz w:val="24"/>
          <w:szCs w:val="24"/>
          <w:lang w:val="en-US"/>
        </w:rPr>
        <w:t>. In brief, the mice were anesthetized with isoflurane (Vetflurane</w:t>
      </w:r>
      <w:r w:rsidR="00A53F15" w:rsidRPr="00612653">
        <w:rPr>
          <w:rFonts w:ascii="Book Antiqua" w:hAnsi="Book Antiqua"/>
          <w:sz w:val="24"/>
          <w:szCs w:val="24"/>
          <w:lang w:val="en-US"/>
        </w:rPr>
        <w:t>®</w:t>
      </w:r>
      <w:r w:rsidR="00126CDE" w:rsidRPr="00612653">
        <w:rPr>
          <w:rFonts w:ascii="Book Antiqua" w:hAnsi="Book Antiqua"/>
          <w:sz w:val="24"/>
          <w:szCs w:val="24"/>
          <w:lang w:val="en-US"/>
        </w:rPr>
        <w:t>, Virbac, Kolding, Denmark) in atmospheric air. A midline abdominal incision was made to expose the left lateral lobe, and a cone-shaped biopsy of 50-100 mg liver tiss</w:t>
      </w:r>
      <w:r w:rsidR="007C5756" w:rsidRPr="00612653">
        <w:rPr>
          <w:rFonts w:ascii="Book Antiqua" w:hAnsi="Book Antiqua"/>
          <w:sz w:val="24"/>
          <w:szCs w:val="24"/>
          <w:lang w:val="en-US"/>
        </w:rPr>
        <w:t>ue was collected and fixed in 4</w:t>
      </w:r>
      <w:r w:rsidR="00126CDE" w:rsidRPr="00612653">
        <w:rPr>
          <w:rFonts w:ascii="Book Antiqua" w:hAnsi="Book Antiqua"/>
          <w:sz w:val="24"/>
          <w:szCs w:val="24"/>
          <w:lang w:val="en-US"/>
        </w:rPr>
        <w:t>% paraformaldehyde overnight and subsequently used for histological assessment. The cut surfaces were electrocoagulated using an electrosurgicial unit (ERBE VIO 100C, ERBE, Marietta, GA</w:t>
      </w:r>
      <w:r w:rsidR="007C5756" w:rsidRPr="00612653">
        <w:rPr>
          <w:rFonts w:ascii="Book Antiqua" w:hAnsi="Book Antiqua"/>
          <w:sz w:val="24"/>
          <w:szCs w:val="24"/>
          <w:lang w:val="en-US" w:eastAsia="zh-CN"/>
        </w:rPr>
        <w:t>, United States</w:t>
      </w:r>
      <w:r w:rsidR="00126CDE" w:rsidRPr="00612653">
        <w:rPr>
          <w:rFonts w:ascii="Book Antiqua" w:hAnsi="Book Antiqua"/>
          <w:sz w:val="24"/>
          <w:szCs w:val="24"/>
          <w:lang w:val="en-US"/>
        </w:rPr>
        <w:t>)</w:t>
      </w:r>
      <w:r w:rsidR="00A53F15" w:rsidRPr="00612653">
        <w:rPr>
          <w:rFonts w:ascii="Book Antiqua" w:hAnsi="Book Antiqua"/>
          <w:sz w:val="24"/>
          <w:szCs w:val="24"/>
          <w:lang w:val="en-US"/>
        </w:rPr>
        <w:t>, whereupon</w:t>
      </w:r>
      <w:r w:rsidR="00126CDE" w:rsidRPr="00612653">
        <w:rPr>
          <w:rFonts w:ascii="Book Antiqua" w:hAnsi="Book Antiqua"/>
          <w:sz w:val="24"/>
          <w:szCs w:val="24"/>
          <w:lang w:val="en-US"/>
        </w:rPr>
        <w:t xml:space="preserve"> the liver was returned to the abdominal cavity, the abdominal wall was sutured and the skin was stapled. The animals received 5 mg/kg carprofen (Norodyl</w:t>
      </w:r>
      <w:r w:rsidR="00A53F15" w:rsidRPr="00612653">
        <w:rPr>
          <w:rFonts w:ascii="Book Antiqua" w:hAnsi="Book Antiqua"/>
          <w:sz w:val="24"/>
          <w:szCs w:val="24"/>
          <w:lang w:val="en-US"/>
        </w:rPr>
        <w:t>®</w:t>
      </w:r>
      <w:r w:rsidR="00126CDE" w:rsidRPr="00612653">
        <w:rPr>
          <w:rFonts w:ascii="Book Antiqua" w:hAnsi="Book Antiqua"/>
          <w:sz w:val="24"/>
          <w:szCs w:val="24"/>
          <w:lang w:val="en-US"/>
        </w:rPr>
        <w:t xml:space="preserve">, ScanVet, Fredensborg, Denmark) prior to surgery and on post-operative day 1 and 2. Animals were single-housed after the procedure </w:t>
      </w:r>
      <w:r w:rsidR="007C5756" w:rsidRPr="00612653">
        <w:rPr>
          <w:rFonts w:ascii="Book Antiqua" w:hAnsi="Book Antiqua"/>
          <w:sz w:val="24"/>
          <w:szCs w:val="24"/>
          <w:lang w:val="en-US"/>
        </w:rPr>
        <w:t>and allowed to recover for 3 wk</w:t>
      </w:r>
      <w:r w:rsidR="00126CDE" w:rsidRPr="00612653">
        <w:rPr>
          <w:rFonts w:ascii="Book Antiqua" w:hAnsi="Book Antiqua"/>
          <w:sz w:val="24"/>
          <w:szCs w:val="24"/>
          <w:lang w:val="en-US"/>
        </w:rPr>
        <w:t xml:space="preserve"> prior to treatment start. </w:t>
      </w:r>
      <w:r w:rsidR="00A86F0C" w:rsidRPr="00612653">
        <w:rPr>
          <w:rFonts w:ascii="Book Antiqua" w:hAnsi="Book Antiqua"/>
          <w:sz w:val="24"/>
          <w:szCs w:val="24"/>
          <w:lang w:val="en-US"/>
        </w:rPr>
        <w:t xml:space="preserve">Mice with </w:t>
      </w:r>
      <w:r w:rsidR="00BC514D" w:rsidRPr="00612653">
        <w:rPr>
          <w:rFonts w:ascii="Book Antiqua" w:hAnsi="Book Antiqua"/>
          <w:sz w:val="24"/>
          <w:szCs w:val="24"/>
          <w:lang w:val="en-US"/>
        </w:rPr>
        <w:t>fibrosis stage ≥</w:t>
      </w:r>
      <w:r w:rsidR="007C5756" w:rsidRPr="00612653">
        <w:rPr>
          <w:rFonts w:ascii="Book Antiqua" w:hAnsi="Book Antiqua"/>
          <w:sz w:val="24"/>
          <w:szCs w:val="24"/>
          <w:lang w:val="en-US" w:eastAsia="zh-CN"/>
        </w:rPr>
        <w:t xml:space="preserve"> </w:t>
      </w:r>
      <w:r w:rsidR="00BC514D" w:rsidRPr="00612653">
        <w:rPr>
          <w:rFonts w:ascii="Book Antiqua" w:hAnsi="Book Antiqua"/>
          <w:sz w:val="24"/>
          <w:szCs w:val="24"/>
          <w:lang w:val="en-US"/>
        </w:rPr>
        <w:t xml:space="preserve">1 and </w:t>
      </w:r>
      <w:r w:rsidR="002C5B8A" w:rsidRPr="00612653">
        <w:rPr>
          <w:rFonts w:ascii="Book Antiqua" w:hAnsi="Book Antiqua"/>
          <w:sz w:val="24"/>
          <w:szCs w:val="24"/>
          <w:lang w:val="en-US"/>
        </w:rPr>
        <w:t>steatosis score ≥</w:t>
      </w:r>
      <w:r w:rsidR="007C5756" w:rsidRPr="00612653">
        <w:rPr>
          <w:rFonts w:ascii="Book Antiqua" w:hAnsi="Book Antiqua"/>
          <w:sz w:val="24"/>
          <w:szCs w:val="24"/>
          <w:lang w:val="en-US" w:eastAsia="zh-CN"/>
        </w:rPr>
        <w:t xml:space="preserve"> </w:t>
      </w:r>
      <w:r w:rsidR="00AA137A" w:rsidRPr="00612653">
        <w:rPr>
          <w:rFonts w:ascii="Book Antiqua" w:hAnsi="Book Antiqua"/>
          <w:sz w:val="24"/>
          <w:szCs w:val="24"/>
          <w:lang w:val="en-US"/>
        </w:rPr>
        <w:t>2,</w:t>
      </w:r>
      <w:r w:rsidR="002C5B8A" w:rsidRPr="00612653">
        <w:rPr>
          <w:rFonts w:ascii="Book Antiqua" w:hAnsi="Book Antiqua"/>
          <w:sz w:val="24"/>
          <w:szCs w:val="24"/>
          <w:lang w:val="en-US"/>
        </w:rPr>
        <w:t xml:space="preserve"> </w:t>
      </w:r>
      <w:r w:rsidR="00F97276" w:rsidRPr="00612653">
        <w:rPr>
          <w:rFonts w:ascii="Book Antiqua" w:hAnsi="Book Antiqua"/>
          <w:sz w:val="24"/>
          <w:szCs w:val="24"/>
          <w:lang w:val="en-US"/>
        </w:rPr>
        <w:t>evaluated using</w:t>
      </w:r>
      <w:r w:rsidR="002C5B8A" w:rsidRPr="00612653">
        <w:rPr>
          <w:rFonts w:ascii="Book Antiqua" w:hAnsi="Book Antiqua"/>
          <w:sz w:val="24"/>
          <w:szCs w:val="24"/>
          <w:lang w:val="en-US"/>
        </w:rPr>
        <w:t xml:space="preserve"> the clinical criteria outlined by Kleiner </w:t>
      </w:r>
      <w:r w:rsidR="007C5756" w:rsidRPr="00612653">
        <w:rPr>
          <w:rFonts w:ascii="Book Antiqua" w:hAnsi="Book Antiqua"/>
          <w:i/>
          <w:iCs/>
          <w:sz w:val="24"/>
          <w:szCs w:val="24"/>
          <w:lang w:val="en-US"/>
        </w:rPr>
        <w:t>et al</w:t>
      </w:r>
      <w:r w:rsidR="009575FE" w:rsidRPr="00612653">
        <w:rPr>
          <w:rFonts w:ascii="Book Antiqua" w:hAnsi="Book Antiqua"/>
          <w:i/>
          <w:iCs/>
          <w:sz w:val="24"/>
          <w:szCs w:val="24"/>
          <w:lang w:val="en-US"/>
        </w:rPr>
        <w:fldChar w:fldCharType="begin" w:fldLock="1"/>
      </w:r>
      <w:r w:rsidR="004A5E9A" w:rsidRPr="00612653">
        <w:rPr>
          <w:rFonts w:ascii="Book Antiqua" w:hAnsi="Book Antiqua"/>
          <w:i/>
          <w:iCs/>
          <w:sz w:val="24"/>
          <w:szCs w:val="24"/>
          <w:lang w:val="en-US"/>
        </w:rPr>
        <w:instrText>ADDIN CSL_CITATION { "citationItems" : [ { "id" : "ITEM-1", "itemData" : { "DOI" : "10.1002/hep.20701", "ISSN" : "0270-9139", "PMID" : "15915461", "abstract" : "Nonalcoholic fatty liver disease (NAFLD) is characterized by hepatic steatosis in the absence of a history of significant alcohol use or other known liver disease. Nonalcoholic steatohepatitis (NASH) is the progressive form of NAFLD. The Pathology Committee of the NASH Clinical Research Network designed and validated a histological feature scoring system that addresses the full spectrum of lesions of NAFLD and proposed a NAFLD activity score (NAS) for use in clinical trials. The scoring system comprised 14 histological features, 4 of which were evaluated semi-quantitatively: steatosis (0-3), lobular inflammation (0-2), hepatocellular ballooning (0-2), and fibrosis (0-4). Another nine features were recorded as present or absent. An anonymized study set of 50 cases (32 from adult hepatology services, 18 from pediatric hepatology services) was assembled, coded, and circulated. For the validation study, agreement on scoring and a diagnostic categorization (\"NASH,\" \"borderline,\" or \"not NASH\") were evaluated by using weighted kappa statistics. Inter-rater agreement on adult cases was: 0.84 for fibrosis, 0.79 for steatosis, 0.56 for injury, and 0.45 for lobular inflammation. Agreement on diagnostic category was 0.61. Using multiple logistic regression, five features were independently associated with the diagnosis of NASH in adult biopsies: steatosis (P = .009), hepatocellular ballooning (P = .0001), lobular inflammation (P = .0001), fibrosis (P = .0001), and the absence of lipogranulomas (P = .001). The proposed NAS is the unweighted sum of steatosis, lobular inflammation, and hepatocellular ballooning scores. In conclusion, we present a strong scoring system and NAS for NAFLD and NASH with reasonable inter-rater reproducibility that should be useful for studies of both adults and children with any degree of NAFLD. NAS of &gt; or =5 correlated with a diagnosis of NASH, and biopsies with scores of less than 3 were diagnosed as \"not NASH.\"", "author" : [ { "dropping-particle" : "", "family" : "Kleiner", "given" : "David E.", "non-dropping-particle" : "", "parse-names" : false, "suffix" : "" }, { "dropping-particle" : "", "family" : "Brunt", "given" : "Elizabeth M.", "non-dropping-particle" : "", "parse-names" : false, "suffix" : "" }, { "dropping-particle" : "", "family" : "Natta", "given" : "Mark", "non-dropping-particle" : "Van", "parse-names" : false, "suffix" : "" }, { "dropping-particle" : "", "family" : "Behling", "given" : "Cynthia", "non-dropping-particle" : "", "parse-names" : false, "suffix" : "" }, { "dropping-particle" : "", "family" : "Contos", "given" : "Melissa J.", "non-dropping-particle" : "", "parse-names" : false, "suffix" : "" }, { "dropping-particle" : "", "family" : "Cummings", "given" : "Oscar W.", "non-dropping-particle" : "", "parse-names" : false, "suffix" : "" }, { "dropping-particle" : "", "family" : "Ferrell", "given" : "Linda D.", "non-dropping-particle" : "", "parse-names" : false, "suffix" : "" }, { "dropping-particle" : "", "family" : "Liu", "given" : "Yao-Chang", "non-dropping-particle" : "", "parse-names" : false, "suffix" : "" }, { "dropping-particle" : "", "family" : "Torbenson", "given" : "Michael S.", "non-dropping-particle" : "", "parse-names" : false, "suffix" : "" }, { "dropping-particle" : "", "family" : "Unalp-Arida", "given" : "Aynur", "non-dropping-particle" : "", "parse-names" : false, "suffix" : "" }, { "dropping-particle" : "", "family" : "Yeh", "given" : "Matthew", "non-dropping-particle" : "", "parse-names" : false, "suffix" : "" }, { "dropping-particle" : "", "family" : "McCullough", "given" : "Arthur J.", "non-dropping-particle" : "", "parse-names" : false, "suffix" : "" }, { "dropping-particle" : "", "family" : "Sanyal", "given" : "Arun J.", "non-dropping-particle" : "", "parse-names" : false, "suffix" : "" }, { "dropping-particle" : "", "family" : "Nonalcoholic Steatohepatitis Clinical Research Network", "given" : "", "non-dropping-particle" : "", "parse-names" : false, "suffix" : "" } ], "container-title" : "Hepatology", "id" : "ITEM-1", "issue" : "6", "issued" : { "date-parts" : [ [ "2005", "6" ] ] }, "page" : "1313-1321", "title" : "Design and validation of a histological scoring system for nonalcoholic fatty liver disease", "type" : "article-journal", "volume" : "41" }, "uris" : [ "http://www.mendeley.com/documents/?uuid=570e92b8-5276-3540-887d-ace6dfbdc3d9" ] } ], "mendeley" : { "formattedCitation" : "&lt;sup&gt;[31]&lt;/sup&gt;", "plainTextFormattedCitation" : "[31]", "previouslyFormattedCitation" : "&lt;sup&gt;[31]&lt;/sup&gt;" }, "properties" : { "noteIndex" : 0 }, "schema" : "https://github.com/citation-style-language/schema/raw/master/csl-citation.json" }</w:instrText>
      </w:r>
      <w:r w:rsidR="009575FE" w:rsidRPr="00612653">
        <w:rPr>
          <w:rFonts w:ascii="Book Antiqua" w:hAnsi="Book Antiqua"/>
          <w:i/>
          <w:iCs/>
          <w:sz w:val="24"/>
          <w:szCs w:val="24"/>
          <w:vertAlign w:val="superscript"/>
          <w:lang w:val="en-US"/>
        </w:rPr>
        <w:fldChar w:fldCharType="separate"/>
      </w:r>
      <w:r w:rsidR="004A5E9A" w:rsidRPr="00612653">
        <w:rPr>
          <w:rFonts w:ascii="Book Antiqua" w:hAnsi="Book Antiqua"/>
          <w:iCs/>
          <w:noProof/>
          <w:sz w:val="24"/>
          <w:szCs w:val="24"/>
          <w:vertAlign w:val="superscript"/>
          <w:lang w:val="en-US"/>
        </w:rPr>
        <w:t>[31]</w:t>
      </w:r>
      <w:r w:rsidR="009575FE" w:rsidRPr="00612653">
        <w:rPr>
          <w:rFonts w:ascii="Book Antiqua" w:hAnsi="Book Antiqua"/>
          <w:i/>
          <w:iCs/>
          <w:sz w:val="24"/>
          <w:szCs w:val="24"/>
          <w:lang w:val="en-US"/>
        </w:rPr>
        <w:fldChar w:fldCharType="end"/>
      </w:r>
      <w:r w:rsidR="009575FE" w:rsidRPr="00612653">
        <w:rPr>
          <w:rFonts w:ascii="Book Antiqua" w:hAnsi="Book Antiqua"/>
          <w:sz w:val="24"/>
          <w:szCs w:val="24"/>
          <w:lang w:val="en-US"/>
        </w:rPr>
        <w:t>, were included in the study.</w:t>
      </w:r>
    </w:p>
    <w:p w14:paraId="5781F11E" w14:textId="1384666D" w:rsidR="009F6856" w:rsidRPr="00612653" w:rsidRDefault="009F6856" w:rsidP="00082279">
      <w:pPr>
        <w:snapToGrid w:val="0"/>
        <w:spacing w:after="0" w:line="360" w:lineRule="auto"/>
        <w:jc w:val="both"/>
        <w:rPr>
          <w:rFonts w:ascii="Book Antiqua" w:eastAsia="Times New Roman" w:hAnsi="Book Antiqua" w:cs="Times New Roman"/>
          <w:sz w:val="24"/>
          <w:szCs w:val="24"/>
          <w:lang w:val="en-US"/>
        </w:rPr>
      </w:pPr>
    </w:p>
    <w:p w14:paraId="2F0BDED8" w14:textId="21BCC62B" w:rsidR="009F6856" w:rsidRPr="00612653" w:rsidRDefault="009F6856" w:rsidP="00082279">
      <w:pPr>
        <w:snapToGrid w:val="0"/>
        <w:spacing w:after="0" w:line="360" w:lineRule="auto"/>
        <w:jc w:val="both"/>
        <w:rPr>
          <w:rFonts w:ascii="Book Antiqua" w:hAnsi="Book Antiqua"/>
          <w:b/>
          <w:i/>
          <w:iCs/>
          <w:sz w:val="24"/>
          <w:szCs w:val="24"/>
          <w:lang w:val="en-US"/>
        </w:rPr>
      </w:pPr>
      <w:r w:rsidRPr="00612653">
        <w:rPr>
          <w:rFonts w:ascii="Book Antiqua" w:hAnsi="Book Antiqua"/>
          <w:b/>
          <w:i/>
          <w:iCs/>
          <w:sz w:val="24"/>
          <w:szCs w:val="24"/>
          <w:lang w:val="en-US"/>
        </w:rPr>
        <w:t>Drug treatment</w:t>
      </w:r>
    </w:p>
    <w:p w14:paraId="39E63293" w14:textId="57670802" w:rsidR="00514477" w:rsidRPr="00612653" w:rsidRDefault="00514477"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t>Liraglutide (</w:t>
      </w:r>
      <w:r w:rsidR="009575FE" w:rsidRPr="00612653">
        <w:rPr>
          <w:rFonts w:ascii="Book Antiqua" w:hAnsi="Book Antiqua"/>
          <w:sz w:val="24"/>
          <w:szCs w:val="24"/>
          <w:lang w:val="en-US"/>
        </w:rPr>
        <w:t>Victoza™ pen) was from</w:t>
      </w:r>
      <w:r w:rsidR="00A5350E" w:rsidRPr="00612653">
        <w:rPr>
          <w:rFonts w:ascii="Book Antiqua" w:hAnsi="Book Antiqua"/>
          <w:sz w:val="24"/>
          <w:szCs w:val="24"/>
          <w:lang w:val="en-US"/>
        </w:rPr>
        <w:t xml:space="preserve"> Novo Nordisk</w:t>
      </w:r>
      <w:r w:rsidR="009575FE" w:rsidRPr="00612653">
        <w:rPr>
          <w:rFonts w:ascii="Book Antiqua" w:hAnsi="Book Antiqua"/>
          <w:sz w:val="24"/>
          <w:szCs w:val="24"/>
          <w:lang w:val="en-US"/>
        </w:rPr>
        <w:t xml:space="preserve"> (Bagsvaerd, </w:t>
      </w:r>
      <w:r w:rsidRPr="00612653">
        <w:rPr>
          <w:rFonts w:ascii="Book Antiqua" w:hAnsi="Book Antiqua"/>
          <w:sz w:val="24"/>
          <w:szCs w:val="24"/>
          <w:lang w:val="en-US"/>
        </w:rPr>
        <w:t xml:space="preserve">Denmark), elafibranor and </w:t>
      </w:r>
      <w:r w:rsidR="00DA4084" w:rsidRPr="00612653">
        <w:rPr>
          <w:rFonts w:ascii="Book Antiqua" w:hAnsi="Book Antiqua"/>
          <w:sz w:val="24"/>
          <w:szCs w:val="24"/>
          <w:lang w:val="en-US"/>
        </w:rPr>
        <w:t>obeticholic acid (</w:t>
      </w:r>
      <w:r w:rsidRPr="00612653">
        <w:rPr>
          <w:rFonts w:ascii="Book Antiqua" w:hAnsi="Book Antiqua"/>
          <w:sz w:val="24"/>
          <w:szCs w:val="24"/>
          <w:lang w:val="en-US"/>
        </w:rPr>
        <w:t>OCA</w:t>
      </w:r>
      <w:r w:rsidR="00DA4084" w:rsidRPr="00612653">
        <w:rPr>
          <w:rFonts w:ascii="Book Antiqua" w:hAnsi="Book Antiqua"/>
          <w:sz w:val="24"/>
          <w:szCs w:val="24"/>
          <w:lang w:val="en-US"/>
        </w:rPr>
        <w:t>)</w:t>
      </w:r>
      <w:r w:rsidRPr="00612653">
        <w:rPr>
          <w:rFonts w:ascii="Book Antiqua" w:hAnsi="Book Antiqua"/>
          <w:sz w:val="24"/>
          <w:szCs w:val="24"/>
          <w:lang w:val="en-US"/>
        </w:rPr>
        <w:t xml:space="preserve"> were from SunshineChem (Shanghai, China).</w:t>
      </w:r>
      <w:r w:rsidRPr="00612653">
        <w:rPr>
          <w:rFonts w:ascii="Book Antiqua" w:hAnsi="Book Antiqua"/>
          <w:i/>
          <w:iCs/>
          <w:sz w:val="24"/>
          <w:szCs w:val="24"/>
          <w:lang w:val="en-US"/>
        </w:rPr>
        <w:t xml:space="preserve"> </w:t>
      </w:r>
      <w:r w:rsidR="00DA4084" w:rsidRPr="00612653">
        <w:rPr>
          <w:rFonts w:ascii="Book Antiqua" w:hAnsi="Book Antiqua"/>
          <w:sz w:val="24"/>
          <w:szCs w:val="24"/>
          <w:lang w:val="en-US"/>
        </w:rPr>
        <w:t xml:space="preserve">Vehicle were </w:t>
      </w:r>
      <w:r w:rsidRPr="00612653">
        <w:rPr>
          <w:rFonts w:ascii="Book Antiqua" w:hAnsi="Book Antiqua"/>
          <w:sz w:val="24"/>
          <w:szCs w:val="24"/>
          <w:lang w:val="en-US"/>
        </w:rPr>
        <w:t>0.5% carboxymet</w:t>
      </w:r>
      <w:r w:rsidR="00FB2307" w:rsidRPr="00612653">
        <w:rPr>
          <w:rFonts w:ascii="Book Antiqua" w:hAnsi="Book Antiqua"/>
          <w:sz w:val="24"/>
          <w:szCs w:val="24"/>
          <w:lang w:val="en-US"/>
        </w:rPr>
        <w:t>hyl cellulose with 0.01 % Tween-</w:t>
      </w:r>
      <w:r w:rsidRPr="00612653">
        <w:rPr>
          <w:rFonts w:ascii="Book Antiqua" w:hAnsi="Book Antiqua"/>
          <w:sz w:val="24"/>
          <w:szCs w:val="24"/>
          <w:lang w:val="en-US"/>
        </w:rPr>
        <w:t>80</w:t>
      </w:r>
      <w:r w:rsidR="00FB2307" w:rsidRPr="00612653">
        <w:rPr>
          <w:rFonts w:ascii="Book Antiqua" w:hAnsi="Book Antiqua"/>
          <w:sz w:val="24"/>
          <w:szCs w:val="24"/>
          <w:lang w:val="en-US"/>
        </w:rPr>
        <w:t xml:space="preserve"> (PO dosing) </w:t>
      </w:r>
      <w:r w:rsidR="00DA4084" w:rsidRPr="00612653">
        <w:rPr>
          <w:rFonts w:ascii="Book Antiqua" w:hAnsi="Book Antiqua"/>
          <w:sz w:val="24"/>
          <w:szCs w:val="24"/>
          <w:lang w:val="en-US"/>
        </w:rPr>
        <w:t>or</w:t>
      </w:r>
      <w:r w:rsidR="00FB2307" w:rsidRPr="00612653">
        <w:rPr>
          <w:rFonts w:ascii="Book Antiqua" w:hAnsi="Book Antiqua"/>
          <w:sz w:val="24"/>
          <w:szCs w:val="24"/>
          <w:lang w:val="en-US"/>
        </w:rPr>
        <w:t xml:space="preserve"> pho</w:t>
      </w:r>
      <w:r w:rsidR="007C5756" w:rsidRPr="00612653">
        <w:rPr>
          <w:rFonts w:ascii="Book Antiqua" w:hAnsi="Book Antiqua"/>
          <w:sz w:val="24"/>
          <w:szCs w:val="24"/>
          <w:lang w:val="en-US"/>
        </w:rPr>
        <w:t>sphate-buffered saline with 0.1</w:t>
      </w:r>
      <w:r w:rsidR="00FB2307" w:rsidRPr="00612653">
        <w:rPr>
          <w:rFonts w:ascii="Book Antiqua" w:hAnsi="Book Antiqua"/>
          <w:sz w:val="24"/>
          <w:szCs w:val="24"/>
          <w:lang w:val="en-US"/>
        </w:rPr>
        <w:t>% b</w:t>
      </w:r>
      <w:r w:rsidR="00DA4084" w:rsidRPr="00612653">
        <w:rPr>
          <w:rFonts w:ascii="Book Antiqua" w:hAnsi="Book Antiqua"/>
          <w:sz w:val="24"/>
          <w:szCs w:val="24"/>
          <w:lang w:val="en-US"/>
        </w:rPr>
        <w:t xml:space="preserve">ovine serum albumin (SC dosing), administered </w:t>
      </w:r>
      <w:r w:rsidR="00FB2307" w:rsidRPr="00612653">
        <w:rPr>
          <w:rFonts w:ascii="Book Antiqua" w:hAnsi="Book Antiqua"/>
          <w:sz w:val="24"/>
          <w:szCs w:val="24"/>
          <w:lang w:val="en-US"/>
        </w:rPr>
        <w:t xml:space="preserve">in a dosing volume of 5 </w:t>
      </w:r>
      <w:r w:rsidRPr="00612653">
        <w:rPr>
          <w:rFonts w:ascii="Book Antiqua" w:hAnsi="Book Antiqua"/>
          <w:sz w:val="24"/>
          <w:szCs w:val="24"/>
          <w:lang w:val="en-US"/>
        </w:rPr>
        <w:t>m</w:t>
      </w:r>
      <w:r w:rsidRPr="00612653">
        <w:rPr>
          <w:rFonts w:ascii="Book Antiqua" w:hAnsi="Book Antiqua"/>
          <w:caps/>
          <w:sz w:val="24"/>
          <w:szCs w:val="24"/>
          <w:lang w:val="en-US"/>
        </w:rPr>
        <w:t>l</w:t>
      </w:r>
      <w:r w:rsidRPr="00612653">
        <w:rPr>
          <w:rFonts w:ascii="Book Antiqua" w:hAnsi="Book Antiqua"/>
          <w:sz w:val="24"/>
          <w:szCs w:val="24"/>
          <w:lang w:val="en-US"/>
        </w:rPr>
        <w:t xml:space="preserve">/kg. </w:t>
      </w:r>
      <w:r w:rsidR="00EB1F65" w:rsidRPr="00612653">
        <w:rPr>
          <w:rFonts w:ascii="Book Antiqua" w:hAnsi="Book Antiqua"/>
          <w:sz w:val="24"/>
          <w:szCs w:val="24"/>
          <w:lang w:val="en-US"/>
        </w:rPr>
        <w:t xml:space="preserve">Animals were stratified </w:t>
      </w:r>
      <w:r w:rsidR="00374744" w:rsidRPr="00612653">
        <w:rPr>
          <w:rFonts w:ascii="Book Antiqua" w:hAnsi="Book Antiqua"/>
          <w:sz w:val="24"/>
          <w:szCs w:val="24"/>
          <w:lang w:val="en-US"/>
        </w:rPr>
        <w:t>(</w:t>
      </w:r>
      <w:r w:rsidR="00374744" w:rsidRPr="00612653">
        <w:rPr>
          <w:rFonts w:ascii="Book Antiqua" w:hAnsi="Book Antiqua"/>
          <w:i/>
          <w:sz w:val="24"/>
          <w:szCs w:val="24"/>
          <w:lang w:val="en-US"/>
        </w:rPr>
        <w:t>n</w:t>
      </w:r>
      <w:r w:rsidR="007C5756" w:rsidRPr="00612653">
        <w:rPr>
          <w:rFonts w:ascii="Book Antiqua" w:hAnsi="Book Antiqua"/>
          <w:sz w:val="24"/>
          <w:szCs w:val="24"/>
          <w:lang w:val="en-US" w:eastAsia="zh-CN"/>
        </w:rPr>
        <w:t xml:space="preserve"> </w:t>
      </w:r>
      <w:r w:rsidR="00374744" w:rsidRPr="00612653">
        <w:rPr>
          <w:rFonts w:ascii="Book Antiqua" w:hAnsi="Book Antiqua"/>
          <w:sz w:val="24"/>
          <w:szCs w:val="24"/>
          <w:lang w:val="en-US"/>
        </w:rPr>
        <w:t>=</w:t>
      </w:r>
      <w:r w:rsidR="007C5756" w:rsidRPr="00612653">
        <w:rPr>
          <w:rFonts w:ascii="Book Antiqua" w:hAnsi="Book Antiqua"/>
          <w:sz w:val="24"/>
          <w:szCs w:val="24"/>
          <w:lang w:val="en-US" w:eastAsia="zh-CN"/>
        </w:rPr>
        <w:t xml:space="preserve"> </w:t>
      </w:r>
      <w:r w:rsidR="00374744" w:rsidRPr="00612653">
        <w:rPr>
          <w:rFonts w:ascii="Book Antiqua" w:hAnsi="Book Antiqua"/>
          <w:sz w:val="24"/>
          <w:szCs w:val="24"/>
          <w:lang w:val="en-US"/>
        </w:rPr>
        <w:t xml:space="preserve">9-12 per group) </w:t>
      </w:r>
      <w:r w:rsidR="00FB2307" w:rsidRPr="00612653">
        <w:rPr>
          <w:rFonts w:ascii="Book Antiqua" w:hAnsi="Book Antiqua"/>
          <w:sz w:val="24"/>
          <w:szCs w:val="24"/>
          <w:lang w:val="en-US"/>
        </w:rPr>
        <w:t xml:space="preserve">based on </w:t>
      </w:r>
      <w:r w:rsidR="00EB1F65" w:rsidRPr="00612653">
        <w:rPr>
          <w:rFonts w:ascii="Book Antiqua" w:hAnsi="Book Antiqua"/>
          <w:sz w:val="24"/>
          <w:szCs w:val="24"/>
          <w:lang w:val="en-US"/>
        </w:rPr>
        <w:t xml:space="preserve">mean </w:t>
      </w:r>
      <w:r w:rsidR="00552165" w:rsidRPr="00612653">
        <w:rPr>
          <w:rFonts w:ascii="Book Antiqua" w:hAnsi="Book Antiqua"/>
          <w:sz w:val="24"/>
          <w:szCs w:val="24"/>
          <w:lang w:val="en-US"/>
        </w:rPr>
        <w:t xml:space="preserve">fibrosis and </w:t>
      </w:r>
      <w:r w:rsidR="00B71B4B" w:rsidRPr="00612653">
        <w:rPr>
          <w:rFonts w:ascii="Book Antiqua" w:hAnsi="Book Antiqua"/>
          <w:sz w:val="24"/>
          <w:szCs w:val="24"/>
          <w:lang w:val="en-US"/>
        </w:rPr>
        <w:t>steatosis</w:t>
      </w:r>
      <w:r w:rsidR="00FB2307" w:rsidRPr="00612653">
        <w:rPr>
          <w:rFonts w:ascii="Book Antiqua" w:hAnsi="Book Antiqua"/>
          <w:sz w:val="24"/>
          <w:szCs w:val="24"/>
          <w:lang w:val="en-US"/>
        </w:rPr>
        <w:t xml:space="preserve"> </w:t>
      </w:r>
      <w:r w:rsidR="00B71B4B" w:rsidRPr="00612653">
        <w:rPr>
          <w:rFonts w:ascii="Book Antiqua" w:hAnsi="Book Antiqua"/>
          <w:sz w:val="24"/>
          <w:szCs w:val="24"/>
          <w:lang w:val="en-US"/>
        </w:rPr>
        <w:t>score</w:t>
      </w:r>
      <w:r w:rsidR="00DE1970" w:rsidRPr="00612653">
        <w:rPr>
          <w:rFonts w:ascii="Book Antiqua" w:hAnsi="Book Antiqua"/>
          <w:sz w:val="24"/>
          <w:szCs w:val="24"/>
          <w:lang w:val="en-US"/>
        </w:rPr>
        <w:t>,</w:t>
      </w:r>
      <w:r w:rsidR="00374744" w:rsidRPr="00612653">
        <w:rPr>
          <w:rFonts w:ascii="Book Antiqua" w:hAnsi="Book Antiqua"/>
          <w:sz w:val="24"/>
          <w:szCs w:val="24"/>
          <w:lang w:val="en-US"/>
        </w:rPr>
        <w:t xml:space="preserve"> and </w:t>
      </w:r>
      <w:r w:rsidR="00772CCE" w:rsidRPr="00612653">
        <w:rPr>
          <w:rFonts w:ascii="Book Antiqua" w:hAnsi="Book Antiqua"/>
          <w:sz w:val="24"/>
          <w:szCs w:val="24"/>
          <w:lang w:val="en-US"/>
        </w:rPr>
        <w:t>treat</w:t>
      </w:r>
      <w:r w:rsidR="00A5350E" w:rsidRPr="00612653">
        <w:rPr>
          <w:rFonts w:ascii="Book Antiqua" w:hAnsi="Book Antiqua"/>
          <w:sz w:val="24"/>
          <w:szCs w:val="24"/>
          <w:lang w:val="en-US"/>
        </w:rPr>
        <w:t>ed</w:t>
      </w:r>
      <w:r w:rsidR="007C5756" w:rsidRPr="00612653">
        <w:rPr>
          <w:rFonts w:ascii="Book Antiqua" w:hAnsi="Book Antiqua"/>
          <w:sz w:val="24"/>
          <w:szCs w:val="24"/>
          <w:lang w:val="en-US"/>
        </w:rPr>
        <w:t xml:space="preserve"> for 8 wk</w:t>
      </w:r>
      <w:r w:rsidRPr="00612653">
        <w:rPr>
          <w:rFonts w:ascii="Book Antiqua" w:hAnsi="Book Antiqua"/>
          <w:sz w:val="24"/>
          <w:szCs w:val="24"/>
          <w:lang w:val="en-US"/>
        </w:rPr>
        <w:t xml:space="preserve"> with v</w:t>
      </w:r>
      <w:r w:rsidR="009F6856" w:rsidRPr="00612653">
        <w:rPr>
          <w:rFonts w:ascii="Book Antiqua" w:hAnsi="Book Antiqua"/>
          <w:sz w:val="24"/>
          <w:szCs w:val="24"/>
          <w:lang w:val="en-US"/>
        </w:rPr>
        <w:t xml:space="preserve">ehicle (PO, QD), </w:t>
      </w:r>
      <w:r w:rsidR="00A71944" w:rsidRPr="00612653">
        <w:rPr>
          <w:rFonts w:ascii="Book Antiqua" w:hAnsi="Book Antiqua"/>
          <w:sz w:val="24"/>
          <w:szCs w:val="24"/>
          <w:lang w:val="en-US"/>
        </w:rPr>
        <w:t>l</w:t>
      </w:r>
      <w:r w:rsidR="009F6856" w:rsidRPr="00612653">
        <w:rPr>
          <w:rFonts w:ascii="Book Antiqua" w:hAnsi="Book Antiqua"/>
          <w:sz w:val="24"/>
          <w:szCs w:val="24"/>
          <w:lang w:val="en-US"/>
        </w:rPr>
        <w:t>iraglutide (0.</w:t>
      </w:r>
      <w:r w:rsidR="00612934" w:rsidRPr="00612653">
        <w:rPr>
          <w:rFonts w:ascii="Book Antiqua" w:hAnsi="Book Antiqua"/>
          <w:sz w:val="24"/>
          <w:szCs w:val="24"/>
          <w:lang w:val="en-US"/>
        </w:rPr>
        <w:t>2 mg/kg, SC, BID</w:t>
      </w:r>
      <w:r w:rsidR="009F6856" w:rsidRPr="00612653">
        <w:rPr>
          <w:rFonts w:ascii="Book Antiqua" w:hAnsi="Book Antiqua"/>
          <w:sz w:val="24"/>
          <w:szCs w:val="24"/>
          <w:lang w:val="en-US"/>
        </w:rPr>
        <w:t xml:space="preserve">), </w:t>
      </w:r>
      <w:r w:rsidR="001248CA" w:rsidRPr="00612653">
        <w:rPr>
          <w:rFonts w:ascii="Book Antiqua" w:hAnsi="Book Antiqua"/>
          <w:sz w:val="24"/>
          <w:szCs w:val="24"/>
          <w:lang w:val="en-US"/>
        </w:rPr>
        <w:t>OCA</w:t>
      </w:r>
      <w:r w:rsidR="00B5404C" w:rsidRPr="00612653">
        <w:rPr>
          <w:rFonts w:ascii="Book Antiqua" w:hAnsi="Book Antiqua"/>
          <w:sz w:val="24"/>
          <w:szCs w:val="24"/>
          <w:lang w:val="en-US"/>
        </w:rPr>
        <w:t xml:space="preserve"> (30 mg/kg, PO, QD)</w:t>
      </w:r>
      <w:r w:rsidRPr="00612653">
        <w:rPr>
          <w:rFonts w:ascii="Book Antiqua" w:hAnsi="Book Antiqua"/>
          <w:sz w:val="24"/>
          <w:szCs w:val="24"/>
          <w:lang w:val="en-US"/>
        </w:rPr>
        <w:t>, or elafibranor (30 mg/kg, PO, QD)</w:t>
      </w:r>
      <w:r w:rsidR="00B5404C" w:rsidRPr="00612653">
        <w:rPr>
          <w:rFonts w:ascii="Book Antiqua" w:hAnsi="Book Antiqua"/>
          <w:sz w:val="24"/>
          <w:szCs w:val="24"/>
          <w:lang w:val="en-US"/>
        </w:rPr>
        <w:t>.</w:t>
      </w:r>
      <w:r w:rsidR="003F589F" w:rsidRPr="00612653">
        <w:rPr>
          <w:rFonts w:ascii="Book Antiqua" w:hAnsi="Book Antiqua"/>
          <w:sz w:val="24"/>
          <w:szCs w:val="24"/>
          <w:lang w:val="en-US"/>
        </w:rPr>
        <w:t xml:space="preserve"> </w:t>
      </w:r>
      <w:r w:rsidR="00EA5D7D" w:rsidRPr="00612653">
        <w:rPr>
          <w:rFonts w:ascii="Book Antiqua" w:hAnsi="Book Antiqua"/>
          <w:sz w:val="24"/>
          <w:szCs w:val="24"/>
          <w:lang w:val="en-US"/>
        </w:rPr>
        <w:t>Vehicle-dosed c</w:t>
      </w:r>
      <w:r w:rsidR="009F6856" w:rsidRPr="00612653">
        <w:rPr>
          <w:rFonts w:ascii="Book Antiqua" w:hAnsi="Book Antiqua"/>
          <w:sz w:val="24"/>
          <w:szCs w:val="24"/>
          <w:lang w:val="en-US"/>
        </w:rPr>
        <w:t>how</w:t>
      </w:r>
      <w:r w:rsidR="00FB2307" w:rsidRPr="00612653">
        <w:rPr>
          <w:rFonts w:ascii="Book Antiqua" w:hAnsi="Book Antiqua"/>
          <w:sz w:val="24"/>
          <w:szCs w:val="24"/>
          <w:lang w:val="en-US"/>
        </w:rPr>
        <w:t>-</w:t>
      </w:r>
      <w:r w:rsidR="00772CCE" w:rsidRPr="00612653">
        <w:rPr>
          <w:rFonts w:ascii="Book Antiqua" w:hAnsi="Book Antiqua"/>
          <w:sz w:val="24"/>
          <w:szCs w:val="24"/>
          <w:lang w:val="en-US"/>
        </w:rPr>
        <w:t>fed mice</w:t>
      </w:r>
      <w:r w:rsidR="009F6856" w:rsidRPr="00612653">
        <w:rPr>
          <w:rFonts w:ascii="Book Antiqua" w:hAnsi="Book Antiqua"/>
          <w:sz w:val="24"/>
          <w:szCs w:val="24"/>
          <w:lang w:val="en-US"/>
        </w:rPr>
        <w:t xml:space="preserve"> </w:t>
      </w:r>
      <w:r w:rsidR="00EA5D7D" w:rsidRPr="00612653">
        <w:rPr>
          <w:rFonts w:ascii="Book Antiqua" w:hAnsi="Book Antiqua"/>
          <w:sz w:val="24"/>
          <w:szCs w:val="24"/>
          <w:lang w:val="en-US"/>
        </w:rPr>
        <w:t xml:space="preserve">(PO, QD) </w:t>
      </w:r>
      <w:r w:rsidR="00772CCE" w:rsidRPr="00612653">
        <w:rPr>
          <w:rFonts w:ascii="Book Antiqua" w:hAnsi="Book Antiqua"/>
          <w:sz w:val="24"/>
          <w:szCs w:val="24"/>
          <w:lang w:val="en-US"/>
        </w:rPr>
        <w:t xml:space="preserve">served as </w:t>
      </w:r>
      <w:r w:rsidR="00EA5D7D" w:rsidRPr="00612653">
        <w:rPr>
          <w:rFonts w:ascii="Book Antiqua" w:hAnsi="Book Antiqua"/>
          <w:sz w:val="24"/>
          <w:szCs w:val="24"/>
          <w:lang w:val="en-US"/>
        </w:rPr>
        <w:t>additional</w:t>
      </w:r>
      <w:r w:rsidR="00E36573" w:rsidRPr="00612653">
        <w:rPr>
          <w:rFonts w:ascii="Book Antiqua" w:hAnsi="Book Antiqua"/>
          <w:sz w:val="24"/>
          <w:szCs w:val="24"/>
          <w:lang w:val="en-US"/>
        </w:rPr>
        <w:t xml:space="preserve"> </w:t>
      </w:r>
      <w:r w:rsidR="00772CCE" w:rsidRPr="00612653">
        <w:rPr>
          <w:rFonts w:ascii="Book Antiqua" w:hAnsi="Book Antiqua"/>
          <w:sz w:val="24"/>
          <w:szCs w:val="24"/>
          <w:lang w:val="en-US"/>
        </w:rPr>
        <w:t>controls</w:t>
      </w:r>
      <w:r w:rsidR="009F6856" w:rsidRPr="00612653">
        <w:rPr>
          <w:rFonts w:ascii="Book Antiqua" w:hAnsi="Book Antiqua"/>
          <w:sz w:val="24"/>
          <w:szCs w:val="24"/>
          <w:lang w:val="en-US"/>
        </w:rPr>
        <w:t xml:space="preserve">. </w:t>
      </w:r>
      <w:r w:rsidR="00261C33" w:rsidRPr="00612653">
        <w:rPr>
          <w:rFonts w:ascii="Book Antiqua" w:hAnsi="Book Antiqua"/>
          <w:sz w:val="24"/>
          <w:szCs w:val="24"/>
          <w:lang w:val="en-US"/>
        </w:rPr>
        <w:t>The compound doses used in the present study are within the dose range reported efficacious in other mouse models of diet-induced obesity</w:t>
      </w:r>
      <w:r w:rsidR="00F91815" w:rsidRPr="00612653">
        <w:rPr>
          <w:rFonts w:ascii="Book Antiqua" w:hAnsi="Book Antiqua"/>
          <w:sz w:val="24"/>
          <w:szCs w:val="24"/>
          <w:lang w:val="en-US"/>
        </w:rPr>
        <w:t xml:space="preserve"> </w:t>
      </w:r>
      <w:r w:rsidR="00261C33" w:rsidRPr="00612653">
        <w:rPr>
          <w:rFonts w:ascii="Book Antiqua" w:hAnsi="Book Antiqua"/>
          <w:sz w:val="24"/>
          <w:szCs w:val="24"/>
          <w:lang w:val="en-US"/>
        </w:rPr>
        <w:t>and NASH</w:t>
      </w:r>
      <w:r w:rsidR="00F91815" w:rsidRPr="00612653">
        <w:rPr>
          <w:rFonts w:ascii="Book Antiqua" w:hAnsi="Book Antiqua"/>
          <w:sz w:val="24"/>
          <w:szCs w:val="24"/>
          <w:lang w:val="en-US"/>
        </w:rPr>
        <w:fldChar w:fldCharType="begin" w:fldLock="1"/>
      </w:r>
      <w:r w:rsidR="004A5E9A" w:rsidRPr="00612653">
        <w:rPr>
          <w:rFonts w:ascii="Book Antiqua" w:hAnsi="Book Antiqua"/>
          <w:sz w:val="24"/>
          <w:szCs w:val="24"/>
          <w:lang w:val="en-US"/>
        </w:rPr>
        <w:instrText>ADDIN CSL_CITATION { "citationItems" : [ { "id" : "ITEM-1", "itemData" : { "DOI" : "10.1681/ASN.2017020222", "ISSN" : "1046-6673", "PMID" : "29089371", "abstract" : "Bile acids are ligands for the nuclear hormone receptor farnesoid X receptor (FXR) and the G protein-coupled receptor TGR5. We have shown that FXR and TGR5 have renoprotective roles in diabetes- and obesity-related kidney disease. Here, we determined whether these effects are mediated through differential or synergistic signaling pathways. We administered the FXR/TGR5 dual agonist INT-767 to DBA/2J mice with streptozotocin-induced diabetes, db/db mice with type 2 diabetes, and C57BL/6J mice with high-fat diet-induced obesity. We also examined the individual effects of the selective FXR agonist obeticholic acid (OCA) and the TGR5 agonist INT-777 in diabetic mice. The FXR agonist OCA and the TGR5 agonist INT-777 modulated distinct renal signaling pathways involved in the pathogenesis and treatment of diabetic nephropathy. Treatment of diabetic DBA/2J and db/db mice with the dual FXR/TGR5 agonist INT-767 improved proteinuria and prevented podocyte injury, mesangial expansion, and tubulointerstitial fibrosis. INT-767 exerted coordinated effects on multiple pathways, including stimulation of a signaling cascade involving AMP-activated protein kinase, sirtuin 1, PGC-1\u03b1, sirtuin 3, estrogen-related receptor-\u03b1, and Nrf-1; inhibition of endoplasmic reticulum stress; and inhibition of enhanced renal fatty acid and cholesterol metabolism. Additionally, in mice with diet-induced obesity, INT-767 prevented mitochondrial dysfunction and oxidative stress determined by fluorescence lifetime imaging of NADH and kidney fibrosis determined by second harmonic imaging microscopy. These results identify the renal signaling pathways regulated by FXR and TGR5, which may be promising targets for the treatment of nephropathy in diabetes and obesity.", "author" : [ { "dropping-particle" : "", "family" : "Wang", "given" : "Xiaoxin X.", "non-dropping-particle" : "", "parse-names" : false, "suffix" : "" }, { "dropping-particle" : "", "family" : "Wang", "given" : "Dong", "non-dropping-particle" : "", "parse-names" : false, "suffix" : "" }, { "dropping-particle" : "", "family" : "Luo", "given" : "Yuhuan", "non-dropping-particle" : "", "parse-names" : false, "suffix" : "" }, { "dropping-particle" : "", "family" : "Myakala", "given" : "Komuraiah", "non-dropping-particle" : "", "parse-names" : false, "suffix" : "" }, { "dropping-particle" : "", "family" : "Dobrinskikh", "given" : "Evgenia", "non-dropping-particle" : "", "parse-names" : false, "suffix" : "" }, { "dropping-particle" : "", "family" : "Rosenberg", "given" : "Avi Z.", "non-dropping-particle" : "", "parse-names" : false, "suffix" : "" }, { "dropping-particle" : "", "family" : "Levi", "given" : "Jonathan", "non-dropping-particle" : "", "parse-names" : false, "suffix" : "" }, { "dropping-particle" : "", "family" : "Kopp", "given" : "Jeffrey B.", "non-dropping-particle" : "", "parse-names" : false, "suffix" : "" }, { "dropping-particle" : "", "family" : "Field", "given" : "Amanda", "non-dropping-particle" : "", "parse-names" : false, "suffix" : "" }, { "dropping-particle" : "", "family" : "Hill", "given" : "Ashley", "non-dropping-particle" : "", "parse-names" : false, "suffix" : "" }, { "dropping-particle" : "", "family" : "Lucia", "given" : "Scott", "non-dropping-particle" : "", "parse-names" : false, "suffix" : "" }, { "dropping-particle" : "", "family" : "Qiu", "given" : "Liru", "non-dropping-particle" : "", "parse-names" : false, "suffix" : "" }, { "dropping-particle" : "", "family" : "Jiang", "given" : "Tao", "non-dropping-particle" : "", "parse-names" : false, "suffix" : "" }, { "dropping-particle" : "", "family" : "Peng", "given" : "Yingqiong", "non-dropping-particle" : "", "parse-names" : false, "suffix" : "" }, { "dropping-particle" : "", "family" : "Orlicky", "given" : "David", "non-dropping-particle" : "", "parse-names" : false, "suffix" : "" }, { "dropping-particle" : "", "family" : "Garcia", "given" : "Gabriel", "non-dropping-particle" : "", "parse-names" : false, "suffix" : "" }, { "dropping-particle" : "", "family" : "Herman-Edelstein", "given" : "Michal", "non-dropping-particle" : "", "parse-names" : false, "suffix" : "" }, { "dropping-particle" : "", "family" : "D\u2019Agati", "given" : "Vivette", "non-dropping-particle" : "", "parse-names" : false, "suffix" : "" }, { "dropping-particle" : "", "family" : "Henriksen", "given" : "Kammi", "non-dropping-particle" : "", "parse-names" : false, "suffix" : "" }, { "dropping-particle" : "", "family" : "Adorini", "given" : "Luciano", "non-dropping-particle" : "", "parse-names" : false, "suffix" : "" }, { "dropping-particle" : "", "family" : "Pruzanski", "given" : "Mark", "non-dropping-particle" : "", "parse-names" : false, "suffix" : "" }, { "dropping-particle" : "", "family" : "Xie", "given" : "Cen", "non-dropping-particle" : "", "parse-names" : false, "suffix" : "" }, { "dropping-particle" : "", "family" : "Krausz", "given" : "Kristopher W.", "non-dropping-particle" : "", "parse-names" : false, "suffix" : "" }, { "dropping-particle" : "", "family" : "Gonzalez", "given" : "Frank J.", "non-dropping-particle" : "", "parse-names" : false, "suffix" : "" }, { "dropping-particle" : "", "family" : "Ranjit", "given" : "Suman", "non-dropping-particle" : "", "parse-names" : false, "suffix" : "" }, { "dropping-particle" : "", "family" : "Dvornikov", "given" : "Alexander", "non-dropping-particle" : "", "parse-names" : false, "suffix" : "" }, { "dropping-particle" : "", "family" : "Gratton", "given" : "Enrico", "non-dropping-particle" : "", "parse-names" : false, "suffix" : "" }, { "dropping-particle" : "", "family" : "Levi", "given" : "Moshe", "non-dropping-particle" : "", "parse-names" : false, "suffix" : "" } ], "container-title" : "Journal of the American Society of Nephrology", "id" : "ITEM-1", "issued" : { "date-parts" : [ [ "2017", "10", "31" ] ] }, "page" : "ASN.2017020222", "title" : "FXR/TGR5 Dual Agonist Prevents Progression of Nephropathy in Diabetes and Obesity", "type" : "article-journal" }, "uris" : [ "http://www.mendeley.com/documents/?uuid=45abbb8e-d7aa-324b-8384-f0f1fdc930d5" ] }, { "id" : "ITEM-2", "itemData" : { "DOI" : "10.1002/oby.21701", "ISSN" : "1930-739X", "PMID" : "27804232", "abstract" : "OBJECTIVE Nonalcoholic steatohepatitis (NASH) is the outcome of interactions between overnutrition, energy metabolism, and adipose function. Obeticholic acid (OCA) improves steatosis in patients but for unknown reasons does not resolve NASH pathology. This study therefore investigated OCA effects in Wt mice, which develop obesity with atherogenic dietary feeding, and appetite-dysregulated, Alms1 mutant foz/foz mice fed the same diet, which develop metabolic obesity and diabetes. METHODS OCA (1 mg/kg) was administered orally to female foz/foz mice and Wt littermates from weaning until 28 weeks. Adipose indices, glucose tolerance, and fatty liver pathology were studied. Experiments were repeated with OCA 10 mg/kg. RESULTS OCA reduced body weight and hepatic lipids and improved glucose disposal only in Wt mice. OCA limited Wt adipose expansion, altered morphometry in favor of small adipocytes, enhanced expression of genes indicating adipose browning, and reduced crown-like structure number in visceral adipose tissue. foz/foz mice showed more crown-like structures in all compartments; OCA failed to alter adipose morphometry, browning, inflammation, or improve NASH severity, even at 10 mg/kg. CONCLUSIONS OCA improved adipose indices, glucose tolerance, and steatosis in a milder metabolic phenotype but failed to improve these factors in morbidly obese diabetic mice. These results help explain OCA's limited efficacy to reverse human NASH.", "author" : [ { "dropping-particle" : "", "family" : "Haczeyni", "given" : "Fahrettin", "non-dropping-particle" : "", "parse-names" : false, "suffix" : "" }, { "dropping-particle" : "", "family" : "Poekes", "given" : "Laurence", "non-dropping-particle" : "", "parse-names" : false, "suffix" : "" }, { "dropping-particle" : "", "family" : "Wang", "given" : "Hans", "non-dropping-particle" : "", "parse-names" : false, "suffix" : "" }, { "dropping-particle" : "", "family" : "Mridha", "given" : "Auvro R", "non-dropping-particle" : "", "parse-names" : false, "suffix" : "" }, { "dropping-particle" : "", "family" : "Barn", "given" : "Vanessa", "non-dropping-particle" : "", "parse-names" : false, "suffix" : "" }, { "dropping-particle" : "", "family" : "Geoffrey Haigh", "given" : "W", "non-dropping-particle" : "", "parse-names" : false, "suffix" : "" }, { "dropping-particle" : "", "family" : "Ioannou", "given" : "George N", "non-dropping-particle" : "", "parse-names" : false, "suffix" : "" }, { "dropping-particle" : "", "family" : "Yeh", "given" : "Matthew M", "non-dropping-particle" : "", "parse-names" : false, "suffix" : "" }, { "dropping-particle" : "", "family" : "Leclercq", "given" : "Isabelle A", "non-dropping-particle" : "", "parse-names" : false, "suffix" : "" }, { "dropping-particle" : "", "family" : "Teoh", "given" : "Narcissus C", "non-dropping-particle" : "", "parse-names" : false, "suffix" : "" }, { "dropping-particle" : "", "family" : "Farrell", "given" : "Geoffrey C", "non-dropping-particle" : "", "parse-names" : false, "suffix" : "" } ], "container-title" : "Obesity (Silver Spring, Md.)", "id" : "ITEM-2", "issue" : "1", "issued" : { "date-parts" : [ [ "2017", "1" ] ] }, "page" : "155-165", "title" : "Obeticholic acid improves adipose morphometry and inflammation and reduces steatosis in dietary but not metabolic obesity in mice.", "type" : "article-journal", "volume" : "25" }, "uris" : [ "http://www.mendeley.com/documents/?uuid=aca95c94-5b43-316e-8edc-a492d341e981" ] }, { "id" : "ITEM-3", "itemData" : { "DOI" : "10.1038/labinvest.2016.61", "ISSN" : "1530-0307", "PMID" : "27239734", "abstract" : "The CCAAT/enhancer-binding protein (C/EBP) homologous protein (CHOP), a major transcriptional regulator of endoplasmic reticulum (ER) stress-mediated apoptosis, is implicated in lipotoxicity-induced ER stress and hepatocyte apoptosis in non-alcoholic fatty liver disease (NAFLD). We have previously demonstrated that the glucagon-like peptide-1 (GLP-1) agonist, liraglutide, protects steatotic hepatocytes from lipotoxicity-induced apoptosis by improved handling of free fatty acid (FFA)-induced ER stress. In the present study, we investigated whether CHOP is critical for GLP-1-mediated restoration of ER homeostasis and mitigation of hepatocyte apoptosis in a murine model of NASH (non-alcoholic steatohepatitis). Our data show that despite similar caloric intake, CHOP KO (CHOP(-/-)) mice fed a diet high in fat, fructose, and cholesterol (HFCD) for 16 weeks developed more severe histological features of NASH compared with wild-type (WT) controls. Severity of NASH in HFCD-fed CHOP(-/-) mice correlated with significant decrease in peroxisomal \u03b2-oxidation, and increased de novo lipogenesis and ER stress-mediated hepatocyte apoptosis. Four weeks of liraglutide treatment markedly attenuated steatohepatitis in HFCD-fed WT mice by improving insulin sensitivity, and suppressing de novo lipogenesis and ER stress-mediated hepatocyte apoptosis. However, in the absence of CHOP, liraglutide did not improve insulin sensitivity, nor suppress peroxisomal \u03b2-oxidation or ER stress-mediated hepatocyte apoptosis. Taken together, these data indicate that CHOP protects hepatocytes from HFCD-induced ER stress, and has a significant role in the mechanism of liraglutide-mediated protection against NASH pathogenesis.", "author" : [ { "dropping-particle" : "", "family" : "Rahman", "given" : "Khalidur", "non-dropping-particle" : "", "parse-names" : false, "suffix" : "" }, { "dropping-particle" : "", "family" : "Liu", "given" : "Yunshan", "non-dropping-particle" : "", "parse-names" : false, "suffix" : "" }, { "dropping-particle" : "", "family" : "Kumar", "given" : "Pradeep", "non-dropping-particle" : "", "parse-names" : false, "suffix" : "" }, { "dropping-particle" : "", "family" : "Smith", "given" : "Tekla", "non-dropping-particle" : "", "parse-names" : false, "suffix" : "" }, { "dropping-particle" : "", "family" : "Thorn", "given" : "Natalie E", "non-dropping-particle" : "", "parse-names" : false, "suffix" : "" }, { "dropping-particle" : "", "family" : "Farris", "given" : "Alton B", "non-dropping-particle" : "", "parse-names" : false, "suffix" : "" }, { "dropping-particle" : "", "family" : "Anania", "given" : "Frank A", "non-dropping-particle" : "", "parse-names" : false, "suffix" : "" } ], "container-title" : "Laboratory investigation; a journal of technical methods and pathology", "id" : "ITEM-3", "issue" : "8", "issued" : { "date-parts" : [ [ "2016", "8", "30" ] ] }, "page" : "895-908", "title" : "C/EBP homologous protein modulates liraglutide-mediated attenuation of non-alcoholic steatohepatitis.", "type" : "article-journal", "volume" : "96" }, "uris" : [ "http://www.mendeley.com/documents/?uuid=ec8c57ed-ff84-3300-ad72-19dfabfec096" ] }, { "id" : "ITEM-4", "itemData" : { "DOI" : "10.1111/dom.12735", "ISSN" : "1463-1326", "PMID" : "27377054", "abstract" : "AIMS To characterize the pharmacology of MEDI0382, a peptide dual agonist of glucagon-like peptide-1 (GLP-1) and glucagon receptors. MATERIALS AND METHODS MEDI0382 was evaluated in vitro for its ability to stimulate cAMP accumulation in cell lines expressing transfected recombinant or endogenous GLP-1 or glucagon receptors, to potentiate glucose-stimulated insulin secretion (GSIS) in pancreatic \u03b2-cell lines and stimulate hepatic glucose output (HGO) by primary hepatocytes. The ability of MEDI0382 to reduce body weight and improve energy balance (i.e. food intake and energy expenditure), as well as control blood glucose, was evaluated in mouse models of obesity and healthy cynomolgus monkeys following single and repeated daily subcutaneous administration for up to 2\u2009months. RESULTS MEDI0382 potently activated rodent, cynomolgus and human GLP-1 and glucagon receptors and exhibited a fivefold bias for activation of GLP-1 receptor versus the glucagon receptor. MEDI0382 produced superior weight loss and comparable glucose lowering to the GLP-1 peptide analogue liraglutide when administered daily at comparable doses in DIO mice. The additional fat mass reduction elicited by MEDI0382 probably results from a glucagon receptor-mediated increase in energy expenditure, whereas food intake suppression results from activation of the GLP-1 receptor. Notably, the significant weight loss elicited by MEDI0382 in DIO mice was recapitulated in cynomolgus monkeys. CONCLUSIONS Repeated administration of MEDI0382 elicits profound weight loss in DIO mice and non-human primates, produces robust glucose control and reduces hepatic fat content and fasting insulin and glucose levels. The balance of activities at the GLP-1 and glucagon receptors is considered to be optimal for achieving weight and glucose control in overweight or obese Type 2 diabetic patients.", "author" : [ { "dropping-particle" : "", "family" : "Henderson", "given" : "S J", "non-dropping-particle" : "", "parse-names" : false, "suffix" : "" }, { "dropping-particle" : "", "family" : "Konkar", "given" : "A", "non-dropping-particle" : "", "parse-names" : false, "suffix" : "" }, { "dropping-particle" : "", "family" : "Hornigold", "given" : "D C", "non-dropping-particle" : "", "parse-names" : false, "suffix" : "" }, { "dropping-particle" : "", "family" : "Trevaskis", "given" : "J L", "non-dropping-particle" : "", "parse-names" : false, "suffix" : "" }, { "dropping-particle" : "", "family" : "Jackson", "given" : "R", "non-dropping-particle" : "", "parse-names" : false, "suffix" : "" }, { "dropping-particle" : "", "family" : "Fritsch Fredin", "given" : "M", "non-dropping-particle" : "", "parse-names" : false, "suffix" : "" }, { "dropping-particle" : "", "family" : "Jansson-L\u00f6fmark", "given" : "R", "non-dropping-particle" : "", "parse-names" : false, "suffix" : "" }, { "dropping-particle" : "", "family" : "Naylor", "given" : "J", "non-dropping-particle" : "", "parse-names" : false, "suffix" : "" }, { "dropping-particle" : "", "family" : "Rossi", "given" : "A", "non-dropping-particle" : "", "parse-names" : false, "suffix" : "" }, { "dropping-particle" : "", "family" : "Bednarek", "given" : "M A", "non-dropping-particle" : "", "parse-names" : false, "suffix" : "" }, { "dropping-particle" : "", "family" : "Bhagroo", "given" : "N", "non-dropping-particle" : "", "parse-names" : false, "suffix" : "" }, { "dropping-particle" : "", "family" : "Salari", "given" : "H", "non-dropping-particle" : "", "parse-names" : false, "suffix" : "" }, { "dropping-particle" : "", "family" : "Will", "given" : "S", "non-dropping-particle" : "", "parse-names" : false, "suffix" : "" }, { "dropping-particle" : "", "family" : "Oldham", "given" : "S", "non-dropping-particle" : "", "parse-names" : false, "suffix" : "" }, { "dropping-particle" : "", "family" : "Hansen", "given" : "G", "non-dropping-particle" : "", "parse-names" : false, "suffix" : "" }, { "dropping-particle" : "", "family" : "Feigh", "given" : "M", "non-dropping-particle" : "", "parse-names" : false, "suffix" : "" }, { "dropping-particle" : "", "family" : "Klein", "given" : "T", "non-dropping-particle" : "", "parse-names" : false, "suffix" : "" }, { "dropping-particle" : "", "family" : "Grimsby", "given" : "J", "non-dropping-particle" : "", "parse-names" : false, "suffix" : "" }, { "dropping-particle" : "", "family" : "Maguire", "given" : "S", "non-dropping-particle" : "", "parse-names" : false, "suffix" : "" }, { "dropping-particle" : "", "family" : "Jermutus", "given" : "L", "non-dropping-particle" : "", "parse-names" : false, "suffix" : "" }, { "dropping-particle" : "", "family" : "Rondinone", "given" : "C M", "non-dropping-particle" : "", "parse-names" : false, "suffix" : "" }, { "dropping-particle" : "", "family" : "Coghlan", "given" : "M P", "non-dropping-particle" : "", "parse-names" : false, "suffix" : "" } ], "container-title" : "Diabetes, obesity &amp; metabolism", "id" : "ITEM-4", "issue" : "12", "issued" : { "date-parts" : [ [ "2016", "12" ] ] }, "page" : "1176-1190", "title" : "Robust anti-obesity and metabolic effects of a dual GLP-1/glucagon receptor peptide agonist in rodents and non-human primates.", "type" : "article-journal", "volume" : "18" }, "uris" : [ "http://www.mendeley.com/documents/?uuid=6c6e7267-41cc-3fdf-b3e4-771dc8a252a7" ] }, { "id" : "ITEM-5", "itemData" : { "DOI" : "10.1002/hep.26461", "ISSN" : "02709139", "PMID" : "23703580", "abstract" : "UNLABELLED Nonalcoholic fatty liver disease (NAFLD) covers a spectrum of liver damage ranging from simple steatosis to nonalcoholic steatohepatitis (NASH), fibrosis, and cirrhosis. To date, no pharmacological treatment is approved for NAFLD/NASH. Here, we report on preclinical and clinical data with GFT505, a novel dual peroxisome proliferator-activated receptor alpha/delta (PPAR-\u03b1/\u03b4) agonist. In the rat, GFT505 concentrated in the liver with limited extrahepatic exposure and underwent extensive enterohepatic cycling. The efficacy of GFT505 was assessed in animal models of NAFLD/NASH and liver fibrosis (Western diet [WD]-fed human apolipoprotein E2 [hApoE2] transgenic mice, methionine- and choline-deficient diet-fed db/db mice, and CCl4 -induced fibrosis in rats). GFT505 demonstrated liver-protective effects on steatosis, inflammation, and fibrosis. In addition, GFT505 improved liver dysfunction markers, decreased hepatic lipid accumulation, and inhibited proinflammatory (interleukin-1 beta, tumor necrosis factor alpha, and F4/80) and profibrotic (transforming growth factor beta, tissue inhibitor of metalloproteinase 2, collagen type I, alpha 1, and collagen type I, alpha 2) gene expression. To determine the role of PPAR-\u03b1-independent mechanisms, the effect of GFT505 was assessed in hApoE2 knock-in/PPAR-\u03b1 knockout mice. In these mice, GFT505 also prevented WD-induced liver steatosis and inflammation, indicating a contribution of PPAR-\u03b1-independent mechanisms. Finally, the effect of GFT505 on liver dysfunction markers was assessed in a combined analysis of four phase II clinical studies in metabolic syndrome patients. GFT505 treatment decreased plasma concentrations of alanine aminotransferase, gamma-glutamyl transpeptidase, and alkaline phosphatase. CONCLUSION The dual PPAR-\u03b1/\u03b4 agonist, GFT505, is a promising liver-targeted drug for treatment of NAFLD/NASH. In animals, its protective effects are mediated by both PPAR-\u03b1-dependent and -independent mechanisms.", "author" : [ { "dropping-particle" : "", "family" : "Staels", "given" : "Bart", "non-dropping-particle" : "", "parse-names" : false, "suffix" : "" }, { "dropping-particle" : "", "family" : "Rubenstrunk", "given" : "Anne", "non-dropping-particle" : "", "parse-names" : false, "suffix" : "" }, { "dropping-particle" : "", "family" : "Noel", "given" : "Benoit", "non-dropping-particle" : "", "parse-names" : false, "suffix" : "" }, { "dropping-particle" : "", "family" : "Rigou", "given" : "G\u00e9raldine", "non-dropping-particle" : "", "parse-names" : false, "suffix" : "" }, { "dropping-particle" : "", "family" : "Delataille", "given" : "Philippe", "non-dropping-particle" : "", "parse-names" : false, "suffix" : "" }, { "dropping-particle" : "", "family" : "Millatt", "given" : "Lesley J.", "non-dropping-particle" : "", "parse-names" : false, "suffix" : "" }, { "dropping-particle" : "", "family" : "Baron", "given" : "Morgane", "non-dropping-particle" : "", "parse-names" : false, "suffix" : "" }, { "dropping-particle" : "", "family" : "Lucas", "given" : "Anthony", "non-dropping-particle" : "", "parse-names" : false, "suffix" : "" }, { "dropping-particle" : "", "family" : "Tailleux", "given" : "Anne", "non-dropping-particle" : "", "parse-names" : false, "suffix" : "" }, { "dropping-particle" : "", "family" : "Hum", "given" : "Dean W.", "non-dropping-particle" : "", "parse-names" : false, "suffix" : "" }, { "dropping-particle" : "", "family" : "Ratziu", "given" : "Vlad", "non-dropping-particle" : "", "parse-names" : false, "suffix" : "" }, { "dropping-particle" : "", "family" : "Cariou", "given" : "Bertrand", "non-dropping-particle" : "", "parse-names" : false, "suffix" : "" }, { "dropping-particle" : "", "family" : "Hanf", "given" : "R\u00e9my", "non-dropping-particle" : "", "parse-names" : false, "suffix" : "" } ], "container-title" : "Hepatology", "id" : "ITEM-5", "issue" : "6", "issued" : { "date-parts" : [ [ "2013", "12" ] ] }, "page" : "1941-1952", "title" : "Hepatoprotective effects of the dual peroxisome proliferator-activated receptor alpha/delta agonist, GFT505, in rodent models of nonalcoholic fatty liver disease/nonalcoholic steatohepatitis", "type" : "article-journal", "volume" : "58" }, "uris" : [ "http://www.mendeley.com/documents/?uuid=9c07d5cb-caac-333d-ad11-008d20640e82" ] }, { "id" : "ITEM-6", "itemData" : { "DOI" : "10.1177/1479164114548027", "ISSN" : "1752-8984", "PMID" : "25212694", "abstract" : "We report here the efficacy and safety of GFT505, a novel liver-targeted peroxisome proliferator-activated receptor alpha/delta (PPAR\u03b1/\u03b4) agonist, in the db/db mouse model of diabetes. Mice were treated with vehicle, GFT505, PPAR\u03b3 agonist rosiglitazone or dual-PPAR\u03b1/\u03b3 agonist aleglitazar for up to 8 weeks. All compounds comparably reduced fasting glycaemia and HbA1c and improved insulin sensitivity. The glucose-lowering effect of GFT505 was associated with decreased hepatic gluconeogenesis, correlating with reduced expression of gluconeogenic genes. In contrast with the PPAR\u03b3-activating drugs, treatment with GFT505 did not affect heart weight and did not increase plasma adiponectin concentrations. This absence of cardiac effects of GFT505 was confirmed after 12\u2009months of administration in cynomolgus monkeys, by the absence of echocardiographic and histological findings. Moreover, long-term GFT505 administration to monkeys induced no change in haematological parameters or in bone marrow differential cell counts. Compared to PPAR\u03b3-activating drugs, the dual-PPAR\u03b1/\u03b4 agonist GFT505 therefore shows an improved benefit/risk ratio, treating multiple features of type 2 diabetes without inducing the cardiac side-effects associated with PPAR\u03b3 activation.", "author" : [ { "dropping-particle" : "", "family" : "Hanf", "given" : "R\u00e9my", "non-dropping-particle" : "", "parse-names" : false, "suffix" : "" }, { "dropping-particle" : "", "family" : "Millatt", "given" : "Lesley J", "non-dropping-particle" : "", "parse-names" : false, "suffix" : "" }, { "dropping-particle" : "", "family" : "Cariou", "given" : "Bertrand", "non-dropping-particle" : "", "parse-names" : false, "suffix" : "" }, { "dropping-particle" : "", "family" : "Noel", "given" : "Benoit", "non-dropping-particle" : "", "parse-names" : false, "suffix" : "" }, { "dropping-particle" : "", "family" : "Rigou", "given" : "G\u00e9raldine", "non-dropping-particle" : "", "parse-names" : false, "suffix" : "" }, { "dropping-particle" : "", "family" : "Delataille", "given" : "Philippe", "non-dropping-particle" : "", "parse-names" : false, "suffix" : "" }, { "dropping-particle" : "", "family" : "Daix", "given" : "Val\u00e9rie", "non-dropping-particle" : "", "parse-names" : false, "suffix" : "" }, { "dropping-particle" : "", "family" : "Hum", "given" : "Dean W", "non-dropping-particle" : "", "parse-names" : false, "suffix" : "" }, { "dropping-particle" : "", "family" : "Staels", "given" : "Bart", "non-dropping-particle" : "", "parse-names" : false, "suffix" : "" } ], "container-title" : "Diabetes &amp; vascular disease research : official journal of the International Society of Diabetes and Vascular Disease", "id" : "ITEM-6", "issue" : "6", "issued" : { "date-parts" : [ [ "2014" ] ] }, "page" : "440-7", "title" : "The dual peroxisome proliferator-activated receptor alpha/delta agonist GFT505 exerts anti-diabetic effects in db/db mice without peroxisome proliferator-activated receptor gamma-associated adverse cardiac effects.", "type" : "article-journal", "volume" : "11" }, "uris" : [ "http://www.mendeley.com/documents/?uuid=cabbcc01-0273-4d79-b60f-f6d0cff98bf0" ] } ], "mendeley" : { "formattedCitation" : "&lt;sup&gt;[13,30,32\u201335]&lt;/sup&gt;", "plainTextFormattedCitation" : "[13,30,32\u201335]", "previouslyFormattedCitation" : "&lt;sup&gt;[13,30,32\u201335]&lt;/sup&gt;" }, "properties" : { "noteIndex" : 7 }, "schema" : "https://github.com/citation-style-language/schema/raw/master/csl-citation.json" }</w:instrText>
      </w:r>
      <w:r w:rsidR="00F91815" w:rsidRPr="00612653">
        <w:rPr>
          <w:rFonts w:ascii="Book Antiqua" w:hAnsi="Book Antiqua"/>
          <w:sz w:val="24"/>
          <w:szCs w:val="24"/>
          <w:lang w:val="en-US"/>
        </w:rPr>
        <w:fldChar w:fldCharType="separate"/>
      </w:r>
      <w:r w:rsidR="004A5E9A" w:rsidRPr="00612653">
        <w:rPr>
          <w:rFonts w:ascii="Book Antiqua" w:hAnsi="Book Antiqua"/>
          <w:noProof/>
          <w:sz w:val="24"/>
          <w:szCs w:val="24"/>
          <w:vertAlign w:val="superscript"/>
          <w:lang w:val="en-US"/>
        </w:rPr>
        <w:t>[13,30,32–35]</w:t>
      </w:r>
      <w:r w:rsidR="00F91815" w:rsidRPr="00612653">
        <w:rPr>
          <w:rFonts w:ascii="Book Antiqua" w:hAnsi="Book Antiqua"/>
          <w:sz w:val="24"/>
          <w:szCs w:val="24"/>
          <w:lang w:val="en-US"/>
        </w:rPr>
        <w:fldChar w:fldCharType="end"/>
      </w:r>
      <w:r w:rsidR="00261C33" w:rsidRPr="00612653">
        <w:rPr>
          <w:rFonts w:ascii="Book Antiqua" w:hAnsi="Book Antiqua"/>
          <w:sz w:val="24"/>
          <w:szCs w:val="24"/>
          <w:lang w:val="en-US"/>
        </w:rPr>
        <w:t>. A t</w:t>
      </w:r>
      <w:r w:rsidR="00374744" w:rsidRPr="00612653">
        <w:rPr>
          <w:rFonts w:ascii="Book Antiqua" w:hAnsi="Book Antiqua"/>
          <w:sz w:val="24"/>
          <w:szCs w:val="24"/>
          <w:lang w:val="en-US"/>
        </w:rPr>
        <w:t>erminal</w:t>
      </w:r>
      <w:r w:rsidR="004B63CA" w:rsidRPr="00612653">
        <w:rPr>
          <w:rFonts w:ascii="Book Antiqua" w:hAnsi="Book Antiqua"/>
          <w:sz w:val="24"/>
          <w:szCs w:val="24"/>
          <w:lang w:val="en-US"/>
        </w:rPr>
        <w:t xml:space="preserve"> blood sample was collected from the tail vein in</w:t>
      </w:r>
      <w:r w:rsidR="00374744" w:rsidRPr="00612653">
        <w:rPr>
          <w:rFonts w:ascii="Book Antiqua" w:hAnsi="Book Antiqua"/>
          <w:sz w:val="24"/>
          <w:szCs w:val="24"/>
          <w:lang w:val="en-US"/>
        </w:rPr>
        <w:t xml:space="preserve"> non-fasted mice</w:t>
      </w:r>
      <w:r w:rsidR="004B63CA" w:rsidRPr="00612653">
        <w:rPr>
          <w:rFonts w:ascii="Book Antiqua" w:hAnsi="Book Antiqua"/>
          <w:sz w:val="24"/>
          <w:szCs w:val="24"/>
          <w:lang w:val="en-US"/>
        </w:rPr>
        <w:t xml:space="preserve"> </w:t>
      </w:r>
      <w:r w:rsidR="00BC514D" w:rsidRPr="00612653">
        <w:rPr>
          <w:rFonts w:ascii="Book Antiqua" w:hAnsi="Book Antiqua"/>
          <w:sz w:val="24"/>
          <w:szCs w:val="24"/>
          <w:lang w:val="en-US"/>
        </w:rPr>
        <w:t>a</w:t>
      </w:r>
      <w:r w:rsidRPr="00612653">
        <w:rPr>
          <w:rFonts w:ascii="Book Antiqua" w:hAnsi="Book Antiqua"/>
          <w:sz w:val="24"/>
          <w:szCs w:val="24"/>
          <w:lang w:val="en-US"/>
        </w:rPr>
        <w:t>nd used for plasma biochemistry</w:t>
      </w:r>
      <w:r w:rsidR="004B63CA" w:rsidRPr="00612653">
        <w:rPr>
          <w:rFonts w:ascii="Book Antiqua" w:hAnsi="Book Antiqua"/>
          <w:sz w:val="24"/>
          <w:szCs w:val="24"/>
          <w:lang w:val="en-US"/>
        </w:rPr>
        <w:t>. Animals were sacrificed by cardiac punct</w:t>
      </w:r>
      <w:r w:rsidR="00374744" w:rsidRPr="00612653">
        <w:rPr>
          <w:rFonts w:ascii="Book Antiqua" w:hAnsi="Book Antiqua"/>
          <w:sz w:val="24"/>
          <w:szCs w:val="24"/>
          <w:lang w:val="en-US"/>
        </w:rPr>
        <w:t>ure under isoflurane anesthesia</w:t>
      </w:r>
      <w:r w:rsidR="004B63CA" w:rsidRPr="00612653">
        <w:rPr>
          <w:rFonts w:ascii="Book Antiqua" w:hAnsi="Book Antiqua"/>
          <w:sz w:val="24"/>
          <w:szCs w:val="24"/>
          <w:lang w:val="en-US"/>
        </w:rPr>
        <w:t xml:space="preserve">. </w:t>
      </w:r>
      <w:r w:rsidR="00374744" w:rsidRPr="00612653">
        <w:rPr>
          <w:rFonts w:ascii="Book Antiqua" w:hAnsi="Book Antiqua"/>
          <w:sz w:val="24"/>
          <w:szCs w:val="24"/>
          <w:lang w:val="en-US"/>
        </w:rPr>
        <w:t>Liver s</w:t>
      </w:r>
      <w:r w:rsidR="004B63CA" w:rsidRPr="00612653">
        <w:rPr>
          <w:rFonts w:ascii="Book Antiqua" w:hAnsi="Book Antiqua"/>
          <w:sz w:val="24"/>
          <w:szCs w:val="24"/>
          <w:lang w:val="en-US"/>
        </w:rPr>
        <w:t>amples were processed as described below.</w:t>
      </w:r>
      <w:r w:rsidRPr="00612653">
        <w:rPr>
          <w:rFonts w:ascii="Book Antiqua" w:hAnsi="Book Antiqua"/>
          <w:sz w:val="24"/>
          <w:szCs w:val="24"/>
          <w:lang w:val="en-US"/>
        </w:rPr>
        <w:t xml:space="preserve"> </w:t>
      </w:r>
    </w:p>
    <w:p w14:paraId="32CFC4A5" w14:textId="77777777" w:rsidR="00AB2796" w:rsidRPr="00612653" w:rsidRDefault="00AB2796" w:rsidP="00082279">
      <w:pPr>
        <w:snapToGrid w:val="0"/>
        <w:spacing w:after="0" w:line="360" w:lineRule="auto"/>
        <w:jc w:val="both"/>
        <w:rPr>
          <w:rFonts w:ascii="Book Antiqua" w:hAnsi="Book Antiqua"/>
          <w:b/>
          <w:i/>
          <w:iCs/>
          <w:sz w:val="24"/>
          <w:szCs w:val="24"/>
          <w:lang w:val="en-US" w:eastAsia="zh-CN"/>
        </w:rPr>
      </w:pPr>
    </w:p>
    <w:p w14:paraId="6E103B95" w14:textId="37F450E2" w:rsidR="00EA06DE" w:rsidRPr="00612653" w:rsidRDefault="0033268F" w:rsidP="00082279">
      <w:pPr>
        <w:snapToGrid w:val="0"/>
        <w:spacing w:after="0" w:line="360" w:lineRule="auto"/>
        <w:jc w:val="both"/>
        <w:rPr>
          <w:rFonts w:ascii="Book Antiqua" w:hAnsi="Book Antiqua"/>
          <w:b/>
          <w:i/>
          <w:iCs/>
          <w:sz w:val="24"/>
          <w:szCs w:val="24"/>
          <w:lang w:val="en-US"/>
        </w:rPr>
      </w:pPr>
      <w:r w:rsidRPr="00612653">
        <w:rPr>
          <w:rFonts w:ascii="Book Antiqua" w:hAnsi="Book Antiqua"/>
          <w:b/>
          <w:i/>
          <w:iCs/>
          <w:sz w:val="24"/>
          <w:szCs w:val="24"/>
          <w:lang w:val="en-US"/>
        </w:rPr>
        <w:t>Biochemical and histological analyses</w:t>
      </w:r>
    </w:p>
    <w:p w14:paraId="124E0B5B" w14:textId="0349DD6C" w:rsidR="009F6856" w:rsidRPr="00612653" w:rsidRDefault="00374744"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lastRenderedPageBreak/>
        <w:t>B</w:t>
      </w:r>
      <w:r w:rsidR="00BC23BC" w:rsidRPr="00612653">
        <w:rPr>
          <w:rFonts w:ascii="Book Antiqua" w:hAnsi="Book Antiqua"/>
          <w:sz w:val="24"/>
          <w:szCs w:val="24"/>
          <w:lang w:val="en-US"/>
        </w:rPr>
        <w:t>iochem</w:t>
      </w:r>
      <w:r w:rsidRPr="00612653">
        <w:rPr>
          <w:rFonts w:ascii="Book Antiqua" w:hAnsi="Book Antiqua"/>
          <w:sz w:val="24"/>
          <w:szCs w:val="24"/>
          <w:lang w:val="en-US"/>
        </w:rPr>
        <w:t xml:space="preserve">ical </w:t>
      </w:r>
      <w:r w:rsidR="0063312D" w:rsidRPr="00612653">
        <w:rPr>
          <w:rFonts w:ascii="Book Antiqua" w:hAnsi="Book Antiqua"/>
          <w:sz w:val="24"/>
          <w:szCs w:val="24"/>
          <w:lang w:val="en-US"/>
        </w:rPr>
        <w:t xml:space="preserve">and </w:t>
      </w:r>
      <w:r w:rsidRPr="00612653">
        <w:rPr>
          <w:rFonts w:ascii="Book Antiqua" w:hAnsi="Book Antiqua"/>
          <w:sz w:val="24"/>
          <w:szCs w:val="24"/>
          <w:lang w:val="en-US"/>
        </w:rPr>
        <w:t>histolog</w:t>
      </w:r>
      <w:r w:rsidR="0063312D" w:rsidRPr="00612653">
        <w:rPr>
          <w:rFonts w:ascii="Book Antiqua" w:hAnsi="Book Antiqua"/>
          <w:sz w:val="24"/>
          <w:szCs w:val="24"/>
          <w:lang w:val="en-US"/>
        </w:rPr>
        <w:t>ical analyses</w:t>
      </w:r>
      <w:r w:rsidRPr="00612653">
        <w:rPr>
          <w:rFonts w:ascii="Book Antiqua" w:hAnsi="Book Antiqua"/>
          <w:sz w:val="24"/>
          <w:szCs w:val="24"/>
          <w:lang w:val="en-US"/>
        </w:rPr>
        <w:t xml:space="preserve"> were performed as reported </w:t>
      </w:r>
      <w:r w:rsidR="00514477" w:rsidRPr="00612653">
        <w:rPr>
          <w:rFonts w:ascii="Book Antiqua" w:hAnsi="Book Antiqua"/>
          <w:sz w:val="24"/>
          <w:szCs w:val="24"/>
          <w:lang w:val="en-US"/>
        </w:rPr>
        <w:t>previously</w:t>
      </w:r>
      <w:r w:rsidR="00514477" w:rsidRPr="00612653">
        <w:rPr>
          <w:rFonts w:ascii="Book Antiqua" w:hAnsi="Book Antiqua"/>
          <w:sz w:val="24"/>
          <w:szCs w:val="24"/>
        </w:rPr>
        <w:fldChar w:fldCharType="begin" w:fldLock="1"/>
      </w:r>
      <w:r w:rsidR="00267B22" w:rsidRPr="00612653">
        <w:rPr>
          <w:rFonts w:ascii="Book Antiqua" w:hAnsi="Book Antiqua"/>
          <w:sz w:val="24"/>
          <w:szCs w:val="24"/>
          <w:lang w:val="en-US"/>
        </w:rPr>
        <w:instrText>ADDIN CSL_CITATION { "citationItems" : [ { "id" : "ITEM-1", "itemData" : { "DOI" : "10.4254/wjh.v8.i16.673", "ISSN" : "1948-5182", "PMID" : "27326314", "abstract" : "AIM To characterize development of diet-induced nonalcoholic steatohepatitis (NASH) by performing liver biopsy in wild-type and genetically obese mice. METHODS Male wild-type C57BL/6J (C57) mice (DIO-NASH) and male Lep(ob) /Lep(ob) (ob/ob) mice (ob/ob-NASH) were maintained on a diet high in trans-fat (40%), fructose (22%) and cholesterol (2%) for 26 and 12 wk, respectively. A normal chow diet served as control in C57 mice (lean chow) and ob/ob mice (ob/ob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ob/ob-NASH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ob/ob-NASH vs DIO-NASH mice. During the eight week repeated vehicle dosing period, the metabolic phenotype was sustained in DIO-NASH and ob/ob-NASH mice in conjunction with hepatomegaly and increased hepatic lipids and collagen accumulation. Histopathological scoring demonstrated significantly increased NAS of DIO-NASH mice (0 vs 4.7 \u00b1 0.4, P &lt; 0.001 compared to lean chow) and ob/ob-NASH mice (2.4 \u00b1 0.3 vs 6.3 \u00b1 0.2, P &lt; 0.001 compared to ob/ob chow), respectively. Furthermore, fibrosis stage was significantly elevated for DIO-NASH mice (0 vs 1.2 \u00b1 0.2, P &lt; 0.05 compared to lean chow) and ob/ob NASH (0.1 \u00b1 0.1 vs 3.0 \u00b1 0.2, P &lt; 0.001 compared to ob/ob chow). Notably, fibrosis stage was significantly (P &lt; 0.001) increased in ob/ob-NASH mice, when compared to DIO-NASH mice. CONCLUSION These data introduce the obese diet-induced DIO-NASH and ob/ob-NASH mouse models\u2026", "author" : [ { "dropping-particle" : "", "family" : "Kristiansen", "given" : "Maria Nicoline Baandrup",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"T\u00f8lb\u00f8l", "given" : "Kirstine Sloth", "non-dropping-particle" : "", "parse-names" : false, "suffix" : "" }, { "dropping-particle" : "", "family" : "Roth", "given" : "Jonathan David", "non-dropping-particle" : "", "parse-names" : false, "suffix" : "" }, { "dropping-particle" : "", "family" : "Jelsing", "given" : "Jacob", "non-dropping-particle" : "", "parse-names" : false, "suffix" : "" }, { "dropping-particle" : "", "family" : "Vrang", "given" : "Niels", "non-dropping-particle" : "", "parse-names" : false, "suffix" : "" }, { "dropping-particle" : "", "family" : "Feigh", "given" : "Michael", "non-dropping-particle" : "", "parse-names" : false, "suffix" : "" } ], "container-title" : "World Journal of Hepatology", "id" : "ITEM-1", "issue" : "16", "issued" : { "date-parts" : [ [ "2016", "6", "8" ] ] }, "page" : "673", "title" : "Obese diet-induced mouse models of nonalcoholic steatohepatitis-tracking disease by liver biopsy", "type" : "article-journal", "volume" : "8" }, "uris" : [ "http://www.mendeley.com/documents/?uuid=69bb0cda-5036-450b-90a1-83c8b0817689" ] } ], "mendeley" : { "formattedCitation" : "&lt;sup&gt;[19]&lt;/sup&gt;", "plainTextFormattedCitation" : "[19]", "previouslyFormattedCitation" : "&lt;sup&gt;[19]&lt;/sup&gt;" }, "properties" : { "noteIndex" : 0 }, "schema" : "https://github.com/citation-style-language/schema/raw/master/csl-citation.json" }</w:instrText>
      </w:r>
      <w:r w:rsidR="00514477" w:rsidRPr="00612653">
        <w:rPr>
          <w:rFonts w:ascii="Book Antiqua" w:hAnsi="Book Antiqua"/>
          <w:sz w:val="24"/>
          <w:szCs w:val="24"/>
          <w:vertAlign w:val="superscript"/>
          <w:lang w:val="en-US"/>
        </w:rPr>
        <w:fldChar w:fldCharType="separate"/>
      </w:r>
      <w:r w:rsidR="00267B22" w:rsidRPr="00612653">
        <w:rPr>
          <w:rFonts w:ascii="Book Antiqua" w:hAnsi="Book Antiqua"/>
          <w:noProof/>
          <w:sz w:val="24"/>
          <w:szCs w:val="24"/>
          <w:vertAlign w:val="superscript"/>
          <w:lang w:val="en-US"/>
        </w:rPr>
        <w:t>[19]</w:t>
      </w:r>
      <w:r w:rsidR="00514477" w:rsidRPr="00612653">
        <w:rPr>
          <w:rFonts w:ascii="Book Antiqua" w:hAnsi="Book Antiqua"/>
          <w:sz w:val="24"/>
          <w:szCs w:val="24"/>
        </w:rPr>
        <w:fldChar w:fldCharType="end"/>
      </w:r>
      <w:r w:rsidR="0033268F" w:rsidRPr="00612653">
        <w:rPr>
          <w:rFonts w:ascii="Book Antiqua" w:hAnsi="Book Antiqua"/>
          <w:sz w:val="24"/>
          <w:szCs w:val="24"/>
          <w:lang w:val="en-US"/>
        </w:rPr>
        <w:t>. Plasma analytes included a</w:t>
      </w:r>
      <w:r w:rsidR="00514477" w:rsidRPr="00612653">
        <w:rPr>
          <w:rFonts w:ascii="Book Antiqua" w:hAnsi="Book Antiqua"/>
          <w:sz w:val="24"/>
          <w:szCs w:val="24"/>
          <w:lang w:val="en-US"/>
        </w:rPr>
        <w:t>l</w:t>
      </w:r>
      <w:r w:rsidR="00A71944" w:rsidRPr="00612653">
        <w:rPr>
          <w:rFonts w:ascii="Book Antiqua" w:hAnsi="Book Antiqua"/>
          <w:sz w:val="24"/>
          <w:szCs w:val="24"/>
          <w:lang w:val="en-US"/>
        </w:rPr>
        <w:t>anine aminotransferase (ALT), aspartate aminotransferase (AST), triglycerides (TG) a</w:t>
      </w:r>
      <w:bookmarkStart w:id="87" w:name="OLE_LINK1"/>
      <w:r w:rsidR="0063312D" w:rsidRPr="00612653">
        <w:rPr>
          <w:rFonts w:ascii="Book Antiqua" w:hAnsi="Book Antiqua"/>
          <w:sz w:val="24"/>
          <w:szCs w:val="24"/>
          <w:lang w:val="en-US"/>
        </w:rPr>
        <w:t xml:space="preserve">nd </w:t>
      </w:r>
      <w:r w:rsidR="003C6179" w:rsidRPr="00612653">
        <w:rPr>
          <w:rFonts w:ascii="Book Antiqua" w:hAnsi="Book Antiqua"/>
          <w:sz w:val="24"/>
          <w:szCs w:val="24"/>
          <w:lang w:val="en-US"/>
        </w:rPr>
        <w:t xml:space="preserve">total </w:t>
      </w:r>
      <w:r w:rsidR="0063312D" w:rsidRPr="00612653">
        <w:rPr>
          <w:rFonts w:ascii="Book Antiqua" w:hAnsi="Book Antiqua"/>
          <w:sz w:val="24"/>
          <w:szCs w:val="24"/>
          <w:lang w:val="en-US"/>
        </w:rPr>
        <w:t>cholesterol (TC). L</w:t>
      </w:r>
      <w:r w:rsidR="0033268F" w:rsidRPr="00612653">
        <w:rPr>
          <w:rFonts w:ascii="Book Antiqua" w:hAnsi="Book Antiqua"/>
          <w:sz w:val="24"/>
          <w:szCs w:val="24"/>
          <w:lang w:val="en-US"/>
        </w:rPr>
        <w:t xml:space="preserve">iver </w:t>
      </w:r>
      <w:r w:rsidR="0063312D" w:rsidRPr="00612653">
        <w:rPr>
          <w:rFonts w:ascii="Book Antiqua" w:hAnsi="Book Antiqua"/>
          <w:sz w:val="24"/>
          <w:szCs w:val="24"/>
          <w:lang w:val="en-US"/>
        </w:rPr>
        <w:t>homogenates</w:t>
      </w:r>
      <w:r w:rsidR="0033268F" w:rsidRPr="00612653">
        <w:rPr>
          <w:rFonts w:ascii="Book Antiqua" w:hAnsi="Book Antiqua"/>
          <w:sz w:val="24"/>
          <w:szCs w:val="24"/>
          <w:lang w:val="en-US"/>
        </w:rPr>
        <w:t xml:space="preserve"> were analyzed for TG, </w:t>
      </w:r>
      <w:r w:rsidR="005C53BA" w:rsidRPr="00612653">
        <w:rPr>
          <w:rFonts w:ascii="Book Antiqua" w:hAnsi="Book Antiqua"/>
          <w:sz w:val="24"/>
          <w:szCs w:val="24"/>
          <w:lang w:val="en-US"/>
        </w:rPr>
        <w:t xml:space="preserve">and </w:t>
      </w:r>
      <w:r w:rsidR="0033268F" w:rsidRPr="00612653">
        <w:rPr>
          <w:rFonts w:ascii="Book Antiqua" w:hAnsi="Book Antiqua"/>
          <w:sz w:val="24"/>
          <w:szCs w:val="24"/>
          <w:lang w:val="en-US"/>
        </w:rPr>
        <w:t>TC.</w:t>
      </w:r>
      <w:bookmarkEnd w:id="87"/>
      <w:r w:rsidR="0033268F" w:rsidRPr="00612653">
        <w:rPr>
          <w:rFonts w:ascii="Book Antiqua" w:hAnsi="Book Antiqua"/>
          <w:sz w:val="24"/>
          <w:szCs w:val="24"/>
          <w:lang w:val="en-US"/>
        </w:rPr>
        <w:t xml:space="preserve"> </w:t>
      </w:r>
      <w:r w:rsidR="0063312D" w:rsidRPr="00612653">
        <w:rPr>
          <w:rFonts w:ascii="Book Antiqua" w:hAnsi="Book Antiqua"/>
          <w:sz w:val="24"/>
          <w:szCs w:val="24"/>
          <w:lang w:val="en-US"/>
        </w:rPr>
        <w:t>Paraformaldehyde-fixed l</w:t>
      </w:r>
      <w:r w:rsidR="009F6856" w:rsidRPr="00612653">
        <w:rPr>
          <w:rFonts w:ascii="Book Antiqua" w:hAnsi="Book Antiqua"/>
          <w:sz w:val="24"/>
          <w:szCs w:val="24"/>
          <w:lang w:val="en-US"/>
        </w:rPr>
        <w:t>iver pre- and post-biopsies</w:t>
      </w:r>
      <w:r w:rsidR="0064565B" w:rsidRPr="00612653">
        <w:rPr>
          <w:rFonts w:ascii="Book Antiqua" w:hAnsi="Book Antiqua"/>
          <w:sz w:val="24"/>
          <w:szCs w:val="24"/>
          <w:lang w:val="en-US"/>
        </w:rPr>
        <w:t xml:space="preserve"> </w:t>
      </w:r>
      <w:r w:rsidR="009F6856" w:rsidRPr="00612653">
        <w:rPr>
          <w:rFonts w:ascii="Book Antiqua" w:hAnsi="Book Antiqua"/>
          <w:sz w:val="24"/>
          <w:szCs w:val="24"/>
          <w:lang w:val="en-US"/>
        </w:rPr>
        <w:t>were paraffin-embedded</w:t>
      </w:r>
      <w:r w:rsidR="00EA5D7D" w:rsidRPr="00612653">
        <w:rPr>
          <w:rFonts w:ascii="Book Antiqua" w:hAnsi="Book Antiqua"/>
          <w:sz w:val="24"/>
          <w:szCs w:val="24"/>
          <w:lang w:val="en-US"/>
        </w:rPr>
        <w:t>,</w:t>
      </w:r>
      <w:r w:rsidR="009F6856" w:rsidRPr="00612653">
        <w:rPr>
          <w:rFonts w:ascii="Book Antiqua" w:hAnsi="Book Antiqua"/>
          <w:sz w:val="24"/>
          <w:szCs w:val="24"/>
          <w:lang w:val="en-US"/>
        </w:rPr>
        <w:t xml:space="preserve"> sectioned</w:t>
      </w:r>
      <w:r w:rsidR="0063312D" w:rsidRPr="00612653">
        <w:rPr>
          <w:rFonts w:ascii="Book Antiqua" w:hAnsi="Book Antiqua"/>
          <w:sz w:val="24"/>
          <w:szCs w:val="24"/>
          <w:lang w:val="en-US"/>
        </w:rPr>
        <w:t xml:space="preserve">, </w:t>
      </w:r>
      <w:r w:rsidR="00EA5D7D" w:rsidRPr="00612653">
        <w:rPr>
          <w:rFonts w:ascii="Book Antiqua" w:hAnsi="Book Antiqua"/>
          <w:sz w:val="24"/>
          <w:szCs w:val="24"/>
          <w:lang w:val="en-US"/>
        </w:rPr>
        <w:t xml:space="preserve">and </w:t>
      </w:r>
      <w:r w:rsidR="009F6856" w:rsidRPr="00612653">
        <w:rPr>
          <w:rFonts w:ascii="Book Antiqua" w:hAnsi="Book Antiqua"/>
          <w:sz w:val="24"/>
          <w:szCs w:val="24"/>
          <w:lang w:val="en-US"/>
        </w:rPr>
        <w:t>stained with hematoxylin-eosin</w:t>
      </w:r>
      <w:r w:rsidR="0063312D" w:rsidRPr="00612653">
        <w:rPr>
          <w:rFonts w:ascii="Book Antiqua" w:hAnsi="Book Antiqua"/>
          <w:sz w:val="24"/>
          <w:szCs w:val="24"/>
          <w:lang w:val="en-US"/>
        </w:rPr>
        <w:t xml:space="preserve"> (</w:t>
      </w:r>
      <w:r w:rsidR="009F6856" w:rsidRPr="00612653">
        <w:rPr>
          <w:rFonts w:ascii="Book Antiqua" w:hAnsi="Book Antiqua"/>
          <w:sz w:val="24"/>
          <w:szCs w:val="24"/>
          <w:lang w:val="en-US"/>
        </w:rPr>
        <w:t>Dako, Glostrup, Denmark)</w:t>
      </w:r>
      <w:r w:rsidR="00F9534B" w:rsidRPr="00612653">
        <w:rPr>
          <w:rFonts w:ascii="Book Antiqua" w:hAnsi="Book Antiqua"/>
          <w:sz w:val="24"/>
          <w:szCs w:val="24"/>
          <w:lang w:val="en-US"/>
        </w:rPr>
        <w:t xml:space="preserve">, </w:t>
      </w:r>
      <w:r w:rsidR="009F6856" w:rsidRPr="00612653">
        <w:rPr>
          <w:rFonts w:ascii="Book Antiqua" w:hAnsi="Book Antiqua"/>
          <w:sz w:val="24"/>
          <w:szCs w:val="24"/>
          <w:lang w:val="en-US"/>
        </w:rPr>
        <w:t>Picro-Siriu</w:t>
      </w:r>
      <w:r w:rsidR="008A4266" w:rsidRPr="00612653">
        <w:rPr>
          <w:rFonts w:ascii="Book Antiqua" w:hAnsi="Book Antiqua"/>
          <w:sz w:val="24"/>
          <w:szCs w:val="24"/>
          <w:lang w:val="en-US"/>
        </w:rPr>
        <w:t>s red</w:t>
      </w:r>
      <w:r w:rsidR="00C93DCF" w:rsidRPr="00612653">
        <w:rPr>
          <w:rFonts w:ascii="Book Antiqua" w:hAnsi="Book Antiqua"/>
          <w:sz w:val="24"/>
          <w:szCs w:val="24"/>
          <w:lang w:val="en-US"/>
        </w:rPr>
        <w:t xml:space="preserve"> (</w:t>
      </w:r>
      <w:r w:rsidR="008A4266" w:rsidRPr="00612653">
        <w:rPr>
          <w:rFonts w:ascii="Book Antiqua" w:hAnsi="Book Antiqua"/>
          <w:sz w:val="24"/>
          <w:szCs w:val="24"/>
          <w:lang w:val="en-US"/>
        </w:rPr>
        <w:t>Sigma-Aldrich,</w:t>
      </w:r>
      <w:r w:rsidR="007A4471" w:rsidRPr="00612653">
        <w:rPr>
          <w:rFonts w:ascii="Book Antiqua" w:hAnsi="Book Antiqua"/>
          <w:sz w:val="24"/>
          <w:szCs w:val="24"/>
          <w:lang w:val="en-US"/>
        </w:rPr>
        <w:t xml:space="preserve"> Br</w:t>
      </w:r>
      <w:r w:rsidR="00357151" w:rsidRPr="00612653">
        <w:rPr>
          <w:rFonts w:ascii="Book Antiqua" w:hAnsi="Book Antiqua"/>
          <w:sz w:val="24"/>
          <w:szCs w:val="24"/>
          <w:lang w:val="en-US"/>
        </w:rPr>
        <w:t>oe</w:t>
      </w:r>
      <w:r w:rsidR="007A4471" w:rsidRPr="00612653">
        <w:rPr>
          <w:rFonts w:ascii="Book Antiqua" w:hAnsi="Book Antiqua"/>
          <w:sz w:val="24"/>
          <w:szCs w:val="24"/>
          <w:lang w:val="en-US"/>
        </w:rPr>
        <w:t>ndby, Denmark</w:t>
      </w:r>
      <w:r w:rsidR="009F6856" w:rsidRPr="00612653">
        <w:rPr>
          <w:rFonts w:ascii="Book Antiqua" w:hAnsi="Book Antiqua"/>
          <w:sz w:val="24"/>
          <w:szCs w:val="24"/>
          <w:lang w:val="en-US"/>
        </w:rPr>
        <w:t>)</w:t>
      </w:r>
      <w:r w:rsidR="00F9534B" w:rsidRPr="00612653">
        <w:rPr>
          <w:rFonts w:ascii="Book Antiqua" w:hAnsi="Book Antiqua"/>
          <w:sz w:val="24"/>
          <w:szCs w:val="24"/>
          <w:lang w:val="en-US"/>
        </w:rPr>
        <w:t>,</w:t>
      </w:r>
      <w:r w:rsidR="009F6856" w:rsidRPr="00612653">
        <w:rPr>
          <w:rFonts w:ascii="Book Antiqua" w:hAnsi="Book Antiqua"/>
          <w:sz w:val="24"/>
          <w:szCs w:val="24"/>
          <w:lang w:val="en-US"/>
        </w:rPr>
        <w:t xml:space="preserve"> </w:t>
      </w:r>
      <w:r w:rsidR="005F6700" w:rsidRPr="00612653">
        <w:rPr>
          <w:rFonts w:ascii="Book Antiqua" w:hAnsi="Book Antiqua"/>
          <w:sz w:val="24"/>
          <w:szCs w:val="24"/>
          <w:lang w:val="en-US"/>
        </w:rPr>
        <w:t>anti-type I collagen</w:t>
      </w:r>
      <w:r w:rsidR="009F6856" w:rsidRPr="00612653">
        <w:rPr>
          <w:rFonts w:ascii="Book Antiqua" w:hAnsi="Book Antiqua"/>
          <w:sz w:val="24"/>
          <w:szCs w:val="24"/>
          <w:lang w:val="en-US"/>
        </w:rPr>
        <w:t xml:space="preserve"> (</w:t>
      </w:r>
      <w:r w:rsidR="00F9534B" w:rsidRPr="00612653">
        <w:rPr>
          <w:rFonts w:ascii="Book Antiqua" w:hAnsi="Book Antiqua"/>
          <w:sz w:val="24"/>
          <w:szCs w:val="24"/>
          <w:lang w:val="en-US"/>
        </w:rPr>
        <w:t>Col1a1</w:t>
      </w:r>
      <w:r w:rsidR="00491811" w:rsidRPr="00612653">
        <w:rPr>
          <w:rFonts w:ascii="Book Antiqua" w:hAnsi="Book Antiqua"/>
          <w:sz w:val="24"/>
          <w:szCs w:val="24"/>
          <w:lang w:val="en-US"/>
        </w:rPr>
        <w:t xml:space="preserve">; </w:t>
      </w:r>
      <w:r w:rsidR="00CB0EBA" w:rsidRPr="00612653">
        <w:rPr>
          <w:rFonts w:ascii="Book Antiqua" w:hAnsi="Book Antiqua"/>
          <w:sz w:val="24"/>
          <w:szCs w:val="24"/>
          <w:lang w:val="en-US"/>
        </w:rPr>
        <w:t>Southern</w:t>
      </w:r>
      <w:r w:rsidR="009F6856" w:rsidRPr="00612653">
        <w:rPr>
          <w:rFonts w:ascii="Book Antiqua" w:hAnsi="Book Antiqua"/>
          <w:sz w:val="24"/>
          <w:szCs w:val="24"/>
          <w:lang w:val="en-US"/>
        </w:rPr>
        <w:t xml:space="preserve"> Biotech, </w:t>
      </w:r>
      <w:r w:rsidR="00CB0EBA" w:rsidRPr="00612653">
        <w:rPr>
          <w:rFonts w:ascii="Book Antiqua" w:hAnsi="Book Antiqua"/>
          <w:sz w:val="24"/>
          <w:szCs w:val="24"/>
          <w:lang w:val="en-US"/>
        </w:rPr>
        <w:t>Birmingham, AL</w:t>
      </w:r>
      <w:r w:rsidR="009F6856" w:rsidRPr="00612653">
        <w:rPr>
          <w:rFonts w:ascii="Book Antiqua" w:hAnsi="Book Antiqua"/>
          <w:sz w:val="24"/>
          <w:szCs w:val="24"/>
          <w:lang w:val="en-US"/>
        </w:rPr>
        <w:t>)</w:t>
      </w:r>
      <w:r w:rsidR="00F9534B" w:rsidRPr="00612653">
        <w:rPr>
          <w:rFonts w:ascii="Book Antiqua" w:hAnsi="Book Antiqua"/>
          <w:sz w:val="24"/>
          <w:szCs w:val="24"/>
          <w:lang w:val="en-US"/>
        </w:rPr>
        <w:t xml:space="preserve">, or </w:t>
      </w:r>
      <w:r w:rsidR="005F6700" w:rsidRPr="00612653">
        <w:rPr>
          <w:rFonts w:ascii="Book Antiqua" w:hAnsi="Book Antiqua"/>
          <w:sz w:val="24"/>
          <w:szCs w:val="24"/>
          <w:lang w:val="en-US"/>
        </w:rPr>
        <w:t>anti-</w:t>
      </w:r>
      <w:r w:rsidR="00491811" w:rsidRPr="00612653">
        <w:rPr>
          <w:rFonts w:ascii="Book Antiqua" w:hAnsi="Book Antiqua"/>
          <w:sz w:val="24"/>
          <w:szCs w:val="24"/>
          <w:lang w:val="en-US"/>
        </w:rPr>
        <w:t>g</w:t>
      </w:r>
      <w:r w:rsidR="009F6856" w:rsidRPr="00612653">
        <w:rPr>
          <w:rFonts w:ascii="Book Antiqua" w:hAnsi="Book Antiqua"/>
          <w:sz w:val="24"/>
          <w:szCs w:val="24"/>
          <w:lang w:val="en-US"/>
        </w:rPr>
        <w:t>alectin-3 (Biolegend</w:t>
      </w:r>
      <w:r w:rsidR="00CB0EBA" w:rsidRPr="00612653">
        <w:rPr>
          <w:rFonts w:ascii="Book Antiqua" w:hAnsi="Book Antiqua"/>
          <w:sz w:val="24"/>
          <w:szCs w:val="24"/>
          <w:lang w:val="en-US"/>
        </w:rPr>
        <w:t>, San Diego, CA</w:t>
      </w:r>
      <w:r w:rsidR="007C5756" w:rsidRPr="00612653">
        <w:rPr>
          <w:rFonts w:ascii="Book Antiqua" w:hAnsi="Book Antiqua"/>
          <w:sz w:val="24"/>
          <w:szCs w:val="24"/>
          <w:lang w:val="en-US" w:eastAsia="zh-CN"/>
        </w:rPr>
        <w:t>, United States</w:t>
      </w:r>
      <w:r w:rsidR="00C93DCF" w:rsidRPr="00612653">
        <w:rPr>
          <w:rFonts w:ascii="Book Antiqua" w:hAnsi="Book Antiqua"/>
          <w:sz w:val="24"/>
          <w:szCs w:val="24"/>
          <w:lang w:val="en-US"/>
        </w:rPr>
        <w:t>).</w:t>
      </w:r>
      <w:r w:rsidR="00702047" w:rsidRPr="00612653">
        <w:rPr>
          <w:rFonts w:ascii="Book Antiqua" w:hAnsi="Book Antiqua"/>
          <w:sz w:val="24"/>
          <w:szCs w:val="24"/>
          <w:lang w:val="en-US"/>
        </w:rPr>
        <w:t xml:space="preserve"> </w:t>
      </w:r>
      <w:r w:rsidR="00A34AFC" w:rsidRPr="00612653">
        <w:rPr>
          <w:rFonts w:ascii="Book Antiqua" w:hAnsi="Book Antiqua"/>
          <w:sz w:val="24"/>
          <w:szCs w:val="24"/>
          <w:lang w:val="en-US"/>
        </w:rPr>
        <w:t>T</w:t>
      </w:r>
      <w:r w:rsidR="00F9534B" w:rsidRPr="00612653">
        <w:rPr>
          <w:rFonts w:ascii="Book Antiqua" w:hAnsi="Book Antiqua"/>
          <w:sz w:val="24"/>
          <w:szCs w:val="24"/>
          <w:lang w:val="en-US"/>
        </w:rPr>
        <w:t xml:space="preserve">he </w:t>
      </w:r>
      <w:r w:rsidR="00080E37" w:rsidRPr="00612653">
        <w:rPr>
          <w:rFonts w:ascii="Book Antiqua" w:hAnsi="Book Antiqua"/>
          <w:sz w:val="24"/>
          <w:szCs w:val="24"/>
          <w:lang w:val="en-US"/>
        </w:rPr>
        <w:t>NAFLD activity score (NAS)</w:t>
      </w:r>
      <w:r w:rsidR="00F9534B" w:rsidRPr="00612653">
        <w:rPr>
          <w:rFonts w:ascii="Book Antiqua" w:hAnsi="Book Antiqua"/>
          <w:sz w:val="24"/>
          <w:szCs w:val="24"/>
          <w:lang w:val="en-US"/>
        </w:rPr>
        <w:t xml:space="preserve"> </w:t>
      </w:r>
      <w:r w:rsidR="00D97955" w:rsidRPr="00612653">
        <w:rPr>
          <w:rFonts w:ascii="Book Antiqua" w:hAnsi="Book Antiqua"/>
          <w:sz w:val="24"/>
          <w:szCs w:val="24"/>
          <w:lang w:val="en-US"/>
        </w:rPr>
        <w:t xml:space="preserve">and </w:t>
      </w:r>
      <w:r w:rsidR="003C01C0" w:rsidRPr="00612653">
        <w:rPr>
          <w:rFonts w:ascii="Book Antiqua" w:hAnsi="Book Antiqua"/>
          <w:sz w:val="24"/>
          <w:szCs w:val="24"/>
          <w:lang w:val="en-US"/>
        </w:rPr>
        <w:t>f</w:t>
      </w:r>
      <w:r w:rsidR="00D97955" w:rsidRPr="00612653">
        <w:rPr>
          <w:rFonts w:ascii="Book Antiqua" w:hAnsi="Book Antiqua"/>
          <w:sz w:val="24"/>
          <w:szCs w:val="24"/>
          <w:lang w:val="en-US"/>
        </w:rPr>
        <w:t xml:space="preserve">ibrosis </w:t>
      </w:r>
      <w:r w:rsidR="003C01C0" w:rsidRPr="00612653">
        <w:rPr>
          <w:rFonts w:ascii="Book Antiqua" w:hAnsi="Book Antiqua"/>
          <w:sz w:val="24"/>
          <w:szCs w:val="24"/>
          <w:lang w:val="en-US"/>
        </w:rPr>
        <w:t>s</w:t>
      </w:r>
      <w:r w:rsidR="00D97955" w:rsidRPr="00612653">
        <w:rPr>
          <w:rFonts w:ascii="Book Antiqua" w:hAnsi="Book Antiqua"/>
          <w:sz w:val="24"/>
          <w:szCs w:val="24"/>
          <w:lang w:val="en-US"/>
        </w:rPr>
        <w:t xml:space="preserve">taging system was applied </w:t>
      </w:r>
      <w:r w:rsidR="00C258F2" w:rsidRPr="00612653">
        <w:rPr>
          <w:rFonts w:ascii="Book Antiqua" w:hAnsi="Book Antiqua"/>
          <w:sz w:val="24"/>
          <w:szCs w:val="24"/>
          <w:lang w:val="en-US"/>
        </w:rPr>
        <w:t xml:space="preserve">to liver pre-biopies and terminal samples (drug treatment experiments), or only terminal samples (disease progression experiment), </w:t>
      </w:r>
      <w:r w:rsidR="00D97955" w:rsidRPr="00612653">
        <w:rPr>
          <w:rFonts w:ascii="Book Antiqua" w:hAnsi="Book Antiqua"/>
          <w:sz w:val="24"/>
          <w:szCs w:val="24"/>
          <w:lang w:val="en-US"/>
        </w:rPr>
        <w:t>for scoring of</w:t>
      </w:r>
      <w:r w:rsidR="00570526" w:rsidRPr="00612653">
        <w:rPr>
          <w:rFonts w:ascii="Book Antiqua" w:hAnsi="Book Antiqua"/>
          <w:sz w:val="24"/>
          <w:szCs w:val="24"/>
          <w:lang w:val="en-US"/>
        </w:rPr>
        <w:t xml:space="preserve"> steatosis, lobular inflammation, hepatocyte ballooning</w:t>
      </w:r>
      <w:r w:rsidR="00B274D4" w:rsidRPr="00612653">
        <w:rPr>
          <w:rFonts w:ascii="Book Antiqua" w:hAnsi="Book Antiqua"/>
          <w:sz w:val="24"/>
          <w:szCs w:val="24"/>
          <w:lang w:val="en-US"/>
        </w:rPr>
        <w:t>,</w:t>
      </w:r>
      <w:r w:rsidR="0071761D" w:rsidRPr="00612653">
        <w:rPr>
          <w:rFonts w:ascii="Book Antiqua" w:hAnsi="Book Antiqua"/>
          <w:sz w:val="24"/>
          <w:szCs w:val="24"/>
          <w:lang w:val="en-US"/>
        </w:rPr>
        <w:t xml:space="preserve"> and fibrosis</w:t>
      </w:r>
      <w:r w:rsidR="00DA4084" w:rsidRPr="00612653">
        <w:rPr>
          <w:rFonts w:ascii="Book Antiqua" w:hAnsi="Book Antiqua"/>
          <w:sz w:val="24"/>
          <w:szCs w:val="24"/>
          <w:lang w:val="en-US"/>
        </w:rPr>
        <w:t xml:space="preserve"> outlined by</w:t>
      </w:r>
      <w:r w:rsidR="002E482E" w:rsidRPr="00612653">
        <w:rPr>
          <w:rFonts w:ascii="Book Antiqua" w:hAnsi="Book Antiqua"/>
          <w:sz w:val="24"/>
          <w:szCs w:val="24"/>
          <w:lang w:val="en-US"/>
        </w:rPr>
        <w:t xml:space="preserve"> Kleiner </w:t>
      </w:r>
      <w:r w:rsidR="007C5756" w:rsidRPr="00612653">
        <w:rPr>
          <w:rFonts w:ascii="Book Antiqua" w:hAnsi="Book Antiqua"/>
          <w:i/>
          <w:iCs/>
          <w:sz w:val="24"/>
          <w:szCs w:val="24"/>
          <w:lang w:val="en-US"/>
        </w:rPr>
        <w:t>et al</w:t>
      </w:r>
      <w:r w:rsidR="00080E37" w:rsidRPr="00612653">
        <w:rPr>
          <w:rFonts w:ascii="Book Antiqua" w:hAnsi="Book Antiqua"/>
          <w:sz w:val="24"/>
          <w:szCs w:val="24"/>
        </w:rPr>
        <w:fldChar w:fldCharType="begin" w:fldLock="1"/>
      </w:r>
      <w:r w:rsidR="004A5E9A" w:rsidRPr="00612653">
        <w:rPr>
          <w:rFonts w:ascii="Book Antiqua" w:hAnsi="Book Antiqua"/>
          <w:sz w:val="24"/>
          <w:szCs w:val="24"/>
          <w:lang w:val="en-US"/>
        </w:rPr>
        <w:instrText>ADDIN CSL_CITATION { "citationItems" : [ { "id" : "ITEM-1", "itemData" : { "DOI" : "10.1002/hep.20701", "ISSN" : "0270-9139", "PMID" : "15915461", "abstract" : "Nonalcoholic fatty liver disease (NAFLD) is characterized by hepatic steatosis in the absence of a history of significant alcohol use or other known liver disease. Nonalcoholic steatohepatitis (NASH) is the progressive form of NAFLD. The Pathology Committee of the NASH Clinical Research Network designed and validated a histological feature scoring system that addresses the full spectrum of lesions of NAFLD and proposed a NAFLD activity score (NAS) for use in clinical trials. The scoring system comprised 14 histological features, 4 of which were evaluated semi-quantitatively: steatosis (0-3), lobular inflammation (0-2), hepatocellular ballooning (0-2), and fibrosis (0-4). Another nine features were recorded as present or absent. An anonymized study set of 50 cases (32 from adult hepatology services, 18 from pediatric hepatology services) was assembled, coded, and circulated. For the validation study, agreement on scoring and a diagnostic categorization (\"NASH,\" \"borderline,\" or \"not NASH\") were evaluated by using weighted kappa statistics. Inter-rater agreement on adult cases was: 0.84 for fibrosis, 0.79 for steatosis, 0.56 for injury, and 0.45 for lobular inflammation. Agreement on diagnostic category was 0.61. Using multiple logistic regression, five features were independently associated with the diagnosis of NASH in adult biopsies: steatosis (P = .009), hepatocellular ballooning (P = .0001), lobular inflammation (P = .0001), fibrosis (P = .0001), and the absence of lipogranulomas (P = .001). The proposed NAS is the unweighted sum of steatosis, lobular inflammation, and hepatocellular ballooning scores. In conclusion, we present a strong scoring system and NAS for NAFLD and NASH with reasonable inter-rater reproducibility that should be useful for studies of both adults and children with any degree of NAFLD. NAS of &gt; or =5 correlated with a diagnosis of NASH, and biopsies with scores of less than 3 were diagnosed as \"not NASH.\"", "author" : [ { "dropping-particle" : "", "family" : "Kleiner", "given" : "David E.", "non-dropping-particle" : "", "parse-names" : false, "suffix" : "" }, { "dropping-particle" : "", "family" : "Brunt", "given" : "Elizabeth M.", "non-dropping-particle" : "", "parse-names" : false, "suffix" : "" }, { "dropping-particle" : "", "family" : "Natta", "given" : "Mark", "non-dropping-particle" : "Van", "parse-names" : false, "suffix" : "" }, { "dropping-particle" : "", "family" : "Behling", "given" : "Cynthia", "non-dropping-particle" : "", "parse-names" : false, "suffix" : "" }, { "dropping-particle" : "", "family" : "Contos", "given" : "Melissa J.", "non-dropping-particle" : "", "parse-names" : false, "suffix" : "" }, { "dropping-particle" : "", "family" : "Cummings", "given" : "Oscar W.", "non-dropping-particle" : "", "parse-names" : false, "suffix" : "" }, { "dropping-particle" : "", "family" : "Ferrell", "given" : "Linda D.", "non-dropping-particle" : "", "parse-names" : false, "suffix" : "" }, { "dropping-particle" : "", "family" : "Liu", "given" : "Yao-Chang", "non-dropping-particle" : "", "parse-names" : false, "suffix" : "" }, { "dropping-particle" : "", "family" : "Torbenson", "given" : "Michael S.", "non-dropping-particle" : "", "parse-names" : false, "suffix" : "" }, { "dropping-particle" : "", "family" : "Unalp-Arida", "given" : "Aynur", "non-dropping-particle" : "", "parse-names" : false, "suffix" : "" }, { "dropping-particle" : "", "family" : "Yeh", "given" : "Matthew", "non-dropping-particle" : "", "parse-names" : false, "suffix" : "" }, { "dropping-particle" : "", "family" : "McCullough", "given" : "Arthur J.", "non-dropping-particle" : "", "parse-names" : false, "suffix" : "" }, { "dropping-particle" : "", "family" : "Sanyal", "given" : "Arun J.", "non-dropping-particle" : "", "parse-names" : false, "suffix" : "" }, { "dropping-particle" : "", "family" : "Nonalcoholic Steatohepatitis Clinical Research Network", "given" : "", "non-dropping-particle" : "", "parse-names" : false, "suffix" : "" } ], "container-title" : "Hepatology", "id" : "ITEM-1", "issue" : "6", "issued" : { "date-parts" : [ [ "2005", "6" ] ] }, "page" : "1313-1321", "title" : "Design and validation of a histological scoring system for nonalcoholic fatty liver disease", "type" : "article-journal", "volume" : "41" }, "uris" : [ "http://www.mendeley.com/documents/?uuid=570e92b8-5276-3540-887d-ace6dfbdc3d9" ] } ], "mendeley" : { "formattedCitation" : "&lt;sup&gt;[31]&lt;/sup&gt;", "plainTextFormattedCitation" : "[31]", "previouslyFormattedCitation" : "&lt;sup&gt;[31]&lt;/sup&gt;" }, "properties" : { "noteIndex" : 0 }, "schema" : "https://github.com/citation-style-language/schema/raw/master/csl-citation.json" }</w:instrText>
      </w:r>
      <w:r w:rsidR="00080E37" w:rsidRPr="00612653">
        <w:rPr>
          <w:rFonts w:ascii="Book Antiqua" w:hAnsi="Book Antiqua"/>
          <w:sz w:val="24"/>
          <w:szCs w:val="24"/>
          <w:vertAlign w:val="superscript"/>
          <w:lang w:val="en-US"/>
        </w:rPr>
        <w:fldChar w:fldCharType="separate"/>
      </w:r>
      <w:r w:rsidR="004A5E9A" w:rsidRPr="00612653">
        <w:rPr>
          <w:rFonts w:ascii="Book Antiqua" w:hAnsi="Book Antiqua"/>
          <w:noProof/>
          <w:sz w:val="24"/>
          <w:szCs w:val="24"/>
          <w:vertAlign w:val="superscript"/>
          <w:lang w:val="en-US"/>
        </w:rPr>
        <w:t>[31]</w:t>
      </w:r>
      <w:r w:rsidR="00080E37" w:rsidRPr="00612653">
        <w:rPr>
          <w:rFonts w:ascii="Book Antiqua" w:hAnsi="Book Antiqua"/>
          <w:sz w:val="24"/>
          <w:szCs w:val="24"/>
        </w:rPr>
        <w:fldChar w:fldCharType="end"/>
      </w:r>
      <w:r w:rsidR="00080E37" w:rsidRPr="00612653">
        <w:rPr>
          <w:rFonts w:ascii="Book Antiqua" w:hAnsi="Book Antiqua"/>
          <w:sz w:val="24"/>
          <w:szCs w:val="24"/>
          <w:lang w:val="en-US"/>
        </w:rPr>
        <w:t>.</w:t>
      </w:r>
      <w:r w:rsidR="0033268F" w:rsidRPr="00612653">
        <w:rPr>
          <w:rFonts w:ascii="Book Antiqua" w:hAnsi="Book Antiqua"/>
          <w:sz w:val="24"/>
          <w:szCs w:val="24"/>
          <w:lang w:val="en-US"/>
        </w:rPr>
        <w:t xml:space="preserve"> </w:t>
      </w:r>
      <w:r w:rsidR="001F2D74" w:rsidRPr="00612653">
        <w:rPr>
          <w:rFonts w:ascii="Book Antiqua" w:hAnsi="Book Antiqua"/>
          <w:sz w:val="24"/>
          <w:szCs w:val="24"/>
          <w:lang w:val="en-US"/>
        </w:rPr>
        <w:t>All h</w:t>
      </w:r>
      <w:r w:rsidR="00DA4084" w:rsidRPr="00612653">
        <w:rPr>
          <w:rFonts w:ascii="Book Antiqua" w:hAnsi="Book Antiqua"/>
          <w:sz w:val="24"/>
          <w:szCs w:val="24"/>
          <w:lang w:val="en-US"/>
        </w:rPr>
        <w:t>istological assessment</w:t>
      </w:r>
      <w:r w:rsidR="001F2D74" w:rsidRPr="00612653">
        <w:rPr>
          <w:rFonts w:ascii="Book Antiqua" w:hAnsi="Book Antiqua"/>
          <w:sz w:val="24"/>
          <w:szCs w:val="24"/>
          <w:lang w:val="en-US"/>
        </w:rPr>
        <w:t>s were</w:t>
      </w:r>
      <w:r w:rsidR="00DA4084" w:rsidRPr="00612653">
        <w:rPr>
          <w:rFonts w:ascii="Book Antiqua" w:hAnsi="Book Antiqua"/>
          <w:sz w:val="24"/>
          <w:szCs w:val="24"/>
          <w:lang w:val="en-US"/>
        </w:rPr>
        <w:t xml:space="preserve"> performed by a pathologist blind to treatment. </w:t>
      </w:r>
      <w:r w:rsidR="0033268F" w:rsidRPr="00612653">
        <w:rPr>
          <w:rFonts w:ascii="Book Antiqua" w:hAnsi="Book Antiqua"/>
          <w:sz w:val="24"/>
          <w:szCs w:val="24"/>
          <w:lang w:val="en-US"/>
        </w:rPr>
        <w:t>Because all treatment paradigms affected total liver weight, quantitative</w:t>
      </w:r>
      <w:r w:rsidR="00D16026" w:rsidRPr="00612653">
        <w:rPr>
          <w:rFonts w:ascii="Book Antiqua" w:hAnsi="Book Antiqua"/>
          <w:sz w:val="24"/>
          <w:szCs w:val="24"/>
          <w:lang w:val="en-US"/>
        </w:rPr>
        <w:t xml:space="preserve"> </w:t>
      </w:r>
      <w:r w:rsidR="002D5815" w:rsidRPr="00612653">
        <w:rPr>
          <w:rFonts w:ascii="Book Antiqua" w:hAnsi="Book Antiqua"/>
          <w:sz w:val="24"/>
          <w:szCs w:val="24"/>
          <w:lang w:val="en-US"/>
        </w:rPr>
        <w:t xml:space="preserve">data on liver </w:t>
      </w:r>
      <w:r w:rsidR="00D16026" w:rsidRPr="00612653">
        <w:rPr>
          <w:rFonts w:ascii="Book Antiqua" w:hAnsi="Book Antiqua"/>
          <w:sz w:val="24"/>
          <w:szCs w:val="24"/>
          <w:lang w:val="en-US"/>
        </w:rPr>
        <w:t>biochem</w:t>
      </w:r>
      <w:r w:rsidR="002D5815" w:rsidRPr="00612653">
        <w:rPr>
          <w:rFonts w:ascii="Book Antiqua" w:hAnsi="Book Antiqua"/>
          <w:sz w:val="24"/>
          <w:szCs w:val="24"/>
          <w:lang w:val="en-US"/>
        </w:rPr>
        <w:t>istry (liver TG, TC)</w:t>
      </w:r>
      <w:r w:rsidR="0033268F" w:rsidRPr="00612653">
        <w:rPr>
          <w:rFonts w:ascii="Book Antiqua" w:hAnsi="Book Antiqua"/>
          <w:sz w:val="24"/>
          <w:szCs w:val="24"/>
          <w:lang w:val="en-US"/>
        </w:rPr>
        <w:t xml:space="preserve"> </w:t>
      </w:r>
      <w:r w:rsidR="002D5815" w:rsidRPr="00612653">
        <w:rPr>
          <w:rFonts w:ascii="Book Antiqua" w:hAnsi="Book Antiqua"/>
          <w:sz w:val="24"/>
          <w:szCs w:val="24"/>
          <w:lang w:val="en-US"/>
        </w:rPr>
        <w:t xml:space="preserve">and </w:t>
      </w:r>
      <w:r w:rsidR="0033268F" w:rsidRPr="00612653">
        <w:rPr>
          <w:rFonts w:ascii="Book Antiqua" w:hAnsi="Book Antiqua"/>
          <w:sz w:val="24"/>
          <w:szCs w:val="24"/>
          <w:lang w:val="en-US"/>
        </w:rPr>
        <w:t>histolog</w:t>
      </w:r>
      <w:r w:rsidR="002D5815" w:rsidRPr="00612653">
        <w:rPr>
          <w:rFonts w:ascii="Book Antiqua" w:hAnsi="Book Antiqua"/>
          <w:sz w:val="24"/>
          <w:szCs w:val="24"/>
          <w:lang w:val="en-US"/>
        </w:rPr>
        <w:t>y</w:t>
      </w:r>
      <w:r w:rsidR="0033268F" w:rsidRPr="00612653">
        <w:rPr>
          <w:rFonts w:ascii="Book Antiqua" w:hAnsi="Book Antiqua"/>
          <w:sz w:val="24"/>
          <w:szCs w:val="24"/>
          <w:lang w:val="en-US"/>
        </w:rPr>
        <w:t xml:space="preserve"> </w:t>
      </w:r>
      <w:r w:rsidR="002D5815" w:rsidRPr="00612653">
        <w:rPr>
          <w:rFonts w:ascii="Book Antiqua" w:hAnsi="Book Antiqua"/>
          <w:sz w:val="24"/>
          <w:szCs w:val="24"/>
          <w:lang w:val="en-US"/>
        </w:rPr>
        <w:t xml:space="preserve">(liver lipid, galectin-3, Col1a1) </w:t>
      </w:r>
      <w:r w:rsidR="0063312D" w:rsidRPr="00612653">
        <w:rPr>
          <w:rFonts w:ascii="Book Antiqua" w:hAnsi="Book Antiqua"/>
          <w:sz w:val="24"/>
          <w:szCs w:val="24"/>
          <w:lang w:val="en-US"/>
        </w:rPr>
        <w:t>were</w:t>
      </w:r>
      <w:r w:rsidR="0033268F" w:rsidRPr="00612653">
        <w:rPr>
          <w:rFonts w:ascii="Book Antiqua" w:hAnsi="Book Antiqua"/>
          <w:sz w:val="24"/>
          <w:szCs w:val="24"/>
          <w:lang w:val="en-US"/>
        </w:rPr>
        <w:t xml:space="preserve"> expressed </w:t>
      </w:r>
      <w:r w:rsidR="0063312D" w:rsidRPr="00612653">
        <w:rPr>
          <w:rFonts w:ascii="Book Antiqua" w:hAnsi="Book Antiqua"/>
          <w:sz w:val="24"/>
          <w:szCs w:val="24"/>
          <w:lang w:val="en-US"/>
        </w:rPr>
        <w:t xml:space="preserve">as </w:t>
      </w:r>
      <w:r w:rsidR="0033268F" w:rsidRPr="00612653">
        <w:rPr>
          <w:rFonts w:ascii="Book Antiqua" w:hAnsi="Book Antiqua"/>
          <w:sz w:val="24"/>
          <w:szCs w:val="24"/>
          <w:lang w:val="en-US"/>
        </w:rPr>
        <w:t xml:space="preserve">whole-liver amounts by multiplying </w:t>
      </w:r>
      <w:r w:rsidR="002D5815" w:rsidRPr="00612653">
        <w:rPr>
          <w:rFonts w:ascii="Book Antiqua" w:hAnsi="Book Antiqua"/>
          <w:sz w:val="24"/>
          <w:szCs w:val="24"/>
          <w:lang w:val="en-US"/>
        </w:rPr>
        <w:t xml:space="preserve">individual </w:t>
      </w:r>
      <w:r w:rsidR="0033268F" w:rsidRPr="00612653">
        <w:rPr>
          <w:rFonts w:ascii="Book Antiqua" w:hAnsi="Book Antiqua"/>
          <w:sz w:val="24"/>
          <w:szCs w:val="24"/>
          <w:lang w:val="en-US"/>
        </w:rPr>
        <w:t>terminal liver weight</w:t>
      </w:r>
      <w:r w:rsidR="002D5815" w:rsidRPr="00612653">
        <w:rPr>
          <w:rFonts w:ascii="Book Antiqua" w:hAnsi="Book Antiqua"/>
          <w:sz w:val="24"/>
          <w:szCs w:val="24"/>
          <w:lang w:val="en-US"/>
        </w:rPr>
        <w:t xml:space="preserve"> with the corresponding </w:t>
      </w:r>
      <w:r w:rsidR="00997C4C" w:rsidRPr="00612653">
        <w:rPr>
          <w:rFonts w:ascii="Book Antiqua" w:hAnsi="Book Antiqua"/>
          <w:sz w:val="24"/>
          <w:szCs w:val="24"/>
          <w:lang w:val="en-US"/>
        </w:rPr>
        <w:t xml:space="preserve">liver </w:t>
      </w:r>
      <w:r w:rsidR="002D5815" w:rsidRPr="00612653">
        <w:rPr>
          <w:rFonts w:ascii="Book Antiqua" w:hAnsi="Book Antiqua"/>
          <w:sz w:val="24"/>
          <w:szCs w:val="24"/>
          <w:lang w:val="en-US"/>
        </w:rPr>
        <w:t>lipid concentration (biochemistry data) or percent fractional area (histology data), respectively</w:t>
      </w:r>
      <w:r w:rsidR="0033268F" w:rsidRPr="00612653">
        <w:rPr>
          <w:rFonts w:ascii="Book Antiqua" w:hAnsi="Book Antiqua"/>
          <w:sz w:val="24"/>
          <w:szCs w:val="24"/>
          <w:lang w:val="en-US"/>
        </w:rPr>
        <w:t>.</w:t>
      </w:r>
    </w:p>
    <w:p w14:paraId="59C417ED" w14:textId="77777777" w:rsidR="00DA4084" w:rsidRPr="00612653" w:rsidRDefault="00DA4084" w:rsidP="00082279">
      <w:pPr>
        <w:snapToGrid w:val="0"/>
        <w:spacing w:after="0" w:line="360" w:lineRule="auto"/>
        <w:jc w:val="both"/>
        <w:rPr>
          <w:rFonts w:ascii="Book Antiqua" w:hAnsi="Book Antiqua"/>
          <w:bCs/>
          <w:i/>
          <w:iCs/>
          <w:sz w:val="24"/>
          <w:szCs w:val="24"/>
          <w:lang w:val="en-US"/>
        </w:rPr>
      </w:pPr>
    </w:p>
    <w:p w14:paraId="070A875B" w14:textId="2B6195FF" w:rsidR="004E70BF" w:rsidRPr="00612653" w:rsidRDefault="00970E52" w:rsidP="00082279">
      <w:pPr>
        <w:snapToGrid w:val="0"/>
        <w:spacing w:after="0" w:line="360" w:lineRule="auto"/>
        <w:jc w:val="both"/>
        <w:rPr>
          <w:rFonts w:ascii="Book Antiqua" w:hAnsi="Book Antiqua"/>
          <w:b/>
          <w:i/>
          <w:iCs/>
          <w:sz w:val="24"/>
          <w:szCs w:val="24"/>
          <w:lang w:val="en-US"/>
        </w:rPr>
      </w:pPr>
      <w:r w:rsidRPr="00612653">
        <w:rPr>
          <w:rFonts w:ascii="Book Antiqua" w:hAnsi="Book Antiqua"/>
          <w:b/>
          <w:i/>
          <w:iCs/>
          <w:sz w:val="24"/>
          <w:szCs w:val="24"/>
          <w:lang w:val="en-US"/>
        </w:rPr>
        <w:t>RNA sequencing</w:t>
      </w:r>
    </w:p>
    <w:p w14:paraId="459BE4CA" w14:textId="4B7299F7" w:rsidR="008261C5" w:rsidRPr="00612653" w:rsidRDefault="008261C5"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t xml:space="preserve">Hepatic transcriptome analysis </w:t>
      </w:r>
      <w:r w:rsidR="00970E52" w:rsidRPr="00612653">
        <w:rPr>
          <w:rFonts w:ascii="Book Antiqua" w:hAnsi="Book Antiqua"/>
          <w:sz w:val="24"/>
          <w:szCs w:val="24"/>
          <w:lang w:val="en-US"/>
        </w:rPr>
        <w:t>was performed by RNA sequencing</w:t>
      </w:r>
      <w:r w:rsidR="00BC23BC" w:rsidRPr="00612653">
        <w:rPr>
          <w:rFonts w:ascii="Book Antiqua" w:hAnsi="Book Antiqua"/>
          <w:sz w:val="24"/>
          <w:szCs w:val="24"/>
          <w:lang w:val="en-US"/>
        </w:rPr>
        <w:t xml:space="preserve"> on RNA extracts from terminal liver samples</w:t>
      </w:r>
      <w:r w:rsidR="00973EEA" w:rsidRPr="00612653">
        <w:rPr>
          <w:rFonts w:ascii="Book Antiqua" w:hAnsi="Book Antiqua"/>
          <w:sz w:val="24"/>
          <w:szCs w:val="24"/>
          <w:lang w:val="en-US"/>
        </w:rPr>
        <w:t xml:space="preserve"> (15 mg fresh tissue)</w:t>
      </w:r>
      <w:r w:rsidR="00BC23BC" w:rsidRPr="00612653">
        <w:rPr>
          <w:rFonts w:ascii="Book Antiqua" w:hAnsi="Book Antiqua"/>
          <w:sz w:val="24"/>
          <w:szCs w:val="24"/>
          <w:lang w:val="en-US"/>
        </w:rPr>
        <w:t>, as described in detail elsewhere</w:t>
      </w:r>
      <w:r w:rsidR="00BC23BC" w:rsidRPr="00612653">
        <w:rPr>
          <w:rFonts w:ascii="Book Antiqua" w:hAnsi="Book Antiqua"/>
          <w:sz w:val="24"/>
          <w:szCs w:val="24"/>
        </w:rPr>
        <w:fldChar w:fldCharType="begin" w:fldLock="1"/>
      </w:r>
      <w:r w:rsidR="00267B22" w:rsidRPr="00612653">
        <w:rPr>
          <w:rFonts w:ascii="Book Antiqua" w:hAnsi="Book Antiqua"/>
          <w:sz w:val="24"/>
          <w:szCs w:val="24"/>
          <w:lang w:val="en-US"/>
        </w:rPr>
        <w:instrText>ADDIN CSL_CITATION { "citationItems" : [ { "id" : "ITEM-1", "itemData" : { "DOI" : "10.4254/wjh.v8.i16.673", "ISSN" : "1948-5182", "PMID" : "27326314", "abstract" : "AIM To characterize development of diet-induced nonalcoholic steatohepatitis (NASH) by performing liver biopsy in wild-type and genetically obese mice. METHODS Male wild-type C57BL/6J (C57) mice (DIO-NASH) and male Lep(ob) /Lep(ob) (ob/ob) mice (ob/ob-NASH) were maintained on a diet high in trans-fat (40%), fructose (22%) and cholesterol (2%) for 26 and 12 wk, respectively. A normal chow diet served as control in C57 mice (lean chow) and ob/ob mice (ob/ob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ob/ob-NASH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ob/ob-NASH vs DIO-NASH mice. During the eight week repeated vehicle dosing period, the metabolic phenotype was sustained in DIO-NASH and ob/ob-NASH mice in conjunction with hepatomegaly and increased hepatic lipids and collagen accumulation. Histopathological scoring demonstrated significantly increased NAS of DIO-NASH mice (0 vs 4.7 \u00b1 0.4, P &lt; 0.001 compared to lean chow) and ob/ob-NASH mice (2.4 \u00b1 0.3 vs 6.3 \u00b1 0.2, P &lt; 0.001 compared to ob/ob chow), respectively. Furthermore, fibrosis stage was significantly elevated for DIO-NASH mice (0 vs 1.2 \u00b1 0.2, P &lt; 0.05 compared to lean chow) and ob/ob NASH (0.1 \u00b1 0.1 vs 3.0 \u00b1 0.2, P &lt; 0.001 compared to ob/ob chow). Notably, fibrosis stage was significantly (P &lt; 0.001) increased in ob/ob-NASH mice, when compared to DIO-NASH mice. CONCLUSION These data introduce the obese diet-induced DIO-NASH and ob/ob-NASH mouse models\u2026", "author" : [ { "dropping-particle" : "", "family" : "Kristiansen", "given" : "Maria Nicoline Baandrup",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"T\u00f8lb\u00f8l", "given" : "Kirstine Sloth", "non-dropping-particle" : "", "parse-names" : false, "suffix" : "" }, { "dropping-particle" : "", "family" : "Roth", "given" : "Jonathan David", "non-dropping-particle" : "", "parse-names" : false, "suffix" : "" }, { "dropping-particle" : "", "family" : "Jelsing", "given" : "Jacob", "non-dropping-particle" : "", "parse-names" : false, "suffix" : "" }, { "dropping-particle" : "", "family" : "Vrang", "given" : "Niels", "non-dropping-particle" : "", "parse-names" : false, "suffix" : "" }, { "dropping-particle" : "", "family" : "Feigh", "given" : "Michael", "non-dropping-particle" : "", "parse-names" : false, "suffix" : "" } ], "container-title" : "World Journal of Hepatology", "id" : "ITEM-1", "issue" : "16", "issued" : { "date-parts" : [ [ "2016", "6", "8" ] ] }, "page" : "673", "title" : "Obese diet-induced mouse models of nonalcoholic steatohepatitis-tracking disease by liver biopsy", "type" : "article-journal", "volume" : "8" }, "uris" : [ "http://www.mendeley.com/documents/?uuid=69bb0cda-5036-450b-90a1-83c8b0817689" ] } ], "mendeley" : { "formattedCitation" : "&lt;sup&gt;[19]&lt;/sup&gt;", "plainTextFormattedCitation" : "[19]", "previouslyFormattedCitation" : "&lt;sup&gt;[19]&lt;/sup&gt;" }, "properties" : { "noteIndex" : 0 }, "schema" : "https://github.com/citation-style-language/schema/raw/master/csl-citation.json" }</w:instrText>
      </w:r>
      <w:r w:rsidR="00BC23BC" w:rsidRPr="00612653">
        <w:rPr>
          <w:rFonts w:ascii="Book Antiqua" w:hAnsi="Book Antiqua"/>
          <w:sz w:val="24"/>
          <w:szCs w:val="24"/>
          <w:vertAlign w:val="superscript"/>
          <w:lang w:val="en-US"/>
        </w:rPr>
        <w:fldChar w:fldCharType="separate"/>
      </w:r>
      <w:r w:rsidR="00267B22" w:rsidRPr="00612653">
        <w:rPr>
          <w:rFonts w:ascii="Book Antiqua" w:hAnsi="Book Antiqua"/>
          <w:noProof/>
          <w:sz w:val="24"/>
          <w:szCs w:val="24"/>
          <w:vertAlign w:val="superscript"/>
          <w:lang w:val="en-US"/>
        </w:rPr>
        <w:t>[19]</w:t>
      </w:r>
      <w:r w:rsidR="00BC23BC" w:rsidRPr="00612653">
        <w:rPr>
          <w:rFonts w:ascii="Book Antiqua" w:hAnsi="Book Antiqua"/>
          <w:sz w:val="24"/>
          <w:szCs w:val="24"/>
        </w:rPr>
        <w:fldChar w:fldCharType="end"/>
      </w:r>
      <w:r w:rsidR="00BC23BC" w:rsidRPr="00612653">
        <w:rPr>
          <w:rFonts w:ascii="Book Antiqua" w:hAnsi="Book Antiqua"/>
          <w:sz w:val="24"/>
          <w:szCs w:val="24"/>
          <w:lang w:val="en-US"/>
        </w:rPr>
        <w:t xml:space="preserve">. </w:t>
      </w:r>
      <w:r w:rsidR="00E8302E" w:rsidRPr="00612653">
        <w:rPr>
          <w:rFonts w:ascii="Book Antiqua" w:hAnsi="Book Antiqua"/>
          <w:sz w:val="24"/>
          <w:szCs w:val="24"/>
          <w:lang w:val="en-US"/>
        </w:rPr>
        <w:t>The RNA quantity was measured using Qubit® (Thermo Scientific, Eugene, OR</w:t>
      </w:r>
      <w:r w:rsidR="0042594A" w:rsidRPr="00612653">
        <w:rPr>
          <w:rFonts w:ascii="Book Antiqua" w:hAnsi="Book Antiqua"/>
          <w:sz w:val="24"/>
          <w:szCs w:val="24"/>
          <w:shd w:val="clear" w:color="auto" w:fill="FFFFFF"/>
          <w:lang w:val="en-US" w:eastAsia="zh-CN"/>
        </w:rPr>
        <w:t>,</w:t>
      </w:r>
      <w:r w:rsidR="007773EA" w:rsidRPr="00612653">
        <w:rPr>
          <w:rFonts w:ascii="Book Antiqua" w:hAnsi="Book Antiqua"/>
          <w:sz w:val="24"/>
          <w:szCs w:val="24"/>
          <w:lang w:val="en-US" w:eastAsia="zh-CN"/>
        </w:rPr>
        <w:t xml:space="preserve"> </w:t>
      </w:r>
      <w:r w:rsidR="0042594A" w:rsidRPr="00612653">
        <w:rPr>
          <w:rFonts w:ascii="Book Antiqua" w:hAnsi="Book Antiqua"/>
          <w:sz w:val="24"/>
          <w:szCs w:val="24"/>
          <w:lang w:val="en-US" w:eastAsia="zh-CN"/>
        </w:rPr>
        <w:t>United States</w:t>
      </w:r>
      <w:r w:rsidR="00E8302E" w:rsidRPr="00612653">
        <w:rPr>
          <w:rFonts w:ascii="Book Antiqua" w:hAnsi="Book Antiqua"/>
          <w:sz w:val="24"/>
          <w:szCs w:val="24"/>
          <w:lang w:val="en-US"/>
        </w:rPr>
        <w:t xml:space="preserve">). The RNA quality was determined using a bioanalyzer with RNA 6000 Nano kit (Agilent, Waldbronn, Germany). </w:t>
      </w:r>
      <w:r w:rsidR="00BC23BC" w:rsidRPr="00612653">
        <w:rPr>
          <w:rFonts w:ascii="Book Antiqua" w:hAnsi="Book Antiqua"/>
          <w:sz w:val="24"/>
          <w:szCs w:val="24"/>
          <w:shd w:val="clear" w:color="auto" w:fill="FFFFFF"/>
          <w:lang w:val="en-US"/>
        </w:rPr>
        <w:t>RNA sequence</w:t>
      </w:r>
      <w:r w:rsidRPr="00612653">
        <w:rPr>
          <w:rFonts w:ascii="Book Antiqua" w:hAnsi="Book Antiqua"/>
          <w:sz w:val="24"/>
          <w:szCs w:val="24"/>
          <w:shd w:val="clear" w:color="auto" w:fill="FFFFFF"/>
          <w:lang w:val="en-US"/>
        </w:rPr>
        <w:t xml:space="preserve"> libraries were prepared with NeoPrep (Illumina, San Diego, CA</w:t>
      </w:r>
      <w:r w:rsidR="007C5756" w:rsidRPr="00612653">
        <w:rPr>
          <w:rFonts w:ascii="Book Antiqua" w:hAnsi="Book Antiqua"/>
          <w:sz w:val="24"/>
          <w:szCs w:val="24"/>
          <w:shd w:val="clear" w:color="auto" w:fill="FFFFFF"/>
          <w:lang w:val="en-US" w:eastAsia="zh-CN"/>
        </w:rPr>
        <w:t>,</w:t>
      </w:r>
      <w:r w:rsidR="007C5756" w:rsidRPr="00612653">
        <w:rPr>
          <w:rFonts w:ascii="Book Antiqua" w:hAnsi="Book Antiqua"/>
          <w:sz w:val="24"/>
          <w:szCs w:val="24"/>
          <w:lang w:val="en-US" w:eastAsia="zh-CN"/>
        </w:rPr>
        <w:t xml:space="preserve"> United States</w:t>
      </w:r>
      <w:r w:rsidRPr="00612653">
        <w:rPr>
          <w:rFonts w:ascii="Book Antiqua" w:hAnsi="Book Antiqua"/>
          <w:sz w:val="24"/>
          <w:szCs w:val="24"/>
          <w:shd w:val="clear" w:color="auto" w:fill="FFFFFF"/>
          <w:lang w:val="en-US"/>
        </w:rPr>
        <w:t>) using Illumina TruSeq stranded mRNA Library kit for NeoPrep (</w:t>
      </w:r>
      <w:r w:rsidRPr="00612653">
        <w:rPr>
          <w:rFonts w:ascii="Book Antiqua" w:hAnsi="Book Antiqua" w:cs="Calibri"/>
          <w:sz w:val="24"/>
          <w:szCs w:val="24"/>
          <w:lang w:val="en-US"/>
        </w:rPr>
        <w:t>Illumina, San Diego, CA</w:t>
      </w:r>
      <w:r w:rsidR="007C5756" w:rsidRPr="00612653">
        <w:rPr>
          <w:rFonts w:ascii="Book Antiqua" w:hAnsi="Book Antiqua" w:cs="Calibri"/>
          <w:sz w:val="24"/>
          <w:szCs w:val="24"/>
          <w:lang w:val="en-US" w:eastAsia="zh-CN"/>
        </w:rPr>
        <w:t>,</w:t>
      </w:r>
      <w:r w:rsidR="007C5756" w:rsidRPr="00612653">
        <w:rPr>
          <w:rFonts w:ascii="Book Antiqua" w:hAnsi="Book Antiqua"/>
          <w:sz w:val="24"/>
          <w:szCs w:val="24"/>
          <w:lang w:val="en-US" w:eastAsia="zh-CN"/>
        </w:rPr>
        <w:t xml:space="preserve"> United States</w:t>
      </w:r>
      <w:r w:rsidRPr="00612653">
        <w:rPr>
          <w:rFonts w:ascii="Book Antiqua" w:hAnsi="Book Antiqua"/>
          <w:sz w:val="24"/>
          <w:szCs w:val="24"/>
          <w:shd w:val="clear" w:color="auto" w:fill="FFFFFF"/>
          <w:lang w:val="en-US"/>
        </w:rPr>
        <w:t>) and sequenced on the NextSeq 500 (Illumina, San Diego, CA</w:t>
      </w:r>
      <w:r w:rsidR="007C5756" w:rsidRPr="00612653">
        <w:rPr>
          <w:rFonts w:ascii="Book Antiqua" w:hAnsi="Book Antiqua"/>
          <w:sz w:val="24"/>
          <w:szCs w:val="24"/>
          <w:shd w:val="clear" w:color="auto" w:fill="FFFFFF"/>
          <w:lang w:val="en-US" w:eastAsia="zh-CN"/>
        </w:rPr>
        <w:t>,</w:t>
      </w:r>
      <w:r w:rsidR="007C5756" w:rsidRPr="00612653">
        <w:rPr>
          <w:rFonts w:ascii="Book Antiqua" w:hAnsi="Book Antiqua"/>
          <w:sz w:val="24"/>
          <w:szCs w:val="24"/>
          <w:lang w:val="en-US" w:eastAsia="zh-CN"/>
        </w:rPr>
        <w:t xml:space="preserve"> United States</w:t>
      </w:r>
      <w:r w:rsidRPr="00612653">
        <w:rPr>
          <w:rFonts w:ascii="Book Antiqua" w:hAnsi="Book Antiqua"/>
          <w:sz w:val="24"/>
          <w:szCs w:val="24"/>
          <w:shd w:val="clear" w:color="auto" w:fill="FFFFFF"/>
          <w:lang w:val="en-US"/>
        </w:rPr>
        <w:t xml:space="preserve">) with </w:t>
      </w:r>
      <w:r w:rsidR="002E482E" w:rsidRPr="00612653">
        <w:rPr>
          <w:rFonts w:ascii="Book Antiqua" w:hAnsi="Book Antiqua" w:cs="Calibri"/>
          <w:sz w:val="24"/>
          <w:szCs w:val="24"/>
          <w:lang w:val="en-US"/>
        </w:rPr>
        <w:t>NSQ</w:t>
      </w:r>
      <w:r w:rsidRPr="00612653">
        <w:rPr>
          <w:rFonts w:ascii="Book Antiqua" w:hAnsi="Book Antiqua" w:cs="Calibri"/>
          <w:sz w:val="24"/>
          <w:szCs w:val="24"/>
          <w:lang w:val="en-US"/>
        </w:rPr>
        <w:t xml:space="preserve"> 500 hi-</w:t>
      </w:r>
      <w:r w:rsidR="00690E0B" w:rsidRPr="00612653">
        <w:rPr>
          <w:rFonts w:ascii="Book Antiqua" w:hAnsi="Book Antiqua" w:cs="Calibri"/>
          <w:sz w:val="24"/>
          <w:szCs w:val="24"/>
          <w:lang w:val="en-US"/>
        </w:rPr>
        <w:t xml:space="preserve">Output KT v2 (75 CYS, </w:t>
      </w:r>
      <w:r w:rsidRPr="00612653">
        <w:rPr>
          <w:rFonts w:ascii="Book Antiqua" w:hAnsi="Book Antiqua" w:cs="Calibri"/>
          <w:sz w:val="24"/>
          <w:szCs w:val="24"/>
          <w:lang w:val="en-US"/>
        </w:rPr>
        <w:t>Illumina, San Diego, CA</w:t>
      </w:r>
      <w:r w:rsidR="007C5756" w:rsidRPr="00612653">
        <w:rPr>
          <w:rFonts w:ascii="Book Antiqua" w:hAnsi="Book Antiqua" w:cs="Calibri"/>
          <w:sz w:val="24"/>
          <w:szCs w:val="24"/>
          <w:lang w:val="en-US" w:eastAsia="zh-CN"/>
        </w:rPr>
        <w:t xml:space="preserve">, </w:t>
      </w:r>
      <w:r w:rsidR="007C5756" w:rsidRPr="00612653">
        <w:rPr>
          <w:rFonts w:ascii="Book Antiqua" w:hAnsi="Book Antiqua"/>
          <w:sz w:val="24"/>
          <w:szCs w:val="24"/>
          <w:lang w:val="en-US" w:eastAsia="zh-CN"/>
        </w:rPr>
        <w:t>United States</w:t>
      </w:r>
      <w:r w:rsidRPr="00612653">
        <w:rPr>
          <w:rFonts w:ascii="Book Antiqua" w:hAnsi="Book Antiqua" w:cs="Calibri"/>
          <w:sz w:val="24"/>
          <w:szCs w:val="24"/>
          <w:lang w:val="en-US"/>
        </w:rPr>
        <w:t>)</w:t>
      </w:r>
      <w:r w:rsidRPr="00612653">
        <w:rPr>
          <w:rFonts w:ascii="Book Antiqua" w:hAnsi="Book Antiqua"/>
          <w:sz w:val="24"/>
          <w:szCs w:val="24"/>
          <w:shd w:val="clear" w:color="auto" w:fill="FFFFFF"/>
          <w:lang w:val="en-US"/>
        </w:rPr>
        <w:t xml:space="preserve">. Reads were aligned to the GRCm38 </w:t>
      </w:r>
      <w:r w:rsidR="009C4970" w:rsidRPr="00612653">
        <w:rPr>
          <w:rFonts w:ascii="Book Antiqua" w:hAnsi="Book Antiqua"/>
          <w:sz w:val="24"/>
          <w:szCs w:val="24"/>
          <w:shd w:val="clear" w:color="auto" w:fill="FFFFFF"/>
          <w:lang w:val="en-US"/>
        </w:rPr>
        <w:t xml:space="preserve">v84 </w:t>
      </w:r>
      <w:r w:rsidRPr="00612653">
        <w:rPr>
          <w:rFonts w:ascii="Book Antiqua" w:hAnsi="Book Antiqua"/>
          <w:sz w:val="24"/>
          <w:szCs w:val="24"/>
          <w:shd w:val="clear" w:color="auto" w:fill="FFFFFF"/>
          <w:lang w:val="en-US"/>
        </w:rPr>
        <w:t xml:space="preserve">Ensembl </w:t>
      </w:r>
      <w:r w:rsidRPr="00612653">
        <w:rPr>
          <w:rFonts w:ascii="Book Antiqua" w:hAnsi="Book Antiqua"/>
          <w:i/>
          <w:iCs/>
          <w:sz w:val="24"/>
          <w:szCs w:val="24"/>
          <w:shd w:val="clear" w:color="auto" w:fill="FFFFFF"/>
          <w:lang w:val="en-US"/>
        </w:rPr>
        <w:t>Mus musculus</w:t>
      </w:r>
      <w:r w:rsidRPr="00612653">
        <w:rPr>
          <w:rFonts w:ascii="Book Antiqua" w:hAnsi="Book Antiqua"/>
          <w:sz w:val="24"/>
          <w:szCs w:val="24"/>
          <w:shd w:val="clear" w:color="auto" w:fill="FFFFFF"/>
          <w:lang w:val="en-US"/>
        </w:rPr>
        <w:t xml:space="preserve"> genome using STAR v.2.</w:t>
      </w:r>
      <w:r w:rsidR="009C4970" w:rsidRPr="00612653">
        <w:rPr>
          <w:rFonts w:ascii="Book Antiqua" w:hAnsi="Book Antiqua"/>
          <w:sz w:val="24"/>
          <w:szCs w:val="24"/>
          <w:shd w:val="clear" w:color="auto" w:fill="FFFFFF"/>
          <w:lang w:val="en-US"/>
        </w:rPr>
        <w:t>5</w:t>
      </w:r>
      <w:r w:rsidRPr="00612653">
        <w:rPr>
          <w:rFonts w:ascii="Book Antiqua" w:hAnsi="Book Antiqua"/>
          <w:sz w:val="24"/>
          <w:szCs w:val="24"/>
          <w:shd w:val="clear" w:color="auto" w:fill="FFFFFF"/>
          <w:lang w:val="en-US"/>
        </w:rPr>
        <w:t>.2</w:t>
      </w:r>
      <w:r w:rsidR="009C4970" w:rsidRPr="00612653">
        <w:rPr>
          <w:rFonts w:ascii="Book Antiqua" w:hAnsi="Book Antiqua"/>
          <w:sz w:val="24"/>
          <w:szCs w:val="24"/>
          <w:shd w:val="clear" w:color="auto" w:fill="FFFFFF"/>
          <w:lang w:val="en-US"/>
        </w:rPr>
        <w:t>a</w:t>
      </w:r>
      <w:r w:rsidRPr="00612653" w:rsidDel="00C165B5">
        <w:rPr>
          <w:rFonts w:ascii="Book Antiqua" w:hAnsi="Book Antiqua"/>
          <w:sz w:val="24"/>
          <w:szCs w:val="24"/>
          <w:shd w:val="clear" w:color="auto" w:fill="FFFFFF"/>
          <w:lang w:val="en-US"/>
        </w:rPr>
        <w:t xml:space="preserve"> </w:t>
      </w:r>
      <w:r w:rsidRPr="00612653">
        <w:rPr>
          <w:rFonts w:ascii="Book Antiqua" w:hAnsi="Book Antiqua"/>
          <w:sz w:val="24"/>
          <w:szCs w:val="24"/>
          <w:shd w:val="clear" w:color="auto" w:fill="FFFFFF"/>
          <w:lang w:val="en-US"/>
        </w:rPr>
        <w:t>with default parameters</w:t>
      </w:r>
      <w:r w:rsidR="00A70ED8" w:rsidRPr="00612653">
        <w:rPr>
          <w:rFonts w:ascii="Book Antiqua" w:hAnsi="Book Antiqua"/>
          <w:sz w:val="24"/>
          <w:szCs w:val="24"/>
        </w:rPr>
        <w:fldChar w:fldCharType="begin" w:fldLock="1"/>
      </w:r>
      <w:r w:rsidR="004A5E9A" w:rsidRPr="00612653">
        <w:rPr>
          <w:rFonts w:ascii="Book Antiqua" w:hAnsi="Book Antiqua"/>
          <w:sz w:val="24"/>
          <w:szCs w:val="24"/>
          <w:shd w:val="clear" w:color="auto" w:fill="FFFFFF"/>
          <w:lang w:val="en-US"/>
        </w:rPr>
        <w:instrText>ADDIN CSL_CITATION { "citationItems" : [ { "id" : "ITEM-1", "itemData" : { "DOI" : "10.1093/bioinformatics/bts635", "ISBN" : "1367-4811 (Electronic)\\n1367-4803 (Linking)", "ISSN" : "1367-4811", "PMID" : "23104886", "abstract" : "MOTIVATION: Accurate alignment of high-throughput RNA-seq data is a challenging and yet unsolved problem because of the non-contiguous transcript structure, relatively short read lengths and constantly increasing throughput of the sequencing technologies. Currently available RNA-seq aligners suffer from high mapping error rates, low mapping speed, read length limitation and mapping biases. RESULTS: To align our large (&gt;80 billon reads) ENCODE Transcriptome RNA-seq dataset, we developed the Spliced Transcripts Alignment to a Reference (STAR) software based on a previously undescribed RNA-seq alignment algorithm that uses sequential maximum mappable seed search in uncompressed suffix arrays followed by seed clustering and stitching procedure. STAR outperforms other aligners by a factor of &gt;50 in mapping speed, aligning to the human genome 550 million 2 \u00d7 76 bp paired-end reads per hour on a modest 12-core server, while at the same time improving alignment sensitivity and precision. In addition to unbiased de novo detection of canonical junctions, STAR can discover non-canonical splices and chimeric (fusion) transcripts, and is also capable of mapping full-length RNA sequences. Using Roche 454 sequencing of reverse transcription polymerase chain reaction amplicons, we experimentally validated 1960 novel intergenic splice junctions with an 80-90% success rate, corroborating the high precision of the STAR mapping strategy. AVAILABILITY AND IMPLEMENTATION: STAR is implemented as a standalone C++ code. STAR is free open source software distributed under GPLv3 license and can be downloaded from http://code.google.com/p/rna-star/.", "author" : [ { "dropping-particle" : "", "family" : "Dobin", "given" : "Alexander", "non-dropping-particle" : "", "parse-names" : false, "suffix" : "" }, { "dropping-particle" : "", "family" : "Davis", "given" : "Carrie a", "non-dropping-particle" : "", "parse-names" : false, "suffix" : "" }, { "dropping-particle" : "", "family" : "Schlesinger", "given" : "Felix", "non-dropping-particle" : "", "parse-names" : false, "suffix" : "" }, { "dropping-particle" : "", "family" : "Drenkow", "given" : "Jorg", "non-dropping-particle" : "", "parse-names" : false, "suffix" : "" }, { "dropping-particle" : "", "family" : "Zaleski", "given" : "Chris", "non-dropping-particle" : "", "parse-names" : false, "suffix" : "" }, { "dropping-particle" : "", "family" : "Jha", "given" : "Sonali", "non-dropping-particle" : "", "parse-names" : false, "suffix" : "" }, { "dropping-particle" : "", "family" : "Batut", "given" : "Philippe", "non-dropping-particle" : "", "parse-names" : false, "suffix" : "" }, { "dropping-particle" : "", "family" : "Chaisson", "given" : "Mark", "non-dropping-particle" : "", "parse-names" : false, "suffix" : "" }, { "dropping-particle" : "", "family" : "Gingeras", "given" : "Thomas R", "non-dropping-particle" : "", "parse-names" : false, "suffix" : "" } ], "container-title" : "Bioinformatics (Oxford, England)", "id" : "ITEM-1", "issue" : "1", "issued" : { "date-parts" : [ [ "2013" ] ] }, "page" : "15-21", "title" : "STAR: ultrafast universal RNA-seq aligner.", "type" : "article-journal", "volume" : "29" }, "uris" : [ "http://www.mendeley.com/documents/?uuid=221305b4-7894-4744-aaa0-3c78a3505a10", "http://www.mendeley.com/documents/?uuid=dde412fb-73f7-41ac-98de-01721f68e404" ] } ], "mendeley" : { "formattedCitation" : "&lt;sup&gt;[36]&lt;/sup&gt;", "plainTextFormattedCitation" : "[36]", "previouslyFormattedCitation" : "&lt;sup&gt;[36]&lt;/sup&gt;" }, "properties" : { "noteIndex" : 0 }, "schema" : "https://github.com/citation-style-language/schema/raw/master/csl-citation.json" }</w:instrText>
      </w:r>
      <w:r w:rsidR="00A70ED8" w:rsidRPr="00612653">
        <w:rPr>
          <w:rFonts w:ascii="Book Antiqua" w:hAnsi="Book Antiqua"/>
          <w:sz w:val="24"/>
          <w:szCs w:val="24"/>
          <w:shd w:val="clear" w:color="auto" w:fill="FFFFFF"/>
          <w:vertAlign w:val="superscript"/>
          <w:lang w:val="en-US"/>
        </w:rPr>
        <w:fldChar w:fldCharType="separate"/>
      </w:r>
      <w:r w:rsidR="004A5E9A" w:rsidRPr="00612653">
        <w:rPr>
          <w:rFonts w:ascii="Book Antiqua" w:hAnsi="Book Antiqua"/>
          <w:noProof/>
          <w:sz w:val="24"/>
          <w:szCs w:val="24"/>
          <w:shd w:val="clear" w:color="auto" w:fill="FFFFFF"/>
          <w:vertAlign w:val="superscript"/>
          <w:lang w:val="en-US"/>
        </w:rPr>
        <w:t>[36]</w:t>
      </w:r>
      <w:r w:rsidR="00A70ED8" w:rsidRPr="00612653">
        <w:rPr>
          <w:rFonts w:ascii="Book Antiqua" w:hAnsi="Book Antiqua"/>
          <w:sz w:val="24"/>
          <w:szCs w:val="24"/>
        </w:rPr>
        <w:fldChar w:fldCharType="end"/>
      </w:r>
      <w:r w:rsidRPr="00612653">
        <w:rPr>
          <w:rFonts w:ascii="Book Antiqua" w:hAnsi="Book Antiqua"/>
          <w:sz w:val="24"/>
          <w:szCs w:val="24"/>
          <w:shd w:val="clear" w:color="auto" w:fill="FFFFFF"/>
          <w:lang w:val="en-US"/>
        </w:rPr>
        <w:t>.</w:t>
      </w:r>
      <w:r w:rsidR="007773EA" w:rsidRPr="00612653">
        <w:rPr>
          <w:rFonts w:ascii="Book Antiqua" w:hAnsi="Book Antiqua"/>
          <w:sz w:val="24"/>
          <w:szCs w:val="24"/>
          <w:shd w:val="clear" w:color="auto" w:fill="FFFFFF"/>
          <w:lang w:val="en-US" w:eastAsia="zh-CN"/>
        </w:rPr>
        <w:t xml:space="preserve"> </w:t>
      </w:r>
      <w:r w:rsidRPr="00612653">
        <w:rPr>
          <w:rFonts w:ascii="Book Antiqua" w:hAnsi="Book Antiqua"/>
          <w:sz w:val="24"/>
          <w:szCs w:val="24"/>
          <w:shd w:val="clear" w:color="auto" w:fill="FFFFFF"/>
          <w:lang w:val="en-US"/>
        </w:rPr>
        <w:t xml:space="preserve">Differential </w:t>
      </w:r>
      <w:r w:rsidR="009C4970" w:rsidRPr="00612653">
        <w:rPr>
          <w:rFonts w:ascii="Book Antiqua" w:hAnsi="Book Antiqua"/>
          <w:sz w:val="24"/>
          <w:szCs w:val="24"/>
          <w:shd w:val="clear" w:color="auto" w:fill="FFFFFF"/>
          <w:lang w:val="en-US"/>
        </w:rPr>
        <w:t xml:space="preserve">gene </w:t>
      </w:r>
      <w:r w:rsidRPr="00612653">
        <w:rPr>
          <w:rFonts w:ascii="Book Antiqua" w:hAnsi="Book Antiqua"/>
          <w:sz w:val="24"/>
          <w:szCs w:val="24"/>
          <w:shd w:val="clear" w:color="auto" w:fill="FFFFFF"/>
          <w:lang w:val="en-US"/>
        </w:rPr>
        <w:t>expression analysis was performed with DEseq2</w:t>
      </w:r>
      <w:r w:rsidR="00690E0B" w:rsidRPr="00612653">
        <w:rPr>
          <w:rFonts w:ascii="Book Antiqua" w:hAnsi="Book Antiqua"/>
          <w:sz w:val="24"/>
          <w:szCs w:val="24"/>
        </w:rPr>
        <w:fldChar w:fldCharType="begin" w:fldLock="1"/>
      </w:r>
      <w:r w:rsidR="004A5E9A" w:rsidRPr="00612653">
        <w:rPr>
          <w:rFonts w:ascii="Book Antiqua" w:hAnsi="Book Antiqua"/>
          <w:sz w:val="24"/>
          <w:szCs w:val="24"/>
          <w:shd w:val="clear" w:color="auto" w:fill="FFFFFF"/>
          <w:lang w:val="en-US"/>
        </w:rPr>
        <w:instrText>ADDIN CSL_CITATION { "citationItems" : [ { "id" : "ITEM-1", "itemData" : { "DOI" : "10.1186/s13059-014-0550-8", "ISSN" : "1474-760X", "PMID" : "25516281", "abstract" : "In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http://www.bioconductor.org/packages/release/bioc/html/DESeq2.html webcite.", "author" : [ { "dropping-particle" : "", "family" : "Love", "given" : "Michael I", "non-dropping-particle" : "", "parse-names" : false, "suffix" : "" }, { "dropping-particle" : "", "family" : "Huber", "given" : "Wolfgang", "non-dropping-particle" : "", "parse-names" : false, "suffix" : "" }, { "dropping-particle" : "", "family" : "Anders", "given" : "Simon", "non-dropping-particle" : "", "parse-names" : false, "suffix" : "" } ], "container-title" : "Genome biology", "id" : "ITEM-1", "issue" : "12", "issued" : { "date-parts" : [ [ "2014", "12", "5" ] ] }, "page" : "550", "title" : "Moderated estimation of fold change and dispersion for RNA-seq data with DESeq2.", "type" : "article-journal", "volume" : "15" }, "uris" : [ "http://www.mendeley.com/documents/?uuid=bb3e34f5-1918-3cd1-a1f3-2ec4705683ae", "http://www.mendeley.com/documents/?uuid=64e53c62-fbdb-415d-a562-ea598a0feba9" ] } ], "mendeley" : { "formattedCitation" : "&lt;sup&gt;[37]&lt;/sup&gt;", "plainTextFormattedCitation" : "[37]", "previouslyFormattedCitation" : "&lt;sup&gt;[37]&lt;/sup&gt;" }, "properties" : { "noteIndex" : 0 }, "schema" : "https://github.com/citation-style-language/schema/raw/master/csl-citation.json" }</w:instrText>
      </w:r>
      <w:r w:rsidR="00690E0B" w:rsidRPr="00612653">
        <w:rPr>
          <w:rFonts w:ascii="Book Antiqua" w:hAnsi="Book Antiqua"/>
          <w:sz w:val="24"/>
          <w:szCs w:val="24"/>
          <w:shd w:val="clear" w:color="auto" w:fill="FFFFFF"/>
          <w:lang w:val="en-US"/>
        </w:rPr>
        <w:fldChar w:fldCharType="separate"/>
      </w:r>
      <w:r w:rsidR="004A5E9A" w:rsidRPr="00612653">
        <w:rPr>
          <w:rFonts w:ascii="Book Antiqua" w:hAnsi="Book Antiqua"/>
          <w:noProof/>
          <w:sz w:val="24"/>
          <w:szCs w:val="24"/>
          <w:shd w:val="clear" w:color="auto" w:fill="FFFFFF"/>
          <w:vertAlign w:val="superscript"/>
          <w:lang w:val="en-US"/>
        </w:rPr>
        <w:t>[37]</w:t>
      </w:r>
      <w:r w:rsidR="00690E0B" w:rsidRPr="00612653">
        <w:rPr>
          <w:rFonts w:ascii="Book Antiqua" w:hAnsi="Book Antiqua"/>
          <w:sz w:val="24"/>
          <w:szCs w:val="24"/>
        </w:rPr>
        <w:fldChar w:fldCharType="end"/>
      </w:r>
      <w:r w:rsidR="00690E0B" w:rsidRPr="00612653">
        <w:rPr>
          <w:rFonts w:ascii="Book Antiqua" w:hAnsi="Book Antiqua"/>
          <w:sz w:val="24"/>
          <w:szCs w:val="24"/>
          <w:shd w:val="clear" w:color="auto" w:fill="FFFFFF"/>
          <w:lang w:val="en-US"/>
        </w:rPr>
        <w:t>. G</w:t>
      </w:r>
      <w:r w:rsidRPr="00612653">
        <w:rPr>
          <w:rFonts w:ascii="Book Antiqua" w:hAnsi="Book Antiqua"/>
          <w:sz w:val="24"/>
          <w:szCs w:val="24"/>
          <w:shd w:val="clear" w:color="auto" w:fill="FFFFFF"/>
          <w:lang w:val="en-US"/>
        </w:rPr>
        <w:t>enes with a</w:t>
      </w:r>
      <w:r w:rsidRPr="00612653">
        <w:rPr>
          <w:rStyle w:val="apple-converted-space"/>
          <w:rFonts w:ascii="Book Antiqua" w:hAnsi="Book Antiqua"/>
          <w:sz w:val="24"/>
          <w:szCs w:val="24"/>
          <w:shd w:val="clear" w:color="auto" w:fill="FFFFFF"/>
          <w:lang w:val="en-US"/>
        </w:rPr>
        <w:t> </w:t>
      </w:r>
      <w:r w:rsidR="00A34B85" w:rsidRPr="00612653">
        <w:rPr>
          <w:rStyle w:val="apple-converted-space"/>
          <w:rFonts w:ascii="Book Antiqua" w:hAnsi="Book Antiqua"/>
          <w:sz w:val="24"/>
          <w:szCs w:val="24"/>
          <w:shd w:val="clear" w:color="auto" w:fill="FFFFFF"/>
          <w:lang w:val="en-US"/>
        </w:rPr>
        <w:t>Benjamini and Hochberg</w:t>
      </w:r>
      <w:r w:rsidR="009C4970" w:rsidRPr="00612653">
        <w:rPr>
          <w:rStyle w:val="apple-converted-space"/>
          <w:rFonts w:ascii="Book Antiqua" w:hAnsi="Book Antiqua"/>
          <w:sz w:val="24"/>
          <w:szCs w:val="24"/>
          <w:shd w:val="clear" w:color="auto" w:fill="FFFFFF"/>
          <w:lang w:val="en-US"/>
        </w:rPr>
        <w:t xml:space="preserve"> adjusted </w:t>
      </w:r>
      <w:r w:rsidRPr="00612653">
        <w:rPr>
          <w:rStyle w:val="Emphasis"/>
          <w:rFonts w:ascii="Book Antiqua" w:hAnsi="Book Antiqua"/>
          <w:caps/>
          <w:sz w:val="24"/>
          <w:szCs w:val="24"/>
          <w:shd w:val="clear" w:color="auto" w:fill="FFFFFF"/>
          <w:lang w:val="en-US"/>
        </w:rPr>
        <w:t>p</w:t>
      </w:r>
      <w:r w:rsidR="007C5756" w:rsidRPr="00612653">
        <w:rPr>
          <w:rFonts w:ascii="Book Antiqua" w:hAnsi="Book Antiqua"/>
          <w:sz w:val="24"/>
          <w:szCs w:val="24"/>
          <w:shd w:val="clear" w:color="auto" w:fill="FFFFFF"/>
          <w:lang w:val="en-US" w:eastAsia="zh-CN"/>
        </w:rPr>
        <w:t xml:space="preserve"> </w:t>
      </w:r>
      <w:r w:rsidR="00690E0B" w:rsidRPr="00612653">
        <w:rPr>
          <w:rFonts w:ascii="Book Antiqua" w:hAnsi="Book Antiqua"/>
          <w:sz w:val="24"/>
          <w:szCs w:val="24"/>
          <w:shd w:val="clear" w:color="auto" w:fill="FFFFFF"/>
          <w:lang w:val="en-US"/>
        </w:rPr>
        <w:t>≤</w:t>
      </w:r>
      <w:r w:rsidR="007C5756" w:rsidRPr="00612653">
        <w:rPr>
          <w:rFonts w:ascii="Book Antiqua" w:hAnsi="Book Antiqua"/>
          <w:sz w:val="24"/>
          <w:szCs w:val="24"/>
          <w:shd w:val="clear" w:color="auto" w:fill="FFFFFF"/>
          <w:lang w:val="en-US" w:eastAsia="zh-CN"/>
        </w:rPr>
        <w:t xml:space="preserve"> </w:t>
      </w:r>
      <w:r w:rsidR="00690E0B" w:rsidRPr="00612653">
        <w:rPr>
          <w:rFonts w:ascii="Book Antiqua" w:hAnsi="Book Antiqua"/>
          <w:sz w:val="24"/>
          <w:szCs w:val="24"/>
          <w:shd w:val="clear" w:color="auto" w:fill="FFFFFF"/>
          <w:lang w:val="en-US"/>
        </w:rPr>
        <w:t>0.05</w:t>
      </w:r>
      <w:r w:rsidR="00F9190E" w:rsidRPr="00612653">
        <w:rPr>
          <w:rFonts w:ascii="Book Antiqua" w:hAnsi="Book Antiqua"/>
          <w:sz w:val="24"/>
          <w:szCs w:val="24"/>
          <w:shd w:val="clear" w:color="auto" w:fill="FFFFFF"/>
          <w:lang w:val="en-US"/>
        </w:rPr>
        <w:t xml:space="preserve"> (5% </w:t>
      </w:r>
      <w:r w:rsidR="00922ED1" w:rsidRPr="00612653">
        <w:rPr>
          <w:rFonts w:ascii="Book Antiqua" w:hAnsi="Book Antiqua"/>
          <w:sz w:val="24"/>
          <w:szCs w:val="24"/>
          <w:shd w:val="clear" w:color="auto" w:fill="FFFFFF"/>
          <w:lang w:val="en-US"/>
        </w:rPr>
        <w:t>False Discovery Rate</w:t>
      </w:r>
      <w:r w:rsidR="00A34B85" w:rsidRPr="00612653">
        <w:rPr>
          <w:rFonts w:ascii="Book Antiqua" w:hAnsi="Book Antiqua"/>
          <w:sz w:val="24"/>
          <w:szCs w:val="24"/>
          <w:shd w:val="clear" w:color="auto" w:fill="FFFFFF"/>
          <w:lang w:val="en-US"/>
        </w:rPr>
        <w:t>)</w:t>
      </w:r>
      <w:r w:rsidR="00690E0B" w:rsidRPr="00612653">
        <w:rPr>
          <w:rFonts w:ascii="Book Antiqua" w:hAnsi="Book Antiqua"/>
          <w:sz w:val="24"/>
          <w:szCs w:val="24"/>
          <w:shd w:val="clear" w:color="auto" w:fill="FFFFFF"/>
          <w:lang w:val="en-US"/>
        </w:rPr>
        <w:t xml:space="preserve"> were</w:t>
      </w:r>
      <w:r w:rsidRPr="00612653">
        <w:rPr>
          <w:rFonts w:ascii="Book Antiqua" w:hAnsi="Book Antiqua"/>
          <w:sz w:val="24"/>
          <w:szCs w:val="24"/>
          <w:shd w:val="clear" w:color="auto" w:fill="FFFFFF"/>
          <w:lang w:val="en-US"/>
        </w:rPr>
        <w:t xml:space="preserve"> regarded as </w:t>
      </w:r>
      <w:r w:rsidR="00690E0B" w:rsidRPr="00612653">
        <w:rPr>
          <w:rFonts w:ascii="Book Antiqua" w:hAnsi="Book Antiqua"/>
          <w:sz w:val="24"/>
          <w:szCs w:val="24"/>
          <w:shd w:val="clear" w:color="auto" w:fill="FFFFFF"/>
          <w:lang w:val="en-US"/>
        </w:rPr>
        <w:t xml:space="preserve">statistically </w:t>
      </w:r>
      <w:r w:rsidRPr="00612653">
        <w:rPr>
          <w:rFonts w:ascii="Book Antiqua" w:hAnsi="Book Antiqua"/>
          <w:sz w:val="24"/>
          <w:szCs w:val="24"/>
          <w:shd w:val="clear" w:color="auto" w:fill="FFFFFF"/>
          <w:lang w:val="en-US"/>
        </w:rPr>
        <w:t xml:space="preserve">significantly </w:t>
      </w:r>
      <w:r w:rsidRPr="00612653">
        <w:rPr>
          <w:rFonts w:ascii="Book Antiqua" w:hAnsi="Book Antiqua"/>
          <w:sz w:val="24"/>
          <w:szCs w:val="24"/>
          <w:shd w:val="clear" w:color="auto" w:fill="FFFFFF"/>
          <w:lang w:val="en-US"/>
        </w:rPr>
        <w:lastRenderedPageBreak/>
        <w:t xml:space="preserve">regulated. </w:t>
      </w:r>
      <w:r w:rsidR="00A34B85" w:rsidRPr="00612653">
        <w:rPr>
          <w:rFonts w:ascii="Book Antiqua" w:hAnsi="Book Antiqua"/>
          <w:sz w:val="24"/>
          <w:szCs w:val="24"/>
          <w:shd w:val="clear" w:color="auto" w:fill="FFFFFF"/>
          <w:lang w:val="en-US"/>
        </w:rPr>
        <w:t>E</w:t>
      </w:r>
      <w:r w:rsidR="0063768B" w:rsidRPr="00612653">
        <w:rPr>
          <w:rFonts w:ascii="Book Antiqua" w:hAnsi="Book Antiqua"/>
          <w:sz w:val="24"/>
          <w:szCs w:val="24"/>
          <w:shd w:val="clear" w:color="auto" w:fill="FFFFFF"/>
          <w:lang w:val="en-US"/>
        </w:rPr>
        <w:t>nrich</w:t>
      </w:r>
      <w:r w:rsidR="00A34B85" w:rsidRPr="00612653">
        <w:rPr>
          <w:rFonts w:ascii="Book Antiqua" w:hAnsi="Book Antiqua"/>
          <w:sz w:val="24"/>
          <w:szCs w:val="24"/>
          <w:shd w:val="clear" w:color="auto" w:fill="FFFFFF"/>
          <w:lang w:val="en-US"/>
        </w:rPr>
        <w:t>m</w:t>
      </w:r>
      <w:r w:rsidR="0063768B" w:rsidRPr="00612653">
        <w:rPr>
          <w:rFonts w:ascii="Book Antiqua" w:hAnsi="Book Antiqua"/>
          <w:sz w:val="24"/>
          <w:szCs w:val="24"/>
          <w:shd w:val="clear" w:color="auto" w:fill="FFFFFF"/>
          <w:lang w:val="en-US"/>
        </w:rPr>
        <w:t>e</w:t>
      </w:r>
      <w:r w:rsidR="00A34B85" w:rsidRPr="00612653">
        <w:rPr>
          <w:rFonts w:ascii="Book Antiqua" w:hAnsi="Book Antiqua"/>
          <w:sz w:val="24"/>
          <w:szCs w:val="24"/>
          <w:shd w:val="clear" w:color="auto" w:fill="FFFFFF"/>
          <w:lang w:val="en-US"/>
        </w:rPr>
        <w:t>nt analy</w:t>
      </w:r>
      <w:r w:rsidR="0063768B" w:rsidRPr="00612653">
        <w:rPr>
          <w:rFonts w:ascii="Book Antiqua" w:hAnsi="Book Antiqua"/>
          <w:sz w:val="24"/>
          <w:szCs w:val="24"/>
          <w:shd w:val="clear" w:color="auto" w:fill="FFFFFF"/>
          <w:lang w:val="en-US"/>
        </w:rPr>
        <w:t>si</w:t>
      </w:r>
      <w:r w:rsidR="00A34B85" w:rsidRPr="00612653">
        <w:rPr>
          <w:rFonts w:ascii="Book Antiqua" w:hAnsi="Book Antiqua"/>
          <w:sz w:val="24"/>
          <w:szCs w:val="24"/>
          <w:shd w:val="clear" w:color="auto" w:fill="FFFFFF"/>
          <w:lang w:val="en-US"/>
        </w:rPr>
        <w:t xml:space="preserve">s of </w:t>
      </w:r>
      <w:r w:rsidRPr="00612653">
        <w:rPr>
          <w:rFonts w:ascii="Book Antiqua" w:hAnsi="Book Antiqua"/>
          <w:sz w:val="24"/>
          <w:szCs w:val="24"/>
          <w:shd w:val="clear" w:color="auto" w:fill="FFFFFF"/>
          <w:lang w:val="en-US"/>
        </w:rPr>
        <w:t xml:space="preserve">KEGG </w:t>
      </w:r>
      <w:r w:rsidR="00B36CF5" w:rsidRPr="00612653">
        <w:rPr>
          <w:rFonts w:ascii="Book Antiqua" w:hAnsi="Book Antiqua"/>
          <w:sz w:val="24"/>
          <w:szCs w:val="24"/>
          <w:shd w:val="clear" w:color="auto" w:fill="FFFFFF"/>
          <w:lang w:val="en-US"/>
        </w:rPr>
        <w:t>pathway</w:t>
      </w:r>
      <w:r w:rsidR="0063312D" w:rsidRPr="00612653">
        <w:rPr>
          <w:rFonts w:ascii="Book Antiqua" w:hAnsi="Book Antiqua"/>
          <w:sz w:val="24"/>
          <w:szCs w:val="24"/>
          <w:shd w:val="clear" w:color="auto" w:fill="FFFFFF"/>
          <w:lang w:val="en-US"/>
        </w:rPr>
        <w:t>s</w:t>
      </w:r>
      <w:r w:rsidR="00B36CF5" w:rsidRPr="00612653">
        <w:rPr>
          <w:rFonts w:ascii="Book Antiqua" w:hAnsi="Book Antiqua"/>
          <w:sz w:val="24"/>
          <w:szCs w:val="24"/>
          <w:shd w:val="clear" w:color="auto" w:fill="FFFFFF"/>
          <w:lang w:val="en-US"/>
        </w:rPr>
        <w:t xml:space="preserve"> were</w:t>
      </w:r>
      <w:r w:rsidRPr="00612653">
        <w:rPr>
          <w:rFonts w:ascii="Book Antiqua" w:hAnsi="Book Antiqua"/>
          <w:sz w:val="24"/>
          <w:szCs w:val="24"/>
          <w:shd w:val="clear" w:color="auto" w:fill="FFFFFF"/>
          <w:lang w:val="en-US"/>
        </w:rPr>
        <w:t xml:space="preserve"> performed using the clusterProfiler package for </w:t>
      </w:r>
      <w:r w:rsidR="00A34B85" w:rsidRPr="00612653">
        <w:rPr>
          <w:rFonts w:ascii="Book Antiqua" w:hAnsi="Book Antiqua"/>
          <w:sz w:val="24"/>
          <w:szCs w:val="24"/>
          <w:shd w:val="clear" w:color="auto" w:fill="FFFFFF"/>
          <w:lang w:val="en-US"/>
        </w:rPr>
        <w:t>R</w:t>
      </w:r>
      <w:r w:rsidR="00690E0B" w:rsidRPr="00612653">
        <w:rPr>
          <w:rFonts w:ascii="Book Antiqua" w:hAnsi="Book Antiqua"/>
          <w:sz w:val="24"/>
          <w:szCs w:val="24"/>
        </w:rPr>
        <w:fldChar w:fldCharType="begin" w:fldLock="1"/>
      </w:r>
      <w:r w:rsidR="004A5E9A" w:rsidRPr="00612653">
        <w:rPr>
          <w:rFonts w:ascii="Book Antiqua" w:hAnsi="Book Antiqua"/>
          <w:sz w:val="24"/>
          <w:szCs w:val="24"/>
          <w:lang w:val="en-US"/>
        </w:rPr>
        <w:instrText>ADDIN CSL_CITATION { "citationItems" : [ { "id" : "ITEM-1", "itemData" : { "DOI" : "10.1089/omi.2011.0118", "ISSN" : "1557-8100", "PMID" : "22455463", "abstract" : "Increasing quantitative data generated from transcriptomics and proteomics require integrative strategies for analysis. Here, we present an R package, clusterProfiler that automates the process of biological-term classification and the enrichment analysis of gene clusters. The analysis module and visualization module were combined into a reusable workflow. Currently, clusterProfiler supports three species, including humans, mice, and yeast. Methods provided in this package can be easily extended to other species and ontologies. The clusterProfiler package is released under Artistic-2.0 License within Bioconductor project. The source code and vignette are freely available at http://bioconductor.org/packages/release/bioc/html/clusterProfiler.html.", "author" : [ { "dropping-particle" : "", "family" : "Yu", "given" : "Guangchuang", "non-dropping-particle" : "", "parse-names" : false, "suffix" : "" }, { "dropping-particle" : "", "family" : "Wang", "given" : "Li-Gen", "non-dropping-particle" : "", "parse-names" : false, "suffix" : "" }, { "dropping-particle" : "", "family" : "Han", "given" : "Yanyan", "non-dropping-particle" : "", "parse-names" : false, "suffix" : "" }, { "dropping-particle" : "", "family" : "He", "given" : "Qing-Yu", "non-dropping-particle" : "", "parse-names" : false, "suffix" : "" } ], "container-title" : "Omics : a journal of integrative biology", "id" : "ITEM-1", "issue" : "5", "issued" : { "date-parts" : [ [ "2012", "5" ] ] }, "page" : "284-7", "title" : "clusterProfiler: an R package for comparing biological themes among gene clusters.", "type" : "article-journal", "volume" : "16" }, "uris" : [ "http://www.mendeley.com/documents/?uuid=45a08ed7-a01b-3556-a950-dda620c04328", "http://www.mendeley.com/documents/?uuid=1fcff181-489c-437e-bce2-7b3476b0edfa" ] } ], "mendeley" : { "formattedCitation" : "&lt;sup&gt;[38]&lt;/sup&gt;", "plainTextFormattedCitation" : "[38]", "previouslyFormattedCitation" : "&lt;sup&gt;[38]&lt;/sup&gt;" }, "properties" : { "noteIndex" : 0 }, "schema" : "https://github.com/citation-style-language/schema/raw/master/csl-citation.json" }</w:instrText>
      </w:r>
      <w:r w:rsidR="00690E0B" w:rsidRPr="00612653">
        <w:rPr>
          <w:rFonts w:ascii="Book Antiqua" w:hAnsi="Book Antiqua"/>
          <w:sz w:val="24"/>
          <w:szCs w:val="24"/>
          <w:lang w:val="en-US"/>
        </w:rPr>
        <w:fldChar w:fldCharType="separate"/>
      </w:r>
      <w:r w:rsidR="004A5E9A" w:rsidRPr="00612653">
        <w:rPr>
          <w:rFonts w:ascii="Book Antiqua" w:hAnsi="Book Antiqua"/>
          <w:noProof/>
          <w:sz w:val="24"/>
          <w:szCs w:val="24"/>
          <w:vertAlign w:val="superscript"/>
          <w:lang w:val="en-US"/>
        </w:rPr>
        <w:t>[38]</w:t>
      </w:r>
      <w:r w:rsidR="00690E0B" w:rsidRPr="00612653">
        <w:rPr>
          <w:rFonts w:ascii="Book Antiqua" w:hAnsi="Book Antiqua"/>
          <w:sz w:val="24"/>
          <w:szCs w:val="24"/>
        </w:rPr>
        <w:fldChar w:fldCharType="end"/>
      </w:r>
      <w:r w:rsidR="00690E0B" w:rsidRPr="00612653">
        <w:rPr>
          <w:rFonts w:ascii="Book Antiqua" w:hAnsi="Book Antiqua"/>
          <w:sz w:val="24"/>
          <w:szCs w:val="24"/>
          <w:lang w:val="en-US"/>
        </w:rPr>
        <w:t>.</w:t>
      </w:r>
    </w:p>
    <w:p w14:paraId="2EAB1531" w14:textId="77777777" w:rsidR="007479BB" w:rsidRPr="00612653" w:rsidRDefault="007479BB" w:rsidP="00082279">
      <w:pPr>
        <w:snapToGrid w:val="0"/>
        <w:spacing w:after="0" w:line="360" w:lineRule="auto"/>
        <w:jc w:val="both"/>
        <w:rPr>
          <w:rFonts w:ascii="Book Antiqua" w:hAnsi="Book Antiqua"/>
          <w:i/>
          <w:iCs/>
          <w:sz w:val="24"/>
          <w:szCs w:val="24"/>
          <w:lang w:val="en-US"/>
        </w:rPr>
      </w:pPr>
    </w:p>
    <w:p w14:paraId="55A84206" w14:textId="63BAA8AA" w:rsidR="009F6856" w:rsidRPr="00612653" w:rsidRDefault="009F6856" w:rsidP="00082279">
      <w:pPr>
        <w:snapToGrid w:val="0"/>
        <w:spacing w:after="0" w:line="360" w:lineRule="auto"/>
        <w:jc w:val="both"/>
        <w:rPr>
          <w:rFonts w:ascii="Book Antiqua" w:hAnsi="Book Antiqua"/>
          <w:b/>
          <w:i/>
          <w:iCs/>
          <w:sz w:val="24"/>
          <w:szCs w:val="24"/>
          <w:lang w:val="en-US" w:eastAsia="zh-CN"/>
        </w:rPr>
      </w:pPr>
      <w:r w:rsidRPr="00612653">
        <w:rPr>
          <w:rFonts w:ascii="Book Antiqua" w:hAnsi="Book Antiqua"/>
          <w:b/>
          <w:i/>
          <w:iCs/>
          <w:sz w:val="24"/>
          <w:szCs w:val="24"/>
          <w:lang w:val="en-US"/>
        </w:rPr>
        <w:t>Statistical analys</w:t>
      </w:r>
      <w:r w:rsidR="00970E52" w:rsidRPr="00612653">
        <w:rPr>
          <w:rFonts w:ascii="Book Antiqua" w:hAnsi="Book Antiqua"/>
          <w:b/>
          <w:i/>
          <w:iCs/>
          <w:sz w:val="24"/>
          <w:szCs w:val="24"/>
          <w:lang w:val="en-US"/>
        </w:rPr>
        <w:t>e</w:t>
      </w:r>
      <w:r w:rsidR="007773EA" w:rsidRPr="00612653">
        <w:rPr>
          <w:rFonts w:ascii="Book Antiqua" w:hAnsi="Book Antiqua"/>
          <w:b/>
          <w:i/>
          <w:iCs/>
          <w:sz w:val="24"/>
          <w:szCs w:val="24"/>
          <w:lang w:val="en-US"/>
        </w:rPr>
        <w:t>s</w:t>
      </w:r>
    </w:p>
    <w:p w14:paraId="32F9D5E5" w14:textId="621F365F" w:rsidR="009F6856" w:rsidRPr="00612653" w:rsidRDefault="00F0684A"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t>Except from RNA sequencing, data</w:t>
      </w:r>
      <w:r w:rsidR="00690E0B" w:rsidRPr="00612653">
        <w:rPr>
          <w:rFonts w:ascii="Book Antiqua" w:hAnsi="Book Antiqua"/>
          <w:sz w:val="24"/>
          <w:szCs w:val="24"/>
          <w:lang w:val="en-US"/>
        </w:rPr>
        <w:t xml:space="preserve"> were</w:t>
      </w:r>
      <w:r w:rsidR="00995377" w:rsidRPr="00612653">
        <w:rPr>
          <w:rFonts w:ascii="Book Antiqua" w:hAnsi="Book Antiqua"/>
          <w:sz w:val="24"/>
          <w:szCs w:val="24"/>
          <w:lang w:val="en-US"/>
        </w:rPr>
        <w:t xml:space="preserve"> </w:t>
      </w:r>
      <w:r w:rsidR="009F6856" w:rsidRPr="00612653">
        <w:rPr>
          <w:rFonts w:ascii="Book Antiqua" w:hAnsi="Book Antiqua"/>
          <w:sz w:val="24"/>
          <w:szCs w:val="24"/>
          <w:lang w:val="en-US"/>
        </w:rPr>
        <w:t xml:space="preserve">analyzed using </w:t>
      </w:r>
      <w:r w:rsidR="007A36E5" w:rsidRPr="00612653">
        <w:rPr>
          <w:rFonts w:ascii="Book Antiqua" w:hAnsi="Book Antiqua"/>
          <w:sz w:val="24"/>
          <w:szCs w:val="24"/>
          <w:lang w:val="en-US"/>
        </w:rPr>
        <w:t xml:space="preserve">GraphPad </w:t>
      </w:r>
      <w:r w:rsidR="009F6856" w:rsidRPr="00612653">
        <w:rPr>
          <w:rFonts w:ascii="Book Antiqua" w:hAnsi="Book Antiqua"/>
          <w:sz w:val="24"/>
          <w:szCs w:val="24"/>
          <w:lang w:val="en-US"/>
        </w:rPr>
        <w:t xml:space="preserve">Prism </w:t>
      </w:r>
      <w:r w:rsidR="00C36B55" w:rsidRPr="00612653">
        <w:rPr>
          <w:rFonts w:ascii="Book Antiqua" w:hAnsi="Book Antiqua"/>
          <w:sz w:val="24"/>
          <w:szCs w:val="24"/>
          <w:lang w:val="en-US"/>
        </w:rPr>
        <w:t>v</w:t>
      </w:r>
      <w:r w:rsidR="009F6856" w:rsidRPr="00612653">
        <w:rPr>
          <w:rFonts w:ascii="Book Antiqua" w:hAnsi="Book Antiqua"/>
          <w:sz w:val="24"/>
          <w:szCs w:val="24"/>
          <w:lang w:val="en-US"/>
        </w:rPr>
        <w:t>5.0</w:t>
      </w:r>
      <w:r w:rsidR="007A36E5" w:rsidRPr="00612653">
        <w:rPr>
          <w:rFonts w:ascii="Book Antiqua" w:hAnsi="Book Antiqua"/>
          <w:sz w:val="24"/>
          <w:szCs w:val="24"/>
          <w:lang w:val="en-US"/>
        </w:rPr>
        <w:t>2</w:t>
      </w:r>
      <w:r w:rsidR="00690E0B" w:rsidRPr="00612653">
        <w:rPr>
          <w:rFonts w:ascii="Book Antiqua" w:hAnsi="Book Antiqua"/>
          <w:sz w:val="24"/>
          <w:szCs w:val="24"/>
          <w:lang w:val="en-US"/>
        </w:rPr>
        <w:t xml:space="preserve"> software</w:t>
      </w:r>
      <w:r w:rsidR="009F6856" w:rsidRPr="00612653">
        <w:rPr>
          <w:rFonts w:ascii="Book Antiqua" w:hAnsi="Book Antiqua"/>
          <w:sz w:val="24"/>
          <w:szCs w:val="24"/>
          <w:lang w:val="en-US"/>
        </w:rPr>
        <w:t xml:space="preserve"> </w:t>
      </w:r>
      <w:r w:rsidR="00690E0B" w:rsidRPr="00612653">
        <w:rPr>
          <w:rFonts w:ascii="Book Antiqua" w:hAnsi="Book Antiqua"/>
          <w:sz w:val="24"/>
          <w:szCs w:val="24"/>
          <w:lang w:val="en-US"/>
        </w:rPr>
        <w:t>(GraphPad, La Jolla, CA</w:t>
      </w:r>
      <w:r w:rsidR="007C5756" w:rsidRPr="00612653">
        <w:rPr>
          <w:rFonts w:ascii="Book Antiqua" w:hAnsi="Book Antiqua"/>
          <w:sz w:val="24"/>
          <w:szCs w:val="24"/>
          <w:lang w:val="en-US" w:eastAsia="zh-CN"/>
        </w:rPr>
        <w:t>, United States</w:t>
      </w:r>
      <w:r w:rsidR="00690E0B" w:rsidRPr="00612653">
        <w:rPr>
          <w:rFonts w:ascii="Book Antiqua" w:hAnsi="Book Antiqua"/>
          <w:sz w:val="24"/>
          <w:szCs w:val="24"/>
          <w:lang w:val="en-US"/>
        </w:rPr>
        <w:t>)</w:t>
      </w:r>
      <w:r w:rsidR="009F6856" w:rsidRPr="00612653">
        <w:rPr>
          <w:rFonts w:ascii="Book Antiqua" w:hAnsi="Book Antiqua"/>
          <w:sz w:val="24"/>
          <w:szCs w:val="24"/>
          <w:lang w:val="en-US"/>
        </w:rPr>
        <w:t xml:space="preserve">. </w:t>
      </w:r>
      <w:r w:rsidR="00BF3A31" w:rsidRPr="00612653">
        <w:rPr>
          <w:rFonts w:ascii="Book Antiqua" w:hAnsi="Book Antiqua"/>
          <w:sz w:val="24"/>
          <w:szCs w:val="24"/>
          <w:lang w:val="en-US"/>
        </w:rPr>
        <w:t>All</w:t>
      </w:r>
      <w:r w:rsidR="009F6856" w:rsidRPr="00612653">
        <w:rPr>
          <w:rFonts w:ascii="Book Antiqua" w:hAnsi="Book Antiqua"/>
          <w:sz w:val="24"/>
          <w:szCs w:val="24"/>
          <w:lang w:val="en-US"/>
        </w:rPr>
        <w:t xml:space="preserve"> results are shown as mean ± </w:t>
      </w:r>
      <w:r w:rsidR="00690E0B" w:rsidRPr="00612653">
        <w:rPr>
          <w:rFonts w:ascii="Book Antiqua" w:hAnsi="Book Antiqua"/>
          <w:sz w:val="24"/>
          <w:szCs w:val="24"/>
          <w:lang w:val="en-US"/>
        </w:rPr>
        <w:t>standard error of mean (</w:t>
      </w:r>
      <w:r w:rsidR="003B508B" w:rsidRPr="00612653">
        <w:rPr>
          <w:rFonts w:ascii="Book Antiqua" w:hAnsi="Book Antiqua"/>
          <w:sz w:val="24"/>
          <w:szCs w:val="24"/>
          <w:lang w:val="en-US"/>
        </w:rPr>
        <w:t>S</w:t>
      </w:r>
      <w:r w:rsidR="00D21E5C" w:rsidRPr="00612653">
        <w:rPr>
          <w:rFonts w:ascii="Book Antiqua" w:hAnsi="Book Antiqua"/>
          <w:sz w:val="24"/>
          <w:szCs w:val="24"/>
          <w:lang w:val="en-US"/>
        </w:rPr>
        <w:t>.</w:t>
      </w:r>
      <w:r w:rsidR="003B508B" w:rsidRPr="00612653">
        <w:rPr>
          <w:rFonts w:ascii="Book Antiqua" w:hAnsi="Book Antiqua"/>
          <w:sz w:val="24"/>
          <w:szCs w:val="24"/>
          <w:lang w:val="en-US"/>
        </w:rPr>
        <w:t>E</w:t>
      </w:r>
      <w:r w:rsidR="00D21E5C" w:rsidRPr="00612653">
        <w:rPr>
          <w:rFonts w:ascii="Book Antiqua" w:hAnsi="Book Antiqua"/>
          <w:sz w:val="24"/>
          <w:szCs w:val="24"/>
          <w:lang w:val="en-US"/>
        </w:rPr>
        <w:t>.</w:t>
      </w:r>
      <w:r w:rsidR="003B508B" w:rsidRPr="00612653">
        <w:rPr>
          <w:rFonts w:ascii="Book Antiqua" w:hAnsi="Book Antiqua"/>
          <w:sz w:val="24"/>
          <w:szCs w:val="24"/>
          <w:lang w:val="en-US"/>
        </w:rPr>
        <w:t>M</w:t>
      </w:r>
      <w:r w:rsidR="00D21E5C" w:rsidRPr="00612653">
        <w:rPr>
          <w:rFonts w:ascii="Book Antiqua" w:hAnsi="Book Antiqua"/>
          <w:sz w:val="24"/>
          <w:szCs w:val="24"/>
          <w:lang w:val="en-US"/>
        </w:rPr>
        <w:t>.</w:t>
      </w:r>
      <w:r w:rsidR="00690E0B" w:rsidRPr="00612653">
        <w:rPr>
          <w:rFonts w:ascii="Book Antiqua" w:hAnsi="Book Antiqua"/>
          <w:sz w:val="24"/>
          <w:szCs w:val="24"/>
          <w:lang w:val="en-US"/>
        </w:rPr>
        <w:t>)</w:t>
      </w:r>
      <w:r w:rsidR="003B508B" w:rsidRPr="00612653">
        <w:rPr>
          <w:rFonts w:ascii="Book Antiqua" w:hAnsi="Book Antiqua"/>
          <w:sz w:val="24"/>
          <w:szCs w:val="24"/>
          <w:lang w:val="en-US"/>
        </w:rPr>
        <w:t>.</w:t>
      </w:r>
      <w:r w:rsidR="009F6856" w:rsidRPr="00612653">
        <w:rPr>
          <w:rFonts w:ascii="Book Antiqua" w:hAnsi="Book Antiqua"/>
          <w:sz w:val="24"/>
          <w:szCs w:val="24"/>
          <w:lang w:val="en-US"/>
        </w:rPr>
        <w:t xml:space="preserve"> </w:t>
      </w:r>
      <w:r w:rsidR="00BF3A31" w:rsidRPr="00612653">
        <w:rPr>
          <w:rFonts w:ascii="Book Antiqua" w:hAnsi="Book Antiqua"/>
          <w:sz w:val="24"/>
          <w:szCs w:val="24"/>
          <w:lang w:val="en-US"/>
        </w:rPr>
        <w:t xml:space="preserve">A two-way ANOVA with Bonferroni’s post-hoc test was performed for </w:t>
      </w:r>
      <w:r w:rsidR="002B3AA6" w:rsidRPr="00612653">
        <w:rPr>
          <w:rFonts w:ascii="Book Antiqua" w:hAnsi="Book Antiqua"/>
          <w:sz w:val="24"/>
          <w:szCs w:val="24"/>
          <w:lang w:val="en-US"/>
        </w:rPr>
        <w:t>body weight analysis</w:t>
      </w:r>
      <w:r w:rsidR="00D307EB" w:rsidRPr="00612653">
        <w:rPr>
          <w:rFonts w:ascii="Book Antiqua" w:hAnsi="Book Antiqua"/>
          <w:sz w:val="24"/>
          <w:szCs w:val="24"/>
          <w:lang w:val="en-US"/>
        </w:rPr>
        <w:t xml:space="preserve">. </w:t>
      </w:r>
      <w:r w:rsidR="00DA4084" w:rsidRPr="00612653">
        <w:rPr>
          <w:rFonts w:ascii="Book Antiqua" w:hAnsi="Book Antiqua"/>
          <w:sz w:val="24"/>
          <w:szCs w:val="24"/>
          <w:lang w:val="en-US"/>
        </w:rPr>
        <w:t xml:space="preserve">Fisher’s exact test was used to test for </w:t>
      </w:r>
      <w:r w:rsidR="00C13118" w:rsidRPr="00612653">
        <w:rPr>
          <w:rFonts w:ascii="Book Antiqua" w:hAnsi="Book Antiqua"/>
          <w:sz w:val="24"/>
          <w:szCs w:val="24"/>
          <w:lang w:val="en-US"/>
        </w:rPr>
        <w:t xml:space="preserve">within-subject </w:t>
      </w:r>
      <w:r w:rsidR="000E5F31" w:rsidRPr="00612653">
        <w:rPr>
          <w:rFonts w:ascii="Book Antiqua" w:hAnsi="Book Antiqua"/>
          <w:sz w:val="24"/>
          <w:szCs w:val="24"/>
          <w:lang w:val="en-US"/>
        </w:rPr>
        <w:t>changes</w:t>
      </w:r>
      <w:r w:rsidR="00811F4E" w:rsidRPr="00612653">
        <w:rPr>
          <w:rFonts w:ascii="Book Antiqua" w:hAnsi="Book Antiqua"/>
          <w:sz w:val="24"/>
          <w:szCs w:val="24"/>
          <w:lang w:val="en-US"/>
        </w:rPr>
        <w:t xml:space="preserve"> </w:t>
      </w:r>
      <w:r w:rsidR="000F4CC1" w:rsidRPr="00612653">
        <w:rPr>
          <w:rFonts w:ascii="Book Antiqua" w:hAnsi="Book Antiqua"/>
          <w:sz w:val="24"/>
          <w:szCs w:val="24"/>
          <w:lang w:val="en-US"/>
        </w:rPr>
        <w:t>in histology scores before and after treatment</w:t>
      </w:r>
      <w:r w:rsidR="00811F4E" w:rsidRPr="00612653">
        <w:rPr>
          <w:rFonts w:ascii="Book Antiqua" w:hAnsi="Book Antiqua"/>
          <w:sz w:val="24"/>
          <w:szCs w:val="24"/>
          <w:lang w:val="en-US"/>
        </w:rPr>
        <w:t>, compared to vehicle controls</w:t>
      </w:r>
      <w:r w:rsidR="000F4CC1" w:rsidRPr="00612653">
        <w:rPr>
          <w:rFonts w:ascii="Book Antiqua" w:hAnsi="Book Antiqua"/>
          <w:sz w:val="24"/>
          <w:szCs w:val="24"/>
          <w:lang w:val="en-US"/>
        </w:rPr>
        <w:t xml:space="preserve">. </w:t>
      </w:r>
      <w:r w:rsidR="000F48D5" w:rsidRPr="00612653">
        <w:rPr>
          <w:rFonts w:ascii="Book Antiqua" w:hAnsi="Book Antiqua"/>
          <w:sz w:val="24"/>
          <w:szCs w:val="24"/>
          <w:lang w:val="en-US"/>
        </w:rPr>
        <w:t xml:space="preserve">A one-way ANOVA with Dunnett’s post-hoc test was </w:t>
      </w:r>
      <w:r w:rsidR="00690E0B" w:rsidRPr="00612653">
        <w:rPr>
          <w:rFonts w:ascii="Book Antiqua" w:hAnsi="Book Antiqua"/>
          <w:sz w:val="24"/>
          <w:szCs w:val="24"/>
          <w:lang w:val="en-US"/>
        </w:rPr>
        <w:t>used</w:t>
      </w:r>
      <w:r w:rsidR="000F48D5" w:rsidRPr="00612653">
        <w:rPr>
          <w:rFonts w:ascii="Book Antiqua" w:hAnsi="Book Antiqua"/>
          <w:sz w:val="24"/>
          <w:szCs w:val="24"/>
          <w:lang w:val="en-US"/>
        </w:rPr>
        <w:t xml:space="preserve"> for all other parameters. </w:t>
      </w:r>
      <w:r w:rsidR="00793645" w:rsidRPr="00612653">
        <w:rPr>
          <w:rFonts w:ascii="Book Antiqua" w:hAnsi="Book Antiqua"/>
          <w:sz w:val="24"/>
          <w:szCs w:val="24"/>
          <w:lang w:val="en-US"/>
        </w:rPr>
        <w:t>A p-</w:t>
      </w:r>
      <w:r w:rsidRPr="00612653">
        <w:rPr>
          <w:rFonts w:ascii="Book Antiqua" w:hAnsi="Book Antiqua"/>
          <w:sz w:val="24"/>
          <w:szCs w:val="24"/>
          <w:lang w:val="en-US"/>
        </w:rPr>
        <w:t>value &lt;</w:t>
      </w:r>
      <w:r w:rsidR="00793645" w:rsidRPr="00612653">
        <w:rPr>
          <w:rFonts w:ascii="Book Antiqua" w:hAnsi="Book Antiqua"/>
          <w:sz w:val="24"/>
          <w:szCs w:val="24"/>
          <w:lang w:val="en-US"/>
        </w:rPr>
        <w:t>0.05 was considered</w:t>
      </w:r>
      <w:r w:rsidR="00D21E5C" w:rsidRPr="00612653">
        <w:rPr>
          <w:rFonts w:ascii="Book Antiqua" w:hAnsi="Book Antiqua"/>
          <w:sz w:val="24"/>
          <w:szCs w:val="24"/>
          <w:lang w:val="en-US"/>
        </w:rPr>
        <w:t xml:space="preserve"> statistically</w:t>
      </w:r>
      <w:r w:rsidR="00793645" w:rsidRPr="00612653">
        <w:rPr>
          <w:rFonts w:ascii="Book Antiqua" w:hAnsi="Book Antiqua"/>
          <w:sz w:val="24"/>
          <w:szCs w:val="24"/>
          <w:lang w:val="en-US"/>
        </w:rPr>
        <w:t xml:space="preserve"> significant</w:t>
      </w:r>
      <w:r w:rsidR="00F92A6D" w:rsidRPr="00612653">
        <w:rPr>
          <w:rFonts w:ascii="Book Antiqua" w:hAnsi="Book Antiqua"/>
          <w:sz w:val="24"/>
          <w:szCs w:val="24"/>
          <w:lang w:val="en-US"/>
        </w:rPr>
        <w:t>.</w:t>
      </w:r>
    </w:p>
    <w:p w14:paraId="4D043A05" w14:textId="77777777" w:rsidR="007C5756" w:rsidRPr="00612653" w:rsidRDefault="007C5756" w:rsidP="00082279">
      <w:pPr>
        <w:snapToGrid w:val="0"/>
        <w:spacing w:after="0" w:line="360" w:lineRule="auto"/>
        <w:jc w:val="both"/>
        <w:rPr>
          <w:rFonts w:ascii="Book Antiqua" w:hAnsi="Book Antiqua" w:cs="Times New Roman"/>
          <w:b/>
          <w:bCs/>
          <w:sz w:val="24"/>
          <w:szCs w:val="24"/>
          <w:lang w:val="en-US" w:eastAsia="zh-CN"/>
        </w:rPr>
      </w:pPr>
    </w:p>
    <w:p w14:paraId="1A9076CB" w14:textId="5D0CBEE5" w:rsidR="00D15ECC" w:rsidRPr="00612653" w:rsidRDefault="009F6856" w:rsidP="00082279">
      <w:pPr>
        <w:snapToGrid w:val="0"/>
        <w:spacing w:after="0" w:line="360" w:lineRule="auto"/>
        <w:jc w:val="both"/>
        <w:rPr>
          <w:rFonts w:ascii="Book Antiqua" w:eastAsia="Times New Roman" w:hAnsi="Book Antiqua" w:cs="Times New Roman"/>
          <w:b/>
          <w:bCs/>
          <w:sz w:val="24"/>
          <w:szCs w:val="24"/>
          <w:lang w:val="en-US"/>
        </w:rPr>
      </w:pPr>
      <w:r w:rsidRPr="00612653">
        <w:rPr>
          <w:rFonts w:ascii="Book Antiqua" w:eastAsia="Times New Roman" w:hAnsi="Book Antiqua" w:cs="Times New Roman"/>
          <w:b/>
          <w:bCs/>
          <w:sz w:val="24"/>
          <w:szCs w:val="24"/>
          <w:lang w:val="en-US"/>
        </w:rPr>
        <w:t>R</w:t>
      </w:r>
      <w:r w:rsidR="00D15ECC" w:rsidRPr="00612653">
        <w:rPr>
          <w:rFonts w:ascii="Book Antiqua" w:eastAsia="Times New Roman" w:hAnsi="Book Antiqua" w:cs="Times New Roman"/>
          <w:b/>
          <w:bCs/>
          <w:sz w:val="24"/>
          <w:szCs w:val="24"/>
          <w:lang w:val="en-US"/>
        </w:rPr>
        <w:t>ESULTS</w:t>
      </w:r>
    </w:p>
    <w:p w14:paraId="1903CE4F" w14:textId="785BDBDD" w:rsidR="002D12F2" w:rsidRPr="00612653" w:rsidRDefault="009F540C" w:rsidP="00082279">
      <w:pPr>
        <w:snapToGrid w:val="0"/>
        <w:spacing w:after="0" w:line="360" w:lineRule="auto"/>
        <w:jc w:val="both"/>
        <w:rPr>
          <w:rFonts w:ascii="Book Antiqua" w:eastAsia="Times New Roman" w:hAnsi="Book Antiqua" w:cs="Times New Roman"/>
          <w:b/>
          <w:bCs/>
          <w:i/>
          <w:iCs/>
          <w:sz w:val="24"/>
          <w:szCs w:val="24"/>
          <w:lang w:val="en-US"/>
        </w:rPr>
      </w:pPr>
      <w:r w:rsidRPr="00612653">
        <w:rPr>
          <w:rFonts w:ascii="Book Antiqua" w:eastAsia="Times New Roman" w:hAnsi="Book Antiqua" w:cs="Times New Roman"/>
          <w:b/>
          <w:bCs/>
          <w:i/>
          <w:iCs/>
          <w:sz w:val="24"/>
          <w:szCs w:val="24"/>
          <w:lang w:val="en-US"/>
        </w:rPr>
        <w:t xml:space="preserve">Disease </w:t>
      </w:r>
      <w:r w:rsidR="00E71402" w:rsidRPr="00612653">
        <w:rPr>
          <w:rFonts w:ascii="Book Antiqua" w:eastAsia="Times New Roman" w:hAnsi="Book Antiqua" w:cs="Times New Roman"/>
          <w:b/>
          <w:bCs/>
          <w:i/>
          <w:iCs/>
          <w:sz w:val="24"/>
          <w:szCs w:val="24"/>
          <w:lang w:val="en-US"/>
        </w:rPr>
        <w:t xml:space="preserve">progression in </w:t>
      </w:r>
      <w:r w:rsidR="000A6880" w:rsidRPr="00612653">
        <w:rPr>
          <w:rFonts w:ascii="Book Antiqua" w:eastAsia="Times New Roman" w:hAnsi="Book Antiqua" w:cs="Times New Roman"/>
          <w:b/>
          <w:bCs/>
          <w:i/>
          <w:iCs/>
          <w:sz w:val="24"/>
          <w:szCs w:val="24"/>
          <w:lang w:val="en-US"/>
        </w:rPr>
        <w:t xml:space="preserve">wild-type </w:t>
      </w:r>
      <w:r w:rsidRPr="00612653">
        <w:rPr>
          <w:rFonts w:ascii="Book Antiqua" w:eastAsia="Times New Roman" w:hAnsi="Book Antiqua" w:cs="Times New Roman"/>
          <w:b/>
          <w:bCs/>
          <w:i/>
          <w:iCs/>
          <w:sz w:val="24"/>
          <w:szCs w:val="24"/>
          <w:lang w:val="en-US"/>
        </w:rPr>
        <w:t>DIO-NASH mice</w:t>
      </w:r>
    </w:p>
    <w:p w14:paraId="751F788A" w14:textId="73A1963A" w:rsidR="00583D2C" w:rsidRPr="00612653" w:rsidRDefault="00583D2C" w:rsidP="00082279">
      <w:pPr>
        <w:snapToGrid w:val="0"/>
        <w:spacing w:after="0" w:line="360" w:lineRule="auto"/>
        <w:jc w:val="both"/>
        <w:rPr>
          <w:rFonts w:ascii="Book Antiqua" w:eastAsia="Times New Roman" w:hAnsi="Book Antiqua" w:cs="Times New Roman"/>
          <w:sz w:val="24"/>
          <w:szCs w:val="24"/>
          <w:lang w:val="en-US"/>
        </w:rPr>
      </w:pPr>
      <w:r w:rsidRPr="00612653">
        <w:rPr>
          <w:rFonts w:ascii="Book Antiqua" w:eastAsia="Times New Roman" w:hAnsi="Book Antiqua" w:cs="Times New Roman"/>
          <w:sz w:val="24"/>
          <w:szCs w:val="24"/>
          <w:lang w:val="en-US"/>
        </w:rPr>
        <w:t xml:space="preserve">Terminal samples were assessed for analysis of </w:t>
      </w:r>
      <w:r w:rsidR="00624EC5" w:rsidRPr="00612653">
        <w:rPr>
          <w:rFonts w:ascii="Book Antiqua" w:eastAsia="Times New Roman" w:hAnsi="Book Antiqua" w:cs="Times New Roman"/>
          <w:sz w:val="24"/>
          <w:szCs w:val="24"/>
          <w:lang w:val="en-US"/>
        </w:rPr>
        <w:t xml:space="preserve">plasma and </w:t>
      </w:r>
      <w:r w:rsidRPr="00612653">
        <w:rPr>
          <w:rFonts w:ascii="Book Antiqua" w:eastAsia="Times New Roman" w:hAnsi="Book Antiqua" w:cs="Times New Roman"/>
          <w:sz w:val="24"/>
          <w:szCs w:val="24"/>
          <w:lang w:val="en-US"/>
        </w:rPr>
        <w:t xml:space="preserve">liver biochemistry, as well as liver </w:t>
      </w:r>
      <w:r w:rsidR="00624EC5" w:rsidRPr="00612653">
        <w:rPr>
          <w:rFonts w:ascii="Book Antiqua" w:eastAsia="Times New Roman" w:hAnsi="Book Antiqua" w:cs="Times New Roman"/>
          <w:sz w:val="24"/>
          <w:szCs w:val="24"/>
          <w:lang w:val="en-US"/>
        </w:rPr>
        <w:t>morphology</w:t>
      </w:r>
      <w:r w:rsidRPr="00612653">
        <w:rPr>
          <w:rFonts w:ascii="Book Antiqua" w:eastAsia="Times New Roman" w:hAnsi="Book Antiqua" w:cs="Times New Roman"/>
          <w:sz w:val="24"/>
          <w:szCs w:val="24"/>
          <w:lang w:val="en-US"/>
        </w:rPr>
        <w:t xml:space="preserve"> and quantitative </w:t>
      </w:r>
      <w:r w:rsidR="00624EC5" w:rsidRPr="00612653">
        <w:rPr>
          <w:rFonts w:ascii="Book Antiqua" w:eastAsia="Times New Roman" w:hAnsi="Book Antiqua" w:cs="Times New Roman"/>
          <w:sz w:val="24"/>
          <w:szCs w:val="24"/>
          <w:lang w:val="en-US"/>
        </w:rPr>
        <w:t>histology</w:t>
      </w:r>
      <w:r w:rsidRPr="00612653">
        <w:rPr>
          <w:rFonts w:ascii="Book Antiqua" w:eastAsia="Times New Roman" w:hAnsi="Book Antiqua" w:cs="Times New Roman"/>
          <w:sz w:val="24"/>
          <w:szCs w:val="24"/>
          <w:lang w:val="en-US"/>
        </w:rPr>
        <w:t>.</w:t>
      </w:r>
    </w:p>
    <w:p w14:paraId="2F48DC6D" w14:textId="3856E49C" w:rsidR="00F72BD1" w:rsidRPr="00612653" w:rsidRDefault="00A475D7" w:rsidP="00082279">
      <w:pPr>
        <w:snapToGrid w:val="0"/>
        <w:spacing w:after="0" w:line="360" w:lineRule="auto"/>
        <w:ind w:firstLineChars="100" w:firstLine="240"/>
        <w:jc w:val="both"/>
        <w:rPr>
          <w:rFonts w:ascii="Book Antiqua" w:eastAsia="Times New Roman" w:hAnsi="Book Antiqua" w:cs="Times New Roman"/>
          <w:sz w:val="24"/>
          <w:szCs w:val="24"/>
          <w:lang w:val="en-US"/>
        </w:rPr>
      </w:pPr>
      <w:r w:rsidRPr="00612653">
        <w:rPr>
          <w:rFonts w:ascii="Book Antiqua" w:eastAsia="Times New Roman" w:hAnsi="Book Antiqua" w:cs="Times New Roman"/>
          <w:sz w:val="24"/>
          <w:szCs w:val="24"/>
          <w:lang w:val="en-US"/>
        </w:rPr>
        <w:t xml:space="preserve">Metabolic data are </w:t>
      </w:r>
      <w:r w:rsidR="00A5350E" w:rsidRPr="00612653">
        <w:rPr>
          <w:rFonts w:ascii="Book Antiqua" w:eastAsia="Times New Roman" w:hAnsi="Book Antiqua" w:cs="Times New Roman"/>
          <w:sz w:val="24"/>
          <w:szCs w:val="24"/>
          <w:lang w:val="en-US"/>
        </w:rPr>
        <w:t xml:space="preserve">shown </w:t>
      </w:r>
      <w:r w:rsidRPr="00612653">
        <w:rPr>
          <w:rFonts w:ascii="Book Antiqua" w:eastAsia="Times New Roman" w:hAnsi="Book Antiqua" w:cs="Times New Roman"/>
          <w:sz w:val="24"/>
          <w:szCs w:val="24"/>
          <w:lang w:val="en-US"/>
        </w:rPr>
        <w:t>in Supplemental Fig</w:t>
      </w:r>
      <w:r w:rsidR="007C5756" w:rsidRPr="00612653">
        <w:rPr>
          <w:rFonts w:ascii="Book Antiqua" w:eastAsia="Times New Roman" w:hAnsi="Book Antiqua" w:cs="Times New Roman"/>
          <w:sz w:val="24"/>
          <w:szCs w:val="24"/>
          <w:lang w:val="en-US" w:eastAsia="zh-CN"/>
        </w:rPr>
        <w:t xml:space="preserve">ure </w:t>
      </w:r>
      <w:r w:rsidRPr="00612653">
        <w:rPr>
          <w:rFonts w:ascii="Book Antiqua" w:eastAsia="Times New Roman" w:hAnsi="Book Antiqua" w:cs="Times New Roman"/>
          <w:sz w:val="24"/>
          <w:szCs w:val="24"/>
          <w:lang w:val="en-US"/>
        </w:rPr>
        <w:t xml:space="preserve">1. </w:t>
      </w:r>
      <w:r w:rsidR="00EA5D7D" w:rsidRPr="00612653">
        <w:rPr>
          <w:rFonts w:ascii="Book Antiqua" w:eastAsia="Times New Roman" w:hAnsi="Book Antiqua" w:cs="Times New Roman"/>
          <w:sz w:val="24"/>
          <w:szCs w:val="24"/>
          <w:lang w:val="en-US"/>
        </w:rPr>
        <w:t>B</w:t>
      </w:r>
      <w:r w:rsidR="000A6880" w:rsidRPr="00612653">
        <w:rPr>
          <w:rFonts w:ascii="Book Antiqua" w:eastAsia="Times New Roman" w:hAnsi="Book Antiqua" w:cs="Times New Roman"/>
          <w:sz w:val="24"/>
          <w:szCs w:val="24"/>
          <w:lang w:val="en-US"/>
        </w:rPr>
        <w:t>ody weight in DIO-NASH mice gradually increased</w:t>
      </w:r>
      <w:r w:rsidR="00F72BD1" w:rsidRPr="00612653">
        <w:rPr>
          <w:rFonts w:ascii="Book Antiqua" w:eastAsia="Times New Roman" w:hAnsi="Book Antiqua" w:cs="Times New Roman"/>
          <w:sz w:val="24"/>
          <w:szCs w:val="24"/>
          <w:lang w:val="en-US"/>
        </w:rPr>
        <w:t xml:space="preserve"> </w:t>
      </w:r>
      <w:r w:rsidR="00404259" w:rsidRPr="00612653">
        <w:rPr>
          <w:rFonts w:ascii="Book Antiqua" w:eastAsia="Times New Roman" w:hAnsi="Book Antiqua" w:cs="Times New Roman"/>
          <w:sz w:val="24"/>
          <w:szCs w:val="24"/>
          <w:lang w:val="en-US"/>
        </w:rPr>
        <w:t>over the feeding period and</w:t>
      </w:r>
      <w:r w:rsidR="00F72BD1" w:rsidRPr="00612653">
        <w:rPr>
          <w:rFonts w:ascii="Book Antiqua" w:eastAsia="Times New Roman" w:hAnsi="Book Antiqua" w:cs="Times New Roman"/>
          <w:sz w:val="24"/>
          <w:szCs w:val="24"/>
          <w:lang w:val="en-US"/>
        </w:rPr>
        <w:t xml:space="preserve"> reach</w:t>
      </w:r>
      <w:r w:rsidR="00404259" w:rsidRPr="00612653">
        <w:rPr>
          <w:rFonts w:ascii="Book Antiqua" w:eastAsia="Times New Roman" w:hAnsi="Book Antiqua" w:cs="Times New Roman"/>
          <w:sz w:val="24"/>
          <w:szCs w:val="24"/>
          <w:lang w:val="en-US"/>
        </w:rPr>
        <w:t>ed</w:t>
      </w:r>
      <w:r w:rsidR="00F72BD1" w:rsidRPr="00612653">
        <w:rPr>
          <w:rFonts w:ascii="Book Antiqua" w:eastAsia="Times New Roman" w:hAnsi="Book Antiqua" w:cs="Times New Roman"/>
          <w:sz w:val="24"/>
          <w:szCs w:val="24"/>
          <w:lang w:val="en-US"/>
        </w:rPr>
        <w:t xml:space="preserve"> a plateau </w:t>
      </w:r>
      <w:r w:rsidR="0047230B" w:rsidRPr="00612653">
        <w:rPr>
          <w:rFonts w:ascii="Book Antiqua" w:eastAsia="Times New Roman" w:hAnsi="Book Antiqua" w:cs="Times New Roman"/>
          <w:sz w:val="24"/>
          <w:szCs w:val="24"/>
          <w:lang w:val="en-US"/>
        </w:rPr>
        <w:t>(</w:t>
      </w:r>
      <w:r w:rsidR="007773EA" w:rsidRPr="00612653">
        <w:rPr>
          <w:rFonts w:ascii="Book Antiqua" w:eastAsia="Times New Roman" w:hAnsi="Book Antiqua"/>
          <w:sz w:val="24"/>
          <w:szCs w:val="24"/>
          <w:lang w:val="en-US"/>
        </w:rPr>
        <w:t>approximately</w:t>
      </w:r>
      <w:r w:rsidR="007C5756" w:rsidRPr="00612653">
        <w:rPr>
          <w:rFonts w:ascii="Book Antiqua" w:eastAsia="Times New Roman" w:hAnsi="Book Antiqua"/>
          <w:sz w:val="24"/>
          <w:szCs w:val="24"/>
          <w:lang w:val="en-US" w:eastAsia="zh-CN"/>
        </w:rPr>
        <w:t xml:space="preserve"> </w:t>
      </w:r>
      <w:r w:rsidR="00F72BD1" w:rsidRPr="00612653">
        <w:rPr>
          <w:rFonts w:ascii="Book Antiqua" w:eastAsia="Times New Roman" w:hAnsi="Book Antiqua" w:cs="Times New Roman"/>
          <w:sz w:val="24"/>
          <w:szCs w:val="24"/>
          <w:lang w:val="en-US"/>
        </w:rPr>
        <w:t>40 g</w:t>
      </w:r>
      <w:r w:rsidR="0047230B" w:rsidRPr="00612653">
        <w:rPr>
          <w:rFonts w:ascii="Book Antiqua" w:eastAsia="Times New Roman" w:hAnsi="Book Antiqua" w:cs="Times New Roman"/>
          <w:sz w:val="24"/>
          <w:szCs w:val="24"/>
          <w:lang w:val="en-US"/>
        </w:rPr>
        <w:t>)</w:t>
      </w:r>
      <w:r w:rsidR="00404259" w:rsidRPr="00612653">
        <w:rPr>
          <w:rFonts w:ascii="Book Antiqua" w:eastAsia="Times New Roman" w:hAnsi="Book Antiqua" w:cs="Times New Roman"/>
          <w:sz w:val="24"/>
          <w:szCs w:val="24"/>
          <w:lang w:val="en-US"/>
        </w:rPr>
        <w:t xml:space="preserve"> after approximately 35 weeks of dieting (Supplemental Fig</w:t>
      </w:r>
      <w:r w:rsidR="002A2F00" w:rsidRPr="00612653">
        <w:rPr>
          <w:rFonts w:ascii="Book Antiqua" w:eastAsia="Times New Roman" w:hAnsi="Book Antiqua" w:cs="Times New Roman"/>
          <w:sz w:val="24"/>
          <w:szCs w:val="24"/>
          <w:lang w:val="en-US"/>
        </w:rPr>
        <w:t>.</w:t>
      </w:r>
      <w:r w:rsidR="00404259" w:rsidRPr="00612653">
        <w:rPr>
          <w:rFonts w:ascii="Book Antiqua" w:eastAsia="Times New Roman" w:hAnsi="Book Antiqua" w:cs="Times New Roman"/>
          <w:sz w:val="24"/>
          <w:szCs w:val="24"/>
          <w:lang w:val="en-US"/>
        </w:rPr>
        <w:t xml:space="preserve"> 1, panel A).</w:t>
      </w:r>
      <w:r w:rsidR="007479BB" w:rsidRPr="00612653">
        <w:rPr>
          <w:rFonts w:ascii="Book Antiqua" w:eastAsia="Times New Roman" w:hAnsi="Book Antiqua" w:cs="Times New Roman"/>
          <w:sz w:val="24"/>
          <w:szCs w:val="24"/>
          <w:lang w:val="en-US"/>
        </w:rPr>
        <w:t xml:space="preserve"> </w:t>
      </w:r>
      <w:r w:rsidR="0040212C" w:rsidRPr="00612653">
        <w:rPr>
          <w:rFonts w:ascii="Book Antiqua" w:eastAsia="Times New Roman" w:hAnsi="Book Antiqua" w:cs="Times New Roman"/>
          <w:sz w:val="24"/>
          <w:szCs w:val="24"/>
          <w:lang w:val="en-US"/>
        </w:rPr>
        <w:t>DIO-NASH mice developed hepatomegaly and fatty liver from dietary week 10 and onwards (</w:t>
      </w:r>
      <w:r w:rsidR="003A2FA3" w:rsidRPr="00612653">
        <w:rPr>
          <w:rFonts w:ascii="Book Antiqua" w:eastAsia="Times New Roman" w:hAnsi="Book Antiqua" w:cs="Times New Roman"/>
          <w:sz w:val="24"/>
          <w:szCs w:val="24"/>
          <w:lang w:val="en-US"/>
        </w:rPr>
        <w:t>panel</w:t>
      </w:r>
      <w:r w:rsidR="00404259" w:rsidRPr="00612653">
        <w:rPr>
          <w:rFonts w:ascii="Book Antiqua" w:eastAsia="Times New Roman" w:hAnsi="Book Antiqua" w:cs="Times New Roman"/>
          <w:sz w:val="24"/>
          <w:szCs w:val="24"/>
          <w:lang w:val="en-US"/>
        </w:rPr>
        <w:t xml:space="preserve"> </w:t>
      </w:r>
      <w:r w:rsidR="00F72BD1" w:rsidRPr="00612653">
        <w:rPr>
          <w:rFonts w:ascii="Book Antiqua" w:eastAsia="Times New Roman" w:hAnsi="Book Antiqua" w:cs="Times New Roman"/>
          <w:sz w:val="24"/>
          <w:szCs w:val="24"/>
          <w:lang w:val="en-US"/>
        </w:rPr>
        <w:t>B</w:t>
      </w:r>
      <w:r w:rsidR="0040212C" w:rsidRPr="00612653">
        <w:rPr>
          <w:rFonts w:ascii="Book Antiqua" w:eastAsia="Times New Roman" w:hAnsi="Book Antiqua" w:cs="Times New Roman"/>
          <w:sz w:val="24"/>
          <w:szCs w:val="24"/>
          <w:lang w:val="en-US"/>
        </w:rPr>
        <w:t>, F</w:t>
      </w:r>
      <w:r w:rsidR="00F72BD1" w:rsidRPr="00612653">
        <w:rPr>
          <w:rFonts w:ascii="Book Antiqua" w:eastAsia="Times New Roman" w:hAnsi="Book Antiqua" w:cs="Times New Roman"/>
          <w:sz w:val="24"/>
          <w:szCs w:val="24"/>
          <w:lang w:val="en-US"/>
        </w:rPr>
        <w:t>).</w:t>
      </w:r>
      <w:r w:rsidRPr="00612653">
        <w:rPr>
          <w:rFonts w:ascii="Book Antiqua" w:eastAsia="Times New Roman" w:hAnsi="Book Antiqua" w:cs="Times New Roman"/>
          <w:sz w:val="24"/>
          <w:szCs w:val="24"/>
          <w:lang w:val="en-US"/>
        </w:rPr>
        <w:t xml:space="preserve"> </w:t>
      </w:r>
      <w:r w:rsidR="00F72BD1" w:rsidRPr="00612653">
        <w:rPr>
          <w:rFonts w:ascii="Book Antiqua" w:eastAsia="Times New Roman" w:hAnsi="Book Antiqua" w:cs="Times New Roman"/>
          <w:sz w:val="24"/>
          <w:szCs w:val="24"/>
          <w:lang w:val="en-US"/>
        </w:rPr>
        <w:t xml:space="preserve">Plasma ALT </w:t>
      </w:r>
      <w:r w:rsidR="003A2FA3" w:rsidRPr="00612653">
        <w:rPr>
          <w:rFonts w:ascii="Book Antiqua" w:eastAsia="Times New Roman" w:hAnsi="Book Antiqua" w:cs="Times New Roman"/>
          <w:sz w:val="24"/>
          <w:szCs w:val="24"/>
          <w:lang w:val="en-US"/>
        </w:rPr>
        <w:t xml:space="preserve">and AST increased </w:t>
      </w:r>
      <w:r w:rsidR="00F72BD1" w:rsidRPr="00612653">
        <w:rPr>
          <w:rFonts w:ascii="Book Antiqua" w:eastAsia="Times New Roman" w:hAnsi="Book Antiqua" w:cs="Times New Roman"/>
          <w:sz w:val="24"/>
          <w:szCs w:val="24"/>
          <w:lang w:val="en-US"/>
        </w:rPr>
        <w:t>during the dieting period</w:t>
      </w:r>
      <w:r w:rsidR="003A2FA3" w:rsidRPr="00612653">
        <w:rPr>
          <w:rFonts w:ascii="Book Antiqua" w:eastAsia="Times New Roman" w:hAnsi="Book Antiqua" w:cs="Times New Roman"/>
          <w:sz w:val="24"/>
          <w:szCs w:val="24"/>
          <w:lang w:val="en-US"/>
        </w:rPr>
        <w:t xml:space="preserve">, with the effect on AST being transient (panel C, D). </w:t>
      </w:r>
      <w:r w:rsidR="0040212C" w:rsidRPr="00612653">
        <w:rPr>
          <w:rFonts w:ascii="Book Antiqua" w:eastAsia="Times New Roman" w:hAnsi="Book Antiqua" w:cs="Times New Roman"/>
          <w:sz w:val="24"/>
          <w:szCs w:val="24"/>
          <w:lang w:val="en-US"/>
        </w:rPr>
        <w:t>Onset of h</w:t>
      </w:r>
      <w:r w:rsidR="000C4B2B" w:rsidRPr="00612653">
        <w:rPr>
          <w:rFonts w:ascii="Book Antiqua" w:eastAsia="Times New Roman" w:hAnsi="Book Antiqua" w:cs="Times New Roman"/>
          <w:sz w:val="24"/>
          <w:szCs w:val="24"/>
          <w:lang w:val="en-US"/>
        </w:rPr>
        <w:t>ypercholesterolemia w</w:t>
      </w:r>
      <w:r w:rsidR="003A2FA3" w:rsidRPr="00612653">
        <w:rPr>
          <w:rFonts w:ascii="Book Antiqua" w:eastAsia="Times New Roman" w:hAnsi="Book Antiqua" w:cs="Times New Roman"/>
          <w:sz w:val="24"/>
          <w:szCs w:val="24"/>
          <w:lang w:val="en-US"/>
        </w:rPr>
        <w:t xml:space="preserve">as </w:t>
      </w:r>
      <w:r w:rsidR="000C4B2B" w:rsidRPr="00612653">
        <w:rPr>
          <w:rFonts w:ascii="Book Antiqua" w:eastAsia="Times New Roman" w:hAnsi="Book Antiqua" w:cs="Times New Roman"/>
          <w:sz w:val="24"/>
          <w:szCs w:val="24"/>
          <w:lang w:val="en-US"/>
        </w:rPr>
        <w:t>evident</w:t>
      </w:r>
      <w:r w:rsidR="005C26F7" w:rsidRPr="00612653">
        <w:rPr>
          <w:rFonts w:ascii="Book Antiqua" w:eastAsia="Times New Roman" w:hAnsi="Book Antiqua" w:cs="Times New Roman"/>
          <w:sz w:val="24"/>
          <w:szCs w:val="24"/>
          <w:lang w:val="en-US"/>
        </w:rPr>
        <w:t xml:space="preserve"> </w:t>
      </w:r>
      <w:r w:rsidR="00F72BD1" w:rsidRPr="00612653">
        <w:rPr>
          <w:rFonts w:ascii="Book Antiqua" w:eastAsia="Times New Roman" w:hAnsi="Book Antiqua" w:cs="Times New Roman"/>
          <w:sz w:val="24"/>
          <w:szCs w:val="24"/>
          <w:lang w:val="en-US"/>
        </w:rPr>
        <w:t>from dieting week 10</w:t>
      </w:r>
      <w:r w:rsidR="000C4B2B" w:rsidRPr="00612653">
        <w:rPr>
          <w:rFonts w:ascii="Book Antiqua" w:eastAsia="Times New Roman" w:hAnsi="Book Antiqua" w:cs="Times New Roman"/>
          <w:sz w:val="24"/>
          <w:szCs w:val="24"/>
          <w:lang w:val="en-US"/>
        </w:rPr>
        <w:t xml:space="preserve"> (panel E)</w:t>
      </w:r>
      <w:r w:rsidR="001C60D4" w:rsidRPr="00612653">
        <w:rPr>
          <w:rFonts w:ascii="Book Antiqua" w:eastAsia="Times New Roman" w:hAnsi="Book Antiqua" w:cs="Times New Roman"/>
          <w:sz w:val="24"/>
          <w:szCs w:val="24"/>
          <w:lang w:val="en-US"/>
        </w:rPr>
        <w:t>, and</w:t>
      </w:r>
      <w:r w:rsidR="0040212C" w:rsidRPr="00612653">
        <w:rPr>
          <w:rFonts w:ascii="Book Antiqua" w:eastAsia="Times New Roman" w:hAnsi="Book Antiqua" w:cs="Times New Roman"/>
          <w:sz w:val="24"/>
          <w:szCs w:val="24"/>
          <w:lang w:val="en-US"/>
        </w:rPr>
        <w:t xml:space="preserve"> </w:t>
      </w:r>
      <w:r w:rsidR="000C4B2B" w:rsidRPr="00612653">
        <w:rPr>
          <w:rFonts w:ascii="Book Antiqua" w:eastAsia="Times New Roman" w:hAnsi="Book Antiqua" w:cs="Times New Roman"/>
          <w:sz w:val="24"/>
          <w:szCs w:val="24"/>
          <w:lang w:val="en-US"/>
        </w:rPr>
        <w:t xml:space="preserve">liver </w:t>
      </w:r>
      <w:r w:rsidR="00570526" w:rsidRPr="00612653">
        <w:rPr>
          <w:rFonts w:ascii="Book Antiqua" w:eastAsia="Times New Roman" w:hAnsi="Book Antiqua" w:cs="Times New Roman"/>
          <w:sz w:val="24"/>
          <w:szCs w:val="24"/>
          <w:lang w:val="en-US"/>
        </w:rPr>
        <w:t>TC</w:t>
      </w:r>
      <w:r w:rsidR="000C4B2B" w:rsidRPr="00612653">
        <w:rPr>
          <w:rFonts w:ascii="Book Antiqua" w:eastAsia="Times New Roman" w:hAnsi="Book Antiqua" w:cs="Times New Roman"/>
          <w:sz w:val="24"/>
          <w:szCs w:val="24"/>
          <w:lang w:val="en-US"/>
        </w:rPr>
        <w:t xml:space="preserve"> levels </w:t>
      </w:r>
      <w:r w:rsidR="001C60D4" w:rsidRPr="00612653">
        <w:rPr>
          <w:rFonts w:ascii="Book Antiqua" w:eastAsia="Times New Roman" w:hAnsi="Book Antiqua" w:cs="Times New Roman"/>
          <w:sz w:val="24"/>
          <w:szCs w:val="24"/>
          <w:lang w:val="en-US"/>
        </w:rPr>
        <w:t xml:space="preserve">were elevated </w:t>
      </w:r>
      <w:r w:rsidR="000C4B2B" w:rsidRPr="00612653">
        <w:rPr>
          <w:rFonts w:ascii="Book Antiqua" w:eastAsia="Times New Roman" w:hAnsi="Book Antiqua" w:cs="Times New Roman"/>
          <w:sz w:val="24"/>
          <w:szCs w:val="24"/>
          <w:lang w:val="en-US"/>
        </w:rPr>
        <w:t xml:space="preserve">even earlier (panel </w:t>
      </w:r>
      <w:r w:rsidR="00C31202" w:rsidRPr="00612653">
        <w:rPr>
          <w:rFonts w:ascii="Book Antiqua" w:eastAsia="Times New Roman" w:hAnsi="Book Antiqua" w:cs="Times New Roman"/>
          <w:sz w:val="24"/>
          <w:szCs w:val="24"/>
          <w:lang w:val="en-US"/>
        </w:rPr>
        <w:t>G</w:t>
      </w:r>
      <w:r w:rsidR="000C4B2B" w:rsidRPr="00612653">
        <w:rPr>
          <w:rFonts w:ascii="Book Antiqua" w:eastAsia="Times New Roman" w:hAnsi="Book Antiqua" w:cs="Times New Roman"/>
          <w:sz w:val="24"/>
          <w:szCs w:val="24"/>
          <w:lang w:val="en-US"/>
        </w:rPr>
        <w:t xml:space="preserve">). </w:t>
      </w:r>
      <w:r w:rsidR="0040212C" w:rsidRPr="00612653">
        <w:rPr>
          <w:rFonts w:ascii="Book Antiqua" w:eastAsia="Times New Roman" w:hAnsi="Book Antiqua" w:cs="Times New Roman"/>
          <w:sz w:val="24"/>
          <w:szCs w:val="24"/>
          <w:lang w:val="en-US"/>
        </w:rPr>
        <w:t>L</w:t>
      </w:r>
      <w:r w:rsidR="005C26F7" w:rsidRPr="00612653">
        <w:rPr>
          <w:rFonts w:ascii="Book Antiqua" w:eastAsia="Times New Roman" w:hAnsi="Book Antiqua" w:cs="Times New Roman"/>
          <w:sz w:val="24"/>
          <w:szCs w:val="24"/>
          <w:lang w:val="en-US"/>
        </w:rPr>
        <w:t>iver</w:t>
      </w:r>
      <w:r w:rsidR="00E07E5F" w:rsidRPr="00612653">
        <w:rPr>
          <w:rFonts w:ascii="Book Antiqua" w:eastAsia="Times New Roman" w:hAnsi="Book Antiqua" w:cs="Times New Roman"/>
          <w:sz w:val="24"/>
          <w:szCs w:val="24"/>
          <w:lang w:val="en-US"/>
        </w:rPr>
        <w:t>, but not plasma,</w:t>
      </w:r>
      <w:r w:rsidR="005C26F7" w:rsidRPr="00612653">
        <w:rPr>
          <w:rFonts w:ascii="Book Antiqua" w:eastAsia="Times New Roman" w:hAnsi="Book Antiqua" w:cs="Times New Roman"/>
          <w:sz w:val="24"/>
          <w:szCs w:val="24"/>
          <w:lang w:val="en-US"/>
        </w:rPr>
        <w:t xml:space="preserve"> TG levels were </w:t>
      </w:r>
      <w:r w:rsidR="0040212C" w:rsidRPr="00612653">
        <w:rPr>
          <w:rFonts w:ascii="Book Antiqua" w:eastAsia="Times New Roman" w:hAnsi="Book Antiqua" w:cs="Times New Roman"/>
          <w:sz w:val="24"/>
          <w:szCs w:val="24"/>
          <w:lang w:val="en-US"/>
        </w:rPr>
        <w:t>increased</w:t>
      </w:r>
      <w:r w:rsidR="005C26F7" w:rsidRPr="00612653">
        <w:rPr>
          <w:rFonts w:ascii="Book Antiqua" w:eastAsia="Times New Roman" w:hAnsi="Book Antiqua" w:cs="Times New Roman"/>
          <w:sz w:val="24"/>
          <w:szCs w:val="24"/>
          <w:lang w:val="en-US"/>
        </w:rPr>
        <w:t xml:space="preserve"> </w:t>
      </w:r>
      <w:r w:rsidR="00A8070A" w:rsidRPr="00612653">
        <w:rPr>
          <w:rFonts w:ascii="Book Antiqua" w:eastAsia="Times New Roman" w:hAnsi="Book Antiqua" w:cs="Times New Roman"/>
          <w:sz w:val="24"/>
          <w:szCs w:val="24"/>
          <w:lang w:val="en-US"/>
        </w:rPr>
        <w:t>from dieting week 10-50 (panel F, H</w:t>
      </w:r>
      <w:r w:rsidR="0040212C" w:rsidRPr="00612653">
        <w:rPr>
          <w:rFonts w:ascii="Book Antiqua" w:eastAsia="Times New Roman" w:hAnsi="Book Antiqua" w:cs="Times New Roman"/>
          <w:sz w:val="24"/>
          <w:szCs w:val="24"/>
          <w:lang w:val="en-US"/>
        </w:rPr>
        <w:t>)</w:t>
      </w:r>
      <w:r w:rsidR="005C26F7" w:rsidRPr="00612653">
        <w:rPr>
          <w:rFonts w:ascii="Book Antiqua" w:eastAsia="Times New Roman" w:hAnsi="Book Antiqua" w:cs="Times New Roman"/>
          <w:sz w:val="24"/>
          <w:szCs w:val="24"/>
          <w:lang w:val="en-US"/>
        </w:rPr>
        <w:t>.</w:t>
      </w:r>
    </w:p>
    <w:p w14:paraId="4CCB62D4" w14:textId="66C0D79A" w:rsidR="00E12051" w:rsidRPr="00612653" w:rsidRDefault="00C91621" w:rsidP="00082279">
      <w:pPr>
        <w:snapToGrid w:val="0"/>
        <w:spacing w:after="0" w:line="360" w:lineRule="auto"/>
        <w:ind w:firstLineChars="100" w:firstLine="240"/>
        <w:jc w:val="both"/>
        <w:rPr>
          <w:rFonts w:ascii="Book Antiqua" w:eastAsia="Times New Roman" w:hAnsi="Book Antiqua" w:cs="Times New Roman"/>
          <w:sz w:val="24"/>
          <w:szCs w:val="24"/>
          <w:lang w:val="en-US"/>
        </w:rPr>
      </w:pPr>
      <w:r w:rsidRPr="00612653">
        <w:rPr>
          <w:rFonts w:ascii="Book Antiqua" w:eastAsia="Times New Roman" w:hAnsi="Book Antiqua" w:cs="Times New Roman"/>
          <w:sz w:val="24"/>
          <w:szCs w:val="24"/>
          <w:lang w:val="en-US"/>
        </w:rPr>
        <w:t>H</w:t>
      </w:r>
      <w:r w:rsidR="008B20FF" w:rsidRPr="00612653">
        <w:rPr>
          <w:rFonts w:ascii="Book Antiqua" w:eastAsia="Times New Roman" w:hAnsi="Book Antiqua" w:cs="Times New Roman"/>
          <w:sz w:val="24"/>
          <w:szCs w:val="24"/>
          <w:lang w:val="en-US"/>
        </w:rPr>
        <w:t>istology data are presented in Fig</w:t>
      </w:r>
      <w:r w:rsidR="007C5756" w:rsidRPr="00612653">
        <w:rPr>
          <w:rFonts w:ascii="Book Antiqua" w:eastAsia="Times New Roman" w:hAnsi="Book Antiqua" w:cs="Times New Roman"/>
          <w:sz w:val="24"/>
          <w:szCs w:val="24"/>
          <w:lang w:val="en-US" w:eastAsia="zh-CN"/>
        </w:rPr>
        <w:t xml:space="preserve">ure </w:t>
      </w:r>
      <w:r w:rsidR="008B20FF" w:rsidRPr="00612653">
        <w:rPr>
          <w:rFonts w:ascii="Book Antiqua" w:eastAsia="Times New Roman" w:hAnsi="Book Antiqua" w:cs="Times New Roman"/>
          <w:sz w:val="24"/>
          <w:szCs w:val="24"/>
          <w:lang w:val="en-US"/>
        </w:rPr>
        <w:t>1.</w:t>
      </w:r>
      <w:r w:rsidR="00E07E5F" w:rsidRPr="00612653">
        <w:rPr>
          <w:rFonts w:ascii="Book Antiqua" w:eastAsia="Times New Roman" w:hAnsi="Book Antiqua" w:cs="Times New Roman"/>
          <w:sz w:val="24"/>
          <w:szCs w:val="24"/>
          <w:lang w:val="en-US"/>
        </w:rPr>
        <w:t xml:space="preserve"> </w:t>
      </w:r>
      <w:r w:rsidR="0078477E" w:rsidRPr="00612653">
        <w:rPr>
          <w:rFonts w:ascii="Book Antiqua" w:eastAsia="Times New Roman" w:hAnsi="Book Antiqua" w:cs="Times New Roman"/>
          <w:sz w:val="24"/>
          <w:szCs w:val="24"/>
          <w:lang w:val="en-US"/>
        </w:rPr>
        <w:t xml:space="preserve">Steatosis developed gradually in </w:t>
      </w:r>
      <w:r w:rsidRPr="00612653">
        <w:rPr>
          <w:rFonts w:ascii="Book Antiqua" w:eastAsia="Times New Roman" w:hAnsi="Book Antiqua" w:cs="Times New Roman"/>
          <w:sz w:val="24"/>
          <w:szCs w:val="24"/>
          <w:lang w:val="en-US"/>
        </w:rPr>
        <w:t xml:space="preserve">DIO-NASH mice </w:t>
      </w:r>
      <w:r w:rsidR="0078477E" w:rsidRPr="00612653">
        <w:rPr>
          <w:rFonts w:ascii="Book Antiqua" w:eastAsia="Times New Roman" w:hAnsi="Book Antiqua" w:cs="Times New Roman"/>
          <w:sz w:val="24"/>
          <w:szCs w:val="24"/>
          <w:lang w:val="en-US"/>
        </w:rPr>
        <w:t xml:space="preserve">and became severe </w:t>
      </w:r>
      <w:r w:rsidRPr="00612653">
        <w:rPr>
          <w:rFonts w:ascii="Book Antiqua" w:eastAsia="Times New Roman" w:hAnsi="Book Antiqua" w:cs="Times New Roman"/>
          <w:sz w:val="24"/>
          <w:szCs w:val="24"/>
          <w:lang w:val="en-US"/>
        </w:rPr>
        <w:t>after 20</w:t>
      </w:r>
      <w:r w:rsidR="0078477E" w:rsidRPr="00612653">
        <w:rPr>
          <w:rFonts w:ascii="Book Antiqua" w:eastAsia="Times New Roman" w:hAnsi="Book Antiqua" w:cs="Times New Roman"/>
          <w:sz w:val="24"/>
          <w:szCs w:val="24"/>
          <w:lang w:val="en-US"/>
        </w:rPr>
        <w:t>-25</w:t>
      </w:r>
      <w:r w:rsidR="007C5756" w:rsidRPr="00612653">
        <w:rPr>
          <w:rFonts w:ascii="Book Antiqua" w:eastAsia="Times New Roman" w:hAnsi="Book Antiqua" w:cs="Times New Roman"/>
          <w:sz w:val="24"/>
          <w:szCs w:val="24"/>
          <w:lang w:val="en-US"/>
        </w:rPr>
        <w:t xml:space="preserve"> wk</w:t>
      </w:r>
      <w:r w:rsidRPr="00612653">
        <w:rPr>
          <w:rFonts w:ascii="Book Antiqua" w:eastAsia="Times New Roman" w:hAnsi="Book Antiqua" w:cs="Times New Roman"/>
          <w:sz w:val="24"/>
          <w:szCs w:val="24"/>
          <w:lang w:val="en-US"/>
        </w:rPr>
        <w:t xml:space="preserve"> of dieting </w:t>
      </w:r>
      <w:r w:rsidR="006B495A" w:rsidRPr="00612653">
        <w:rPr>
          <w:rFonts w:ascii="Book Antiqua" w:eastAsia="Times New Roman" w:hAnsi="Book Antiqua" w:cs="Times New Roman"/>
          <w:sz w:val="24"/>
          <w:szCs w:val="24"/>
          <w:lang w:val="en-US"/>
        </w:rPr>
        <w:t xml:space="preserve">(panel A). </w:t>
      </w:r>
      <w:r w:rsidR="00E07E5F" w:rsidRPr="00612653">
        <w:rPr>
          <w:rFonts w:ascii="Book Antiqua" w:eastAsia="Times New Roman" w:hAnsi="Book Antiqua" w:cs="Times New Roman"/>
          <w:sz w:val="24"/>
          <w:szCs w:val="24"/>
          <w:lang w:val="en-US"/>
        </w:rPr>
        <w:t>Lobular</w:t>
      </w:r>
      <w:r w:rsidR="009F540C" w:rsidRPr="00612653">
        <w:rPr>
          <w:rFonts w:ascii="Book Antiqua" w:eastAsia="Times New Roman" w:hAnsi="Book Antiqua" w:cs="Times New Roman"/>
          <w:sz w:val="24"/>
          <w:szCs w:val="24"/>
          <w:lang w:val="en-US"/>
        </w:rPr>
        <w:t xml:space="preserve"> i</w:t>
      </w:r>
      <w:r w:rsidR="00041757" w:rsidRPr="00612653">
        <w:rPr>
          <w:rFonts w:ascii="Book Antiqua" w:eastAsia="Times New Roman" w:hAnsi="Book Antiqua" w:cs="Times New Roman"/>
          <w:sz w:val="24"/>
          <w:szCs w:val="24"/>
          <w:lang w:val="en-US"/>
        </w:rPr>
        <w:t>nflammation</w:t>
      </w:r>
      <w:r w:rsidR="006B495A" w:rsidRPr="00612653">
        <w:rPr>
          <w:rFonts w:ascii="Book Antiqua" w:eastAsia="Times New Roman" w:hAnsi="Book Antiqua" w:cs="Times New Roman"/>
          <w:sz w:val="24"/>
          <w:szCs w:val="24"/>
          <w:lang w:val="en-US"/>
        </w:rPr>
        <w:t xml:space="preserve"> </w:t>
      </w:r>
      <w:r w:rsidR="009F540C" w:rsidRPr="00612653">
        <w:rPr>
          <w:rFonts w:ascii="Book Antiqua" w:eastAsia="Times New Roman" w:hAnsi="Book Antiqua" w:cs="Times New Roman"/>
          <w:sz w:val="24"/>
          <w:szCs w:val="24"/>
          <w:lang w:val="en-US"/>
        </w:rPr>
        <w:t>was</w:t>
      </w:r>
      <w:r w:rsidR="00041757" w:rsidRPr="00612653">
        <w:rPr>
          <w:rFonts w:ascii="Book Antiqua" w:eastAsia="Times New Roman" w:hAnsi="Book Antiqua" w:cs="Times New Roman"/>
          <w:sz w:val="24"/>
          <w:szCs w:val="24"/>
          <w:lang w:val="en-US"/>
        </w:rPr>
        <w:t xml:space="preserve"> </w:t>
      </w:r>
      <w:r w:rsidR="0078477E" w:rsidRPr="00612653">
        <w:rPr>
          <w:rFonts w:ascii="Book Antiqua" w:eastAsia="Times New Roman" w:hAnsi="Book Antiqua" w:cs="Times New Roman"/>
          <w:sz w:val="24"/>
          <w:szCs w:val="24"/>
          <w:lang w:val="en-US"/>
        </w:rPr>
        <w:t>observed</w:t>
      </w:r>
      <w:r w:rsidR="00027D0A" w:rsidRPr="00612653">
        <w:rPr>
          <w:rFonts w:ascii="Book Antiqua" w:eastAsia="Times New Roman" w:hAnsi="Book Antiqua" w:cs="Times New Roman"/>
          <w:sz w:val="24"/>
          <w:szCs w:val="24"/>
          <w:lang w:val="en-US"/>
        </w:rPr>
        <w:t xml:space="preserve"> </w:t>
      </w:r>
      <w:r w:rsidR="00041757" w:rsidRPr="00612653">
        <w:rPr>
          <w:rFonts w:ascii="Book Antiqua" w:eastAsia="Times New Roman" w:hAnsi="Book Antiqua" w:cs="Times New Roman"/>
          <w:sz w:val="24"/>
          <w:szCs w:val="24"/>
          <w:lang w:val="en-US"/>
        </w:rPr>
        <w:t>after 15 weeks</w:t>
      </w:r>
      <w:r w:rsidR="0078477E" w:rsidRPr="00612653">
        <w:rPr>
          <w:rFonts w:ascii="Book Antiqua" w:eastAsia="Times New Roman" w:hAnsi="Book Antiqua" w:cs="Times New Roman"/>
          <w:sz w:val="24"/>
          <w:szCs w:val="24"/>
          <w:lang w:val="en-US"/>
        </w:rPr>
        <w:t xml:space="preserve"> and</w:t>
      </w:r>
      <w:r w:rsidR="006B495A" w:rsidRPr="00612653">
        <w:rPr>
          <w:rFonts w:ascii="Book Antiqua" w:eastAsia="Times New Roman" w:hAnsi="Book Antiqua" w:cs="Times New Roman"/>
          <w:sz w:val="24"/>
          <w:szCs w:val="24"/>
          <w:lang w:val="en-US"/>
        </w:rPr>
        <w:t xml:space="preserve"> </w:t>
      </w:r>
      <w:r w:rsidR="00027D0A" w:rsidRPr="00612653">
        <w:rPr>
          <w:rFonts w:ascii="Book Antiqua" w:eastAsia="Times New Roman" w:hAnsi="Book Antiqua" w:cs="Times New Roman"/>
          <w:sz w:val="24"/>
          <w:szCs w:val="24"/>
          <w:lang w:val="en-US"/>
        </w:rPr>
        <w:t>progress</w:t>
      </w:r>
      <w:r w:rsidR="0078477E" w:rsidRPr="00612653">
        <w:rPr>
          <w:rFonts w:ascii="Book Antiqua" w:eastAsia="Times New Roman" w:hAnsi="Book Antiqua" w:cs="Times New Roman"/>
          <w:sz w:val="24"/>
          <w:szCs w:val="24"/>
          <w:lang w:val="en-US"/>
        </w:rPr>
        <w:t xml:space="preserve">ed in severity with increasing dieting periods </w:t>
      </w:r>
      <w:r w:rsidRPr="00612653">
        <w:rPr>
          <w:rFonts w:ascii="Book Antiqua" w:eastAsia="Times New Roman" w:hAnsi="Book Antiqua" w:cs="Times New Roman"/>
          <w:sz w:val="24"/>
          <w:szCs w:val="24"/>
          <w:lang w:val="en-US"/>
        </w:rPr>
        <w:t>(</w:t>
      </w:r>
      <w:r w:rsidR="00B57ED7" w:rsidRPr="00612653">
        <w:rPr>
          <w:rFonts w:ascii="Book Antiqua" w:eastAsia="Times New Roman" w:hAnsi="Book Antiqua" w:cs="Times New Roman"/>
          <w:sz w:val="24"/>
          <w:szCs w:val="24"/>
          <w:lang w:val="en-US"/>
        </w:rPr>
        <w:t>panel B</w:t>
      </w:r>
      <w:r w:rsidRPr="00612653">
        <w:rPr>
          <w:rFonts w:ascii="Book Antiqua" w:eastAsia="Times New Roman" w:hAnsi="Book Antiqua" w:cs="Times New Roman"/>
          <w:sz w:val="24"/>
          <w:szCs w:val="24"/>
          <w:lang w:val="en-US"/>
        </w:rPr>
        <w:t>)</w:t>
      </w:r>
      <w:r w:rsidR="006B495A" w:rsidRPr="00612653">
        <w:rPr>
          <w:rFonts w:ascii="Book Antiqua" w:eastAsia="Times New Roman" w:hAnsi="Book Antiqua" w:cs="Times New Roman"/>
          <w:sz w:val="24"/>
          <w:szCs w:val="24"/>
          <w:lang w:val="en-US"/>
        </w:rPr>
        <w:t>.</w:t>
      </w:r>
      <w:r w:rsidR="00B57ED7" w:rsidRPr="00612653">
        <w:rPr>
          <w:rFonts w:ascii="Book Antiqua" w:eastAsia="Times New Roman" w:hAnsi="Book Antiqua" w:cs="Times New Roman"/>
          <w:sz w:val="24"/>
          <w:szCs w:val="24"/>
          <w:lang w:val="en-US"/>
        </w:rPr>
        <w:t xml:space="preserve"> </w:t>
      </w:r>
      <w:r w:rsidR="0078477E" w:rsidRPr="00612653">
        <w:rPr>
          <w:rFonts w:ascii="Book Antiqua" w:eastAsia="Times New Roman" w:hAnsi="Book Antiqua" w:cs="Times New Roman"/>
          <w:sz w:val="24"/>
          <w:szCs w:val="24"/>
          <w:lang w:val="en-US"/>
        </w:rPr>
        <w:t>Hepatocyte b</w:t>
      </w:r>
      <w:r w:rsidR="00041757" w:rsidRPr="00612653">
        <w:rPr>
          <w:rFonts w:ascii="Book Antiqua" w:eastAsia="Times New Roman" w:hAnsi="Book Antiqua" w:cs="Times New Roman"/>
          <w:sz w:val="24"/>
          <w:szCs w:val="24"/>
          <w:lang w:val="en-US"/>
        </w:rPr>
        <w:t xml:space="preserve">allooning </w:t>
      </w:r>
      <w:r w:rsidR="00B03DD0" w:rsidRPr="00612653">
        <w:rPr>
          <w:rFonts w:ascii="Book Antiqua" w:eastAsia="Times New Roman" w:hAnsi="Book Antiqua" w:cs="Times New Roman"/>
          <w:sz w:val="24"/>
          <w:szCs w:val="24"/>
          <w:lang w:val="en-US"/>
        </w:rPr>
        <w:t xml:space="preserve">was </w:t>
      </w:r>
      <w:r w:rsidR="00872AFA" w:rsidRPr="00612653">
        <w:rPr>
          <w:rFonts w:ascii="Book Antiqua" w:eastAsia="Times New Roman" w:hAnsi="Book Antiqua" w:cs="Times New Roman"/>
          <w:sz w:val="24"/>
          <w:szCs w:val="24"/>
          <w:lang w:val="en-US"/>
        </w:rPr>
        <w:t>detected</w:t>
      </w:r>
      <w:r w:rsidR="00B03DD0" w:rsidRPr="00612653">
        <w:rPr>
          <w:rFonts w:ascii="Book Antiqua" w:eastAsia="Times New Roman" w:hAnsi="Book Antiqua" w:cs="Times New Roman"/>
          <w:sz w:val="24"/>
          <w:szCs w:val="24"/>
          <w:lang w:val="en-US"/>
        </w:rPr>
        <w:t xml:space="preserve"> </w:t>
      </w:r>
      <w:r w:rsidR="0078477E" w:rsidRPr="00612653">
        <w:rPr>
          <w:rFonts w:ascii="Book Antiqua" w:eastAsia="Times New Roman" w:hAnsi="Book Antiqua" w:cs="Times New Roman"/>
          <w:sz w:val="24"/>
          <w:szCs w:val="24"/>
          <w:lang w:val="en-US"/>
        </w:rPr>
        <w:t xml:space="preserve">in </w:t>
      </w:r>
      <w:r w:rsidR="00A5350E" w:rsidRPr="00612653">
        <w:rPr>
          <w:rFonts w:ascii="Book Antiqua" w:eastAsia="Times New Roman" w:hAnsi="Book Antiqua" w:cs="Times New Roman"/>
          <w:sz w:val="24"/>
          <w:szCs w:val="24"/>
          <w:lang w:val="en-US"/>
        </w:rPr>
        <w:t xml:space="preserve">a </w:t>
      </w:r>
      <w:r w:rsidR="0078477E" w:rsidRPr="00612653">
        <w:rPr>
          <w:rFonts w:ascii="Book Antiqua" w:eastAsia="Times New Roman" w:hAnsi="Book Antiqua" w:cs="Times New Roman"/>
          <w:sz w:val="24"/>
          <w:szCs w:val="24"/>
          <w:lang w:val="en-US"/>
        </w:rPr>
        <w:t xml:space="preserve">few mice </w:t>
      </w:r>
      <w:r w:rsidR="007C5756" w:rsidRPr="00612653">
        <w:rPr>
          <w:rFonts w:ascii="Book Antiqua" w:eastAsia="Times New Roman" w:hAnsi="Book Antiqua" w:cs="Times New Roman"/>
          <w:sz w:val="24"/>
          <w:szCs w:val="24"/>
          <w:lang w:val="en-US"/>
        </w:rPr>
        <w:t>after 30 wk</w:t>
      </w:r>
      <w:r w:rsidR="0078477E" w:rsidRPr="00612653">
        <w:rPr>
          <w:rFonts w:ascii="Book Antiqua" w:eastAsia="Times New Roman" w:hAnsi="Book Antiqua" w:cs="Times New Roman"/>
          <w:sz w:val="24"/>
          <w:szCs w:val="24"/>
          <w:lang w:val="en-US"/>
        </w:rPr>
        <w:t>, increasing in prevalence over time, but did</w:t>
      </w:r>
      <w:r w:rsidR="00041757" w:rsidRPr="00612653">
        <w:rPr>
          <w:rFonts w:ascii="Book Antiqua" w:eastAsia="Times New Roman" w:hAnsi="Book Antiqua" w:cs="Times New Roman"/>
          <w:sz w:val="24"/>
          <w:szCs w:val="24"/>
          <w:lang w:val="en-US"/>
        </w:rPr>
        <w:t xml:space="preserve"> </w:t>
      </w:r>
      <w:r w:rsidR="00DD7718" w:rsidRPr="00612653">
        <w:rPr>
          <w:rFonts w:ascii="Book Antiqua" w:eastAsia="Times New Roman" w:hAnsi="Book Antiqua" w:cs="Times New Roman"/>
          <w:sz w:val="24"/>
          <w:szCs w:val="24"/>
          <w:lang w:val="en-US"/>
        </w:rPr>
        <w:t xml:space="preserve">not progress beyond </w:t>
      </w:r>
      <w:r w:rsidR="006B2EDD" w:rsidRPr="00612653">
        <w:rPr>
          <w:rFonts w:ascii="Book Antiqua" w:eastAsia="Times New Roman" w:hAnsi="Book Antiqua" w:cs="Times New Roman"/>
          <w:sz w:val="24"/>
          <w:szCs w:val="24"/>
          <w:lang w:val="en-US"/>
        </w:rPr>
        <w:t>stage</w:t>
      </w:r>
      <w:r w:rsidR="00A5350E" w:rsidRPr="00612653">
        <w:rPr>
          <w:rFonts w:ascii="Book Antiqua" w:eastAsia="Times New Roman" w:hAnsi="Book Antiqua" w:cs="Times New Roman"/>
          <w:sz w:val="24"/>
          <w:szCs w:val="24"/>
          <w:lang w:val="en-US"/>
        </w:rPr>
        <w:t xml:space="preserve"> 1</w:t>
      </w:r>
      <w:r w:rsidRPr="00612653">
        <w:rPr>
          <w:rFonts w:ascii="Book Antiqua" w:eastAsia="Times New Roman" w:hAnsi="Book Antiqua" w:cs="Times New Roman"/>
          <w:sz w:val="24"/>
          <w:szCs w:val="24"/>
          <w:lang w:val="en-US"/>
        </w:rPr>
        <w:t xml:space="preserve"> </w:t>
      </w:r>
      <w:r w:rsidR="009A1AF2" w:rsidRPr="00612653">
        <w:rPr>
          <w:rFonts w:ascii="Book Antiqua" w:eastAsia="Times New Roman" w:hAnsi="Book Antiqua" w:cs="Times New Roman"/>
          <w:sz w:val="24"/>
          <w:szCs w:val="24"/>
          <w:lang w:val="en-US"/>
        </w:rPr>
        <w:t>(</w:t>
      </w:r>
      <w:r w:rsidR="00F442B3" w:rsidRPr="00612653">
        <w:rPr>
          <w:rFonts w:ascii="Book Antiqua" w:eastAsia="Times New Roman" w:hAnsi="Book Antiqua" w:cs="Times New Roman"/>
          <w:sz w:val="24"/>
          <w:szCs w:val="24"/>
          <w:lang w:val="en-US"/>
        </w:rPr>
        <w:t>panel C</w:t>
      </w:r>
      <w:r w:rsidR="009A1AF2" w:rsidRPr="00612653">
        <w:rPr>
          <w:rFonts w:ascii="Book Antiqua" w:eastAsia="Times New Roman" w:hAnsi="Book Antiqua" w:cs="Times New Roman"/>
          <w:sz w:val="24"/>
          <w:szCs w:val="24"/>
          <w:lang w:val="en-US"/>
        </w:rPr>
        <w:t>)</w:t>
      </w:r>
      <w:r w:rsidR="006B2EDD" w:rsidRPr="00612653">
        <w:rPr>
          <w:rFonts w:ascii="Book Antiqua" w:eastAsia="Times New Roman" w:hAnsi="Book Antiqua" w:cs="Times New Roman"/>
          <w:sz w:val="24"/>
          <w:szCs w:val="24"/>
          <w:lang w:val="en-US"/>
        </w:rPr>
        <w:t>.</w:t>
      </w:r>
      <w:r w:rsidR="00FF56F4" w:rsidRPr="00612653">
        <w:rPr>
          <w:rFonts w:ascii="Book Antiqua" w:eastAsia="Times New Roman" w:hAnsi="Book Antiqua" w:cs="Times New Roman"/>
          <w:sz w:val="24"/>
          <w:szCs w:val="24"/>
          <w:lang w:val="en-US"/>
        </w:rPr>
        <w:t xml:space="preserve"> </w:t>
      </w:r>
      <w:r w:rsidR="00872AFA" w:rsidRPr="00612653">
        <w:rPr>
          <w:rFonts w:ascii="Book Antiqua" w:eastAsia="Times New Roman" w:hAnsi="Book Antiqua" w:cs="Times New Roman"/>
          <w:sz w:val="24"/>
          <w:szCs w:val="24"/>
          <w:lang w:val="en-US"/>
        </w:rPr>
        <w:t xml:space="preserve">Manifest </w:t>
      </w:r>
      <w:r w:rsidR="005C26F7" w:rsidRPr="00612653">
        <w:rPr>
          <w:rFonts w:ascii="Book Antiqua" w:eastAsia="Times New Roman" w:hAnsi="Book Antiqua" w:cs="Times New Roman"/>
          <w:sz w:val="24"/>
          <w:szCs w:val="24"/>
          <w:lang w:val="en-US"/>
        </w:rPr>
        <w:t>N</w:t>
      </w:r>
      <w:r w:rsidR="0021736C" w:rsidRPr="00612653">
        <w:rPr>
          <w:rFonts w:ascii="Book Antiqua" w:eastAsia="Times New Roman" w:hAnsi="Book Antiqua" w:cs="Times New Roman"/>
          <w:sz w:val="24"/>
          <w:szCs w:val="24"/>
          <w:lang w:val="en-US"/>
        </w:rPr>
        <w:t>AS</w:t>
      </w:r>
      <w:r w:rsidR="00A56B84" w:rsidRPr="00612653">
        <w:rPr>
          <w:rFonts w:ascii="Book Antiqua" w:eastAsia="Times New Roman" w:hAnsi="Book Antiqua" w:cs="Times New Roman"/>
          <w:sz w:val="24"/>
          <w:szCs w:val="24"/>
          <w:lang w:val="en-US"/>
        </w:rPr>
        <w:t>H</w:t>
      </w:r>
      <w:r w:rsidR="0021736C" w:rsidRPr="00612653">
        <w:rPr>
          <w:rFonts w:ascii="Book Antiqua" w:eastAsia="Times New Roman" w:hAnsi="Book Antiqua" w:cs="Times New Roman"/>
          <w:sz w:val="24"/>
          <w:szCs w:val="24"/>
          <w:lang w:val="en-US"/>
        </w:rPr>
        <w:t xml:space="preserve"> </w:t>
      </w:r>
      <w:r w:rsidRPr="00612653">
        <w:rPr>
          <w:rFonts w:ascii="Book Antiqua" w:eastAsia="Times New Roman" w:hAnsi="Book Antiqua" w:cs="Times New Roman"/>
          <w:sz w:val="24"/>
          <w:szCs w:val="24"/>
          <w:lang w:val="en-US"/>
        </w:rPr>
        <w:t>(</w:t>
      </w:r>
      <w:r w:rsidR="00872AFA" w:rsidRPr="00612653">
        <w:rPr>
          <w:rFonts w:ascii="Book Antiqua" w:eastAsia="Times New Roman" w:hAnsi="Book Antiqua" w:cs="Times New Roman"/>
          <w:sz w:val="24"/>
          <w:szCs w:val="24"/>
          <w:lang w:val="en-US"/>
        </w:rPr>
        <w:t xml:space="preserve">NAS </w:t>
      </w:r>
      <w:r w:rsidRPr="00612653">
        <w:rPr>
          <w:rFonts w:ascii="Book Antiqua" w:eastAsia="Times New Roman" w:hAnsi="Book Antiqua" w:cs="Times New Roman"/>
          <w:sz w:val="24"/>
          <w:szCs w:val="24"/>
          <w:lang w:val="en-US"/>
        </w:rPr>
        <w:t xml:space="preserve">4-5) </w:t>
      </w:r>
      <w:r w:rsidR="0021736C" w:rsidRPr="00612653">
        <w:rPr>
          <w:rFonts w:ascii="Book Antiqua" w:eastAsia="Times New Roman" w:hAnsi="Book Antiqua" w:cs="Times New Roman"/>
          <w:sz w:val="24"/>
          <w:szCs w:val="24"/>
          <w:lang w:val="en-US"/>
        </w:rPr>
        <w:t xml:space="preserve">was </w:t>
      </w:r>
      <w:r w:rsidR="00F442B3" w:rsidRPr="00612653">
        <w:rPr>
          <w:rFonts w:ascii="Book Antiqua" w:eastAsia="Times New Roman" w:hAnsi="Book Antiqua" w:cs="Times New Roman"/>
          <w:sz w:val="24"/>
          <w:szCs w:val="24"/>
          <w:lang w:val="en-US"/>
        </w:rPr>
        <w:t xml:space="preserve">consistently </w:t>
      </w:r>
      <w:r w:rsidR="0021736C" w:rsidRPr="00612653">
        <w:rPr>
          <w:rFonts w:ascii="Book Antiqua" w:eastAsia="Times New Roman" w:hAnsi="Book Antiqua" w:cs="Times New Roman"/>
          <w:sz w:val="24"/>
          <w:szCs w:val="24"/>
          <w:lang w:val="en-US"/>
        </w:rPr>
        <w:t>observed after 20</w:t>
      </w:r>
      <w:r w:rsidR="00A56B84" w:rsidRPr="00612653">
        <w:rPr>
          <w:rFonts w:ascii="Book Antiqua" w:eastAsia="Times New Roman" w:hAnsi="Book Antiqua" w:cs="Times New Roman"/>
          <w:sz w:val="24"/>
          <w:szCs w:val="24"/>
          <w:lang w:val="en-US"/>
        </w:rPr>
        <w:t>-30</w:t>
      </w:r>
      <w:r w:rsidR="0021736C" w:rsidRPr="00612653">
        <w:rPr>
          <w:rFonts w:ascii="Book Antiqua" w:eastAsia="Times New Roman" w:hAnsi="Book Antiqua" w:cs="Times New Roman"/>
          <w:sz w:val="24"/>
          <w:szCs w:val="24"/>
          <w:lang w:val="en-US"/>
        </w:rPr>
        <w:t xml:space="preserve"> weeks</w:t>
      </w:r>
      <w:r w:rsidR="00F442B3" w:rsidRPr="00612653">
        <w:rPr>
          <w:rFonts w:ascii="Book Antiqua" w:eastAsia="Times New Roman" w:hAnsi="Book Antiqua" w:cs="Times New Roman"/>
          <w:sz w:val="24"/>
          <w:szCs w:val="24"/>
          <w:lang w:val="en-US"/>
        </w:rPr>
        <w:t xml:space="preserve"> of dieting</w:t>
      </w:r>
      <w:r w:rsidR="00872AFA" w:rsidRPr="00612653">
        <w:rPr>
          <w:rFonts w:ascii="Book Antiqua" w:eastAsia="Times New Roman" w:hAnsi="Book Antiqua" w:cs="Times New Roman"/>
          <w:sz w:val="24"/>
          <w:szCs w:val="24"/>
          <w:lang w:val="en-US"/>
        </w:rPr>
        <w:t xml:space="preserve"> </w:t>
      </w:r>
      <w:r w:rsidR="00DD7718" w:rsidRPr="00612653">
        <w:rPr>
          <w:rFonts w:ascii="Book Antiqua" w:eastAsia="Times New Roman" w:hAnsi="Book Antiqua" w:cs="Times New Roman"/>
          <w:sz w:val="24"/>
          <w:szCs w:val="24"/>
          <w:lang w:val="en-US"/>
        </w:rPr>
        <w:t xml:space="preserve">and </w:t>
      </w:r>
      <w:r w:rsidR="00872AFA" w:rsidRPr="00612653">
        <w:rPr>
          <w:rFonts w:ascii="Book Antiqua" w:eastAsia="Times New Roman" w:hAnsi="Book Antiqua" w:cs="Times New Roman"/>
          <w:sz w:val="24"/>
          <w:szCs w:val="24"/>
          <w:lang w:val="en-US"/>
        </w:rPr>
        <w:t xml:space="preserve">increase in severity during the </w:t>
      </w:r>
      <w:r w:rsidR="00DD7718" w:rsidRPr="00612653">
        <w:rPr>
          <w:rFonts w:ascii="Book Antiqua" w:eastAsia="Times New Roman" w:hAnsi="Book Antiqua" w:cs="Times New Roman"/>
          <w:sz w:val="24"/>
          <w:szCs w:val="24"/>
          <w:lang w:val="en-US"/>
        </w:rPr>
        <w:lastRenderedPageBreak/>
        <w:t xml:space="preserve">remainder of the </w:t>
      </w:r>
      <w:r w:rsidR="00872AFA" w:rsidRPr="00612653">
        <w:rPr>
          <w:rFonts w:ascii="Book Antiqua" w:eastAsia="Times New Roman" w:hAnsi="Book Antiqua" w:cs="Times New Roman"/>
          <w:sz w:val="24"/>
          <w:szCs w:val="24"/>
          <w:lang w:val="en-US"/>
        </w:rPr>
        <w:t>monitoring period</w:t>
      </w:r>
      <w:r w:rsidR="00DD7718" w:rsidRPr="00612653">
        <w:rPr>
          <w:rFonts w:ascii="Book Antiqua" w:eastAsia="Times New Roman" w:hAnsi="Book Antiqua" w:cs="Times New Roman"/>
          <w:sz w:val="24"/>
          <w:szCs w:val="24"/>
          <w:lang w:val="en-US"/>
        </w:rPr>
        <w:t xml:space="preserve"> (panel D)</w:t>
      </w:r>
      <w:r w:rsidR="00A56B84" w:rsidRPr="00612653">
        <w:rPr>
          <w:rFonts w:ascii="Book Antiqua" w:eastAsia="Times New Roman" w:hAnsi="Book Antiqua" w:cs="Times New Roman"/>
          <w:sz w:val="24"/>
          <w:szCs w:val="24"/>
          <w:lang w:val="en-US"/>
        </w:rPr>
        <w:t>.</w:t>
      </w:r>
      <w:r w:rsidR="00872AFA" w:rsidRPr="00612653">
        <w:rPr>
          <w:rFonts w:ascii="Book Antiqua" w:eastAsia="Times New Roman" w:hAnsi="Book Antiqua" w:cs="Times New Roman"/>
          <w:sz w:val="24"/>
          <w:szCs w:val="24"/>
          <w:lang w:val="en-US"/>
        </w:rPr>
        <w:t xml:space="preserve"> </w:t>
      </w:r>
      <w:r w:rsidR="00DD7718" w:rsidRPr="00612653">
        <w:rPr>
          <w:rFonts w:ascii="Book Antiqua" w:eastAsia="Times New Roman" w:hAnsi="Book Antiqua" w:cs="Times New Roman"/>
          <w:sz w:val="24"/>
          <w:szCs w:val="24"/>
          <w:lang w:val="en-US"/>
        </w:rPr>
        <w:t>F</w:t>
      </w:r>
      <w:r w:rsidRPr="00612653">
        <w:rPr>
          <w:rFonts w:ascii="Book Antiqua" w:eastAsia="Times New Roman" w:hAnsi="Book Antiqua" w:cs="Times New Roman"/>
          <w:sz w:val="24"/>
          <w:szCs w:val="24"/>
          <w:lang w:val="en-US"/>
        </w:rPr>
        <w:t xml:space="preserve">ibrosis </w:t>
      </w:r>
      <w:r w:rsidR="00DD7718" w:rsidRPr="00612653">
        <w:rPr>
          <w:rFonts w:ascii="Book Antiqua" w:eastAsia="Times New Roman" w:hAnsi="Book Antiqua" w:cs="Times New Roman"/>
          <w:sz w:val="24"/>
          <w:szCs w:val="24"/>
          <w:lang w:val="en-US"/>
        </w:rPr>
        <w:t xml:space="preserve">(stage 1) was consistently detected </w:t>
      </w:r>
      <w:r w:rsidR="007C5756" w:rsidRPr="00612653">
        <w:rPr>
          <w:rFonts w:ascii="Book Antiqua" w:eastAsia="Times New Roman" w:hAnsi="Book Antiqua" w:cs="Times New Roman"/>
          <w:sz w:val="24"/>
          <w:szCs w:val="24"/>
          <w:lang w:val="en-US"/>
        </w:rPr>
        <w:t>from 20 wk</w:t>
      </w:r>
      <w:r w:rsidR="007C5756" w:rsidRPr="00612653">
        <w:rPr>
          <w:rFonts w:ascii="Book Antiqua" w:eastAsia="Times New Roman" w:hAnsi="Book Antiqua" w:cs="Times New Roman"/>
          <w:sz w:val="24"/>
          <w:szCs w:val="24"/>
          <w:lang w:val="en-US" w:eastAsia="zh-CN"/>
        </w:rPr>
        <w:t xml:space="preserve"> </w:t>
      </w:r>
      <w:r w:rsidR="00640ECF" w:rsidRPr="00612653">
        <w:rPr>
          <w:rFonts w:ascii="Book Antiqua" w:eastAsia="Times New Roman" w:hAnsi="Book Antiqua" w:cs="Times New Roman"/>
          <w:sz w:val="24"/>
          <w:szCs w:val="24"/>
          <w:lang w:val="en-US"/>
        </w:rPr>
        <w:t>of dieting</w:t>
      </w:r>
      <w:r w:rsidR="00DD7718" w:rsidRPr="00612653">
        <w:rPr>
          <w:rFonts w:ascii="Book Antiqua" w:eastAsia="Times New Roman" w:hAnsi="Book Antiqua" w:cs="Times New Roman"/>
          <w:sz w:val="24"/>
          <w:szCs w:val="24"/>
          <w:lang w:val="en-US"/>
        </w:rPr>
        <w:t xml:space="preserve">. All </w:t>
      </w:r>
      <w:r w:rsidR="004F6289" w:rsidRPr="00612653">
        <w:rPr>
          <w:rFonts w:ascii="Book Antiqua" w:eastAsia="Times New Roman" w:hAnsi="Book Antiqua" w:cs="Times New Roman"/>
          <w:sz w:val="24"/>
          <w:szCs w:val="24"/>
          <w:lang w:val="en-US"/>
        </w:rPr>
        <w:t xml:space="preserve">DIO-NASH </w:t>
      </w:r>
      <w:r w:rsidR="00DD7718" w:rsidRPr="00612653">
        <w:rPr>
          <w:rFonts w:ascii="Book Antiqua" w:eastAsia="Times New Roman" w:hAnsi="Book Antiqua" w:cs="Times New Roman"/>
          <w:sz w:val="24"/>
          <w:szCs w:val="24"/>
          <w:lang w:val="en-US"/>
        </w:rPr>
        <w:t xml:space="preserve">mice </w:t>
      </w:r>
      <w:r w:rsidR="004F6289" w:rsidRPr="00612653">
        <w:rPr>
          <w:rFonts w:ascii="Book Antiqua" w:eastAsia="Times New Roman" w:hAnsi="Book Antiqua" w:cs="Times New Roman"/>
          <w:sz w:val="24"/>
          <w:szCs w:val="24"/>
          <w:lang w:val="en-US"/>
        </w:rPr>
        <w:t>developed</w:t>
      </w:r>
      <w:r w:rsidR="00DD7718" w:rsidRPr="00612653">
        <w:rPr>
          <w:rFonts w:ascii="Book Antiqua" w:eastAsia="Times New Roman" w:hAnsi="Book Antiqua" w:cs="Times New Roman"/>
          <w:sz w:val="24"/>
          <w:szCs w:val="24"/>
          <w:lang w:val="en-US"/>
        </w:rPr>
        <w:t xml:space="preserve"> fibrosis after </w:t>
      </w:r>
      <w:r w:rsidR="007C5756" w:rsidRPr="00612653">
        <w:rPr>
          <w:rFonts w:ascii="Book Antiqua" w:eastAsia="Times New Roman" w:hAnsi="Book Antiqua" w:cs="Times New Roman"/>
          <w:sz w:val="24"/>
          <w:szCs w:val="24"/>
          <w:lang w:val="en-US"/>
        </w:rPr>
        <w:t>35 wk</w:t>
      </w:r>
      <w:r w:rsidR="004F6289" w:rsidRPr="00612653">
        <w:rPr>
          <w:rFonts w:ascii="Book Antiqua" w:eastAsia="Times New Roman" w:hAnsi="Book Antiqua" w:cs="Times New Roman"/>
          <w:sz w:val="24"/>
          <w:szCs w:val="24"/>
          <w:lang w:val="en-US"/>
        </w:rPr>
        <w:t xml:space="preserve"> (predominantly stage 2), but 20-30% of the mice rema</w:t>
      </w:r>
      <w:r w:rsidR="007C5756" w:rsidRPr="00612653">
        <w:rPr>
          <w:rFonts w:ascii="Book Antiqua" w:eastAsia="Times New Roman" w:hAnsi="Book Antiqua" w:cs="Times New Roman"/>
          <w:sz w:val="24"/>
          <w:szCs w:val="24"/>
          <w:lang w:val="en-US"/>
        </w:rPr>
        <w:t>ined at stage 1 after 50 wk</w:t>
      </w:r>
      <w:r w:rsidR="004F6289" w:rsidRPr="00612653">
        <w:rPr>
          <w:rFonts w:ascii="Book Antiqua" w:eastAsia="Times New Roman" w:hAnsi="Book Antiqua" w:cs="Times New Roman"/>
          <w:sz w:val="24"/>
          <w:szCs w:val="24"/>
          <w:lang w:val="en-US"/>
        </w:rPr>
        <w:t xml:space="preserve"> of dieting</w:t>
      </w:r>
      <w:r w:rsidR="000061C6" w:rsidRPr="00612653">
        <w:rPr>
          <w:rFonts w:ascii="Book Antiqua" w:eastAsia="Times New Roman" w:hAnsi="Book Antiqua" w:cs="Times New Roman"/>
          <w:sz w:val="24"/>
          <w:szCs w:val="24"/>
          <w:lang w:val="en-US"/>
        </w:rPr>
        <w:t xml:space="preserve"> </w:t>
      </w:r>
      <w:r w:rsidR="00815AB5" w:rsidRPr="00612653">
        <w:rPr>
          <w:rFonts w:ascii="Book Antiqua" w:eastAsia="Times New Roman" w:hAnsi="Book Antiqua" w:cs="Times New Roman"/>
          <w:sz w:val="24"/>
          <w:szCs w:val="24"/>
          <w:lang w:val="en-US"/>
        </w:rPr>
        <w:t>(panel E).</w:t>
      </w:r>
      <w:r w:rsidR="00B763BB" w:rsidRPr="00612653">
        <w:rPr>
          <w:rFonts w:ascii="Book Antiqua" w:eastAsia="Times New Roman" w:hAnsi="Book Antiqua" w:cs="Times New Roman"/>
          <w:sz w:val="24"/>
          <w:szCs w:val="24"/>
          <w:lang w:val="en-US"/>
        </w:rPr>
        <w:t xml:space="preserve"> Hepatic</w:t>
      </w:r>
      <w:r w:rsidR="008B20FF" w:rsidRPr="00612653">
        <w:rPr>
          <w:rFonts w:ascii="Book Antiqua" w:eastAsia="Times New Roman" w:hAnsi="Book Antiqua" w:cs="Times New Roman"/>
          <w:sz w:val="24"/>
          <w:szCs w:val="24"/>
          <w:lang w:val="en-US"/>
        </w:rPr>
        <w:t xml:space="preserve"> lipid </w:t>
      </w:r>
      <w:r w:rsidR="000061C6" w:rsidRPr="00612653">
        <w:rPr>
          <w:rFonts w:ascii="Book Antiqua" w:eastAsia="Times New Roman" w:hAnsi="Book Antiqua" w:cs="Times New Roman"/>
          <w:sz w:val="24"/>
          <w:szCs w:val="24"/>
          <w:lang w:val="en-US"/>
        </w:rPr>
        <w:t>amounts</w:t>
      </w:r>
      <w:r w:rsidR="008B20FF" w:rsidRPr="00612653">
        <w:rPr>
          <w:rFonts w:ascii="Book Antiqua" w:eastAsia="Times New Roman" w:hAnsi="Book Antiqua" w:cs="Times New Roman"/>
          <w:sz w:val="24"/>
          <w:szCs w:val="24"/>
          <w:lang w:val="en-US"/>
        </w:rPr>
        <w:t xml:space="preserve"> significantly increased from dieting week 10</w:t>
      </w:r>
      <w:r w:rsidR="00B763BB" w:rsidRPr="00612653">
        <w:rPr>
          <w:rFonts w:ascii="Book Antiqua" w:eastAsia="Times New Roman" w:hAnsi="Book Antiqua" w:cs="Times New Roman"/>
          <w:sz w:val="24"/>
          <w:szCs w:val="24"/>
          <w:lang w:val="en-US"/>
        </w:rPr>
        <w:t xml:space="preserve"> and</w:t>
      </w:r>
      <w:r w:rsidR="000061C6" w:rsidRPr="00612653">
        <w:rPr>
          <w:rFonts w:ascii="Book Antiqua" w:eastAsia="Times New Roman" w:hAnsi="Book Antiqua" w:cs="Times New Roman"/>
          <w:sz w:val="24"/>
          <w:szCs w:val="24"/>
          <w:lang w:val="en-US"/>
        </w:rPr>
        <w:t xml:space="preserve"> </w:t>
      </w:r>
      <w:r w:rsidR="008B20FF" w:rsidRPr="00612653">
        <w:rPr>
          <w:rFonts w:ascii="Book Antiqua" w:eastAsia="Times New Roman" w:hAnsi="Book Antiqua" w:cs="Times New Roman"/>
          <w:sz w:val="24"/>
          <w:szCs w:val="24"/>
          <w:lang w:val="en-US"/>
        </w:rPr>
        <w:t>reached a</w:t>
      </w:r>
      <w:r w:rsidR="00B763BB" w:rsidRPr="00612653">
        <w:rPr>
          <w:rFonts w:ascii="Book Antiqua" w:eastAsia="Times New Roman" w:hAnsi="Book Antiqua" w:cs="Times New Roman"/>
          <w:sz w:val="24"/>
          <w:szCs w:val="24"/>
          <w:lang w:val="en-US"/>
        </w:rPr>
        <w:t xml:space="preserve"> maximal level</w:t>
      </w:r>
      <w:r w:rsidR="005C26F7" w:rsidRPr="00612653">
        <w:rPr>
          <w:rFonts w:ascii="Book Antiqua" w:eastAsia="Times New Roman" w:hAnsi="Book Antiqua" w:cs="Times New Roman"/>
          <w:sz w:val="24"/>
          <w:szCs w:val="24"/>
          <w:lang w:val="en-US"/>
        </w:rPr>
        <w:t xml:space="preserve"> </w:t>
      </w:r>
      <w:r w:rsidR="000061C6" w:rsidRPr="00612653">
        <w:rPr>
          <w:rFonts w:ascii="Book Antiqua" w:eastAsia="Times New Roman" w:hAnsi="Book Antiqua" w:cs="Times New Roman"/>
          <w:sz w:val="24"/>
          <w:szCs w:val="24"/>
          <w:lang w:val="en-US"/>
        </w:rPr>
        <w:t>from</w:t>
      </w:r>
      <w:r w:rsidR="005C26F7" w:rsidRPr="00612653">
        <w:rPr>
          <w:rFonts w:ascii="Book Antiqua" w:eastAsia="Times New Roman" w:hAnsi="Book Antiqua" w:cs="Times New Roman"/>
          <w:sz w:val="24"/>
          <w:szCs w:val="24"/>
          <w:lang w:val="en-US"/>
        </w:rPr>
        <w:t xml:space="preserve"> week 15</w:t>
      </w:r>
      <w:r w:rsidR="000061C6" w:rsidRPr="00612653">
        <w:rPr>
          <w:rFonts w:ascii="Book Antiqua" w:eastAsia="Times New Roman" w:hAnsi="Book Antiqua" w:cs="Times New Roman"/>
          <w:sz w:val="24"/>
          <w:szCs w:val="24"/>
          <w:lang w:val="en-US"/>
        </w:rPr>
        <w:t xml:space="preserve"> </w:t>
      </w:r>
      <w:r w:rsidR="008B20FF" w:rsidRPr="00612653">
        <w:rPr>
          <w:rFonts w:ascii="Book Antiqua" w:eastAsia="Times New Roman" w:hAnsi="Book Antiqua" w:cs="Times New Roman"/>
          <w:sz w:val="24"/>
          <w:szCs w:val="24"/>
          <w:lang w:val="en-US"/>
        </w:rPr>
        <w:t>(panel F).</w:t>
      </w:r>
      <w:r w:rsidR="00F75B0B" w:rsidRPr="00612653">
        <w:rPr>
          <w:rFonts w:ascii="Book Antiqua" w:eastAsia="Times New Roman" w:hAnsi="Book Antiqua" w:cs="Times New Roman"/>
          <w:sz w:val="24"/>
          <w:szCs w:val="24"/>
          <w:lang w:val="en-US"/>
        </w:rPr>
        <w:t xml:space="preserve"> </w:t>
      </w:r>
      <w:r w:rsidR="00B763BB" w:rsidRPr="00612653">
        <w:rPr>
          <w:rFonts w:ascii="Book Antiqua" w:eastAsia="Times New Roman" w:hAnsi="Book Antiqua" w:cs="Times New Roman"/>
          <w:sz w:val="24"/>
          <w:szCs w:val="24"/>
          <w:lang w:val="en-US"/>
        </w:rPr>
        <w:t>L</w:t>
      </w:r>
      <w:r w:rsidR="00F75B0B" w:rsidRPr="00612653">
        <w:rPr>
          <w:rFonts w:ascii="Book Antiqua" w:eastAsia="Times New Roman" w:hAnsi="Book Antiqua" w:cs="Times New Roman"/>
          <w:sz w:val="24"/>
          <w:szCs w:val="24"/>
          <w:lang w:val="en-US"/>
        </w:rPr>
        <w:t xml:space="preserve">iver galectin-3 </w:t>
      </w:r>
      <w:r w:rsidR="007C645B" w:rsidRPr="00612653">
        <w:rPr>
          <w:rFonts w:ascii="Book Antiqua" w:eastAsia="Times New Roman" w:hAnsi="Book Antiqua" w:cs="Times New Roman"/>
          <w:sz w:val="24"/>
          <w:szCs w:val="24"/>
          <w:lang w:val="en-US"/>
        </w:rPr>
        <w:t xml:space="preserve">immunoreactivity </w:t>
      </w:r>
      <w:r w:rsidR="00F75B0B" w:rsidRPr="00612653">
        <w:rPr>
          <w:rFonts w:ascii="Book Antiqua" w:eastAsia="Times New Roman" w:hAnsi="Book Antiqua" w:cs="Times New Roman"/>
          <w:sz w:val="24"/>
          <w:szCs w:val="24"/>
          <w:lang w:val="en-US"/>
        </w:rPr>
        <w:t xml:space="preserve">increased after 20 weeks of dieting and </w:t>
      </w:r>
      <w:r w:rsidR="00B763BB" w:rsidRPr="00612653">
        <w:rPr>
          <w:rFonts w:ascii="Book Antiqua" w:eastAsia="Times New Roman" w:hAnsi="Book Antiqua" w:cs="Times New Roman"/>
          <w:sz w:val="24"/>
          <w:szCs w:val="24"/>
          <w:lang w:val="en-US"/>
        </w:rPr>
        <w:t>progressed further</w:t>
      </w:r>
      <w:r w:rsidR="002E76E2" w:rsidRPr="00612653">
        <w:rPr>
          <w:rFonts w:ascii="Book Antiqua" w:eastAsia="Times New Roman" w:hAnsi="Book Antiqua" w:cs="Times New Roman"/>
          <w:sz w:val="24"/>
          <w:szCs w:val="24"/>
          <w:lang w:val="en-US"/>
        </w:rPr>
        <w:t xml:space="preserve"> </w:t>
      </w:r>
      <w:r w:rsidR="007C645B" w:rsidRPr="00612653">
        <w:rPr>
          <w:rFonts w:ascii="Book Antiqua" w:eastAsia="Times New Roman" w:hAnsi="Book Antiqua" w:cs="Times New Roman"/>
          <w:sz w:val="24"/>
          <w:szCs w:val="24"/>
          <w:lang w:val="en-US"/>
        </w:rPr>
        <w:t xml:space="preserve">with increasing dieting periods </w:t>
      </w:r>
      <w:r w:rsidR="00F75B0B" w:rsidRPr="00612653">
        <w:rPr>
          <w:rFonts w:ascii="Book Antiqua" w:eastAsia="Times New Roman" w:hAnsi="Book Antiqua" w:cs="Times New Roman"/>
          <w:sz w:val="24"/>
          <w:szCs w:val="24"/>
          <w:lang w:val="en-US"/>
        </w:rPr>
        <w:t xml:space="preserve">(panel G). Col1a1 </w:t>
      </w:r>
      <w:r w:rsidR="007C645B" w:rsidRPr="00612653">
        <w:rPr>
          <w:rFonts w:ascii="Book Antiqua" w:eastAsia="Times New Roman" w:hAnsi="Book Antiqua" w:cs="Times New Roman"/>
          <w:sz w:val="24"/>
          <w:szCs w:val="24"/>
          <w:lang w:val="en-US"/>
        </w:rPr>
        <w:t>immunoreactivity</w:t>
      </w:r>
      <w:r w:rsidR="00B763BB" w:rsidRPr="00612653">
        <w:rPr>
          <w:rFonts w:ascii="Book Antiqua" w:eastAsia="Times New Roman" w:hAnsi="Book Antiqua" w:cs="Times New Roman"/>
          <w:sz w:val="24"/>
          <w:szCs w:val="24"/>
          <w:lang w:val="en-US"/>
        </w:rPr>
        <w:t xml:space="preserve"> </w:t>
      </w:r>
      <w:r w:rsidR="007C645B" w:rsidRPr="00612653">
        <w:rPr>
          <w:rFonts w:ascii="Book Antiqua" w:eastAsia="Times New Roman" w:hAnsi="Book Antiqua" w:cs="Times New Roman"/>
          <w:sz w:val="24"/>
          <w:szCs w:val="24"/>
          <w:lang w:val="en-US"/>
        </w:rPr>
        <w:t>was elevated</w:t>
      </w:r>
      <w:r w:rsidR="007C5756" w:rsidRPr="00612653">
        <w:rPr>
          <w:rFonts w:ascii="Book Antiqua" w:eastAsia="Times New Roman" w:hAnsi="Book Antiqua" w:cs="Times New Roman"/>
          <w:sz w:val="24"/>
          <w:szCs w:val="24"/>
          <w:lang w:val="en-US"/>
        </w:rPr>
        <w:t xml:space="preserve"> after 35 wk</w:t>
      </w:r>
      <w:r w:rsidR="00F75B0B" w:rsidRPr="00612653">
        <w:rPr>
          <w:rFonts w:ascii="Book Antiqua" w:eastAsia="Times New Roman" w:hAnsi="Book Antiqua" w:cs="Times New Roman"/>
          <w:sz w:val="24"/>
          <w:szCs w:val="24"/>
          <w:lang w:val="en-US"/>
        </w:rPr>
        <w:t xml:space="preserve"> of dieting and </w:t>
      </w:r>
      <w:r w:rsidR="00B763BB" w:rsidRPr="00612653">
        <w:rPr>
          <w:rFonts w:ascii="Book Antiqua" w:eastAsia="Times New Roman" w:hAnsi="Book Antiqua" w:cs="Times New Roman"/>
          <w:sz w:val="24"/>
          <w:szCs w:val="24"/>
          <w:lang w:val="en-US"/>
        </w:rPr>
        <w:t xml:space="preserve">did </w:t>
      </w:r>
      <w:r w:rsidR="007C645B" w:rsidRPr="00612653">
        <w:rPr>
          <w:rFonts w:ascii="Book Antiqua" w:eastAsia="Times New Roman" w:hAnsi="Book Antiqua" w:cs="Times New Roman"/>
          <w:sz w:val="24"/>
          <w:szCs w:val="24"/>
          <w:lang w:val="en-US"/>
        </w:rPr>
        <w:t xml:space="preserve">not change further </w:t>
      </w:r>
      <w:r w:rsidR="00F75B0B" w:rsidRPr="00612653">
        <w:rPr>
          <w:rFonts w:ascii="Book Antiqua" w:eastAsia="Times New Roman" w:hAnsi="Book Antiqua" w:cs="Times New Roman"/>
          <w:sz w:val="24"/>
          <w:szCs w:val="24"/>
          <w:lang w:val="en-US"/>
        </w:rPr>
        <w:t xml:space="preserve">(panel H). </w:t>
      </w:r>
      <w:r w:rsidR="00576DCF" w:rsidRPr="00612653">
        <w:rPr>
          <w:rFonts w:ascii="Book Antiqua" w:eastAsia="Times New Roman" w:hAnsi="Book Antiqua" w:cs="Times New Roman"/>
          <w:sz w:val="24"/>
          <w:szCs w:val="24"/>
          <w:lang w:val="en-US"/>
        </w:rPr>
        <w:t>L</w:t>
      </w:r>
      <w:r w:rsidR="00CB08AE" w:rsidRPr="00612653">
        <w:rPr>
          <w:rFonts w:ascii="Book Antiqua" w:eastAsia="Times New Roman" w:hAnsi="Book Antiqua" w:cs="Times New Roman"/>
          <w:sz w:val="24"/>
          <w:szCs w:val="24"/>
          <w:lang w:val="en-US"/>
        </w:rPr>
        <w:t xml:space="preserve">ate-stage </w:t>
      </w:r>
      <w:r w:rsidR="0030781D" w:rsidRPr="00612653">
        <w:rPr>
          <w:rFonts w:ascii="Book Antiqua" w:eastAsia="Times New Roman" w:hAnsi="Book Antiqua" w:cs="Times New Roman"/>
          <w:sz w:val="24"/>
          <w:szCs w:val="24"/>
          <w:lang w:val="en-US"/>
        </w:rPr>
        <w:t xml:space="preserve">complications </w:t>
      </w:r>
      <w:r w:rsidR="00CB08AE" w:rsidRPr="00612653">
        <w:rPr>
          <w:rFonts w:ascii="Book Antiqua" w:eastAsia="Times New Roman" w:hAnsi="Book Antiqua" w:cs="Times New Roman"/>
          <w:sz w:val="24"/>
          <w:szCs w:val="24"/>
          <w:lang w:val="en-US"/>
        </w:rPr>
        <w:t>were rare</w:t>
      </w:r>
      <w:r w:rsidR="00D16021" w:rsidRPr="00612653">
        <w:rPr>
          <w:rFonts w:ascii="Book Antiqua" w:eastAsia="Times New Roman" w:hAnsi="Book Antiqua" w:cs="Times New Roman"/>
          <w:sz w:val="24"/>
          <w:szCs w:val="24"/>
          <w:lang w:val="en-US"/>
        </w:rPr>
        <w:t xml:space="preserve"> in DIO-NASH mice</w:t>
      </w:r>
      <w:r w:rsidR="00CB08AE" w:rsidRPr="00612653">
        <w:rPr>
          <w:rFonts w:ascii="Book Antiqua" w:eastAsia="Times New Roman" w:hAnsi="Book Antiqua" w:cs="Times New Roman"/>
          <w:sz w:val="24"/>
          <w:szCs w:val="24"/>
          <w:lang w:val="en-US"/>
        </w:rPr>
        <w:t xml:space="preserve">, and occurred </w:t>
      </w:r>
      <w:r w:rsidR="00D16021" w:rsidRPr="00612653">
        <w:rPr>
          <w:rFonts w:ascii="Book Antiqua" w:eastAsia="Times New Roman" w:hAnsi="Book Antiqua" w:cs="Times New Roman"/>
          <w:sz w:val="24"/>
          <w:szCs w:val="24"/>
          <w:lang w:val="en-US"/>
        </w:rPr>
        <w:t xml:space="preserve">only </w:t>
      </w:r>
      <w:r w:rsidR="00CB08AE" w:rsidRPr="00612653">
        <w:rPr>
          <w:rFonts w:ascii="Book Antiqua" w:eastAsia="Times New Roman" w:hAnsi="Book Antiqua" w:cs="Times New Roman"/>
          <w:sz w:val="24"/>
          <w:szCs w:val="24"/>
          <w:lang w:val="en-US"/>
        </w:rPr>
        <w:t xml:space="preserve">after </w:t>
      </w:r>
      <w:r w:rsidR="00CB08AE" w:rsidRPr="00612653">
        <w:rPr>
          <w:rFonts w:ascii="Book Antiqua" w:eastAsia="Times New Roman" w:hAnsi="Book Antiqua"/>
          <w:sz w:val="24"/>
          <w:szCs w:val="24"/>
          <w:lang w:val="en-US"/>
        </w:rPr>
        <w:t>≥</w:t>
      </w:r>
      <w:r w:rsidR="007C5756" w:rsidRPr="00612653">
        <w:rPr>
          <w:rFonts w:ascii="Book Antiqua" w:eastAsia="Times New Roman" w:hAnsi="Book Antiqua"/>
          <w:sz w:val="24"/>
          <w:szCs w:val="24"/>
          <w:lang w:val="en-US" w:eastAsia="zh-CN"/>
        </w:rPr>
        <w:t xml:space="preserve"> </w:t>
      </w:r>
      <w:r w:rsidR="007C5756" w:rsidRPr="00612653">
        <w:rPr>
          <w:rFonts w:ascii="Book Antiqua" w:eastAsia="Times New Roman" w:hAnsi="Book Antiqua" w:cs="Times New Roman"/>
          <w:sz w:val="24"/>
          <w:szCs w:val="24"/>
          <w:lang w:val="en-US"/>
        </w:rPr>
        <w:t>40 wk</w:t>
      </w:r>
      <w:r w:rsidR="00CB08AE" w:rsidRPr="00612653">
        <w:rPr>
          <w:rFonts w:ascii="Book Antiqua" w:eastAsia="Times New Roman" w:hAnsi="Book Antiqua" w:cs="Times New Roman"/>
          <w:sz w:val="24"/>
          <w:szCs w:val="24"/>
          <w:lang w:val="en-US"/>
        </w:rPr>
        <w:t xml:space="preserve"> on AMLN diet (</w:t>
      </w:r>
      <w:r w:rsidR="00B763BB" w:rsidRPr="00612653">
        <w:rPr>
          <w:rFonts w:ascii="Book Antiqua" w:eastAsia="Times New Roman" w:hAnsi="Book Antiqua" w:cs="Times New Roman"/>
          <w:sz w:val="24"/>
          <w:szCs w:val="24"/>
          <w:lang w:val="en-US"/>
        </w:rPr>
        <w:t>cirrhosis</w:t>
      </w:r>
      <w:r w:rsidR="00267B7B" w:rsidRPr="00612653">
        <w:rPr>
          <w:rFonts w:ascii="Book Antiqua" w:eastAsia="Times New Roman" w:hAnsi="Book Antiqua" w:cs="Times New Roman"/>
          <w:sz w:val="24"/>
          <w:szCs w:val="24"/>
          <w:lang w:val="en-US"/>
        </w:rPr>
        <w:t xml:space="preserve"> and</w:t>
      </w:r>
      <w:r w:rsidR="00CB08AE" w:rsidRPr="00612653">
        <w:rPr>
          <w:rFonts w:ascii="Book Antiqua" w:eastAsia="Times New Roman" w:hAnsi="Book Antiqua" w:cs="Times New Roman"/>
          <w:sz w:val="24"/>
          <w:szCs w:val="24"/>
          <w:lang w:val="en-US"/>
        </w:rPr>
        <w:t xml:space="preserve"> </w:t>
      </w:r>
      <w:r w:rsidR="00B763BB" w:rsidRPr="00612653">
        <w:rPr>
          <w:rFonts w:ascii="Book Antiqua" w:eastAsia="Times New Roman" w:hAnsi="Book Antiqua" w:cs="Times New Roman"/>
          <w:sz w:val="24"/>
          <w:szCs w:val="24"/>
          <w:lang w:val="en-US"/>
        </w:rPr>
        <w:t>hepatic nodular formation</w:t>
      </w:r>
      <w:r w:rsidR="00CB08AE" w:rsidRPr="00612653">
        <w:rPr>
          <w:rFonts w:ascii="Book Antiqua" w:eastAsia="Times New Roman" w:hAnsi="Book Antiqua" w:cs="Times New Roman"/>
          <w:sz w:val="24"/>
          <w:szCs w:val="24"/>
          <w:lang w:val="en-US"/>
        </w:rPr>
        <w:t xml:space="preserve">, </w:t>
      </w:r>
      <w:r w:rsidR="00B763BB" w:rsidRPr="00612653">
        <w:rPr>
          <w:rFonts w:ascii="Book Antiqua" w:eastAsia="Times New Roman" w:hAnsi="Book Antiqua" w:cs="Times New Roman"/>
          <w:i/>
          <w:sz w:val="24"/>
          <w:szCs w:val="24"/>
          <w:lang w:val="en-US"/>
        </w:rPr>
        <w:t>n</w:t>
      </w:r>
      <w:r w:rsidR="007C5756" w:rsidRPr="00612653">
        <w:rPr>
          <w:rFonts w:ascii="Book Antiqua" w:eastAsia="Times New Roman" w:hAnsi="Book Antiqua" w:cs="Times New Roman"/>
          <w:sz w:val="24"/>
          <w:szCs w:val="24"/>
          <w:lang w:val="en-US" w:eastAsia="zh-CN"/>
        </w:rPr>
        <w:t xml:space="preserve"> </w:t>
      </w:r>
      <w:r w:rsidR="00B763BB" w:rsidRPr="00612653">
        <w:rPr>
          <w:rFonts w:ascii="Book Antiqua" w:eastAsia="Times New Roman" w:hAnsi="Book Antiqua" w:cs="Times New Roman"/>
          <w:sz w:val="24"/>
          <w:szCs w:val="24"/>
          <w:lang w:val="en-US"/>
        </w:rPr>
        <w:t>=</w:t>
      </w:r>
      <w:r w:rsidR="007C5756" w:rsidRPr="00612653">
        <w:rPr>
          <w:rFonts w:ascii="Book Antiqua" w:eastAsia="Times New Roman" w:hAnsi="Book Antiqua" w:cs="Times New Roman"/>
          <w:sz w:val="24"/>
          <w:szCs w:val="24"/>
          <w:lang w:val="en-US" w:eastAsia="zh-CN"/>
        </w:rPr>
        <w:t xml:space="preserve"> </w:t>
      </w:r>
      <w:r w:rsidR="00B763BB" w:rsidRPr="00612653">
        <w:rPr>
          <w:rFonts w:ascii="Book Antiqua" w:eastAsia="Times New Roman" w:hAnsi="Book Antiqua" w:cs="Times New Roman"/>
          <w:sz w:val="24"/>
          <w:szCs w:val="24"/>
          <w:lang w:val="en-US"/>
        </w:rPr>
        <w:t>1</w:t>
      </w:r>
      <w:r w:rsidR="00CB08AE" w:rsidRPr="00612653">
        <w:rPr>
          <w:rFonts w:ascii="Book Antiqua" w:eastAsia="Times New Roman" w:hAnsi="Book Antiqua" w:cs="Times New Roman"/>
          <w:sz w:val="24"/>
          <w:szCs w:val="24"/>
          <w:lang w:val="en-US"/>
        </w:rPr>
        <w:t>/19</w:t>
      </w:r>
      <w:r w:rsidR="00267B7B" w:rsidRPr="00612653">
        <w:rPr>
          <w:rFonts w:ascii="Book Antiqua" w:eastAsia="Times New Roman" w:hAnsi="Book Antiqua" w:cs="Times New Roman"/>
          <w:sz w:val="24"/>
          <w:szCs w:val="24"/>
          <w:lang w:val="en-US"/>
        </w:rPr>
        <w:t xml:space="preserve">; extensive bile duct proliferation, </w:t>
      </w:r>
      <w:r w:rsidR="007C5756" w:rsidRPr="00612653">
        <w:rPr>
          <w:rFonts w:ascii="Book Antiqua" w:eastAsia="Times New Roman" w:hAnsi="Book Antiqua" w:cs="Times New Roman"/>
          <w:i/>
          <w:sz w:val="24"/>
          <w:szCs w:val="24"/>
          <w:lang w:val="en-US"/>
        </w:rPr>
        <w:t>n</w:t>
      </w:r>
      <w:r w:rsidR="007C5756" w:rsidRPr="00612653">
        <w:rPr>
          <w:rFonts w:ascii="Book Antiqua" w:eastAsia="Times New Roman" w:hAnsi="Book Antiqua" w:cs="Times New Roman"/>
          <w:sz w:val="24"/>
          <w:szCs w:val="24"/>
          <w:lang w:val="en-US"/>
        </w:rPr>
        <w:t xml:space="preserve"> </w:t>
      </w:r>
      <w:r w:rsidR="00267B7B" w:rsidRPr="00612653">
        <w:rPr>
          <w:rFonts w:ascii="Book Antiqua" w:eastAsia="Times New Roman" w:hAnsi="Book Antiqua" w:cs="Times New Roman"/>
          <w:sz w:val="24"/>
          <w:szCs w:val="24"/>
          <w:lang w:val="en-US"/>
        </w:rPr>
        <w:t>=</w:t>
      </w:r>
      <w:r w:rsidR="007C5756" w:rsidRPr="00612653">
        <w:rPr>
          <w:rFonts w:ascii="Book Antiqua" w:eastAsia="Times New Roman" w:hAnsi="Book Antiqua" w:cs="Times New Roman"/>
          <w:sz w:val="24"/>
          <w:szCs w:val="24"/>
          <w:lang w:val="en-US" w:eastAsia="zh-CN"/>
        </w:rPr>
        <w:t xml:space="preserve"> </w:t>
      </w:r>
      <w:r w:rsidR="00267B7B" w:rsidRPr="00612653">
        <w:rPr>
          <w:rFonts w:ascii="Book Antiqua" w:eastAsia="Times New Roman" w:hAnsi="Book Antiqua" w:cs="Times New Roman"/>
          <w:sz w:val="24"/>
          <w:szCs w:val="24"/>
          <w:lang w:val="en-US"/>
        </w:rPr>
        <w:t>1/19</w:t>
      </w:r>
      <w:r w:rsidR="00F1542E" w:rsidRPr="00612653">
        <w:rPr>
          <w:rFonts w:ascii="Book Antiqua" w:eastAsia="Times New Roman" w:hAnsi="Book Antiqua" w:cs="Times New Roman"/>
          <w:sz w:val="24"/>
          <w:szCs w:val="24"/>
          <w:lang w:val="en-US"/>
        </w:rPr>
        <w:t>, animals not included in data analysis</w:t>
      </w:r>
      <w:r w:rsidR="00883B0E" w:rsidRPr="00612653">
        <w:rPr>
          <w:rFonts w:ascii="Book Antiqua" w:eastAsia="Times New Roman" w:hAnsi="Book Antiqua" w:cs="Times New Roman"/>
          <w:sz w:val="24"/>
          <w:szCs w:val="24"/>
          <w:lang w:val="en-US"/>
        </w:rPr>
        <w:t>)</w:t>
      </w:r>
      <w:r w:rsidR="00C82A53" w:rsidRPr="00612653">
        <w:rPr>
          <w:rFonts w:ascii="Book Antiqua" w:eastAsia="Times New Roman" w:hAnsi="Book Antiqua" w:cs="Times New Roman"/>
          <w:sz w:val="24"/>
          <w:szCs w:val="24"/>
          <w:lang w:val="en-US"/>
        </w:rPr>
        <w:t xml:space="preserve">. </w:t>
      </w:r>
    </w:p>
    <w:p w14:paraId="7A05607C" w14:textId="23F18369" w:rsidR="00E17765" w:rsidRPr="00612653" w:rsidRDefault="00366185" w:rsidP="00082279">
      <w:pPr>
        <w:snapToGrid w:val="0"/>
        <w:spacing w:after="0" w:line="360" w:lineRule="auto"/>
        <w:ind w:firstLineChars="100" w:firstLine="240"/>
        <w:jc w:val="both"/>
        <w:rPr>
          <w:rFonts w:ascii="Book Antiqua" w:eastAsia="Times New Roman" w:hAnsi="Book Antiqua" w:cs="Times New Roman"/>
          <w:sz w:val="24"/>
          <w:szCs w:val="24"/>
          <w:lang w:val="en-US"/>
        </w:rPr>
      </w:pPr>
      <w:r w:rsidRPr="00612653">
        <w:rPr>
          <w:rFonts w:ascii="Book Antiqua" w:eastAsia="Times New Roman" w:hAnsi="Book Antiqua" w:cs="Times New Roman"/>
          <w:sz w:val="24"/>
          <w:szCs w:val="24"/>
          <w:lang w:val="en-US"/>
        </w:rPr>
        <w:t xml:space="preserve">A </w:t>
      </w:r>
      <w:r w:rsidR="00B177AE" w:rsidRPr="00612653">
        <w:rPr>
          <w:rFonts w:ascii="Book Antiqua" w:eastAsia="Times New Roman" w:hAnsi="Book Antiqua" w:cs="Times New Roman"/>
          <w:sz w:val="24"/>
          <w:szCs w:val="24"/>
          <w:lang w:val="en-US"/>
        </w:rPr>
        <w:t>heatm</w:t>
      </w:r>
      <w:r w:rsidR="00A36CE9" w:rsidRPr="00612653">
        <w:rPr>
          <w:rFonts w:ascii="Book Antiqua" w:eastAsia="Times New Roman" w:hAnsi="Book Antiqua" w:cs="Times New Roman"/>
          <w:sz w:val="24"/>
          <w:szCs w:val="24"/>
          <w:lang w:val="en-US"/>
        </w:rPr>
        <w:t xml:space="preserve">ap was generated for a </w:t>
      </w:r>
      <w:r w:rsidRPr="00612653">
        <w:rPr>
          <w:rFonts w:ascii="Book Antiqua" w:eastAsia="Times New Roman" w:hAnsi="Book Antiqua" w:cs="Times New Roman"/>
          <w:sz w:val="24"/>
          <w:szCs w:val="24"/>
          <w:lang w:val="en-US"/>
        </w:rPr>
        <w:t>panel of prototypical gene candidates associated with NASH pathology</w:t>
      </w:r>
      <w:r w:rsidR="00087A18" w:rsidRPr="00612653">
        <w:rPr>
          <w:rFonts w:ascii="Book Antiqua" w:eastAsia="Times New Roman" w:hAnsi="Book Antiqua" w:cs="Times New Roman"/>
          <w:sz w:val="24"/>
          <w:szCs w:val="24"/>
          <w:lang w:val="en-US"/>
        </w:rPr>
        <w:t xml:space="preserve"> (</w:t>
      </w:r>
      <w:r w:rsidRPr="00612653">
        <w:rPr>
          <w:rFonts w:ascii="Book Antiqua" w:eastAsia="Times New Roman" w:hAnsi="Book Antiqua" w:cs="Times New Roman"/>
          <w:sz w:val="24"/>
          <w:szCs w:val="24"/>
          <w:lang w:val="en-US"/>
        </w:rPr>
        <w:t>Fig</w:t>
      </w:r>
      <w:r w:rsidR="002A2F00" w:rsidRPr="00612653">
        <w:rPr>
          <w:rFonts w:ascii="Book Antiqua" w:eastAsia="Times New Roman" w:hAnsi="Book Antiqua" w:cs="Times New Roman"/>
          <w:sz w:val="24"/>
          <w:szCs w:val="24"/>
          <w:lang w:val="en-US"/>
        </w:rPr>
        <w:t>.</w:t>
      </w:r>
      <w:r w:rsidRPr="00612653">
        <w:rPr>
          <w:rFonts w:ascii="Book Antiqua" w:eastAsia="Times New Roman" w:hAnsi="Book Antiqua" w:cs="Times New Roman"/>
          <w:sz w:val="24"/>
          <w:szCs w:val="24"/>
          <w:lang w:val="en-US"/>
        </w:rPr>
        <w:t xml:space="preserve"> </w:t>
      </w:r>
      <w:r w:rsidR="00DC4483" w:rsidRPr="00612653">
        <w:rPr>
          <w:rFonts w:ascii="Book Antiqua" w:eastAsia="Times New Roman" w:hAnsi="Book Antiqua" w:cs="Times New Roman"/>
          <w:sz w:val="24"/>
          <w:szCs w:val="24"/>
          <w:lang w:val="en-US"/>
        </w:rPr>
        <w:t>1</w:t>
      </w:r>
      <w:r w:rsidR="00087A18" w:rsidRPr="00612653">
        <w:rPr>
          <w:rFonts w:ascii="Book Antiqua" w:eastAsia="Times New Roman" w:hAnsi="Book Antiqua" w:cs="Times New Roman"/>
          <w:sz w:val="24"/>
          <w:szCs w:val="24"/>
          <w:lang w:val="en-US"/>
        </w:rPr>
        <w:t xml:space="preserve">, </w:t>
      </w:r>
      <w:r w:rsidR="00E0272E" w:rsidRPr="00612653">
        <w:rPr>
          <w:rFonts w:ascii="Book Antiqua" w:eastAsia="Times New Roman" w:hAnsi="Book Antiqua" w:cs="Times New Roman"/>
          <w:sz w:val="24"/>
          <w:szCs w:val="24"/>
          <w:lang w:val="en-US"/>
        </w:rPr>
        <w:t xml:space="preserve">panel </w:t>
      </w:r>
      <w:r w:rsidR="00DC4483" w:rsidRPr="00612653">
        <w:rPr>
          <w:rFonts w:ascii="Book Antiqua" w:eastAsia="Times New Roman" w:hAnsi="Book Antiqua" w:cs="Times New Roman"/>
          <w:sz w:val="24"/>
          <w:szCs w:val="24"/>
          <w:lang w:val="en-US"/>
        </w:rPr>
        <w:t>I</w:t>
      </w:r>
      <w:r w:rsidR="00E0272E" w:rsidRPr="00612653">
        <w:rPr>
          <w:rFonts w:ascii="Book Antiqua" w:eastAsia="Times New Roman" w:hAnsi="Book Antiqua" w:cs="Times New Roman"/>
          <w:sz w:val="24"/>
          <w:szCs w:val="24"/>
          <w:lang w:val="en-US"/>
        </w:rPr>
        <w:t>)</w:t>
      </w:r>
      <w:r w:rsidR="00A36CE9" w:rsidRPr="00612653">
        <w:rPr>
          <w:rFonts w:ascii="Book Antiqua" w:eastAsia="Times New Roman" w:hAnsi="Book Antiqua" w:cs="Times New Roman"/>
          <w:sz w:val="24"/>
          <w:szCs w:val="24"/>
          <w:lang w:val="en-US"/>
        </w:rPr>
        <w:t>.</w:t>
      </w:r>
      <w:r w:rsidR="00E0272E" w:rsidRPr="00612653">
        <w:rPr>
          <w:rFonts w:ascii="Book Antiqua" w:eastAsia="Times New Roman" w:hAnsi="Book Antiqua" w:cs="Times New Roman"/>
          <w:sz w:val="24"/>
          <w:szCs w:val="24"/>
          <w:lang w:val="en-US"/>
        </w:rPr>
        <w:t xml:space="preserve"> </w:t>
      </w:r>
      <w:r w:rsidR="00292DA8" w:rsidRPr="00612653">
        <w:rPr>
          <w:rFonts w:ascii="Book Antiqua" w:eastAsia="Times New Roman" w:hAnsi="Book Antiqua" w:cs="Times New Roman"/>
          <w:sz w:val="24"/>
          <w:szCs w:val="24"/>
          <w:lang w:val="en-US"/>
        </w:rPr>
        <w:t xml:space="preserve">Signatures were markedly different during the study period, with an </w:t>
      </w:r>
      <w:r w:rsidR="003F4D0D" w:rsidRPr="00612653">
        <w:rPr>
          <w:rFonts w:ascii="Book Antiqua" w:eastAsia="Times New Roman" w:hAnsi="Book Antiqua" w:cs="Times New Roman"/>
          <w:sz w:val="24"/>
          <w:szCs w:val="24"/>
          <w:lang w:val="en-US"/>
        </w:rPr>
        <w:t>upregulation</w:t>
      </w:r>
      <w:r w:rsidR="00292DA8" w:rsidRPr="00612653">
        <w:rPr>
          <w:rFonts w:ascii="Book Antiqua" w:eastAsia="Times New Roman" w:hAnsi="Book Antiqua" w:cs="Times New Roman"/>
          <w:sz w:val="24"/>
          <w:szCs w:val="24"/>
          <w:lang w:val="en-US"/>
        </w:rPr>
        <w:t xml:space="preserve"> of genes involved in lipid handling, inflammation, fibrosis and cell death occurring over time. </w:t>
      </w:r>
      <w:r w:rsidR="009A1AF2" w:rsidRPr="00612653">
        <w:rPr>
          <w:rFonts w:ascii="Book Antiqua" w:hAnsi="Book Antiqua"/>
          <w:sz w:val="24"/>
          <w:szCs w:val="24"/>
          <w:lang w:val="en-US"/>
        </w:rPr>
        <w:t>E</w:t>
      </w:r>
      <w:r w:rsidR="00394A8F" w:rsidRPr="00612653">
        <w:rPr>
          <w:rFonts w:ascii="Book Antiqua" w:hAnsi="Book Antiqua"/>
          <w:sz w:val="24"/>
          <w:szCs w:val="24"/>
          <w:lang w:val="en-US"/>
        </w:rPr>
        <w:t>xpression of genes involved in lipid handling</w:t>
      </w:r>
      <w:r w:rsidR="003F4D0D" w:rsidRPr="00612653">
        <w:rPr>
          <w:rFonts w:ascii="Book Antiqua" w:hAnsi="Book Antiqua"/>
          <w:sz w:val="24"/>
          <w:szCs w:val="24"/>
          <w:lang w:val="en-US"/>
        </w:rPr>
        <w:t xml:space="preserve"> </w:t>
      </w:r>
      <w:r w:rsidR="00A869BE" w:rsidRPr="00612653">
        <w:rPr>
          <w:rFonts w:ascii="Book Antiqua" w:hAnsi="Book Antiqua"/>
          <w:sz w:val="24"/>
          <w:szCs w:val="24"/>
          <w:lang w:val="en-US"/>
        </w:rPr>
        <w:t xml:space="preserve">were </w:t>
      </w:r>
      <w:r w:rsidR="00394A8F" w:rsidRPr="00612653">
        <w:rPr>
          <w:rFonts w:ascii="Book Antiqua" w:hAnsi="Book Antiqua"/>
          <w:sz w:val="24"/>
          <w:szCs w:val="24"/>
          <w:lang w:val="en-US"/>
        </w:rPr>
        <w:t>graduall</w:t>
      </w:r>
      <w:r w:rsidR="003F4D0D" w:rsidRPr="00612653">
        <w:rPr>
          <w:rFonts w:ascii="Book Antiqua" w:hAnsi="Book Antiqua"/>
          <w:sz w:val="24"/>
          <w:szCs w:val="24"/>
          <w:lang w:val="en-US"/>
        </w:rPr>
        <w:t>y upregulated from week 20</w:t>
      </w:r>
      <w:r w:rsidR="00394A8F" w:rsidRPr="00612653">
        <w:rPr>
          <w:rFonts w:ascii="Book Antiqua" w:hAnsi="Book Antiqua"/>
          <w:sz w:val="24"/>
          <w:szCs w:val="24"/>
          <w:lang w:val="en-US"/>
        </w:rPr>
        <w:t>, with high</w:t>
      </w:r>
      <w:r w:rsidR="00087A18" w:rsidRPr="00612653">
        <w:rPr>
          <w:rFonts w:ascii="Book Antiqua" w:hAnsi="Book Antiqua"/>
          <w:sz w:val="24"/>
          <w:szCs w:val="24"/>
          <w:lang w:val="en-US"/>
        </w:rPr>
        <w:t>est</w:t>
      </w:r>
      <w:r w:rsidR="00394A8F" w:rsidRPr="00612653">
        <w:rPr>
          <w:rFonts w:ascii="Book Antiqua" w:hAnsi="Book Antiqua"/>
          <w:sz w:val="24"/>
          <w:szCs w:val="24"/>
          <w:lang w:val="en-US"/>
        </w:rPr>
        <w:t xml:space="preserve"> expression </w:t>
      </w:r>
      <w:r w:rsidR="00E777B6" w:rsidRPr="00612653">
        <w:rPr>
          <w:rFonts w:ascii="Book Antiqua" w:hAnsi="Book Antiqua"/>
          <w:sz w:val="24"/>
          <w:szCs w:val="24"/>
          <w:lang w:val="en-US"/>
        </w:rPr>
        <w:t>from</w:t>
      </w:r>
      <w:r w:rsidR="00087A18" w:rsidRPr="00612653">
        <w:rPr>
          <w:rFonts w:ascii="Book Antiqua" w:hAnsi="Book Antiqua"/>
          <w:sz w:val="24"/>
          <w:szCs w:val="24"/>
          <w:lang w:val="en-US"/>
        </w:rPr>
        <w:t xml:space="preserve"> week</w:t>
      </w:r>
      <w:r w:rsidR="00394A8F" w:rsidRPr="00612653">
        <w:rPr>
          <w:rFonts w:ascii="Book Antiqua" w:hAnsi="Book Antiqua"/>
          <w:sz w:val="24"/>
          <w:szCs w:val="24"/>
          <w:lang w:val="en-US"/>
        </w:rPr>
        <w:t xml:space="preserve"> </w:t>
      </w:r>
      <w:r w:rsidR="00E0272E" w:rsidRPr="00612653">
        <w:rPr>
          <w:rFonts w:ascii="Book Antiqua" w:hAnsi="Book Antiqua"/>
          <w:sz w:val="24"/>
          <w:szCs w:val="24"/>
          <w:lang w:val="en-US"/>
        </w:rPr>
        <w:t>35 weeks and onwards</w:t>
      </w:r>
      <w:r w:rsidR="00394A8F" w:rsidRPr="00612653">
        <w:rPr>
          <w:rFonts w:ascii="Book Antiqua" w:hAnsi="Book Antiqua"/>
          <w:sz w:val="24"/>
          <w:szCs w:val="24"/>
          <w:lang w:val="en-US"/>
        </w:rPr>
        <w:t xml:space="preserve">. </w:t>
      </w:r>
      <w:r w:rsidR="00087A18" w:rsidRPr="00612653">
        <w:rPr>
          <w:rFonts w:ascii="Book Antiqua" w:hAnsi="Book Antiqua"/>
          <w:sz w:val="24"/>
          <w:szCs w:val="24"/>
          <w:lang w:val="en-US"/>
        </w:rPr>
        <w:t>G</w:t>
      </w:r>
      <w:r w:rsidR="00CF2F11" w:rsidRPr="00612653">
        <w:rPr>
          <w:rFonts w:ascii="Book Antiqua" w:eastAsia="Times New Roman" w:hAnsi="Book Antiqua" w:cs="Times New Roman"/>
          <w:sz w:val="24"/>
          <w:szCs w:val="24"/>
          <w:lang w:val="en-US"/>
        </w:rPr>
        <w:t xml:space="preserve">ene </w:t>
      </w:r>
      <w:r w:rsidR="006F27DE" w:rsidRPr="00612653">
        <w:rPr>
          <w:rFonts w:ascii="Book Antiqua" w:eastAsia="Times New Roman" w:hAnsi="Book Antiqua" w:cs="Times New Roman"/>
          <w:sz w:val="24"/>
          <w:szCs w:val="24"/>
          <w:lang w:val="en-US"/>
        </w:rPr>
        <w:t>groupings</w:t>
      </w:r>
      <w:r w:rsidR="00CF2F11" w:rsidRPr="00612653">
        <w:rPr>
          <w:rFonts w:ascii="Book Antiqua" w:eastAsia="Times New Roman" w:hAnsi="Book Antiqua" w:cs="Times New Roman"/>
          <w:sz w:val="24"/>
          <w:szCs w:val="24"/>
          <w:lang w:val="en-US"/>
        </w:rPr>
        <w:t xml:space="preserve"> representative of monocyte/macrophage infiltration</w:t>
      </w:r>
      <w:r w:rsidR="00B45E86" w:rsidRPr="00612653">
        <w:rPr>
          <w:rFonts w:ascii="Book Antiqua" w:eastAsia="Times New Roman" w:hAnsi="Book Antiqua" w:cs="Times New Roman"/>
          <w:sz w:val="24"/>
          <w:szCs w:val="24"/>
          <w:lang w:val="en-US"/>
        </w:rPr>
        <w:t>,</w:t>
      </w:r>
      <w:r w:rsidR="00CF2F11" w:rsidRPr="00612653">
        <w:rPr>
          <w:rFonts w:ascii="Book Antiqua" w:eastAsia="Times New Roman" w:hAnsi="Book Antiqua" w:cs="Times New Roman"/>
          <w:sz w:val="24"/>
          <w:szCs w:val="24"/>
          <w:lang w:val="en-US"/>
        </w:rPr>
        <w:t xml:space="preserve"> </w:t>
      </w:r>
      <w:r w:rsidR="006A2F05" w:rsidRPr="00612653">
        <w:rPr>
          <w:rFonts w:ascii="Book Antiqua" w:eastAsia="Times New Roman" w:hAnsi="Book Antiqua" w:cs="Times New Roman"/>
          <w:sz w:val="24"/>
          <w:szCs w:val="24"/>
          <w:lang w:val="en-US"/>
        </w:rPr>
        <w:t xml:space="preserve">inflammation, extracellular matrix (ECM) turnover, and apoptosis execution </w:t>
      </w:r>
      <w:r w:rsidR="00087A18" w:rsidRPr="00612653">
        <w:rPr>
          <w:rFonts w:ascii="Book Antiqua" w:hAnsi="Book Antiqua"/>
          <w:sz w:val="24"/>
          <w:szCs w:val="24"/>
          <w:lang w:val="en-US"/>
        </w:rPr>
        <w:t xml:space="preserve">peaked at </w:t>
      </w:r>
      <w:r w:rsidR="00E777B6" w:rsidRPr="00612653">
        <w:rPr>
          <w:rFonts w:ascii="Book Antiqua" w:hAnsi="Book Antiqua"/>
          <w:sz w:val="24"/>
          <w:szCs w:val="24"/>
          <w:lang w:val="en-US"/>
        </w:rPr>
        <w:t>35</w:t>
      </w:r>
      <w:r w:rsidR="00087A18" w:rsidRPr="00612653">
        <w:rPr>
          <w:rFonts w:ascii="Book Antiqua" w:hAnsi="Book Antiqua"/>
          <w:sz w:val="24"/>
          <w:szCs w:val="24"/>
          <w:lang w:val="en-US"/>
        </w:rPr>
        <w:t>-50</w:t>
      </w:r>
      <w:r w:rsidR="00E777B6" w:rsidRPr="00612653">
        <w:rPr>
          <w:rFonts w:ascii="Book Antiqua" w:hAnsi="Book Antiqua"/>
          <w:sz w:val="24"/>
          <w:szCs w:val="24"/>
          <w:lang w:val="en-US"/>
        </w:rPr>
        <w:t xml:space="preserve"> weeks of dieting (panel </w:t>
      </w:r>
      <w:r w:rsidR="006A2F05" w:rsidRPr="00612653">
        <w:rPr>
          <w:rFonts w:ascii="Book Antiqua" w:hAnsi="Book Antiqua"/>
          <w:sz w:val="24"/>
          <w:szCs w:val="24"/>
          <w:lang w:val="en-US"/>
        </w:rPr>
        <w:t>I-K</w:t>
      </w:r>
      <w:r w:rsidR="00E777B6" w:rsidRPr="00612653">
        <w:rPr>
          <w:rFonts w:ascii="Book Antiqua" w:hAnsi="Book Antiqua"/>
          <w:sz w:val="24"/>
          <w:szCs w:val="24"/>
          <w:lang w:val="en-US"/>
        </w:rPr>
        <w:t>)</w:t>
      </w:r>
      <w:r w:rsidR="00394A8F" w:rsidRPr="00612653">
        <w:rPr>
          <w:rFonts w:ascii="Book Antiqua" w:hAnsi="Book Antiqua"/>
          <w:sz w:val="24"/>
          <w:szCs w:val="24"/>
          <w:lang w:val="en-US"/>
        </w:rPr>
        <w:t>.</w:t>
      </w:r>
    </w:p>
    <w:p w14:paraId="1AB255A9" w14:textId="77777777" w:rsidR="006A2F05" w:rsidRPr="00612653" w:rsidRDefault="006A2F05" w:rsidP="00082279">
      <w:pPr>
        <w:snapToGrid w:val="0"/>
        <w:spacing w:after="0" w:line="360" w:lineRule="auto"/>
        <w:jc w:val="both"/>
        <w:rPr>
          <w:rFonts w:ascii="Book Antiqua" w:eastAsia="Times New Roman" w:hAnsi="Book Antiqua" w:cs="Times New Roman"/>
          <w:b/>
          <w:i/>
          <w:sz w:val="24"/>
          <w:szCs w:val="24"/>
          <w:lang w:val="en-US"/>
        </w:rPr>
      </w:pPr>
    </w:p>
    <w:p w14:paraId="3ABD0683" w14:textId="235BFAD4" w:rsidR="00D00DFE" w:rsidRPr="00612653" w:rsidRDefault="003B3C32" w:rsidP="00082279">
      <w:pPr>
        <w:snapToGrid w:val="0"/>
        <w:spacing w:after="0" w:line="360" w:lineRule="auto"/>
        <w:jc w:val="both"/>
        <w:rPr>
          <w:rFonts w:ascii="Book Antiqua" w:eastAsia="Times New Roman" w:hAnsi="Book Antiqua" w:cs="Times New Roman"/>
          <w:b/>
          <w:bCs/>
          <w:i/>
          <w:iCs/>
          <w:sz w:val="24"/>
          <w:szCs w:val="24"/>
          <w:lang w:val="en-US"/>
        </w:rPr>
      </w:pPr>
      <w:r w:rsidRPr="00612653">
        <w:rPr>
          <w:rFonts w:ascii="Book Antiqua" w:eastAsia="Times New Roman" w:hAnsi="Book Antiqua" w:cs="Times New Roman"/>
          <w:b/>
          <w:bCs/>
          <w:i/>
          <w:iCs/>
          <w:sz w:val="24"/>
          <w:szCs w:val="24"/>
          <w:lang w:val="en-US"/>
        </w:rPr>
        <w:t>Drug t</w:t>
      </w:r>
      <w:r w:rsidR="000B3A44" w:rsidRPr="00612653">
        <w:rPr>
          <w:rFonts w:ascii="Book Antiqua" w:eastAsia="Times New Roman" w:hAnsi="Book Antiqua" w:cs="Times New Roman"/>
          <w:b/>
          <w:bCs/>
          <w:i/>
          <w:iCs/>
          <w:sz w:val="24"/>
          <w:szCs w:val="24"/>
          <w:lang w:val="en-US"/>
        </w:rPr>
        <w:t>reatment in</w:t>
      </w:r>
      <w:r w:rsidR="00D00DFE" w:rsidRPr="00612653">
        <w:rPr>
          <w:rFonts w:ascii="Book Antiqua" w:eastAsia="Times New Roman" w:hAnsi="Book Antiqua" w:cs="Times New Roman"/>
          <w:b/>
          <w:bCs/>
          <w:i/>
          <w:iCs/>
          <w:sz w:val="24"/>
          <w:szCs w:val="24"/>
          <w:lang w:val="en-US"/>
        </w:rPr>
        <w:t xml:space="preserve"> </w:t>
      </w:r>
      <w:r w:rsidRPr="00612653">
        <w:rPr>
          <w:rFonts w:ascii="Book Antiqua" w:eastAsia="Times New Roman" w:hAnsi="Book Antiqua" w:cs="Times New Roman"/>
          <w:b/>
          <w:bCs/>
          <w:i/>
          <w:iCs/>
          <w:sz w:val="24"/>
          <w:szCs w:val="24"/>
          <w:lang w:val="en-US"/>
        </w:rPr>
        <w:t>DIO</w:t>
      </w:r>
      <w:r w:rsidR="00C67C5E" w:rsidRPr="00612653">
        <w:rPr>
          <w:rFonts w:ascii="Book Antiqua" w:eastAsia="Times New Roman" w:hAnsi="Book Antiqua" w:cs="Times New Roman"/>
          <w:b/>
          <w:bCs/>
          <w:i/>
          <w:iCs/>
          <w:sz w:val="24"/>
          <w:szCs w:val="24"/>
          <w:lang w:val="en-US"/>
        </w:rPr>
        <w:t>-</w:t>
      </w:r>
      <w:r w:rsidR="000B3A44" w:rsidRPr="00612653">
        <w:rPr>
          <w:rFonts w:ascii="Book Antiqua" w:eastAsia="Times New Roman" w:hAnsi="Book Antiqua" w:cs="Times New Roman"/>
          <w:b/>
          <w:bCs/>
          <w:i/>
          <w:iCs/>
          <w:sz w:val="24"/>
          <w:szCs w:val="24"/>
          <w:lang w:val="en-US"/>
        </w:rPr>
        <w:t xml:space="preserve">NASH </w:t>
      </w:r>
      <w:r w:rsidR="00D00DFE" w:rsidRPr="00612653">
        <w:rPr>
          <w:rFonts w:ascii="Book Antiqua" w:eastAsia="Times New Roman" w:hAnsi="Book Antiqua" w:cs="Times New Roman"/>
          <w:b/>
          <w:bCs/>
          <w:i/>
          <w:iCs/>
          <w:sz w:val="24"/>
          <w:szCs w:val="24"/>
          <w:lang w:val="en-US"/>
        </w:rPr>
        <w:t>mice</w:t>
      </w:r>
    </w:p>
    <w:p w14:paraId="528BD395" w14:textId="049CE5FE" w:rsidR="00CF5F58" w:rsidRPr="00612653" w:rsidRDefault="0032242E" w:rsidP="00082279">
      <w:pPr>
        <w:snapToGrid w:val="0"/>
        <w:spacing w:after="0" w:line="360" w:lineRule="auto"/>
        <w:jc w:val="both"/>
        <w:rPr>
          <w:rFonts w:ascii="Book Antiqua" w:eastAsia="Times New Roman" w:hAnsi="Book Antiqua" w:cs="Times New Roman"/>
          <w:sz w:val="24"/>
          <w:szCs w:val="24"/>
          <w:lang w:val="en-US"/>
        </w:rPr>
      </w:pPr>
      <w:r w:rsidRPr="00612653">
        <w:rPr>
          <w:rFonts w:ascii="Book Antiqua" w:eastAsia="Times New Roman" w:hAnsi="Book Antiqua" w:cs="Times New Roman"/>
          <w:sz w:val="24"/>
          <w:szCs w:val="24"/>
          <w:lang w:val="en-US"/>
        </w:rPr>
        <w:t>As expected</w:t>
      </w:r>
      <w:r w:rsidR="00AB2796" w:rsidRPr="00612653">
        <w:rPr>
          <w:rFonts w:ascii="Book Antiqua" w:eastAsia="Times New Roman" w:hAnsi="Book Antiqua" w:cs="Times New Roman"/>
          <w:sz w:val="24"/>
          <w:szCs w:val="24"/>
          <w:lang w:val="en-US"/>
        </w:rPr>
        <w:t>,</w:t>
      </w:r>
      <w:r w:rsidRPr="00612653">
        <w:rPr>
          <w:rFonts w:ascii="Book Antiqua" w:eastAsia="Times New Roman" w:hAnsi="Book Antiqua" w:cs="Times New Roman"/>
          <w:sz w:val="24"/>
          <w:szCs w:val="24"/>
          <w:lang w:val="en-US"/>
        </w:rPr>
        <w:t xml:space="preserve"> </w:t>
      </w:r>
      <w:r w:rsidR="00C67C5E" w:rsidRPr="00612653">
        <w:rPr>
          <w:rFonts w:ascii="Book Antiqua" w:eastAsia="Times New Roman" w:hAnsi="Book Antiqua" w:cs="Times New Roman"/>
          <w:sz w:val="24"/>
          <w:szCs w:val="24"/>
          <w:lang w:val="en-US"/>
        </w:rPr>
        <w:t>DIO-NASH</w:t>
      </w:r>
      <w:r w:rsidR="00F65B10" w:rsidRPr="00612653">
        <w:rPr>
          <w:rFonts w:ascii="Book Antiqua" w:eastAsia="Times New Roman" w:hAnsi="Book Antiqua" w:cs="Times New Roman"/>
          <w:sz w:val="24"/>
          <w:szCs w:val="24"/>
          <w:lang w:val="en-US"/>
        </w:rPr>
        <w:t xml:space="preserve"> </w:t>
      </w:r>
      <w:r w:rsidRPr="00612653">
        <w:rPr>
          <w:rFonts w:ascii="Book Antiqua" w:eastAsia="Times New Roman" w:hAnsi="Book Antiqua" w:cs="Times New Roman"/>
          <w:sz w:val="24"/>
          <w:szCs w:val="24"/>
          <w:lang w:val="en-US"/>
        </w:rPr>
        <w:t>gained more weight than</w:t>
      </w:r>
      <w:r w:rsidR="00847403" w:rsidRPr="00612653">
        <w:rPr>
          <w:rFonts w:ascii="Book Antiqua" w:eastAsia="Times New Roman" w:hAnsi="Book Antiqua" w:cs="Times New Roman"/>
          <w:sz w:val="24"/>
          <w:szCs w:val="24"/>
          <w:lang w:val="en-US"/>
        </w:rPr>
        <w:t xml:space="preserve"> </w:t>
      </w:r>
      <w:r w:rsidR="009575FE" w:rsidRPr="00612653">
        <w:rPr>
          <w:rFonts w:ascii="Book Antiqua" w:eastAsia="Times New Roman" w:hAnsi="Book Antiqua" w:cs="Times New Roman"/>
          <w:sz w:val="24"/>
          <w:szCs w:val="24"/>
          <w:lang w:val="en-US"/>
        </w:rPr>
        <w:t xml:space="preserve">chow-fed </w:t>
      </w:r>
      <w:r w:rsidR="00F65B10" w:rsidRPr="00612653">
        <w:rPr>
          <w:rFonts w:ascii="Book Antiqua" w:eastAsia="Times New Roman" w:hAnsi="Book Antiqua" w:cs="Times New Roman"/>
          <w:sz w:val="24"/>
          <w:szCs w:val="24"/>
          <w:lang w:val="en-US"/>
        </w:rPr>
        <w:t>controls</w:t>
      </w:r>
      <w:r w:rsidR="00847403" w:rsidRPr="00612653">
        <w:rPr>
          <w:rFonts w:ascii="Book Antiqua" w:eastAsia="Times New Roman" w:hAnsi="Book Antiqua" w:cs="Times New Roman"/>
          <w:sz w:val="24"/>
          <w:szCs w:val="24"/>
          <w:lang w:val="en-US"/>
        </w:rPr>
        <w:t xml:space="preserve"> (</w:t>
      </w:r>
      <w:r w:rsidR="00412623"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 xml:space="preserve">ure </w:t>
      </w:r>
      <w:r w:rsidR="00412623" w:rsidRPr="00612653">
        <w:rPr>
          <w:rFonts w:ascii="Book Antiqua" w:eastAsia="Times New Roman" w:hAnsi="Book Antiqua" w:cs="Times New Roman"/>
          <w:sz w:val="24"/>
          <w:szCs w:val="24"/>
          <w:lang w:val="en-US"/>
        </w:rPr>
        <w:t>2A</w:t>
      </w:r>
      <w:r w:rsidR="003F3BA0" w:rsidRPr="00612653">
        <w:rPr>
          <w:rFonts w:ascii="Book Antiqua" w:eastAsia="Times New Roman" w:hAnsi="Book Antiqua" w:cs="Times New Roman"/>
          <w:sz w:val="24"/>
          <w:szCs w:val="24"/>
          <w:lang w:val="en-US"/>
        </w:rPr>
        <w:t>)</w:t>
      </w:r>
      <w:r w:rsidR="00C67C5E" w:rsidRPr="00612653">
        <w:rPr>
          <w:rFonts w:ascii="Book Antiqua" w:eastAsia="Times New Roman" w:hAnsi="Book Antiqua" w:cs="Times New Roman"/>
          <w:sz w:val="24"/>
          <w:szCs w:val="24"/>
          <w:lang w:val="en-US"/>
        </w:rPr>
        <w:t>.</w:t>
      </w:r>
      <w:r w:rsidR="003F3BA0" w:rsidRPr="00612653">
        <w:rPr>
          <w:rFonts w:ascii="Book Antiqua" w:eastAsia="Times New Roman" w:hAnsi="Book Antiqua" w:cs="Times New Roman"/>
          <w:sz w:val="24"/>
          <w:szCs w:val="24"/>
          <w:lang w:val="en-US"/>
        </w:rPr>
        <w:t xml:space="preserve"> </w:t>
      </w:r>
      <w:r w:rsidRPr="00612653">
        <w:rPr>
          <w:rFonts w:ascii="Book Antiqua" w:eastAsia="Times New Roman" w:hAnsi="Book Antiqua" w:cs="Times New Roman"/>
          <w:sz w:val="24"/>
          <w:szCs w:val="24"/>
          <w:lang w:val="en-US"/>
        </w:rPr>
        <w:t>Treatment with</w:t>
      </w:r>
      <w:r w:rsidR="005924E5" w:rsidRPr="00612653">
        <w:rPr>
          <w:rFonts w:ascii="Book Antiqua" w:eastAsia="Times New Roman" w:hAnsi="Book Antiqua" w:cs="Times New Roman"/>
          <w:sz w:val="24"/>
          <w:szCs w:val="24"/>
          <w:lang w:val="en-US"/>
        </w:rPr>
        <w:t xml:space="preserve"> liraglutide and elafibranor</w:t>
      </w:r>
      <w:r w:rsidR="008C14BA" w:rsidRPr="00612653">
        <w:rPr>
          <w:rFonts w:ascii="Book Antiqua" w:eastAsia="Times New Roman" w:hAnsi="Book Antiqua" w:cs="Times New Roman"/>
          <w:sz w:val="24"/>
          <w:szCs w:val="24"/>
          <w:lang w:val="en-US"/>
        </w:rPr>
        <w:t>, but not OCA</w:t>
      </w:r>
      <w:r w:rsidR="003A149B" w:rsidRPr="00612653">
        <w:rPr>
          <w:rFonts w:ascii="Book Antiqua" w:eastAsia="Times New Roman" w:hAnsi="Book Antiqua" w:cs="Times New Roman"/>
          <w:sz w:val="24"/>
          <w:szCs w:val="24"/>
          <w:lang w:val="en-US"/>
        </w:rPr>
        <w:t>,</w:t>
      </w:r>
      <w:r w:rsidR="005924E5" w:rsidRPr="00612653">
        <w:rPr>
          <w:rFonts w:ascii="Book Antiqua" w:eastAsia="Times New Roman" w:hAnsi="Book Antiqua" w:cs="Times New Roman"/>
          <w:sz w:val="24"/>
          <w:szCs w:val="24"/>
          <w:lang w:val="en-US"/>
        </w:rPr>
        <w:t xml:space="preserve"> resulted </w:t>
      </w:r>
      <w:r w:rsidRPr="00612653">
        <w:rPr>
          <w:rFonts w:ascii="Book Antiqua" w:eastAsia="Times New Roman" w:hAnsi="Book Antiqua" w:cs="Times New Roman"/>
          <w:sz w:val="24"/>
          <w:szCs w:val="24"/>
          <w:lang w:val="en-US"/>
        </w:rPr>
        <w:t>in</w:t>
      </w:r>
      <w:r w:rsidR="005924E5" w:rsidRPr="00612653">
        <w:rPr>
          <w:rFonts w:ascii="Book Antiqua" w:eastAsia="Times New Roman" w:hAnsi="Book Antiqua" w:cs="Times New Roman"/>
          <w:sz w:val="24"/>
          <w:szCs w:val="24"/>
          <w:lang w:val="en-US"/>
        </w:rPr>
        <w:t xml:space="preserve"> weight loss </w:t>
      </w:r>
      <w:r w:rsidRPr="00612653">
        <w:rPr>
          <w:rFonts w:ascii="Book Antiqua" w:eastAsia="Times New Roman" w:hAnsi="Book Antiqua" w:cs="Times New Roman"/>
          <w:sz w:val="24"/>
          <w:szCs w:val="24"/>
          <w:lang w:val="en-US"/>
        </w:rPr>
        <w:t xml:space="preserve">(and </w:t>
      </w:r>
      <w:r w:rsidR="00F56649" w:rsidRPr="00612653">
        <w:rPr>
          <w:rFonts w:ascii="Book Antiqua" w:eastAsia="Times New Roman" w:hAnsi="Book Antiqua" w:cs="Times New Roman"/>
          <w:sz w:val="24"/>
          <w:szCs w:val="24"/>
          <w:lang w:val="en-US"/>
        </w:rPr>
        <w:t xml:space="preserve">loss of </w:t>
      </w:r>
      <w:r w:rsidRPr="00612653">
        <w:rPr>
          <w:rFonts w:ascii="Book Antiqua" w:eastAsia="Times New Roman" w:hAnsi="Book Antiqua" w:cs="Times New Roman"/>
          <w:sz w:val="24"/>
          <w:szCs w:val="24"/>
          <w:lang w:val="en-US"/>
        </w:rPr>
        <w:t xml:space="preserve">terminal whole-body fat, data not shown) </w:t>
      </w:r>
      <w:r w:rsidR="00CF4D37" w:rsidRPr="00612653">
        <w:rPr>
          <w:rFonts w:ascii="Book Antiqua" w:eastAsia="Times New Roman" w:hAnsi="Book Antiqua" w:cs="Times New Roman"/>
          <w:sz w:val="24"/>
          <w:szCs w:val="24"/>
          <w:lang w:val="en-US"/>
        </w:rPr>
        <w:t>which</w:t>
      </w:r>
      <w:r w:rsidR="008C14BA" w:rsidRPr="00612653">
        <w:rPr>
          <w:rFonts w:ascii="Book Antiqua" w:eastAsia="Times New Roman" w:hAnsi="Book Antiqua" w:cs="Times New Roman"/>
          <w:sz w:val="24"/>
          <w:szCs w:val="24"/>
          <w:lang w:val="en-US"/>
        </w:rPr>
        <w:t xml:space="preserve"> </w:t>
      </w:r>
      <w:r w:rsidR="00462CC4" w:rsidRPr="00612653">
        <w:rPr>
          <w:rFonts w:ascii="Book Antiqua" w:eastAsia="Times New Roman" w:hAnsi="Book Antiqua" w:cs="Times New Roman"/>
          <w:sz w:val="24"/>
          <w:szCs w:val="24"/>
          <w:lang w:val="en-US"/>
        </w:rPr>
        <w:t>reach</w:t>
      </w:r>
      <w:r w:rsidR="00CF4D37" w:rsidRPr="00612653">
        <w:rPr>
          <w:rFonts w:ascii="Book Antiqua" w:eastAsia="Times New Roman" w:hAnsi="Book Antiqua" w:cs="Times New Roman"/>
          <w:sz w:val="24"/>
          <w:szCs w:val="24"/>
          <w:lang w:val="en-US"/>
        </w:rPr>
        <w:t>ed a maximal effect</w:t>
      </w:r>
      <w:r w:rsidR="00462CC4" w:rsidRPr="00612653">
        <w:rPr>
          <w:rFonts w:ascii="Book Antiqua" w:eastAsia="Times New Roman" w:hAnsi="Book Antiqua" w:cs="Times New Roman"/>
          <w:sz w:val="24"/>
          <w:szCs w:val="24"/>
          <w:lang w:val="en-US"/>
        </w:rPr>
        <w:t xml:space="preserve"> after </w:t>
      </w:r>
      <w:r w:rsidR="007773EA" w:rsidRPr="00612653">
        <w:rPr>
          <w:rFonts w:ascii="Book Antiqua" w:eastAsia="Times New Roman" w:hAnsi="Book Antiqua"/>
          <w:sz w:val="24"/>
          <w:szCs w:val="24"/>
          <w:lang w:val="en-US"/>
        </w:rPr>
        <w:t xml:space="preserve">approximately </w:t>
      </w:r>
      <w:r w:rsidR="00C45B02" w:rsidRPr="00612653">
        <w:rPr>
          <w:rFonts w:ascii="Book Antiqua" w:eastAsia="Times New Roman" w:hAnsi="Book Antiqua" w:cs="Times New Roman"/>
          <w:sz w:val="24"/>
          <w:szCs w:val="24"/>
          <w:lang w:val="en-US"/>
        </w:rPr>
        <w:t>2</w:t>
      </w:r>
      <w:r w:rsidR="007773EA" w:rsidRPr="00612653">
        <w:rPr>
          <w:rFonts w:ascii="Book Antiqua" w:eastAsia="Times New Roman" w:hAnsi="Book Antiqua" w:cs="Times New Roman"/>
          <w:sz w:val="24"/>
          <w:szCs w:val="24"/>
          <w:lang w:val="en-US"/>
        </w:rPr>
        <w:t xml:space="preserve"> wk</w:t>
      </w:r>
      <w:r w:rsidR="007773EA" w:rsidRPr="00612653">
        <w:rPr>
          <w:rFonts w:ascii="Book Antiqua" w:eastAsia="Times New Roman" w:hAnsi="Book Antiqua" w:cs="Times New Roman"/>
          <w:sz w:val="24"/>
          <w:szCs w:val="24"/>
          <w:lang w:val="en-US" w:eastAsia="zh-CN"/>
        </w:rPr>
        <w:t xml:space="preserve"> </w:t>
      </w:r>
      <w:r w:rsidR="00462CC4" w:rsidRPr="00612653">
        <w:rPr>
          <w:rFonts w:ascii="Book Antiqua" w:eastAsia="Times New Roman" w:hAnsi="Book Antiqua" w:cs="Times New Roman"/>
          <w:sz w:val="24"/>
          <w:szCs w:val="24"/>
          <w:lang w:val="en-US"/>
        </w:rPr>
        <w:t>of treatment</w:t>
      </w:r>
      <w:r w:rsidR="005924E5" w:rsidRPr="00612653">
        <w:rPr>
          <w:rFonts w:ascii="Book Antiqua" w:eastAsia="Times New Roman" w:hAnsi="Book Antiqua" w:cs="Times New Roman"/>
          <w:sz w:val="24"/>
          <w:szCs w:val="24"/>
          <w:lang w:val="en-US"/>
        </w:rPr>
        <w:t xml:space="preserve">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5924E5" w:rsidRPr="00612653">
        <w:rPr>
          <w:rFonts w:ascii="Book Antiqua" w:eastAsia="Times New Roman" w:hAnsi="Book Antiqua" w:cs="Times New Roman"/>
          <w:sz w:val="24"/>
          <w:szCs w:val="24"/>
          <w:lang w:val="en-US"/>
        </w:rPr>
        <w:t>2A</w:t>
      </w:r>
      <w:r w:rsidR="007C5756" w:rsidRPr="00612653">
        <w:rPr>
          <w:rFonts w:ascii="Book Antiqua" w:eastAsia="Times New Roman" w:hAnsi="Book Antiqua" w:cs="Times New Roman"/>
          <w:sz w:val="24"/>
          <w:szCs w:val="24"/>
          <w:lang w:val="en-US" w:eastAsia="zh-CN"/>
        </w:rPr>
        <w:t xml:space="preserve"> and </w:t>
      </w:r>
      <w:r w:rsidR="00462CC4" w:rsidRPr="00612653">
        <w:rPr>
          <w:rFonts w:ascii="Book Antiqua" w:eastAsia="Times New Roman" w:hAnsi="Book Antiqua" w:cs="Times New Roman"/>
          <w:sz w:val="24"/>
          <w:szCs w:val="24"/>
          <w:lang w:val="en-US"/>
        </w:rPr>
        <w:t>B)</w:t>
      </w:r>
      <w:r w:rsidR="005924E5" w:rsidRPr="00612653">
        <w:rPr>
          <w:rFonts w:ascii="Book Antiqua" w:eastAsia="Times New Roman" w:hAnsi="Book Antiqua" w:cs="Times New Roman"/>
          <w:sz w:val="24"/>
          <w:szCs w:val="24"/>
          <w:lang w:val="en-US"/>
        </w:rPr>
        <w:t>.</w:t>
      </w:r>
      <w:r w:rsidR="007479BB" w:rsidRPr="00612653">
        <w:rPr>
          <w:rFonts w:ascii="Book Antiqua" w:eastAsia="Times New Roman" w:hAnsi="Book Antiqua" w:cs="Times New Roman"/>
          <w:sz w:val="24"/>
          <w:szCs w:val="24"/>
          <w:lang w:val="en-US"/>
        </w:rPr>
        <w:t xml:space="preserve"> </w:t>
      </w:r>
      <w:r w:rsidR="003F1FC1" w:rsidRPr="00612653">
        <w:rPr>
          <w:rFonts w:ascii="Book Antiqua" w:eastAsia="Times New Roman" w:hAnsi="Book Antiqua" w:cs="Times New Roman"/>
          <w:sz w:val="24"/>
          <w:szCs w:val="24"/>
          <w:lang w:val="en-US"/>
        </w:rPr>
        <w:t xml:space="preserve">Liraglutide and elafibranor, but not OCA, induced a transient reduction in daily food intake (from treatment day 1-3), whereupon food intake remained similar to vehicle-dosed DIO-NASH mice (data not shown). </w:t>
      </w:r>
      <w:r w:rsidR="007479BB" w:rsidRPr="00612653">
        <w:rPr>
          <w:rFonts w:ascii="Book Antiqua" w:eastAsia="Times New Roman" w:hAnsi="Book Antiqua" w:cs="Times New Roman"/>
          <w:sz w:val="24"/>
          <w:szCs w:val="24"/>
          <w:lang w:val="en-US"/>
        </w:rPr>
        <w:t>Whereas l</w:t>
      </w:r>
      <w:r w:rsidRPr="00612653">
        <w:rPr>
          <w:rFonts w:ascii="Book Antiqua" w:eastAsia="Times New Roman" w:hAnsi="Book Antiqua" w:cs="Times New Roman"/>
          <w:sz w:val="24"/>
          <w:szCs w:val="24"/>
          <w:lang w:val="en-US"/>
        </w:rPr>
        <w:t xml:space="preserve">iraglutide </w:t>
      </w:r>
      <w:r w:rsidR="000422CD" w:rsidRPr="00612653">
        <w:rPr>
          <w:rFonts w:ascii="Book Antiqua" w:eastAsia="Times New Roman" w:hAnsi="Book Antiqua" w:cs="Times New Roman"/>
          <w:sz w:val="24"/>
          <w:szCs w:val="24"/>
          <w:lang w:val="en-US"/>
        </w:rPr>
        <w:t xml:space="preserve">and OCA </w:t>
      </w:r>
      <w:r w:rsidR="008C14BA" w:rsidRPr="00612653">
        <w:rPr>
          <w:rFonts w:ascii="Book Antiqua" w:eastAsia="Times New Roman" w:hAnsi="Book Antiqua" w:cs="Times New Roman"/>
          <w:sz w:val="24"/>
          <w:szCs w:val="24"/>
          <w:lang w:val="en-US"/>
        </w:rPr>
        <w:t xml:space="preserve">reduced </w:t>
      </w:r>
      <w:r w:rsidR="000422CD" w:rsidRPr="00612653">
        <w:rPr>
          <w:rFonts w:ascii="Book Antiqua" w:eastAsia="Times New Roman" w:hAnsi="Book Antiqua" w:cs="Times New Roman"/>
          <w:sz w:val="24"/>
          <w:szCs w:val="24"/>
          <w:lang w:val="en-US"/>
        </w:rPr>
        <w:t>liver weight</w:t>
      </w:r>
      <w:r w:rsidR="007479BB" w:rsidRPr="00612653">
        <w:rPr>
          <w:rFonts w:ascii="Book Antiqua" w:eastAsia="Times New Roman" w:hAnsi="Book Antiqua" w:cs="Times New Roman"/>
          <w:sz w:val="24"/>
          <w:szCs w:val="24"/>
          <w:lang w:val="en-US"/>
        </w:rPr>
        <w:t>,</w:t>
      </w:r>
      <w:r w:rsidR="007773EA" w:rsidRPr="00612653">
        <w:rPr>
          <w:rFonts w:ascii="Book Antiqua" w:eastAsia="Times New Roman" w:hAnsi="Book Antiqua" w:cs="Times New Roman"/>
          <w:sz w:val="24"/>
          <w:szCs w:val="24"/>
          <w:lang w:val="en-US" w:eastAsia="zh-CN"/>
        </w:rPr>
        <w:t xml:space="preserve"> </w:t>
      </w:r>
      <w:r w:rsidRPr="00612653">
        <w:rPr>
          <w:rFonts w:ascii="Book Antiqua" w:eastAsia="Times New Roman" w:hAnsi="Book Antiqua" w:cs="Times New Roman"/>
          <w:sz w:val="24"/>
          <w:szCs w:val="24"/>
          <w:lang w:val="en-US"/>
        </w:rPr>
        <w:t>elafibranor had the opposite effect</w:t>
      </w:r>
      <w:r w:rsidR="00F65B10" w:rsidRPr="00612653">
        <w:rPr>
          <w:rFonts w:ascii="Book Antiqua" w:eastAsia="Times New Roman" w:hAnsi="Book Antiqua" w:cs="Times New Roman"/>
          <w:sz w:val="24"/>
          <w:szCs w:val="24"/>
          <w:lang w:val="en-US"/>
        </w:rPr>
        <w:t xml:space="preserve"> </w:t>
      </w:r>
      <w:r w:rsidR="000422CD" w:rsidRPr="00612653">
        <w:rPr>
          <w:rFonts w:ascii="Book Antiqua" w:eastAsia="Times New Roman" w:hAnsi="Book Antiqua" w:cs="Times New Roman"/>
          <w:sz w:val="24"/>
          <w:szCs w:val="24"/>
          <w:lang w:val="en-US"/>
        </w:rPr>
        <w:t>(</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D72A24" w:rsidRPr="00612653">
        <w:rPr>
          <w:rFonts w:ascii="Book Antiqua" w:eastAsia="Times New Roman" w:hAnsi="Book Antiqua" w:cs="Times New Roman"/>
          <w:sz w:val="24"/>
          <w:szCs w:val="24"/>
          <w:lang w:val="en-US"/>
        </w:rPr>
        <w:t xml:space="preserve"> 2</w:t>
      </w:r>
      <w:r w:rsidR="00C83F1C" w:rsidRPr="00612653">
        <w:rPr>
          <w:rFonts w:ascii="Book Antiqua" w:eastAsia="Times New Roman" w:hAnsi="Book Antiqua" w:cs="Times New Roman"/>
          <w:sz w:val="24"/>
          <w:szCs w:val="24"/>
          <w:lang w:val="en-US"/>
        </w:rPr>
        <w:t>C</w:t>
      </w:r>
      <w:r w:rsidRPr="00612653">
        <w:rPr>
          <w:rFonts w:ascii="Book Antiqua" w:eastAsia="Times New Roman" w:hAnsi="Book Antiqua" w:cs="Times New Roman"/>
          <w:sz w:val="24"/>
          <w:szCs w:val="24"/>
          <w:lang w:val="en-US"/>
        </w:rPr>
        <w:t>)</w:t>
      </w:r>
      <w:r w:rsidR="009575FE" w:rsidRPr="00612653">
        <w:rPr>
          <w:rFonts w:ascii="Book Antiqua" w:eastAsia="Times New Roman" w:hAnsi="Book Antiqua" w:cs="Times New Roman"/>
          <w:sz w:val="24"/>
          <w:szCs w:val="24"/>
          <w:lang w:val="en-US"/>
        </w:rPr>
        <w:t xml:space="preserve">. </w:t>
      </w:r>
      <w:r w:rsidR="00624EC5" w:rsidRPr="00612653">
        <w:rPr>
          <w:rFonts w:ascii="Book Antiqua" w:eastAsia="Times New Roman" w:hAnsi="Book Antiqua" w:cs="Times New Roman"/>
          <w:sz w:val="24"/>
          <w:szCs w:val="24"/>
          <w:lang w:val="en-US"/>
        </w:rPr>
        <w:t xml:space="preserve">Biochemical </w:t>
      </w:r>
      <w:r w:rsidR="000B153D" w:rsidRPr="00612653">
        <w:rPr>
          <w:rFonts w:ascii="Book Antiqua" w:eastAsia="Times New Roman" w:hAnsi="Book Antiqua" w:cs="Times New Roman"/>
          <w:sz w:val="24"/>
          <w:szCs w:val="24"/>
          <w:lang w:val="en-US"/>
        </w:rPr>
        <w:t xml:space="preserve">(plasma, liver) and quantitative histological (liver) </w:t>
      </w:r>
      <w:r w:rsidR="00624EC5" w:rsidRPr="00612653">
        <w:rPr>
          <w:rFonts w:ascii="Book Antiqua" w:eastAsia="Times New Roman" w:hAnsi="Book Antiqua" w:cs="Times New Roman"/>
          <w:sz w:val="24"/>
          <w:szCs w:val="24"/>
          <w:lang w:val="en-US"/>
        </w:rPr>
        <w:t>analyses were</w:t>
      </w:r>
      <w:r w:rsidR="000B153D" w:rsidRPr="00612653">
        <w:rPr>
          <w:rFonts w:ascii="Book Antiqua" w:eastAsia="Times New Roman" w:hAnsi="Book Antiqua" w:cs="Times New Roman"/>
          <w:sz w:val="24"/>
          <w:szCs w:val="24"/>
          <w:lang w:val="en-US"/>
        </w:rPr>
        <w:t xml:space="preserve"> applied</w:t>
      </w:r>
      <w:r w:rsidR="00EC1298" w:rsidRPr="00612653">
        <w:rPr>
          <w:rFonts w:ascii="Book Antiqua" w:eastAsia="Times New Roman" w:hAnsi="Book Antiqua" w:cs="Times New Roman"/>
          <w:sz w:val="24"/>
          <w:szCs w:val="24"/>
          <w:lang w:val="en-US"/>
        </w:rPr>
        <w:t xml:space="preserve">. </w:t>
      </w:r>
      <w:r w:rsidR="00D70F6D" w:rsidRPr="00612653">
        <w:rPr>
          <w:rFonts w:ascii="Book Antiqua" w:eastAsia="Times New Roman" w:hAnsi="Book Antiqua" w:cs="Times New Roman"/>
          <w:sz w:val="24"/>
          <w:szCs w:val="24"/>
          <w:lang w:val="en-US"/>
        </w:rPr>
        <w:t>Liraglutide and OCA</w:t>
      </w:r>
      <w:r w:rsidR="004D0DB5" w:rsidRPr="00612653">
        <w:rPr>
          <w:rFonts w:ascii="Book Antiqua" w:eastAsia="Times New Roman" w:hAnsi="Book Antiqua" w:cs="Times New Roman"/>
          <w:sz w:val="24"/>
          <w:szCs w:val="24"/>
          <w:lang w:val="en-US"/>
        </w:rPr>
        <w:t xml:space="preserve"> </w:t>
      </w:r>
      <w:r w:rsidR="008C14BA" w:rsidRPr="00612653">
        <w:rPr>
          <w:rFonts w:ascii="Book Antiqua" w:eastAsia="Times New Roman" w:hAnsi="Book Antiqua" w:cs="Times New Roman"/>
          <w:sz w:val="24"/>
          <w:szCs w:val="24"/>
          <w:lang w:val="en-US"/>
        </w:rPr>
        <w:t xml:space="preserve">reduced </w:t>
      </w:r>
      <w:r w:rsidR="00D70F6D" w:rsidRPr="00612653">
        <w:rPr>
          <w:rFonts w:ascii="Book Antiqua" w:eastAsia="Times New Roman" w:hAnsi="Book Antiqua" w:cs="Times New Roman"/>
          <w:sz w:val="24"/>
          <w:szCs w:val="24"/>
          <w:lang w:val="en-US"/>
        </w:rPr>
        <w:t xml:space="preserve">total </w:t>
      </w:r>
      <w:r w:rsidR="003A4EB2" w:rsidRPr="00612653">
        <w:rPr>
          <w:rFonts w:ascii="Book Antiqua" w:eastAsia="Times New Roman" w:hAnsi="Book Antiqua" w:cs="Times New Roman"/>
          <w:sz w:val="24"/>
          <w:szCs w:val="24"/>
          <w:lang w:val="en-US"/>
        </w:rPr>
        <w:t xml:space="preserve">liver </w:t>
      </w:r>
      <w:r w:rsidR="00F812C8" w:rsidRPr="00612653">
        <w:rPr>
          <w:rFonts w:ascii="Book Antiqua" w:eastAsia="Times New Roman" w:hAnsi="Book Antiqua" w:cs="Times New Roman"/>
          <w:sz w:val="24"/>
          <w:szCs w:val="24"/>
          <w:lang w:val="en-US"/>
        </w:rPr>
        <w:t>TG</w:t>
      </w:r>
      <w:r w:rsidR="004D0DB5" w:rsidRPr="00612653">
        <w:rPr>
          <w:rFonts w:ascii="Book Antiqua" w:eastAsia="Times New Roman" w:hAnsi="Book Antiqua" w:cs="Times New Roman"/>
          <w:sz w:val="24"/>
          <w:szCs w:val="24"/>
          <w:lang w:val="en-US"/>
        </w:rPr>
        <w:t xml:space="preserve"> and </w:t>
      </w:r>
      <w:r w:rsidR="00F65B10" w:rsidRPr="00612653">
        <w:rPr>
          <w:rFonts w:ascii="Book Antiqua" w:eastAsia="Times New Roman" w:hAnsi="Book Antiqua" w:cs="Times New Roman"/>
          <w:sz w:val="24"/>
          <w:szCs w:val="24"/>
          <w:lang w:val="en-US"/>
        </w:rPr>
        <w:t xml:space="preserve">TC </w:t>
      </w:r>
      <w:r w:rsidR="00122523" w:rsidRPr="00612653">
        <w:rPr>
          <w:rFonts w:ascii="Book Antiqua" w:eastAsia="Times New Roman" w:hAnsi="Book Antiqua" w:cs="Times New Roman"/>
          <w:sz w:val="24"/>
          <w:szCs w:val="24"/>
          <w:lang w:val="en-US"/>
        </w:rPr>
        <w:t xml:space="preserve">content </w:t>
      </w:r>
      <w:r w:rsidR="003A4EB2" w:rsidRPr="00612653">
        <w:rPr>
          <w:rFonts w:ascii="Book Antiqua" w:eastAsia="Times New Roman" w:hAnsi="Book Antiqua" w:cs="Times New Roman"/>
          <w:sz w:val="24"/>
          <w:szCs w:val="24"/>
          <w:lang w:val="en-US"/>
        </w:rPr>
        <w:t>(</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2A2F00" w:rsidRPr="00612653">
        <w:rPr>
          <w:rFonts w:ascii="Book Antiqua" w:eastAsia="Times New Roman" w:hAnsi="Book Antiqua" w:cs="Times New Roman"/>
          <w:sz w:val="24"/>
          <w:szCs w:val="24"/>
          <w:lang w:val="en-US"/>
        </w:rPr>
        <w:t xml:space="preserve"> </w:t>
      </w:r>
      <w:r w:rsidR="00D72A24" w:rsidRPr="00612653">
        <w:rPr>
          <w:rFonts w:ascii="Book Antiqua" w:eastAsia="Times New Roman" w:hAnsi="Book Antiqua" w:cs="Times New Roman"/>
          <w:sz w:val="24"/>
          <w:szCs w:val="24"/>
          <w:lang w:val="en-US"/>
        </w:rPr>
        <w:t>2D</w:t>
      </w:r>
      <w:r w:rsidR="007C5756" w:rsidRPr="00612653">
        <w:rPr>
          <w:rFonts w:ascii="Book Antiqua" w:eastAsia="Times New Roman" w:hAnsi="Book Antiqua" w:cs="Times New Roman"/>
          <w:sz w:val="24"/>
          <w:szCs w:val="24"/>
          <w:lang w:val="en-US" w:eastAsia="zh-CN"/>
        </w:rPr>
        <w:t xml:space="preserve"> and </w:t>
      </w:r>
      <w:r w:rsidR="00DD3540" w:rsidRPr="00612653">
        <w:rPr>
          <w:rFonts w:ascii="Book Antiqua" w:eastAsia="Times New Roman" w:hAnsi="Book Antiqua" w:cs="Times New Roman"/>
          <w:sz w:val="24"/>
          <w:szCs w:val="24"/>
          <w:lang w:val="en-US"/>
        </w:rPr>
        <w:t>E</w:t>
      </w:r>
      <w:r w:rsidR="003A4EB2" w:rsidRPr="00612653">
        <w:rPr>
          <w:rFonts w:ascii="Book Antiqua" w:eastAsia="Times New Roman" w:hAnsi="Book Antiqua" w:cs="Times New Roman"/>
          <w:sz w:val="24"/>
          <w:szCs w:val="24"/>
          <w:lang w:val="en-US"/>
        </w:rPr>
        <w:t>).</w:t>
      </w:r>
      <w:r w:rsidR="00C352D6" w:rsidRPr="00612653">
        <w:rPr>
          <w:rFonts w:ascii="Book Antiqua" w:eastAsia="Times New Roman" w:hAnsi="Book Antiqua" w:cs="Times New Roman"/>
          <w:sz w:val="24"/>
          <w:szCs w:val="24"/>
          <w:lang w:val="en-US"/>
        </w:rPr>
        <w:t xml:space="preserve"> </w:t>
      </w:r>
      <w:r w:rsidR="00C45B02" w:rsidRPr="00612653">
        <w:rPr>
          <w:rFonts w:ascii="Book Antiqua" w:eastAsia="Times New Roman" w:hAnsi="Book Antiqua" w:cs="Times New Roman"/>
          <w:sz w:val="24"/>
          <w:szCs w:val="24"/>
          <w:lang w:val="en-US"/>
        </w:rPr>
        <w:t>Only l</w:t>
      </w:r>
      <w:r w:rsidR="00C352D6" w:rsidRPr="00612653">
        <w:rPr>
          <w:rFonts w:ascii="Book Antiqua" w:eastAsia="Times New Roman" w:hAnsi="Book Antiqua" w:cs="Times New Roman"/>
          <w:sz w:val="24"/>
          <w:szCs w:val="24"/>
          <w:lang w:val="en-US"/>
        </w:rPr>
        <w:t>iraglutide</w:t>
      </w:r>
      <w:r w:rsidR="00C45B02" w:rsidRPr="00612653">
        <w:rPr>
          <w:rFonts w:ascii="Book Antiqua" w:eastAsia="Times New Roman" w:hAnsi="Book Antiqua" w:cs="Times New Roman"/>
          <w:sz w:val="24"/>
          <w:szCs w:val="24"/>
          <w:lang w:val="en-US"/>
        </w:rPr>
        <w:t xml:space="preserve"> </w:t>
      </w:r>
      <w:r w:rsidR="0023291C" w:rsidRPr="00612653">
        <w:rPr>
          <w:rFonts w:ascii="Book Antiqua" w:eastAsia="Times New Roman" w:hAnsi="Book Antiqua" w:cs="Times New Roman"/>
          <w:sz w:val="24"/>
          <w:szCs w:val="24"/>
          <w:lang w:val="en-US"/>
        </w:rPr>
        <w:t xml:space="preserve">significantly </w:t>
      </w:r>
      <w:r w:rsidR="00C45B02" w:rsidRPr="00612653">
        <w:rPr>
          <w:rFonts w:ascii="Book Antiqua" w:eastAsia="Times New Roman" w:hAnsi="Book Antiqua" w:cs="Times New Roman"/>
          <w:sz w:val="24"/>
          <w:szCs w:val="24"/>
          <w:lang w:val="en-US"/>
        </w:rPr>
        <w:t xml:space="preserve">reduced plasma </w:t>
      </w:r>
      <w:r w:rsidR="005C53BA" w:rsidRPr="00612653">
        <w:rPr>
          <w:rFonts w:ascii="Book Antiqua" w:eastAsia="Times New Roman" w:hAnsi="Book Antiqua" w:cs="Times New Roman"/>
          <w:sz w:val="24"/>
          <w:szCs w:val="24"/>
          <w:lang w:val="en-US"/>
        </w:rPr>
        <w:t>ALT and AST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5C53BA" w:rsidRPr="00612653">
        <w:rPr>
          <w:rFonts w:ascii="Book Antiqua" w:eastAsia="Times New Roman" w:hAnsi="Book Antiqua" w:cs="Times New Roman"/>
          <w:sz w:val="24"/>
          <w:szCs w:val="24"/>
          <w:lang w:val="en-US"/>
        </w:rPr>
        <w:t>2F</w:t>
      </w:r>
      <w:r w:rsidR="007C5756" w:rsidRPr="00612653">
        <w:rPr>
          <w:rFonts w:ascii="Book Antiqua" w:eastAsia="Times New Roman" w:hAnsi="Book Antiqua" w:cs="Times New Roman"/>
          <w:sz w:val="24"/>
          <w:szCs w:val="24"/>
          <w:lang w:val="en-US" w:eastAsia="zh-CN"/>
        </w:rPr>
        <w:t xml:space="preserve"> and </w:t>
      </w:r>
      <w:r w:rsidR="005C53BA" w:rsidRPr="00612653">
        <w:rPr>
          <w:rFonts w:ascii="Book Antiqua" w:eastAsia="Times New Roman" w:hAnsi="Book Antiqua" w:cs="Times New Roman"/>
          <w:sz w:val="24"/>
          <w:szCs w:val="24"/>
          <w:lang w:val="en-US"/>
        </w:rPr>
        <w:t>G)</w:t>
      </w:r>
      <w:r w:rsidR="00C352D6" w:rsidRPr="00612653">
        <w:rPr>
          <w:rFonts w:ascii="Book Antiqua" w:eastAsia="Times New Roman" w:hAnsi="Book Antiqua" w:cs="Times New Roman"/>
          <w:sz w:val="24"/>
          <w:szCs w:val="24"/>
          <w:lang w:val="en-US"/>
        </w:rPr>
        <w:t>.</w:t>
      </w:r>
      <w:r w:rsidR="00DD3540" w:rsidRPr="00612653">
        <w:rPr>
          <w:rFonts w:ascii="Book Antiqua" w:eastAsia="Times New Roman" w:hAnsi="Book Antiqua" w:cs="Times New Roman"/>
          <w:sz w:val="24"/>
          <w:szCs w:val="24"/>
          <w:lang w:val="en-US"/>
        </w:rPr>
        <w:t xml:space="preserve"> </w:t>
      </w:r>
      <w:r w:rsidR="001030DF" w:rsidRPr="00612653">
        <w:rPr>
          <w:rFonts w:ascii="Book Antiqua" w:eastAsia="Times New Roman" w:hAnsi="Book Antiqua" w:cs="Times New Roman"/>
          <w:sz w:val="24"/>
          <w:szCs w:val="24"/>
          <w:lang w:val="en-US"/>
        </w:rPr>
        <w:lastRenderedPageBreak/>
        <w:t>L</w:t>
      </w:r>
      <w:r w:rsidR="00DD3540" w:rsidRPr="00612653">
        <w:rPr>
          <w:rFonts w:ascii="Book Antiqua" w:eastAsia="Times New Roman" w:hAnsi="Book Antiqua" w:cs="Times New Roman"/>
          <w:sz w:val="24"/>
          <w:szCs w:val="24"/>
          <w:lang w:val="en-US"/>
        </w:rPr>
        <w:t xml:space="preserve">iraglutide and </w:t>
      </w:r>
      <w:r w:rsidR="00FE185C" w:rsidRPr="00612653">
        <w:rPr>
          <w:rFonts w:ascii="Book Antiqua" w:eastAsia="Times New Roman" w:hAnsi="Book Antiqua" w:cs="Times New Roman"/>
          <w:sz w:val="24"/>
          <w:szCs w:val="24"/>
          <w:lang w:val="en-US"/>
        </w:rPr>
        <w:t>OCA</w:t>
      </w:r>
      <w:r w:rsidR="00325547" w:rsidRPr="00612653">
        <w:rPr>
          <w:rFonts w:ascii="Book Antiqua" w:eastAsia="Times New Roman" w:hAnsi="Book Antiqua" w:cs="Times New Roman"/>
          <w:sz w:val="24"/>
          <w:szCs w:val="24"/>
          <w:lang w:val="en-US"/>
        </w:rPr>
        <w:t xml:space="preserve">, </w:t>
      </w:r>
      <w:r w:rsidR="00DD3540" w:rsidRPr="00612653">
        <w:rPr>
          <w:rFonts w:ascii="Book Antiqua" w:eastAsia="Times New Roman" w:hAnsi="Book Antiqua" w:cs="Times New Roman"/>
          <w:sz w:val="24"/>
          <w:szCs w:val="24"/>
          <w:lang w:val="en-US"/>
        </w:rPr>
        <w:t>but not elafibranor</w:t>
      </w:r>
      <w:r w:rsidR="00325547" w:rsidRPr="00612653">
        <w:rPr>
          <w:rFonts w:ascii="Book Antiqua" w:eastAsia="Times New Roman" w:hAnsi="Book Antiqua" w:cs="Times New Roman"/>
          <w:sz w:val="24"/>
          <w:szCs w:val="24"/>
          <w:lang w:val="en-US"/>
        </w:rPr>
        <w:t xml:space="preserve">, reduced plasma </w:t>
      </w:r>
      <w:r w:rsidR="00F65B10" w:rsidRPr="00612653">
        <w:rPr>
          <w:rFonts w:ascii="Book Antiqua" w:eastAsia="Times New Roman" w:hAnsi="Book Antiqua" w:cs="Times New Roman"/>
          <w:sz w:val="24"/>
          <w:szCs w:val="24"/>
          <w:lang w:val="en-US"/>
        </w:rPr>
        <w:t>TC</w:t>
      </w:r>
      <w:r w:rsidR="00DD3540" w:rsidRPr="00612653">
        <w:rPr>
          <w:rFonts w:ascii="Book Antiqua" w:eastAsia="Times New Roman" w:hAnsi="Book Antiqua" w:cs="Times New Roman"/>
          <w:sz w:val="24"/>
          <w:szCs w:val="24"/>
          <w:lang w:val="en-US"/>
        </w:rPr>
        <w:t xml:space="preserve"> levels</w:t>
      </w:r>
      <w:r w:rsidR="005873D7" w:rsidRPr="00612653">
        <w:rPr>
          <w:rFonts w:ascii="Book Antiqua" w:eastAsia="Times New Roman" w:hAnsi="Book Antiqua" w:cs="Times New Roman"/>
          <w:sz w:val="24"/>
          <w:szCs w:val="24"/>
          <w:lang w:val="en-US"/>
        </w:rPr>
        <w:t xml:space="preserve">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5873D7" w:rsidRPr="00612653">
        <w:rPr>
          <w:rFonts w:ascii="Book Antiqua" w:eastAsia="Times New Roman" w:hAnsi="Book Antiqua" w:cs="Times New Roman"/>
          <w:sz w:val="24"/>
          <w:szCs w:val="24"/>
          <w:lang w:val="en-US"/>
        </w:rPr>
        <w:t>2</w:t>
      </w:r>
      <w:r w:rsidR="005C53BA" w:rsidRPr="00612653">
        <w:rPr>
          <w:rFonts w:ascii="Book Antiqua" w:eastAsia="Times New Roman" w:hAnsi="Book Antiqua" w:cs="Times New Roman"/>
          <w:sz w:val="24"/>
          <w:szCs w:val="24"/>
          <w:lang w:val="en-US"/>
        </w:rPr>
        <w:t>I</w:t>
      </w:r>
      <w:r w:rsidR="00AE02F1" w:rsidRPr="00612653">
        <w:rPr>
          <w:rFonts w:ascii="Book Antiqua" w:eastAsia="Times New Roman" w:hAnsi="Book Antiqua" w:cs="Times New Roman"/>
          <w:sz w:val="24"/>
          <w:szCs w:val="24"/>
          <w:lang w:val="en-US"/>
        </w:rPr>
        <w:t>)</w:t>
      </w:r>
      <w:r w:rsidR="00DD3540" w:rsidRPr="00612653">
        <w:rPr>
          <w:rFonts w:ascii="Book Antiqua" w:eastAsia="Times New Roman" w:hAnsi="Book Antiqua" w:cs="Times New Roman"/>
          <w:sz w:val="24"/>
          <w:szCs w:val="24"/>
          <w:lang w:val="en-US"/>
        </w:rPr>
        <w:t xml:space="preserve">. None of the compounds affected plasma </w:t>
      </w:r>
      <w:r w:rsidR="0022046F" w:rsidRPr="00612653">
        <w:rPr>
          <w:rFonts w:ascii="Book Antiqua" w:eastAsia="Times New Roman" w:hAnsi="Book Antiqua" w:cs="Times New Roman"/>
          <w:sz w:val="24"/>
          <w:szCs w:val="24"/>
          <w:lang w:val="en-US"/>
        </w:rPr>
        <w:t>TG</w:t>
      </w:r>
      <w:r w:rsidR="00325547" w:rsidRPr="00612653">
        <w:rPr>
          <w:rFonts w:ascii="Book Antiqua" w:eastAsia="Times New Roman" w:hAnsi="Book Antiqua" w:cs="Times New Roman"/>
          <w:sz w:val="24"/>
          <w:szCs w:val="24"/>
          <w:lang w:val="en-US"/>
        </w:rPr>
        <w:t xml:space="preserve"> l</w:t>
      </w:r>
      <w:r w:rsidR="00DD3540" w:rsidRPr="00612653">
        <w:rPr>
          <w:rFonts w:ascii="Book Antiqua" w:eastAsia="Times New Roman" w:hAnsi="Book Antiqua" w:cs="Times New Roman"/>
          <w:sz w:val="24"/>
          <w:szCs w:val="24"/>
          <w:lang w:val="en-US"/>
        </w:rPr>
        <w:t xml:space="preserve">evels </w:t>
      </w:r>
      <w:r w:rsidR="005873D7" w:rsidRPr="00612653">
        <w:rPr>
          <w:rFonts w:ascii="Book Antiqua" w:eastAsia="Times New Roman" w:hAnsi="Book Antiqua" w:cs="Times New Roman"/>
          <w:sz w:val="24"/>
          <w:szCs w:val="24"/>
          <w:lang w:val="en-US"/>
        </w:rPr>
        <w:t>(</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5873D7" w:rsidRPr="00612653">
        <w:rPr>
          <w:rFonts w:ascii="Book Antiqua" w:eastAsia="Times New Roman" w:hAnsi="Book Antiqua" w:cs="Times New Roman"/>
          <w:sz w:val="24"/>
          <w:szCs w:val="24"/>
          <w:lang w:val="en-US"/>
        </w:rPr>
        <w:t xml:space="preserve"> 2</w:t>
      </w:r>
      <w:r w:rsidR="005C53BA" w:rsidRPr="00612653">
        <w:rPr>
          <w:rFonts w:ascii="Book Antiqua" w:eastAsia="Times New Roman" w:hAnsi="Book Antiqua" w:cs="Times New Roman"/>
          <w:sz w:val="24"/>
          <w:szCs w:val="24"/>
          <w:lang w:val="en-US"/>
        </w:rPr>
        <w:t>H</w:t>
      </w:r>
      <w:r w:rsidR="00DD3540" w:rsidRPr="00612653">
        <w:rPr>
          <w:rFonts w:ascii="Book Antiqua" w:eastAsia="Times New Roman" w:hAnsi="Book Antiqua" w:cs="Times New Roman"/>
          <w:sz w:val="24"/>
          <w:szCs w:val="24"/>
          <w:lang w:val="en-US"/>
        </w:rPr>
        <w:t>).</w:t>
      </w:r>
      <w:r w:rsidR="006C1E05" w:rsidRPr="00612653">
        <w:rPr>
          <w:rFonts w:ascii="Book Antiqua" w:eastAsia="Times New Roman" w:hAnsi="Book Antiqua" w:cs="Times New Roman"/>
          <w:sz w:val="24"/>
          <w:szCs w:val="24"/>
          <w:lang w:val="en-US"/>
        </w:rPr>
        <w:t xml:space="preserve"> </w:t>
      </w:r>
      <w:r w:rsidR="000B153D" w:rsidRPr="00612653">
        <w:rPr>
          <w:rFonts w:ascii="Book Antiqua" w:eastAsia="Times New Roman" w:hAnsi="Book Antiqua" w:cs="Times New Roman"/>
          <w:sz w:val="24"/>
          <w:szCs w:val="24"/>
          <w:lang w:val="en-US"/>
        </w:rPr>
        <w:t xml:space="preserve">Liver morphometry was compared in pre- </w:t>
      </w:r>
      <w:r w:rsidR="000B153D" w:rsidRPr="00612653">
        <w:rPr>
          <w:rFonts w:ascii="Book Antiqua" w:eastAsia="Times New Roman" w:hAnsi="Book Antiqua" w:cs="Times New Roman"/>
          <w:i/>
          <w:sz w:val="24"/>
          <w:szCs w:val="24"/>
          <w:lang w:val="en-US"/>
        </w:rPr>
        <w:t>vs</w:t>
      </w:r>
      <w:r w:rsidR="007C5756" w:rsidRPr="00612653">
        <w:rPr>
          <w:rFonts w:ascii="Book Antiqua" w:eastAsia="Times New Roman" w:hAnsi="Book Antiqua" w:cs="Times New Roman"/>
          <w:sz w:val="24"/>
          <w:szCs w:val="24"/>
          <w:lang w:val="en-US" w:eastAsia="zh-CN"/>
        </w:rPr>
        <w:t xml:space="preserve"> </w:t>
      </w:r>
      <w:r w:rsidR="000B153D" w:rsidRPr="00612653">
        <w:rPr>
          <w:rFonts w:ascii="Book Antiqua" w:eastAsia="Times New Roman" w:hAnsi="Book Antiqua" w:cs="Times New Roman"/>
          <w:sz w:val="24"/>
          <w:szCs w:val="24"/>
          <w:lang w:val="en-US"/>
        </w:rPr>
        <w:t xml:space="preserve">post-treatment liver biopsies. </w:t>
      </w:r>
      <w:r w:rsidR="00AB2796" w:rsidRPr="00612653">
        <w:rPr>
          <w:rFonts w:ascii="Book Antiqua" w:eastAsia="Times New Roman" w:hAnsi="Book Antiqua" w:cs="Times New Roman"/>
          <w:sz w:val="24"/>
          <w:szCs w:val="24"/>
          <w:lang w:val="en-US"/>
        </w:rPr>
        <w:t xml:space="preserve">All DIO-NASH mice included in the experiment showed pre-biopsy confirmed NASH (composite NAS 4-6) and liver fibrosis (stage </w:t>
      </w:r>
      <w:r w:rsidR="00AB2796" w:rsidRPr="00612653">
        <w:rPr>
          <w:rFonts w:ascii="Book Antiqua" w:eastAsia="Times New Roman" w:hAnsi="Book Antiqua" w:cstheme="minorHAnsi"/>
          <w:sz w:val="24"/>
          <w:szCs w:val="24"/>
          <w:lang w:val="en-US"/>
        </w:rPr>
        <w:t>1-2</w:t>
      </w:r>
      <w:r w:rsidR="00AB2796" w:rsidRPr="00612653">
        <w:rPr>
          <w:rFonts w:ascii="Book Antiqua" w:eastAsia="Times New Roman" w:hAnsi="Book Antiqua" w:cs="Times New Roman"/>
          <w:sz w:val="24"/>
          <w:szCs w:val="24"/>
          <w:lang w:val="en-US"/>
        </w:rPr>
        <w:t>), see Figure 3B and Supplementary Fig</w:t>
      </w:r>
      <w:r w:rsidR="00AB2796" w:rsidRPr="00612653">
        <w:rPr>
          <w:rFonts w:ascii="Book Antiqua" w:eastAsia="Times New Roman" w:hAnsi="Book Antiqua" w:cs="Times New Roman"/>
          <w:sz w:val="24"/>
          <w:szCs w:val="24"/>
          <w:lang w:val="en-US" w:eastAsia="zh-CN"/>
        </w:rPr>
        <w:t>ure</w:t>
      </w:r>
      <w:r w:rsidR="00AB2796" w:rsidRPr="00612653">
        <w:rPr>
          <w:rFonts w:ascii="Book Antiqua" w:eastAsia="Times New Roman" w:hAnsi="Book Antiqua" w:cs="Times New Roman"/>
          <w:sz w:val="24"/>
          <w:szCs w:val="24"/>
          <w:lang w:val="en-US"/>
        </w:rPr>
        <w:t xml:space="preserve"> 2. </w:t>
      </w:r>
      <w:r w:rsidR="0086466F" w:rsidRPr="00612653">
        <w:rPr>
          <w:rFonts w:ascii="Book Antiqua" w:hAnsi="Book Antiqua"/>
          <w:sz w:val="24"/>
          <w:szCs w:val="24"/>
          <w:lang w:val="en-US"/>
        </w:rPr>
        <w:t>A</w:t>
      </w:r>
      <w:r w:rsidR="009F6856" w:rsidRPr="00612653">
        <w:rPr>
          <w:rFonts w:ascii="Book Antiqua" w:eastAsia="Times New Roman" w:hAnsi="Book Antiqua" w:cs="Times New Roman"/>
          <w:sz w:val="24"/>
          <w:szCs w:val="24"/>
          <w:lang w:val="en-US"/>
        </w:rPr>
        <w:t xml:space="preserve">ll three </w:t>
      </w:r>
      <w:r w:rsidR="007C5239" w:rsidRPr="00612653">
        <w:rPr>
          <w:rFonts w:ascii="Book Antiqua" w:eastAsia="Times New Roman" w:hAnsi="Book Antiqua" w:cs="Times New Roman"/>
          <w:sz w:val="24"/>
          <w:szCs w:val="24"/>
          <w:lang w:val="en-US"/>
        </w:rPr>
        <w:t>compounds significantly</w:t>
      </w:r>
      <w:r w:rsidR="008C1B9A" w:rsidRPr="00612653">
        <w:rPr>
          <w:rFonts w:ascii="Book Antiqua" w:eastAsia="Times New Roman" w:hAnsi="Book Antiqua" w:cs="Times New Roman"/>
          <w:sz w:val="24"/>
          <w:szCs w:val="24"/>
          <w:lang w:val="en-US"/>
        </w:rPr>
        <w:t xml:space="preserve"> improved</w:t>
      </w:r>
      <w:r w:rsidR="009F6856" w:rsidRPr="00612653">
        <w:rPr>
          <w:rFonts w:ascii="Book Antiqua" w:eastAsia="Times New Roman" w:hAnsi="Book Antiqua" w:cs="Times New Roman"/>
          <w:sz w:val="24"/>
          <w:szCs w:val="24"/>
          <w:lang w:val="en-US"/>
        </w:rPr>
        <w:t xml:space="preserve"> </w:t>
      </w:r>
      <w:r w:rsidR="009E6D17" w:rsidRPr="00612653">
        <w:rPr>
          <w:rFonts w:ascii="Book Antiqua" w:eastAsia="Times New Roman" w:hAnsi="Book Antiqua" w:cs="Times New Roman"/>
          <w:sz w:val="24"/>
          <w:szCs w:val="24"/>
          <w:lang w:val="en-US"/>
        </w:rPr>
        <w:t>NAS in DIO-</w:t>
      </w:r>
      <w:r w:rsidR="007C5239" w:rsidRPr="00612653">
        <w:rPr>
          <w:rFonts w:ascii="Book Antiqua" w:eastAsia="Times New Roman" w:hAnsi="Book Antiqua" w:cs="Times New Roman"/>
          <w:sz w:val="24"/>
          <w:szCs w:val="24"/>
          <w:lang w:val="en-US"/>
        </w:rPr>
        <w:t>NASH mice</w:t>
      </w:r>
      <w:r w:rsidR="00EC2EAD" w:rsidRPr="00612653">
        <w:rPr>
          <w:rFonts w:ascii="Book Antiqua" w:eastAsia="Times New Roman" w:hAnsi="Book Antiqua" w:cs="Times New Roman"/>
          <w:sz w:val="24"/>
          <w:szCs w:val="24"/>
          <w:lang w:val="en-US"/>
        </w:rPr>
        <w:t xml:space="preserve">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88172A" w:rsidRPr="00612653">
        <w:rPr>
          <w:rFonts w:ascii="Book Antiqua" w:eastAsia="Times New Roman" w:hAnsi="Book Antiqua" w:cs="Times New Roman"/>
          <w:sz w:val="24"/>
          <w:szCs w:val="24"/>
          <w:lang w:val="en-US"/>
        </w:rPr>
        <w:t xml:space="preserve"> 3</w:t>
      </w:r>
      <w:r w:rsidR="005E4671" w:rsidRPr="00612653">
        <w:rPr>
          <w:rFonts w:ascii="Book Antiqua" w:eastAsia="Times New Roman" w:hAnsi="Book Antiqua" w:cs="Times New Roman"/>
          <w:sz w:val="24"/>
          <w:szCs w:val="24"/>
          <w:lang w:val="en-US"/>
        </w:rPr>
        <w:t>A</w:t>
      </w:r>
      <w:r w:rsidR="007C5756" w:rsidRPr="00612653">
        <w:rPr>
          <w:rFonts w:ascii="Book Antiqua" w:eastAsia="Times New Roman" w:hAnsi="Book Antiqua" w:cs="Times New Roman"/>
          <w:sz w:val="24"/>
          <w:szCs w:val="24"/>
          <w:lang w:val="en-US" w:eastAsia="zh-CN"/>
        </w:rPr>
        <w:t xml:space="preserve"> and </w:t>
      </w:r>
      <w:r w:rsidR="005E4671" w:rsidRPr="00612653">
        <w:rPr>
          <w:rFonts w:ascii="Book Antiqua" w:eastAsia="Times New Roman" w:hAnsi="Book Antiqua" w:cs="Times New Roman"/>
          <w:sz w:val="24"/>
          <w:szCs w:val="24"/>
          <w:lang w:val="en-US"/>
        </w:rPr>
        <w:t>B</w:t>
      </w:r>
      <w:r w:rsidR="00EC2EAD" w:rsidRPr="00612653">
        <w:rPr>
          <w:rFonts w:ascii="Book Antiqua" w:eastAsia="Times New Roman" w:hAnsi="Book Antiqua" w:cs="Times New Roman"/>
          <w:sz w:val="24"/>
          <w:szCs w:val="24"/>
          <w:lang w:val="en-US"/>
        </w:rPr>
        <w:t xml:space="preserve">), mainly due to </w:t>
      </w:r>
      <w:r w:rsidR="00F56649" w:rsidRPr="00612653">
        <w:rPr>
          <w:rFonts w:ascii="Book Antiqua" w:eastAsia="Times New Roman" w:hAnsi="Book Antiqua" w:cs="Times New Roman"/>
          <w:sz w:val="24"/>
          <w:szCs w:val="24"/>
          <w:lang w:val="en-US"/>
        </w:rPr>
        <w:t xml:space="preserve">reduced </w:t>
      </w:r>
      <w:r w:rsidR="00F65B10" w:rsidRPr="00612653">
        <w:rPr>
          <w:rFonts w:ascii="Book Antiqua" w:eastAsia="Times New Roman" w:hAnsi="Book Antiqua" w:cs="Times New Roman"/>
          <w:sz w:val="24"/>
          <w:szCs w:val="24"/>
          <w:lang w:val="en-US"/>
        </w:rPr>
        <w:t xml:space="preserve">steatosis </w:t>
      </w:r>
      <w:r w:rsidR="00F56649" w:rsidRPr="00612653">
        <w:rPr>
          <w:rFonts w:ascii="Book Antiqua" w:eastAsia="Times New Roman" w:hAnsi="Book Antiqua" w:cs="Times New Roman"/>
          <w:sz w:val="24"/>
          <w:szCs w:val="24"/>
          <w:lang w:val="en-US"/>
        </w:rPr>
        <w:t xml:space="preserve">score </w:t>
      </w:r>
      <w:r w:rsidR="0036671E" w:rsidRPr="00612653">
        <w:rPr>
          <w:rFonts w:ascii="Book Antiqua" w:eastAsia="Times New Roman" w:hAnsi="Book Antiqua" w:cs="Times New Roman"/>
          <w:sz w:val="24"/>
          <w:szCs w:val="24"/>
          <w:lang w:val="en-US"/>
        </w:rPr>
        <w:t xml:space="preserve">(Supplementary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B64A0C" w:rsidRPr="00612653">
        <w:rPr>
          <w:rFonts w:ascii="Book Antiqua" w:eastAsia="Times New Roman" w:hAnsi="Book Antiqua" w:cs="Times New Roman"/>
          <w:sz w:val="24"/>
          <w:szCs w:val="24"/>
          <w:lang w:val="en-US"/>
        </w:rPr>
        <w:t>2</w:t>
      </w:r>
      <w:r w:rsidR="0070332B" w:rsidRPr="00612653">
        <w:rPr>
          <w:rFonts w:ascii="Book Antiqua" w:eastAsia="Times New Roman" w:hAnsi="Book Antiqua" w:cs="Times New Roman"/>
          <w:sz w:val="24"/>
          <w:szCs w:val="24"/>
          <w:lang w:val="en-US"/>
        </w:rPr>
        <w:t>)</w:t>
      </w:r>
      <w:r w:rsidR="00E74F1F" w:rsidRPr="00612653">
        <w:rPr>
          <w:rFonts w:ascii="Book Antiqua" w:eastAsia="Times New Roman" w:hAnsi="Book Antiqua" w:cs="Times New Roman"/>
          <w:sz w:val="24"/>
          <w:szCs w:val="24"/>
          <w:lang w:val="en-US"/>
        </w:rPr>
        <w:t>.</w:t>
      </w:r>
      <w:r w:rsidR="00222286" w:rsidRPr="00612653">
        <w:rPr>
          <w:rFonts w:ascii="Book Antiqua" w:eastAsia="Times New Roman" w:hAnsi="Book Antiqua" w:cs="Times New Roman"/>
          <w:sz w:val="24"/>
          <w:szCs w:val="24"/>
          <w:lang w:val="en-US"/>
        </w:rPr>
        <w:t xml:space="preserve"> In correspondence, all drug treatments </w:t>
      </w:r>
      <w:r w:rsidR="006C1E05" w:rsidRPr="00612653">
        <w:rPr>
          <w:rFonts w:ascii="Book Antiqua" w:eastAsia="Times New Roman" w:hAnsi="Book Antiqua" w:cs="Times New Roman"/>
          <w:sz w:val="24"/>
          <w:szCs w:val="24"/>
          <w:lang w:val="en-US"/>
        </w:rPr>
        <w:t>also</w:t>
      </w:r>
      <w:r w:rsidR="00222286" w:rsidRPr="00612653">
        <w:rPr>
          <w:rFonts w:ascii="Book Antiqua" w:eastAsia="Times New Roman" w:hAnsi="Book Antiqua" w:cs="Times New Roman"/>
          <w:sz w:val="24"/>
          <w:szCs w:val="24"/>
          <w:lang w:val="en-US"/>
        </w:rPr>
        <w:t xml:space="preserve"> reduced total liver lipid content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222286" w:rsidRPr="00612653">
        <w:rPr>
          <w:rFonts w:ascii="Book Antiqua" w:eastAsia="Times New Roman" w:hAnsi="Book Antiqua" w:cs="Times New Roman"/>
          <w:sz w:val="24"/>
          <w:szCs w:val="24"/>
          <w:lang w:val="en-US"/>
        </w:rPr>
        <w:t>4A</w:t>
      </w:r>
      <w:r w:rsidR="007C5756" w:rsidRPr="00612653">
        <w:rPr>
          <w:rFonts w:ascii="Book Antiqua" w:eastAsia="Times New Roman" w:hAnsi="Book Antiqua" w:cs="Times New Roman"/>
          <w:sz w:val="24"/>
          <w:szCs w:val="24"/>
          <w:lang w:val="en-US" w:eastAsia="zh-CN"/>
        </w:rPr>
        <w:t xml:space="preserve"> and </w:t>
      </w:r>
      <w:r w:rsidR="00222286" w:rsidRPr="00612653">
        <w:rPr>
          <w:rFonts w:ascii="Book Antiqua" w:eastAsia="Times New Roman" w:hAnsi="Book Antiqua" w:cs="Times New Roman"/>
          <w:sz w:val="24"/>
          <w:szCs w:val="24"/>
          <w:lang w:val="en-US"/>
        </w:rPr>
        <w:t xml:space="preserve">B). </w:t>
      </w:r>
      <w:r w:rsidR="00F56649" w:rsidRPr="00612653">
        <w:rPr>
          <w:rFonts w:ascii="Book Antiqua" w:eastAsia="Times New Roman" w:hAnsi="Book Antiqua" w:cs="Times New Roman"/>
          <w:sz w:val="24"/>
          <w:szCs w:val="24"/>
          <w:lang w:val="en-US"/>
        </w:rPr>
        <w:t>O</w:t>
      </w:r>
      <w:r w:rsidR="008049A4" w:rsidRPr="00612653">
        <w:rPr>
          <w:rFonts w:ascii="Book Antiqua" w:eastAsia="Times New Roman" w:hAnsi="Book Antiqua" w:cs="Times New Roman"/>
          <w:sz w:val="24"/>
          <w:szCs w:val="24"/>
          <w:lang w:val="en-US"/>
        </w:rPr>
        <w:t>nly elaf</w:t>
      </w:r>
      <w:r w:rsidR="00FA1E9F" w:rsidRPr="00612653">
        <w:rPr>
          <w:rFonts w:ascii="Book Antiqua" w:eastAsia="Times New Roman" w:hAnsi="Book Antiqua" w:cs="Times New Roman"/>
          <w:sz w:val="24"/>
          <w:szCs w:val="24"/>
          <w:lang w:val="en-US"/>
        </w:rPr>
        <w:t xml:space="preserve">ibranor </w:t>
      </w:r>
      <w:r w:rsidR="00B377C6" w:rsidRPr="00612653">
        <w:rPr>
          <w:rFonts w:ascii="Book Antiqua" w:eastAsia="Times New Roman" w:hAnsi="Book Antiqua" w:cs="Times New Roman"/>
          <w:sz w:val="24"/>
          <w:szCs w:val="24"/>
          <w:lang w:val="en-US"/>
        </w:rPr>
        <w:t>improved</w:t>
      </w:r>
      <w:r w:rsidR="00FA1E9F" w:rsidRPr="00612653">
        <w:rPr>
          <w:rFonts w:ascii="Book Antiqua" w:eastAsia="Times New Roman" w:hAnsi="Book Antiqua" w:cs="Times New Roman"/>
          <w:sz w:val="24"/>
          <w:szCs w:val="24"/>
          <w:lang w:val="en-US"/>
        </w:rPr>
        <w:t xml:space="preserve"> </w:t>
      </w:r>
      <w:r w:rsidR="008049A4" w:rsidRPr="00612653">
        <w:rPr>
          <w:rFonts w:ascii="Book Antiqua" w:eastAsia="Times New Roman" w:hAnsi="Book Antiqua" w:cs="Times New Roman"/>
          <w:sz w:val="24"/>
          <w:szCs w:val="24"/>
          <w:lang w:val="en-US"/>
        </w:rPr>
        <w:t xml:space="preserve">fibrosis </w:t>
      </w:r>
      <w:r w:rsidR="00FA5B37" w:rsidRPr="00612653">
        <w:rPr>
          <w:rFonts w:ascii="Book Antiqua" w:eastAsia="Times New Roman" w:hAnsi="Book Antiqua" w:cs="Times New Roman"/>
          <w:sz w:val="24"/>
          <w:szCs w:val="24"/>
          <w:lang w:val="en-US"/>
        </w:rPr>
        <w:t>stage in</w:t>
      </w:r>
      <w:r w:rsidR="00EC1298" w:rsidRPr="00612653">
        <w:rPr>
          <w:rFonts w:ascii="Book Antiqua" w:eastAsia="Times New Roman" w:hAnsi="Book Antiqua" w:cs="Times New Roman"/>
          <w:sz w:val="24"/>
          <w:szCs w:val="24"/>
          <w:lang w:val="en-US"/>
        </w:rPr>
        <w:t xml:space="preserve"> </w:t>
      </w:r>
      <w:r w:rsidR="00FA5B37" w:rsidRPr="00612653">
        <w:rPr>
          <w:rFonts w:ascii="Book Antiqua" w:eastAsia="Times New Roman" w:hAnsi="Book Antiqua" w:cs="Times New Roman"/>
          <w:sz w:val="24"/>
          <w:szCs w:val="24"/>
          <w:lang w:val="en-US"/>
        </w:rPr>
        <w:t>pre- vs. post-treatment liver biopsies</w:t>
      </w:r>
      <w:r w:rsidR="00F56649" w:rsidRPr="00612653">
        <w:rPr>
          <w:rFonts w:ascii="Book Antiqua" w:eastAsia="Times New Roman" w:hAnsi="Book Antiqua" w:cs="Times New Roman"/>
          <w:sz w:val="24"/>
          <w:szCs w:val="24"/>
          <w:lang w:val="en-US"/>
        </w:rPr>
        <w:t xml:space="preserve"> </w:t>
      </w:r>
      <w:r w:rsidR="001030DF" w:rsidRPr="00612653">
        <w:rPr>
          <w:rFonts w:ascii="Book Antiqua" w:eastAsia="Times New Roman" w:hAnsi="Book Antiqua" w:cs="Times New Roman"/>
          <w:sz w:val="24"/>
          <w:szCs w:val="24"/>
          <w:lang w:val="en-US"/>
        </w:rPr>
        <w:t>(</w:t>
      </w:r>
      <w:r w:rsidR="0086466F" w:rsidRPr="00612653">
        <w:rPr>
          <w:rFonts w:ascii="Book Antiqua" w:eastAsia="Times New Roman" w:hAnsi="Book Antiqua" w:cs="Times New Roman"/>
          <w:i/>
          <w:caps/>
          <w:sz w:val="24"/>
          <w:szCs w:val="24"/>
          <w:lang w:val="en-US"/>
        </w:rPr>
        <w:t>p</w:t>
      </w:r>
      <w:r w:rsidR="007C5756" w:rsidRPr="00612653">
        <w:rPr>
          <w:rFonts w:ascii="Book Antiqua" w:eastAsia="Times New Roman" w:hAnsi="Book Antiqua" w:cs="Times New Roman"/>
          <w:i/>
          <w:caps/>
          <w:sz w:val="24"/>
          <w:szCs w:val="24"/>
          <w:lang w:val="en-US" w:eastAsia="zh-CN"/>
        </w:rPr>
        <w:t xml:space="preserve"> </w:t>
      </w:r>
      <w:r w:rsidR="0086466F" w:rsidRPr="00612653">
        <w:rPr>
          <w:rFonts w:ascii="Book Antiqua" w:eastAsia="Times New Roman" w:hAnsi="Book Antiqua" w:cs="Times New Roman"/>
          <w:caps/>
          <w:sz w:val="24"/>
          <w:szCs w:val="24"/>
          <w:lang w:val="en-US"/>
        </w:rPr>
        <w:t>&lt;</w:t>
      </w:r>
      <w:r w:rsidR="007C5756" w:rsidRPr="00612653">
        <w:rPr>
          <w:rFonts w:ascii="Book Antiqua" w:eastAsia="Times New Roman" w:hAnsi="Book Antiqua" w:cs="Times New Roman"/>
          <w:i/>
          <w:caps/>
          <w:sz w:val="24"/>
          <w:szCs w:val="24"/>
          <w:lang w:val="en-US" w:eastAsia="zh-CN"/>
        </w:rPr>
        <w:t xml:space="preserve"> </w:t>
      </w:r>
      <w:r w:rsidR="0086466F" w:rsidRPr="00612653">
        <w:rPr>
          <w:rFonts w:ascii="Book Antiqua" w:eastAsia="Times New Roman" w:hAnsi="Book Antiqua" w:cs="Times New Roman"/>
          <w:sz w:val="24"/>
          <w:szCs w:val="24"/>
          <w:lang w:val="en-US"/>
        </w:rPr>
        <w:t xml:space="preserve">0.05,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E26914" w:rsidRPr="00612653">
        <w:rPr>
          <w:rFonts w:ascii="Book Antiqua" w:eastAsia="Times New Roman" w:hAnsi="Book Antiqua" w:cs="Times New Roman"/>
          <w:sz w:val="24"/>
          <w:szCs w:val="24"/>
          <w:lang w:val="en-US"/>
        </w:rPr>
        <w:t>3</w:t>
      </w:r>
      <w:r w:rsidR="00FA1E9F" w:rsidRPr="00612653">
        <w:rPr>
          <w:rFonts w:ascii="Book Antiqua" w:eastAsia="Times New Roman" w:hAnsi="Book Antiqua" w:cs="Times New Roman"/>
          <w:sz w:val="24"/>
          <w:szCs w:val="24"/>
          <w:lang w:val="en-US"/>
        </w:rPr>
        <w:t>D</w:t>
      </w:r>
      <w:r w:rsidR="0086466F" w:rsidRPr="00612653">
        <w:rPr>
          <w:rFonts w:ascii="Book Antiqua" w:eastAsia="Times New Roman" w:hAnsi="Book Antiqua" w:cs="Times New Roman"/>
          <w:sz w:val="24"/>
          <w:szCs w:val="24"/>
          <w:lang w:val="en-US"/>
        </w:rPr>
        <w:t>-F)</w:t>
      </w:r>
      <w:r w:rsidR="00A94548" w:rsidRPr="00612653">
        <w:rPr>
          <w:rFonts w:ascii="Book Antiqua" w:eastAsia="Times New Roman" w:hAnsi="Book Antiqua" w:cs="Times New Roman"/>
          <w:sz w:val="24"/>
          <w:szCs w:val="24"/>
          <w:lang w:val="en-US"/>
        </w:rPr>
        <w:t xml:space="preserve">. </w:t>
      </w:r>
      <w:r w:rsidR="00F56649" w:rsidRPr="00612653">
        <w:rPr>
          <w:rFonts w:ascii="Book Antiqua" w:eastAsia="Times New Roman" w:hAnsi="Book Antiqua" w:cs="Times New Roman"/>
          <w:sz w:val="24"/>
          <w:szCs w:val="24"/>
          <w:lang w:val="en-US"/>
        </w:rPr>
        <w:t>In contrast, t</w:t>
      </w:r>
      <w:r w:rsidR="001030DF" w:rsidRPr="00612653">
        <w:rPr>
          <w:rFonts w:ascii="Book Antiqua" w:eastAsia="Times New Roman" w:hAnsi="Book Antiqua" w:cs="Times New Roman"/>
          <w:sz w:val="24"/>
          <w:szCs w:val="24"/>
          <w:lang w:val="en-US"/>
        </w:rPr>
        <w:t>otal g</w:t>
      </w:r>
      <w:r w:rsidR="0086466F" w:rsidRPr="00612653">
        <w:rPr>
          <w:rFonts w:ascii="Book Antiqua" w:eastAsia="Times New Roman" w:hAnsi="Book Antiqua" w:cs="Times New Roman"/>
          <w:sz w:val="24"/>
          <w:szCs w:val="24"/>
          <w:lang w:val="en-US"/>
        </w:rPr>
        <w:t xml:space="preserve">alectin-3 </w:t>
      </w:r>
      <w:r w:rsidR="001030DF" w:rsidRPr="00612653">
        <w:rPr>
          <w:rFonts w:ascii="Book Antiqua" w:eastAsia="Times New Roman" w:hAnsi="Book Antiqua" w:cs="Times New Roman"/>
          <w:sz w:val="24"/>
          <w:szCs w:val="24"/>
          <w:lang w:val="en-US"/>
        </w:rPr>
        <w:t xml:space="preserve">and </w:t>
      </w:r>
      <w:r w:rsidR="00F56649" w:rsidRPr="00612653">
        <w:rPr>
          <w:rFonts w:ascii="Book Antiqua" w:eastAsia="Times New Roman" w:hAnsi="Book Antiqua" w:cs="Times New Roman"/>
          <w:sz w:val="24"/>
          <w:szCs w:val="24"/>
          <w:lang w:val="en-US"/>
        </w:rPr>
        <w:t xml:space="preserve">total </w:t>
      </w:r>
      <w:r w:rsidR="001030DF" w:rsidRPr="00612653">
        <w:rPr>
          <w:rFonts w:ascii="Book Antiqua" w:eastAsia="Times New Roman" w:hAnsi="Book Antiqua" w:cs="Times New Roman"/>
          <w:sz w:val="24"/>
          <w:szCs w:val="24"/>
          <w:lang w:val="en-US"/>
        </w:rPr>
        <w:t>Col1a1 levels were reduced</w:t>
      </w:r>
      <w:r w:rsidR="0086466F" w:rsidRPr="00612653">
        <w:rPr>
          <w:rFonts w:ascii="Book Antiqua" w:eastAsia="Times New Roman" w:hAnsi="Book Antiqua" w:cs="Times New Roman"/>
          <w:sz w:val="24"/>
          <w:szCs w:val="24"/>
          <w:lang w:val="en-US"/>
        </w:rPr>
        <w:t xml:space="preserve"> following liraglutide and OCA, but not elafibranor, treatment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86466F" w:rsidRPr="00612653">
        <w:rPr>
          <w:rFonts w:ascii="Book Antiqua" w:eastAsia="Times New Roman" w:hAnsi="Book Antiqua" w:cs="Times New Roman"/>
          <w:sz w:val="24"/>
          <w:szCs w:val="24"/>
          <w:lang w:val="en-US"/>
        </w:rPr>
        <w:t>4</w:t>
      </w:r>
      <w:r w:rsidR="00EC2EAD" w:rsidRPr="00612653">
        <w:rPr>
          <w:rFonts w:ascii="Book Antiqua" w:eastAsia="Times New Roman" w:hAnsi="Book Antiqua" w:cs="Times New Roman"/>
          <w:sz w:val="24"/>
          <w:szCs w:val="24"/>
          <w:lang w:val="en-US"/>
        </w:rPr>
        <w:t>C-F</w:t>
      </w:r>
      <w:r w:rsidR="0086466F" w:rsidRPr="00612653">
        <w:rPr>
          <w:rFonts w:ascii="Book Antiqua" w:eastAsia="Times New Roman" w:hAnsi="Book Antiqua" w:cs="Times New Roman"/>
          <w:sz w:val="24"/>
          <w:szCs w:val="24"/>
          <w:lang w:val="en-US"/>
        </w:rPr>
        <w:t>)</w:t>
      </w:r>
      <w:r w:rsidR="005402F2" w:rsidRPr="00612653">
        <w:rPr>
          <w:rFonts w:ascii="Book Antiqua" w:eastAsia="Times New Roman" w:hAnsi="Book Antiqua" w:cs="Times New Roman"/>
          <w:sz w:val="24"/>
          <w:szCs w:val="24"/>
          <w:lang w:val="en-US"/>
        </w:rPr>
        <w:t>.</w:t>
      </w:r>
      <w:r w:rsidR="006C1E05" w:rsidRPr="00612653">
        <w:rPr>
          <w:rFonts w:ascii="Book Antiqua" w:eastAsia="Times New Roman" w:hAnsi="Book Antiqua" w:cs="Times New Roman"/>
          <w:sz w:val="24"/>
          <w:szCs w:val="24"/>
          <w:lang w:val="en-US"/>
        </w:rPr>
        <w:t xml:space="preserve"> </w:t>
      </w:r>
      <w:r w:rsidR="007B0B18" w:rsidRPr="00612653">
        <w:rPr>
          <w:rFonts w:ascii="Book Antiqua" w:eastAsia="Times New Roman" w:hAnsi="Book Antiqua" w:cs="Times New Roman"/>
          <w:sz w:val="24"/>
          <w:szCs w:val="24"/>
          <w:lang w:val="en-US"/>
        </w:rPr>
        <w:t>P</w:t>
      </w:r>
      <w:r w:rsidR="008C771D" w:rsidRPr="00612653">
        <w:rPr>
          <w:rFonts w:ascii="Book Antiqua" w:eastAsia="Times New Roman" w:hAnsi="Book Antiqua" w:cs="Times New Roman"/>
          <w:sz w:val="24"/>
          <w:szCs w:val="24"/>
          <w:lang w:val="en-US"/>
        </w:rPr>
        <w:t xml:space="preserve">rincipal component analysis </w:t>
      </w:r>
      <w:r w:rsidR="008A4364" w:rsidRPr="00612653">
        <w:rPr>
          <w:rFonts w:ascii="Book Antiqua" w:eastAsia="Times New Roman" w:hAnsi="Book Antiqua" w:cs="Times New Roman"/>
          <w:sz w:val="24"/>
          <w:szCs w:val="24"/>
          <w:lang w:val="en-US"/>
        </w:rPr>
        <w:t xml:space="preserve">(PCA) </w:t>
      </w:r>
      <w:r w:rsidR="006A5BFE" w:rsidRPr="00612653">
        <w:rPr>
          <w:rFonts w:ascii="Book Antiqua" w:eastAsia="Times New Roman" w:hAnsi="Book Antiqua" w:cs="Times New Roman"/>
          <w:sz w:val="24"/>
          <w:szCs w:val="24"/>
          <w:lang w:val="en-US"/>
        </w:rPr>
        <w:t>indicated</w:t>
      </w:r>
      <w:r w:rsidR="004A316C" w:rsidRPr="00612653">
        <w:rPr>
          <w:rFonts w:ascii="Book Antiqua" w:eastAsia="Times New Roman" w:hAnsi="Book Antiqua" w:cs="Times New Roman"/>
          <w:sz w:val="24"/>
          <w:szCs w:val="24"/>
          <w:lang w:val="en-US"/>
        </w:rPr>
        <w:t xml:space="preserve"> distinct</w:t>
      </w:r>
      <w:r w:rsidR="003E2701" w:rsidRPr="00612653">
        <w:rPr>
          <w:rFonts w:ascii="Book Antiqua" w:eastAsia="Times New Roman" w:hAnsi="Book Antiqua" w:cs="Times New Roman"/>
          <w:sz w:val="24"/>
          <w:szCs w:val="24"/>
          <w:lang w:val="en-US"/>
        </w:rPr>
        <w:t xml:space="preserve"> </w:t>
      </w:r>
      <w:r w:rsidR="004A316C" w:rsidRPr="00612653">
        <w:rPr>
          <w:rFonts w:ascii="Book Antiqua" w:eastAsia="Times New Roman" w:hAnsi="Book Antiqua" w:cs="Times New Roman"/>
          <w:sz w:val="24"/>
          <w:szCs w:val="24"/>
          <w:lang w:val="en-US"/>
        </w:rPr>
        <w:t xml:space="preserve">uniform and stable </w:t>
      </w:r>
      <w:r w:rsidR="003E2701" w:rsidRPr="00612653">
        <w:rPr>
          <w:rFonts w:ascii="Book Antiqua" w:eastAsia="Times New Roman" w:hAnsi="Book Antiqua" w:cs="Times New Roman"/>
          <w:sz w:val="24"/>
          <w:szCs w:val="24"/>
          <w:lang w:val="en-US"/>
        </w:rPr>
        <w:t xml:space="preserve">gene </w:t>
      </w:r>
      <w:r w:rsidR="00360581" w:rsidRPr="00612653">
        <w:rPr>
          <w:rFonts w:ascii="Book Antiqua" w:eastAsia="Times New Roman" w:hAnsi="Book Antiqua" w:cs="Times New Roman"/>
          <w:sz w:val="24"/>
          <w:szCs w:val="24"/>
          <w:lang w:val="en-US"/>
        </w:rPr>
        <w:t>transcriptional</w:t>
      </w:r>
      <w:r w:rsidR="008F19A6" w:rsidRPr="00612653">
        <w:rPr>
          <w:rFonts w:ascii="Book Antiqua" w:eastAsia="Times New Roman" w:hAnsi="Book Antiqua" w:cs="Times New Roman"/>
          <w:sz w:val="24"/>
          <w:szCs w:val="24"/>
          <w:lang w:val="en-US"/>
        </w:rPr>
        <w:t xml:space="preserve"> response</w:t>
      </w:r>
      <w:r w:rsidR="004A316C" w:rsidRPr="00612653">
        <w:rPr>
          <w:rFonts w:ascii="Book Antiqua" w:eastAsia="Times New Roman" w:hAnsi="Book Antiqua" w:cs="Times New Roman"/>
          <w:sz w:val="24"/>
          <w:szCs w:val="24"/>
          <w:lang w:val="en-US"/>
        </w:rPr>
        <w:t>s</w:t>
      </w:r>
      <w:r w:rsidR="008F19A6" w:rsidRPr="00612653">
        <w:rPr>
          <w:rFonts w:ascii="Book Antiqua" w:eastAsia="Times New Roman" w:hAnsi="Book Antiqua" w:cs="Times New Roman"/>
          <w:sz w:val="24"/>
          <w:szCs w:val="24"/>
          <w:lang w:val="en-US"/>
        </w:rPr>
        <w:t xml:space="preserve"> </w:t>
      </w:r>
      <w:r w:rsidR="004A316C" w:rsidRPr="00612653">
        <w:rPr>
          <w:rFonts w:ascii="Book Antiqua" w:eastAsia="Times New Roman" w:hAnsi="Book Antiqua" w:cs="Times New Roman"/>
          <w:sz w:val="24"/>
          <w:szCs w:val="24"/>
          <w:lang w:val="en-US"/>
        </w:rPr>
        <w:t>in</w:t>
      </w:r>
      <w:r w:rsidR="008F19A6" w:rsidRPr="00612653">
        <w:rPr>
          <w:rFonts w:ascii="Book Antiqua" w:eastAsia="Times New Roman" w:hAnsi="Book Antiqua" w:cs="Times New Roman"/>
          <w:sz w:val="24"/>
          <w:szCs w:val="24"/>
          <w:lang w:val="en-US"/>
        </w:rPr>
        <w:t xml:space="preserve"> </w:t>
      </w:r>
      <w:r w:rsidR="004A316C" w:rsidRPr="00612653">
        <w:rPr>
          <w:rFonts w:ascii="Book Antiqua" w:eastAsia="Times New Roman" w:hAnsi="Book Antiqua" w:cs="Times New Roman"/>
          <w:sz w:val="24"/>
          <w:szCs w:val="24"/>
          <w:lang w:val="en-US"/>
        </w:rPr>
        <w:t>the</w:t>
      </w:r>
      <w:r w:rsidR="003E2701" w:rsidRPr="00612653">
        <w:rPr>
          <w:rFonts w:ascii="Book Antiqua" w:eastAsia="Times New Roman" w:hAnsi="Book Antiqua" w:cs="Times New Roman"/>
          <w:sz w:val="24"/>
          <w:szCs w:val="24"/>
          <w:lang w:val="en-US"/>
        </w:rPr>
        <w:t xml:space="preserve"> experimental group</w:t>
      </w:r>
      <w:r w:rsidR="004A316C" w:rsidRPr="00612653">
        <w:rPr>
          <w:rFonts w:ascii="Book Antiqua" w:eastAsia="Times New Roman" w:hAnsi="Book Antiqua" w:cs="Times New Roman"/>
          <w:sz w:val="24"/>
          <w:szCs w:val="24"/>
          <w:lang w:val="en-US"/>
        </w:rPr>
        <w:t>s</w:t>
      </w:r>
      <w:r w:rsidR="003E2701" w:rsidRPr="00612653">
        <w:rPr>
          <w:rFonts w:ascii="Book Antiqua" w:eastAsia="Times New Roman" w:hAnsi="Book Antiqua" w:cs="Times New Roman"/>
          <w:sz w:val="24"/>
          <w:szCs w:val="24"/>
          <w:lang w:val="en-US"/>
        </w:rPr>
        <w:t xml:space="preserve">. </w:t>
      </w:r>
      <w:r w:rsidR="006A5BFE" w:rsidRPr="00612653">
        <w:rPr>
          <w:rFonts w:ascii="Book Antiqua" w:eastAsia="Times New Roman" w:hAnsi="Book Antiqua" w:cs="Times New Roman"/>
          <w:sz w:val="24"/>
          <w:szCs w:val="24"/>
          <w:lang w:val="en-US"/>
        </w:rPr>
        <w:t>T</w:t>
      </w:r>
      <w:r w:rsidR="003E2701" w:rsidRPr="00612653">
        <w:rPr>
          <w:rFonts w:ascii="Book Antiqua" w:eastAsia="Times New Roman" w:hAnsi="Book Antiqua" w:cs="Times New Roman"/>
          <w:sz w:val="24"/>
          <w:szCs w:val="24"/>
          <w:lang w:val="en-US"/>
        </w:rPr>
        <w:t xml:space="preserve">he major </w:t>
      </w:r>
      <w:r w:rsidR="00771554" w:rsidRPr="00612653">
        <w:rPr>
          <w:rFonts w:ascii="Book Antiqua" w:eastAsia="Times New Roman" w:hAnsi="Book Antiqua" w:cs="Times New Roman"/>
          <w:sz w:val="24"/>
          <w:szCs w:val="24"/>
          <w:lang w:val="en-US"/>
        </w:rPr>
        <w:t>proportion of variance</w:t>
      </w:r>
      <w:r w:rsidR="003E2701" w:rsidRPr="00612653">
        <w:rPr>
          <w:rFonts w:ascii="Book Antiqua" w:eastAsia="Times New Roman" w:hAnsi="Book Antiqua" w:cs="Times New Roman"/>
          <w:sz w:val="24"/>
          <w:szCs w:val="24"/>
          <w:lang w:val="en-US"/>
        </w:rPr>
        <w:t xml:space="preserve"> </w:t>
      </w:r>
      <w:r w:rsidR="00222286" w:rsidRPr="00612653">
        <w:rPr>
          <w:rFonts w:ascii="Book Antiqua" w:eastAsia="Times New Roman" w:hAnsi="Book Antiqua" w:cs="Times New Roman"/>
          <w:sz w:val="24"/>
          <w:szCs w:val="24"/>
          <w:lang w:val="en-US"/>
        </w:rPr>
        <w:t xml:space="preserve">correlated with </w:t>
      </w:r>
      <w:r w:rsidR="008F19A6" w:rsidRPr="00612653">
        <w:rPr>
          <w:rFonts w:ascii="Book Antiqua" w:eastAsia="Times New Roman" w:hAnsi="Book Antiqua" w:cs="Times New Roman"/>
          <w:sz w:val="24"/>
          <w:szCs w:val="24"/>
          <w:lang w:val="en-US"/>
        </w:rPr>
        <w:t xml:space="preserve">separation of the </w:t>
      </w:r>
      <w:r w:rsidR="007B0B18" w:rsidRPr="00612653">
        <w:rPr>
          <w:rFonts w:ascii="Book Antiqua" w:eastAsia="Times New Roman" w:hAnsi="Book Antiqua" w:cs="Times New Roman"/>
          <w:sz w:val="24"/>
          <w:szCs w:val="24"/>
          <w:lang w:val="en-US"/>
        </w:rPr>
        <w:t xml:space="preserve">chow-fed </w:t>
      </w:r>
      <w:r w:rsidR="00222286" w:rsidRPr="00612653">
        <w:rPr>
          <w:rFonts w:ascii="Book Antiqua" w:eastAsia="Times New Roman" w:hAnsi="Book Antiqua" w:cs="Times New Roman"/>
          <w:sz w:val="24"/>
          <w:szCs w:val="24"/>
          <w:lang w:val="en-US"/>
        </w:rPr>
        <w:t xml:space="preserve">‘(lean’) </w:t>
      </w:r>
      <w:r w:rsidR="008F19A6" w:rsidRPr="00612653">
        <w:rPr>
          <w:rFonts w:ascii="Book Antiqua" w:eastAsia="Times New Roman" w:hAnsi="Book Antiqua" w:cs="Times New Roman"/>
          <w:sz w:val="24"/>
          <w:szCs w:val="24"/>
          <w:lang w:val="en-US"/>
        </w:rPr>
        <w:t>and</w:t>
      </w:r>
      <w:r w:rsidR="007B0B18" w:rsidRPr="00612653">
        <w:rPr>
          <w:rFonts w:ascii="Book Antiqua" w:eastAsia="Times New Roman" w:hAnsi="Book Antiqua" w:cs="Times New Roman"/>
          <w:sz w:val="24"/>
          <w:szCs w:val="24"/>
          <w:lang w:val="en-US"/>
        </w:rPr>
        <w:t xml:space="preserve"> DIO-NASH </w:t>
      </w:r>
      <w:r w:rsidR="00771554" w:rsidRPr="00612653">
        <w:rPr>
          <w:rFonts w:ascii="Book Antiqua" w:eastAsia="Times New Roman" w:hAnsi="Book Antiqua" w:cs="Times New Roman"/>
          <w:sz w:val="24"/>
          <w:szCs w:val="24"/>
          <w:lang w:val="en-US"/>
        </w:rPr>
        <w:t>control</w:t>
      </w:r>
      <w:r w:rsidR="00222286" w:rsidRPr="00612653">
        <w:rPr>
          <w:rFonts w:ascii="Book Antiqua" w:eastAsia="Times New Roman" w:hAnsi="Book Antiqua" w:cs="Times New Roman"/>
          <w:sz w:val="24"/>
          <w:szCs w:val="24"/>
          <w:lang w:val="en-US"/>
        </w:rPr>
        <w:t>s</w:t>
      </w:r>
      <w:r w:rsidR="005873D7" w:rsidRPr="00612653">
        <w:rPr>
          <w:rFonts w:ascii="Book Antiqua" w:eastAsia="Times New Roman" w:hAnsi="Book Antiqua" w:cs="Times New Roman"/>
          <w:sz w:val="24"/>
          <w:szCs w:val="24"/>
          <w:lang w:val="en-US"/>
        </w:rPr>
        <w:t xml:space="preserve">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5873D7" w:rsidRPr="00612653">
        <w:rPr>
          <w:rFonts w:ascii="Book Antiqua" w:eastAsia="Times New Roman" w:hAnsi="Book Antiqua" w:cs="Times New Roman"/>
          <w:sz w:val="24"/>
          <w:szCs w:val="24"/>
          <w:lang w:val="en-US"/>
        </w:rPr>
        <w:t xml:space="preserve"> 5</w:t>
      </w:r>
      <w:r w:rsidR="007B0B18" w:rsidRPr="00612653">
        <w:rPr>
          <w:rFonts w:ascii="Book Antiqua" w:eastAsia="Times New Roman" w:hAnsi="Book Antiqua" w:cs="Times New Roman"/>
          <w:sz w:val="24"/>
          <w:szCs w:val="24"/>
          <w:lang w:val="en-US"/>
        </w:rPr>
        <w:t>A)</w:t>
      </w:r>
      <w:r w:rsidR="00174BB8" w:rsidRPr="00612653">
        <w:rPr>
          <w:rFonts w:ascii="Book Antiqua" w:eastAsia="Times New Roman" w:hAnsi="Book Antiqua" w:cs="Times New Roman"/>
          <w:sz w:val="24"/>
          <w:szCs w:val="24"/>
          <w:lang w:val="en-US"/>
        </w:rPr>
        <w:t xml:space="preserve">. </w:t>
      </w:r>
      <w:r w:rsidR="008A4364" w:rsidRPr="00612653">
        <w:rPr>
          <w:rFonts w:ascii="Book Antiqua" w:eastAsia="Times New Roman" w:hAnsi="Book Antiqua" w:cs="Times New Roman"/>
          <w:sz w:val="24"/>
          <w:szCs w:val="24"/>
          <w:lang w:val="en-US"/>
        </w:rPr>
        <w:t xml:space="preserve">PCA on </w:t>
      </w:r>
      <w:r w:rsidR="006418E4" w:rsidRPr="00612653">
        <w:rPr>
          <w:rFonts w:ascii="Book Antiqua" w:eastAsia="Times New Roman" w:hAnsi="Book Antiqua" w:cs="Times New Roman"/>
          <w:sz w:val="24"/>
          <w:szCs w:val="24"/>
          <w:lang w:val="en-US"/>
        </w:rPr>
        <w:t>t</w:t>
      </w:r>
      <w:r w:rsidR="008E0599" w:rsidRPr="00612653">
        <w:rPr>
          <w:rFonts w:ascii="Book Antiqua" w:eastAsia="Times New Roman" w:hAnsi="Book Antiqua" w:cs="Times New Roman"/>
          <w:sz w:val="24"/>
          <w:szCs w:val="24"/>
          <w:lang w:val="en-US"/>
        </w:rPr>
        <w:t xml:space="preserve">he minor proportion of variance </w:t>
      </w:r>
      <w:r w:rsidR="006418E4" w:rsidRPr="00612653">
        <w:rPr>
          <w:rFonts w:ascii="Book Antiqua" w:eastAsia="Times New Roman" w:hAnsi="Book Antiqua" w:cs="Times New Roman"/>
          <w:sz w:val="24"/>
          <w:szCs w:val="24"/>
          <w:lang w:val="en-US"/>
        </w:rPr>
        <w:t>yielded</w:t>
      </w:r>
      <w:r w:rsidR="008E0599" w:rsidRPr="00612653">
        <w:rPr>
          <w:rFonts w:ascii="Book Antiqua" w:eastAsia="Times New Roman" w:hAnsi="Book Antiqua" w:cs="Times New Roman"/>
          <w:sz w:val="24"/>
          <w:szCs w:val="24"/>
          <w:lang w:val="en-US"/>
        </w:rPr>
        <w:t xml:space="preserve"> a </w:t>
      </w:r>
      <w:r w:rsidR="006418E4" w:rsidRPr="00612653">
        <w:rPr>
          <w:rFonts w:ascii="Book Antiqua" w:eastAsia="Times New Roman" w:hAnsi="Book Antiqua" w:cs="Times New Roman"/>
          <w:sz w:val="24"/>
          <w:szCs w:val="24"/>
          <w:lang w:val="en-US"/>
        </w:rPr>
        <w:t xml:space="preserve">more </w:t>
      </w:r>
      <w:r w:rsidR="008E0599" w:rsidRPr="00612653">
        <w:rPr>
          <w:rFonts w:ascii="Book Antiqua" w:eastAsia="Times New Roman" w:hAnsi="Book Antiqua" w:cs="Times New Roman"/>
          <w:sz w:val="24"/>
          <w:szCs w:val="24"/>
          <w:lang w:val="en-US"/>
        </w:rPr>
        <w:t>mixed profil</w:t>
      </w:r>
      <w:r w:rsidR="008A4364" w:rsidRPr="00612653">
        <w:rPr>
          <w:rFonts w:ascii="Book Antiqua" w:eastAsia="Times New Roman" w:hAnsi="Book Antiqua" w:cs="Times New Roman"/>
          <w:sz w:val="24"/>
          <w:szCs w:val="24"/>
          <w:lang w:val="en-US"/>
        </w:rPr>
        <w:t xml:space="preserve">e with </w:t>
      </w:r>
      <w:r w:rsidR="00222286" w:rsidRPr="00612653">
        <w:rPr>
          <w:rFonts w:ascii="Book Antiqua" w:eastAsia="Times New Roman" w:hAnsi="Book Antiqua" w:cs="Times New Roman"/>
          <w:sz w:val="24"/>
          <w:szCs w:val="24"/>
          <w:lang w:val="en-US"/>
        </w:rPr>
        <w:t>partial</w:t>
      </w:r>
      <w:r w:rsidR="006A5BFE" w:rsidRPr="00612653">
        <w:rPr>
          <w:rFonts w:ascii="Book Antiqua" w:eastAsia="Times New Roman" w:hAnsi="Book Antiqua" w:cs="Times New Roman"/>
          <w:sz w:val="24"/>
          <w:szCs w:val="24"/>
          <w:lang w:val="en-US"/>
        </w:rPr>
        <w:t xml:space="preserve"> </w:t>
      </w:r>
      <w:r w:rsidR="000023AB" w:rsidRPr="00612653">
        <w:rPr>
          <w:rFonts w:ascii="Book Antiqua" w:eastAsia="Times New Roman" w:hAnsi="Book Antiqua" w:cs="Times New Roman"/>
          <w:sz w:val="24"/>
          <w:szCs w:val="24"/>
          <w:lang w:val="en-US"/>
        </w:rPr>
        <w:t>separat</w:t>
      </w:r>
      <w:r w:rsidR="008A4364" w:rsidRPr="00612653">
        <w:rPr>
          <w:rFonts w:ascii="Book Antiqua" w:eastAsia="Times New Roman" w:hAnsi="Book Antiqua" w:cs="Times New Roman"/>
          <w:sz w:val="24"/>
          <w:szCs w:val="24"/>
          <w:lang w:val="en-US"/>
        </w:rPr>
        <w:t>ion</w:t>
      </w:r>
      <w:r w:rsidR="00222286" w:rsidRPr="00612653">
        <w:rPr>
          <w:rFonts w:ascii="Book Antiqua" w:eastAsia="Times New Roman" w:hAnsi="Book Antiqua" w:cs="Times New Roman"/>
          <w:sz w:val="24"/>
          <w:szCs w:val="24"/>
          <w:lang w:val="en-US"/>
        </w:rPr>
        <w:t xml:space="preserve"> of </w:t>
      </w:r>
      <w:r w:rsidR="000023AB" w:rsidRPr="00612653">
        <w:rPr>
          <w:rFonts w:ascii="Book Antiqua" w:eastAsia="Times New Roman" w:hAnsi="Book Antiqua" w:cs="Times New Roman"/>
          <w:sz w:val="24"/>
          <w:szCs w:val="24"/>
          <w:lang w:val="en-US"/>
        </w:rPr>
        <w:t>l</w:t>
      </w:r>
      <w:r w:rsidR="008F19A6" w:rsidRPr="00612653">
        <w:rPr>
          <w:rFonts w:ascii="Book Antiqua" w:eastAsia="Times New Roman" w:hAnsi="Book Antiqua" w:cs="Times New Roman"/>
          <w:sz w:val="24"/>
          <w:szCs w:val="24"/>
          <w:lang w:val="en-US"/>
        </w:rPr>
        <w:t xml:space="preserve">iraglutide </w:t>
      </w:r>
      <w:r w:rsidR="00222286" w:rsidRPr="00612653">
        <w:rPr>
          <w:rFonts w:ascii="Book Antiqua" w:eastAsia="Times New Roman" w:hAnsi="Book Antiqua" w:cs="Times New Roman"/>
          <w:sz w:val="24"/>
          <w:szCs w:val="24"/>
          <w:lang w:val="en-US"/>
        </w:rPr>
        <w:t>and</w:t>
      </w:r>
      <w:r w:rsidR="008F19A6" w:rsidRPr="00612653">
        <w:rPr>
          <w:rFonts w:ascii="Book Antiqua" w:eastAsia="Times New Roman" w:hAnsi="Book Antiqua" w:cs="Times New Roman"/>
          <w:sz w:val="24"/>
          <w:szCs w:val="24"/>
          <w:lang w:val="en-US"/>
        </w:rPr>
        <w:t xml:space="preserve"> OCA</w:t>
      </w:r>
      <w:r w:rsidR="008A4364" w:rsidRPr="00612653">
        <w:rPr>
          <w:rFonts w:ascii="Book Antiqua" w:eastAsia="Times New Roman" w:hAnsi="Book Antiqua" w:cs="Times New Roman"/>
          <w:sz w:val="24"/>
          <w:szCs w:val="24"/>
          <w:lang w:val="en-US"/>
        </w:rPr>
        <w:t xml:space="preserve"> effects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8A4364" w:rsidRPr="00612653">
        <w:rPr>
          <w:rFonts w:ascii="Book Antiqua" w:eastAsia="Times New Roman" w:hAnsi="Book Antiqua" w:cs="Times New Roman"/>
          <w:sz w:val="24"/>
          <w:szCs w:val="24"/>
          <w:lang w:val="en-US"/>
        </w:rPr>
        <w:t>5B)</w:t>
      </w:r>
      <w:r w:rsidR="000023AB" w:rsidRPr="00612653">
        <w:rPr>
          <w:rFonts w:ascii="Book Antiqua" w:eastAsia="Times New Roman" w:hAnsi="Book Antiqua" w:cs="Times New Roman"/>
          <w:sz w:val="24"/>
          <w:szCs w:val="24"/>
          <w:lang w:val="en-US"/>
        </w:rPr>
        <w:t xml:space="preserve">. </w:t>
      </w:r>
      <w:r w:rsidR="00BA0070" w:rsidRPr="00612653">
        <w:rPr>
          <w:rFonts w:ascii="Book Antiqua" w:eastAsia="Times New Roman" w:hAnsi="Book Antiqua" w:cs="Times New Roman"/>
          <w:sz w:val="24"/>
          <w:szCs w:val="24"/>
          <w:lang w:val="en-US"/>
        </w:rPr>
        <w:t>Overall</w:t>
      </w:r>
      <w:r w:rsidR="000023AB" w:rsidRPr="00612653">
        <w:rPr>
          <w:rFonts w:ascii="Book Antiqua" w:eastAsia="Times New Roman" w:hAnsi="Book Antiqua" w:cs="Times New Roman"/>
          <w:sz w:val="24"/>
          <w:szCs w:val="24"/>
          <w:lang w:val="en-US"/>
        </w:rPr>
        <w:t xml:space="preserve">, </w:t>
      </w:r>
      <w:r w:rsidR="009F1525" w:rsidRPr="00612653">
        <w:rPr>
          <w:rFonts w:ascii="Book Antiqua" w:eastAsia="Times New Roman" w:hAnsi="Book Antiqua" w:cs="Times New Roman"/>
          <w:sz w:val="24"/>
          <w:szCs w:val="24"/>
          <w:lang w:val="en-US"/>
        </w:rPr>
        <w:t xml:space="preserve">liraglutide and OCA treatment </w:t>
      </w:r>
      <w:r w:rsidR="00222286" w:rsidRPr="00612653">
        <w:rPr>
          <w:rFonts w:ascii="Book Antiqua" w:eastAsia="Times New Roman" w:hAnsi="Book Antiqua" w:cs="Times New Roman"/>
          <w:sz w:val="24"/>
          <w:szCs w:val="24"/>
          <w:lang w:val="en-US"/>
        </w:rPr>
        <w:t>resulted in</w:t>
      </w:r>
      <w:r w:rsidR="00320F9E" w:rsidRPr="00612653">
        <w:rPr>
          <w:rFonts w:ascii="Book Antiqua" w:eastAsia="Times New Roman" w:hAnsi="Book Antiqua" w:cs="Times New Roman"/>
          <w:sz w:val="24"/>
          <w:szCs w:val="24"/>
          <w:lang w:val="en-US"/>
        </w:rPr>
        <w:t xml:space="preserve"> </w:t>
      </w:r>
      <w:r w:rsidR="009F1525" w:rsidRPr="00612653">
        <w:rPr>
          <w:rFonts w:ascii="Book Antiqua" w:eastAsia="Times New Roman" w:hAnsi="Book Antiqua" w:cs="Times New Roman"/>
          <w:sz w:val="24"/>
          <w:szCs w:val="24"/>
          <w:lang w:val="en-US"/>
        </w:rPr>
        <w:t xml:space="preserve">transcriptome </w:t>
      </w:r>
      <w:r w:rsidR="00320F9E" w:rsidRPr="00612653">
        <w:rPr>
          <w:rFonts w:ascii="Book Antiqua" w:eastAsia="Times New Roman" w:hAnsi="Book Antiqua" w:cs="Times New Roman"/>
          <w:sz w:val="24"/>
          <w:szCs w:val="24"/>
          <w:lang w:val="en-US"/>
        </w:rPr>
        <w:t>signature</w:t>
      </w:r>
      <w:r w:rsidR="00222286" w:rsidRPr="00612653">
        <w:rPr>
          <w:rFonts w:ascii="Book Antiqua" w:eastAsia="Times New Roman" w:hAnsi="Book Antiqua" w:cs="Times New Roman"/>
          <w:sz w:val="24"/>
          <w:szCs w:val="24"/>
          <w:lang w:val="en-US"/>
        </w:rPr>
        <w:t>s</w:t>
      </w:r>
      <w:r w:rsidR="00320F9E" w:rsidRPr="00612653">
        <w:rPr>
          <w:rFonts w:ascii="Book Antiqua" w:eastAsia="Times New Roman" w:hAnsi="Book Antiqua" w:cs="Times New Roman"/>
          <w:sz w:val="24"/>
          <w:szCs w:val="24"/>
          <w:lang w:val="en-US"/>
        </w:rPr>
        <w:t xml:space="preserve"> partially </w:t>
      </w:r>
      <w:r w:rsidR="009F1525" w:rsidRPr="00612653">
        <w:rPr>
          <w:rFonts w:ascii="Book Antiqua" w:eastAsia="Times New Roman" w:hAnsi="Book Antiqua" w:cs="Times New Roman"/>
          <w:sz w:val="24"/>
          <w:szCs w:val="24"/>
          <w:lang w:val="en-US"/>
        </w:rPr>
        <w:t>resembl</w:t>
      </w:r>
      <w:r w:rsidR="00320F9E" w:rsidRPr="00612653">
        <w:rPr>
          <w:rFonts w:ascii="Book Antiqua" w:eastAsia="Times New Roman" w:hAnsi="Book Antiqua" w:cs="Times New Roman"/>
          <w:sz w:val="24"/>
          <w:szCs w:val="24"/>
          <w:lang w:val="en-US"/>
        </w:rPr>
        <w:t xml:space="preserve">ing </w:t>
      </w:r>
      <w:r w:rsidR="00222286" w:rsidRPr="00612653">
        <w:rPr>
          <w:rFonts w:ascii="Book Antiqua" w:eastAsia="Times New Roman" w:hAnsi="Book Antiqua" w:cs="Times New Roman"/>
          <w:sz w:val="24"/>
          <w:szCs w:val="24"/>
          <w:lang w:val="en-US"/>
        </w:rPr>
        <w:t>the lean control signature</w:t>
      </w:r>
      <w:r w:rsidR="00320F9E" w:rsidRPr="00612653">
        <w:rPr>
          <w:rFonts w:ascii="Book Antiqua" w:eastAsia="Times New Roman" w:hAnsi="Book Antiqua" w:cs="Times New Roman"/>
          <w:sz w:val="24"/>
          <w:szCs w:val="24"/>
          <w:lang w:val="en-US"/>
        </w:rPr>
        <w:t>.</w:t>
      </w:r>
      <w:r w:rsidR="00557F87" w:rsidRPr="00612653">
        <w:rPr>
          <w:rFonts w:ascii="Book Antiqua" w:eastAsia="Times New Roman" w:hAnsi="Book Antiqua" w:cs="Times New Roman"/>
          <w:sz w:val="24"/>
          <w:szCs w:val="24"/>
          <w:lang w:val="en-US"/>
        </w:rPr>
        <w:t xml:space="preserve"> </w:t>
      </w:r>
      <w:r w:rsidR="00B676B8" w:rsidRPr="00612653">
        <w:rPr>
          <w:rFonts w:ascii="Book Antiqua" w:eastAsia="Times New Roman" w:hAnsi="Book Antiqua" w:cs="Times New Roman"/>
          <w:sz w:val="24"/>
          <w:szCs w:val="24"/>
          <w:lang w:val="en-US"/>
        </w:rPr>
        <w:t>Transcriptome changes also markedly overlapped between drug treatment groups</w:t>
      </w:r>
      <w:r w:rsidR="004C4A42" w:rsidRPr="00612653">
        <w:rPr>
          <w:rFonts w:ascii="Book Antiqua" w:eastAsia="Times New Roman" w:hAnsi="Book Antiqua" w:cs="Times New Roman"/>
          <w:sz w:val="24"/>
          <w:szCs w:val="24"/>
          <w:lang w:val="en-US"/>
        </w:rPr>
        <w:t>. Notably, e</w:t>
      </w:r>
      <w:r w:rsidR="00557F87" w:rsidRPr="00612653">
        <w:rPr>
          <w:rFonts w:ascii="Book Antiqua" w:eastAsia="Times New Roman" w:hAnsi="Book Antiqua" w:cs="Times New Roman"/>
          <w:sz w:val="24"/>
          <w:szCs w:val="24"/>
          <w:lang w:val="en-US"/>
        </w:rPr>
        <w:t>lafibranor induced</w:t>
      </w:r>
      <w:r w:rsidR="00BA30CF" w:rsidRPr="00612653">
        <w:rPr>
          <w:rFonts w:ascii="Book Antiqua" w:eastAsia="Times New Roman" w:hAnsi="Book Antiqua" w:cs="Times New Roman"/>
          <w:sz w:val="24"/>
          <w:szCs w:val="24"/>
          <w:lang w:val="en-US"/>
        </w:rPr>
        <w:t xml:space="preserve"> the highest number of differentially expressed genes and evoked</w:t>
      </w:r>
      <w:r w:rsidR="00557F87" w:rsidRPr="00612653">
        <w:rPr>
          <w:rFonts w:ascii="Book Antiqua" w:eastAsia="Times New Roman" w:hAnsi="Book Antiqua" w:cs="Times New Roman"/>
          <w:sz w:val="24"/>
          <w:szCs w:val="24"/>
          <w:lang w:val="en-US"/>
        </w:rPr>
        <w:t xml:space="preserve"> transcriptome modifications distinct from all other experimental groups</w:t>
      </w:r>
      <w:r w:rsidR="008A4364" w:rsidRPr="00612653">
        <w:rPr>
          <w:rFonts w:ascii="Book Antiqua" w:eastAsia="Times New Roman" w:hAnsi="Book Antiqua" w:cs="Times New Roman"/>
          <w:sz w:val="24"/>
          <w:szCs w:val="24"/>
          <w:lang w:val="en-US"/>
        </w:rPr>
        <w:t xml:space="preserve"> </w:t>
      </w:r>
      <w:r w:rsidR="00A138B4" w:rsidRPr="00612653">
        <w:rPr>
          <w:rFonts w:ascii="Book Antiqua" w:eastAsia="Times New Roman" w:hAnsi="Book Antiqua" w:cs="Times New Roman"/>
          <w:sz w:val="24"/>
          <w:szCs w:val="24"/>
          <w:lang w:val="en-US"/>
        </w:rPr>
        <w:t>(</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A138B4" w:rsidRPr="00612653">
        <w:rPr>
          <w:rFonts w:ascii="Book Antiqua" w:eastAsia="Times New Roman" w:hAnsi="Book Antiqua" w:cs="Times New Roman"/>
          <w:sz w:val="24"/>
          <w:szCs w:val="24"/>
          <w:lang w:val="en-US"/>
        </w:rPr>
        <w:t>5A</w:t>
      </w:r>
      <w:r w:rsidR="007C5756" w:rsidRPr="00612653">
        <w:rPr>
          <w:rFonts w:ascii="Book Antiqua" w:eastAsia="Times New Roman" w:hAnsi="Book Antiqua" w:cs="Times New Roman"/>
          <w:sz w:val="24"/>
          <w:szCs w:val="24"/>
          <w:lang w:val="en-US" w:eastAsia="zh-CN"/>
        </w:rPr>
        <w:t xml:space="preserve"> and </w:t>
      </w:r>
      <w:r w:rsidR="00A138B4" w:rsidRPr="00612653">
        <w:rPr>
          <w:rFonts w:ascii="Book Antiqua" w:eastAsia="Times New Roman" w:hAnsi="Book Antiqua" w:cs="Times New Roman"/>
          <w:sz w:val="24"/>
          <w:szCs w:val="24"/>
          <w:lang w:val="en-US"/>
        </w:rPr>
        <w:t>C)</w:t>
      </w:r>
      <w:r w:rsidR="00BA0070" w:rsidRPr="00612653">
        <w:rPr>
          <w:rFonts w:ascii="Book Antiqua" w:eastAsia="Times New Roman" w:hAnsi="Book Antiqua" w:cs="Times New Roman"/>
          <w:sz w:val="24"/>
          <w:szCs w:val="24"/>
          <w:lang w:val="en-US"/>
        </w:rPr>
        <w:t>.</w:t>
      </w:r>
      <w:r w:rsidR="005873D7" w:rsidRPr="00612653">
        <w:rPr>
          <w:rFonts w:ascii="Book Antiqua" w:eastAsia="Times New Roman" w:hAnsi="Book Antiqua" w:cs="Times New Roman"/>
          <w:sz w:val="24"/>
          <w:szCs w:val="24"/>
          <w:lang w:val="en-US"/>
        </w:rPr>
        <w:t xml:space="preserve"> </w:t>
      </w:r>
      <w:r w:rsidR="00B84B30" w:rsidRPr="00612653">
        <w:rPr>
          <w:rFonts w:ascii="Book Antiqua" w:eastAsia="Times New Roman" w:hAnsi="Book Antiqua" w:cs="Times New Roman"/>
          <w:sz w:val="24"/>
          <w:szCs w:val="24"/>
          <w:lang w:val="en-US"/>
        </w:rPr>
        <w:t>Liraglutide</w:t>
      </w:r>
      <w:r w:rsidR="008A4364" w:rsidRPr="00612653">
        <w:rPr>
          <w:rFonts w:ascii="Book Antiqua" w:eastAsia="Times New Roman" w:hAnsi="Book Antiqua" w:cs="Times New Roman"/>
          <w:sz w:val="24"/>
          <w:szCs w:val="24"/>
          <w:lang w:val="en-US"/>
        </w:rPr>
        <w:t xml:space="preserve"> </w:t>
      </w:r>
      <w:r w:rsidR="00B84B30" w:rsidRPr="00612653">
        <w:rPr>
          <w:rFonts w:ascii="Book Antiqua" w:eastAsia="Times New Roman" w:hAnsi="Book Antiqua" w:cs="Times New Roman"/>
          <w:sz w:val="24"/>
          <w:szCs w:val="24"/>
          <w:lang w:val="en-US"/>
        </w:rPr>
        <w:t>induced</w:t>
      </w:r>
      <w:r w:rsidR="00052B87" w:rsidRPr="00612653">
        <w:rPr>
          <w:rFonts w:ascii="Book Antiqua" w:eastAsia="Times New Roman" w:hAnsi="Book Antiqua" w:cs="Times New Roman"/>
          <w:sz w:val="24"/>
          <w:szCs w:val="24"/>
          <w:lang w:val="en-US"/>
        </w:rPr>
        <w:t xml:space="preserve"> </w:t>
      </w:r>
      <w:r w:rsidR="008A4364" w:rsidRPr="00612653">
        <w:rPr>
          <w:rFonts w:ascii="Book Antiqua" w:eastAsia="Times New Roman" w:hAnsi="Book Antiqua" w:cs="Times New Roman"/>
          <w:sz w:val="24"/>
          <w:szCs w:val="24"/>
          <w:lang w:val="en-US"/>
        </w:rPr>
        <w:t>conspicuous</w:t>
      </w:r>
      <w:r w:rsidR="00052B87" w:rsidRPr="00612653">
        <w:rPr>
          <w:rFonts w:ascii="Book Antiqua" w:eastAsia="Times New Roman" w:hAnsi="Book Antiqua" w:cs="Times New Roman"/>
          <w:sz w:val="24"/>
          <w:szCs w:val="24"/>
          <w:lang w:val="en-US"/>
        </w:rPr>
        <w:t xml:space="preserve"> </w:t>
      </w:r>
      <w:r w:rsidR="008A4364" w:rsidRPr="00612653">
        <w:rPr>
          <w:rFonts w:ascii="Book Antiqua" w:eastAsia="Times New Roman" w:hAnsi="Book Antiqua" w:cs="Times New Roman"/>
          <w:sz w:val="24"/>
          <w:szCs w:val="24"/>
          <w:lang w:val="en-US"/>
        </w:rPr>
        <w:t>changes in</w:t>
      </w:r>
      <w:r w:rsidR="00052B87" w:rsidRPr="00612653">
        <w:rPr>
          <w:rFonts w:ascii="Book Antiqua" w:eastAsia="Times New Roman" w:hAnsi="Book Antiqua" w:cs="Times New Roman"/>
          <w:sz w:val="24"/>
          <w:szCs w:val="24"/>
          <w:lang w:val="en-US"/>
        </w:rPr>
        <w:t xml:space="preserve"> </w:t>
      </w:r>
      <w:r w:rsidR="007E085E" w:rsidRPr="00612653">
        <w:rPr>
          <w:rFonts w:ascii="Book Antiqua" w:eastAsia="Times New Roman" w:hAnsi="Book Antiqua" w:cs="Times New Roman"/>
          <w:sz w:val="24"/>
          <w:szCs w:val="24"/>
          <w:lang w:val="en-US"/>
        </w:rPr>
        <w:t xml:space="preserve">transcriptional </w:t>
      </w:r>
      <w:r w:rsidR="00B84B30" w:rsidRPr="00612653">
        <w:rPr>
          <w:rFonts w:ascii="Book Antiqua" w:eastAsia="Times New Roman" w:hAnsi="Book Antiqua" w:cs="Times New Roman"/>
          <w:sz w:val="24"/>
          <w:szCs w:val="24"/>
          <w:lang w:val="en-US"/>
        </w:rPr>
        <w:t xml:space="preserve">pathways associated </w:t>
      </w:r>
      <w:r w:rsidR="00815540" w:rsidRPr="00612653">
        <w:rPr>
          <w:rFonts w:ascii="Book Antiqua" w:eastAsia="Times New Roman" w:hAnsi="Book Antiqua" w:cs="Times New Roman"/>
          <w:sz w:val="24"/>
          <w:szCs w:val="24"/>
          <w:lang w:val="en-US"/>
        </w:rPr>
        <w:t>with</w:t>
      </w:r>
      <w:r w:rsidR="008713A5" w:rsidRPr="00612653">
        <w:rPr>
          <w:rFonts w:ascii="Book Antiqua" w:eastAsia="Times New Roman" w:hAnsi="Book Antiqua" w:cs="Times New Roman"/>
          <w:sz w:val="24"/>
          <w:szCs w:val="24"/>
          <w:lang w:val="en-US"/>
        </w:rPr>
        <w:t xml:space="preserve"> </w:t>
      </w:r>
      <w:r w:rsidR="00815540" w:rsidRPr="00612653">
        <w:rPr>
          <w:rFonts w:ascii="Book Antiqua" w:eastAsia="Times New Roman" w:hAnsi="Book Antiqua" w:cs="Times New Roman"/>
          <w:sz w:val="24"/>
          <w:szCs w:val="24"/>
          <w:lang w:val="en-US"/>
        </w:rPr>
        <w:t>glucose metabolism</w:t>
      </w:r>
      <w:r w:rsidR="00052B87" w:rsidRPr="00612653">
        <w:rPr>
          <w:rFonts w:ascii="Book Antiqua" w:eastAsia="Times New Roman" w:hAnsi="Book Antiqua" w:cs="Times New Roman"/>
          <w:sz w:val="24"/>
          <w:szCs w:val="24"/>
          <w:lang w:val="en-US"/>
        </w:rPr>
        <w:t xml:space="preserve">, </w:t>
      </w:r>
      <w:r w:rsidR="00A138B4" w:rsidRPr="00612653">
        <w:rPr>
          <w:rFonts w:ascii="Book Antiqua" w:eastAsia="Times New Roman" w:hAnsi="Book Antiqua" w:cs="Times New Roman"/>
          <w:sz w:val="24"/>
          <w:szCs w:val="24"/>
          <w:lang w:val="en-US"/>
        </w:rPr>
        <w:t>but</w:t>
      </w:r>
      <w:r w:rsidR="00B16228" w:rsidRPr="00612653">
        <w:rPr>
          <w:rFonts w:ascii="Book Antiqua" w:eastAsia="Times New Roman" w:hAnsi="Book Antiqua" w:cs="Times New Roman"/>
          <w:sz w:val="24"/>
          <w:szCs w:val="24"/>
          <w:lang w:val="en-US"/>
        </w:rPr>
        <w:t xml:space="preserve"> had virtually no </w:t>
      </w:r>
      <w:r w:rsidR="00815540" w:rsidRPr="00612653">
        <w:rPr>
          <w:rFonts w:ascii="Book Antiqua" w:eastAsia="Times New Roman" w:hAnsi="Book Antiqua" w:cs="Times New Roman"/>
          <w:sz w:val="24"/>
          <w:szCs w:val="24"/>
          <w:lang w:val="en-US"/>
        </w:rPr>
        <w:t>impact</w:t>
      </w:r>
      <w:r w:rsidR="00B16228" w:rsidRPr="00612653">
        <w:rPr>
          <w:rFonts w:ascii="Book Antiqua" w:eastAsia="Times New Roman" w:hAnsi="Book Antiqua" w:cs="Times New Roman"/>
          <w:sz w:val="24"/>
          <w:szCs w:val="24"/>
          <w:lang w:val="en-US"/>
        </w:rPr>
        <w:t xml:space="preserve"> on</w:t>
      </w:r>
      <w:r w:rsidR="00052B87" w:rsidRPr="00612653">
        <w:rPr>
          <w:rFonts w:ascii="Book Antiqua" w:eastAsia="Times New Roman" w:hAnsi="Book Antiqua" w:cs="Times New Roman"/>
          <w:sz w:val="24"/>
          <w:szCs w:val="24"/>
          <w:lang w:val="en-US"/>
        </w:rPr>
        <w:t xml:space="preserve"> </w:t>
      </w:r>
      <w:r w:rsidR="00815540" w:rsidRPr="00612653">
        <w:rPr>
          <w:rFonts w:ascii="Book Antiqua" w:eastAsia="Times New Roman" w:hAnsi="Book Antiqua" w:cs="Times New Roman"/>
          <w:sz w:val="24"/>
          <w:szCs w:val="24"/>
          <w:lang w:val="en-US"/>
        </w:rPr>
        <w:t xml:space="preserve">gene groupings representing other </w:t>
      </w:r>
      <w:r w:rsidR="00D7775D" w:rsidRPr="00612653">
        <w:rPr>
          <w:rFonts w:ascii="Book Antiqua" w:eastAsia="Times New Roman" w:hAnsi="Book Antiqua" w:cs="Times New Roman"/>
          <w:sz w:val="24"/>
          <w:szCs w:val="24"/>
          <w:lang w:val="en-US"/>
        </w:rPr>
        <w:t xml:space="preserve">liver </w:t>
      </w:r>
      <w:r w:rsidR="00052B87" w:rsidRPr="00612653">
        <w:rPr>
          <w:rFonts w:ascii="Book Antiqua" w:eastAsia="Times New Roman" w:hAnsi="Book Antiqua" w:cs="Times New Roman"/>
          <w:sz w:val="24"/>
          <w:szCs w:val="24"/>
          <w:lang w:val="en-US"/>
        </w:rPr>
        <w:t>metabolic pathways</w:t>
      </w:r>
      <w:r w:rsidR="00815540" w:rsidRPr="00612653">
        <w:rPr>
          <w:rFonts w:ascii="Book Antiqua" w:eastAsia="Times New Roman" w:hAnsi="Book Antiqua" w:cs="Times New Roman"/>
          <w:sz w:val="24"/>
          <w:szCs w:val="24"/>
          <w:lang w:val="en-US"/>
        </w:rPr>
        <w:t xml:space="preserve">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815540" w:rsidRPr="00612653">
        <w:rPr>
          <w:rFonts w:ascii="Book Antiqua" w:eastAsia="Times New Roman" w:hAnsi="Book Antiqua" w:cs="Times New Roman"/>
          <w:sz w:val="24"/>
          <w:szCs w:val="24"/>
          <w:lang w:val="en-US"/>
        </w:rPr>
        <w:t xml:space="preserve"> 5D)</w:t>
      </w:r>
      <w:r w:rsidR="00D7775D" w:rsidRPr="00612653">
        <w:rPr>
          <w:rFonts w:ascii="Book Antiqua" w:eastAsia="Times New Roman" w:hAnsi="Book Antiqua" w:cs="Times New Roman"/>
          <w:sz w:val="24"/>
          <w:szCs w:val="24"/>
          <w:lang w:val="en-US"/>
        </w:rPr>
        <w:t xml:space="preserve">. OCA </w:t>
      </w:r>
      <w:r w:rsidR="00B84B30" w:rsidRPr="00612653">
        <w:rPr>
          <w:rFonts w:ascii="Book Antiqua" w:eastAsia="Times New Roman" w:hAnsi="Book Antiqua" w:cs="Times New Roman"/>
          <w:sz w:val="24"/>
          <w:szCs w:val="24"/>
          <w:lang w:val="en-US"/>
        </w:rPr>
        <w:t>modulated gen</w:t>
      </w:r>
      <w:r w:rsidR="00815540" w:rsidRPr="00612653">
        <w:rPr>
          <w:rFonts w:ascii="Book Antiqua" w:eastAsia="Times New Roman" w:hAnsi="Book Antiqua" w:cs="Times New Roman"/>
          <w:sz w:val="24"/>
          <w:szCs w:val="24"/>
          <w:lang w:val="en-US"/>
        </w:rPr>
        <w:t>e groupings</w:t>
      </w:r>
      <w:r w:rsidR="00B84B30" w:rsidRPr="00612653">
        <w:rPr>
          <w:rFonts w:ascii="Book Antiqua" w:eastAsia="Times New Roman" w:hAnsi="Book Antiqua" w:cs="Times New Roman"/>
          <w:sz w:val="24"/>
          <w:szCs w:val="24"/>
          <w:lang w:val="en-US"/>
        </w:rPr>
        <w:t xml:space="preserve"> </w:t>
      </w:r>
      <w:r w:rsidR="00502604" w:rsidRPr="00612653">
        <w:rPr>
          <w:rFonts w:ascii="Book Antiqua" w:eastAsia="Times New Roman" w:hAnsi="Book Antiqua" w:cs="Times New Roman"/>
          <w:sz w:val="24"/>
          <w:szCs w:val="24"/>
          <w:lang w:val="en-US"/>
        </w:rPr>
        <w:t xml:space="preserve">linked to </w:t>
      </w:r>
      <w:r w:rsidR="00815540" w:rsidRPr="00612653">
        <w:rPr>
          <w:rFonts w:ascii="Book Antiqua" w:eastAsia="Times New Roman" w:hAnsi="Book Antiqua" w:cs="Times New Roman"/>
          <w:sz w:val="24"/>
          <w:szCs w:val="24"/>
          <w:lang w:val="en-US"/>
        </w:rPr>
        <w:t>glucose metabolism</w:t>
      </w:r>
      <w:r w:rsidR="008E21D7" w:rsidRPr="00612653">
        <w:rPr>
          <w:rFonts w:ascii="Book Antiqua" w:eastAsia="Times New Roman" w:hAnsi="Book Antiqua" w:cs="Times New Roman"/>
          <w:sz w:val="24"/>
          <w:szCs w:val="24"/>
          <w:lang w:val="en-US"/>
        </w:rPr>
        <w:t>,</w:t>
      </w:r>
      <w:r w:rsidR="00D7775D" w:rsidRPr="00612653">
        <w:rPr>
          <w:rFonts w:ascii="Book Antiqua" w:eastAsia="Times New Roman" w:hAnsi="Book Antiqua" w:cs="Times New Roman"/>
          <w:sz w:val="24"/>
          <w:szCs w:val="24"/>
          <w:lang w:val="en-US"/>
        </w:rPr>
        <w:t xml:space="preserve"> </w:t>
      </w:r>
      <w:r w:rsidR="00B84B30" w:rsidRPr="00612653">
        <w:rPr>
          <w:rFonts w:ascii="Book Antiqua" w:eastAsia="Times New Roman" w:hAnsi="Book Antiqua" w:cs="Times New Roman"/>
          <w:sz w:val="24"/>
          <w:szCs w:val="24"/>
          <w:lang w:val="en-US"/>
        </w:rPr>
        <w:t>but</w:t>
      </w:r>
      <w:r w:rsidR="00F86037" w:rsidRPr="00612653">
        <w:rPr>
          <w:rFonts w:ascii="Book Antiqua" w:eastAsia="Times New Roman" w:hAnsi="Book Antiqua" w:cs="Times New Roman"/>
          <w:sz w:val="24"/>
          <w:szCs w:val="24"/>
          <w:lang w:val="en-US"/>
        </w:rPr>
        <w:t xml:space="preserve"> </w:t>
      </w:r>
      <w:r w:rsidR="00B84B30" w:rsidRPr="00612653">
        <w:rPr>
          <w:rFonts w:ascii="Book Antiqua" w:eastAsia="Times New Roman" w:hAnsi="Book Antiqua" w:cs="Times New Roman"/>
          <w:sz w:val="24"/>
          <w:szCs w:val="24"/>
          <w:lang w:val="en-US"/>
        </w:rPr>
        <w:t xml:space="preserve">also </w:t>
      </w:r>
      <w:r w:rsidR="00F86037" w:rsidRPr="00612653">
        <w:rPr>
          <w:rFonts w:ascii="Book Antiqua" w:eastAsia="Times New Roman" w:hAnsi="Book Antiqua" w:cs="Times New Roman"/>
          <w:sz w:val="24"/>
          <w:szCs w:val="24"/>
          <w:lang w:val="en-US"/>
        </w:rPr>
        <w:t xml:space="preserve">affected </w:t>
      </w:r>
      <w:r w:rsidR="004A324C" w:rsidRPr="00612653">
        <w:rPr>
          <w:rFonts w:ascii="Book Antiqua" w:eastAsia="Times New Roman" w:hAnsi="Book Antiqua" w:cs="Times New Roman"/>
          <w:sz w:val="24"/>
          <w:szCs w:val="24"/>
          <w:lang w:val="en-US"/>
        </w:rPr>
        <w:t>signaling</w:t>
      </w:r>
      <w:r w:rsidR="00F86037" w:rsidRPr="00612653">
        <w:rPr>
          <w:rFonts w:ascii="Book Antiqua" w:eastAsia="Times New Roman" w:hAnsi="Book Antiqua" w:cs="Times New Roman"/>
          <w:sz w:val="24"/>
          <w:szCs w:val="24"/>
          <w:lang w:val="en-US"/>
        </w:rPr>
        <w:t xml:space="preserve"> pathways</w:t>
      </w:r>
      <w:r w:rsidR="006A5BFE" w:rsidRPr="00612653">
        <w:rPr>
          <w:rFonts w:ascii="Book Antiqua" w:eastAsia="Times New Roman" w:hAnsi="Book Antiqua" w:cs="Times New Roman"/>
          <w:sz w:val="24"/>
          <w:szCs w:val="24"/>
          <w:lang w:val="en-US"/>
        </w:rPr>
        <w:t xml:space="preserve"> asso</w:t>
      </w:r>
      <w:r w:rsidR="00815540" w:rsidRPr="00612653">
        <w:rPr>
          <w:rFonts w:ascii="Book Antiqua" w:eastAsia="Times New Roman" w:hAnsi="Book Antiqua" w:cs="Times New Roman"/>
          <w:sz w:val="24"/>
          <w:szCs w:val="24"/>
          <w:lang w:val="en-US"/>
        </w:rPr>
        <w:t>ciated with NAFLD</w:t>
      </w:r>
      <w:r w:rsidR="006A5BFE" w:rsidRPr="00612653">
        <w:rPr>
          <w:rFonts w:ascii="Book Antiqua" w:eastAsia="Times New Roman" w:hAnsi="Book Antiqua" w:cs="Times New Roman"/>
          <w:sz w:val="24"/>
          <w:szCs w:val="24"/>
          <w:lang w:val="en-US"/>
        </w:rPr>
        <w:t xml:space="preserve">, </w:t>
      </w:r>
      <w:r w:rsidR="00675950" w:rsidRPr="00612653">
        <w:rPr>
          <w:rFonts w:ascii="Book Antiqua" w:eastAsia="Times New Roman" w:hAnsi="Book Antiqua" w:cs="Times New Roman"/>
          <w:sz w:val="24"/>
          <w:szCs w:val="24"/>
          <w:lang w:val="en-US"/>
        </w:rPr>
        <w:t>ECM</w:t>
      </w:r>
      <w:r w:rsidR="00F06066" w:rsidRPr="00612653">
        <w:rPr>
          <w:rFonts w:ascii="Book Antiqua" w:eastAsia="Times New Roman" w:hAnsi="Book Antiqua" w:cs="Times New Roman"/>
          <w:sz w:val="24"/>
          <w:szCs w:val="24"/>
          <w:lang w:val="en-US"/>
        </w:rPr>
        <w:t>-receptor interaction</w:t>
      </w:r>
      <w:r w:rsidR="00EA099C" w:rsidRPr="00612653">
        <w:rPr>
          <w:rFonts w:ascii="Book Antiqua" w:eastAsia="Times New Roman" w:hAnsi="Book Antiqua" w:cs="Times New Roman"/>
          <w:sz w:val="24"/>
          <w:szCs w:val="24"/>
          <w:lang w:val="en-US"/>
        </w:rPr>
        <w:t xml:space="preserve">, </w:t>
      </w:r>
      <w:r w:rsidR="00B9163F" w:rsidRPr="00612653">
        <w:rPr>
          <w:rFonts w:ascii="Book Antiqua" w:eastAsia="Times New Roman" w:hAnsi="Book Antiqua" w:cs="Times New Roman"/>
          <w:sz w:val="24"/>
          <w:szCs w:val="24"/>
          <w:lang w:val="en-US"/>
        </w:rPr>
        <w:t>PI3 kinase signaling, and focal adhesio</w:t>
      </w:r>
      <w:r w:rsidR="006D5027" w:rsidRPr="00612653">
        <w:rPr>
          <w:rFonts w:ascii="Book Antiqua" w:eastAsia="Times New Roman" w:hAnsi="Book Antiqua" w:cs="Times New Roman"/>
          <w:sz w:val="24"/>
          <w:szCs w:val="24"/>
          <w:lang w:val="en-US"/>
        </w:rPr>
        <w:t xml:space="preserve">n. </w:t>
      </w:r>
      <w:r w:rsidR="007D5ECE" w:rsidRPr="00612653">
        <w:rPr>
          <w:rFonts w:ascii="Book Antiqua" w:eastAsia="Times New Roman" w:hAnsi="Book Antiqua" w:cs="Times New Roman"/>
          <w:sz w:val="24"/>
          <w:szCs w:val="24"/>
          <w:lang w:val="en-US"/>
        </w:rPr>
        <w:t>P</w:t>
      </w:r>
      <w:r w:rsidR="00B84B30" w:rsidRPr="00612653">
        <w:rPr>
          <w:rFonts w:ascii="Book Antiqua" w:eastAsia="Times New Roman" w:hAnsi="Book Antiqua" w:cs="Times New Roman"/>
          <w:sz w:val="24"/>
          <w:szCs w:val="24"/>
          <w:lang w:val="en-US"/>
        </w:rPr>
        <w:t xml:space="preserve">athways perturbations </w:t>
      </w:r>
      <w:r w:rsidR="004A324C" w:rsidRPr="00612653">
        <w:rPr>
          <w:rFonts w:ascii="Book Antiqua" w:eastAsia="Times New Roman" w:hAnsi="Book Antiqua" w:cs="Times New Roman"/>
          <w:sz w:val="24"/>
          <w:szCs w:val="24"/>
          <w:lang w:val="en-US"/>
        </w:rPr>
        <w:t>promoted by elafibranor</w:t>
      </w:r>
      <w:r w:rsidR="00B84B30" w:rsidRPr="00612653">
        <w:rPr>
          <w:rFonts w:ascii="Book Antiqua" w:eastAsia="Times New Roman" w:hAnsi="Book Antiqua" w:cs="Times New Roman"/>
          <w:sz w:val="24"/>
          <w:szCs w:val="24"/>
          <w:lang w:val="en-US"/>
        </w:rPr>
        <w:t xml:space="preserve"> treatment</w:t>
      </w:r>
      <w:r w:rsidR="004A324C" w:rsidRPr="00612653">
        <w:rPr>
          <w:rFonts w:ascii="Book Antiqua" w:eastAsia="Times New Roman" w:hAnsi="Book Antiqua" w:cs="Times New Roman"/>
          <w:sz w:val="24"/>
          <w:szCs w:val="24"/>
          <w:lang w:val="en-US"/>
        </w:rPr>
        <w:t xml:space="preserve"> </w:t>
      </w:r>
      <w:r w:rsidR="006D5027" w:rsidRPr="00612653">
        <w:rPr>
          <w:rFonts w:ascii="Book Antiqua" w:eastAsia="Times New Roman" w:hAnsi="Book Antiqua" w:cs="Times New Roman"/>
          <w:sz w:val="24"/>
          <w:szCs w:val="24"/>
          <w:lang w:val="en-US"/>
        </w:rPr>
        <w:t>mapped to NAFLD, lipid metabol</w:t>
      </w:r>
      <w:r w:rsidR="00922C47" w:rsidRPr="00612653">
        <w:rPr>
          <w:rFonts w:ascii="Book Antiqua" w:eastAsia="Times New Roman" w:hAnsi="Book Antiqua" w:cs="Times New Roman"/>
          <w:sz w:val="24"/>
          <w:szCs w:val="24"/>
          <w:lang w:val="en-US"/>
        </w:rPr>
        <w:t>ism, oxidative phosphorylation</w:t>
      </w:r>
      <w:r w:rsidR="00815540" w:rsidRPr="00612653">
        <w:rPr>
          <w:rFonts w:ascii="Book Antiqua" w:eastAsia="Times New Roman" w:hAnsi="Book Antiqua" w:cs="Times New Roman"/>
          <w:sz w:val="24"/>
          <w:szCs w:val="24"/>
          <w:lang w:val="en-US"/>
        </w:rPr>
        <w:t xml:space="preserve">, </w:t>
      </w:r>
      <w:r w:rsidR="006D5027" w:rsidRPr="00612653">
        <w:rPr>
          <w:rFonts w:ascii="Book Antiqua" w:eastAsia="Times New Roman" w:hAnsi="Book Antiqua" w:cs="Times New Roman"/>
          <w:sz w:val="24"/>
          <w:szCs w:val="24"/>
          <w:lang w:val="en-US"/>
        </w:rPr>
        <w:t xml:space="preserve">PPAR </w:t>
      </w:r>
      <w:r w:rsidR="00815540" w:rsidRPr="00612653">
        <w:rPr>
          <w:rFonts w:ascii="Book Antiqua" w:eastAsia="Times New Roman" w:hAnsi="Book Antiqua" w:cs="Times New Roman"/>
          <w:sz w:val="24"/>
          <w:szCs w:val="24"/>
          <w:lang w:val="en-US"/>
        </w:rPr>
        <w:t xml:space="preserve">and peroxisome </w:t>
      </w:r>
      <w:r w:rsidR="006D5027" w:rsidRPr="00612653">
        <w:rPr>
          <w:rFonts w:ascii="Book Antiqua" w:eastAsia="Times New Roman" w:hAnsi="Book Antiqua" w:cs="Times New Roman"/>
          <w:sz w:val="24"/>
          <w:szCs w:val="24"/>
          <w:lang w:val="en-US"/>
        </w:rPr>
        <w:t>signaling.</w:t>
      </w:r>
      <w:r w:rsidR="00F86037" w:rsidRPr="00612653">
        <w:rPr>
          <w:rFonts w:ascii="Book Antiqua" w:eastAsia="Times New Roman" w:hAnsi="Book Antiqua" w:cs="Times New Roman"/>
          <w:sz w:val="24"/>
          <w:szCs w:val="24"/>
          <w:lang w:val="en-US"/>
        </w:rPr>
        <w:t xml:space="preserve"> </w:t>
      </w:r>
      <w:r w:rsidR="004A324C" w:rsidRPr="00612653">
        <w:rPr>
          <w:rFonts w:ascii="Book Antiqua" w:eastAsia="Times New Roman" w:hAnsi="Book Antiqua" w:cs="Times New Roman"/>
          <w:sz w:val="24"/>
          <w:szCs w:val="24"/>
          <w:lang w:val="en-US"/>
        </w:rPr>
        <w:t>A</w:t>
      </w:r>
      <w:r w:rsidR="00B2503F" w:rsidRPr="00612653">
        <w:rPr>
          <w:rFonts w:ascii="Book Antiqua" w:eastAsia="Times New Roman" w:hAnsi="Book Antiqua" w:cs="Times New Roman"/>
          <w:sz w:val="24"/>
          <w:szCs w:val="24"/>
          <w:lang w:val="en-US"/>
        </w:rPr>
        <w:t xml:space="preserve">ll </w:t>
      </w:r>
      <w:r w:rsidR="006F3763" w:rsidRPr="00612653">
        <w:rPr>
          <w:rFonts w:ascii="Book Antiqua" w:eastAsia="Times New Roman" w:hAnsi="Book Antiqua" w:cs="Times New Roman"/>
          <w:sz w:val="24"/>
          <w:szCs w:val="24"/>
          <w:lang w:val="en-US"/>
        </w:rPr>
        <w:t xml:space="preserve">drug </w:t>
      </w:r>
      <w:r w:rsidR="00B2503F" w:rsidRPr="00612653">
        <w:rPr>
          <w:rFonts w:ascii="Book Antiqua" w:eastAsia="Times New Roman" w:hAnsi="Book Antiqua" w:cs="Times New Roman"/>
          <w:sz w:val="24"/>
          <w:szCs w:val="24"/>
          <w:lang w:val="en-US"/>
        </w:rPr>
        <w:t xml:space="preserve">treatments </w:t>
      </w:r>
      <w:r w:rsidR="00364DAD" w:rsidRPr="00612653">
        <w:rPr>
          <w:rFonts w:ascii="Book Antiqua" w:eastAsia="Times New Roman" w:hAnsi="Book Antiqua" w:cs="Times New Roman"/>
          <w:sz w:val="24"/>
          <w:szCs w:val="24"/>
          <w:lang w:val="en-US"/>
        </w:rPr>
        <w:t>reduced</w:t>
      </w:r>
      <w:r w:rsidR="00B2503F" w:rsidRPr="00612653">
        <w:rPr>
          <w:rFonts w:ascii="Book Antiqua" w:eastAsia="Times New Roman" w:hAnsi="Book Antiqua" w:cs="Times New Roman"/>
          <w:sz w:val="24"/>
          <w:szCs w:val="24"/>
          <w:lang w:val="en-US"/>
        </w:rPr>
        <w:t xml:space="preserve"> </w:t>
      </w:r>
      <w:r w:rsidR="00D813E7" w:rsidRPr="00612653">
        <w:rPr>
          <w:rFonts w:ascii="Book Antiqua" w:eastAsia="Times New Roman" w:hAnsi="Book Antiqua" w:cs="Times New Roman"/>
          <w:sz w:val="24"/>
          <w:szCs w:val="24"/>
          <w:lang w:val="en-US"/>
        </w:rPr>
        <w:t xml:space="preserve">expression of </w:t>
      </w:r>
      <w:r w:rsidR="00B2503F" w:rsidRPr="00612653">
        <w:rPr>
          <w:rFonts w:ascii="Book Antiqua" w:eastAsia="Times New Roman" w:hAnsi="Book Antiqua" w:cs="Times New Roman"/>
          <w:sz w:val="24"/>
          <w:szCs w:val="24"/>
          <w:lang w:val="en-US"/>
        </w:rPr>
        <w:t xml:space="preserve">gene markers </w:t>
      </w:r>
      <w:r w:rsidR="00D813E7" w:rsidRPr="00612653">
        <w:rPr>
          <w:rFonts w:ascii="Book Antiqua" w:eastAsia="Times New Roman" w:hAnsi="Book Antiqua" w:cs="Times New Roman"/>
          <w:sz w:val="24"/>
          <w:szCs w:val="24"/>
          <w:lang w:val="en-US"/>
        </w:rPr>
        <w:t xml:space="preserve">involved in </w:t>
      </w:r>
      <w:r w:rsidR="00B2503F" w:rsidRPr="00612653">
        <w:rPr>
          <w:rFonts w:ascii="Book Antiqua" w:eastAsia="Times New Roman" w:hAnsi="Book Antiqua" w:cs="Times New Roman"/>
          <w:sz w:val="24"/>
          <w:szCs w:val="24"/>
          <w:lang w:val="en-US"/>
        </w:rPr>
        <w:t>inflammation, fibro</w:t>
      </w:r>
      <w:r w:rsidR="005873D7" w:rsidRPr="00612653">
        <w:rPr>
          <w:rFonts w:ascii="Book Antiqua" w:eastAsia="Times New Roman" w:hAnsi="Book Antiqua" w:cs="Times New Roman"/>
          <w:sz w:val="24"/>
          <w:szCs w:val="24"/>
          <w:lang w:val="en-US"/>
        </w:rPr>
        <w:t>genesis, and apoptosis</w:t>
      </w:r>
      <w:r w:rsidR="00B84B30" w:rsidRPr="00612653">
        <w:rPr>
          <w:rFonts w:ascii="Book Antiqua" w:eastAsia="Times New Roman" w:hAnsi="Book Antiqua" w:cs="Times New Roman"/>
          <w:sz w:val="24"/>
          <w:szCs w:val="24"/>
          <w:lang w:val="en-US"/>
        </w:rPr>
        <w:t xml:space="preserve">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B84B30" w:rsidRPr="00612653">
        <w:rPr>
          <w:rFonts w:ascii="Book Antiqua" w:eastAsia="Times New Roman" w:hAnsi="Book Antiqua" w:cs="Times New Roman"/>
          <w:sz w:val="24"/>
          <w:szCs w:val="24"/>
          <w:lang w:val="en-US"/>
        </w:rPr>
        <w:t xml:space="preserve"> 5E</w:t>
      </w:r>
      <w:r w:rsidR="007C5756" w:rsidRPr="00612653">
        <w:rPr>
          <w:rFonts w:ascii="Book Antiqua" w:eastAsia="Times New Roman" w:hAnsi="Book Antiqua" w:cs="Times New Roman"/>
          <w:sz w:val="24"/>
          <w:szCs w:val="24"/>
          <w:lang w:val="en-US" w:eastAsia="zh-CN"/>
        </w:rPr>
        <w:t xml:space="preserve"> and </w:t>
      </w:r>
      <w:r w:rsidR="00B84B30" w:rsidRPr="00612653">
        <w:rPr>
          <w:rFonts w:ascii="Book Antiqua" w:eastAsia="Times New Roman" w:hAnsi="Book Antiqua" w:cs="Times New Roman"/>
          <w:sz w:val="24"/>
          <w:szCs w:val="24"/>
          <w:lang w:val="en-US"/>
        </w:rPr>
        <w:t>F)</w:t>
      </w:r>
      <w:r w:rsidR="00B2503F" w:rsidRPr="00612653">
        <w:rPr>
          <w:rFonts w:ascii="Book Antiqua" w:eastAsia="Times New Roman" w:hAnsi="Book Antiqua" w:cs="Times New Roman"/>
          <w:sz w:val="24"/>
          <w:szCs w:val="24"/>
          <w:lang w:val="en-US"/>
        </w:rPr>
        <w:t>.</w:t>
      </w:r>
    </w:p>
    <w:p w14:paraId="081B731D" w14:textId="77777777" w:rsidR="00AB2796" w:rsidRPr="00612653" w:rsidRDefault="00AB2796" w:rsidP="00082279">
      <w:pPr>
        <w:snapToGrid w:val="0"/>
        <w:spacing w:after="0" w:line="360" w:lineRule="auto"/>
        <w:jc w:val="both"/>
        <w:rPr>
          <w:rFonts w:ascii="Book Antiqua" w:eastAsia="Times New Roman" w:hAnsi="Book Antiqua" w:cs="Times New Roman"/>
          <w:b/>
          <w:bCs/>
          <w:i/>
          <w:iCs/>
          <w:sz w:val="24"/>
          <w:szCs w:val="24"/>
          <w:lang w:val="de-DE"/>
        </w:rPr>
      </w:pPr>
    </w:p>
    <w:p w14:paraId="2F3314A2" w14:textId="32447A7A" w:rsidR="00CF4D37" w:rsidRPr="00612653" w:rsidRDefault="006B7DE3" w:rsidP="00082279">
      <w:pPr>
        <w:snapToGrid w:val="0"/>
        <w:spacing w:after="0" w:line="360" w:lineRule="auto"/>
        <w:jc w:val="both"/>
        <w:rPr>
          <w:rFonts w:ascii="Book Antiqua" w:eastAsia="Times New Roman" w:hAnsi="Book Antiqua" w:cs="Times New Roman"/>
          <w:b/>
          <w:bCs/>
          <w:i/>
          <w:iCs/>
          <w:sz w:val="24"/>
          <w:szCs w:val="24"/>
          <w:lang w:val="de-DE"/>
        </w:rPr>
      </w:pPr>
      <w:r w:rsidRPr="00612653">
        <w:rPr>
          <w:rFonts w:ascii="Book Antiqua" w:eastAsia="Times New Roman" w:hAnsi="Book Antiqua" w:cs="Times New Roman"/>
          <w:b/>
          <w:bCs/>
          <w:i/>
          <w:iCs/>
          <w:sz w:val="24"/>
          <w:szCs w:val="24"/>
          <w:lang w:val="de-DE"/>
        </w:rPr>
        <w:t xml:space="preserve">Drug treatment in </w:t>
      </w:r>
      <w:r w:rsidR="000B3A44" w:rsidRPr="00612653">
        <w:rPr>
          <w:rFonts w:ascii="Book Antiqua" w:eastAsia="Times New Roman" w:hAnsi="Book Antiqua" w:cs="Times New Roman"/>
          <w:b/>
          <w:bCs/>
          <w:i/>
          <w:iCs/>
          <w:sz w:val="24"/>
          <w:szCs w:val="24"/>
          <w:lang w:val="de-DE"/>
        </w:rPr>
        <w:t>ob/ob</w:t>
      </w:r>
      <w:r w:rsidR="00607C3E" w:rsidRPr="00612653">
        <w:rPr>
          <w:rFonts w:ascii="Book Antiqua" w:eastAsia="Times New Roman" w:hAnsi="Book Antiqua" w:cs="Times New Roman"/>
          <w:b/>
          <w:bCs/>
          <w:i/>
          <w:iCs/>
          <w:sz w:val="24"/>
          <w:szCs w:val="24"/>
          <w:lang w:val="de-DE"/>
        </w:rPr>
        <w:t>-</w:t>
      </w:r>
      <w:r w:rsidR="000B3A44" w:rsidRPr="00612653">
        <w:rPr>
          <w:rFonts w:ascii="Book Antiqua" w:eastAsia="Times New Roman" w:hAnsi="Book Antiqua" w:cs="Times New Roman"/>
          <w:b/>
          <w:bCs/>
          <w:i/>
          <w:iCs/>
          <w:sz w:val="24"/>
          <w:szCs w:val="24"/>
          <w:lang w:val="de-DE"/>
        </w:rPr>
        <w:t xml:space="preserve">NASH </w:t>
      </w:r>
      <w:r w:rsidR="00D00DFE" w:rsidRPr="00612653">
        <w:rPr>
          <w:rFonts w:ascii="Book Antiqua" w:eastAsia="Times New Roman" w:hAnsi="Book Antiqua" w:cs="Times New Roman"/>
          <w:b/>
          <w:bCs/>
          <w:i/>
          <w:iCs/>
          <w:sz w:val="24"/>
          <w:szCs w:val="24"/>
          <w:lang w:val="de-DE"/>
        </w:rPr>
        <w:t>mice</w:t>
      </w:r>
    </w:p>
    <w:p w14:paraId="45E9105F" w14:textId="6433985D" w:rsidR="008A0EBD" w:rsidRPr="00612653" w:rsidRDefault="00C65563" w:rsidP="00082279">
      <w:pPr>
        <w:snapToGrid w:val="0"/>
        <w:spacing w:after="0" w:line="360" w:lineRule="auto"/>
        <w:jc w:val="both"/>
        <w:rPr>
          <w:rFonts w:ascii="Book Antiqua" w:eastAsia="Times New Roman" w:hAnsi="Book Antiqua" w:cs="Times New Roman"/>
          <w:sz w:val="24"/>
          <w:szCs w:val="24"/>
          <w:lang w:val="en-US"/>
        </w:rPr>
      </w:pPr>
      <w:r w:rsidRPr="00612653">
        <w:rPr>
          <w:rFonts w:ascii="Book Antiqua" w:eastAsia="Times New Roman" w:hAnsi="Book Antiqua" w:cs="Times New Roman"/>
          <w:i/>
          <w:iCs/>
          <w:sz w:val="24"/>
          <w:szCs w:val="24"/>
          <w:lang w:val="en-US"/>
        </w:rPr>
        <w:lastRenderedPageBreak/>
        <w:t>ob/ob</w:t>
      </w:r>
      <w:r w:rsidRPr="00612653">
        <w:rPr>
          <w:rFonts w:ascii="Book Antiqua" w:eastAsia="Times New Roman" w:hAnsi="Book Antiqua" w:cs="Times New Roman"/>
          <w:sz w:val="24"/>
          <w:szCs w:val="24"/>
          <w:lang w:val="en-US"/>
        </w:rPr>
        <w:t xml:space="preserve">-NASH </w:t>
      </w:r>
      <w:r w:rsidR="00A14CB0" w:rsidRPr="00612653">
        <w:rPr>
          <w:rFonts w:ascii="Book Antiqua" w:eastAsia="Times New Roman" w:hAnsi="Book Antiqua" w:cs="Times New Roman"/>
          <w:sz w:val="24"/>
          <w:szCs w:val="24"/>
          <w:lang w:val="en-US"/>
        </w:rPr>
        <w:t>controls</w:t>
      </w:r>
      <w:r w:rsidR="00DE5D96" w:rsidRPr="00612653">
        <w:rPr>
          <w:rFonts w:ascii="Book Antiqua" w:eastAsia="Times New Roman" w:hAnsi="Book Antiqua" w:cs="Times New Roman"/>
          <w:sz w:val="24"/>
          <w:szCs w:val="24"/>
          <w:lang w:val="en-US"/>
        </w:rPr>
        <w:t xml:space="preserve"> were obese prior to treatment</w:t>
      </w:r>
      <w:r w:rsidR="001117B4" w:rsidRPr="00612653">
        <w:rPr>
          <w:rFonts w:ascii="Book Antiqua" w:eastAsia="Times New Roman" w:hAnsi="Book Antiqua" w:cs="Times New Roman"/>
          <w:sz w:val="24"/>
          <w:szCs w:val="24"/>
          <w:lang w:val="en-US"/>
        </w:rPr>
        <w:t xml:space="preserve"> (51.7 </w:t>
      </w:r>
      <w:r w:rsidR="001117B4" w:rsidRPr="00612653">
        <w:rPr>
          <w:rFonts w:ascii="Book Antiqua" w:eastAsia="Times New Roman" w:hAnsi="Book Antiqua"/>
          <w:sz w:val="24"/>
          <w:szCs w:val="24"/>
          <w:lang w:val="en-US"/>
        </w:rPr>
        <w:t>±</w:t>
      </w:r>
      <w:r w:rsidR="001117B4" w:rsidRPr="00612653">
        <w:rPr>
          <w:rFonts w:ascii="Book Antiqua" w:eastAsia="Times New Roman" w:hAnsi="Book Antiqua" w:cs="Times New Roman"/>
          <w:sz w:val="24"/>
          <w:szCs w:val="24"/>
          <w:lang w:val="en-US"/>
        </w:rPr>
        <w:t xml:space="preserve"> 1.1 g, </w:t>
      </w:r>
      <w:r w:rsidR="001117B4" w:rsidRPr="00612653">
        <w:rPr>
          <w:rFonts w:ascii="Book Antiqua" w:eastAsia="Times New Roman" w:hAnsi="Book Antiqua" w:cs="Times New Roman"/>
          <w:i/>
          <w:sz w:val="24"/>
          <w:szCs w:val="24"/>
          <w:lang w:val="en-US"/>
        </w:rPr>
        <w:t>n</w:t>
      </w:r>
      <w:r w:rsidR="007C5756" w:rsidRPr="00612653">
        <w:rPr>
          <w:rFonts w:ascii="Book Antiqua" w:eastAsia="Times New Roman" w:hAnsi="Book Antiqua" w:cs="Times New Roman"/>
          <w:sz w:val="24"/>
          <w:szCs w:val="24"/>
          <w:lang w:val="en-US" w:eastAsia="zh-CN"/>
        </w:rPr>
        <w:t xml:space="preserve"> </w:t>
      </w:r>
      <w:r w:rsidR="001117B4" w:rsidRPr="00612653">
        <w:rPr>
          <w:rFonts w:ascii="Book Antiqua" w:eastAsia="Times New Roman" w:hAnsi="Book Antiqua" w:cs="Times New Roman"/>
          <w:sz w:val="24"/>
          <w:szCs w:val="24"/>
          <w:lang w:val="en-US"/>
        </w:rPr>
        <w:t>=</w:t>
      </w:r>
      <w:r w:rsidR="007C5756" w:rsidRPr="00612653">
        <w:rPr>
          <w:rFonts w:ascii="Book Antiqua" w:eastAsia="Times New Roman" w:hAnsi="Book Antiqua" w:cs="Times New Roman"/>
          <w:sz w:val="24"/>
          <w:szCs w:val="24"/>
          <w:lang w:val="en-US" w:eastAsia="zh-CN"/>
        </w:rPr>
        <w:t xml:space="preserve"> </w:t>
      </w:r>
      <w:r w:rsidR="001117B4" w:rsidRPr="00612653">
        <w:rPr>
          <w:rFonts w:ascii="Book Antiqua" w:eastAsia="Times New Roman" w:hAnsi="Book Antiqua" w:cs="Times New Roman"/>
          <w:sz w:val="24"/>
          <w:szCs w:val="24"/>
          <w:lang w:val="en-US"/>
        </w:rPr>
        <w:t>12)</w:t>
      </w:r>
      <w:r w:rsidR="00DE5D96" w:rsidRPr="00612653">
        <w:rPr>
          <w:rFonts w:ascii="Book Antiqua" w:eastAsia="Times New Roman" w:hAnsi="Book Antiqua" w:cs="Times New Roman"/>
          <w:sz w:val="24"/>
          <w:szCs w:val="24"/>
          <w:lang w:val="en-US"/>
        </w:rPr>
        <w:t xml:space="preserve">, </w:t>
      </w:r>
      <w:r w:rsidR="001117B4" w:rsidRPr="00612653">
        <w:rPr>
          <w:rFonts w:ascii="Book Antiqua" w:eastAsia="Times New Roman" w:hAnsi="Book Antiqua" w:cs="Times New Roman"/>
          <w:sz w:val="24"/>
          <w:szCs w:val="24"/>
          <w:lang w:val="en-US"/>
        </w:rPr>
        <w:t>but</w:t>
      </w:r>
      <w:r w:rsidR="00DE5D96" w:rsidRPr="00612653">
        <w:rPr>
          <w:rFonts w:ascii="Book Antiqua" w:eastAsia="Times New Roman" w:hAnsi="Book Antiqua" w:cs="Times New Roman"/>
          <w:sz w:val="24"/>
          <w:szCs w:val="24"/>
          <w:lang w:val="en-US"/>
        </w:rPr>
        <w:t xml:space="preserve"> showed lower body </w:t>
      </w:r>
      <w:r w:rsidR="001117B4" w:rsidRPr="00612653">
        <w:rPr>
          <w:rFonts w:ascii="Book Antiqua" w:eastAsia="Times New Roman" w:hAnsi="Book Antiqua" w:cs="Times New Roman"/>
          <w:sz w:val="24"/>
          <w:szCs w:val="24"/>
          <w:lang w:val="en-US"/>
        </w:rPr>
        <w:t xml:space="preserve">weight </w:t>
      </w:r>
      <w:r w:rsidR="00DE5D96" w:rsidRPr="00612653">
        <w:rPr>
          <w:rFonts w:ascii="Book Antiqua" w:eastAsia="Times New Roman" w:hAnsi="Book Antiqua" w:cs="Times New Roman"/>
          <w:sz w:val="24"/>
          <w:szCs w:val="24"/>
          <w:lang w:val="en-US"/>
        </w:rPr>
        <w:t xml:space="preserve">compared to age-matched chow-fed </w:t>
      </w:r>
      <w:r w:rsidR="00DE5D96" w:rsidRPr="00612653">
        <w:rPr>
          <w:rFonts w:ascii="Book Antiqua" w:eastAsia="Times New Roman" w:hAnsi="Book Antiqua" w:cs="Times New Roman"/>
          <w:i/>
          <w:iCs/>
          <w:sz w:val="24"/>
          <w:szCs w:val="24"/>
          <w:lang w:val="en-US"/>
        </w:rPr>
        <w:t>ob/ob</w:t>
      </w:r>
      <w:r w:rsidR="00DE5D96" w:rsidRPr="00612653">
        <w:rPr>
          <w:rFonts w:ascii="Book Antiqua" w:eastAsia="Times New Roman" w:hAnsi="Book Antiqua" w:cs="Times New Roman"/>
          <w:sz w:val="24"/>
          <w:szCs w:val="24"/>
          <w:lang w:val="en-US"/>
        </w:rPr>
        <w:t xml:space="preserve"> controls</w:t>
      </w:r>
      <w:r w:rsidR="001117B4" w:rsidRPr="00612653">
        <w:rPr>
          <w:rFonts w:ascii="Book Antiqua" w:eastAsia="Times New Roman" w:hAnsi="Book Antiqua" w:cs="Times New Roman"/>
          <w:sz w:val="24"/>
          <w:szCs w:val="24"/>
          <w:lang w:val="en-US"/>
        </w:rPr>
        <w:t xml:space="preserve"> (60.1 </w:t>
      </w:r>
      <w:r w:rsidR="001117B4" w:rsidRPr="00612653">
        <w:rPr>
          <w:rFonts w:ascii="Book Antiqua" w:eastAsia="Times New Roman" w:hAnsi="Book Antiqua"/>
          <w:sz w:val="24"/>
          <w:szCs w:val="24"/>
          <w:lang w:val="en-US"/>
        </w:rPr>
        <w:t>±</w:t>
      </w:r>
      <w:r w:rsidR="001117B4" w:rsidRPr="00612653">
        <w:rPr>
          <w:rFonts w:ascii="Book Antiqua" w:eastAsia="Times New Roman" w:hAnsi="Book Antiqua" w:cs="Times New Roman"/>
          <w:sz w:val="24"/>
          <w:szCs w:val="24"/>
          <w:lang w:val="en-US"/>
        </w:rPr>
        <w:t xml:space="preserve"> 1</w:t>
      </w:r>
      <w:r w:rsidR="007C5756" w:rsidRPr="00612653">
        <w:rPr>
          <w:rFonts w:ascii="Book Antiqua" w:eastAsia="Times New Roman" w:hAnsi="Book Antiqua" w:cs="Times New Roman"/>
          <w:sz w:val="24"/>
          <w:szCs w:val="24"/>
          <w:lang w:val="en-US" w:eastAsia="zh-CN"/>
        </w:rPr>
        <w:t>.</w:t>
      </w:r>
      <w:r w:rsidR="001117B4" w:rsidRPr="00612653">
        <w:rPr>
          <w:rFonts w:ascii="Book Antiqua" w:eastAsia="Times New Roman" w:hAnsi="Book Antiqua" w:cs="Times New Roman"/>
          <w:sz w:val="24"/>
          <w:szCs w:val="24"/>
          <w:lang w:val="en-US"/>
        </w:rPr>
        <w:t xml:space="preserve">3 g, </w:t>
      </w:r>
      <w:r w:rsidR="001117B4" w:rsidRPr="00612653">
        <w:rPr>
          <w:rFonts w:ascii="Book Antiqua" w:eastAsia="Times New Roman" w:hAnsi="Book Antiqua" w:cs="Times New Roman"/>
          <w:i/>
          <w:sz w:val="24"/>
          <w:szCs w:val="24"/>
          <w:lang w:val="en-US"/>
        </w:rPr>
        <w:t>n</w:t>
      </w:r>
      <w:r w:rsidR="007C5756" w:rsidRPr="00612653">
        <w:rPr>
          <w:rFonts w:ascii="Book Antiqua" w:eastAsia="Times New Roman" w:hAnsi="Book Antiqua" w:cs="Times New Roman"/>
          <w:sz w:val="24"/>
          <w:szCs w:val="24"/>
          <w:lang w:val="en-US" w:eastAsia="zh-CN"/>
        </w:rPr>
        <w:t xml:space="preserve"> </w:t>
      </w:r>
      <w:r w:rsidR="001117B4" w:rsidRPr="00612653">
        <w:rPr>
          <w:rFonts w:ascii="Book Antiqua" w:eastAsia="Times New Roman" w:hAnsi="Book Antiqua" w:cs="Times New Roman"/>
          <w:sz w:val="24"/>
          <w:szCs w:val="24"/>
          <w:lang w:val="en-US"/>
        </w:rPr>
        <w:t>=</w:t>
      </w:r>
      <w:r w:rsidR="007C5756" w:rsidRPr="00612653">
        <w:rPr>
          <w:rFonts w:ascii="Book Antiqua" w:eastAsia="Times New Roman" w:hAnsi="Book Antiqua" w:cs="Times New Roman"/>
          <w:sz w:val="24"/>
          <w:szCs w:val="24"/>
          <w:lang w:val="en-US" w:eastAsia="zh-CN"/>
        </w:rPr>
        <w:t xml:space="preserve"> </w:t>
      </w:r>
      <w:r w:rsidR="001117B4" w:rsidRPr="00612653">
        <w:rPr>
          <w:rFonts w:ascii="Book Antiqua" w:eastAsia="Times New Roman" w:hAnsi="Book Antiqua" w:cs="Times New Roman"/>
          <w:sz w:val="24"/>
          <w:szCs w:val="24"/>
          <w:lang w:val="en-US"/>
        </w:rPr>
        <w:t>9</w:t>
      </w:r>
      <w:r w:rsidR="00B01443" w:rsidRPr="00612653">
        <w:rPr>
          <w:rFonts w:ascii="Book Antiqua" w:eastAsia="Times New Roman" w:hAnsi="Book Antiqua" w:cs="Times New Roman"/>
          <w:sz w:val="24"/>
          <w:szCs w:val="24"/>
          <w:lang w:val="en-US"/>
        </w:rPr>
        <w:t>)</w:t>
      </w:r>
      <w:r w:rsidR="00A14CB0" w:rsidRPr="00612653">
        <w:rPr>
          <w:rFonts w:ascii="Book Antiqua" w:eastAsia="Times New Roman" w:hAnsi="Book Antiqua" w:cs="Times New Roman"/>
          <w:sz w:val="24"/>
          <w:szCs w:val="24"/>
          <w:lang w:val="en-US"/>
        </w:rPr>
        <w:t xml:space="preserve"> </w:t>
      </w:r>
      <w:r w:rsidR="0098481A" w:rsidRPr="00612653">
        <w:rPr>
          <w:rFonts w:ascii="Book Antiqua" w:eastAsia="Times New Roman" w:hAnsi="Book Antiqua" w:cs="Times New Roman"/>
          <w:sz w:val="24"/>
          <w:szCs w:val="24"/>
          <w:lang w:val="en-US"/>
        </w:rPr>
        <w:t>(</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98481A" w:rsidRPr="00612653">
        <w:rPr>
          <w:rFonts w:ascii="Book Antiqua" w:eastAsia="Times New Roman" w:hAnsi="Book Antiqua" w:cs="Times New Roman"/>
          <w:sz w:val="24"/>
          <w:szCs w:val="24"/>
          <w:lang w:val="en-US"/>
        </w:rPr>
        <w:t xml:space="preserve"> 6A). T</w:t>
      </w:r>
      <w:r w:rsidR="009E4A08" w:rsidRPr="00612653">
        <w:rPr>
          <w:rFonts w:ascii="Book Antiqua" w:eastAsia="Times New Roman" w:hAnsi="Book Antiqua" w:cs="Times New Roman"/>
          <w:sz w:val="24"/>
          <w:szCs w:val="24"/>
          <w:lang w:val="en-US"/>
        </w:rPr>
        <w:t>erminal liver weight</w:t>
      </w:r>
      <w:r w:rsidR="009E4A08" w:rsidRPr="00612653">
        <w:rPr>
          <w:rFonts w:ascii="Book Antiqua" w:eastAsia="Times New Roman" w:hAnsi="Book Antiqua" w:cs="Times New Roman"/>
          <w:i/>
          <w:iCs/>
          <w:sz w:val="24"/>
          <w:szCs w:val="24"/>
          <w:lang w:val="en-US"/>
        </w:rPr>
        <w:t xml:space="preserve"> </w:t>
      </w:r>
      <w:r w:rsidR="009E4A08" w:rsidRPr="00612653">
        <w:rPr>
          <w:rFonts w:ascii="Book Antiqua" w:eastAsia="Times New Roman" w:hAnsi="Book Antiqua" w:cs="Times New Roman"/>
          <w:sz w:val="24"/>
          <w:szCs w:val="24"/>
          <w:lang w:val="en-US"/>
        </w:rPr>
        <w:t xml:space="preserve">was markedly higher in </w:t>
      </w:r>
      <w:r w:rsidR="009E4A08" w:rsidRPr="00612653">
        <w:rPr>
          <w:rFonts w:ascii="Book Antiqua" w:eastAsia="Times New Roman" w:hAnsi="Book Antiqua" w:cs="Times New Roman"/>
          <w:i/>
          <w:iCs/>
          <w:sz w:val="24"/>
          <w:szCs w:val="24"/>
          <w:lang w:val="en-US"/>
        </w:rPr>
        <w:t>ob/ob</w:t>
      </w:r>
      <w:r w:rsidR="009E4A08" w:rsidRPr="00612653">
        <w:rPr>
          <w:rFonts w:ascii="Book Antiqua" w:eastAsia="Times New Roman" w:hAnsi="Book Antiqua" w:cs="Times New Roman"/>
          <w:sz w:val="24"/>
          <w:szCs w:val="24"/>
          <w:lang w:val="en-US"/>
        </w:rPr>
        <w:t>-NASH control mice</w:t>
      </w:r>
      <w:r w:rsidR="00A138B4" w:rsidRPr="00612653">
        <w:rPr>
          <w:rFonts w:ascii="Book Antiqua" w:eastAsia="Times New Roman" w:hAnsi="Book Antiqua" w:cs="Times New Roman"/>
          <w:sz w:val="24"/>
          <w:szCs w:val="24"/>
          <w:lang w:val="en-US"/>
        </w:rPr>
        <w:t xml:space="preserve"> compared to chow-fed controls</w:t>
      </w:r>
      <w:r w:rsidR="002A2F00" w:rsidRPr="00612653">
        <w:rPr>
          <w:rFonts w:ascii="Book Antiqua" w:eastAsia="Times New Roman" w:hAnsi="Book Antiqua" w:cs="Times New Roman"/>
          <w:sz w:val="24"/>
          <w:szCs w:val="24"/>
          <w:lang w:val="en-US"/>
        </w:rPr>
        <w:t xml:space="preserve">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6D7FC7" w:rsidRPr="00612653">
        <w:rPr>
          <w:rFonts w:ascii="Book Antiqua" w:eastAsia="Times New Roman" w:hAnsi="Book Antiqua" w:cs="Times New Roman"/>
          <w:sz w:val="24"/>
          <w:szCs w:val="24"/>
          <w:lang w:val="en-US"/>
        </w:rPr>
        <w:t>6A</w:t>
      </w:r>
      <w:r w:rsidR="009E4A08" w:rsidRPr="00612653">
        <w:rPr>
          <w:rFonts w:ascii="Book Antiqua" w:eastAsia="Times New Roman" w:hAnsi="Book Antiqua" w:cs="Times New Roman"/>
          <w:sz w:val="24"/>
          <w:szCs w:val="24"/>
          <w:lang w:val="en-US"/>
        </w:rPr>
        <w:t>-C</w:t>
      </w:r>
      <w:r w:rsidR="006D7FC7" w:rsidRPr="00612653">
        <w:rPr>
          <w:rFonts w:ascii="Book Antiqua" w:eastAsia="Times New Roman" w:hAnsi="Book Antiqua" w:cs="Times New Roman"/>
          <w:sz w:val="24"/>
          <w:szCs w:val="24"/>
          <w:lang w:val="en-US"/>
        </w:rPr>
        <w:t>).</w:t>
      </w:r>
      <w:r w:rsidR="009E4A08" w:rsidRPr="00612653">
        <w:rPr>
          <w:rFonts w:ascii="Book Antiqua" w:eastAsia="Times New Roman" w:hAnsi="Book Antiqua" w:cs="Times New Roman"/>
          <w:sz w:val="24"/>
          <w:szCs w:val="24"/>
          <w:lang w:val="en-US"/>
        </w:rPr>
        <w:t xml:space="preserve"> </w:t>
      </w:r>
      <w:r w:rsidR="004949D8" w:rsidRPr="00612653">
        <w:rPr>
          <w:rFonts w:ascii="Book Antiqua" w:eastAsia="Times New Roman" w:hAnsi="Book Antiqua" w:cs="Times New Roman"/>
          <w:sz w:val="24"/>
          <w:szCs w:val="24"/>
          <w:lang w:val="en-US"/>
        </w:rPr>
        <w:t>L</w:t>
      </w:r>
      <w:r w:rsidR="00CD1239" w:rsidRPr="00612653">
        <w:rPr>
          <w:rFonts w:ascii="Book Antiqua" w:eastAsia="Times New Roman" w:hAnsi="Book Antiqua" w:cs="Times New Roman"/>
          <w:sz w:val="24"/>
          <w:szCs w:val="24"/>
          <w:lang w:val="en-US"/>
        </w:rPr>
        <w:t xml:space="preserve">iraglutide </w:t>
      </w:r>
      <w:r w:rsidR="006A41AE" w:rsidRPr="00612653">
        <w:rPr>
          <w:rFonts w:ascii="Book Antiqua" w:eastAsia="Times New Roman" w:hAnsi="Book Antiqua" w:cs="Times New Roman"/>
          <w:sz w:val="24"/>
          <w:szCs w:val="24"/>
          <w:lang w:val="en-US"/>
        </w:rPr>
        <w:t xml:space="preserve">and elafibranor </w:t>
      </w:r>
      <w:r w:rsidR="00CD1239" w:rsidRPr="00612653">
        <w:rPr>
          <w:rFonts w:ascii="Book Antiqua" w:eastAsia="Times New Roman" w:hAnsi="Book Antiqua" w:cs="Times New Roman"/>
          <w:sz w:val="24"/>
          <w:szCs w:val="24"/>
          <w:lang w:val="en-US"/>
        </w:rPr>
        <w:t>treatment</w:t>
      </w:r>
      <w:r w:rsidR="0098481A" w:rsidRPr="00612653">
        <w:rPr>
          <w:rFonts w:ascii="Book Antiqua" w:eastAsia="Times New Roman" w:hAnsi="Book Antiqua" w:cs="Times New Roman"/>
          <w:sz w:val="24"/>
          <w:szCs w:val="24"/>
          <w:lang w:val="en-US"/>
        </w:rPr>
        <w:t xml:space="preserve"> </w:t>
      </w:r>
      <w:r w:rsidR="006A41AE" w:rsidRPr="00612653">
        <w:rPr>
          <w:rFonts w:ascii="Book Antiqua" w:eastAsia="Times New Roman" w:hAnsi="Book Antiqua" w:cs="Times New Roman"/>
          <w:sz w:val="24"/>
          <w:szCs w:val="24"/>
          <w:lang w:val="en-US"/>
        </w:rPr>
        <w:t xml:space="preserve">progressively </w:t>
      </w:r>
      <w:r w:rsidR="009E4A08" w:rsidRPr="00612653">
        <w:rPr>
          <w:rFonts w:ascii="Book Antiqua" w:eastAsia="Times New Roman" w:hAnsi="Book Antiqua" w:cs="Times New Roman"/>
          <w:sz w:val="24"/>
          <w:szCs w:val="24"/>
          <w:lang w:val="en-US"/>
        </w:rPr>
        <w:t>reduced</w:t>
      </w:r>
      <w:r w:rsidR="00CD1239" w:rsidRPr="00612653">
        <w:rPr>
          <w:rFonts w:ascii="Book Antiqua" w:eastAsia="Times New Roman" w:hAnsi="Book Antiqua" w:cs="Times New Roman"/>
          <w:sz w:val="24"/>
          <w:szCs w:val="24"/>
          <w:lang w:val="en-US"/>
        </w:rPr>
        <w:t xml:space="preserve"> body weight</w:t>
      </w:r>
      <w:r w:rsidR="006A41AE" w:rsidRPr="00612653">
        <w:rPr>
          <w:rFonts w:ascii="Book Antiqua" w:eastAsia="Times New Roman" w:hAnsi="Book Antiqua" w:cs="Times New Roman"/>
          <w:sz w:val="24"/>
          <w:szCs w:val="24"/>
          <w:lang w:val="en-US"/>
        </w:rPr>
        <w:t xml:space="preserve"> with a maximal weight loss of</w:t>
      </w:r>
      <w:r w:rsidR="007773EA" w:rsidRPr="00612653">
        <w:rPr>
          <w:rFonts w:ascii="Book Antiqua" w:eastAsia="Times New Roman" w:hAnsi="Book Antiqua" w:cs="Times New Roman"/>
          <w:sz w:val="24"/>
          <w:szCs w:val="24"/>
          <w:lang w:val="en-US" w:eastAsia="zh-CN"/>
        </w:rPr>
        <w:t xml:space="preserve"> </w:t>
      </w:r>
      <w:r w:rsidR="007773EA" w:rsidRPr="00612653">
        <w:rPr>
          <w:rFonts w:ascii="Book Antiqua" w:eastAsia="Times New Roman" w:hAnsi="Book Antiqua" w:cs="Times New Roman"/>
          <w:sz w:val="24"/>
          <w:szCs w:val="24"/>
          <w:lang w:val="en-US"/>
        </w:rPr>
        <w:t>approximately</w:t>
      </w:r>
      <w:r w:rsidR="007773EA" w:rsidRPr="00612653">
        <w:rPr>
          <w:rFonts w:ascii="Book Antiqua" w:eastAsia="Times New Roman" w:hAnsi="Book Antiqua" w:cs="Times New Roman"/>
          <w:sz w:val="24"/>
          <w:szCs w:val="24"/>
          <w:lang w:val="en-US" w:eastAsia="zh-CN"/>
        </w:rPr>
        <w:t xml:space="preserve"> </w:t>
      </w:r>
      <w:r w:rsidR="007D07C7" w:rsidRPr="00612653">
        <w:rPr>
          <w:rFonts w:ascii="Book Antiqua" w:eastAsia="Times New Roman" w:hAnsi="Book Antiqua" w:cs="Times New Roman"/>
          <w:sz w:val="24"/>
          <w:szCs w:val="24"/>
          <w:lang w:val="en-US"/>
        </w:rPr>
        <w:t>10%</w:t>
      </w:r>
      <w:r w:rsidR="0098481A" w:rsidRPr="00612653">
        <w:rPr>
          <w:rFonts w:ascii="Book Antiqua" w:eastAsia="Times New Roman" w:hAnsi="Book Antiqua" w:cs="Times New Roman"/>
          <w:sz w:val="24"/>
          <w:szCs w:val="24"/>
          <w:lang w:val="en-US"/>
        </w:rPr>
        <w:t xml:space="preserve"> </w:t>
      </w:r>
      <w:r w:rsidR="00DC58D1" w:rsidRPr="00612653">
        <w:rPr>
          <w:rFonts w:ascii="Book Antiqua" w:eastAsia="Times New Roman" w:hAnsi="Book Antiqua" w:cs="Times New Roman"/>
          <w:sz w:val="24"/>
          <w:szCs w:val="24"/>
          <w:lang w:val="en-US"/>
        </w:rPr>
        <w:t>compared to</w:t>
      </w:r>
      <w:r w:rsidR="0098481A" w:rsidRPr="00612653">
        <w:rPr>
          <w:rFonts w:ascii="Book Antiqua" w:eastAsia="Times New Roman" w:hAnsi="Book Antiqua" w:cs="Times New Roman"/>
          <w:sz w:val="24"/>
          <w:szCs w:val="24"/>
          <w:lang w:val="en-US"/>
        </w:rPr>
        <w:t xml:space="preserve"> baseline</w:t>
      </w:r>
      <w:r w:rsidR="00DC58D1" w:rsidRPr="00612653">
        <w:rPr>
          <w:rFonts w:ascii="Book Antiqua" w:eastAsia="Times New Roman" w:hAnsi="Book Antiqua" w:cs="Times New Roman"/>
          <w:sz w:val="24"/>
          <w:szCs w:val="24"/>
          <w:lang w:val="en-US"/>
        </w:rPr>
        <w:t xml:space="preserve"> (</w:t>
      </w:r>
      <w:r w:rsidR="007773EA" w:rsidRPr="00612653">
        <w:rPr>
          <w:rFonts w:ascii="Book Antiqua" w:eastAsia="Times New Roman" w:hAnsi="Book Antiqua"/>
          <w:sz w:val="24"/>
          <w:szCs w:val="24"/>
          <w:lang w:val="en-US"/>
        </w:rPr>
        <w:t>approximately</w:t>
      </w:r>
      <w:r w:rsidR="007773EA" w:rsidRPr="00612653">
        <w:rPr>
          <w:rFonts w:ascii="Book Antiqua" w:eastAsia="Times New Roman" w:hAnsi="Book Antiqua"/>
          <w:sz w:val="24"/>
          <w:szCs w:val="24"/>
          <w:lang w:val="en-US" w:eastAsia="zh-CN"/>
        </w:rPr>
        <w:t xml:space="preserve"> </w:t>
      </w:r>
      <w:r w:rsidR="0098481A" w:rsidRPr="00612653">
        <w:rPr>
          <w:rFonts w:ascii="Book Antiqua" w:eastAsia="Times New Roman" w:hAnsi="Book Antiqua" w:cs="Times New Roman"/>
          <w:sz w:val="24"/>
          <w:szCs w:val="24"/>
          <w:lang w:val="en-US"/>
        </w:rPr>
        <w:t xml:space="preserve">20% </w:t>
      </w:r>
      <w:r w:rsidR="0098481A" w:rsidRPr="00612653">
        <w:rPr>
          <w:rFonts w:ascii="Book Antiqua" w:eastAsia="Times New Roman" w:hAnsi="Book Antiqua" w:cs="Times New Roman"/>
          <w:i/>
          <w:sz w:val="24"/>
          <w:szCs w:val="24"/>
          <w:lang w:val="en-US"/>
        </w:rPr>
        <w:t>vs</w:t>
      </w:r>
      <w:r w:rsidR="007C5756" w:rsidRPr="00612653">
        <w:rPr>
          <w:rFonts w:ascii="Book Antiqua" w:eastAsia="Times New Roman" w:hAnsi="Book Antiqua" w:cs="Times New Roman"/>
          <w:i/>
          <w:sz w:val="24"/>
          <w:szCs w:val="24"/>
          <w:lang w:val="en-US" w:eastAsia="zh-CN"/>
        </w:rPr>
        <w:t xml:space="preserve"> </w:t>
      </w:r>
      <w:r w:rsidR="0098481A" w:rsidRPr="00612653">
        <w:rPr>
          <w:rFonts w:ascii="Book Antiqua" w:eastAsia="Times New Roman" w:hAnsi="Book Antiqua" w:cs="Times New Roman"/>
          <w:sz w:val="24"/>
          <w:szCs w:val="24"/>
          <w:lang w:val="en-US"/>
        </w:rPr>
        <w:t xml:space="preserve">vehicle-dosing), see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98481A" w:rsidRPr="00612653">
        <w:rPr>
          <w:rFonts w:ascii="Book Antiqua" w:eastAsia="Times New Roman" w:hAnsi="Book Antiqua" w:cs="Times New Roman"/>
          <w:sz w:val="24"/>
          <w:szCs w:val="24"/>
          <w:lang w:val="en-US"/>
        </w:rPr>
        <w:t>6A</w:t>
      </w:r>
      <w:r w:rsidR="00CD1239" w:rsidRPr="00612653">
        <w:rPr>
          <w:rFonts w:ascii="Book Antiqua" w:eastAsia="Times New Roman" w:hAnsi="Book Antiqua" w:cs="Times New Roman"/>
          <w:sz w:val="24"/>
          <w:szCs w:val="24"/>
          <w:lang w:val="en-US"/>
        </w:rPr>
        <w:t xml:space="preserve">. </w:t>
      </w:r>
      <w:r w:rsidR="00D00DFE" w:rsidRPr="00612653">
        <w:rPr>
          <w:rFonts w:ascii="Book Antiqua" w:eastAsia="Times New Roman" w:hAnsi="Book Antiqua" w:cs="Times New Roman"/>
          <w:sz w:val="24"/>
          <w:szCs w:val="24"/>
          <w:lang w:val="en-US"/>
        </w:rPr>
        <w:t xml:space="preserve">OCA </w:t>
      </w:r>
      <w:r w:rsidR="009E4A08" w:rsidRPr="00612653">
        <w:rPr>
          <w:rFonts w:ascii="Book Antiqua" w:eastAsia="Times New Roman" w:hAnsi="Book Antiqua" w:cs="Times New Roman"/>
          <w:sz w:val="24"/>
          <w:szCs w:val="24"/>
          <w:lang w:val="en-US"/>
        </w:rPr>
        <w:t xml:space="preserve">did not </w:t>
      </w:r>
      <w:r w:rsidR="006A41AE" w:rsidRPr="00612653">
        <w:rPr>
          <w:rFonts w:ascii="Book Antiqua" w:eastAsia="Times New Roman" w:hAnsi="Book Antiqua" w:cs="Times New Roman"/>
          <w:sz w:val="24"/>
          <w:szCs w:val="24"/>
          <w:lang w:val="en-US"/>
        </w:rPr>
        <w:t xml:space="preserve">affect </w:t>
      </w:r>
      <w:r w:rsidR="00D00DFE" w:rsidRPr="00612653">
        <w:rPr>
          <w:rFonts w:ascii="Book Antiqua" w:eastAsia="Times New Roman" w:hAnsi="Book Antiqua" w:cs="Times New Roman"/>
          <w:sz w:val="24"/>
          <w:szCs w:val="24"/>
          <w:lang w:val="en-US"/>
        </w:rPr>
        <w:t>body weight</w:t>
      </w:r>
      <w:r w:rsidR="006A41AE" w:rsidRPr="00612653">
        <w:rPr>
          <w:rFonts w:ascii="Book Antiqua" w:eastAsia="Times New Roman" w:hAnsi="Book Antiqua" w:cs="Times New Roman"/>
          <w:sz w:val="24"/>
          <w:szCs w:val="24"/>
          <w:lang w:val="en-US"/>
        </w:rPr>
        <w:t xml:space="preserve"> </w:t>
      </w:r>
      <w:r w:rsidR="00FD7FFE" w:rsidRPr="00612653">
        <w:rPr>
          <w:rFonts w:ascii="Book Antiqua" w:eastAsia="Times New Roman" w:hAnsi="Book Antiqua" w:cs="Times New Roman"/>
          <w:sz w:val="24"/>
          <w:szCs w:val="24"/>
          <w:lang w:val="en-US"/>
        </w:rPr>
        <w:t xml:space="preserve">in </w:t>
      </w:r>
      <w:r w:rsidR="00FD7FFE" w:rsidRPr="00612653">
        <w:rPr>
          <w:rFonts w:ascii="Book Antiqua" w:eastAsia="Times New Roman" w:hAnsi="Book Antiqua" w:cs="Times New Roman"/>
          <w:i/>
          <w:iCs/>
          <w:sz w:val="24"/>
          <w:szCs w:val="24"/>
          <w:lang w:val="en-US"/>
        </w:rPr>
        <w:t>ob/ob</w:t>
      </w:r>
      <w:r w:rsidR="004949D8" w:rsidRPr="00612653">
        <w:rPr>
          <w:rFonts w:ascii="Book Antiqua" w:eastAsia="Times New Roman" w:hAnsi="Book Antiqua" w:cs="Times New Roman"/>
          <w:sz w:val="24"/>
          <w:szCs w:val="24"/>
          <w:lang w:val="en-US"/>
        </w:rPr>
        <w:t>-</w:t>
      </w:r>
      <w:r w:rsidR="00FD7FFE" w:rsidRPr="00612653">
        <w:rPr>
          <w:rFonts w:ascii="Book Antiqua" w:eastAsia="Times New Roman" w:hAnsi="Book Antiqua" w:cs="Times New Roman"/>
          <w:sz w:val="24"/>
          <w:szCs w:val="24"/>
          <w:lang w:val="en-US"/>
        </w:rPr>
        <w:t>NASH</w:t>
      </w:r>
      <w:r w:rsidR="006D7FC7" w:rsidRPr="00612653">
        <w:rPr>
          <w:rFonts w:ascii="Book Antiqua" w:eastAsia="Times New Roman" w:hAnsi="Book Antiqua" w:cs="Times New Roman"/>
          <w:sz w:val="24"/>
          <w:szCs w:val="24"/>
          <w:lang w:val="en-US"/>
        </w:rPr>
        <w:t xml:space="preserve"> mice</w:t>
      </w:r>
      <w:r w:rsidR="00E417FE" w:rsidRPr="00612653">
        <w:rPr>
          <w:rFonts w:ascii="Book Antiqua" w:eastAsia="Times New Roman" w:hAnsi="Book Antiqua" w:cs="Times New Roman"/>
          <w:sz w:val="24"/>
          <w:szCs w:val="24"/>
          <w:lang w:val="en-US"/>
        </w:rPr>
        <w:t>.</w:t>
      </w:r>
      <w:r w:rsidR="007F0CEA" w:rsidRPr="00612653">
        <w:rPr>
          <w:rFonts w:ascii="Book Antiqua" w:eastAsia="Times New Roman" w:hAnsi="Book Antiqua" w:cs="Times New Roman"/>
          <w:sz w:val="24"/>
          <w:szCs w:val="24"/>
          <w:lang w:val="en-US"/>
        </w:rPr>
        <w:t xml:space="preserve"> Liraglutide</w:t>
      </w:r>
      <w:r w:rsidR="003F1FC1" w:rsidRPr="00612653">
        <w:rPr>
          <w:rFonts w:ascii="Book Antiqua" w:eastAsia="Times New Roman" w:hAnsi="Book Antiqua" w:cs="Times New Roman"/>
          <w:sz w:val="24"/>
          <w:szCs w:val="24"/>
          <w:lang w:val="en-US"/>
        </w:rPr>
        <w:t xml:space="preserve">, but not OCA and </w:t>
      </w:r>
      <w:r w:rsidR="007F0CEA" w:rsidRPr="00612653">
        <w:rPr>
          <w:rFonts w:ascii="Book Antiqua" w:eastAsia="Times New Roman" w:hAnsi="Book Antiqua" w:cs="Times New Roman"/>
          <w:sz w:val="24"/>
          <w:szCs w:val="24"/>
          <w:lang w:val="en-US"/>
        </w:rPr>
        <w:t xml:space="preserve">elafibranor, </w:t>
      </w:r>
      <w:r w:rsidR="003F1FC1" w:rsidRPr="00612653">
        <w:rPr>
          <w:rFonts w:ascii="Book Antiqua" w:eastAsia="Times New Roman" w:hAnsi="Book Antiqua" w:cs="Times New Roman"/>
          <w:sz w:val="24"/>
          <w:szCs w:val="24"/>
          <w:lang w:val="en-US"/>
        </w:rPr>
        <w:t xml:space="preserve">induced a transient </w:t>
      </w:r>
      <w:r w:rsidR="007F0CEA" w:rsidRPr="00612653">
        <w:rPr>
          <w:rFonts w:ascii="Book Antiqua" w:eastAsia="Times New Roman" w:hAnsi="Book Antiqua" w:cs="Times New Roman"/>
          <w:sz w:val="24"/>
          <w:szCs w:val="24"/>
          <w:lang w:val="en-US"/>
        </w:rPr>
        <w:t>reduc</w:t>
      </w:r>
      <w:r w:rsidR="003F1FC1" w:rsidRPr="00612653">
        <w:rPr>
          <w:rFonts w:ascii="Book Antiqua" w:eastAsia="Times New Roman" w:hAnsi="Book Antiqua" w:cs="Times New Roman"/>
          <w:sz w:val="24"/>
          <w:szCs w:val="24"/>
          <w:lang w:val="en-US"/>
        </w:rPr>
        <w:t xml:space="preserve">tion in </w:t>
      </w:r>
      <w:r w:rsidR="007F0CEA" w:rsidRPr="00612653">
        <w:rPr>
          <w:rFonts w:ascii="Book Antiqua" w:eastAsia="Times New Roman" w:hAnsi="Book Antiqua" w:cs="Times New Roman"/>
          <w:sz w:val="24"/>
          <w:szCs w:val="24"/>
          <w:lang w:val="en-US"/>
        </w:rPr>
        <w:t xml:space="preserve">daily food intake </w:t>
      </w:r>
      <w:r w:rsidR="003F1FC1" w:rsidRPr="00612653">
        <w:rPr>
          <w:rFonts w:ascii="Book Antiqua" w:eastAsia="Times New Roman" w:hAnsi="Book Antiqua" w:cs="Times New Roman"/>
          <w:sz w:val="24"/>
          <w:szCs w:val="24"/>
          <w:lang w:val="en-US"/>
        </w:rPr>
        <w:t>(from treatment day 1-7)</w:t>
      </w:r>
      <w:r w:rsidR="007F0CEA" w:rsidRPr="00612653">
        <w:rPr>
          <w:rFonts w:ascii="Book Antiqua" w:eastAsia="Times New Roman" w:hAnsi="Book Antiqua" w:cs="Times New Roman"/>
          <w:sz w:val="24"/>
          <w:szCs w:val="24"/>
          <w:lang w:val="en-US"/>
        </w:rPr>
        <w:t xml:space="preserve">, whereupon food intake remained similar to vehicle-dosed </w:t>
      </w:r>
      <w:r w:rsidR="003F1FC1" w:rsidRPr="00612653">
        <w:rPr>
          <w:rFonts w:ascii="Book Antiqua" w:eastAsia="Times New Roman" w:hAnsi="Book Antiqua" w:cs="Times New Roman"/>
          <w:i/>
          <w:sz w:val="24"/>
          <w:szCs w:val="24"/>
          <w:lang w:val="en-US"/>
        </w:rPr>
        <w:t>ob/ob</w:t>
      </w:r>
      <w:r w:rsidR="003F1FC1" w:rsidRPr="00612653">
        <w:rPr>
          <w:rFonts w:ascii="Book Antiqua" w:eastAsia="Times New Roman" w:hAnsi="Book Antiqua" w:cs="Times New Roman"/>
          <w:sz w:val="24"/>
          <w:szCs w:val="24"/>
          <w:lang w:val="en-US"/>
        </w:rPr>
        <w:t>-</w:t>
      </w:r>
      <w:r w:rsidR="007F0CEA" w:rsidRPr="00612653">
        <w:rPr>
          <w:rFonts w:ascii="Book Antiqua" w:eastAsia="Times New Roman" w:hAnsi="Book Antiqua" w:cs="Times New Roman"/>
          <w:sz w:val="24"/>
          <w:szCs w:val="24"/>
          <w:lang w:val="en-US"/>
        </w:rPr>
        <w:t>NASH mice (data not shown).</w:t>
      </w:r>
      <w:r w:rsidR="003F1FC1" w:rsidRPr="00612653">
        <w:rPr>
          <w:rFonts w:ascii="Book Antiqua" w:eastAsia="Times New Roman" w:hAnsi="Book Antiqua" w:cs="Times New Roman"/>
          <w:sz w:val="24"/>
          <w:szCs w:val="24"/>
          <w:lang w:val="en-US"/>
        </w:rPr>
        <w:t xml:space="preserve"> </w:t>
      </w:r>
      <w:r w:rsidR="006A41AE" w:rsidRPr="00612653">
        <w:rPr>
          <w:rFonts w:ascii="Book Antiqua" w:eastAsia="Times New Roman" w:hAnsi="Book Antiqua" w:cs="Times New Roman"/>
          <w:sz w:val="24"/>
          <w:szCs w:val="24"/>
          <w:lang w:val="en-US"/>
        </w:rPr>
        <w:t>Liraglutide and OCA, but not elafibranor, reduced t</w:t>
      </w:r>
      <w:r w:rsidR="006B64A2" w:rsidRPr="00612653">
        <w:rPr>
          <w:rFonts w:ascii="Book Antiqua" w:eastAsia="Times New Roman" w:hAnsi="Book Antiqua" w:cs="Times New Roman"/>
          <w:sz w:val="24"/>
          <w:szCs w:val="24"/>
          <w:lang w:val="en-US"/>
        </w:rPr>
        <w:t xml:space="preserve">erminal liver weight </w:t>
      </w:r>
      <w:r w:rsidR="003D2438" w:rsidRPr="00612653">
        <w:rPr>
          <w:rFonts w:ascii="Book Antiqua" w:eastAsia="Times New Roman" w:hAnsi="Book Antiqua" w:cs="Times New Roman"/>
          <w:sz w:val="24"/>
          <w:szCs w:val="24"/>
          <w:lang w:val="en-US"/>
        </w:rPr>
        <w:t>(</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996B8A" w:rsidRPr="00612653">
        <w:rPr>
          <w:rFonts w:ascii="Book Antiqua" w:eastAsia="Times New Roman" w:hAnsi="Book Antiqua" w:cs="Times New Roman"/>
          <w:sz w:val="24"/>
          <w:szCs w:val="24"/>
          <w:lang w:val="en-US"/>
        </w:rPr>
        <w:t>6</w:t>
      </w:r>
      <w:r w:rsidR="00780102" w:rsidRPr="00612653">
        <w:rPr>
          <w:rFonts w:ascii="Book Antiqua" w:eastAsia="Times New Roman" w:hAnsi="Book Antiqua" w:cs="Times New Roman"/>
          <w:sz w:val="24"/>
          <w:szCs w:val="24"/>
          <w:lang w:val="en-US"/>
        </w:rPr>
        <w:t>C</w:t>
      </w:r>
      <w:r w:rsidR="003D2438" w:rsidRPr="00612653">
        <w:rPr>
          <w:rFonts w:ascii="Book Antiqua" w:eastAsia="Times New Roman" w:hAnsi="Book Antiqua" w:cs="Times New Roman"/>
          <w:sz w:val="24"/>
          <w:szCs w:val="24"/>
          <w:lang w:val="en-US"/>
        </w:rPr>
        <w:t>)</w:t>
      </w:r>
      <w:r w:rsidR="006B64A2" w:rsidRPr="00612653">
        <w:rPr>
          <w:rFonts w:ascii="Book Antiqua" w:eastAsia="Times New Roman" w:hAnsi="Book Antiqua" w:cs="Times New Roman"/>
          <w:sz w:val="24"/>
          <w:szCs w:val="24"/>
          <w:lang w:val="en-US"/>
        </w:rPr>
        <w:t>.</w:t>
      </w:r>
      <w:r w:rsidR="002F735A" w:rsidRPr="00612653">
        <w:rPr>
          <w:rFonts w:ascii="Book Antiqua" w:eastAsia="Times New Roman" w:hAnsi="Book Antiqua" w:cs="Times New Roman"/>
          <w:sz w:val="24"/>
          <w:szCs w:val="24"/>
          <w:lang w:val="en-US"/>
        </w:rPr>
        <w:t xml:space="preserve"> </w:t>
      </w:r>
      <w:r w:rsidR="00D70F6D" w:rsidRPr="00612653">
        <w:rPr>
          <w:rFonts w:ascii="Book Antiqua" w:eastAsia="Times New Roman" w:hAnsi="Book Antiqua" w:cs="Times New Roman"/>
          <w:sz w:val="24"/>
          <w:szCs w:val="24"/>
          <w:lang w:val="en-US"/>
        </w:rPr>
        <w:t xml:space="preserve">Liraglutide reduced </w:t>
      </w:r>
      <w:r w:rsidR="00122523" w:rsidRPr="00612653">
        <w:rPr>
          <w:rFonts w:ascii="Book Antiqua" w:hAnsi="Book Antiqua"/>
          <w:sz w:val="24"/>
          <w:szCs w:val="24"/>
          <w:lang w:val="en-US"/>
        </w:rPr>
        <w:t xml:space="preserve">total liver TG content </w:t>
      </w:r>
      <w:r w:rsidR="005C53BA" w:rsidRPr="00612653">
        <w:rPr>
          <w:rFonts w:ascii="Book Antiqua" w:eastAsia="Times New Roman" w:hAnsi="Book Antiqua" w:cs="Times New Roman"/>
          <w:sz w:val="24"/>
          <w:szCs w:val="24"/>
          <w:lang w:val="en-US"/>
        </w:rPr>
        <w:t>(</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5C53BA" w:rsidRPr="00612653">
        <w:rPr>
          <w:rFonts w:ascii="Book Antiqua" w:eastAsia="Times New Roman" w:hAnsi="Book Antiqua" w:cs="Times New Roman"/>
          <w:sz w:val="24"/>
          <w:szCs w:val="24"/>
          <w:lang w:val="en-US"/>
        </w:rPr>
        <w:t>6D)</w:t>
      </w:r>
      <w:r w:rsidR="00E541EE" w:rsidRPr="00612653">
        <w:rPr>
          <w:rFonts w:ascii="Book Antiqua" w:eastAsia="Times New Roman" w:hAnsi="Book Antiqua" w:cs="Times New Roman"/>
          <w:sz w:val="24"/>
          <w:szCs w:val="24"/>
          <w:lang w:val="en-US"/>
        </w:rPr>
        <w:t xml:space="preserve"> as well as </w:t>
      </w:r>
      <w:r w:rsidR="0021093C" w:rsidRPr="00612653">
        <w:rPr>
          <w:rFonts w:ascii="Book Antiqua" w:eastAsia="Times New Roman" w:hAnsi="Book Antiqua" w:cs="Times New Roman"/>
          <w:sz w:val="24"/>
          <w:szCs w:val="24"/>
          <w:lang w:val="en-US"/>
        </w:rPr>
        <w:t>plasma TG</w:t>
      </w:r>
      <w:r w:rsidR="00E541EE" w:rsidRPr="00612653">
        <w:rPr>
          <w:rFonts w:ascii="Book Antiqua" w:eastAsia="Times New Roman" w:hAnsi="Book Antiqua" w:cs="Times New Roman"/>
          <w:sz w:val="24"/>
          <w:szCs w:val="24"/>
          <w:lang w:val="en-US"/>
        </w:rPr>
        <w:t xml:space="preserve"> levels</w:t>
      </w:r>
      <w:r w:rsidR="0021093C" w:rsidRPr="00612653">
        <w:rPr>
          <w:rFonts w:ascii="Book Antiqua" w:eastAsia="Times New Roman" w:hAnsi="Book Antiqua" w:cs="Times New Roman"/>
          <w:sz w:val="24"/>
          <w:szCs w:val="24"/>
          <w:lang w:val="en-US"/>
        </w:rPr>
        <w:t xml:space="preserve"> </w:t>
      </w:r>
      <w:r w:rsidR="002A2F00" w:rsidRPr="00612653">
        <w:rPr>
          <w:rFonts w:ascii="Book Antiqua" w:eastAsia="Times New Roman" w:hAnsi="Book Antiqua" w:cs="Times New Roman"/>
          <w:sz w:val="24"/>
          <w:szCs w:val="24"/>
          <w:lang w:val="en-US"/>
        </w:rPr>
        <w:t>(Fig.</w:t>
      </w:r>
      <w:r w:rsidR="00996B8A" w:rsidRPr="00612653">
        <w:rPr>
          <w:rFonts w:ascii="Book Antiqua" w:eastAsia="Times New Roman" w:hAnsi="Book Antiqua" w:cs="Times New Roman"/>
          <w:sz w:val="24"/>
          <w:szCs w:val="24"/>
          <w:lang w:val="en-US"/>
        </w:rPr>
        <w:t xml:space="preserve"> 6</w:t>
      </w:r>
      <w:r w:rsidR="005C53BA" w:rsidRPr="00612653">
        <w:rPr>
          <w:rFonts w:ascii="Book Antiqua" w:eastAsia="Times New Roman" w:hAnsi="Book Antiqua" w:cs="Times New Roman"/>
          <w:sz w:val="24"/>
          <w:szCs w:val="24"/>
          <w:lang w:val="en-US"/>
        </w:rPr>
        <w:t>H</w:t>
      </w:r>
      <w:r w:rsidR="00FA526B" w:rsidRPr="00612653">
        <w:rPr>
          <w:rFonts w:ascii="Book Antiqua" w:eastAsia="Times New Roman" w:hAnsi="Book Antiqua" w:cs="Times New Roman"/>
          <w:sz w:val="24"/>
          <w:szCs w:val="24"/>
          <w:lang w:val="en-US"/>
        </w:rPr>
        <w:t>)</w:t>
      </w:r>
      <w:r w:rsidR="00FA5B37" w:rsidRPr="00612653">
        <w:rPr>
          <w:rFonts w:ascii="Book Antiqua" w:eastAsia="Times New Roman" w:hAnsi="Book Antiqua" w:cs="Times New Roman"/>
          <w:sz w:val="24"/>
          <w:szCs w:val="24"/>
          <w:lang w:val="en-US"/>
        </w:rPr>
        <w:t>, w</w:t>
      </w:r>
      <w:r w:rsidR="00CD3A81" w:rsidRPr="00612653">
        <w:rPr>
          <w:rFonts w:ascii="Book Antiqua" w:eastAsia="Times New Roman" w:hAnsi="Book Antiqua" w:cs="Times New Roman"/>
          <w:sz w:val="24"/>
          <w:szCs w:val="24"/>
          <w:lang w:val="en-US"/>
        </w:rPr>
        <w:t>hile</w:t>
      </w:r>
      <w:r w:rsidR="00E541EE" w:rsidRPr="00612653">
        <w:rPr>
          <w:rFonts w:ascii="Book Antiqua" w:eastAsia="Times New Roman" w:hAnsi="Book Antiqua" w:cs="Times New Roman"/>
          <w:sz w:val="24"/>
          <w:szCs w:val="24"/>
          <w:lang w:val="en-US"/>
        </w:rPr>
        <w:t xml:space="preserve"> elafibranor and OCA reduced total liver TC </w:t>
      </w:r>
      <w:r w:rsidR="00122523" w:rsidRPr="00612653">
        <w:rPr>
          <w:rFonts w:ascii="Book Antiqua" w:eastAsia="Times New Roman" w:hAnsi="Book Antiqua" w:cs="Times New Roman"/>
          <w:sz w:val="24"/>
          <w:szCs w:val="24"/>
          <w:lang w:val="en-US"/>
        </w:rPr>
        <w:t>content</w:t>
      </w:r>
      <w:r w:rsidR="00E541EE" w:rsidRPr="00612653">
        <w:rPr>
          <w:rFonts w:ascii="Book Antiqua" w:eastAsia="Times New Roman" w:hAnsi="Book Antiqua" w:cs="Times New Roman"/>
          <w:sz w:val="24"/>
          <w:szCs w:val="24"/>
          <w:lang w:val="en-US"/>
        </w:rPr>
        <w:t xml:space="preserve">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E541EE" w:rsidRPr="00612653">
        <w:rPr>
          <w:rFonts w:ascii="Book Antiqua" w:eastAsia="Times New Roman" w:hAnsi="Book Antiqua" w:cs="Times New Roman"/>
          <w:sz w:val="24"/>
          <w:szCs w:val="24"/>
          <w:lang w:val="en-US"/>
        </w:rPr>
        <w:t>6E)</w:t>
      </w:r>
      <w:r w:rsidR="00FA5B37" w:rsidRPr="00612653">
        <w:rPr>
          <w:rFonts w:ascii="Book Antiqua" w:eastAsia="Times New Roman" w:hAnsi="Book Antiqua" w:cs="Times New Roman"/>
          <w:sz w:val="24"/>
          <w:szCs w:val="24"/>
          <w:lang w:val="en-US"/>
        </w:rPr>
        <w:t>. A</w:t>
      </w:r>
      <w:r w:rsidR="0021093C" w:rsidRPr="00612653">
        <w:rPr>
          <w:rFonts w:ascii="Book Antiqua" w:eastAsia="Times New Roman" w:hAnsi="Book Antiqua" w:cs="Times New Roman"/>
          <w:sz w:val="24"/>
          <w:szCs w:val="24"/>
          <w:lang w:val="en-US"/>
        </w:rPr>
        <w:t xml:space="preserve">ll </w:t>
      </w:r>
      <w:r w:rsidR="006A41AE" w:rsidRPr="00612653">
        <w:rPr>
          <w:rFonts w:ascii="Book Antiqua" w:eastAsia="Times New Roman" w:hAnsi="Book Antiqua" w:cs="Times New Roman"/>
          <w:sz w:val="24"/>
          <w:szCs w:val="24"/>
          <w:lang w:val="en-US"/>
        </w:rPr>
        <w:t>compounds</w:t>
      </w:r>
      <w:r w:rsidR="0021093C" w:rsidRPr="00612653">
        <w:rPr>
          <w:rFonts w:ascii="Book Antiqua" w:eastAsia="Times New Roman" w:hAnsi="Book Antiqua" w:cs="Times New Roman"/>
          <w:sz w:val="24"/>
          <w:szCs w:val="24"/>
          <w:lang w:val="en-US"/>
        </w:rPr>
        <w:t xml:space="preserve"> </w:t>
      </w:r>
      <w:r w:rsidR="006A41AE" w:rsidRPr="00612653">
        <w:rPr>
          <w:rFonts w:ascii="Book Antiqua" w:eastAsia="Times New Roman" w:hAnsi="Book Antiqua" w:cs="Times New Roman"/>
          <w:sz w:val="24"/>
          <w:szCs w:val="24"/>
          <w:lang w:val="en-US"/>
        </w:rPr>
        <w:t>lowered</w:t>
      </w:r>
      <w:r w:rsidR="0021093C" w:rsidRPr="00612653">
        <w:rPr>
          <w:rFonts w:ascii="Book Antiqua" w:eastAsia="Times New Roman" w:hAnsi="Book Antiqua" w:cs="Times New Roman"/>
          <w:sz w:val="24"/>
          <w:szCs w:val="24"/>
          <w:lang w:val="en-US"/>
        </w:rPr>
        <w:t xml:space="preserve"> plasma TC</w:t>
      </w:r>
      <w:r w:rsidR="00E541EE" w:rsidRPr="00612653">
        <w:rPr>
          <w:rFonts w:ascii="Book Antiqua" w:eastAsia="Times New Roman" w:hAnsi="Book Antiqua" w:cs="Times New Roman"/>
          <w:sz w:val="24"/>
          <w:szCs w:val="24"/>
          <w:lang w:val="en-US"/>
        </w:rPr>
        <w:t xml:space="preserve"> levels</w:t>
      </w:r>
      <w:r w:rsidR="005C53BA" w:rsidRPr="00612653">
        <w:rPr>
          <w:rFonts w:ascii="Book Antiqua" w:eastAsia="Times New Roman" w:hAnsi="Book Antiqua" w:cs="Times New Roman"/>
          <w:sz w:val="24"/>
          <w:szCs w:val="24"/>
          <w:lang w:val="en-US"/>
        </w:rPr>
        <w:t xml:space="preserve"> (Fig. 6</w:t>
      </w:r>
      <w:r w:rsidR="00E541EE" w:rsidRPr="00612653">
        <w:rPr>
          <w:rFonts w:ascii="Book Antiqua" w:eastAsia="Times New Roman" w:hAnsi="Book Antiqua" w:cs="Times New Roman"/>
          <w:sz w:val="24"/>
          <w:szCs w:val="24"/>
          <w:lang w:val="en-US"/>
        </w:rPr>
        <w:t>I</w:t>
      </w:r>
      <w:r w:rsidR="005C53BA" w:rsidRPr="00612653">
        <w:rPr>
          <w:rFonts w:ascii="Book Antiqua" w:eastAsia="Times New Roman" w:hAnsi="Book Antiqua" w:cs="Times New Roman"/>
          <w:sz w:val="24"/>
          <w:szCs w:val="24"/>
          <w:lang w:val="en-US"/>
        </w:rPr>
        <w:t>)</w:t>
      </w:r>
      <w:r w:rsidR="0021093C" w:rsidRPr="00612653">
        <w:rPr>
          <w:rFonts w:ascii="Book Antiqua" w:eastAsia="Times New Roman" w:hAnsi="Book Antiqua" w:cs="Times New Roman"/>
          <w:sz w:val="24"/>
          <w:szCs w:val="24"/>
          <w:lang w:val="en-US"/>
        </w:rPr>
        <w:t>. Liraglutide and elafibranor, but not OCA, reduced plasma ALT and AST (</w:t>
      </w:r>
      <w:r w:rsidR="007C5756" w:rsidRPr="00612653">
        <w:rPr>
          <w:rFonts w:ascii="Book Antiqua" w:eastAsia="Times New Roman" w:hAnsi="Book Antiqua" w:cs="Times New Roman"/>
          <w:sz w:val="24"/>
          <w:szCs w:val="24"/>
          <w:lang w:val="en-US"/>
        </w:rPr>
        <w:t>Fig</w:t>
      </w:r>
      <w:r w:rsidR="007C5756" w:rsidRPr="00612653">
        <w:rPr>
          <w:rFonts w:ascii="Book Antiqua" w:eastAsia="Times New Roman" w:hAnsi="Book Antiqua" w:cs="Times New Roman"/>
          <w:sz w:val="24"/>
          <w:szCs w:val="24"/>
          <w:lang w:val="en-US" w:eastAsia="zh-CN"/>
        </w:rPr>
        <w:t>ure</w:t>
      </w:r>
      <w:r w:rsidR="007C5756" w:rsidRPr="00612653">
        <w:rPr>
          <w:rFonts w:ascii="Book Antiqua" w:eastAsia="Times New Roman" w:hAnsi="Book Antiqua" w:cs="Times New Roman"/>
          <w:sz w:val="24"/>
          <w:szCs w:val="24"/>
          <w:lang w:val="en-US"/>
        </w:rPr>
        <w:t xml:space="preserve"> </w:t>
      </w:r>
      <w:r w:rsidR="0021093C" w:rsidRPr="00612653">
        <w:rPr>
          <w:rFonts w:ascii="Book Antiqua" w:eastAsia="Times New Roman" w:hAnsi="Book Antiqua" w:cs="Times New Roman"/>
          <w:sz w:val="24"/>
          <w:szCs w:val="24"/>
          <w:lang w:val="en-US"/>
        </w:rPr>
        <w:t>6</w:t>
      </w:r>
      <w:r w:rsidR="005C53BA" w:rsidRPr="00612653">
        <w:rPr>
          <w:rFonts w:ascii="Book Antiqua" w:eastAsia="Times New Roman" w:hAnsi="Book Antiqua" w:cs="Times New Roman"/>
          <w:sz w:val="24"/>
          <w:szCs w:val="24"/>
          <w:lang w:val="en-US"/>
        </w:rPr>
        <w:t>F</w:t>
      </w:r>
      <w:r w:rsidR="007C5756" w:rsidRPr="00612653">
        <w:rPr>
          <w:rFonts w:ascii="Book Antiqua" w:eastAsia="Times New Roman" w:hAnsi="Book Antiqua" w:cs="Times New Roman"/>
          <w:sz w:val="24"/>
          <w:szCs w:val="24"/>
          <w:lang w:val="en-US" w:eastAsia="zh-CN"/>
        </w:rPr>
        <w:t xml:space="preserve"> and </w:t>
      </w:r>
      <w:r w:rsidR="005C53BA" w:rsidRPr="00612653">
        <w:rPr>
          <w:rFonts w:ascii="Book Antiqua" w:eastAsia="Times New Roman" w:hAnsi="Book Antiqua" w:cs="Times New Roman"/>
          <w:sz w:val="24"/>
          <w:szCs w:val="24"/>
          <w:lang w:val="en-US"/>
        </w:rPr>
        <w:t>G</w:t>
      </w:r>
      <w:r w:rsidR="0021093C" w:rsidRPr="00612653">
        <w:rPr>
          <w:rFonts w:ascii="Book Antiqua" w:eastAsia="Times New Roman" w:hAnsi="Book Antiqua" w:cs="Times New Roman"/>
          <w:sz w:val="24"/>
          <w:szCs w:val="24"/>
          <w:lang w:val="en-US"/>
        </w:rPr>
        <w:t xml:space="preserve">). </w:t>
      </w:r>
      <w:r w:rsidR="00AB2796" w:rsidRPr="00612653">
        <w:rPr>
          <w:rFonts w:ascii="Book Antiqua" w:eastAsia="Times New Roman" w:hAnsi="Book Antiqua" w:cs="Times New Roman"/>
          <w:sz w:val="24"/>
          <w:szCs w:val="24"/>
          <w:lang w:val="en-US"/>
        </w:rPr>
        <w:t xml:space="preserve">All </w:t>
      </w:r>
      <w:r w:rsidR="00AB2796" w:rsidRPr="00612653">
        <w:rPr>
          <w:rFonts w:ascii="Book Antiqua" w:eastAsia="Times New Roman" w:hAnsi="Book Antiqua" w:cs="Times New Roman"/>
          <w:i/>
          <w:sz w:val="24"/>
          <w:szCs w:val="24"/>
          <w:lang w:val="en-US"/>
        </w:rPr>
        <w:t>ob/ob-</w:t>
      </w:r>
      <w:r w:rsidR="00AB2796" w:rsidRPr="00612653">
        <w:rPr>
          <w:rFonts w:ascii="Book Antiqua" w:eastAsia="Times New Roman" w:hAnsi="Book Antiqua" w:cs="Times New Roman"/>
          <w:sz w:val="24"/>
          <w:szCs w:val="24"/>
          <w:lang w:val="en-US"/>
        </w:rPr>
        <w:t xml:space="preserve">NASH mice included in the experiment showed pre-biopsy confirmed NASH (composite NAS 4-7) and liver fibrosis (stage </w:t>
      </w:r>
      <w:r w:rsidR="00AB2796" w:rsidRPr="00612653">
        <w:rPr>
          <w:rFonts w:ascii="Book Antiqua" w:eastAsia="Times New Roman" w:hAnsi="Book Antiqua" w:cstheme="minorHAnsi"/>
          <w:sz w:val="24"/>
          <w:szCs w:val="24"/>
          <w:lang w:val="en-US"/>
        </w:rPr>
        <w:t>2-3</w:t>
      </w:r>
      <w:r w:rsidR="00AB2796" w:rsidRPr="00612653">
        <w:rPr>
          <w:rFonts w:ascii="Book Antiqua" w:eastAsia="Times New Roman" w:hAnsi="Book Antiqua" w:cs="Times New Roman"/>
          <w:sz w:val="24"/>
          <w:szCs w:val="24"/>
          <w:lang w:val="en-US"/>
        </w:rPr>
        <w:t>), see Figure 7B and Supplementary Fig</w:t>
      </w:r>
      <w:r w:rsidR="00AB2796" w:rsidRPr="00612653">
        <w:rPr>
          <w:rFonts w:ascii="Book Antiqua" w:eastAsia="Times New Roman" w:hAnsi="Book Antiqua" w:cs="Times New Roman"/>
          <w:sz w:val="24"/>
          <w:szCs w:val="24"/>
          <w:lang w:val="en-US" w:eastAsia="zh-CN"/>
        </w:rPr>
        <w:t>ure</w:t>
      </w:r>
      <w:r w:rsidR="00AB2796" w:rsidRPr="00612653">
        <w:rPr>
          <w:rFonts w:ascii="Book Antiqua" w:eastAsia="Times New Roman" w:hAnsi="Book Antiqua" w:cs="Times New Roman"/>
          <w:sz w:val="24"/>
          <w:szCs w:val="24"/>
          <w:lang w:val="en-US"/>
        </w:rPr>
        <w:t xml:space="preserve"> 3. </w:t>
      </w:r>
      <w:r w:rsidR="00426A11" w:rsidRPr="00612653">
        <w:rPr>
          <w:rFonts w:ascii="Book Antiqua" w:eastAsia="Times New Roman" w:hAnsi="Book Antiqua" w:cs="Times New Roman"/>
          <w:sz w:val="24"/>
          <w:szCs w:val="24"/>
          <w:lang w:val="en-US"/>
        </w:rPr>
        <w:t>Elafibranor and</w:t>
      </w:r>
      <w:r w:rsidR="008A0EBD" w:rsidRPr="00612653">
        <w:rPr>
          <w:rFonts w:ascii="Book Antiqua" w:eastAsia="Times New Roman" w:hAnsi="Book Antiqua" w:cs="Times New Roman"/>
          <w:sz w:val="24"/>
          <w:szCs w:val="24"/>
          <w:lang w:val="en-US"/>
        </w:rPr>
        <w:t xml:space="preserve"> OCA</w:t>
      </w:r>
      <w:r w:rsidR="00F94FBD" w:rsidRPr="00612653">
        <w:rPr>
          <w:rFonts w:ascii="Book Antiqua" w:eastAsia="Times New Roman" w:hAnsi="Book Antiqua" w:cs="Times New Roman"/>
          <w:sz w:val="24"/>
          <w:szCs w:val="24"/>
          <w:lang w:val="en-US"/>
        </w:rPr>
        <w:t xml:space="preserve"> </w:t>
      </w:r>
      <w:r w:rsidR="00E35EFD" w:rsidRPr="00612653">
        <w:rPr>
          <w:rFonts w:ascii="Book Antiqua" w:eastAsia="Times New Roman" w:hAnsi="Book Antiqua" w:cs="Times New Roman"/>
          <w:sz w:val="24"/>
          <w:szCs w:val="24"/>
          <w:lang w:val="en-US"/>
        </w:rPr>
        <w:t xml:space="preserve">significantly </w:t>
      </w:r>
      <w:r w:rsidR="008A0EBD" w:rsidRPr="00612653">
        <w:rPr>
          <w:rFonts w:ascii="Book Antiqua" w:eastAsia="Times New Roman" w:hAnsi="Book Antiqua" w:cs="Times New Roman"/>
          <w:sz w:val="24"/>
          <w:szCs w:val="24"/>
          <w:lang w:val="en-US"/>
        </w:rPr>
        <w:t xml:space="preserve">reduced </w:t>
      </w:r>
      <w:r w:rsidR="00E35EFD" w:rsidRPr="00612653">
        <w:rPr>
          <w:rFonts w:ascii="Book Antiqua" w:eastAsia="Times New Roman" w:hAnsi="Book Antiqua" w:cs="Times New Roman"/>
          <w:sz w:val="24"/>
          <w:szCs w:val="24"/>
          <w:lang w:val="en-US"/>
        </w:rPr>
        <w:t xml:space="preserve">composite </w:t>
      </w:r>
      <w:r w:rsidR="008A0EBD" w:rsidRPr="00612653">
        <w:rPr>
          <w:rFonts w:ascii="Book Antiqua" w:eastAsia="Times New Roman" w:hAnsi="Book Antiqua" w:cs="Times New Roman"/>
          <w:sz w:val="24"/>
          <w:szCs w:val="24"/>
          <w:lang w:val="en-US"/>
        </w:rPr>
        <w:t>NAS</w:t>
      </w:r>
      <w:r w:rsidR="00F94FBD" w:rsidRPr="00612653">
        <w:rPr>
          <w:rFonts w:ascii="Book Antiqua" w:eastAsia="Times New Roman" w:hAnsi="Book Antiqua" w:cs="Times New Roman"/>
          <w:sz w:val="24"/>
          <w:szCs w:val="24"/>
          <w:lang w:val="en-US"/>
        </w:rPr>
        <w:t>, total liver fat and galectin-3 content</w:t>
      </w:r>
      <w:r w:rsidR="00E35EFD" w:rsidRPr="00612653">
        <w:rPr>
          <w:rFonts w:ascii="Book Antiqua" w:eastAsia="Times New Roman" w:hAnsi="Book Antiqua" w:cs="Times New Roman"/>
          <w:sz w:val="24"/>
          <w:szCs w:val="24"/>
          <w:lang w:val="en-US"/>
        </w:rPr>
        <w:t xml:space="preserve"> in </w:t>
      </w:r>
      <w:r w:rsidR="00E35EFD" w:rsidRPr="00612653">
        <w:rPr>
          <w:rFonts w:ascii="Book Antiqua" w:eastAsia="Times New Roman" w:hAnsi="Book Antiqua" w:cs="Times New Roman"/>
          <w:i/>
          <w:iCs/>
          <w:sz w:val="24"/>
          <w:szCs w:val="24"/>
          <w:lang w:val="en-US"/>
        </w:rPr>
        <w:t>ob/ob</w:t>
      </w:r>
      <w:r w:rsidR="00E35EFD" w:rsidRPr="00612653">
        <w:rPr>
          <w:rFonts w:ascii="Book Antiqua" w:eastAsia="Times New Roman" w:hAnsi="Book Antiqua" w:cs="Times New Roman"/>
          <w:sz w:val="24"/>
          <w:szCs w:val="24"/>
          <w:lang w:val="en-US"/>
        </w:rPr>
        <w:t>-NASH mice (</w:t>
      </w:r>
      <w:r w:rsidR="00E74C5F" w:rsidRPr="00612653">
        <w:rPr>
          <w:rFonts w:ascii="Book Antiqua" w:eastAsia="Times New Roman" w:hAnsi="Book Antiqua" w:cs="Times New Roman"/>
          <w:sz w:val="24"/>
          <w:szCs w:val="24"/>
          <w:lang w:val="en-US"/>
        </w:rPr>
        <w:t>Fig</w:t>
      </w:r>
      <w:r w:rsidR="00E74C5F" w:rsidRPr="00612653">
        <w:rPr>
          <w:rFonts w:ascii="Book Antiqua" w:eastAsia="Times New Roman" w:hAnsi="Book Antiqua" w:cs="Times New Roman"/>
          <w:sz w:val="24"/>
          <w:szCs w:val="24"/>
          <w:lang w:val="en-US" w:eastAsia="zh-CN"/>
        </w:rPr>
        <w:t>ure</w:t>
      </w:r>
      <w:r w:rsidR="00E74C5F" w:rsidRPr="00612653">
        <w:rPr>
          <w:rFonts w:ascii="Book Antiqua" w:eastAsia="Times New Roman" w:hAnsi="Book Antiqua" w:cs="Times New Roman"/>
          <w:sz w:val="24"/>
          <w:szCs w:val="24"/>
          <w:lang w:val="en-US"/>
        </w:rPr>
        <w:t xml:space="preserve"> </w:t>
      </w:r>
      <w:r w:rsidR="00E35EFD" w:rsidRPr="00612653">
        <w:rPr>
          <w:rFonts w:ascii="Book Antiqua" w:eastAsia="Times New Roman" w:hAnsi="Book Antiqua" w:cs="Times New Roman"/>
          <w:sz w:val="24"/>
          <w:szCs w:val="24"/>
          <w:lang w:val="en-US"/>
        </w:rPr>
        <w:t>7A, B, E</w:t>
      </w:r>
      <w:r w:rsidR="00E74C5F" w:rsidRPr="00612653">
        <w:rPr>
          <w:rFonts w:ascii="Book Antiqua" w:eastAsia="Times New Roman" w:hAnsi="Book Antiqua" w:cs="Times New Roman"/>
          <w:sz w:val="24"/>
          <w:szCs w:val="24"/>
          <w:lang w:val="en-US" w:eastAsia="zh-CN"/>
        </w:rPr>
        <w:t xml:space="preserve"> and </w:t>
      </w:r>
      <w:r w:rsidR="00E35EFD" w:rsidRPr="00612653">
        <w:rPr>
          <w:rFonts w:ascii="Book Antiqua" w:eastAsia="Times New Roman" w:hAnsi="Book Antiqua" w:cs="Times New Roman"/>
          <w:sz w:val="24"/>
          <w:szCs w:val="24"/>
          <w:lang w:val="en-US"/>
        </w:rPr>
        <w:t>F)</w:t>
      </w:r>
      <w:r w:rsidR="00F94FBD" w:rsidRPr="00612653">
        <w:rPr>
          <w:rFonts w:ascii="Book Antiqua" w:eastAsia="Times New Roman" w:hAnsi="Book Antiqua" w:cs="Times New Roman"/>
          <w:sz w:val="24"/>
          <w:szCs w:val="24"/>
          <w:lang w:val="en-US"/>
        </w:rPr>
        <w:t xml:space="preserve">. </w:t>
      </w:r>
      <w:r w:rsidR="000B153D" w:rsidRPr="00612653">
        <w:rPr>
          <w:rFonts w:ascii="Book Antiqua" w:eastAsia="Times New Roman" w:hAnsi="Book Antiqua" w:cs="Times New Roman"/>
          <w:sz w:val="24"/>
          <w:szCs w:val="24"/>
          <w:lang w:val="en-US"/>
        </w:rPr>
        <w:t xml:space="preserve">Liver morphometry was compared in pre- vs. post-treatment liver biopsies. </w:t>
      </w:r>
      <w:r w:rsidR="00F94FBD" w:rsidRPr="00612653">
        <w:rPr>
          <w:rFonts w:ascii="Book Antiqua" w:eastAsia="Times New Roman" w:hAnsi="Book Antiqua" w:cs="Times New Roman"/>
          <w:sz w:val="24"/>
          <w:szCs w:val="24"/>
          <w:lang w:val="en-US"/>
        </w:rPr>
        <w:t>While elafibranor r</w:t>
      </w:r>
      <w:r w:rsidR="00643C4F" w:rsidRPr="00612653">
        <w:rPr>
          <w:rFonts w:ascii="Book Antiqua" w:eastAsia="Times New Roman" w:hAnsi="Book Antiqua" w:cs="Times New Roman"/>
          <w:sz w:val="24"/>
          <w:szCs w:val="24"/>
          <w:lang w:val="en-US"/>
        </w:rPr>
        <w:t xml:space="preserve">educed NAS </w:t>
      </w:r>
      <w:r w:rsidR="008A0EBD" w:rsidRPr="00612653">
        <w:rPr>
          <w:rFonts w:ascii="Book Antiqua" w:eastAsia="Times New Roman" w:hAnsi="Book Antiqua" w:cs="Times New Roman"/>
          <w:sz w:val="24"/>
          <w:szCs w:val="24"/>
          <w:lang w:val="en-US"/>
        </w:rPr>
        <w:t xml:space="preserve">largely </w:t>
      </w:r>
      <w:r w:rsidR="00876CBE" w:rsidRPr="00612653">
        <w:rPr>
          <w:rFonts w:ascii="Book Antiqua" w:eastAsia="Times New Roman" w:hAnsi="Book Antiqua" w:cs="Times New Roman"/>
          <w:sz w:val="24"/>
          <w:szCs w:val="24"/>
          <w:lang w:val="en-US"/>
        </w:rPr>
        <w:t>by improving</w:t>
      </w:r>
      <w:r w:rsidR="008A0EBD" w:rsidRPr="00612653">
        <w:rPr>
          <w:rFonts w:ascii="Book Antiqua" w:eastAsia="Times New Roman" w:hAnsi="Book Antiqua" w:cs="Times New Roman"/>
          <w:sz w:val="24"/>
          <w:szCs w:val="24"/>
          <w:lang w:val="en-US"/>
        </w:rPr>
        <w:t xml:space="preserve"> steatosis a</w:t>
      </w:r>
      <w:r w:rsidR="004A6172" w:rsidRPr="00612653">
        <w:rPr>
          <w:rFonts w:ascii="Book Antiqua" w:eastAsia="Times New Roman" w:hAnsi="Book Antiqua" w:cs="Times New Roman"/>
          <w:sz w:val="24"/>
          <w:szCs w:val="24"/>
          <w:lang w:val="en-US"/>
        </w:rPr>
        <w:t>nd inflammation scores, OCA</w:t>
      </w:r>
      <w:r w:rsidR="008A0EBD" w:rsidRPr="00612653">
        <w:rPr>
          <w:rFonts w:ascii="Book Antiqua" w:eastAsia="Times New Roman" w:hAnsi="Book Antiqua" w:cs="Times New Roman"/>
          <w:sz w:val="24"/>
          <w:szCs w:val="24"/>
          <w:lang w:val="en-US"/>
        </w:rPr>
        <w:t xml:space="preserve"> </w:t>
      </w:r>
      <w:r w:rsidR="007B283D" w:rsidRPr="00612653">
        <w:rPr>
          <w:rFonts w:ascii="Book Antiqua" w:eastAsia="Times New Roman" w:hAnsi="Book Antiqua" w:cs="Times New Roman"/>
          <w:sz w:val="24"/>
          <w:szCs w:val="24"/>
          <w:lang w:val="en-US"/>
        </w:rPr>
        <w:t>also consistently</w:t>
      </w:r>
      <w:r w:rsidR="00F94FBD" w:rsidRPr="00612653">
        <w:rPr>
          <w:rFonts w:ascii="Book Antiqua" w:eastAsia="Times New Roman" w:hAnsi="Book Antiqua" w:cs="Times New Roman"/>
          <w:sz w:val="24"/>
          <w:szCs w:val="24"/>
          <w:lang w:val="en-US"/>
        </w:rPr>
        <w:t xml:space="preserve"> </w:t>
      </w:r>
      <w:r w:rsidR="00B01443" w:rsidRPr="00612653">
        <w:rPr>
          <w:rFonts w:ascii="Book Antiqua" w:eastAsia="Times New Roman" w:hAnsi="Book Antiqua" w:cs="Times New Roman"/>
          <w:sz w:val="24"/>
          <w:szCs w:val="24"/>
          <w:lang w:val="en-US"/>
        </w:rPr>
        <w:t xml:space="preserve">reduced </w:t>
      </w:r>
      <w:r w:rsidR="000B293A" w:rsidRPr="00612653">
        <w:rPr>
          <w:rFonts w:ascii="Book Antiqua" w:eastAsia="Times New Roman" w:hAnsi="Book Antiqua" w:cs="Times New Roman"/>
          <w:sz w:val="24"/>
          <w:szCs w:val="24"/>
          <w:lang w:val="en-US"/>
        </w:rPr>
        <w:t>ballooning</w:t>
      </w:r>
      <w:r w:rsidR="00DC58D1" w:rsidRPr="00612653">
        <w:rPr>
          <w:rFonts w:ascii="Book Antiqua" w:eastAsia="Times New Roman" w:hAnsi="Book Antiqua" w:cs="Times New Roman"/>
          <w:sz w:val="24"/>
          <w:szCs w:val="24"/>
          <w:lang w:val="en-US"/>
        </w:rPr>
        <w:t xml:space="preserve"> </w:t>
      </w:r>
      <w:r w:rsidR="008A0EBD" w:rsidRPr="00612653">
        <w:rPr>
          <w:rFonts w:ascii="Book Antiqua" w:eastAsia="Times New Roman" w:hAnsi="Book Antiqua" w:cs="Times New Roman"/>
          <w:sz w:val="24"/>
          <w:szCs w:val="24"/>
          <w:lang w:val="en-US"/>
        </w:rPr>
        <w:t xml:space="preserve">(Supplementary </w:t>
      </w:r>
      <w:r w:rsidR="00E74C5F" w:rsidRPr="00612653">
        <w:rPr>
          <w:rFonts w:ascii="Book Antiqua" w:eastAsia="Times New Roman" w:hAnsi="Book Antiqua" w:cs="Times New Roman"/>
          <w:sz w:val="24"/>
          <w:szCs w:val="24"/>
          <w:lang w:val="en-US"/>
        </w:rPr>
        <w:t>Fig</w:t>
      </w:r>
      <w:r w:rsidR="00E74C5F" w:rsidRPr="00612653">
        <w:rPr>
          <w:rFonts w:ascii="Book Antiqua" w:eastAsia="Times New Roman" w:hAnsi="Book Antiqua" w:cs="Times New Roman"/>
          <w:sz w:val="24"/>
          <w:szCs w:val="24"/>
          <w:lang w:val="en-US" w:eastAsia="zh-CN"/>
        </w:rPr>
        <w:t>ure</w:t>
      </w:r>
      <w:r w:rsidR="008A0EBD" w:rsidRPr="00612653">
        <w:rPr>
          <w:rFonts w:ascii="Book Antiqua" w:eastAsia="Times New Roman" w:hAnsi="Book Antiqua" w:cs="Times New Roman"/>
          <w:sz w:val="24"/>
          <w:szCs w:val="24"/>
          <w:lang w:val="en-US"/>
        </w:rPr>
        <w:t xml:space="preserve"> 3). Only elafibranor significantly reduced hepatic fibrosis stage (</w:t>
      </w:r>
      <w:r w:rsidR="00E74C5F" w:rsidRPr="00612653">
        <w:rPr>
          <w:rFonts w:ascii="Book Antiqua" w:eastAsia="Times New Roman" w:hAnsi="Book Antiqua" w:cs="Times New Roman"/>
          <w:sz w:val="24"/>
          <w:szCs w:val="24"/>
          <w:lang w:val="en-US"/>
        </w:rPr>
        <w:t>Fig</w:t>
      </w:r>
      <w:r w:rsidR="00E74C5F" w:rsidRPr="00612653">
        <w:rPr>
          <w:rFonts w:ascii="Book Antiqua" w:eastAsia="Times New Roman" w:hAnsi="Book Antiqua" w:cs="Times New Roman"/>
          <w:sz w:val="24"/>
          <w:szCs w:val="24"/>
          <w:lang w:val="en-US" w:eastAsia="zh-CN"/>
        </w:rPr>
        <w:t>ure</w:t>
      </w:r>
      <w:r w:rsidR="008A0EBD" w:rsidRPr="00612653">
        <w:rPr>
          <w:rFonts w:ascii="Book Antiqua" w:eastAsia="Times New Roman" w:hAnsi="Book Antiqua" w:cs="Times New Roman"/>
          <w:sz w:val="24"/>
          <w:szCs w:val="24"/>
          <w:lang w:val="en-US"/>
        </w:rPr>
        <w:t xml:space="preserve"> 7C</w:t>
      </w:r>
      <w:r w:rsidR="00E74C5F" w:rsidRPr="00612653">
        <w:rPr>
          <w:rFonts w:ascii="Book Antiqua" w:eastAsia="Times New Roman" w:hAnsi="Book Antiqua" w:cs="Times New Roman"/>
          <w:sz w:val="24"/>
          <w:szCs w:val="24"/>
          <w:lang w:val="en-US" w:eastAsia="zh-CN"/>
        </w:rPr>
        <w:t xml:space="preserve"> and </w:t>
      </w:r>
      <w:r w:rsidR="008A0EBD" w:rsidRPr="00612653">
        <w:rPr>
          <w:rFonts w:ascii="Book Antiqua" w:eastAsia="Times New Roman" w:hAnsi="Book Antiqua" w:cs="Times New Roman"/>
          <w:sz w:val="24"/>
          <w:szCs w:val="24"/>
          <w:lang w:val="en-US"/>
        </w:rPr>
        <w:t>D)</w:t>
      </w:r>
      <w:r w:rsidR="009E53AE" w:rsidRPr="00612653">
        <w:rPr>
          <w:rFonts w:ascii="Book Antiqua" w:eastAsia="Times New Roman" w:hAnsi="Book Antiqua" w:cs="Times New Roman"/>
          <w:sz w:val="24"/>
          <w:szCs w:val="24"/>
          <w:lang w:val="en-US"/>
        </w:rPr>
        <w:t xml:space="preserve">, but </w:t>
      </w:r>
      <w:r w:rsidR="00F94FBD" w:rsidRPr="00612653">
        <w:rPr>
          <w:rFonts w:ascii="Book Antiqua" w:eastAsia="Times New Roman" w:hAnsi="Book Antiqua" w:cs="Times New Roman"/>
          <w:sz w:val="24"/>
          <w:szCs w:val="24"/>
          <w:lang w:val="en-US"/>
        </w:rPr>
        <w:t>did not change</w:t>
      </w:r>
      <w:r w:rsidR="009E53AE" w:rsidRPr="00612653">
        <w:rPr>
          <w:rFonts w:ascii="Book Antiqua" w:eastAsia="Times New Roman" w:hAnsi="Book Antiqua" w:cs="Times New Roman"/>
          <w:sz w:val="24"/>
          <w:szCs w:val="24"/>
          <w:lang w:val="en-US"/>
        </w:rPr>
        <w:t xml:space="preserve"> total levels of Col1a1 (</w:t>
      </w:r>
      <w:r w:rsidR="00E74C5F" w:rsidRPr="00612653">
        <w:rPr>
          <w:rFonts w:ascii="Book Antiqua" w:eastAsia="Times New Roman" w:hAnsi="Book Antiqua" w:cs="Times New Roman"/>
          <w:sz w:val="24"/>
          <w:szCs w:val="24"/>
          <w:lang w:val="en-US"/>
        </w:rPr>
        <w:t>Fig</w:t>
      </w:r>
      <w:r w:rsidR="00E74C5F" w:rsidRPr="00612653">
        <w:rPr>
          <w:rFonts w:ascii="Book Antiqua" w:eastAsia="Times New Roman" w:hAnsi="Book Antiqua" w:cs="Times New Roman"/>
          <w:sz w:val="24"/>
          <w:szCs w:val="24"/>
          <w:lang w:val="en-US" w:eastAsia="zh-CN"/>
        </w:rPr>
        <w:t>ure</w:t>
      </w:r>
      <w:r w:rsidR="00E74C5F" w:rsidRPr="00612653">
        <w:rPr>
          <w:rFonts w:ascii="Book Antiqua" w:eastAsia="Times New Roman" w:hAnsi="Book Antiqua" w:cs="Times New Roman"/>
          <w:sz w:val="24"/>
          <w:szCs w:val="24"/>
          <w:lang w:val="en-US"/>
        </w:rPr>
        <w:t xml:space="preserve"> </w:t>
      </w:r>
      <w:r w:rsidR="009E53AE" w:rsidRPr="00612653">
        <w:rPr>
          <w:rFonts w:ascii="Book Antiqua" w:eastAsia="Times New Roman" w:hAnsi="Book Antiqua" w:cs="Times New Roman"/>
          <w:sz w:val="24"/>
          <w:szCs w:val="24"/>
          <w:lang w:val="en-US"/>
        </w:rPr>
        <w:t>7F)</w:t>
      </w:r>
      <w:r w:rsidR="008A0EBD" w:rsidRPr="00612653">
        <w:rPr>
          <w:rFonts w:ascii="Book Antiqua" w:eastAsia="Times New Roman" w:hAnsi="Book Antiqua" w:cs="Times New Roman"/>
          <w:sz w:val="24"/>
          <w:szCs w:val="24"/>
          <w:lang w:val="en-US"/>
        </w:rPr>
        <w:t xml:space="preserve">. </w:t>
      </w:r>
      <w:r w:rsidR="00F94FBD" w:rsidRPr="00612653">
        <w:rPr>
          <w:rFonts w:ascii="Book Antiqua" w:eastAsia="Times New Roman" w:hAnsi="Book Antiqua" w:cs="Times New Roman"/>
          <w:sz w:val="24"/>
          <w:szCs w:val="24"/>
          <w:lang w:val="en-US"/>
        </w:rPr>
        <w:t>L</w:t>
      </w:r>
      <w:r w:rsidR="00F53524" w:rsidRPr="00612653">
        <w:rPr>
          <w:rFonts w:ascii="Book Antiqua" w:eastAsia="Times New Roman" w:hAnsi="Book Antiqua" w:cs="Times New Roman"/>
          <w:sz w:val="24"/>
          <w:szCs w:val="24"/>
          <w:lang w:val="en-US"/>
        </w:rPr>
        <w:t xml:space="preserve">iraglutide </w:t>
      </w:r>
      <w:r w:rsidR="00F94FBD" w:rsidRPr="00612653">
        <w:rPr>
          <w:rFonts w:ascii="Book Antiqua" w:eastAsia="Times New Roman" w:hAnsi="Book Antiqua" w:cs="Times New Roman"/>
          <w:sz w:val="24"/>
          <w:szCs w:val="24"/>
          <w:lang w:val="en-US"/>
        </w:rPr>
        <w:t>had</w:t>
      </w:r>
      <w:r w:rsidR="008A0EBD" w:rsidRPr="00612653">
        <w:rPr>
          <w:rFonts w:ascii="Book Antiqua" w:eastAsia="Times New Roman" w:hAnsi="Book Antiqua" w:cs="Times New Roman"/>
          <w:sz w:val="24"/>
          <w:szCs w:val="24"/>
          <w:lang w:val="en-US"/>
        </w:rPr>
        <w:t xml:space="preserve"> no effect on</w:t>
      </w:r>
      <w:r w:rsidR="00F94FBD" w:rsidRPr="00612653">
        <w:rPr>
          <w:rFonts w:ascii="Book Antiqua" w:eastAsia="Times New Roman" w:hAnsi="Book Antiqua" w:cs="Times New Roman"/>
          <w:sz w:val="24"/>
          <w:szCs w:val="24"/>
          <w:lang w:val="en-US"/>
        </w:rPr>
        <w:t xml:space="preserve"> any</w:t>
      </w:r>
      <w:r w:rsidR="00B51197" w:rsidRPr="00612653">
        <w:rPr>
          <w:rFonts w:ascii="Book Antiqua" w:eastAsia="Times New Roman" w:hAnsi="Book Antiqua" w:cs="Times New Roman"/>
          <w:sz w:val="24"/>
          <w:szCs w:val="24"/>
          <w:lang w:val="en-US"/>
        </w:rPr>
        <w:t xml:space="preserve"> individual</w:t>
      </w:r>
      <w:r w:rsidR="00F94FBD" w:rsidRPr="00612653">
        <w:rPr>
          <w:rFonts w:ascii="Book Antiqua" w:eastAsia="Times New Roman" w:hAnsi="Book Antiqua" w:cs="Times New Roman"/>
          <w:sz w:val="24"/>
          <w:szCs w:val="24"/>
          <w:lang w:val="en-US"/>
        </w:rPr>
        <w:t xml:space="preserve"> NAS component</w:t>
      </w:r>
      <w:r w:rsidR="00F71D1F" w:rsidRPr="00612653">
        <w:rPr>
          <w:rFonts w:ascii="Book Antiqua" w:eastAsia="Times New Roman" w:hAnsi="Book Antiqua" w:cs="Times New Roman"/>
          <w:sz w:val="24"/>
          <w:szCs w:val="24"/>
          <w:lang w:val="en-US"/>
        </w:rPr>
        <w:t>, as well as composite NAS,</w:t>
      </w:r>
      <w:r w:rsidR="00F94FBD" w:rsidRPr="00612653">
        <w:rPr>
          <w:rFonts w:ascii="Book Antiqua" w:eastAsia="Times New Roman" w:hAnsi="Book Antiqua" w:cs="Times New Roman"/>
          <w:sz w:val="24"/>
          <w:szCs w:val="24"/>
          <w:lang w:val="en-US"/>
        </w:rPr>
        <w:t xml:space="preserve"> and did not alter </w:t>
      </w:r>
      <w:r w:rsidR="00F71D1F" w:rsidRPr="00612653">
        <w:rPr>
          <w:rFonts w:ascii="Book Antiqua" w:eastAsia="Times New Roman" w:hAnsi="Book Antiqua" w:cs="Times New Roman"/>
          <w:sz w:val="24"/>
          <w:szCs w:val="24"/>
          <w:lang w:val="en-US"/>
        </w:rPr>
        <w:t xml:space="preserve">the </w:t>
      </w:r>
      <w:r w:rsidR="00F94FBD" w:rsidRPr="00612653">
        <w:rPr>
          <w:rFonts w:ascii="Book Antiqua" w:eastAsia="Times New Roman" w:hAnsi="Book Antiqua" w:cs="Times New Roman"/>
          <w:sz w:val="24"/>
          <w:szCs w:val="24"/>
          <w:lang w:val="en-US"/>
        </w:rPr>
        <w:t xml:space="preserve">fibrosis stage </w:t>
      </w:r>
      <w:r w:rsidR="0023375E" w:rsidRPr="00612653">
        <w:rPr>
          <w:rFonts w:ascii="Book Antiqua" w:eastAsia="Times New Roman" w:hAnsi="Book Antiqua" w:cs="Times New Roman"/>
          <w:sz w:val="24"/>
          <w:szCs w:val="24"/>
          <w:lang w:val="en-US"/>
        </w:rPr>
        <w:t>(</w:t>
      </w:r>
      <w:r w:rsidR="00E74C5F" w:rsidRPr="00612653">
        <w:rPr>
          <w:rFonts w:ascii="Book Antiqua" w:eastAsia="Times New Roman" w:hAnsi="Book Antiqua" w:cs="Times New Roman"/>
          <w:sz w:val="24"/>
          <w:szCs w:val="24"/>
          <w:lang w:val="en-US"/>
        </w:rPr>
        <w:t>Fig</w:t>
      </w:r>
      <w:r w:rsidR="00E74C5F" w:rsidRPr="00612653">
        <w:rPr>
          <w:rFonts w:ascii="Book Antiqua" w:eastAsia="Times New Roman" w:hAnsi="Book Antiqua" w:cs="Times New Roman"/>
          <w:sz w:val="24"/>
          <w:szCs w:val="24"/>
          <w:lang w:val="en-US" w:eastAsia="zh-CN"/>
        </w:rPr>
        <w:t>ure</w:t>
      </w:r>
      <w:r w:rsidR="00E74C5F" w:rsidRPr="00612653">
        <w:rPr>
          <w:rFonts w:ascii="Book Antiqua" w:eastAsia="Times New Roman" w:hAnsi="Book Antiqua" w:cs="Times New Roman"/>
          <w:sz w:val="24"/>
          <w:szCs w:val="24"/>
          <w:lang w:val="en-US"/>
        </w:rPr>
        <w:t xml:space="preserve"> </w:t>
      </w:r>
      <w:r w:rsidR="0023375E" w:rsidRPr="00612653">
        <w:rPr>
          <w:rFonts w:ascii="Book Antiqua" w:eastAsia="Times New Roman" w:hAnsi="Book Antiqua" w:cs="Times New Roman"/>
          <w:sz w:val="24"/>
          <w:szCs w:val="24"/>
          <w:lang w:val="en-US"/>
        </w:rPr>
        <w:t>7A</w:t>
      </w:r>
      <w:r w:rsidR="00E74C5F" w:rsidRPr="00612653">
        <w:rPr>
          <w:rFonts w:ascii="Book Antiqua" w:eastAsia="Times New Roman" w:hAnsi="Book Antiqua" w:cs="Times New Roman"/>
          <w:sz w:val="24"/>
          <w:szCs w:val="24"/>
          <w:lang w:val="en-US" w:eastAsia="zh-CN"/>
        </w:rPr>
        <w:t xml:space="preserve"> and </w:t>
      </w:r>
      <w:r w:rsidR="0023375E" w:rsidRPr="00612653">
        <w:rPr>
          <w:rFonts w:ascii="Book Antiqua" w:eastAsia="Times New Roman" w:hAnsi="Book Antiqua" w:cs="Times New Roman"/>
          <w:sz w:val="24"/>
          <w:szCs w:val="24"/>
          <w:lang w:val="en-US"/>
        </w:rPr>
        <w:t xml:space="preserve">B, Supplementary </w:t>
      </w:r>
      <w:r w:rsidR="00E74C5F" w:rsidRPr="00612653">
        <w:rPr>
          <w:rFonts w:ascii="Book Antiqua" w:eastAsia="Times New Roman" w:hAnsi="Book Antiqua" w:cs="Times New Roman"/>
          <w:sz w:val="24"/>
          <w:szCs w:val="24"/>
          <w:lang w:val="en-US"/>
        </w:rPr>
        <w:t>Fig</w:t>
      </w:r>
      <w:r w:rsidR="00E74C5F" w:rsidRPr="00612653">
        <w:rPr>
          <w:rFonts w:ascii="Book Antiqua" w:eastAsia="Times New Roman" w:hAnsi="Book Antiqua" w:cs="Times New Roman"/>
          <w:sz w:val="24"/>
          <w:szCs w:val="24"/>
          <w:lang w:val="en-US" w:eastAsia="zh-CN"/>
        </w:rPr>
        <w:t xml:space="preserve">ure </w:t>
      </w:r>
      <w:r w:rsidR="0023375E" w:rsidRPr="00612653">
        <w:rPr>
          <w:rFonts w:ascii="Book Antiqua" w:eastAsia="Times New Roman" w:hAnsi="Book Antiqua" w:cs="Times New Roman"/>
          <w:sz w:val="24"/>
          <w:szCs w:val="24"/>
          <w:lang w:val="en-US"/>
        </w:rPr>
        <w:t>3)</w:t>
      </w:r>
      <w:r w:rsidR="00F94FBD" w:rsidRPr="00612653">
        <w:rPr>
          <w:rFonts w:ascii="Book Antiqua" w:eastAsia="Times New Roman" w:hAnsi="Book Antiqua" w:cs="Times New Roman"/>
          <w:sz w:val="24"/>
          <w:szCs w:val="24"/>
          <w:lang w:val="en-US"/>
        </w:rPr>
        <w:t>. In contrast,</w:t>
      </w:r>
      <w:r w:rsidR="008A0EBD" w:rsidRPr="00612653">
        <w:rPr>
          <w:rFonts w:ascii="Book Antiqua" w:eastAsia="Times New Roman" w:hAnsi="Book Antiqua" w:cs="Times New Roman"/>
          <w:sz w:val="24"/>
          <w:szCs w:val="24"/>
          <w:lang w:val="en-US"/>
        </w:rPr>
        <w:t xml:space="preserve"> liraglutide significantly reduced total </w:t>
      </w:r>
      <w:r w:rsidR="005D69E8" w:rsidRPr="00612653">
        <w:rPr>
          <w:rFonts w:ascii="Book Antiqua" w:eastAsia="Times New Roman" w:hAnsi="Book Antiqua" w:cs="Times New Roman"/>
          <w:sz w:val="24"/>
          <w:szCs w:val="24"/>
          <w:lang w:val="en-US"/>
        </w:rPr>
        <w:t xml:space="preserve">liver </w:t>
      </w:r>
      <w:r w:rsidR="008A0EBD" w:rsidRPr="00612653">
        <w:rPr>
          <w:rFonts w:ascii="Book Antiqua" w:eastAsia="Times New Roman" w:hAnsi="Book Antiqua" w:cs="Times New Roman"/>
          <w:sz w:val="24"/>
          <w:szCs w:val="24"/>
          <w:lang w:val="en-US"/>
        </w:rPr>
        <w:t xml:space="preserve">levels </w:t>
      </w:r>
      <w:r w:rsidR="005D69E8" w:rsidRPr="00612653">
        <w:rPr>
          <w:rFonts w:ascii="Book Antiqua" w:eastAsia="Times New Roman" w:hAnsi="Book Antiqua" w:cs="Times New Roman"/>
          <w:sz w:val="24"/>
          <w:szCs w:val="24"/>
          <w:lang w:val="en-US"/>
        </w:rPr>
        <w:t>of</w:t>
      </w:r>
      <w:r w:rsidR="008A0EBD" w:rsidRPr="00612653">
        <w:rPr>
          <w:rFonts w:ascii="Book Antiqua" w:eastAsia="Times New Roman" w:hAnsi="Book Antiqua" w:cs="Times New Roman"/>
          <w:sz w:val="24"/>
          <w:szCs w:val="24"/>
          <w:lang w:val="en-US"/>
        </w:rPr>
        <w:t xml:space="preserve"> lipid</w:t>
      </w:r>
      <w:r w:rsidR="00F94FBD" w:rsidRPr="00612653">
        <w:rPr>
          <w:rFonts w:ascii="Book Antiqua" w:eastAsia="Times New Roman" w:hAnsi="Book Antiqua" w:cs="Times New Roman"/>
          <w:sz w:val="24"/>
          <w:szCs w:val="24"/>
          <w:lang w:val="en-US"/>
        </w:rPr>
        <w:t>s</w:t>
      </w:r>
      <w:r w:rsidR="008A0EBD" w:rsidRPr="00612653">
        <w:rPr>
          <w:rFonts w:ascii="Book Antiqua" w:eastAsia="Times New Roman" w:hAnsi="Book Antiqua" w:cs="Times New Roman"/>
          <w:sz w:val="24"/>
          <w:szCs w:val="24"/>
          <w:lang w:val="en-US"/>
        </w:rPr>
        <w:t>, galectin-3 and</w:t>
      </w:r>
      <w:r w:rsidR="009E53AE" w:rsidRPr="00612653">
        <w:rPr>
          <w:rFonts w:ascii="Book Antiqua" w:eastAsia="Times New Roman" w:hAnsi="Book Antiqua" w:cs="Times New Roman"/>
          <w:sz w:val="24"/>
          <w:szCs w:val="24"/>
          <w:lang w:val="en-US"/>
        </w:rPr>
        <w:t xml:space="preserve"> Col1a1 (</w:t>
      </w:r>
      <w:r w:rsidR="00E74C5F" w:rsidRPr="00612653">
        <w:rPr>
          <w:rFonts w:ascii="Book Antiqua" w:eastAsia="Times New Roman" w:hAnsi="Book Antiqua" w:cs="Times New Roman"/>
          <w:sz w:val="24"/>
          <w:szCs w:val="24"/>
          <w:lang w:val="en-US"/>
        </w:rPr>
        <w:t>Fig</w:t>
      </w:r>
      <w:r w:rsidR="00E74C5F" w:rsidRPr="00612653">
        <w:rPr>
          <w:rFonts w:ascii="Book Antiqua" w:eastAsia="Times New Roman" w:hAnsi="Book Antiqua" w:cs="Times New Roman"/>
          <w:sz w:val="24"/>
          <w:szCs w:val="24"/>
          <w:lang w:val="en-US" w:eastAsia="zh-CN"/>
        </w:rPr>
        <w:t>ure</w:t>
      </w:r>
      <w:r w:rsidR="009E53AE" w:rsidRPr="00612653">
        <w:rPr>
          <w:rFonts w:ascii="Book Antiqua" w:eastAsia="Times New Roman" w:hAnsi="Book Antiqua" w:cs="Times New Roman"/>
          <w:sz w:val="24"/>
          <w:szCs w:val="24"/>
          <w:lang w:val="en-US"/>
        </w:rPr>
        <w:t xml:space="preserve"> 7E-G).</w:t>
      </w:r>
    </w:p>
    <w:p w14:paraId="2ED47F13" w14:textId="77777777" w:rsidR="00E74C5F" w:rsidRPr="00612653" w:rsidRDefault="00E74C5F" w:rsidP="00082279">
      <w:pPr>
        <w:snapToGrid w:val="0"/>
        <w:spacing w:after="0" w:line="360" w:lineRule="auto"/>
        <w:jc w:val="both"/>
        <w:rPr>
          <w:rFonts w:ascii="Book Antiqua" w:hAnsi="Book Antiqua"/>
          <w:b/>
          <w:bCs/>
          <w:sz w:val="24"/>
          <w:szCs w:val="24"/>
          <w:lang w:val="en-US" w:eastAsia="zh-CN"/>
        </w:rPr>
      </w:pPr>
    </w:p>
    <w:p w14:paraId="35C60AE3" w14:textId="7B23FE02" w:rsidR="004E73EB" w:rsidRPr="00612653" w:rsidRDefault="004E73EB" w:rsidP="00082279">
      <w:pPr>
        <w:snapToGrid w:val="0"/>
        <w:spacing w:after="0" w:line="360" w:lineRule="auto"/>
        <w:jc w:val="both"/>
        <w:rPr>
          <w:rFonts w:ascii="Book Antiqua" w:hAnsi="Book Antiqua"/>
          <w:b/>
          <w:bCs/>
          <w:sz w:val="24"/>
          <w:szCs w:val="24"/>
          <w:lang w:val="en-US"/>
        </w:rPr>
      </w:pPr>
      <w:r w:rsidRPr="00612653">
        <w:rPr>
          <w:rFonts w:ascii="Book Antiqua" w:hAnsi="Book Antiqua"/>
          <w:b/>
          <w:bCs/>
          <w:sz w:val="24"/>
          <w:szCs w:val="24"/>
          <w:lang w:val="en-US"/>
        </w:rPr>
        <w:t>D</w:t>
      </w:r>
      <w:r w:rsidR="00D01049" w:rsidRPr="00612653">
        <w:rPr>
          <w:rFonts w:ascii="Book Antiqua" w:hAnsi="Book Antiqua"/>
          <w:b/>
          <w:bCs/>
          <w:sz w:val="24"/>
          <w:szCs w:val="24"/>
          <w:lang w:val="en-US"/>
        </w:rPr>
        <w:t>ISCUSSION</w:t>
      </w:r>
      <w:r w:rsidRPr="00612653">
        <w:rPr>
          <w:rFonts w:ascii="Book Antiqua" w:hAnsi="Book Antiqua"/>
          <w:b/>
          <w:bCs/>
          <w:sz w:val="24"/>
          <w:szCs w:val="24"/>
          <w:lang w:val="en-US"/>
        </w:rPr>
        <w:t xml:space="preserve"> </w:t>
      </w:r>
    </w:p>
    <w:p w14:paraId="24823BAA" w14:textId="0F4BD264" w:rsidR="00FF64A9" w:rsidRPr="00612653" w:rsidRDefault="00552F88"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t xml:space="preserve">We </w:t>
      </w:r>
      <w:r w:rsidR="008D6165" w:rsidRPr="00612653">
        <w:rPr>
          <w:rFonts w:ascii="Book Antiqua" w:hAnsi="Book Antiqua"/>
          <w:sz w:val="24"/>
          <w:szCs w:val="24"/>
          <w:lang w:val="en-US"/>
        </w:rPr>
        <w:t xml:space="preserve">and others </w:t>
      </w:r>
      <w:r w:rsidRPr="00612653">
        <w:rPr>
          <w:rFonts w:ascii="Book Antiqua" w:hAnsi="Book Antiqua"/>
          <w:sz w:val="24"/>
          <w:szCs w:val="24"/>
          <w:lang w:val="en-US"/>
        </w:rPr>
        <w:t xml:space="preserve">have </w:t>
      </w:r>
      <w:r w:rsidR="00AD5438" w:rsidRPr="00612653">
        <w:rPr>
          <w:rFonts w:ascii="Book Antiqua" w:hAnsi="Book Antiqua"/>
          <w:sz w:val="24"/>
          <w:szCs w:val="24"/>
          <w:lang w:val="en-US"/>
        </w:rPr>
        <w:t xml:space="preserve">previously </w:t>
      </w:r>
      <w:r w:rsidR="008D6165" w:rsidRPr="00612653">
        <w:rPr>
          <w:rFonts w:ascii="Book Antiqua" w:hAnsi="Book Antiqua"/>
          <w:sz w:val="24"/>
          <w:szCs w:val="24"/>
          <w:lang w:val="en-US"/>
        </w:rPr>
        <w:t>reported</w:t>
      </w:r>
      <w:r w:rsidRPr="00612653">
        <w:rPr>
          <w:rFonts w:ascii="Book Antiqua" w:hAnsi="Book Antiqua"/>
          <w:sz w:val="24"/>
          <w:szCs w:val="24"/>
          <w:lang w:val="en-US"/>
        </w:rPr>
        <w:t xml:space="preserve"> that </w:t>
      </w:r>
      <w:r w:rsidR="00F513B2" w:rsidRPr="00612653">
        <w:rPr>
          <w:rFonts w:ascii="Book Antiqua" w:hAnsi="Book Antiqua"/>
          <w:sz w:val="24"/>
          <w:szCs w:val="24"/>
          <w:lang w:val="en-US"/>
        </w:rPr>
        <w:t>DIO-</w:t>
      </w:r>
      <w:r w:rsidR="00801A28" w:rsidRPr="00612653">
        <w:rPr>
          <w:rFonts w:ascii="Book Antiqua" w:hAnsi="Book Antiqua"/>
          <w:sz w:val="24"/>
          <w:szCs w:val="24"/>
          <w:lang w:val="en-US"/>
        </w:rPr>
        <w:t xml:space="preserve">NASH </w:t>
      </w:r>
      <w:r w:rsidR="00F513B2" w:rsidRPr="00612653">
        <w:rPr>
          <w:rFonts w:ascii="Book Antiqua" w:hAnsi="Book Antiqua"/>
          <w:sz w:val="24"/>
          <w:szCs w:val="24"/>
          <w:lang w:val="en-US"/>
        </w:rPr>
        <w:t>mice develop</w:t>
      </w:r>
      <w:r w:rsidR="00801A28" w:rsidRPr="00612653">
        <w:rPr>
          <w:rFonts w:ascii="Book Antiqua" w:hAnsi="Book Antiqua"/>
          <w:sz w:val="24"/>
          <w:szCs w:val="24"/>
          <w:lang w:val="en-US"/>
        </w:rPr>
        <w:t xml:space="preserve"> </w:t>
      </w:r>
      <w:r w:rsidR="00A62B7C" w:rsidRPr="00612653">
        <w:rPr>
          <w:rFonts w:ascii="Book Antiqua" w:hAnsi="Book Antiqua"/>
          <w:sz w:val="24"/>
          <w:szCs w:val="24"/>
          <w:lang w:val="en-US"/>
        </w:rPr>
        <w:t>low-grade</w:t>
      </w:r>
      <w:r w:rsidR="00801A28" w:rsidRPr="00612653">
        <w:rPr>
          <w:rFonts w:ascii="Book Antiqua" w:hAnsi="Book Antiqua"/>
          <w:sz w:val="24"/>
          <w:szCs w:val="24"/>
          <w:lang w:val="en-US"/>
        </w:rPr>
        <w:t xml:space="preserve"> liver fibrosis when maintained on </w:t>
      </w:r>
      <w:r w:rsidR="006775BE" w:rsidRPr="00612653">
        <w:rPr>
          <w:rFonts w:ascii="Book Antiqua" w:hAnsi="Book Antiqua"/>
          <w:sz w:val="24"/>
          <w:szCs w:val="24"/>
          <w:lang w:val="en-US"/>
        </w:rPr>
        <w:t xml:space="preserve">a </w:t>
      </w:r>
      <w:r w:rsidR="00F94187" w:rsidRPr="00612653">
        <w:rPr>
          <w:rFonts w:ascii="Book Antiqua" w:hAnsi="Book Antiqua"/>
          <w:sz w:val="24"/>
          <w:szCs w:val="24"/>
          <w:lang w:val="en-US"/>
        </w:rPr>
        <w:t>trans</w:t>
      </w:r>
      <w:r w:rsidR="0047068D" w:rsidRPr="00612653">
        <w:rPr>
          <w:rFonts w:ascii="Book Antiqua" w:hAnsi="Book Antiqua"/>
          <w:sz w:val="24"/>
          <w:szCs w:val="24"/>
          <w:lang w:val="en-US"/>
        </w:rPr>
        <w:t>-</w:t>
      </w:r>
      <w:r w:rsidR="00F94187" w:rsidRPr="00612653">
        <w:rPr>
          <w:rFonts w:ascii="Book Antiqua" w:hAnsi="Book Antiqua"/>
          <w:sz w:val="24"/>
          <w:szCs w:val="24"/>
          <w:lang w:val="en-US"/>
        </w:rPr>
        <w:t>fat</w:t>
      </w:r>
      <w:r w:rsidR="0047068D" w:rsidRPr="00612653">
        <w:rPr>
          <w:rFonts w:ascii="Book Antiqua" w:hAnsi="Book Antiqua"/>
          <w:sz w:val="24"/>
          <w:szCs w:val="24"/>
          <w:lang w:val="en-US"/>
        </w:rPr>
        <w:t xml:space="preserve"> </w:t>
      </w:r>
      <w:r w:rsidR="00F94187" w:rsidRPr="00612653">
        <w:rPr>
          <w:rFonts w:ascii="Book Antiqua" w:hAnsi="Book Antiqua"/>
          <w:sz w:val="24"/>
          <w:szCs w:val="24"/>
          <w:lang w:val="en-US"/>
        </w:rPr>
        <w:t>containing obesogenic</w:t>
      </w:r>
      <w:r w:rsidR="00801A28" w:rsidRPr="00612653">
        <w:rPr>
          <w:rFonts w:ascii="Book Antiqua" w:hAnsi="Book Antiqua"/>
          <w:sz w:val="24"/>
          <w:szCs w:val="24"/>
          <w:lang w:val="en-US"/>
        </w:rPr>
        <w:t xml:space="preserve"> diet</w:t>
      </w:r>
      <w:r w:rsidR="008D6165" w:rsidRPr="00612653">
        <w:rPr>
          <w:rFonts w:ascii="Book Antiqua" w:hAnsi="Book Antiqua"/>
          <w:sz w:val="24"/>
          <w:szCs w:val="24"/>
        </w:rPr>
        <w:fldChar w:fldCharType="begin" w:fldLock="1"/>
      </w:r>
      <w:r w:rsidR="00096F21" w:rsidRPr="00612653">
        <w:rPr>
          <w:rFonts w:ascii="Book Antiqua" w:hAnsi="Book Antiqua"/>
          <w:sz w:val="24"/>
          <w:szCs w:val="24"/>
          <w:lang w:val="en-US"/>
        </w:rPr>
        <w:instrText>ADDIN CSL_CITATION { "citationItems" : [ { "id" : "ITEM-1", "itemData" : { "DOI" : "10.4254/wjh.v8.i16.673", "ISSN" : "1948-5182", "PMID" : "27326314", "abstract" : "AIM To characterize development of diet-induced nonalcoholic steatohepatitis (NASH) by performing liver biopsy in wild-type and genetically obese mice. METHODS Male wild-type C57BL/6J (C57) mice (DIO-NASH) and male Lep(ob) /Lep(ob) (ob/ob) mice (ob/ob-NASH) were maintained on a diet high in trans-fat (40%), fructose (22%) and cholesterol (2%) for 26 and 12 wk, respectively. A normal chow diet served as control in C57 mice (lean chow) and ob/ob mice (ob/ob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ob/ob-NASH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ob/ob-NASH vs DIO-NASH mice. During the eight week repeated vehicle dosing period, the metabolic phenotype was sustained in DIO-NASH and ob/ob-NASH mice in conjunction with hepatomegaly and increased hepatic lipids and collagen accumulation. Histopathological scoring demonstrated significantly increased NAS of DIO-NASH mice (0 vs 4.7 \u00b1 0.4, P &lt; 0.001 compared to lean chow) and ob/ob-NASH mice (2.4 \u00b1 0.3 vs 6.3 \u00b1 0.2, P &lt; 0.001 compared to ob/ob chow), respectively. Furthermore, fibrosis stage was significantly elevated for DIO-NASH mice (0 vs 1.2 \u00b1 0.2, P &lt; 0.05 compared to lean chow) and ob/ob NASH (0.1 \u00b1 0.1 vs 3.0 \u00b1 0.2, P &lt; 0.001 compared to ob/ob chow). Notably, fibrosis stage was significantly (P &lt; 0.001) increased in ob/ob-NASH mice, when compared to DIO-NASH mice. CONCLUSION These data introduce the obese diet-induced DIO-NASH and ob/ob-NASH mouse models\u2026", "author" : [ { "dropping-particle" : "", "family" : "Kristiansen", "given" : "Maria Nicoline Baandrup",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"T\u00f8lb\u00f8l", "given" : "Kirstine Sloth", "non-dropping-particle" : "", "parse-names" : false, "suffix" : "" }, { "dropping-particle" : "", "family" : "Roth", "given" : "Jonathan David", "non-dropping-particle" : "", "parse-names" : false, "suffix" : "" }, { "dropping-particle" : "", "family" : "Jelsing", "given" : "Jacob", "non-dropping-particle" : "", "parse-names" : false, "suffix" : "" }, { "dropping-particle" : "", "family" : "Vrang", "given" : "Niels", "non-dropping-particle" : "", "parse-names" : false, "suffix" : "" }, { "dropping-particle" : "", "family" : "Feigh", "given" : "Michael", "non-dropping-particle" : "", "parse-names" : false, "suffix" : "" } ], "container-title" : "World Journal of Hepatology", "id" : "ITEM-1", "issue" : "16", "issued" : { "date-parts" : [ [ "2016", "6", "8" ] ] }, "page" : "673", "title" : "Obese diet-induced mouse models of nonalcoholic steatohepatitis-tracking disease by liver biopsy", "type" : "article-journal", "volume" : "8" }, "uris" : [ "http://www.mendeley.com/documents/?uuid=69bb0cda-5036-450b-90a1-83c8b0817689" ] }, { "id" : "ITEM-2", "itemData" : { "DOI" : "10.1152/ajpgi.00079.2013", "ISBN" : "0193-1857", "ISSN" : "0193-1857", "PMID" : "23886860", "abstract" : "Shortcomings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\u223c18%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 "author" : [ { "dropping-particle" : "", "family" : "Clapper", "given" : "Jason R.", "non-dropping-particle" : "", "parse-names" : false, "suffix" : "" }, { "dropping-particle" : "", "family" : "Hendricks", "given" : "Michelle D.", "non-dropping-particle" : "", "parse-names" : false, "suffix" : "" }, { "dropping-particle" : "", "family" : "Gu", "given" : "Guibao", "non-dropping-particle" : "", "parse-names" : false, "suffix" : "" }, { "dropping-particle" : "", "family" : "Wittmer", "given" : "Carrie", "non-dropping-particle" : "", "parse-names" : false, "suffix" : "" }, { "dropping-particle" : "", "family" : "Dolman", "given" : "Carrie S.", "non-dropping-particle" : "", "parse-names" : false, "suffix" : "" }, { "dropping-particle" : "", "family" : "Herich", "given" : "John", "non-dropping-particle" : "", "parse-names" : false, "suffix" : "" }, { "dropping-particle" : "", "family" : "Athanacio", "given" : "Jennifer", "non-dropping-particle" : "", "parse-names" : false, "suffix" : "" }, { "dropping-particle" : "", "family" : "Villescaz", "given" : "Christiane", "non-dropping-particle" : "", "parse-names" : false, "suffix" : "" }, { "dropping-particle" : "", "family" : "Ghosh", "given" : "Soumitra S.", "non-dropping-particle" : "", "parse-names" : false, "suffix" : "" }, { "dropping-particle" : "", "family" : "Heilig", "given" : "Joseph S.", "non-dropping-particle" : "", "parse-names" : false, "suffix" : "" }, { "dropping-particle" : "", "family" : "Lowe", "given" : "Carolyn", "non-dropping-particle" : "", "parse-names" : false, "suffix" : "" }, { "dropping-particle" : "", "family" : "Roth", "given" : "Jonathan D.", "non-dropping-particle" : "", "parse-names" : false, "suffix" : "" } ], "container-title" : "AJP: Gastrointestinal and Liver Physiology", "id" : "ITEM-2", "issue" : "7", "issued" : { "date-parts" : [ [ "2013", "10", "1" ] ] }, "note" : "From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 "page" : "G483-G495", "title" : "Diet-induced mouse model of fatty liver disease and nonalcoholic steatohepatitis reflecting clinical disease progression and methods of assessment", "type" : "article-journal", "volume" : "305" }, "uris" : [ "http://www.mendeley.com/documents/?uuid=f296c90d-1058-4388-a031-b0fef4d5ade2" ] }, { "id" : "ITEM-3", "itemData" : { "DOI" : "10.1371/journal.pone.0146337", "ISSN" : "1932-6203", "PMID" : "26731267", "abstract" : "BACKGROUND &amp; AIMS In recent years, nonalcoholic steatohepatitis (NASH) has become a considerable healthcare burden worldwide. Pathogenesis of NASH is associated with type 2 diabetes mellitus (T2DM) and insulin resistance. However, a specific drug to treat NASH is lacking. We investigated the effect of the selective sodium glucose cotransporter 2 inhibitor (SGLT2I) ipragliflozin on NASH in mice. METHODS We used the Amylin liver NASH model (AMLN), which is a diet-induced model of NASH that results in obesity and T2DM. AMLN mice were fed an AMLN diet for 20 weeks. SGLT2I mice were fed an AMLN diet for 12 weeks and an AMLN diet with 40 mg ipragliflozin/kg for 8 weeks. RESULTS AMLN mice showed steatosis, inflammation, and fibrosis in the liver as well as obesity and insulin resistance, features that are recognized in human NASH. Ipragliflozin improved insulin resistance and liver injury. Ipragliflozin decreased serum levels of free fatty acids, hepatic lipid content, the number of apoptotic cells, and areas of fibrosis; it also increased lipid outflow from the liver. CONCLUSIONS Ipragliflozin improved the pathogenesis of NASH by reducing insulin resistance and lipotoxicity in NASH-model mice. Our results suggest that ipragliflozin has a therapeutic effect on NASH with T2DM.", "author" : [ { "dropping-particle" : "", "family" : "Honda", "given" : "Yasushi", "non-dropping-particle" : "", "parse-names" : false, "suffix" : "" }, { "dropping-particle" : "", "family" : "Imajo", "given" : "Kento", "non-dropping-particle" : "", "parse-names" : false, "suffix" : "" }, { "dropping-particle" : "", "family" : "Kato", "given" : "Takayuki", "non-dropping-particle" : "", "parse-names" : false, "suffix" : "" }, { "dropping-particle" : "", "family" : "Kessoku", "given" : "Takaomi", "non-dropping-particle" : "", "parse-names" : false, "suffix" : "" }, { "dropping-particle" : "", "family" : "Ogawa", "given" : "Yuji", "non-dropping-particle" : "", "parse-names" : false, "suffix" : "" }, { "dropping-particle" : "", "family" : "Tomeno", "given" : "Wataru", "non-dropping-particle" : "", "parse-names" : false, "suffix" : "" }, { "dropping-particle" : "", "family" : "Kato", "given" : "Shingo", "non-dropping-particle" : "", "parse-names" : false, "suffix" : "" }, { "dropping-particle" : "", "family" : "Mawatari", "given" : "Hironori", "non-dropping-particle" : "", "parse-names" : false, "suffix" : "" }, { "dropping-particle" : "", "family" : "Fujita", "given" : "Koji", "non-dropping-particle" : "", "parse-names" : false, "suffix" : "" }, { "dropping-particle" : "", "family" : "Yoneda", "given" : "Masato", "non-dropping-particle" : "", "parse-names" : false, "suffix" : "" }, { "dropping-particle" : "", "family" : "Saito", "given" : "Satoru", "non-dropping-particle" : "", "parse-names" : false, "suffix" : "" }, { "dropping-particle" : "", "family" : "Nakajima", "given" : "Atsushi", "non-dropping-particle" : "", "parse-names" : false, "suffix" : "" } ], "container-title" : "PLOS ONE", "editor" : [ { "dropping-particle" : "", "family" : "Aspichueta", "given" : "Patricia", "non-dropping-particle" : "", "parse-names" : false, "suffix" : "" } ], "id" : "ITEM-3", "issue" : "1", "issued" : { "date-parts" : [ [ "2016", "1", "5" ] ] }, "page" : "e0146337", "title" : "The Selective SGLT2 Inhibitor Ipragliflozin Has a Therapeutic Effect on Nonalcoholic Steatohepatitis in Mice", "type" : "article-journal", "volume" : "11" }, "uris" : [ "http://www.mendeley.com/documents/?uuid=fc93d771-7e61-3222-aca7-2cf6313a3a1f" ] } ], "mendeley" : { "formattedCitation" : "&lt;sup&gt;[9,19,39]&lt;/sup&gt;", "plainTextFormattedCitation" : "[9,19,39]", "previouslyFormattedCitation" : "&lt;sup&gt;[9,19,39]&lt;/sup&gt;" }, "properties" : { "noteIndex" : 0 }, "schema" : "https://github.com/citation-style-language/schema/raw/master/csl-citation.json" }</w:instrText>
      </w:r>
      <w:r w:rsidR="008D6165" w:rsidRPr="00612653">
        <w:rPr>
          <w:rFonts w:ascii="Book Antiqua" w:hAnsi="Book Antiqua"/>
          <w:sz w:val="24"/>
          <w:szCs w:val="24"/>
          <w:vertAlign w:val="superscript"/>
          <w:lang w:val="en-US"/>
        </w:rPr>
        <w:fldChar w:fldCharType="separate"/>
      </w:r>
      <w:r w:rsidR="00096F21" w:rsidRPr="00612653">
        <w:rPr>
          <w:rFonts w:ascii="Book Antiqua" w:hAnsi="Book Antiqua"/>
          <w:noProof/>
          <w:sz w:val="24"/>
          <w:szCs w:val="24"/>
          <w:vertAlign w:val="superscript"/>
          <w:lang w:val="en-US"/>
        </w:rPr>
        <w:t>[9,19,39]</w:t>
      </w:r>
      <w:r w:rsidR="008D6165" w:rsidRPr="00612653">
        <w:rPr>
          <w:rFonts w:ascii="Book Antiqua" w:hAnsi="Book Antiqua"/>
          <w:sz w:val="24"/>
          <w:szCs w:val="24"/>
        </w:rPr>
        <w:fldChar w:fldCharType="end"/>
      </w:r>
      <w:r w:rsidRPr="00612653">
        <w:rPr>
          <w:rFonts w:ascii="Book Antiqua" w:hAnsi="Book Antiqua"/>
          <w:sz w:val="24"/>
          <w:szCs w:val="24"/>
          <w:lang w:val="en-US"/>
        </w:rPr>
        <w:t>.</w:t>
      </w:r>
      <w:r w:rsidR="00F513B2" w:rsidRPr="00612653">
        <w:rPr>
          <w:rFonts w:ascii="Book Antiqua" w:hAnsi="Book Antiqua"/>
          <w:sz w:val="24"/>
          <w:szCs w:val="24"/>
          <w:lang w:val="en-US"/>
        </w:rPr>
        <w:t xml:space="preserve"> </w:t>
      </w:r>
      <w:r w:rsidR="00795FB5" w:rsidRPr="00612653">
        <w:rPr>
          <w:rFonts w:ascii="Book Antiqua" w:hAnsi="Book Antiqua"/>
          <w:sz w:val="24"/>
          <w:szCs w:val="24"/>
          <w:lang w:val="en-US"/>
        </w:rPr>
        <w:t xml:space="preserve">To obtain </w:t>
      </w:r>
      <w:r w:rsidR="001265F4" w:rsidRPr="00612653">
        <w:rPr>
          <w:rFonts w:ascii="Book Antiqua" w:hAnsi="Book Antiqua"/>
          <w:sz w:val="24"/>
          <w:szCs w:val="24"/>
          <w:lang w:val="en-US"/>
        </w:rPr>
        <w:t xml:space="preserve">further </w:t>
      </w:r>
      <w:r w:rsidR="00795FB5" w:rsidRPr="00612653">
        <w:rPr>
          <w:rFonts w:ascii="Book Antiqua" w:hAnsi="Book Antiqua"/>
          <w:sz w:val="24"/>
          <w:szCs w:val="24"/>
          <w:lang w:val="en-US"/>
        </w:rPr>
        <w:t xml:space="preserve">information on the </w:t>
      </w:r>
      <w:r w:rsidR="001265F4" w:rsidRPr="00612653">
        <w:rPr>
          <w:rFonts w:ascii="Book Antiqua" w:hAnsi="Book Antiqua"/>
          <w:sz w:val="24"/>
          <w:szCs w:val="24"/>
          <w:lang w:val="en-US"/>
        </w:rPr>
        <w:t>pathology in this translational mouse model of NASH</w:t>
      </w:r>
      <w:r w:rsidR="00795FB5" w:rsidRPr="00612653">
        <w:rPr>
          <w:rFonts w:ascii="Book Antiqua" w:hAnsi="Book Antiqua"/>
          <w:sz w:val="24"/>
          <w:szCs w:val="24"/>
          <w:lang w:val="en-US"/>
        </w:rPr>
        <w:t xml:space="preserve"> we initially </w:t>
      </w:r>
      <w:r w:rsidR="00795FB5" w:rsidRPr="00612653">
        <w:rPr>
          <w:rFonts w:ascii="Book Antiqua" w:hAnsi="Book Antiqua"/>
          <w:sz w:val="24"/>
          <w:szCs w:val="24"/>
          <w:lang w:val="en-US"/>
        </w:rPr>
        <w:lastRenderedPageBreak/>
        <w:t xml:space="preserve">performed a detailed </w:t>
      </w:r>
      <w:r w:rsidR="00357411" w:rsidRPr="00612653">
        <w:rPr>
          <w:rFonts w:ascii="Book Antiqua" w:hAnsi="Book Antiqua"/>
          <w:sz w:val="24"/>
          <w:szCs w:val="24"/>
          <w:lang w:val="en-US"/>
        </w:rPr>
        <w:t>investigation on</w:t>
      </w:r>
      <w:r w:rsidR="00795FB5" w:rsidRPr="00612653">
        <w:rPr>
          <w:rFonts w:ascii="Book Antiqua" w:hAnsi="Book Antiqua"/>
          <w:sz w:val="24"/>
          <w:szCs w:val="24"/>
          <w:lang w:val="en-US"/>
        </w:rPr>
        <w:t xml:space="preserve"> </w:t>
      </w:r>
      <w:r w:rsidR="001265F4" w:rsidRPr="00612653">
        <w:rPr>
          <w:rFonts w:ascii="Book Antiqua" w:hAnsi="Book Antiqua"/>
          <w:sz w:val="24"/>
          <w:szCs w:val="24"/>
          <w:lang w:val="en-US"/>
        </w:rPr>
        <w:t xml:space="preserve">the </w:t>
      </w:r>
      <w:r w:rsidR="00357411" w:rsidRPr="00612653">
        <w:rPr>
          <w:rFonts w:ascii="Book Antiqua" w:hAnsi="Book Antiqua"/>
          <w:sz w:val="24"/>
          <w:szCs w:val="24"/>
          <w:lang w:val="en-US"/>
        </w:rPr>
        <w:t xml:space="preserve">disease </w:t>
      </w:r>
      <w:r w:rsidR="001265F4" w:rsidRPr="00612653">
        <w:rPr>
          <w:rFonts w:ascii="Book Antiqua" w:hAnsi="Book Antiqua"/>
          <w:sz w:val="24"/>
          <w:szCs w:val="24"/>
          <w:lang w:val="en-US"/>
        </w:rPr>
        <w:t>onset and progression in DIO-NASH mice</w:t>
      </w:r>
      <w:r w:rsidR="00357411" w:rsidRPr="00612653">
        <w:rPr>
          <w:rFonts w:ascii="Book Antiqua" w:hAnsi="Book Antiqua"/>
          <w:sz w:val="24"/>
          <w:szCs w:val="24"/>
          <w:lang w:val="en-US"/>
        </w:rPr>
        <w:t xml:space="preserve">, followed by comparison of </w:t>
      </w:r>
      <w:r w:rsidR="00767C19" w:rsidRPr="00612653">
        <w:rPr>
          <w:rFonts w:ascii="Book Antiqua" w:hAnsi="Book Antiqua"/>
          <w:sz w:val="24"/>
          <w:szCs w:val="24"/>
          <w:lang w:val="en-US"/>
        </w:rPr>
        <w:t xml:space="preserve">the </w:t>
      </w:r>
      <w:r w:rsidR="00011ACD" w:rsidRPr="00612653">
        <w:rPr>
          <w:rFonts w:ascii="Book Antiqua" w:hAnsi="Book Antiqua"/>
          <w:sz w:val="24"/>
          <w:szCs w:val="24"/>
          <w:lang w:val="en-US"/>
        </w:rPr>
        <w:t xml:space="preserve">treatment </w:t>
      </w:r>
      <w:r w:rsidR="00357411" w:rsidRPr="00612653">
        <w:rPr>
          <w:rFonts w:ascii="Book Antiqua" w:hAnsi="Book Antiqua"/>
          <w:sz w:val="24"/>
          <w:szCs w:val="24"/>
          <w:lang w:val="en-US"/>
        </w:rPr>
        <w:t xml:space="preserve">effects </w:t>
      </w:r>
      <w:r w:rsidR="00767C19" w:rsidRPr="00612653">
        <w:rPr>
          <w:rFonts w:ascii="Book Antiqua" w:hAnsi="Book Antiqua"/>
          <w:sz w:val="24"/>
          <w:szCs w:val="24"/>
          <w:lang w:val="en-US"/>
        </w:rPr>
        <w:t xml:space="preserve">of liraglutide, OCA and elafibranor </w:t>
      </w:r>
      <w:r w:rsidR="00357411" w:rsidRPr="00612653">
        <w:rPr>
          <w:rFonts w:ascii="Book Antiqua" w:hAnsi="Book Antiqua"/>
          <w:sz w:val="24"/>
          <w:szCs w:val="24"/>
          <w:lang w:val="en-US"/>
        </w:rPr>
        <w:t xml:space="preserve">in </w:t>
      </w:r>
      <w:r w:rsidR="00D4431B" w:rsidRPr="00612653">
        <w:rPr>
          <w:rFonts w:ascii="Book Antiqua" w:hAnsi="Book Antiqua"/>
          <w:sz w:val="24"/>
          <w:szCs w:val="24"/>
          <w:lang w:val="en-US"/>
        </w:rPr>
        <w:t xml:space="preserve">both </w:t>
      </w:r>
      <w:r w:rsidR="00357411" w:rsidRPr="00612653">
        <w:rPr>
          <w:rFonts w:ascii="Book Antiqua" w:hAnsi="Book Antiqua"/>
          <w:sz w:val="24"/>
          <w:szCs w:val="24"/>
          <w:lang w:val="en-US"/>
        </w:rPr>
        <w:t xml:space="preserve">DIO-NASH </w:t>
      </w:r>
      <w:r w:rsidR="00D4431B" w:rsidRPr="00612653">
        <w:rPr>
          <w:rFonts w:ascii="Book Antiqua" w:hAnsi="Book Antiqua"/>
          <w:sz w:val="24"/>
          <w:szCs w:val="24"/>
          <w:lang w:val="en-US"/>
        </w:rPr>
        <w:t>and</w:t>
      </w:r>
      <w:r w:rsidR="00357411" w:rsidRPr="00612653">
        <w:rPr>
          <w:rFonts w:ascii="Book Antiqua" w:hAnsi="Book Antiqua"/>
          <w:sz w:val="24"/>
          <w:szCs w:val="24"/>
          <w:lang w:val="en-US"/>
        </w:rPr>
        <w:t xml:space="preserve"> </w:t>
      </w:r>
      <w:r w:rsidR="00357411" w:rsidRPr="00612653">
        <w:rPr>
          <w:rFonts w:ascii="Book Antiqua" w:hAnsi="Book Antiqua"/>
          <w:i/>
          <w:iCs/>
          <w:sz w:val="24"/>
          <w:szCs w:val="24"/>
          <w:lang w:val="en-US"/>
        </w:rPr>
        <w:t>ob/ob</w:t>
      </w:r>
      <w:r w:rsidR="00357411" w:rsidRPr="00612653">
        <w:rPr>
          <w:rFonts w:ascii="Book Antiqua" w:hAnsi="Book Antiqua"/>
          <w:sz w:val="24"/>
          <w:szCs w:val="24"/>
          <w:lang w:val="en-US"/>
        </w:rPr>
        <w:t>-NASH mice</w:t>
      </w:r>
      <w:r w:rsidR="00767C19" w:rsidRPr="00612653">
        <w:rPr>
          <w:rFonts w:ascii="Book Antiqua" w:hAnsi="Book Antiqua"/>
          <w:sz w:val="24"/>
          <w:szCs w:val="24"/>
          <w:lang w:val="en-US"/>
        </w:rPr>
        <w:t>.</w:t>
      </w:r>
    </w:p>
    <w:p w14:paraId="66AADDFB" w14:textId="23FEE107" w:rsidR="00E514AE" w:rsidRPr="00612653" w:rsidRDefault="007C39CA" w:rsidP="00082279">
      <w:pPr>
        <w:snapToGrid w:val="0"/>
        <w:spacing w:after="0" w:line="360" w:lineRule="auto"/>
        <w:ind w:firstLineChars="100" w:firstLine="240"/>
        <w:jc w:val="both"/>
        <w:rPr>
          <w:rFonts w:ascii="Book Antiqua" w:hAnsi="Book Antiqua"/>
          <w:sz w:val="24"/>
          <w:szCs w:val="24"/>
          <w:lang w:val="en-US"/>
        </w:rPr>
      </w:pPr>
      <w:r w:rsidRPr="00612653">
        <w:rPr>
          <w:rFonts w:ascii="Book Antiqua" w:hAnsi="Book Antiqua"/>
          <w:sz w:val="24"/>
          <w:szCs w:val="24"/>
          <w:lang w:val="en-US"/>
        </w:rPr>
        <w:t xml:space="preserve">DIO-NASH mice </w:t>
      </w:r>
      <w:r w:rsidR="001265F4" w:rsidRPr="00612653">
        <w:rPr>
          <w:rFonts w:ascii="Book Antiqua" w:hAnsi="Book Antiqua"/>
          <w:sz w:val="24"/>
          <w:szCs w:val="24"/>
          <w:lang w:val="en-US"/>
        </w:rPr>
        <w:t>exhibited</w:t>
      </w:r>
      <w:r w:rsidRPr="00612653">
        <w:rPr>
          <w:rFonts w:ascii="Book Antiqua" w:hAnsi="Book Antiqua"/>
          <w:sz w:val="24"/>
          <w:szCs w:val="24"/>
          <w:lang w:val="en-US"/>
        </w:rPr>
        <w:t xml:space="preserve"> </w:t>
      </w:r>
      <w:r w:rsidR="00A30398" w:rsidRPr="00612653">
        <w:rPr>
          <w:rFonts w:ascii="Book Antiqua" w:hAnsi="Book Antiqua"/>
          <w:sz w:val="24"/>
          <w:szCs w:val="24"/>
          <w:lang w:val="en-US"/>
        </w:rPr>
        <w:t xml:space="preserve">a </w:t>
      </w:r>
      <w:r w:rsidR="001265F4" w:rsidRPr="00612653">
        <w:rPr>
          <w:rFonts w:ascii="Book Antiqua" w:hAnsi="Book Antiqua"/>
          <w:sz w:val="24"/>
          <w:szCs w:val="24"/>
          <w:lang w:val="en-US"/>
        </w:rPr>
        <w:t xml:space="preserve">relatively </w:t>
      </w:r>
      <w:r w:rsidR="00175CDB" w:rsidRPr="00612653">
        <w:rPr>
          <w:rFonts w:ascii="Book Antiqua" w:hAnsi="Book Antiqua"/>
          <w:sz w:val="24"/>
          <w:szCs w:val="24"/>
          <w:lang w:val="en-US"/>
        </w:rPr>
        <w:t>rapid</w:t>
      </w:r>
      <w:r w:rsidR="00A30398" w:rsidRPr="00612653">
        <w:rPr>
          <w:rFonts w:ascii="Book Antiqua" w:hAnsi="Book Antiqua"/>
          <w:sz w:val="24"/>
          <w:szCs w:val="24"/>
          <w:lang w:val="en-US"/>
        </w:rPr>
        <w:t xml:space="preserve"> onset of </w:t>
      </w:r>
      <w:r w:rsidRPr="00612653">
        <w:rPr>
          <w:rFonts w:ascii="Book Antiqua" w:hAnsi="Book Antiqua"/>
          <w:sz w:val="24"/>
          <w:szCs w:val="24"/>
          <w:lang w:val="en-US"/>
        </w:rPr>
        <w:t>body weight</w:t>
      </w:r>
      <w:r w:rsidR="00A30398" w:rsidRPr="00612653">
        <w:rPr>
          <w:rFonts w:ascii="Book Antiqua" w:hAnsi="Book Antiqua"/>
          <w:sz w:val="24"/>
          <w:szCs w:val="24"/>
          <w:lang w:val="en-US"/>
        </w:rPr>
        <w:t xml:space="preserve"> gain</w:t>
      </w:r>
      <w:r w:rsidR="009562BD" w:rsidRPr="00612653">
        <w:rPr>
          <w:rFonts w:ascii="Book Antiqua" w:hAnsi="Book Antiqua"/>
          <w:sz w:val="24"/>
          <w:szCs w:val="24"/>
          <w:lang w:val="en-US"/>
        </w:rPr>
        <w:t xml:space="preserve"> with </w:t>
      </w:r>
      <w:r w:rsidR="00175CDB" w:rsidRPr="00612653">
        <w:rPr>
          <w:rFonts w:ascii="Book Antiqua" w:hAnsi="Book Antiqua"/>
          <w:sz w:val="24"/>
          <w:szCs w:val="24"/>
          <w:lang w:val="en-US"/>
        </w:rPr>
        <w:t xml:space="preserve">concurrent </w:t>
      </w:r>
      <w:r w:rsidR="008C54EA" w:rsidRPr="00612653">
        <w:rPr>
          <w:rFonts w:ascii="Book Antiqua" w:hAnsi="Book Antiqua"/>
          <w:sz w:val="24"/>
          <w:szCs w:val="24"/>
          <w:lang w:val="en-US"/>
        </w:rPr>
        <w:t xml:space="preserve">liver </w:t>
      </w:r>
      <w:r w:rsidR="00175CDB" w:rsidRPr="00612653">
        <w:rPr>
          <w:rFonts w:ascii="Book Antiqua" w:hAnsi="Book Antiqua"/>
          <w:sz w:val="24"/>
          <w:szCs w:val="24"/>
          <w:lang w:val="en-US"/>
        </w:rPr>
        <w:t>TG and TC accumulation</w:t>
      </w:r>
      <w:r w:rsidR="00C10AC8" w:rsidRPr="00612653">
        <w:rPr>
          <w:rFonts w:ascii="Book Antiqua" w:hAnsi="Book Antiqua"/>
          <w:sz w:val="24"/>
          <w:szCs w:val="24"/>
          <w:lang w:val="en-US"/>
        </w:rPr>
        <w:t xml:space="preserve"> and progressive </w:t>
      </w:r>
      <w:r w:rsidR="00175CDB" w:rsidRPr="00612653">
        <w:rPr>
          <w:rFonts w:ascii="Book Antiqua" w:hAnsi="Book Antiqua"/>
          <w:sz w:val="24"/>
          <w:szCs w:val="24"/>
          <w:lang w:val="en-US"/>
        </w:rPr>
        <w:t>development of hepatomegaly</w:t>
      </w:r>
      <w:r w:rsidRPr="00612653">
        <w:rPr>
          <w:rFonts w:ascii="Book Antiqua" w:hAnsi="Book Antiqua"/>
          <w:sz w:val="24"/>
          <w:szCs w:val="24"/>
          <w:lang w:val="en-US"/>
        </w:rPr>
        <w:t xml:space="preserve">. </w:t>
      </w:r>
      <w:r w:rsidR="0071002C" w:rsidRPr="00612653">
        <w:rPr>
          <w:rFonts w:ascii="Book Antiqua" w:hAnsi="Book Antiqua"/>
          <w:sz w:val="24"/>
          <w:szCs w:val="24"/>
          <w:lang w:val="en-US"/>
        </w:rPr>
        <w:t>DIO-NASH mice developed hypercholesterolemia,</w:t>
      </w:r>
      <w:r w:rsidR="00AC55C8" w:rsidRPr="00612653">
        <w:rPr>
          <w:rFonts w:ascii="Book Antiqua" w:hAnsi="Book Antiqua"/>
          <w:sz w:val="24"/>
          <w:szCs w:val="24"/>
          <w:lang w:val="en-US"/>
        </w:rPr>
        <w:t xml:space="preserve"> but </w:t>
      </w:r>
      <w:r w:rsidR="0071002C" w:rsidRPr="00612653">
        <w:rPr>
          <w:rFonts w:ascii="Book Antiqua" w:hAnsi="Book Antiqua"/>
          <w:sz w:val="24"/>
          <w:szCs w:val="24"/>
          <w:lang w:val="en-US"/>
        </w:rPr>
        <w:t>no</w:t>
      </w:r>
      <w:r w:rsidR="001C4167" w:rsidRPr="00612653">
        <w:rPr>
          <w:rFonts w:ascii="Book Antiqua" w:hAnsi="Book Antiqua"/>
          <w:sz w:val="24"/>
          <w:szCs w:val="24"/>
          <w:lang w:val="en-US"/>
        </w:rPr>
        <w:t>t</w:t>
      </w:r>
      <w:r w:rsidR="0071002C" w:rsidRPr="00612653">
        <w:rPr>
          <w:rFonts w:ascii="Book Antiqua" w:hAnsi="Book Antiqua"/>
          <w:sz w:val="24"/>
          <w:szCs w:val="24"/>
          <w:lang w:val="en-US"/>
        </w:rPr>
        <w:t xml:space="preserve"> hypertriglyceridemia</w:t>
      </w:r>
      <w:r w:rsidR="00E72F01" w:rsidRPr="00612653">
        <w:rPr>
          <w:rFonts w:ascii="Book Antiqua" w:hAnsi="Book Antiqua"/>
          <w:sz w:val="24"/>
          <w:szCs w:val="24"/>
          <w:lang w:val="en-US"/>
        </w:rPr>
        <w:t>. This</w:t>
      </w:r>
      <w:r w:rsidR="00C10AC8" w:rsidRPr="00612653">
        <w:rPr>
          <w:rFonts w:ascii="Book Antiqua" w:hAnsi="Book Antiqua"/>
          <w:sz w:val="24"/>
          <w:szCs w:val="24"/>
          <w:lang w:val="en-US"/>
        </w:rPr>
        <w:t xml:space="preserve"> </w:t>
      </w:r>
      <w:r w:rsidR="001265F4" w:rsidRPr="00612653">
        <w:rPr>
          <w:rFonts w:ascii="Book Antiqua" w:hAnsi="Book Antiqua"/>
          <w:sz w:val="24"/>
          <w:szCs w:val="24"/>
          <w:lang w:val="en-US"/>
        </w:rPr>
        <w:t>is</w:t>
      </w:r>
      <w:r w:rsidR="009222CF" w:rsidRPr="00612653">
        <w:rPr>
          <w:rFonts w:ascii="Book Antiqua" w:hAnsi="Book Antiqua"/>
          <w:sz w:val="24"/>
          <w:szCs w:val="24"/>
          <w:lang w:val="en-US"/>
        </w:rPr>
        <w:t xml:space="preserve"> a</w:t>
      </w:r>
      <w:r w:rsidR="001265F4" w:rsidRPr="00612653">
        <w:rPr>
          <w:rFonts w:ascii="Book Antiqua" w:hAnsi="Book Antiqua"/>
          <w:sz w:val="24"/>
          <w:szCs w:val="24"/>
          <w:lang w:val="en-US"/>
        </w:rPr>
        <w:t xml:space="preserve"> </w:t>
      </w:r>
      <w:r w:rsidR="00701798" w:rsidRPr="00612653">
        <w:rPr>
          <w:rFonts w:ascii="Book Antiqua" w:hAnsi="Book Antiqua"/>
          <w:sz w:val="24"/>
          <w:szCs w:val="24"/>
          <w:lang w:val="en-US"/>
        </w:rPr>
        <w:t>consistent finding</w:t>
      </w:r>
      <w:r w:rsidR="001265F4" w:rsidRPr="00612653">
        <w:rPr>
          <w:rFonts w:ascii="Book Antiqua" w:hAnsi="Book Antiqua"/>
          <w:sz w:val="24"/>
          <w:szCs w:val="24"/>
          <w:lang w:val="en-US"/>
        </w:rPr>
        <w:t xml:space="preserve"> </w:t>
      </w:r>
      <w:r w:rsidR="009222CF" w:rsidRPr="00612653">
        <w:rPr>
          <w:rFonts w:ascii="Book Antiqua" w:hAnsi="Book Antiqua"/>
          <w:sz w:val="24"/>
          <w:szCs w:val="24"/>
          <w:lang w:val="en-US"/>
        </w:rPr>
        <w:t>DIO-NASH mice</w:t>
      </w:r>
      <w:r w:rsidR="009222CF" w:rsidRPr="00612653">
        <w:rPr>
          <w:rFonts w:ascii="Book Antiqua" w:hAnsi="Book Antiqua"/>
          <w:sz w:val="24"/>
          <w:szCs w:val="24"/>
        </w:rPr>
        <w:fldChar w:fldCharType="begin" w:fldLock="1"/>
      </w:r>
      <w:r w:rsidR="00096F21" w:rsidRPr="00612653">
        <w:rPr>
          <w:rFonts w:ascii="Book Antiqua" w:hAnsi="Book Antiqua"/>
          <w:sz w:val="24"/>
          <w:szCs w:val="24"/>
          <w:lang w:val="en-US"/>
        </w:rPr>
        <w:instrText>ADDIN CSL_CITATION { "citationItems" : [ { "id" : "ITEM-1", "itemData" : { "DOI" : "10.4254/wjh.v8.i16.673", "ISSN" : "1948-5182", "PMID" : "27326314", "abstract" : "AIM To characterize development of diet-induced nonalcoholic steatohepatitis (NASH) by performing liver biopsy in wild-type and genetically obese mice. METHODS Male wild-type C57BL/6J (C57) mice (DIO-NASH) and male Lep(ob) /Lep(ob) (ob/ob) mice (ob/ob-NASH) were maintained on a diet high in trans-fat (40%), fructose (22%) and cholesterol (2%) for 26 and 12 wk, respectively. A normal chow diet served as control in C57 mice (lean chow) and ob/ob mice (ob/ob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ob/ob-NASH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ob/ob-NASH vs DIO-NASH mice. During the eight week repeated vehicle dosing period, the metabolic phenotype was sustained in DIO-NASH and ob/ob-NASH mice in conjunction with hepatomegaly and increased hepatic lipids and collagen accumulation. Histopathological scoring demonstrated significantly increased NAS of DIO-NASH mice (0 vs 4.7 \u00b1 0.4, P &lt; 0.001 compared to lean chow) and ob/ob-NASH mice (2.4 \u00b1 0.3 vs 6.3 \u00b1 0.2, P &lt; 0.001 compared to ob/ob chow), respectively. Furthermore, fibrosis stage was significantly elevated for DIO-NASH mice (0 vs 1.2 \u00b1 0.2, P &lt; 0.05 compared to lean chow) and ob/ob NASH (0.1 \u00b1 0.1 vs 3.0 \u00b1 0.2, P &lt; 0.001 compared to ob/ob chow). Notably, fibrosis stage was significantly (P &lt; 0.001) increased in ob/ob-NASH mice, when compared to DIO-NASH mice. CONCLUSION These data introduce the obese diet-induced DIO-NASH and ob/ob-NASH mouse models\u2026", "author" : [ { "dropping-particle" : "", "family" : "Kristiansen", "given" : "Maria Nicoline Baandrup",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"T\u00f8lb\u00f8l", "given" : "Kirstine Sloth", "non-dropping-particle" : "", "parse-names" : false, "suffix" : "" }, { "dropping-particle" : "", "family" : "Roth", "given" : "Jonathan David", "non-dropping-particle" : "", "parse-names" : false, "suffix" : "" }, { "dropping-particle" : "", "family" : "Jelsing", "given" : "Jacob", "non-dropping-particle" : "", "parse-names" : false, "suffix" : "" }, { "dropping-particle" : "", "family" : "Vrang", "given" : "Niels", "non-dropping-particle" : "", "parse-names" : false, "suffix" : "" }, { "dropping-particle" : "", "family" : "Feigh", "given" : "Michael", "non-dropping-particle" : "", "parse-names" : false, "suffix" : "" } ], "container-title" : "World Journal of Hepatology", "id" : "ITEM-1", "issue" : "16", "issued" : { "date-parts" : [ [ "2016", "6", "8" ] ] }, "page" : "673", "title" : "Obese diet-induced mouse models of nonalcoholic steatohepatitis-tracking disease by liver biopsy", "type" : "article-journal", "volume" : "8" }, "uris" : [ "http://www.mendeley.com/documents/?uuid=69bb0cda-5036-450b-90a1-83c8b0817689" ] }, { "id" : "ITEM-2", "itemData" : { "DOI" : "10.1152/ajpgi.00079.2013", "ISBN" : "0193-1857", "ISSN" : "0193-1857", "PMID" : "23886860", "abstract" : "Shortcomings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\u223c18%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 "author" : [ { "dropping-particle" : "", "family" : "Clapper", "given" : "Jason R.", "non-dropping-particle" : "", "parse-names" : false, "suffix" : "" }, { "dropping-particle" : "", "family" : "Hendricks", "given" : "Michelle D.", "non-dropping-particle" : "", "parse-names" : false, "suffix" : "" }, { "dropping-particle" : "", "family" : "Gu", "given" : "Guibao", "non-dropping-particle" : "", "parse-names" : false, "suffix" : "" }, { "dropping-particle" : "", "family" : "Wittmer", "given" : "Carrie", "non-dropping-particle" : "", "parse-names" : false, "suffix" : "" }, { "dropping-particle" : "", "family" : "Dolman", "given" : "Carrie S.", "non-dropping-particle" : "", "parse-names" : false, "suffix" : "" }, { "dropping-particle" : "", "family" : "Herich", "given" : "John", "non-dropping-particle" : "", "parse-names" : false, "suffix" : "" }, { "dropping-particle" : "", "family" : "Athanacio", "given" : "Jennifer", "non-dropping-particle" : "", "parse-names" : false, "suffix" : "" }, { "dropping-particle" : "", "family" : "Villescaz", "given" : "Christiane", "non-dropping-particle" : "", "parse-names" : false, "suffix" : "" }, { "dropping-particle" : "", "family" : "Ghosh", "given" : "Soumitra S.", "non-dropping-particle" : "", "parse-names" : false, "suffix" : "" }, { "dropping-particle" : "", "family" : "Heilig", "given" : "Joseph S.", "non-dropping-particle" : "", "parse-names" : false, "suffix" : "" }, { "dropping-particle" : "", "family" : "Lowe", "given" : "Carolyn", "non-dropping-particle" : "", "parse-names" : false, "suffix" : "" }, { "dropping-particle" : "", "family" : "Roth", "given" : "Jonathan D.", "non-dropping-particle" : "", "parse-names" : false, "suffix" : "" } ], "container-title" : "AJP: Gastrointestinal and Liver Physiology", "id" : "ITEM-2", "issue" : "7", "issued" : { "date-parts" : [ [ "2013", "10", "1" ] ] }, "note" : "From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 "page" : "G483-G495", "title" : "Diet-induced mouse model of fatty liver disease and nonalcoholic steatohepatitis reflecting clinical disease progression and methods of assessment", "type" : "article-journal", "volume" : "305" }, "uris" : [ "http://www.mendeley.com/documents/?uuid=f296c90d-1058-4388-a031-b0fef4d5ade2" ] } ], "mendeley" : { "formattedCitation" : "&lt;sup&gt;[9,19]&lt;/sup&gt;", "plainTextFormattedCitation" : "[9,19]", "previouslyFormattedCitation" : "&lt;sup&gt;[9,19]&lt;/sup&gt;" }, "properties" : { "noteIndex" : 0 }, "schema" : "https://github.com/citation-style-language/schema/raw/master/csl-citation.json" }</w:instrText>
      </w:r>
      <w:r w:rsidR="009222CF" w:rsidRPr="00612653">
        <w:rPr>
          <w:rFonts w:ascii="Book Antiqua" w:hAnsi="Book Antiqua"/>
          <w:sz w:val="24"/>
          <w:szCs w:val="24"/>
          <w:vertAlign w:val="superscript"/>
          <w:lang w:val="en-US"/>
        </w:rPr>
        <w:fldChar w:fldCharType="separate"/>
      </w:r>
      <w:r w:rsidR="00096F21" w:rsidRPr="00612653">
        <w:rPr>
          <w:rFonts w:ascii="Book Antiqua" w:hAnsi="Book Antiqua"/>
          <w:noProof/>
          <w:sz w:val="24"/>
          <w:szCs w:val="24"/>
          <w:vertAlign w:val="superscript"/>
          <w:lang w:val="en-US"/>
        </w:rPr>
        <w:t>[9,19]</w:t>
      </w:r>
      <w:r w:rsidR="009222CF" w:rsidRPr="00612653">
        <w:rPr>
          <w:rFonts w:ascii="Book Antiqua" w:hAnsi="Book Antiqua"/>
          <w:sz w:val="24"/>
          <w:szCs w:val="24"/>
        </w:rPr>
        <w:fldChar w:fldCharType="end"/>
      </w:r>
      <w:r w:rsidR="009222CF" w:rsidRPr="00612653">
        <w:rPr>
          <w:rFonts w:ascii="Book Antiqua" w:hAnsi="Book Antiqua"/>
          <w:sz w:val="24"/>
          <w:szCs w:val="24"/>
          <w:lang w:val="en-US"/>
        </w:rPr>
        <w:t xml:space="preserve">, </w:t>
      </w:r>
      <w:r w:rsidR="006C7C7B" w:rsidRPr="00612653">
        <w:rPr>
          <w:rFonts w:ascii="Book Antiqua" w:hAnsi="Book Antiqua"/>
          <w:sz w:val="24"/>
          <w:szCs w:val="24"/>
          <w:lang w:val="en-US"/>
        </w:rPr>
        <w:t xml:space="preserve">as well as in </w:t>
      </w:r>
      <w:r w:rsidR="006C7C7B" w:rsidRPr="00612653">
        <w:rPr>
          <w:rFonts w:ascii="Book Antiqua" w:hAnsi="Book Antiqua"/>
          <w:i/>
          <w:iCs/>
          <w:sz w:val="24"/>
          <w:szCs w:val="24"/>
          <w:lang w:val="en-US"/>
        </w:rPr>
        <w:t>ob/ob</w:t>
      </w:r>
      <w:r w:rsidR="006C7C7B" w:rsidRPr="00612653">
        <w:rPr>
          <w:rFonts w:ascii="Book Antiqua" w:hAnsi="Book Antiqua"/>
          <w:sz w:val="24"/>
          <w:szCs w:val="24"/>
          <w:lang w:val="en-US"/>
        </w:rPr>
        <w:t>-NASH mice</w:t>
      </w:r>
      <w:r w:rsidR="001265F4" w:rsidRPr="00612653">
        <w:rPr>
          <w:rFonts w:ascii="Book Antiqua" w:hAnsi="Book Antiqua"/>
          <w:sz w:val="24"/>
          <w:szCs w:val="24"/>
        </w:rPr>
        <w:fldChar w:fldCharType="begin" w:fldLock="1"/>
      </w:r>
      <w:r w:rsidR="00267B22" w:rsidRPr="00612653">
        <w:rPr>
          <w:rFonts w:ascii="Book Antiqua" w:hAnsi="Book Antiqua"/>
          <w:sz w:val="24"/>
          <w:szCs w:val="24"/>
          <w:lang w:val="en-US"/>
        </w:rPr>
        <w:instrText>ADDIN CSL_CITATION { "citationItems" : [ { "id" : "ITEM-1", "itemData" : { "DOI" : "10.4254/wjh.v8.i16.673", "ISSN" : "1948-5182", "PMID" : "27326314", "abstract" : "AIM To characterize development of diet-induced nonalcoholic steatohepatitis (NASH) by performing liver biopsy in wild-type and genetically obese mice. METHODS Male wild-type C57BL/6J (C57) mice (DIO-NASH) and male Lep(ob) /Lep(ob) (ob/ob) mice (ob/ob-NASH) were maintained on a diet high in trans-fat (40%), fructose (22%) and cholesterol (2%) for 26 and 12 wk, respectively. A normal chow diet served as control in C57 mice (lean chow) and ob/ob mice (ob/ob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ob/ob-NASH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ob/ob-NASH vs DIO-NASH mice. During the eight week repeated vehicle dosing period, the metabolic phenotype was sustained in DIO-NASH and ob/ob-NASH mice in conjunction with hepatomegaly and increased hepatic lipids and collagen accumulation. Histopathological scoring demonstrated significantly increased NAS of DIO-NASH mice (0 vs 4.7 \u00b1 0.4, P &lt; 0.001 compared to lean chow) and ob/ob-NASH mice (2.4 \u00b1 0.3 vs 6.3 \u00b1 0.2, P &lt; 0.001 compared to ob/ob chow), respectively. Furthermore, fibrosis stage was significantly elevated for DIO-NASH mice (0 vs 1.2 \u00b1 0.2, P &lt; 0.05 compared to lean chow) and ob/ob NASH (0.1 \u00b1 0.1 vs 3.0 \u00b1 0.2, P &lt; 0.001 compared to ob/ob chow). Notably, fibrosis stage was significantly (P &lt; 0.001) increased in ob/ob-NASH mice, when compared to DIO-NASH mice. CONCLUSION These data introduce the obese diet-induced DIO-NASH and ob/ob-NASH mouse models\u2026", "author" : [ { "dropping-particle" : "", "family" : "Kristiansen", "given" : "Maria Nicoline Baandrup",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"T\u00f8lb\u00f8l", "given" : "Kirstine Sloth", "non-dropping-particle" : "", "parse-names" : false, "suffix" : "" }, { "dropping-particle" : "", "family" : "Roth", "given" : "Jonathan David", "non-dropping-particle" : "", "parse-names" : false, "suffix" : "" }, { "dropping-particle" : "", "family" : "Jelsing", "given" : "Jacob", "non-dropping-particle" : "", "parse-names" : false, "suffix" : "" }, { "dropping-particle" : "", "family" : "Vrang", "given" : "Niels", "non-dropping-particle" : "", "parse-names" : false, "suffix" : "" }, { "dropping-particle" : "", "family" : "Feigh", "given" : "Michael", "non-dropping-particle" : "", "parse-names" : false, "suffix" : "" } ], "container-title" : "World Journal of Hepatology", "id" : "ITEM-1", "issue" : "16", "issued" : { "date-parts" : [ [ "2016", "6", "8" ] ] }, "page" : "673", "title" : "Obese diet-induced mouse models of nonalcoholic steatohepatitis-tracking disease by liver biopsy", "type" : "article-journal", "volume" : "8" }, "uris" : [ "http://www.mendeley.com/documents/?uuid=69bb0cda-5036-450b-90a1-83c8b0817689" ] }, { "id" : "ITEM-2", "itemData" : { "DOI" : "10.1152/ajpgi.00476.2011", "ISSN" : "0193-1857", "PMID" : "22268099", "abstract" : "These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 "author" : [ { "dropping-particle" : "", "family" : "Trevaskis", "given" : "J. L.", "non-dropping-particle" : "", "parse-names" : false, "suffix" : "" }, { "dropping-particle" : "", "family" : "Griffin", "given" : "P. S.", "non-dropping-particle" : "", "parse-names" : false, "suffix" : "" }, { "dropping-particle" : "", "family" : "Wittmer", "given" : "C.", "non-dropping-particle" : "", "parse-names" : false, "suffix" : "" }, { "dropping-particle" : "", "family" : "Neuschwander-Tetri", "given" : "B. A.", "non-dropping-particle" : "", "parse-names" : false, "suffix" : "" }, { "dropping-particle" : "", "family" : "Brunt", "given" : "E. M.", "non-dropping-particle" : "", "parse-names" : false, "suffix" : "" }, { "dropping-particle" : "", "family" : "Dolman", "given" : "C. S.", "non-dropping-particle" : "", "parse-names" : false, "suffix" : "" }, { "dropping-particle" : "", "family" : "Erickson", "given" : "M. R.", "non-dropping-particle" : "", "parse-names" : false, "suffix" : "" }, { "dropping-particle" : "", "family" : "Napora", "given" : "J.", "non-dropping-particle" : "", "parse-names" : false, "suffix" : "" }, { "dropping-particle" : "", "family" : "Parkes", "given" : "D. G.", "non-dropping-particle" : "", "parse-names" : false, "suffix" : "" }, { "dropping-particle" : "", "family" : "Roth", "given" : "J. D.", "non-dropping-particle" : "", "parse-names" : false, "suffix" : "" } ], "container-title" : "AJP: Gastrointestinal and Liver Physiology", "id" : "ITEM-2", "issue" : "8", "issued" : { "date-parts" : [ [ "2012", "4", "1" ] ] }, "page" : "G762-G772", "title" : "Glucagon-like peptide-1 receptor agonism improves metabolic, biochemical, and histopathological indices of nonalcoholic steatohepatitis in mice", "type" : "article-journal", "volume" : "302" }, "uris" : [ "http://www.mendeley.com/documents/?uuid=64b2a52f-d879-3106-88dc-e74d1e6a88cb" ] } ], "mendeley" : { "formattedCitation" : "&lt;sup&gt;[10,19]&lt;/sup&gt;", "plainTextFormattedCitation" : "[10,19]", "previouslyFormattedCitation" : "&lt;sup&gt;[10,19]&lt;/sup&gt;" }, "properties" : { "noteIndex" : 0 }, "schema" : "https://github.com/citation-style-language/schema/raw/master/csl-citation.json" }</w:instrText>
      </w:r>
      <w:r w:rsidR="001265F4" w:rsidRPr="00612653">
        <w:rPr>
          <w:rFonts w:ascii="Book Antiqua" w:hAnsi="Book Antiqua"/>
          <w:sz w:val="24"/>
          <w:szCs w:val="24"/>
          <w:vertAlign w:val="superscript"/>
          <w:lang w:val="en-US"/>
        </w:rPr>
        <w:fldChar w:fldCharType="separate"/>
      </w:r>
      <w:r w:rsidR="00267B22" w:rsidRPr="00612653">
        <w:rPr>
          <w:rFonts w:ascii="Book Antiqua" w:hAnsi="Book Antiqua"/>
          <w:noProof/>
          <w:sz w:val="24"/>
          <w:szCs w:val="24"/>
          <w:vertAlign w:val="superscript"/>
          <w:lang w:val="en-US"/>
        </w:rPr>
        <w:t>[10,19]</w:t>
      </w:r>
      <w:r w:rsidR="001265F4" w:rsidRPr="00612653">
        <w:rPr>
          <w:rFonts w:ascii="Book Antiqua" w:hAnsi="Book Antiqua"/>
          <w:sz w:val="24"/>
          <w:szCs w:val="24"/>
        </w:rPr>
        <w:fldChar w:fldCharType="end"/>
      </w:r>
      <w:r w:rsidR="001265F4" w:rsidRPr="00612653">
        <w:rPr>
          <w:rFonts w:ascii="Book Antiqua" w:hAnsi="Book Antiqua"/>
          <w:sz w:val="24"/>
          <w:szCs w:val="24"/>
          <w:lang w:val="en-US"/>
        </w:rPr>
        <w:t xml:space="preserve"> </w:t>
      </w:r>
      <w:r w:rsidR="006C7C7B" w:rsidRPr="00612653">
        <w:rPr>
          <w:rFonts w:ascii="Book Antiqua" w:hAnsi="Book Antiqua"/>
          <w:sz w:val="24"/>
          <w:szCs w:val="24"/>
          <w:lang w:val="en-US"/>
        </w:rPr>
        <w:t xml:space="preserve">and </w:t>
      </w:r>
      <w:r w:rsidR="001265F4" w:rsidRPr="00612653">
        <w:rPr>
          <w:rFonts w:ascii="Book Antiqua" w:hAnsi="Book Antiqua"/>
          <w:sz w:val="24"/>
          <w:szCs w:val="24"/>
          <w:lang w:val="en-US"/>
        </w:rPr>
        <w:t xml:space="preserve">other </w:t>
      </w:r>
      <w:r w:rsidR="00940E1A" w:rsidRPr="00612653">
        <w:rPr>
          <w:rFonts w:ascii="Book Antiqua" w:hAnsi="Book Antiqua"/>
          <w:sz w:val="24"/>
          <w:szCs w:val="24"/>
          <w:lang w:val="en-US"/>
        </w:rPr>
        <w:t>Western diet-based</w:t>
      </w:r>
      <w:r w:rsidR="001265F4" w:rsidRPr="00612653">
        <w:rPr>
          <w:rFonts w:ascii="Book Antiqua" w:hAnsi="Book Antiqua"/>
          <w:sz w:val="24"/>
          <w:szCs w:val="24"/>
          <w:lang w:val="en-US"/>
        </w:rPr>
        <w:t xml:space="preserve"> </w:t>
      </w:r>
      <w:r w:rsidR="00AD5438" w:rsidRPr="00612653">
        <w:rPr>
          <w:rFonts w:ascii="Book Antiqua" w:hAnsi="Book Antiqua"/>
          <w:sz w:val="24"/>
          <w:szCs w:val="24"/>
          <w:lang w:val="en-US"/>
        </w:rPr>
        <w:t xml:space="preserve">mouse </w:t>
      </w:r>
      <w:r w:rsidR="001265F4" w:rsidRPr="00612653">
        <w:rPr>
          <w:rFonts w:ascii="Book Antiqua" w:hAnsi="Book Antiqua"/>
          <w:sz w:val="24"/>
          <w:szCs w:val="24"/>
          <w:lang w:val="en-US"/>
        </w:rPr>
        <w:t>models of NASH</w:t>
      </w:r>
      <w:r w:rsidR="00C10AC8" w:rsidRPr="00612653">
        <w:rPr>
          <w:rFonts w:ascii="Book Antiqua" w:hAnsi="Book Antiqua"/>
          <w:sz w:val="24"/>
          <w:szCs w:val="24"/>
        </w:rPr>
        <w:fldChar w:fldCharType="begin" w:fldLock="1"/>
      </w:r>
      <w:r w:rsidR="00096F21" w:rsidRPr="00612653">
        <w:rPr>
          <w:rFonts w:ascii="Book Antiqua" w:hAnsi="Book Antiqua"/>
          <w:sz w:val="24"/>
          <w:szCs w:val="24"/>
          <w:lang w:val="en-US"/>
        </w:rPr>
        <w:instrText>ADDIN CSL_CITATION { "citationItems" : [ { "id" : "ITEM-1", "itemData" : { "DOI" : "10.2119/molmed.2016.00203", "ISSN" : "1528-3658", "PMID" : "28332698", "abstract" : "Non-alcoholic fatty liver disease (NAFLD) and non-alcoholic steatohepatitis (NASH) are hepatic manifestations of the metabolic syndrome. Many currently used animal models of NAFLD/NASH lack clinical features of either NASH or metabolic syndrome such as hepatic inflammation and fibrosis (e.g. high-fat diets) or overweight and insulin resistance (e.g. methionine-choline-deficient diets) or they are based on monogenetic defects (e.g. ob/ob mice). In the current study, a western-type diet containing soybean oil with high n 6-PUFA and 0.75% cholesterol (SOD+Cho) induced steatosis, inflammation and fibrosis accompanied by hepatic lipid peroxidation and oxidative stress in livers of C57BL/6-mice which in addition showed increased weight gain and insulin resistance, thus displaying a phenotype closely resembling all clinical features of NASH in patients with metabolic syndrome. In striking contrast a soybean oil-containing western-type diet without cholesterol (SOD) induced only mild steatosis but neither hepatic inflammation nor fibrosis, weight gain or insulin resistance. Another high-fat diet mainly consisting of lard and supplemented with fructose in drinking water (LAD+Fru) resulted in more prominent weight gain, insulin resistance and hepatic steatosis than SOD+Cho but livers were devoid of inflammation and fibrosis. Although both LAD+Fru- and SOD+Cho-fed animals had high plasma cholesterol, liver cholesterol was elevated only in SOD+Cho animals. Cholesterol induced expression of chemotactic and inflammatory cytokines in cultured Kupffer cells and rendered hepatocytes more susceptible to apoptosis. Summarizing, dietary cholesterol in SOD+Cho diet may trigger hepatic inflammation and fibrosis. SOD+Cho-fed animals may be a useful disease model displaying many clinical features of patients with the metabolic syndrome and NASH.", "author" : [ { "dropping-particle" : "", "family" : "Henkel", "given" : "Janin", "non-dropping-particle" : "", "parse-names" : false, "suffix" : "" }, { "dropping-particle" : "", "family" : "Coleman", "given" : "Charles Dominic", "non-dropping-particle" : "", "parse-names" : false, "suffix" : "" }, { "dropping-particle" : "", "family" : "Schraplau", "given" : "Anne", "non-dropping-particle" : "", "parse-names" : false, "suffix" : "" }, { "dropping-particle" : "", "family" : "J\u04e7hrens", "given" : "Korinna", "non-dropping-particle" : "", "parse-names" : false, "suffix" : "" }, { "dropping-particle" : "", "family" : "Weber", "given" : "Daniela", "non-dropping-particle" : "", "parse-names" : false, "suffix" : "" }, { "dropping-particle" : "", "family" : "Castro", "given" : "Jos\u00e9 Pedro", "non-dropping-particle" : "", "parse-names" : false, "suffix" : "" }, { "dropping-particle" : "", "family" : "Hugo", "given" : "Martin", "non-dropping-particle" : "", "parse-names" : false, "suffix" : "" }, { "dropping-particle" : "", "family" : "Schulz", "given" : "Tim Julius", "non-dropping-particle" : "", "parse-names" : false, "suffix" : "" }, { "dropping-particle" : "", "family" : "Kr\u00e4mer", "given" : "Stephanie", "non-dropping-particle" : "", "parse-names" : false, "suffix" : "" }, { "dropping-particle" : "", "family" : "Sch\u00fcrmann", "given" : "Annette", "non-dropping-particle" : "", "parse-names" : false, "suffix" : "" }, { "dropping-particle" : "", "family" : "P\u00fcschel", "given" : "Gerhard Paul", "non-dropping-particle" : "", "parse-names" : false, "suffix" : "" } ], "container-title" : "Molecular medicine (Cambridge, Mass.)", "id" : "ITEM-1", "issue" : "1", "issued" : { "date-parts" : [ [ "2017", "3", "21" ] ] }, "page" : "1", "title" : "Induction of steatohepatitis (NASH) with insulin resistance in wildtype B6 mice by a western-type diet containing soybean oil and cholesterol.", "type" : "article-journal", "volume" : "23" }, "uris" : [ "http://www.mendeley.com/documents/?uuid=c88102f0-2273-3512-855c-ceb869742d45" ] }, { "id" : "ITEM-2", "itemData" : { "DOI" : "10.1152/ajpgi.00213.2016", "ISSN" : "1522-1547", "PMID" : "28232454", "abstract" : "The sequence of events that lead to inflammation and fibrosing nonalcoholic steatohepatitis (NASH) is incompletely understood. Hence, we investigated the chronology of whole body, tissue, and cellular events that occur during the evolution of diet-induced NASH. Male C57Bl/6 mice were assigned to a fast-food (FF; high calorie, high cholesterol, high fructose) or standard-chow (SC) diet over a period of 36 wk. Liver histology, body composition, mitochondrial respiration, metabolic rate, gene expression, and hepatic lipid content were analyzed. Insulin resistance [homeostasis model assessment-insulin resistance (HOMA-IR)] increased 10-fold after 4 wk. Fibrosing NASH was fully established by 16 wk. Total hepatic lipids increased by 4 wk and remained two- to threefold increased throughout. Hepatic triglycerides declined from sixfold increase at 8 wk to threefold increase by 36 wk. In contrast, hepatic cholesterol levels steadily increased from baseline at 8 wk to twofold by 36 wk. The hepatic immune cell population altered over time with macrophages persisting beyond 16 wk. Mitochondrial oxygen flux rates of FF mice diet were uniformly lower with all the tested substrates (13-276 pmol\u00b7s(-1)\u00b7ml(-1) per unit citrate synthase) than SC mice (17-394 pmol\u00b7s(-1)\u00b7ml(-1) per unit citrate synthase) and was accompanied by decreased mitochondrial:nuclear gene copy number ratios after 4 wk. Metabolic rate was lower in FF mice. Mitochondrial glutathione was significantly decreased at 24 wk in FF mice. Expression of dismutases and catalase was also decreased in FF mice. The evolution of NASH in the FF diet-induced model is multiphasic, particularly in terms of hepatic lipid composition. Insulin resistance precedes hepatic inflammation and fibrosis. Mitochondrial dysfunction and depletion occur after the histological features of NASH are apparent. Collectively, these observations provide a unique overview of the sequence of changes that coevolve with the histological evolution of NASH.NEW &amp; NOTEWORTHY This study demonstrates in a first of kind longitudinal analysis, the evolution of nonalcoholic steatohepatitis (NASH) on a fast-food diet-induced model. Key findings include 1) hepatic lipid composition changes in a multiphasic fashion as NASH evolves; 2) insulin resistance precedes hepatic inflammation and fibrosis, answering a longstanding chicken-and-egg question regarding the relationship of insulin resistance to liver histology in NASH; and 3) mitochondrial dysfunction a\u2026", "author" : [ { "dropping-particle" : "", "family" : "Krishnan", "given" : "Anuradha", "non-dropping-particle" : "", "parse-names" : false, "suffix" : "" }, { "dropping-particle" : "", "family" : "Abdullah", "given" : "Tasduq Sheikh", "non-dropping-particle" : "", "parse-names" : false, "suffix" : "" }, { "dropping-particle" : "", "family" : "Mounajjed", "given" : "Taofic", "non-dropping-particle" : "", "parse-names" : false, "suffix" : "" }, { "dropping-particle" : "", "family" : "Hartono", "given" : "Stella", "non-dropping-particle" : "", "parse-names" : false, "suffix" : "" }, { "dropping-particle" : "", "family" : "McConico", "given" : "Andrea", "non-dropping-particle" : "", "parse-names" : false, "suffix" : "" }, { "dropping-particle" : "", "family" : "White", "given" : "Thomas", "non-dropping-particle" : "", "parse-names" : false, "suffix" : "" }, { "dropping-particle" : "", "family" : "LeBrasseur", "given" : "Nathan", "non-dropping-particle" : "", "parse-names" : false, "suffix" : "" }, { "dropping-particle" : "", "family" : "Lanza", "given" : "Ian", "non-dropping-particle" : "", "parse-names" : false, "suffix" : "" }, { "dropping-particle" : "", "family" : "Nair", "given" : "Sreekumaran", "non-dropping-particle" : "", "parse-names" : false, "suffix" : "" }, { "dropping-particle" : "", "family" : "Gores", "given" : "Gregory", "non-dropping-particle" : "", "parse-names" : false, "suffix" : "" }, { "dropping-particle" : "", "family" : "Charlton", "given" : "Michael", "non-dropping-particle" : "", "parse-names" : false, "suffix" : "" } ], "container-title" : "American journal of physiology. Gastrointestinal and liver physiology", "id" : "ITEM-2", "issue" : "6", "issued" : { "date-parts" : [ [ "2017", "6", "1" ] ] }, "page" : "G666-G680", "title" : "A longitudinal study of whole body, tissue, and cellular physiology in a mouse model of fibrosing NASH with high fidelity to the human condition.", "type" : "article-journal", "volume" : "312" }, "uris" : [ "http://www.mendeley.com/documents/?uuid=6a84eab6-7a8b-3b9e-bf38-9fbdd5390487" ] } ], "mendeley" : { "formattedCitation" : "&lt;sup&gt;[12,40]&lt;/sup&gt;", "plainTextFormattedCitation" : "[12,40]", "previouslyFormattedCitation" : "&lt;sup&gt;[12,40]&lt;/sup&gt;" }, "properties" : { "noteIndex" : 0 }, "schema" : "https://github.com/citation-style-language/schema/raw/master/csl-citation.json" }</w:instrText>
      </w:r>
      <w:r w:rsidR="00C10AC8" w:rsidRPr="00612653">
        <w:rPr>
          <w:rFonts w:ascii="Book Antiqua" w:hAnsi="Book Antiqua"/>
          <w:sz w:val="24"/>
          <w:szCs w:val="24"/>
          <w:vertAlign w:val="superscript"/>
          <w:lang w:val="en-US"/>
        </w:rPr>
        <w:fldChar w:fldCharType="separate"/>
      </w:r>
      <w:r w:rsidR="00096F21" w:rsidRPr="00612653">
        <w:rPr>
          <w:rFonts w:ascii="Book Antiqua" w:hAnsi="Book Antiqua"/>
          <w:noProof/>
          <w:sz w:val="24"/>
          <w:szCs w:val="24"/>
          <w:vertAlign w:val="superscript"/>
          <w:lang w:val="en-US"/>
        </w:rPr>
        <w:t>[12,40]</w:t>
      </w:r>
      <w:r w:rsidR="00C10AC8" w:rsidRPr="00612653">
        <w:rPr>
          <w:rFonts w:ascii="Book Antiqua" w:hAnsi="Book Antiqua"/>
          <w:sz w:val="24"/>
          <w:szCs w:val="24"/>
        </w:rPr>
        <w:fldChar w:fldCharType="end"/>
      </w:r>
      <w:r w:rsidR="00C10AC8" w:rsidRPr="00612653">
        <w:rPr>
          <w:rFonts w:ascii="Book Antiqua" w:hAnsi="Book Antiqua"/>
          <w:sz w:val="24"/>
          <w:szCs w:val="24"/>
          <w:lang w:val="en-US"/>
        </w:rPr>
        <w:t xml:space="preserve">. </w:t>
      </w:r>
      <w:r w:rsidR="009222CF" w:rsidRPr="00612653">
        <w:rPr>
          <w:rFonts w:ascii="Book Antiqua" w:hAnsi="Book Antiqua"/>
          <w:sz w:val="24"/>
          <w:szCs w:val="24"/>
          <w:lang w:val="en-US"/>
        </w:rPr>
        <w:t>I</w:t>
      </w:r>
      <w:r w:rsidR="009575FE" w:rsidRPr="00612653">
        <w:rPr>
          <w:rFonts w:ascii="Book Antiqua" w:hAnsi="Book Antiqua"/>
          <w:sz w:val="24"/>
          <w:szCs w:val="24"/>
          <w:lang w:val="en-US"/>
        </w:rPr>
        <w:t>n contrast,</w:t>
      </w:r>
      <w:r w:rsidR="009222CF" w:rsidRPr="00612653">
        <w:rPr>
          <w:rFonts w:ascii="Book Antiqua" w:hAnsi="Book Antiqua"/>
          <w:sz w:val="24"/>
          <w:szCs w:val="24"/>
          <w:lang w:val="en-US"/>
        </w:rPr>
        <w:t xml:space="preserve"> </w:t>
      </w:r>
      <w:r w:rsidR="009575FE" w:rsidRPr="00612653">
        <w:rPr>
          <w:rFonts w:ascii="Book Antiqua" w:hAnsi="Book Antiqua"/>
          <w:sz w:val="24"/>
          <w:szCs w:val="24"/>
          <w:lang w:val="en-US"/>
        </w:rPr>
        <w:t>high-fat diets</w:t>
      </w:r>
      <w:r w:rsidR="00614A35" w:rsidRPr="00612653">
        <w:rPr>
          <w:rFonts w:ascii="Book Antiqua" w:hAnsi="Book Antiqua"/>
          <w:sz w:val="24"/>
          <w:szCs w:val="24"/>
          <w:lang w:val="en-US"/>
        </w:rPr>
        <w:t xml:space="preserve"> </w:t>
      </w:r>
      <w:r w:rsidR="006C7C7B" w:rsidRPr="00612653">
        <w:rPr>
          <w:rFonts w:ascii="Book Antiqua" w:hAnsi="Book Antiqua"/>
          <w:sz w:val="24"/>
          <w:szCs w:val="24"/>
          <w:lang w:val="en-US"/>
        </w:rPr>
        <w:t xml:space="preserve">with lower </w:t>
      </w:r>
      <w:r w:rsidR="00BB02F8" w:rsidRPr="00612653">
        <w:rPr>
          <w:rFonts w:ascii="Book Antiqua" w:hAnsi="Book Antiqua"/>
          <w:sz w:val="24"/>
          <w:szCs w:val="24"/>
          <w:lang w:val="en-US"/>
        </w:rPr>
        <w:t>c</w:t>
      </w:r>
      <w:r w:rsidR="006C7C7B" w:rsidRPr="00612653">
        <w:rPr>
          <w:rFonts w:ascii="Book Antiqua" w:hAnsi="Book Antiqua"/>
          <w:sz w:val="24"/>
          <w:szCs w:val="24"/>
          <w:lang w:val="en-US"/>
        </w:rPr>
        <w:t xml:space="preserve">holesterol content (0.2%) </w:t>
      </w:r>
      <w:r w:rsidR="00DC1F3E" w:rsidRPr="00612653">
        <w:rPr>
          <w:rFonts w:ascii="Book Antiqua" w:hAnsi="Book Antiqua"/>
          <w:sz w:val="24"/>
          <w:szCs w:val="24"/>
          <w:lang w:val="en-US"/>
        </w:rPr>
        <w:t xml:space="preserve">are reported to induce </w:t>
      </w:r>
      <w:r w:rsidR="006C7C7B" w:rsidRPr="00612653">
        <w:rPr>
          <w:rFonts w:ascii="Book Antiqua" w:hAnsi="Book Antiqua"/>
          <w:sz w:val="24"/>
          <w:szCs w:val="24"/>
          <w:lang w:val="en-US"/>
        </w:rPr>
        <w:t>combined</w:t>
      </w:r>
      <w:r w:rsidR="00763C64" w:rsidRPr="00612653">
        <w:rPr>
          <w:rFonts w:ascii="Book Antiqua" w:hAnsi="Book Antiqua"/>
          <w:sz w:val="24"/>
          <w:szCs w:val="24"/>
          <w:lang w:val="en-US"/>
        </w:rPr>
        <w:t xml:space="preserve"> </w:t>
      </w:r>
      <w:r w:rsidR="0063471E" w:rsidRPr="00612653">
        <w:rPr>
          <w:rFonts w:ascii="Book Antiqua" w:hAnsi="Book Antiqua"/>
          <w:sz w:val="24"/>
          <w:szCs w:val="24"/>
          <w:lang w:val="en-US"/>
        </w:rPr>
        <w:t>hypertriglyceridemia</w:t>
      </w:r>
      <w:r w:rsidR="00763C64" w:rsidRPr="00612653">
        <w:rPr>
          <w:rFonts w:ascii="Book Antiqua" w:hAnsi="Book Antiqua"/>
          <w:sz w:val="24"/>
          <w:szCs w:val="24"/>
          <w:lang w:val="en-US"/>
        </w:rPr>
        <w:t xml:space="preserve"> and hypercholesterolemia</w:t>
      </w:r>
      <w:r w:rsidR="0063471E" w:rsidRPr="00612653">
        <w:rPr>
          <w:rFonts w:ascii="Book Antiqua" w:hAnsi="Book Antiqua"/>
          <w:sz w:val="24"/>
          <w:szCs w:val="24"/>
          <w:lang w:val="en-US"/>
        </w:rPr>
        <w:t xml:space="preserve"> in </w:t>
      </w:r>
      <w:r w:rsidR="009575FE" w:rsidRPr="00612653">
        <w:rPr>
          <w:rFonts w:ascii="Book Antiqua" w:hAnsi="Book Antiqua"/>
          <w:sz w:val="24"/>
          <w:szCs w:val="24"/>
          <w:lang w:val="en-US"/>
        </w:rPr>
        <w:t xml:space="preserve">obese </w:t>
      </w:r>
      <w:r w:rsidR="0063471E" w:rsidRPr="00612653">
        <w:rPr>
          <w:rFonts w:ascii="Book Antiqua" w:hAnsi="Book Antiqua"/>
          <w:sz w:val="24"/>
          <w:szCs w:val="24"/>
          <w:lang w:val="en-US"/>
        </w:rPr>
        <w:t>mice</w:t>
      </w:r>
      <w:r w:rsidR="0063471E" w:rsidRPr="00612653">
        <w:rPr>
          <w:rFonts w:ascii="Book Antiqua" w:hAnsi="Book Antiqua"/>
          <w:sz w:val="24"/>
          <w:szCs w:val="24"/>
        </w:rPr>
        <w:fldChar w:fldCharType="begin" w:fldLock="1"/>
      </w:r>
      <w:r w:rsidR="00096F21" w:rsidRPr="00612653">
        <w:rPr>
          <w:rFonts w:ascii="Book Antiqua" w:hAnsi="Book Antiqua"/>
          <w:sz w:val="24"/>
          <w:szCs w:val="24"/>
          <w:lang w:val="en-US"/>
        </w:rPr>
        <w:instrText>ADDIN CSL_CITATION { "citationItems" : [ { "id" : "ITEM-1", "itemData" : { "DOI" : "10.1152/ajpgi.00274.2011", "ISBN" : "1522-1547 (Electronic)\\r0193-1857 (Linking)", "ISSN" : "0193-1857", "PMID" : "22038829", "abstract" : "The aims of this study were designed to determine whether liraglutide, a long-acting glucagon-like peptide, could reverse the adverse effects of a diet high in fat that also contained trans-fat and high-fructose corn syrup (ALIOS diet). Specifically, we examined whether treatment with liraglutide could reduce hepatic insulin resistance and steatosis as well as improve cardiac function. Male C57BL/6J mice were pair fed or fed ad libitum either standard chow or the ALIOS diet. After 8 wk the mice were further subdivided and received daily injections of either liraglutide or saline for 4 wk. Hyperinsulinemic-euglycemic clamp studies were performed after 6 wk, revealing hepatic insulin resistance. Glucose tolerance and insulin resistance tests were performed at 8 and 12 wk prior to and following liraglutide treatment. Liver pathology, cardiac measurements, blood chemistry, and RNA and protein analyses were performed. Clamp studies revealed hepatic insulin resistance after 6 wk of ALIOS diet. Liraglutide reduced visceral adiposity and liver weight (P &lt; 0.001). As expected, liraglutide improved glucose and insulin tolerance. Liraglutide improved hypertension (P &lt; 0.05) and reduced cardiac hypertrophy. Surprisingly, liver from liraglutide-treated mice had significantly higher levels of fatty acid binding protein, acyl-CoA oxidase II, very long-chain acyl-CoA dehydrogenase, and microsomal triglyceride transfer protein. We conclude that liraglutide reduces the harmful effects of an ALIOS diet by improving insulin sensitivity and by reducing lipid accumulation in liver through multiple mechanisms including, transport, and increase beta-oxidation.", "author" : [ { "dropping-particle" : "", "family" : "Mells", "given" : "J E", "non-dropping-particle" : "", "parse-names" : false, "suffix" : "" }, { "dropping-particle" : "", "family" : "Fu", "given" : "P P", "non-dropping-particle" : "", "parse-names" : false, "suffix" : "" }, { "dropping-particle" : "", "family" : "Sharma", "given" : "S", "non-dropping-particle" : "", "parse-names" : false, "suffix" : "" }, { "dropping-particle" : "", "family" : "Olson", "given" : "D", "non-dropping-particle" : "", "parse-names" : false, "suffix" : "" }, { "dropping-particle" : "", "family" : "Cheng", "given" : "L", "non-dropping-particle" : "", "parse-names" : false, "suffix" : "" }, { "dropping-particle" : "", "family" : "Handy", "given" : "J A", "non-dropping-particle" : "", "parse-names" : false, "suffix" : "" }, { "dropping-particle" : "", "family" : "Saxena", "given" : "N K", "non-dropping-particle" : "", "parse-names" : false, "suffix" : "" }, { "dropping-particle" : "", "family" : "Sorescu", "given" : "D", "non-dropping-particle" : "", "parse-names" : false, "suffix" : "" }, { "dropping-particle" : "", "family" : "Anania", "given" : "F A", "non-dropping-particle" : "", "parse-names" : false, "suffix" : "" } ], "container-title" : "Am J Physiol Gastrointest Liver Physiol", "id" : "ITEM-1", "issue" : "2", "issued" : { "date-parts" : [ [ "2012" ] ] }, "page" : "G225-35", "title" : "Glp-1 analog, liraglutide, ameliorates hepatic steatosis and cardiac hypertrophy in C57BL/6J mice fed a Western diet", "type" : "article-journal", "volume" : "302" }, "uris" : [ "http://www.mendeley.com/documents/?uuid=20a01031-ba80-45bd-93cf-cee3bbca19a8" ] }, { "id" : "ITEM-2", "itemData" : { "DOI" : "10.1152/ajpgi.90272.2008", "ISSN" : "0193-1857", "PMID" : "18772365", "abstract" : "The aims of this study were to determine whether combining features of a western lifestyle in mice with trans fats in a high-fat diet, high-fructose corn syrup in the water, and interventions designed to promote sedentary behavior would cause the hepatic histopathological and metabolic abnormalities that characterize nonalcoholic steatohepatitis (NASH). Male C57BL/6 mice fed ad libitum high-fat chow containing trans fats (partially hydrogenated vegetable oil) and relevant amounts of a high-fructose corn syrup (HFCS) equivalent for 1-16 wk were compared with mice fed standard chow or mice with trans fats or HFCS omitted. Cage racks were removed from western diet mice to promote sedentary behavior. By 16 wk, trans fat-fed mice became obese and developed severe hepatic steatosis with associated necroinflammatory changes. Plasma alanine aminotransferase levels increased, as did liver TNF-alpha and procollagen mRNA, indicating an inflammatory and profibrogenic response to injury. Glucose intolerance and impaired fasting glucose developed within 2 and 4 wk, respectively. Plasma insulin, resistin, and leptin levels increased in a profile similar to that seen in patients with NASH. The individual components of this diet contributed to the phenotype independently; isocaloric replacement of trans fats with lard established that trans fats played a major role in promoting hepatic steatosis and injury, whereas inclusion of HFCS promoted food consumption, obesity, and impaired insulin sensitivity. Combining risk factors for the metabolic syndrome by feeding mice trans fats and HFCS induced histological features of NASH in the context of a metabolic profile similar to patients with this disease. Because dietary trans fats promoted liver steatosis and injury, their role in the epidemic of NASH needs further evaluation.", "author" : [ { "dropping-particle" : "", "family" : "Tetri", "given" : "L. H.", "non-dropping-particle" : "", "parse-names" : false, "suffix" : "" }, { "dropping-particle" : "", "family" : "Basaranoglu", "given" : "M.", "non-dropping-particle" : "", "parse-names" : false, "suffix" : "" }, { "dropping-particle" : "", "family" : "Brunt", "given" : "E. M.", "non-dropping-particle" : "", "parse-names" : false, "suffix" : "" }, { "dropping-particle" : "", "family" : "Yerian", "given" : "L. M.", "non-dropping-particle" : "", "parse-names" : false, "suffix" : "" }, { "dropping-particle" : "", "family" : "Neuschwander-Tetri", "given" : "B. A.", "non-dropping-particle" : "", "parse-names" : false, "suffix" : "" } ], "container-title" : "AJP: Gastrointestinal and Liver Physiology", "id" : "ITEM-2", "issue" : "5", "issued" : { "date-parts" : [ [ "2008", "9", "18" ] ] }, "page" : "G987-G995", "title" : "Severe NAFLD with hepatic necroinflammatory changes in mice fed trans fats and a high-fructose corn syrup equivalent", "type" : "article-journal", "volume" : "295" }, "uris" : [ "http://www.mendeley.com/documents/?uuid=c54e25e8-da33-32ac-b789-8a5ca29837cb" ] }, { "id" : "ITEM-3", "itemData" : { "DOI" : "10.1016/j.jhep.2016.05.005", "ISSN" : "1600-0641", "PMID" : "27261415", "abstract" : "BACKGROUND &amp; AIMS The lack of a preclinical model of progressive non-alcoholic steatohepatitis (NASH) that recapitulates human disease is a barrier to therapeutic development. METHODS A stable isogenic cross between C57BL/6J (B6) and 129S1/SvImJ (S129) mice were fed a high fat diet with ad libitum consumption of glucose and fructose in physiologically relevant concentrations and compared to mice fed a chow diet and also to both parent strains. RESULTS Following initiation of the obesogenic diet, B6/129 mice developed obesity, insulin resistance, hypertriglyceridemia and increased LDL-cholesterol. They sequentially also developed steatosis (4-8weeks), steatohepatitis (16-24weeks), progressive fibrosis (16weeks onwards) and spontaneous hepatocellular cancer (HCC). There was a strong concordance between the pattern of pathway activation at a transcriptomic level between humans and mice with similar histological phenotypes (FDR 0.02 for early and 0.08 for late time points). Lipogenic, inflammatory and apoptotic signaling pathways activated in human NASH were also activated in these mice. The HCC gene signature resembled the S1 and S2 human subclasses of HCC (FDR 0.01 for both). Only the B6/129 mouse but not the parent strains recapitulated all of these aspects of human NAFLD. CONCLUSIONS We here describe a diet-induced animal model of non-alcoholic fatty liver disease (DIAMOND) that recapitulates the key physiological, metabolic, histologic, transcriptomic and cell-signaling changes seen in humans with progressive NASH. LAY SUMMARY We have developed a diet-induced mouse model of non-alcoholic steatohepatitis (NASH) and hepatic cancers in a cross between two mouse strains (129S1/SvImJ and C57Bl/6J). This model mimics all the physiological, metabolic, histological, transcriptomic gene signature and clinical endpoints of human NASH and can facilitate preclinical development of therapeutic targets for NASH.", "author" : [ { "dropping-particle" : "", "family" : "Asgharpour", "given" : "Amon", "non-dropping-particle" : "", "parse-names" : false, "suffix" : "" }, { "dropping-particle" : "", "family" : "Cazanave", "given" : "Sophie C", "non-dropping-particle" : "", "parse-names" : false, "suffix" : "" }, { "dropping-particle" : "", "family" : "Pacana", "given" : "Tommy", "non-dropping-particle" : "", "parse-names" : false, "suffix" : "" }, { "dropping-particle" : "", "family" : "Seneshaw", "given" : "Mulugeta", "non-dropping-particle" : "", "parse-names" : false, "suffix" : "" }, { "dropping-particle" : "", "family" : "Vincent", "given" : "Robert", "non-dropping-particle" : "", "parse-names" : false, "suffix" : "" }, { "dropping-particle" : "", "family" : "Banini", "given" : "Bubu A", "non-dropping-particle" : "", "parse-names" : false, "suffix" : "" }, { "dropping-particle" : "", "family" : "Kumar", "given" : "Divya Prasanna", "non-dropping-particle" : "", "parse-names" : false, "suffix" : "" }, { "dropping-particle" : "", "family" : "Daita", "given" : "Kalyani", "non-dropping-particle" : "", "parse-names" : false, "suffix" : "" }, { "dropping-particle" : "", "family" : "Min", "given" : "Hae-Ki", "non-dropping-particle" : "", "parse-names" : false, "suffix" : "" }, { "dropping-particle" : "", "family" : "Mirshahi", "given" : "Faridoddin", "non-dropping-particle" : "", "parse-names" : false, "suffix" : "" }, { "dropping-particle" : "", "family" : "Bedossa", "given" : "Pierre", "non-dropping-particle" : "", "parse-names" : false, "suffix" : "" }, { "dropping-particle" : "", "family" : "Sun", "given" : "Xiaochen", "non-dropping-particle" : "", "parse-names" : false, "suffix" : "" }, { "dropping-particle" : "", "family" : "Hoshida", "given" : "Yujin", "non-dropping-particle" : "", "parse-names" : false, "suffix" : "" }, { "dropping-particle" : "V", "family" : "Koduru", "given" : "Srinivas", "non-dropping-particle" : "", "parse-names" : false, "suffix" : "" }, { "dropping-particle" : "", "family" : "Contaifer", "given" : "Daniel", "non-dropping-particle" : "", "parse-names" : false, "suffix" : "" }, { "dropping-particle" : "", "family" : "Warncke", "given" : "Urszula Osinska", "non-dropping-particle" : "", "parse-names" : false, "suffix" : "" }, { "dropping-particle" : "", "family" : "Wijesinghe", "given" : "Dayanjan S", "non-dropping-particle" : "", "parse-names" : false, "suffix" : "" }, { "dropping-particle" : "", "family" : "Sanyal", "given" : "Arun J", "non-dropping-particle" : "", "parse-names" : false, "suffix" : "" } ], "container-title" : "Journal of hepatology", "id" : "ITEM-3", "issue" : "3", "issued" : { "date-parts" : [ [ "2016", "9" ] ] }, "page" : "579-88", "title" : "A diet-induced animal model of non-alcoholic fatty liver disease and hepatocellular cancer.", "type" : "article-journal", "volume" : "65" }, "uris" : [ "http://www.mendeley.com/documents/?uuid=ade1b669-4f9a-3fd4-b621-01ef975e443a" ] } ], "mendeley" : { "formattedCitation" : "&lt;sup&gt;[11,41,42]&lt;/sup&gt;", "plainTextFormattedCitation" : "[11,41,42]", "previouslyFormattedCitation" : "&lt;sup&gt;[11,41,42]&lt;/sup&gt;" }, "properties" : { "noteIndex" : 0 }, "schema" : "https://github.com/citation-style-language/schema/raw/master/csl-citation.json" }</w:instrText>
      </w:r>
      <w:r w:rsidR="0063471E" w:rsidRPr="00612653">
        <w:rPr>
          <w:rFonts w:ascii="Book Antiqua" w:hAnsi="Book Antiqua"/>
          <w:sz w:val="24"/>
          <w:szCs w:val="24"/>
          <w:lang w:val="en-US"/>
        </w:rPr>
        <w:fldChar w:fldCharType="separate"/>
      </w:r>
      <w:r w:rsidR="00096F21" w:rsidRPr="00612653">
        <w:rPr>
          <w:rFonts w:ascii="Book Antiqua" w:hAnsi="Book Antiqua"/>
          <w:noProof/>
          <w:sz w:val="24"/>
          <w:szCs w:val="24"/>
          <w:vertAlign w:val="superscript"/>
          <w:lang w:val="en-US"/>
        </w:rPr>
        <w:t>[11,41,42]</w:t>
      </w:r>
      <w:r w:rsidR="0063471E" w:rsidRPr="00612653">
        <w:rPr>
          <w:rFonts w:ascii="Book Antiqua" w:hAnsi="Book Antiqua"/>
          <w:sz w:val="24"/>
          <w:szCs w:val="24"/>
        </w:rPr>
        <w:fldChar w:fldCharType="end"/>
      </w:r>
      <w:r w:rsidR="00C10AC8" w:rsidRPr="00612653">
        <w:rPr>
          <w:rFonts w:ascii="Book Antiqua" w:hAnsi="Book Antiqua"/>
          <w:sz w:val="24"/>
          <w:szCs w:val="24"/>
          <w:lang w:val="en-US"/>
        </w:rPr>
        <w:t xml:space="preserve">, </w:t>
      </w:r>
      <w:r w:rsidR="005555C6" w:rsidRPr="00612653">
        <w:rPr>
          <w:rFonts w:ascii="Book Antiqua" w:hAnsi="Book Antiqua"/>
          <w:sz w:val="24"/>
          <w:szCs w:val="24"/>
          <w:lang w:val="en-US"/>
        </w:rPr>
        <w:t>suggesting that</w:t>
      </w:r>
      <w:r w:rsidR="00C10AC8" w:rsidRPr="00612653">
        <w:rPr>
          <w:rFonts w:ascii="Book Antiqua" w:hAnsi="Book Antiqua"/>
          <w:sz w:val="24"/>
          <w:szCs w:val="24"/>
          <w:lang w:val="en-US"/>
        </w:rPr>
        <w:t xml:space="preserve"> </w:t>
      </w:r>
      <w:r w:rsidR="00011ACD" w:rsidRPr="00612653">
        <w:rPr>
          <w:rFonts w:ascii="Book Antiqua" w:hAnsi="Book Antiqua"/>
          <w:sz w:val="24"/>
          <w:szCs w:val="24"/>
          <w:lang w:val="en-US"/>
        </w:rPr>
        <w:t>elevated</w:t>
      </w:r>
      <w:r w:rsidR="006C7C7B" w:rsidRPr="00612653">
        <w:rPr>
          <w:rFonts w:ascii="Book Antiqua" w:hAnsi="Book Antiqua"/>
          <w:sz w:val="24"/>
          <w:szCs w:val="24"/>
          <w:lang w:val="en-US"/>
        </w:rPr>
        <w:t xml:space="preserve"> </w:t>
      </w:r>
      <w:r w:rsidR="00AC55C8" w:rsidRPr="00612653">
        <w:rPr>
          <w:rFonts w:ascii="Book Antiqua" w:hAnsi="Book Antiqua"/>
          <w:sz w:val="24"/>
          <w:szCs w:val="24"/>
          <w:lang w:val="en-US"/>
        </w:rPr>
        <w:t xml:space="preserve">dietary cholesterol </w:t>
      </w:r>
      <w:r w:rsidR="00B01443" w:rsidRPr="00612653">
        <w:rPr>
          <w:rFonts w:ascii="Book Antiqua" w:hAnsi="Book Antiqua"/>
          <w:sz w:val="24"/>
          <w:szCs w:val="24"/>
          <w:lang w:val="en-US"/>
        </w:rPr>
        <w:t xml:space="preserve">influences </w:t>
      </w:r>
      <w:r w:rsidR="00677ECC" w:rsidRPr="00612653">
        <w:rPr>
          <w:rFonts w:ascii="Book Antiqua" w:hAnsi="Book Antiqua"/>
          <w:sz w:val="24"/>
          <w:szCs w:val="24"/>
          <w:lang w:val="en-US"/>
        </w:rPr>
        <w:t>hepa</w:t>
      </w:r>
      <w:r w:rsidR="00157771" w:rsidRPr="00612653">
        <w:rPr>
          <w:rFonts w:ascii="Book Antiqua" w:hAnsi="Book Antiqua"/>
          <w:sz w:val="24"/>
          <w:szCs w:val="24"/>
          <w:lang w:val="en-US"/>
        </w:rPr>
        <w:t>tocyte</w:t>
      </w:r>
      <w:r w:rsidR="00677ECC" w:rsidRPr="00612653">
        <w:rPr>
          <w:rFonts w:ascii="Book Antiqua" w:hAnsi="Book Antiqua"/>
          <w:sz w:val="24"/>
          <w:szCs w:val="24"/>
          <w:lang w:val="en-US"/>
        </w:rPr>
        <w:t xml:space="preserve"> </w:t>
      </w:r>
      <w:r w:rsidR="006C7C7B" w:rsidRPr="00612653">
        <w:rPr>
          <w:rFonts w:ascii="Book Antiqua" w:hAnsi="Book Antiqua"/>
          <w:sz w:val="24"/>
          <w:szCs w:val="24"/>
          <w:lang w:val="en-US"/>
        </w:rPr>
        <w:t>TG</w:t>
      </w:r>
      <w:r w:rsidR="00E3216A" w:rsidRPr="00612653">
        <w:rPr>
          <w:rFonts w:ascii="Book Antiqua" w:hAnsi="Book Antiqua"/>
          <w:sz w:val="24"/>
          <w:szCs w:val="24"/>
          <w:lang w:val="en-US"/>
        </w:rPr>
        <w:t xml:space="preserve"> </w:t>
      </w:r>
      <w:r w:rsidR="00720226" w:rsidRPr="00612653">
        <w:rPr>
          <w:rFonts w:ascii="Book Antiqua" w:hAnsi="Book Antiqua"/>
          <w:sz w:val="24"/>
          <w:szCs w:val="24"/>
          <w:lang w:val="en-US"/>
        </w:rPr>
        <w:t>secret</w:t>
      </w:r>
      <w:r w:rsidR="006C7C7B" w:rsidRPr="00612653">
        <w:rPr>
          <w:rFonts w:ascii="Book Antiqua" w:hAnsi="Book Antiqua"/>
          <w:sz w:val="24"/>
          <w:szCs w:val="24"/>
          <w:lang w:val="en-US"/>
        </w:rPr>
        <w:t>ion</w:t>
      </w:r>
      <w:r w:rsidR="005555C6" w:rsidRPr="00612653">
        <w:rPr>
          <w:rFonts w:ascii="Book Antiqua" w:hAnsi="Book Antiqua"/>
          <w:sz w:val="24"/>
          <w:szCs w:val="24"/>
          <w:lang w:val="en-US"/>
        </w:rPr>
        <w:t>,</w:t>
      </w:r>
      <w:r w:rsidR="006C7C7B" w:rsidRPr="00612653">
        <w:rPr>
          <w:rFonts w:ascii="Book Antiqua" w:hAnsi="Book Antiqua"/>
          <w:sz w:val="24"/>
          <w:szCs w:val="24"/>
          <w:lang w:val="en-US"/>
        </w:rPr>
        <w:t xml:space="preserve"> perhaps by </w:t>
      </w:r>
      <w:r w:rsidR="00074341" w:rsidRPr="00612653">
        <w:rPr>
          <w:rFonts w:ascii="Book Antiqua" w:hAnsi="Book Antiqua"/>
          <w:sz w:val="24"/>
          <w:szCs w:val="24"/>
          <w:lang w:val="en-US"/>
        </w:rPr>
        <w:t xml:space="preserve">modifying cholesterol ester and </w:t>
      </w:r>
      <w:r w:rsidR="00805853" w:rsidRPr="00612653">
        <w:rPr>
          <w:rFonts w:ascii="Book Antiqua" w:hAnsi="Book Antiqua"/>
          <w:sz w:val="24"/>
          <w:szCs w:val="24"/>
          <w:lang w:val="en-US"/>
        </w:rPr>
        <w:t>lipoprotein synthesis</w:t>
      </w:r>
      <w:r w:rsidR="00805853" w:rsidRPr="00612653">
        <w:rPr>
          <w:rFonts w:ascii="Book Antiqua" w:hAnsi="Book Antiqua"/>
          <w:sz w:val="24"/>
          <w:szCs w:val="24"/>
        </w:rPr>
        <w:fldChar w:fldCharType="begin" w:fldLock="1"/>
      </w:r>
      <w:r w:rsidR="00096F21" w:rsidRPr="00612653">
        <w:rPr>
          <w:rFonts w:ascii="Book Antiqua" w:hAnsi="Book Antiqua"/>
          <w:sz w:val="24"/>
          <w:szCs w:val="24"/>
          <w:lang w:val="en-US"/>
        </w:rPr>
        <w:instrText>ADDIN CSL_CITATION { "citationItems" : [ { "id" : "ITEM-1", "itemData" : { "DOI" : "10.2119/molmed.2016.00203", "ISSN" : "1528-3658", "PMID" : "28332698", "abstract" : "Non-alcoholic fatty liver disease (NAFLD) and non-alcoholic steatohepatitis (NASH) are hepatic manifestations of the metabolic syndrome. Many currently used animal models of NAFLD/NASH lack clinical features of either NASH or metabolic syndrome such as hepatic inflammation and fibrosis (e.g. high-fat diets) or overweight and insulin resistance (e.g. methionine-choline-deficient diets) or they are based on monogenetic defects (e.g. ob/ob mice). In the current study, a western-type diet containing soybean oil with high n 6-PUFA and 0.75% cholesterol (SOD+Cho) induced steatosis, inflammation and fibrosis accompanied by hepatic lipid peroxidation and oxidative stress in livers of C57BL/6-mice which in addition showed increased weight gain and insulin resistance, thus displaying a phenotype closely resembling all clinical features of NASH in patients with metabolic syndrome. In striking contrast a soybean oil-containing western-type diet without cholesterol (SOD) induced only mild steatosis but neither hepatic inflammation nor fibrosis, weight gain or insulin resistance. Another high-fat diet mainly consisting of lard and supplemented with fructose in drinking water (LAD+Fru) resulted in more prominent weight gain, insulin resistance and hepatic steatosis than SOD+Cho but livers were devoid of inflammation and fibrosis. Although both LAD+Fru- and SOD+Cho-fed animals had high plasma cholesterol, liver cholesterol was elevated only in SOD+Cho animals. Cholesterol induced expression of chemotactic and inflammatory cytokines in cultured Kupffer cells and rendered hepatocytes more susceptible to apoptosis. Summarizing, dietary cholesterol in SOD+Cho diet may trigger hepatic inflammation and fibrosis. SOD+Cho-fed animals may be a useful disease model displaying many clinical features of patients with the metabolic syndrome and NASH.", "author" : [ { "dropping-particle" : "", "family" : "Henkel", "given" : "Janin", "non-dropping-particle" : "", "parse-names" : false, "suffix" : "" }, { "dropping-particle" : "", "family" : "Coleman", "given" : "Charles Dominic", "non-dropping-particle" : "", "parse-names" : false, "suffix" : "" }, { "dropping-particle" : "", "family" : "Schraplau", "given" : "Anne", "non-dropping-particle" : "", "parse-names" : false, "suffix" : "" }, { "dropping-particle" : "", "family" : "J\u04e7hrens", "given" : "Korinna", "non-dropping-particle" : "", "parse-names" : false, "suffix" : "" }, { "dropping-particle" : "", "family" : "Weber", "given" : "Daniela", "non-dropping-particle" : "", "parse-names" : false, "suffix" : "" }, { "dropping-particle" : "", "family" : "Castro", "given" : "Jos\u00e9 Pedro", "non-dropping-particle" : "", "parse-names" : false, "suffix" : "" }, { "dropping-particle" : "", "family" : "Hugo", "given" : "Martin", "non-dropping-particle" : "", "parse-names" : false, "suffix" : "" }, { "dropping-particle" : "", "family" : "Schulz", "given" : "Tim Julius", "non-dropping-particle" : "", "parse-names" : false, "suffix" : "" }, { "dropping-particle" : "", "family" : "Kr\u00e4mer", "given" : "Stephanie", "non-dropping-particle" : "", "parse-names" : false, "suffix" : "" }, { "dropping-particle" : "", "family" : "Sch\u00fcrmann", "given" : "Annette", "non-dropping-particle" : "", "parse-names" : false, "suffix" : "" }, { "dropping-particle" : "", "family" : "P\u00fcschel", "given" : "Gerhard Paul", "non-dropping-particle" : "", "parse-names" : false, "suffix" : "" } ], "container-title" : "Molecular medicine (Cambridge, Mass.)", "id" : "ITEM-1", "issue" : "1", "issued" : { "date-parts" : [ [ "2017", "3", "21" ] ] }, "page" : "1", "title" : "Induction of steatohepatitis (NASH) with insulin resistance in wildtype B6 mice by a western-type diet containing soybean oil and cholesterol.", "type" : "article-journal", "volume" : "23" }, "uris" : [ "http://www.mendeley.com/documents/?uuid=c88102f0-2273-3512-855c-ceb869742d45" ] }, { "id" : "ITEM-2", "itemData" : { "DOI" : "10.1371/journal.pone.0084221", "ISSN" : "1932-6203", "PMID" : "24465397", "abstract" : "Sterol Response Element Binding Protein 2 (SREBP2) transcription factor is a master regulator of cholesterol homeostasis. Treatment with statins, inhibitors of cholesterol synthesis, activates intestinal SREBP2, which may hinder their cholesterol-lowering effects. Overactivation of SREBP2 in mouse liver was shown to have no effect on plasma cholesterol. However, the influence of activating intestinal SREBP2 on plasma cholesterol is not known. We have generated a novel transgenic mouse model with intestine specific overexpression of active SREBP2 (ISR2) driven by villin promoter. ISR2 mice showed overexpression of active SREBP2 specifically in the intestine. Microarray analysis of jejunal RNA from ISR2 mice showed a significant increase in genes involved in fatty acid and cholesterol synthesis. Cholesterol and triglyceride (TG) in jejunum and liver (mg/g protein) were significantly increased in ISR2 vs wild type mice. Serum Cholesterol was significantly increased in VLDL and LDL fractions whereas the level of serum triglycerides was decreased in ISR2 vs wild type mice. In conclusion, activation of intestinal SREBP2 alone seems to be sufficient to increase plasma cholesterol, highlighting the essential role of intestine in maintaining cholesterol homeostasis in the body.", "author" : [ { "dropping-particle" : "", "family" : "Ma", "given" : "Ke", "non-dropping-particle" : "", "parse-names" : false, "suffix" : "" }, { "dropping-particle" : "", "family" : "Malhotra", "given" : "Pooja", "non-dropping-particle" : "", "parse-names" : false, "suffix" : "" }, { "dropping-particle" : "", "family" : "Soni", "given" : "Vinay", "non-dropping-particle" : "", "parse-names" : false, "suffix" : "" }, { "dropping-particle" : "", "family" : "Hedroug", "given" : "Omar", "non-dropping-particle" : "", "parse-names" : false, "suffix" : "" }, { "dropping-particle" : "", "family" : "Annaba", "given" : "Fadi", "non-dropping-particle" : "", "parse-names" : false, "suffix" : "" }, { "dropping-particle" : "", "family" : "Dudeja", "given" : "Amish", "non-dropping-particle" : "", "parse-names" : false, "suffix" : "" }, { "dropping-particle" : "", "family" : "Shen", "given" : "Le", "non-dropping-particle" : "", "parse-names" : false, "suffix" : "" }, { "dropping-particle" : "", "family" : "Turner", "given" : "Jerrold R", "non-dropping-particle" : "", "parse-names" : false, "suffix" : "" }, { "dropping-particle" : "", "family" : "Khramtsova", "given" : "Ekaterina A", "non-dropping-particle" : "", "parse-names" : false, "suffix" : "" }, { "dropping-particle" : "", "family" : "Saksena", "given" : "Seema", "non-dropping-particle" : "", "parse-names" : false, "suffix" : "" }, { "dropping-particle" : "", "family" : "Dudeja", "given" : "Pradeep K", "non-dropping-particle" : "", "parse-names" : false, "suffix" : "" }, { "dropping-particle" : "", "family" : "Gill", "given" : "Ravinder K", "non-dropping-particle" : "", "parse-names" : false, "suffix" : "" }, { "dropping-particle" : "", "family" : "Alrefai", "given" : "Waddah A", "non-dropping-particle" : "", "parse-names" : false, "suffix" : "" } ], "container-title" : "PloS one", "editor" : [ { "dropping-particle" : "", "family" : "Lobaccaro", "given" : "Jean-Marc A.", "non-dropping-particle" : "", "parse-names" : false, "suffix" : "" } ], "id" : "ITEM-2", "issue" : "1", "issued" : { "date-parts" : [ [ "2014", "1", "20" ] ] }, "page" : "e84221", "title" : "Overactivation of intestinal SREBP2 in mice increases serum cholesterol.", "type" : "article-journal", "volume" : "9" }, "uris" : [ "http://www.mendeley.com/documents/?uuid=4697d80d-d5fa-3f1f-97e7-8dcb81c1de3e" ] } ], "mendeley" : { "formattedCitation" : "&lt;sup&gt;[40,43]&lt;/sup&gt;", "plainTextFormattedCitation" : "[40,43]", "previouslyFormattedCitation" : "&lt;sup&gt;[40,43]&lt;/sup&gt;" }, "properties" : { "noteIndex" : 0 }, "schema" : "https://github.com/citation-style-language/schema/raw/master/csl-citation.json" }</w:instrText>
      </w:r>
      <w:r w:rsidR="00805853" w:rsidRPr="00612653">
        <w:rPr>
          <w:rFonts w:ascii="Book Antiqua" w:hAnsi="Book Antiqua"/>
          <w:sz w:val="24"/>
          <w:szCs w:val="24"/>
          <w:lang w:val="en-US"/>
        </w:rPr>
        <w:fldChar w:fldCharType="separate"/>
      </w:r>
      <w:r w:rsidR="00096F21" w:rsidRPr="00612653">
        <w:rPr>
          <w:rFonts w:ascii="Book Antiqua" w:hAnsi="Book Antiqua"/>
          <w:noProof/>
          <w:sz w:val="24"/>
          <w:szCs w:val="24"/>
          <w:vertAlign w:val="superscript"/>
          <w:lang w:val="en-US"/>
        </w:rPr>
        <w:t>[40,43]</w:t>
      </w:r>
      <w:r w:rsidR="00805853" w:rsidRPr="00612653">
        <w:rPr>
          <w:rFonts w:ascii="Book Antiqua" w:hAnsi="Book Antiqua"/>
          <w:sz w:val="24"/>
          <w:szCs w:val="24"/>
        </w:rPr>
        <w:fldChar w:fldCharType="end"/>
      </w:r>
      <w:r w:rsidR="00C10AC8" w:rsidRPr="00612653">
        <w:rPr>
          <w:rFonts w:ascii="Book Antiqua" w:hAnsi="Book Antiqua"/>
          <w:sz w:val="24"/>
          <w:szCs w:val="24"/>
          <w:lang w:val="en-US"/>
        </w:rPr>
        <w:t>.</w:t>
      </w:r>
      <w:r w:rsidR="00B200D8" w:rsidRPr="00612653">
        <w:rPr>
          <w:rFonts w:ascii="Book Antiqua" w:hAnsi="Book Antiqua"/>
          <w:sz w:val="24"/>
          <w:szCs w:val="24"/>
          <w:lang w:val="en-US"/>
        </w:rPr>
        <w:t xml:space="preserve"> </w:t>
      </w:r>
      <w:r w:rsidR="00DC1F3E" w:rsidRPr="00612653">
        <w:rPr>
          <w:rFonts w:ascii="Book Antiqua" w:hAnsi="Book Antiqua"/>
          <w:sz w:val="24"/>
          <w:szCs w:val="24"/>
          <w:lang w:val="en-US"/>
        </w:rPr>
        <w:t>Hepatopathology was further indicated by increased levels of plasma transaminases</w:t>
      </w:r>
      <w:r w:rsidR="004720B0" w:rsidRPr="00612653">
        <w:rPr>
          <w:rFonts w:ascii="Book Antiqua" w:hAnsi="Book Antiqua"/>
          <w:sz w:val="24"/>
          <w:szCs w:val="24"/>
          <w:lang w:val="en-US"/>
        </w:rPr>
        <w:t xml:space="preserve">, </w:t>
      </w:r>
      <w:r w:rsidR="00BE3289" w:rsidRPr="00612653">
        <w:rPr>
          <w:rFonts w:ascii="Book Antiqua" w:hAnsi="Book Antiqua"/>
          <w:sz w:val="24"/>
          <w:szCs w:val="24"/>
          <w:lang w:val="en-US"/>
        </w:rPr>
        <w:t>most consistently observed for ALT.</w:t>
      </w:r>
      <w:r w:rsidR="000F0882" w:rsidRPr="00612653">
        <w:rPr>
          <w:rFonts w:ascii="Book Antiqua" w:hAnsi="Book Antiqua"/>
          <w:sz w:val="24"/>
          <w:szCs w:val="24"/>
          <w:lang w:val="en-US"/>
        </w:rPr>
        <w:t xml:space="preserve"> </w:t>
      </w:r>
      <w:r w:rsidR="00C0770E" w:rsidRPr="00612653">
        <w:rPr>
          <w:rFonts w:ascii="Book Antiqua" w:hAnsi="Book Antiqua"/>
          <w:sz w:val="24"/>
          <w:szCs w:val="24"/>
          <w:lang w:val="en-US"/>
        </w:rPr>
        <w:t xml:space="preserve">As persistently elevated ratios of AST:ALT </w:t>
      </w:r>
      <w:r w:rsidR="000F0882" w:rsidRPr="00612653">
        <w:rPr>
          <w:rFonts w:ascii="Book Antiqua" w:hAnsi="Book Antiqua"/>
          <w:sz w:val="24"/>
          <w:szCs w:val="24"/>
          <w:lang w:val="en-US"/>
        </w:rPr>
        <w:t xml:space="preserve">has been reported to associate to </w:t>
      </w:r>
      <w:r w:rsidR="00C0770E" w:rsidRPr="00612653">
        <w:rPr>
          <w:rFonts w:ascii="Book Antiqua" w:hAnsi="Book Antiqua"/>
          <w:sz w:val="24"/>
          <w:szCs w:val="24"/>
          <w:lang w:val="en-US"/>
        </w:rPr>
        <w:t>advanced</w:t>
      </w:r>
      <w:r w:rsidR="000F0882" w:rsidRPr="00612653">
        <w:rPr>
          <w:rFonts w:ascii="Book Antiqua" w:hAnsi="Book Antiqua"/>
          <w:sz w:val="24"/>
          <w:szCs w:val="24"/>
          <w:lang w:val="en-US"/>
        </w:rPr>
        <w:t xml:space="preserve"> </w:t>
      </w:r>
      <w:r w:rsidR="00C0770E" w:rsidRPr="00612653">
        <w:rPr>
          <w:rFonts w:ascii="Book Antiqua" w:hAnsi="Book Antiqua"/>
          <w:sz w:val="24"/>
          <w:szCs w:val="24"/>
          <w:lang w:val="en-US"/>
        </w:rPr>
        <w:t>f</w:t>
      </w:r>
      <w:r w:rsidR="000F0882" w:rsidRPr="00612653">
        <w:rPr>
          <w:rFonts w:ascii="Book Antiqua" w:hAnsi="Book Antiqua"/>
          <w:sz w:val="24"/>
          <w:szCs w:val="24"/>
          <w:lang w:val="en-US"/>
        </w:rPr>
        <w:t>ibro</w:t>
      </w:r>
      <w:r w:rsidR="00C0770E" w:rsidRPr="00612653">
        <w:rPr>
          <w:rFonts w:ascii="Book Antiqua" w:hAnsi="Book Antiqua"/>
          <w:sz w:val="24"/>
          <w:szCs w:val="24"/>
          <w:lang w:val="en-US"/>
        </w:rPr>
        <w:t>tic NASH but not at milder disease stages</w:t>
      </w:r>
      <w:r w:rsidR="00C0770E" w:rsidRPr="00612653">
        <w:rPr>
          <w:rFonts w:ascii="Book Antiqua" w:hAnsi="Book Antiqua"/>
          <w:sz w:val="24"/>
          <w:szCs w:val="24"/>
          <w:lang w:val="en-US"/>
        </w:rPr>
        <w:fldChar w:fldCharType="begin" w:fldLock="1"/>
      </w:r>
      <w:r w:rsidR="00096F21" w:rsidRPr="00612653">
        <w:rPr>
          <w:rFonts w:ascii="Book Antiqua" w:hAnsi="Book Antiqua"/>
          <w:sz w:val="24"/>
          <w:szCs w:val="24"/>
          <w:lang w:val="en-US"/>
        </w:rPr>
        <w:instrText>ADDIN CSL_CITATION { "citationItems" : [ { "id" : "ITEM-1", "itemData" : { "DOI" : "10.1001/jama.2015.5370", "ISSN" : "1538-3598", "PMID" : "26057287", "abstract" : "IMPORTANCE Nonalcoholic fatty liver disease and its subtype nonalcoholic steatohepatitis affect approximately 30% and 5%, respectively, of the US population. In patients with nonalcoholic steatohepatitis, half of deaths are due to cardiovascular disease and malignancy, yet awareness of this remains low. Cirrhosis, the third leading cause of death in patients with nonalcoholic fatty liver disease, is predicted to become the most common indication for liver transplantation. OBJECTIVES To illustrate how to identify patients with nonalcoholic fatty liver disease at greatest risk of nonalcoholic steatohepatitis and cirrhosis; to discuss the role and limitations of current diagnostics and liver biopsy to diagnose nonalcoholic steatohepatitis; and to provide an outline for the management of patients across the spectrum of nonalcoholic fatty liver disease. EVIDENCE REVIEW PubMed was queried for published articles through February 28, 2015, using the search terms NAFLD and cirrhosis, mortality, biomarkers, and treatment. A total of 88 references were selected, including 16 randomized clinical trials, 44 cohort or case-control studies, 6 population-based studies, and 7 meta-analyses. FINDINGS Sixty-six percent of patients older than 50 years with diabetes or obesity are thought to have nonalcoholic steatohepatitis with advanced fibrosis. Even though the ability to identify the nonalcoholic steatohepatitis subtype within those with nonalcoholic fatty liver disease still requires liver biopsy, biomarkers to detect advanced fibrosis are increasingly reliable. Lifestyle modification is the foundation of treatment for patients with nonalcoholic steatosis. Available treatments with proven benefit include vitamin E, pioglitazone, and obeticholic acid; however, the effect size is modest (&lt;50%) and none is approved by the US Food and Drug Administration. The association between nonalcoholic steatohepatitis and cardiovascular disease is clear, though causality remains to be proven in well-controlled prospective studies. The incidence of nonalcoholic fatty liver disease-related hepatocellular carcinoma is increasing and up to 50% of cases may occur in the absence of cirrhosis. CONCLUSIONS AND RELEVANCE Between 75 million and 100 million individuals in the United States are estimated to have nonalcoholic fatty liver disease and its potential morbidity extends beyond the liver. It is important that primary care physicians, endocrinologists, and other specialists be aware of t\u2026", "author" : [ { "dropping-particle" : "", "family" : "Rinella", "given" : "Mary E", "non-dropping-particle" : "", "parse-names" : false, "suffix" : "" } ], "container-title" : "JAMA", "id" : "ITEM-1", "issue" : "22", "issued" : { "date-parts" : [ [ "2015", "6", "9" ] ] }, "page" : "2263-73", "title" : "Nonalcoholic fatty liver disease: a systematic review.", "type" : "article-journal", "volume" : "313" }, "uris" : [ "http://www.mendeley.com/documents/?uuid=03314a5b-e7e9-3bdf-9c3e-dd08e089d18a" ] } ], "mendeley" : { "formattedCitation" : "&lt;sup&gt;[44]&lt;/sup&gt;", "plainTextFormattedCitation" : "[44]", "previouslyFormattedCitation" : "&lt;sup&gt;[44]&lt;/sup&gt;" }, "properties" : { "noteIndex" : 14 }, "schema" : "https://github.com/citation-style-language/schema/raw/master/csl-citation.json" }</w:instrText>
      </w:r>
      <w:r w:rsidR="00C0770E" w:rsidRPr="00612653">
        <w:rPr>
          <w:rFonts w:ascii="Book Antiqua" w:hAnsi="Book Antiqua"/>
          <w:sz w:val="24"/>
          <w:szCs w:val="24"/>
          <w:lang w:val="en-US"/>
        </w:rPr>
        <w:fldChar w:fldCharType="separate"/>
      </w:r>
      <w:r w:rsidR="00096F21" w:rsidRPr="00612653">
        <w:rPr>
          <w:rFonts w:ascii="Book Antiqua" w:hAnsi="Book Antiqua"/>
          <w:noProof/>
          <w:sz w:val="24"/>
          <w:szCs w:val="24"/>
          <w:vertAlign w:val="superscript"/>
          <w:lang w:val="en-US"/>
        </w:rPr>
        <w:t>[44]</w:t>
      </w:r>
      <w:r w:rsidR="00C0770E" w:rsidRPr="00612653">
        <w:rPr>
          <w:rFonts w:ascii="Book Antiqua" w:hAnsi="Book Antiqua"/>
          <w:sz w:val="24"/>
          <w:szCs w:val="24"/>
          <w:lang w:val="en-US"/>
        </w:rPr>
        <w:fldChar w:fldCharType="end"/>
      </w:r>
      <w:r w:rsidR="00C0770E" w:rsidRPr="00612653">
        <w:rPr>
          <w:rFonts w:ascii="Book Antiqua" w:hAnsi="Book Antiqua"/>
          <w:sz w:val="24"/>
          <w:szCs w:val="24"/>
          <w:lang w:val="en-US"/>
        </w:rPr>
        <w:t xml:space="preserve">, the moderate changes in ALT and AST levels in DIO-NASH (and </w:t>
      </w:r>
      <w:r w:rsidR="00C0770E" w:rsidRPr="00612653">
        <w:rPr>
          <w:rFonts w:ascii="Book Antiqua" w:hAnsi="Book Antiqua"/>
          <w:i/>
          <w:sz w:val="24"/>
          <w:szCs w:val="24"/>
          <w:lang w:val="en-US"/>
        </w:rPr>
        <w:t>ob/ob</w:t>
      </w:r>
      <w:r w:rsidR="00C0770E" w:rsidRPr="00612653">
        <w:rPr>
          <w:rFonts w:ascii="Book Antiqua" w:hAnsi="Book Antiqua"/>
          <w:sz w:val="24"/>
          <w:szCs w:val="24"/>
          <w:lang w:val="en-US"/>
        </w:rPr>
        <w:t xml:space="preserve">-NASH) mice presumably reflects the mild-to-moderate disease severity in these two models. </w:t>
      </w:r>
      <w:r w:rsidR="003F08D8" w:rsidRPr="00612653">
        <w:rPr>
          <w:rFonts w:ascii="Book Antiqua" w:hAnsi="Book Antiqua"/>
          <w:sz w:val="24"/>
          <w:szCs w:val="24"/>
          <w:lang w:val="en-US"/>
        </w:rPr>
        <w:t>H</w:t>
      </w:r>
      <w:r w:rsidR="00913C38" w:rsidRPr="00612653">
        <w:rPr>
          <w:rFonts w:ascii="Book Antiqua" w:hAnsi="Book Antiqua"/>
          <w:sz w:val="24"/>
          <w:szCs w:val="24"/>
          <w:lang w:val="en-US"/>
        </w:rPr>
        <w:t xml:space="preserve">istological </w:t>
      </w:r>
      <w:r w:rsidR="00B200D8" w:rsidRPr="00612653">
        <w:rPr>
          <w:rFonts w:ascii="Book Antiqua" w:hAnsi="Book Antiqua"/>
          <w:sz w:val="24"/>
          <w:szCs w:val="24"/>
          <w:lang w:val="en-US"/>
        </w:rPr>
        <w:t>morphometry</w:t>
      </w:r>
      <w:r w:rsidR="00913C38" w:rsidRPr="00612653">
        <w:rPr>
          <w:rFonts w:ascii="Book Antiqua" w:hAnsi="Book Antiqua"/>
          <w:sz w:val="24"/>
          <w:szCs w:val="24"/>
          <w:lang w:val="en-US"/>
        </w:rPr>
        <w:t xml:space="preserve"> suggested a sequential onset of NASH pathology</w:t>
      </w:r>
      <w:r w:rsidR="003F08D8" w:rsidRPr="00612653">
        <w:rPr>
          <w:rFonts w:ascii="Book Antiqua" w:hAnsi="Book Antiqua"/>
          <w:sz w:val="24"/>
          <w:szCs w:val="24"/>
          <w:lang w:val="en-US"/>
        </w:rPr>
        <w:t xml:space="preserve"> in DIO-NASH mice</w:t>
      </w:r>
      <w:r w:rsidR="00913C38" w:rsidRPr="00612653">
        <w:rPr>
          <w:rFonts w:ascii="Book Antiqua" w:hAnsi="Book Antiqua"/>
          <w:sz w:val="24"/>
          <w:szCs w:val="24"/>
          <w:lang w:val="en-US"/>
        </w:rPr>
        <w:t>,</w:t>
      </w:r>
      <w:r w:rsidR="00B200D8" w:rsidRPr="00612653">
        <w:rPr>
          <w:rFonts w:ascii="Book Antiqua" w:hAnsi="Book Antiqua"/>
          <w:sz w:val="24"/>
          <w:szCs w:val="24"/>
          <w:lang w:val="en-US"/>
        </w:rPr>
        <w:t xml:space="preserve"> with initial hepatocyte steatosis progressing to</w:t>
      </w:r>
      <w:r w:rsidR="00712EA0" w:rsidRPr="00612653">
        <w:rPr>
          <w:rFonts w:ascii="Book Antiqua" w:hAnsi="Book Antiqua"/>
          <w:sz w:val="24"/>
          <w:szCs w:val="24"/>
          <w:lang w:val="en-US"/>
        </w:rPr>
        <w:t xml:space="preserve"> inflammation and ballooning</w:t>
      </w:r>
      <w:r w:rsidR="009222CF" w:rsidRPr="00612653">
        <w:rPr>
          <w:rFonts w:ascii="Book Antiqua" w:hAnsi="Book Antiqua"/>
          <w:sz w:val="24"/>
          <w:szCs w:val="24"/>
          <w:lang w:val="en-US"/>
        </w:rPr>
        <w:t xml:space="preserve"> degeneration</w:t>
      </w:r>
      <w:r w:rsidR="00712EA0" w:rsidRPr="00612653">
        <w:rPr>
          <w:rFonts w:ascii="Book Antiqua" w:hAnsi="Book Antiqua"/>
          <w:sz w:val="24"/>
          <w:szCs w:val="24"/>
          <w:lang w:val="en-US"/>
        </w:rPr>
        <w:t xml:space="preserve"> (</w:t>
      </w:r>
      <w:r w:rsidR="00913C38" w:rsidRPr="00612653">
        <w:rPr>
          <w:rFonts w:ascii="Book Antiqua" w:hAnsi="Book Antiqua"/>
          <w:sz w:val="24"/>
          <w:szCs w:val="24"/>
          <w:lang w:val="en-US"/>
        </w:rPr>
        <w:t xml:space="preserve">from </w:t>
      </w:r>
      <w:r w:rsidR="00712EA0" w:rsidRPr="00612653">
        <w:rPr>
          <w:rFonts w:ascii="Book Antiqua" w:hAnsi="Book Antiqua"/>
          <w:sz w:val="24"/>
          <w:szCs w:val="24"/>
          <w:lang w:val="en-US"/>
        </w:rPr>
        <w:t>week 30)</w:t>
      </w:r>
      <w:r w:rsidR="00913C38" w:rsidRPr="00612653">
        <w:rPr>
          <w:rFonts w:ascii="Book Antiqua" w:hAnsi="Book Antiqua"/>
          <w:sz w:val="24"/>
          <w:szCs w:val="24"/>
          <w:lang w:val="en-US"/>
        </w:rPr>
        <w:t>.</w:t>
      </w:r>
      <w:r w:rsidR="009222CF" w:rsidRPr="00612653">
        <w:rPr>
          <w:rFonts w:ascii="Book Antiqua" w:hAnsi="Book Antiqua"/>
          <w:sz w:val="24"/>
          <w:szCs w:val="24"/>
          <w:lang w:val="en-US"/>
        </w:rPr>
        <w:t xml:space="preserve"> Quantitative histology</w:t>
      </w:r>
      <w:r w:rsidR="0018546E" w:rsidRPr="00612653">
        <w:rPr>
          <w:rFonts w:ascii="Book Antiqua" w:hAnsi="Book Antiqua"/>
          <w:sz w:val="24"/>
          <w:szCs w:val="24"/>
          <w:lang w:val="en-US"/>
        </w:rPr>
        <w:t xml:space="preserve"> on steatosis (HE staining), inflammation (galectin-3) and fibrosis (Col1a1) </w:t>
      </w:r>
      <w:r w:rsidR="009222CF" w:rsidRPr="00612653">
        <w:rPr>
          <w:rFonts w:ascii="Book Antiqua" w:hAnsi="Book Antiqua"/>
          <w:sz w:val="24"/>
          <w:szCs w:val="24"/>
          <w:lang w:val="en-US"/>
        </w:rPr>
        <w:t xml:space="preserve">supported </w:t>
      </w:r>
      <w:r w:rsidR="00C679A9" w:rsidRPr="00612653">
        <w:rPr>
          <w:rFonts w:ascii="Book Antiqua" w:hAnsi="Book Antiqua"/>
          <w:sz w:val="24"/>
          <w:szCs w:val="24"/>
          <w:lang w:val="en-US"/>
        </w:rPr>
        <w:t xml:space="preserve">a </w:t>
      </w:r>
      <w:r w:rsidR="009222CF" w:rsidRPr="00612653">
        <w:rPr>
          <w:rFonts w:ascii="Book Antiqua" w:hAnsi="Book Antiqua"/>
          <w:sz w:val="24"/>
          <w:szCs w:val="24"/>
          <w:lang w:val="en-US"/>
        </w:rPr>
        <w:t xml:space="preserve">distinct </w:t>
      </w:r>
      <w:r w:rsidR="009222CF" w:rsidRPr="00612653">
        <w:rPr>
          <w:rFonts w:ascii="Book Antiqua" w:eastAsia="Times New Roman" w:hAnsi="Book Antiqua" w:cs="Times New Roman"/>
          <w:sz w:val="24"/>
          <w:szCs w:val="24"/>
          <w:lang w:val="en-US"/>
        </w:rPr>
        <w:t>temporal sequence of hepatopathological events in DIO-NASH mice</w:t>
      </w:r>
      <w:r w:rsidR="00B80FFC" w:rsidRPr="00612653">
        <w:rPr>
          <w:rFonts w:ascii="Book Antiqua" w:eastAsia="Times New Roman" w:hAnsi="Book Antiqua" w:cs="Times New Roman"/>
          <w:sz w:val="24"/>
          <w:szCs w:val="24"/>
          <w:lang w:val="en-US"/>
        </w:rPr>
        <w:t>.</w:t>
      </w:r>
      <w:r w:rsidR="00C679A9" w:rsidRPr="00612653">
        <w:rPr>
          <w:rFonts w:ascii="Book Antiqua" w:eastAsia="Times New Roman" w:hAnsi="Book Antiqua" w:cs="Times New Roman"/>
          <w:sz w:val="24"/>
          <w:szCs w:val="24"/>
          <w:lang w:val="en-US"/>
        </w:rPr>
        <w:t xml:space="preserve"> In correspondence, </w:t>
      </w:r>
      <w:r w:rsidR="00F22F5C" w:rsidRPr="00612653">
        <w:rPr>
          <w:rFonts w:ascii="Book Antiqua" w:eastAsia="Times New Roman" w:hAnsi="Book Antiqua" w:cs="Times New Roman"/>
          <w:sz w:val="24"/>
          <w:szCs w:val="24"/>
          <w:lang w:val="en-US"/>
        </w:rPr>
        <w:t xml:space="preserve">transcriptome </w:t>
      </w:r>
      <w:r w:rsidR="00C679A9" w:rsidRPr="00612653">
        <w:rPr>
          <w:rFonts w:ascii="Book Antiqua" w:eastAsia="Times New Roman" w:hAnsi="Book Antiqua" w:cs="Times New Roman"/>
          <w:sz w:val="24"/>
          <w:szCs w:val="24"/>
          <w:lang w:val="en-US"/>
        </w:rPr>
        <w:t>pathway analyses revealed initial gene signatures of upregulated hepatic lipid synthesis and handling, over enhanced inflammation signaling to recruitment of monocytes/myofibroblasts</w:t>
      </w:r>
      <w:r w:rsidR="00E1588E" w:rsidRPr="00612653">
        <w:rPr>
          <w:rFonts w:ascii="Book Antiqua" w:eastAsia="Times New Roman" w:hAnsi="Book Antiqua" w:cs="Times New Roman"/>
          <w:sz w:val="24"/>
          <w:szCs w:val="24"/>
          <w:lang w:val="en-US"/>
        </w:rPr>
        <w:t>,</w:t>
      </w:r>
      <w:r w:rsidR="00C679A9" w:rsidRPr="00612653">
        <w:rPr>
          <w:rFonts w:ascii="Book Antiqua" w:eastAsia="Times New Roman" w:hAnsi="Book Antiqua" w:cs="Times New Roman"/>
          <w:sz w:val="24"/>
          <w:szCs w:val="24"/>
          <w:lang w:val="en-US"/>
        </w:rPr>
        <w:t xml:space="preserve"> stimulation of fibrogenesis </w:t>
      </w:r>
      <w:r w:rsidR="00E1588E" w:rsidRPr="00612653">
        <w:rPr>
          <w:rFonts w:ascii="Book Antiqua" w:eastAsia="Times New Roman" w:hAnsi="Book Antiqua" w:cs="Times New Roman"/>
          <w:sz w:val="24"/>
          <w:szCs w:val="24"/>
          <w:lang w:val="en-US"/>
        </w:rPr>
        <w:t>and</w:t>
      </w:r>
      <w:r w:rsidR="00C679A9" w:rsidRPr="00612653">
        <w:rPr>
          <w:rFonts w:ascii="Book Antiqua" w:eastAsia="Times New Roman" w:hAnsi="Book Antiqua" w:cs="Times New Roman"/>
          <w:sz w:val="24"/>
          <w:szCs w:val="24"/>
          <w:lang w:val="en-US"/>
        </w:rPr>
        <w:t xml:space="preserve"> extracellular matrix turnover. </w:t>
      </w:r>
      <w:r w:rsidR="00B80FFC" w:rsidRPr="00612653">
        <w:rPr>
          <w:rFonts w:ascii="Book Antiqua" w:eastAsia="Times New Roman" w:hAnsi="Book Antiqua" w:cs="Times New Roman"/>
          <w:sz w:val="24"/>
          <w:szCs w:val="24"/>
          <w:lang w:val="en-US"/>
        </w:rPr>
        <w:t>These findings are</w:t>
      </w:r>
      <w:r w:rsidR="009222CF" w:rsidRPr="00612653">
        <w:rPr>
          <w:rFonts w:ascii="Book Antiqua" w:eastAsia="Times New Roman" w:hAnsi="Book Antiqua" w:cs="Times New Roman"/>
          <w:sz w:val="24"/>
          <w:szCs w:val="24"/>
          <w:lang w:val="en-US"/>
        </w:rPr>
        <w:t xml:space="preserve"> in general </w:t>
      </w:r>
      <w:r w:rsidR="00E514AE" w:rsidRPr="00612653">
        <w:rPr>
          <w:rFonts w:ascii="Book Antiqua" w:eastAsia="Times New Roman" w:hAnsi="Book Antiqua" w:cs="Times New Roman"/>
          <w:sz w:val="24"/>
          <w:szCs w:val="24"/>
          <w:lang w:val="en-US"/>
        </w:rPr>
        <w:t xml:space="preserve">concordance </w:t>
      </w:r>
      <w:r w:rsidR="009222CF" w:rsidRPr="00612653">
        <w:rPr>
          <w:rFonts w:ascii="Book Antiqua" w:eastAsia="Times New Roman" w:hAnsi="Book Antiqua" w:cs="Times New Roman"/>
          <w:sz w:val="24"/>
          <w:szCs w:val="24"/>
          <w:lang w:val="en-US"/>
        </w:rPr>
        <w:t xml:space="preserve">with recent </w:t>
      </w:r>
      <w:r w:rsidR="00B80FFC" w:rsidRPr="00612653">
        <w:rPr>
          <w:rFonts w:ascii="Book Antiqua" w:hAnsi="Book Antiqua"/>
          <w:sz w:val="24"/>
          <w:szCs w:val="24"/>
          <w:lang w:val="en-US"/>
        </w:rPr>
        <w:t>hypothese</w:t>
      </w:r>
      <w:r w:rsidR="009222CF" w:rsidRPr="00612653">
        <w:rPr>
          <w:rFonts w:ascii="Book Antiqua" w:hAnsi="Book Antiqua"/>
          <w:sz w:val="24"/>
          <w:szCs w:val="24"/>
          <w:lang w:val="en-US"/>
        </w:rPr>
        <w:t xml:space="preserve">s that </w:t>
      </w:r>
      <w:r w:rsidR="009222CF" w:rsidRPr="00612653">
        <w:rPr>
          <w:rFonts w:ascii="Book Antiqua" w:eastAsia="Times New Roman" w:hAnsi="Book Antiqua" w:cs="Times New Roman"/>
          <w:sz w:val="24"/>
          <w:szCs w:val="24"/>
          <w:lang w:val="en-US"/>
        </w:rPr>
        <w:t xml:space="preserve">mounting lipotoxicity </w:t>
      </w:r>
      <w:r w:rsidR="00E3569F" w:rsidRPr="00612653">
        <w:rPr>
          <w:rFonts w:ascii="Book Antiqua" w:eastAsia="Times New Roman" w:hAnsi="Book Antiqua" w:cs="Times New Roman"/>
          <w:sz w:val="24"/>
          <w:szCs w:val="24"/>
          <w:lang w:val="en-US"/>
        </w:rPr>
        <w:t>constitutes</w:t>
      </w:r>
      <w:r w:rsidR="009222CF" w:rsidRPr="00612653">
        <w:rPr>
          <w:rFonts w:ascii="Book Antiqua" w:eastAsia="Times New Roman" w:hAnsi="Book Antiqua" w:cs="Times New Roman"/>
          <w:sz w:val="24"/>
          <w:szCs w:val="24"/>
          <w:lang w:val="en-US"/>
        </w:rPr>
        <w:t xml:space="preserve"> a triggering event for progression of NAFLD into NASH</w:t>
      </w:r>
      <w:r w:rsidR="009222CF" w:rsidRPr="00612653">
        <w:rPr>
          <w:rFonts w:ascii="Book Antiqua" w:hAnsi="Book Antiqua"/>
          <w:sz w:val="24"/>
          <w:szCs w:val="24"/>
        </w:rPr>
        <w:fldChar w:fldCharType="begin" w:fldLock="1"/>
      </w:r>
      <w:r w:rsidR="00096F21" w:rsidRPr="00612653">
        <w:rPr>
          <w:rFonts w:ascii="Book Antiqua" w:hAnsi="Book Antiqua"/>
          <w:sz w:val="24"/>
          <w:szCs w:val="24"/>
          <w:lang w:val="en-US"/>
        </w:rPr>
        <w:instrText>ADDIN CSL_CITATION { "citationItems" : [ { "id" : "ITEM-1", "itemData" : { "DOI" : "10.1016/j.metabol.2017.04.011", "ISSN" : "00260495", "PMID" : "28641788", "abstract" : "Non-alcoholic fatty liver disease (NAFLD) is the most common form of liver disease and leading cause of cirrhosis in the United States and developed countries. NAFLD is closely associated with obesity, insulin resistance and metabolic syndrome, significantly contributing to the exacerbation of the latter. Although NAFLD represents the hepatic component of metabolic syndrome, it can also be found in patients prior to their presentation with other manifestations of the syndrome. The pathogenesis of NAFLD is complex and closely intertwined with insulin resistance and obesity. Several mechanisms are undoubtedly involved in its pathogenesis and progression. In this review, we bring together the current understanding of the pathogenesis that makes NAFLD a systemic disease.", "author" : [ { "dropping-particle" : "", "family" : "Reccia", "given" : "Isabella", "non-dropping-particle" : "", "parse-names" : false, "suffix" : "" }, { "dropping-particle" : "", "family" : "Kumar", "given" : "Jayant", "non-dropping-particle" : "", "parse-names" : false, "suffix" : "" }, { "dropping-particle" : "", "family" : "Akladios", "given" : "Cherif", "non-dropping-particle" : "", "parse-names" : false, "suffix" : "" }, { "dropping-particle" : "", "family" : "Virdis", "given" : "Francesco", "non-dropping-particle" : "", "parse-names" : false, "suffix" : "" }, { "dropping-particle" : "", "family" : "Pai", "given" : "Madhava", "non-dropping-particle" : "", "parse-names" : false, "suffix" : "" }, { "dropping-particle" : "", "family" : "Habib", "given" : "Nagy", "non-dropping-particle" : "", "parse-names" : false, "suffix" : "" }, { "dropping-particle" : "", "family" : "Spalding", "given" : "Duncan", "non-dropping-particle" : "", "parse-names" : false, "suffix" : "" } ], "container-title" : "Metabolism", "id" : "ITEM-1", "issued" : { "date-parts" : [ [ "2017", "7" ] ] }, "page" : "94-108", "title" : "Non-alcoholic fatty liver disease: A sign of systemic disease", "type" : "article-journal", "volume" : "72" }, "uris" : [ "http://www.mendeley.com/documents/?uuid=5e93d33a-4a6c-316c-979d-dff0cd61295e" ] }, { "id" : "ITEM-2", "itemData" : { "DOI" : "10.1186/s12916-017-0806-8", "ISSN" : "1741-7015", "PMID" : "28241825", "abstract" : "Non-alcoholic fatty liver disease has emerged a major challenge because of it prevalence, difficulties in diagnosis, complex pathogenesis, and lack of approved therapies. As the burden of hepatitis C abates over the next decade, non-alcoholic fatty liver disease will become the major form of chronic liver disease in adults and children and could become the leading indication for liver transplantation. This overview briefly summarizes the most recent data on the pathophysiology, diagnosis, and treatment of non-alcoholic fatty liver disease. Ongoing clinical trials are focused on an array of disease mechanisms and reviewed here are how these treatments fit into the current paradigm of substrate overload lipotoxic liver injury. Many of the approaches are directed at downstream events such as inflammation, injury and fibrogenesis. Addressing more proximal processes such as dysfunctional satiety mechanisms and inappropriately parsimonious energy dissipation are potential therapeutic opportunities that if successfully understood and exploited would not only address fatty liver disease but also the other components of the metabolic syndrome such as obesity, diabetes and dyslipidemia.", "author" : [ { "dropping-particle" : "", "family" : "Neuschwander-Tetri", "given" : "Brent A.", "non-dropping-particle" : "", "parse-names" : false, "suffix" : "" } ], "container-title" : "BMC Medicine", "id" : "ITEM-2", "issue" : "1", "issued" : { "date-parts" : [ [ "2017", "12", "28" ] ] }, "page" : "45", "title" : "Non-alcoholic fatty liver disease", "type" : "article-journal", "volume" : "15" }, "uris" : [ "http://www.mendeley.com/documents/?uuid=04e77ea6-6509-3052-8988-17886dd2b4b8" ] } ], "mendeley" : { "formattedCitation" : "&lt;sup&gt;[45,46]&lt;/sup&gt;", "plainTextFormattedCitation" : "[45,46]", "previouslyFormattedCitation" : "&lt;sup&gt;[45,46]&lt;/sup&gt;" }, "properties" : { "noteIndex" : 0 }, "schema" : "https://github.com/citation-style-language/schema/raw/master/csl-citation.json" }</w:instrText>
      </w:r>
      <w:r w:rsidR="009222CF" w:rsidRPr="00612653">
        <w:rPr>
          <w:rFonts w:ascii="Book Antiqua" w:hAnsi="Book Antiqua"/>
          <w:sz w:val="24"/>
          <w:szCs w:val="24"/>
          <w:vertAlign w:val="superscript"/>
          <w:lang w:val="en-US"/>
        </w:rPr>
        <w:fldChar w:fldCharType="separate"/>
      </w:r>
      <w:r w:rsidR="00096F21" w:rsidRPr="00612653">
        <w:rPr>
          <w:rFonts w:ascii="Book Antiqua" w:hAnsi="Book Antiqua"/>
          <w:noProof/>
          <w:sz w:val="24"/>
          <w:szCs w:val="24"/>
          <w:vertAlign w:val="superscript"/>
          <w:lang w:val="en-US"/>
        </w:rPr>
        <w:t>[45,46]</w:t>
      </w:r>
      <w:r w:rsidR="009222CF" w:rsidRPr="00612653">
        <w:rPr>
          <w:rFonts w:ascii="Book Antiqua" w:hAnsi="Book Antiqua"/>
          <w:sz w:val="24"/>
          <w:szCs w:val="24"/>
        </w:rPr>
        <w:fldChar w:fldCharType="end"/>
      </w:r>
      <w:r w:rsidR="009222CF" w:rsidRPr="00612653">
        <w:rPr>
          <w:rFonts w:ascii="Book Antiqua" w:hAnsi="Book Antiqua"/>
          <w:sz w:val="24"/>
          <w:szCs w:val="24"/>
          <w:lang w:val="en-US"/>
        </w:rPr>
        <w:t>.</w:t>
      </w:r>
    </w:p>
    <w:p w14:paraId="5D785C57" w14:textId="1B0BF983" w:rsidR="00830F02" w:rsidRPr="00612653" w:rsidRDefault="00685A97" w:rsidP="00082279">
      <w:pPr>
        <w:snapToGrid w:val="0"/>
        <w:spacing w:after="0" w:line="360" w:lineRule="auto"/>
        <w:ind w:firstLineChars="100" w:firstLine="240"/>
        <w:jc w:val="both"/>
        <w:rPr>
          <w:rFonts w:ascii="Book Antiqua" w:hAnsi="Book Antiqua"/>
          <w:sz w:val="24"/>
          <w:szCs w:val="24"/>
          <w:lang w:val="en-US"/>
        </w:rPr>
      </w:pPr>
      <w:r w:rsidRPr="00612653">
        <w:rPr>
          <w:rFonts w:ascii="Book Antiqua" w:hAnsi="Book Antiqua"/>
          <w:sz w:val="24"/>
          <w:szCs w:val="24"/>
          <w:lang w:val="en-US"/>
        </w:rPr>
        <w:t>In agreement with previous findings</w:t>
      </w:r>
      <w:r w:rsidR="00DD1667" w:rsidRPr="00612653">
        <w:rPr>
          <w:rFonts w:ascii="Book Antiqua" w:hAnsi="Book Antiqua"/>
          <w:sz w:val="24"/>
          <w:szCs w:val="24"/>
        </w:rPr>
        <w:fldChar w:fldCharType="begin" w:fldLock="1"/>
      </w:r>
      <w:r w:rsidR="00096F21" w:rsidRPr="00612653">
        <w:rPr>
          <w:rFonts w:ascii="Book Antiqua" w:hAnsi="Book Antiqua"/>
          <w:sz w:val="24"/>
          <w:szCs w:val="24"/>
          <w:lang w:val="en-US"/>
        </w:rPr>
        <w:instrText>ADDIN CSL_CITATION { "citationItems" : [ { "id" : "ITEM-1", "itemData" : { "DOI" : "10.1152/ajpgi.00079.2013", "ISBN" : "0193-1857", "ISSN" : "0193-1857", "PMID" : "23886860", "abstract" : "Shortcomings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\u223c18%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 "author" : [ { "dropping-particle" : "", "family" : "Clapper", "given" : "Jason R.", "non-dropping-particle" : "", "parse-names" : false, "suffix" : "" }, { "dropping-particle" : "", "family" : "Hendricks", "given" : "Michelle D.", "non-dropping-particle" : "", "parse-names" : false, "suffix" : "" }, { "dropping-particle" : "", "family" : "Gu", "given" : "Guibao", "non-dropping-particle" : "", "parse-names" : false, "suffix" : "" }, { "dropping-particle" : "", "family" : "Wittmer", "given" : "Carrie", "non-dropping-particle" : "", "parse-names" : false, "suffix" : "" }, { "dropping-particle" : "", "family" : "Dolman", "given" : "Carrie S.", "non-dropping-particle" : "", "parse-names" : false, "suffix" : "" }, { "dropping-particle" : "", "family" : "Herich", "given" : "John", "non-dropping-particle" : "", "parse-names" : false, "suffix" : "" }, { "dropping-particle" : "", "family" : "Athanacio", "given" : "Jennifer", "non-dropping-particle" : "", "parse-names" : false, "suffix" : "" }, { "dropping-particle" : "", "family" : "Villescaz", "given" : "Christiane", "non-dropping-particle" : "", "parse-names" : false, "suffix" : "" }, { "dropping-particle" : "", "family" : "Ghosh", "given" : "Soumitra S.", "non-dropping-particle" : "", "parse-names" : false, "suffix" : "" }, { "dropping-particle" : "", "family" : "Heilig", "given" : "Joseph S.", "non-dropping-particle" : "", "parse-names" : false, "suffix" : "" }, { "dropping-particle" : "", "family" : "Lowe", "given" : "Carolyn", "non-dropping-particle" : "", "parse-names" : false, "suffix" : "" }, { "dropping-particle" : "", "family" : "Roth", "given" : "Jonathan D.", "non-dropping-particle" : "", "parse-names" : false, "suffix" : "" } ], "container-title" : "AJP: Gastrointestinal and Liver Physiology", "id" : "ITEM-1", "issue" : "7", "issued" : { "date-parts" : [ [ "2013", "10", "1" ] ] }, "note" : "From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 "page" : "G483-G495", "title" : "Diet-induced mouse model of fatty liver disease and nonalcoholic steatohepatitis reflecting clinical disease progression and methods of assessment", "type" : "article-journal", "volume" : "305" }, "uris" : [ "http://www.mendeley.com/documents/?uuid=f296c90d-1058-4388-a031-b0fef4d5ade2" ] }, { "id" : "ITEM-2", "itemData" : { "DOI" : "10.4254/wjh.v8.i16.673", "ISSN" : "1948-5182", "PMID" : "27326314", "abstract" : "AIM To characterize development of diet-induced nonalcoholic steatohepatitis (NASH) by performing liver biopsy in wild-type and genetically obese mice. METHODS Male wild-type C57BL/6J (C57) mice (DIO-NASH) and male Lep(ob) /Lep(ob) (ob/ob) mice (ob/ob-NASH) were maintained on a diet high in trans-fat (40%), fructose (22%) and cholesterol (2%) for 26 and 12 wk, respectively. A normal chow diet served as control in C57 mice (lean chow) and ob/ob mice (ob/ob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ob/ob-NASH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ob/ob-NASH vs DIO-NASH mice. During the eight week repeated vehicle dosing period, the metabolic phenotype was sustained in DIO-NASH and ob/ob-NASH mice in conjunction with hepatomegaly and increased hepatic lipids and collagen accumulation. Histopathological scoring demonstrated significantly increased NAS of DIO-NASH mice (0 vs 4.7 \u00b1 0.4, P &lt; 0.001 compared to lean chow) and ob/ob-NASH mice (2.4 \u00b1 0.3 vs 6.3 \u00b1 0.2, P &lt; 0.001 compared to ob/ob chow), respectively. Furthermore, fibrosis stage was significantly elevated for DIO-NASH mice (0 vs 1.2 \u00b1 0.2, P &lt; 0.05 compared to lean chow) and ob/ob NASH (0.1 \u00b1 0.1 vs 3.0 \u00b1 0.2, P &lt; 0.001 compared to ob/ob chow). Notably, fibrosis stage was significantly (P &lt; 0.001) increased in ob/ob-NASH mice, when compared to DIO-NASH mice. CONCLUSION These data introduce the obese diet-induced DIO-NASH and ob/ob-NASH mouse models\u2026", "author" : [ { "dropping-particle" : "", "family" : "Kristiansen", "given" : "Maria Nicoline Baandrup",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"T\u00f8lb\u00f8l", "given" : "Kirstine Sloth", "non-dropping-particle" : "", "parse-names" : false, "suffix" : "" }, { "dropping-particle" : "", "family" : "Roth", "given" : "Jonathan David", "non-dropping-particle" : "", "parse-names" : false, "suffix" : "" }, { "dropping-particle" : "", "family" : "Jelsing", "given" : "Jacob", "non-dropping-particle" : "", "parse-names" : false, "suffix" : "" }, { "dropping-particle" : "", "family" : "Vrang", "given" : "Niels", "non-dropping-particle" : "", "parse-names" : false, "suffix" : "" }, { "dropping-particle" : "", "family" : "Feigh", "given" : "Michael", "non-dropping-particle" : "", "parse-names" : false, "suffix" : "" } ], "container-title" : "World Journal of Hepatology", "id" : "ITEM-2", "issue" : "16", "issued" : { "date-parts" : [ [ "2016", "6", "8" ] ] }, "page" : "673", "title" : "Obese diet-induced mouse models of nonalcoholic steatohepatitis-tracking disease by liver biopsy", "type" : "article-journal", "volume" : "8" }, "uris" : [ "http://www.mendeley.com/documents/?uuid=69bb0cda-5036-450b-90a1-83c8b0817689" ] } ], "mendeley" : { "formattedCitation" : "&lt;sup&gt;[9,19]&lt;/sup&gt;", "plainTextFormattedCitation" : "[9,19]", "previouslyFormattedCitation" : "&lt;sup&gt;[9,19]&lt;/sup&gt;" }, "properties" : { "noteIndex" : 0 }, "schema" : "https://github.com/citation-style-language/schema/raw/master/csl-citation.json" }</w:instrText>
      </w:r>
      <w:r w:rsidR="00DD1667" w:rsidRPr="00612653">
        <w:rPr>
          <w:rFonts w:ascii="Book Antiqua" w:hAnsi="Book Antiqua"/>
          <w:sz w:val="24"/>
          <w:szCs w:val="24"/>
          <w:vertAlign w:val="superscript"/>
          <w:lang w:val="en-US"/>
        </w:rPr>
        <w:fldChar w:fldCharType="separate"/>
      </w:r>
      <w:r w:rsidR="00096F21" w:rsidRPr="00612653">
        <w:rPr>
          <w:rFonts w:ascii="Book Antiqua" w:hAnsi="Book Antiqua"/>
          <w:noProof/>
          <w:sz w:val="24"/>
          <w:szCs w:val="24"/>
          <w:vertAlign w:val="superscript"/>
          <w:lang w:val="en-US"/>
        </w:rPr>
        <w:t>[9,19]</w:t>
      </w:r>
      <w:r w:rsidR="00DD1667" w:rsidRPr="00612653">
        <w:rPr>
          <w:rFonts w:ascii="Book Antiqua" w:hAnsi="Book Antiqua"/>
          <w:sz w:val="24"/>
          <w:szCs w:val="24"/>
        </w:rPr>
        <w:fldChar w:fldCharType="end"/>
      </w:r>
      <w:r w:rsidRPr="00612653">
        <w:rPr>
          <w:rFonts w:ascii="Book Antiqua" w:hAnsi="Book Antiqua"/>
          <w:sz w:val="24"/>
          <w:szCs w:val="24"/>
          <w:lang w:val="en-US"/>
        </w:rPr>
        <w:t xml:space="preserve">, </w:t>
      </w:r>
      <w:r w:rsidR="003F08D8" w:rsidRPr="00612653">
        <w:rPr>
          <w:rFonts w:ascii="Book Antiqua" w:hAnsi="Book Antiqua"/>
          <w:sz w:val="24"/>
          <w:szCs w:val="24"/>
          <w:lang w:val="en-US"/>
        </w:rPr>
        <w:t>all</w:t>
      </w:r>
      <w:r w:rsidR="00B13EFC" w:rsidRPr="00612653">
        <w:rPr>
          <w:rFonts w:ascii="Book Antiqua" w:hAnsi="Book Antiqua"/>
          <w:sz w:val="24"/>
          <w:szCs w:val="24"/>
          <w:lang w:val="en-US"/>
        </w:rPr>
        <w:t xml:space="preserve"> </w:t>
      </w:r>
      <w:r w:rsidR="003F08D8" w:rsidRPr="00612653">
        <w:rPr>
          <w:rFonts w:ascii="Book Antiqua" w:hAnsi="Book Antiqua"/>
          <w:sz w:val="24"/>
          <w:szCs w:val="24"/>
          <w:lang w:val="en-US"/>
        </w:rPr>
        <w:t xml:space="preserve">morphological </w:t>
      </w:r>
      <w:r w:rsidR="006664CF" w:rsidRPr="00612653">
        <w:rPr>
          <w:rFonts w:ascii="Book Antiqua" w:hAnsi="Book Antiqua"/>
          <w:sz w:val="24"/>
          <w:szCs w:val="24"/>
          <w:lang w:val="en-US"/>
        </w:rPr>
        <w:t xml:space="preserve">hallmarks of NASH were consistently present </w:t>
      </w:r>
      <w:r w:rsidR="00DD1667" w:rsidRPr="00612653">
        <w:rPr>
          <w:rFonts w:ascii="Book Antiqua" w:hAnsi="Book Antiqua"/>
          <w:sz w:val="24"/>
          <w:szCs w:val="24"/>
          <w:lang w:val="en-US"/>
        </w:rPr>
        <w:t>in DIO-NASH mice</w:t>
      </w:r>
      <w:r w:rsidR="004257C3" w:rsidRPr="00612653">
        <w:rPr>
          <w:rFonts w:ascii="Book Antiqua" w:hAnsi="Book Antiqua"/>
          <w:sz w:val="24"/>
          <w:szCs w:val="24"/>
          <w:lang w:val="en-US"/>
        </w:rPr>
        <w:t xml:space="preserve"> </w:t>
      </w:r>
      <w:r w:rsidR="001458DA" w:rsidRPr="00612653">
        <w:rPr>
          <w:rFonts w:ascii="Book Antiqua" w:hAnsi="Book Antiqua"/>
          <w:sz w:val="24"/>
          <w:szCs w:val="24"/>
          <w:lang w:val="en-US"/>
        </w:rPr>
        <w:t>at</w:t>
      </w:r>
      <w:r w:rsidR="004257C3" w:rsidRPr="00612653">
        <w:rPr>
          <w:rFonts w:ascii="Book Antiqua" w:hAnsi="Book Antiqua"/>
          <w:sz w:val="24"/>
          <w:szCs w:val="24"/>
          <w:lang w:val="en-US"/>
        </w:rPr>
        <w:t xml:space="preserve"> </w:t>
      </w:r>
      <w:r w:rsidR="001458DA" w:rsidRPr="00612653">
        <w:rPr>
          <w:rFonts w:ascii="Book Antiqua" w:hAnsi="Book Antiqua"/>
          <w:sz w:val="24"/>
          <w:szCs w:val="24"/>
          <w:lang w:val="en-US"/>
        </w:rPr>
        <w:t>≥</w:t>
      </w:r>
      <w:r w:rsidR="00E74C5F" w:rsidRPr="00612653">
        <w:rPr>
          <w:rFonts w:ascii="Book Antiqua" w:hAnsi="Book Antiqua"/>
          <w:sz w:val="24"/>
          <w:szCs w:val="24"/>
          <w:lang w:val="en-US" w:eastAsia="zh-CN"/>
        </w:rPr>
        <w:t xml:space="preserve"> </w:t>
      </w:r>
      <w:r w:rsidR="00E74C5F" w:rsidRPr="00612653">
        <w:rPr>
          <w:rFonts w:ascii="Book Antiqua" w:hAnsi="Book Antiqua"/>
          <w:sz w:val="24"/>
          <w:szCs w:val="24"/>
          <w:lang w:val="en-US"/>
        </w:rPr>
        <w:t>25 wk</w:t>
      </w:r>
      <w:r w:rsidR="004257C3" w:rsidRPr="00612653">
        <w:rPr>
          <w:rFonts w:ascii="Book Antiqua" w:hAnsi="Book Antiqua"/>
          <w:sz w:val="24"/>
          <w:szCs w:val="24"/>
          <w:lang w:val="en-US"/>
        </w:rPr>
        <w:t xml:space="preserve"> of dieting</w:t>
      </w:r>
      <w:r w:rsidR="009222CF" w:rsidRPr="00612653">
        <w:rPr>
          <w:rFonts w:ascii="Book Antiqua" w:hAnsi="Book Antiqua"/>
          <w:sz w:val="24"/>
          <w:szCs w:val="24"/>
          <w:lang w:val="en-US"/>
        </w:rPr>
        <w:t xml:space="preserve"> </w:t>
      </w:r>
      <w:r w:rsidR="001458DA" w:rsidRPr="00612653">
        <w:rPr>
          <w:rFonts w:ascii="Book Antiqua" w:hAnsi="Book Antiqua"/>
          <w:sz w:val="24"/>
          <w:szCs w:val="24"/>
          <w:lang w:val="en-US"/>
        </w:rPr>
        <w:t>(</w:t>
      </w:r>
      <w:r w:rsidR="009222CF" w:rsidRPr="00612653">
        <w:rPr>
          <w:rFonts w:ascii="Book Antiqua" w:hAnsi="Book Antiqua"/>
          <w:sz w:val="24"/>
          <w:szCs w:val="24"/>
          <w:lang w:val="en-US"/>
        </w:rPr>
        <w:t>NAS ≥</w:t>
      </w:r>
      <w:r w:rsidR="00E74C5F" w:rsidRPr="00612653">
        <w:rPr>
          <w:rFonts w:ascii="Book Antiqua" w:hAnsi="Book Antiqua"/>
          <w:sz w:val="24"/>
          <w:szCs w:val="24"/>
          <w:lang w:val="en-US" w:eastAsia="zh-CN"/>
        </w:rPr>
        <w:t xml:space="preserve"> </w:t>
      </w:r>
      <w:r w:rsidR="001458DA" w:rsidRPr="00612653">
        <w:rPr>
          <w:rFonts w:ascii="Book Antiqua" w:hAnsi="Book Antiqua"/>
          <w:sz w:val="24"/>
          <w:szCs w:val="24"/>
          <w:lang w:val="en-US"/>
        </w:rPr>
        <w:t>4-</w:t>
      </w:r>
      <w:r w:rsidR="009222CF" w:rsidRPr="00612653">
        <w:rPr>
          <w:rFonts w:ascii="Book Antiqua" w:hAnsi="Book Antiqua"/>
          <w:sz w:val="24"/>
          <w:szCs w:val="24"/>
          <w:lang w:val="en-US"/>
        </w:rPr>
        <w:t>5,</w:t>
      </w:r>
      <w:r w:rsidR="003F08D8" w:rsidRPr="00612653">
        <w:rPr>
          <w:rFonts w:ascii="Book Antiqua" w:hAnsi="Book Antiqua"/>
          <w:sz w:val="24"/>
          <w:szCs w:val="24"/>
          <w:lang w:val="en-US"/>
        </w:rPr>
        <w:t xml:space="preserve"> </w:t>
      </w:r>
      <w:r w:rsidR="006664CF" w:rsidRPr="00612653">
        <w:rPr>
          <w:rFonts w:ascii="Book Antiqua" w:hAnsi="Book Antiqua"/>
          <w:sz w:val="24"/>
          <w:szCs w:val="24"/>
          <w:lang w:val="en-US"/>
        </w:rPr>
        <w:t xml:space="preserve">corresponding to the </w:t>
      </w:r>
      <w:r w:rsidR="003F08D8" w:rsidRPr="00612653">
        <w:rPr>
          <w:rFonts w:ascii="Book Antiqua" w:hAnsi="Book Antiqua"/>
          <w:sz w:val="24"/>
          <w:szCs w:val="24"/>
          <w:lang w:val="en-US"/>
        </w:rPr>
        <w:t xml:space="preserve">clinical </w:t>
      </w:r>
      <w:r w:rsidR="006664CF" w:rsidRPr="00612653">
        <w:rPr>
          <w:rFonts w:ascii="Book Antiqua" w:hAnsi="Book Antiqua"/>
          <w:sz w:val="24"/>
          <w:szCs w:val="24"/>
          <w:lang w:val="en-US"/>
        </w:rPr>
        <w:t>criteria for NASH</w:t>
      </w:r>
      <w:r w:rsidR="006664CF" w:rsidRPr="00612653">
        <w:rPr>
          <w:rFonts w:ascii="Book Antiqua" w:hAnsi="Book Antiqua"/>
          <w:sz w:val="24"/>
          <w:szCs w:val="24"/>
        </w:rPr>
        <w:fldChar w:fldCharType="begin" w:fldLock="1"/>
      </w:r>
      <w:r w:rsidR="004A5E9A" w:rsidRPr="00612653">
        <w:rPr>
          <w:rFonts w:ascii="Book Antiqua" w:hAnsi="Book Antiqua"/>
          <w:sz w:val="24"/>
          <w:szCs w:val="24"/>
          <w:lang w:val="en-US"/>
        </w:rPr>
        <w:instrText>ADDIN CSL_CITATION { "citationItems" : [ { "id" : "ITEM-1", "itemData" : { "DOI" : "10.1002/hep.20701", "ISSN" : "0270-9139", "PMID" : "15915461", "abstract" : "Nonalcoholic fatty liver disease (NAFLD) is characterized by hepatic steatosis in the absence of a history of significant alcohol use or other known liver disease. Nonalcoholic steatohepatitis (NASH) is the progressive form of NAFLD. The Pathology Committee of the NASH Clinical Research Network designed and validated a histological feature scoring system that addresses the full spectrum of lesions of NAFLD and proposed a NAFLD activity score (NAS) for use in clinical trials. The scoring system comprised 14 histological features, 4 of which were evaluated semi-quantitatively: steatosis (0-3), lobular inflammation (0-2), hepatocellular ballooning (0-2), and fibrosis (0-4). Another nine features were recorded as present or absent. An anonymized study set of 50 cases (32 from adult hepatology services, 18 from pediatric hepatology services) was assembled, coded, and circulated. For the validation study, agreement on scoring and a diagnostic categorization (\"NASH,\" \"borderline,\" or \"not NASH\") were evaluated by using weighted kappa statistics. Inter-rater agreement on adult cases was: 0.84 for fibrosis, 0.79 for steatosis, 0.56 for injury, and 0.45 for lobular inflammation. Agreement on diagnostic category was 0.61. Using multiple logistic regression, five features were independently associated with the diagnosis of NASH in adult biopsies: steatosis (P = .009), hepatocellular ballooning (P = .0001), lobular inflammation (P = .0001), fibrosis (P = .0001), and the absence of lipogranulomas (P = .001). The proposed NAS is the unweighted sum of steatosis, lobular inflammation, and hepatocellular ballooning scores. In conclusion, we present a strong scoring system and NAS for NAFLD and NASH with reasonable inter-rater reproducibility that should be useful for studies of both adults and children with any degree of NAFLD. NAS of &gt; or =5 correlated with a diagnosis of NASH, and biopsies with scores of less than 3 were diagnosed as \"not NASH.\"", "author" : [ { "dropping-particle" : "", "family" : "Kleiner", "given" : "David E.", "non-dropping-particle" : "", "parse-names" : false, "suffix" : "" }, { "dropping-particle" : "", "family" : "Brunt", "given" : "Elizabeth M.", "non-dropping-particle" : "", "parse-names" : false, "suffix" : "" }, { "dropping-particle" : "", "family" : "Natta", "given" : "Mark", "non-dropping-particle" : "Van", "parse-names" : false, "suffix" : "" }, { "dropping-particle" : "", "family" : "Behling", "given" : "Cynthia", "non-dropping-particle" : "", "parse-names" : false, "suffix" : "" }, { "dropping-particle" : "", "family" : "Contos", "given" : "Melissa J.", "non-dropping-particle" : "", "parse-names" : false, "suffix" : "" }, { "dropping-particle" : "", "family" : "Cummings", "given" : "Oscar W.", "non-dropping-particle" : "", "parse-names" : false, "suffix" : "" }, { "dropping-particle" : "", "family" : "Ferrell", "given" : "Linda D.", "non-dropping-particle" : "", "parse-names" : false, "suffix" : "" }, { "dropping-particle" : "", "family" : "Liu", "given" : "Yao-Chang", "non-dropping-particle" : "", "parse-names" : false, "suffix" : "" }, { "dropping-particle" : "", "family" : "Torbenson", "given" : "Michael S.", "non-dropping-particle" : "", "parse-names" : false, "suffix" : "" }, { "dropping-particle" : "", "family" : "Unalp-Arida", "given" : "Aynur", "non-dropping-particle" : "", "parse-names" : false, "suffix" : "" }, { "dropping-particle" : "", "family" : "Yeh", "given" : "Matthew", "non-dropping-particle" : "", "parse-names" : false, "suffix" : "" }, { "dropping-particle" : "", "family" : "McCullough", "given" : "Arthur J.", "non-dropping-particle" : "", "parse-names" : false, "suffix" : "" }, { "dropping-particle" : "", "family" : "Sanyal", "given" : "Arun J.", "non-dropping-particle" : "", "parse-names" : false, "suffix" : "" }, { "dropping-particle" : "", "family" : "Nonalcoholic Steatohepatitis Clinical Research Network", "given" : "", "non-dropping-particle" : "", "parse-names" : false, "suffix" : "" } ], "container-title" : "Hepatology", "id" : "ITEM-1", "issue" : "6", "issued" : { "date-parts" : [ [ "2005", "6" ] ] }, "page" : "1313-1321", "title" : "Design and validation of a histological scoring system for nonalcoholic fatty liver disease", "type" : "article-journal", "volume" : "41" }, "uris" : [ "http://www.mendeley.com/documents/?uuid=570e92b8-5276-3540-887d-ace6dfbdc3d9" ] } ], "mendeley" : { "formattedCitation" : "&lt;sup&gt;[31]&lt;/sup&gt;", "plainTextFormattedCitation" : "[31]", "previouslyFormattedCitation" : "&lt;sup&gt;[31]&lt;/sup&gt;" }, "properties" : { "noteIndex" : 0 }, "schema" : "https://github.com/citation-style-language/schema/raw/master/csl-citation.json" }</w:instrText>
      </w:r>
      <w:r w:rsidR="006664CF" w:rsidRPr="00612653">
        <w:rPr>
          <w:rFonts w:ascii="Book Antiqua" w:hAnsi="Book Antiqua"/>
          <w:sz w:val="24"/>
          <w:szCs w:val="24"/>
          <w:vertAlign w:val="superscript"/>
          <w:lang w:val="en-US"/>
        </w:rPr>
        <w:fldChar w:fldCharType="separate"/>
      </w:r>
      <w:r w:rsidR="004A5E9A" w:rsidRPr="00612653">
        <w:rPr>
          <w:rFonts w:ascii="Book Antiqua" w:hAnsi="Book Antiqua"/>
          <w:noProof/>
          <w:sz w:val="24"/>
          <w:szCs w:val="24"/>
          <w:vertAlign w:val="superscript"/>
          <w:lang w:val="en-US"/>
        </w:rPr>
        <w:t>[31]</w:t>
      </w:r>
      <w:r w:rsidR="006664CF" w:rsidRPr="00612653">
        <w:rPr>
          <w:rFonts w:ascii="Book Antiqua" w:hAnsi="Book Antiqua"/>
          <w:sz w:val="24"/>
          <w:szCs w:val="24"/>
        </w:rPr>
        <w:fldChar w:fldCharType="end"/>
      </w:r>
      <w:r w:rsidR="00FA5B37" w:rsidRPr="00612653">
        <w:rPr>
          <w:rFonts w:ascii="Book Antiqua" w:hAnsi="Book Antiqua"/>
          <w:sz w:val="24"/>
          <w:szCs w:val="24"/>
          <w:lang w:val="en-US"/>
        </w:rPr>
        <w:t>)</w:t>
      </w:r>
      <w:r w:rsidR="006664CF" w:rsidRPr="00612653">
        <w:rPr>
          <w:rFonts w:ascii="Book Antiqua" w:hAnsi="Book Antiqua"/>
          <w:sz w:val="24"/>
          <w:szCs w:val="24"/>
          <w:lang w:val="en-US"/>
        </w:rPr>
        <w:t>.</w:t>
      </w:r>
      <w:r w:rsidR="0036162E" w:rsidRPr="00612653">
        <w:rPr>
          <w:rFonts w:ascii="Book Antiqua" w:hAnsi="Book Antiqua"/>
          <w:sz w:val="24"/>
          <w:szCs w:val="24"/>
          <w:lang w:val="en-US"/>
        </w:rPr>
        <w:t xml:space="preserve"> </w:t>
      </w:r>
      <w:r w:rsidR="00913C38" w:rsidRPr="00612653">
        <w:rPr>
          <w:rFonts w:ascii="Book Antiqua" w:hAnsi="Book Antiqua"/>
          <w:sz w:val="24"/>
          <w:szCs w:val="24"/>
          <w:lang w:val="en-US"/>
        </w:rPr>
        <w:t>NAS</w:t>
      </w:r>
      <w:r w:rsidR="00AB588C" w:rsidRPr="00612653">
        <w:rPr>
          <w:rFonts w:ascii="Book Antiqua" w:hAnsi="Book Antiqua"/>
          <w:sz w:val="24"/>
          <w:szCs w:val="24"/>
          <w:lang w:val="en-US"/>
        </w:rPr>
        <w:t xml:space="preserve"> was </w:t>
      </w:r>
      <w:r w:rsidR="003D31C2" w:rsidRPr="00612653">
        <w:rPr>
          <w:rFonts w:ascii="Book Antiqua" w:hAnsi="Book Antiqua"/>
          <w:sz w:val="24"/>
          <w:szCs w:val="24"/>
          <w:lang w:val="en-US"/>
        </w:rPr>
        <w:t>largely</w:t>
      </w:r>
      <w:r w:rsidR="00AB588C" w:rsidRPr="00612653">
        <w:rPr>
          <w:rFonts w:ascii="Book Antiqua" w:hAnsi="Book Antiqua"/>
          <w:sz w:val="24"/>
          <w:szCs w:val="24"/>
          <w:lang w:val="en-US"/>
        </w:rPr>
        <w:t xml:space="preserve"> driven by progressive changes in </w:t>
      </w:r>
      <w:r w:rsidR="00147CC1" w:rsidRPr="00612653">
        <w:rPr>
          <w:rFonts w:ascii="Book Antiqua" w:hAnsi="Book Antiqua"/>
          <w:sz w:val="24"/>
          <w:szCs w:val="24"/>
          <w:lang w:val="en-US"/>
        </w:rPr>
        <w:t>hepato</w:t>
      </w:r>
      <w:r w:rsidR="00AB588C" w:rsidRPr="00612653">
        <w:rPr>
          <w:rFonts w:ascii="Book Antiqua" w:hAnsi="Book Antiqua"/>
          <w:sz w:val="24"/>
          <w:szCs w:val="24"/>
          <w:lang w:val="en-US"/>
        </w:rPr>
        <w:t xml:space="preserve">steatosis and inflammation as affected mice </w:t>
      </w:r>
      <w:r w:rsidR="003F08D8" w:rsidRPr="00612653">
        <w:rPr>
          <w:rFonts w:ascii="Book Antiqua" w:hAnsi="Book Antiqua"/>
          <w:sz w:val="24"/>
          <w:szCs w:val="24"/>
          <w:lang w:val="en-US"/>
        </w:rPr>
        <w:t>only</w:t>
      </w:r>
      <w:r w:rsidR="00DD1667" w:rsidRPr="00612653">
        <w:rPr>
          <w:rFonts w:ascii="Book Antiqua" w:hAnsi="Book Antiqua"/>
          <w:sz w:val="24"/>
          <w:szCs w:val="24"/>
          <w:lang w:val="en-US"/>
        </w:rPr>
        <w:t xml:space="preserve"> exhibited </w:t>
      </w:r>
      <w:r w:rsidR="00AF0DF3" w:rsidRPr="00612653">
        <w:rPr>
          <w:rFonts w:ascii="Book Antiqua" w:hAnsi="Book Antiqua"/>
          <w:sz w:val="24"/>
          <w:szCs w:val="24"/>
          <w:lang w:val="en-US"/>
        </w:rPr>
        <w:t>marginal</w:t>
      </w:r>
      <w:r w:rsidR="00AB588C" w:rsidRPr="00612653">
        <w:rPr>
          <w:rFonts w:ascii="Book Antiqua" w:hAnsi="Book Antiqua"/>
          <w:sz w:val="24"/>
          <w:szCs w:val="24"/>
          <w:lang w:val="en-US"/>
        </w:rPr>
        <w:t xml:space="preserve"> hepatocyte </w:t>
      </w:r>
      <w:r w:rsidR="00AB588C" w:rsidRPr="00612653">
        <w:rPr>
          <w:rFonts w:ascii="Book Antiqua" w:hAnsi="Book Antiqua"/>
          <w:sz w:val="24"/>
          <w:szCs w:val="24"/>
          <w:lang w:val="en-US"/>
        </w:rPr>
        <w:lastRenderedPageBreak/>
        <w:t>ballooning.</w:t>
      </w:r>
      <w:r w:rsidR="00AF0DF3" w:rsidRPr="00612653">
        <w:rPr>
          <w:rFonts w:ascii="Book Antiqua" w:hAnsi="Book Antiqua"/>
          <w:sz w:val="24"/>
          <w:szCs w:val="24"/>
          <w:lang w:val="en-US"/>
        </w:rPr>
        <w:t xml:space="preserve"> The </w:t>
      </w:r>
      <w:r w:rsidR="001817A9" w:rsidRPr="00612653">
        <w:rPr>
          <w:rFonts w:ascii="Book Antiqua" w:hAnsi="Book Antiqua"/>
          <w:sz w:val="24"/>
          <w:szCs w:val="24"/>
          <w:lang w:val="en-US"/>
        </w:rPr>
        <w:t>absence</w:t>
      </w:r>
      <w:r w:rsidR="00AF0DF3" w:rsidRPr="00612653">
        <w:rPr>
          <w:rFonts w:ascii="Book Antiqua" w:hAnsi="Book Antiqua"/>
          <w:sz w:val="24"/>
          <w:szCs w:val="24"/>
          <w:lang w:val="en-US"/>
        </w:rPr>
        <w:t xml:space="preserve"> of conspicuous </w:t>
      </w:r>
      <w:r w:rsidR="00DC1F3E" w:rsidRPr="00612653">
        <w:rPr>
          <w:rFonts w:ascii="Book Antiqua" w:hAnsi="Book Antiqua"/>
          <w:sz w:val="24"/>
          <w:szCs w:val="24"/>
          <w:lang w:val="en-US"/>
        </w:rPr>
        <w:t xml:space="preserve">hepatocyte </w:t>
      </w:r>
      <w:r w:rsidR="00AF0DF3" w:rsidRPr="00612653">
        <w:rPr>
          <w:rFonts w:ascii="Book Antiqua" w:hAnsi="Book Antiqua"/>
          <w:sz w:val="24"/>
          <w:szCs w:val="24"/>
          <w:lang w:val="en-US"/>
        </w:rPr>
        <w:t>ballooning</w:t>
      </w:r>
      <w:r w:rsidR="003D31C2" w:rsidRPr="00612653">
        <w:rPr>
          <w:rFonts w:ascii="Book Antiqua" w:hAnsi="Book Antiqua"/>
          <w:sz w:val="24"/>
          <w:szCs w:val="24"/>
          <w:lang w:val="en-US"/>
        </w:rPr>
        <w:t xml:space="preserve"> is in accordance with a recent comprehensive </w:t>
      </w:r>
      <w:r w:rsidR="00043B5D" w:rsidRPr="00612653">
        <w:rPr>
          <w:rFonts w:ascii="Book Antiqua" w:hAnsi="Book Antiqua"/>
          <w:sz w:val="24"/>
          <w:szCs w:val="24"/>
          <w:lang w:val="en-US"/>
        </w:rPr>
        <w:t xml:space="preserve">histological scoring </w:t>
      </w:r>
      <w:r w:rsidR="003D31C2" w:rsidRPr="00612653">
        <w:rPr>
          <w:rFonts w:ascii="Book Antiqua" w:hAnsi="Book Antiqua"/>
          <w:sz w:val="24"/>
          <w:szCs w:val="24"/>
          <w:lang w:val="en-US"/>
        </w:rPr>
        <w:t>study</w:t>
      </w:r>
      <w:r w:rsidR="00D06C6F" w:rsidRPr="00612653">
        <w:rPr>
          <w:rFonts w:ascii="Book Antiqua" w:hAnsi="Book Antiqua"/>
          <w:sz w:val="24"/>
          <w:szCs w:val="24"/>
          <w:lang w:val="en-US"/>
        </w:rPr>
        <w:t xml:space="preserve"> concluding </w:t>
      </w:r>
      <w:r w:rsidR="00DD1667" w:rsidRPr="00612653">
        <w:rPr>
          <w:rFonts w:ascii="Book Antiqua" w:hAnsi="Book Antiqua"/>
          <w:sz w:val="24"/>
          <w:szCs w:val="24"/>
          <w:lang w:val="en-US"/>
        </w:rPr>
        <w:t xml:space="preserve">that </w:t>
      </w:r>
      <w:r w:rsidR="00D06C6F" w:rsidRPr="00612653">
        <w:rPr>
          <w:rFonts w:ascii="Book Antiqua" w:hAnsi="Book Antiqua"/>
          <w:sz w:val="24"/>
          <w:szCs w:val="24"/>
          <w:lang w:val="en-US"/>
        </w:rPr>
        <w:t xml:space="preserve">obese </w:t>
      </w:r>
      <w:r w:rsidR="004F0BEC" w:rsidRPr="00612653">
        <w:rPr>
          <w:rFonts w:ascii="Book Antiqua" w:hAnsi="Book Antiqua"/>
          <w:sz w:val="24"/>
          <w:szCs w:val="24"/>
          <w:lang w:val="en-US"/>
        </w:rPr>
        <w:t xml:space="preserve">rodent </w:t>
      </w:r>
      <w:r w:rsidR="00DD1667" w:rsidRPr="00612653">
        <w:rPr>
          <w:rFonts w:ascii="Book Antiqua" w:hAnsi="Book Antiqua"/>
          <w:sz w:val="24"/>
          <w:szCs w:val="24"/>
          <w:lang w:val="en-US"/>
        </w:rPr>
        <w:t>models</w:t>
      </w:r>
      <w:r w:rsidR="00D06C6F" w:rsidRPr="00612653">
        <w:rPr>
          <w:rFonts w:ascii="Book Antiqua" w:hAnsi="Book Antiqua"/>
          <w:sz w:val="24"/>
          <w:szCs w:val="24"/>
          <w:lang w:val="en-US"/>
        </w:rPr>
        <w:t xml:space="preserve"> of NASH</w:t>
      </w:r>
      <w:r w:rsidR="00DD1667" w:rsidRPr="00612653">
        <w:rPr>
          <w:rFonts w:ascii="Book Antiqua" w:hAnsi="Book Antiqua"/>
          <w:sz w:val="24"/>
          <w:szCs w:val="24"/>
          <w:lang w:val="en-US"/>
        </w:rPr>
        <w:t xml:space="preserve"> do not entirely meet the </w:t>
      </w:r>
      <w:r w:rsidR="00DC1F3E" w:rsidRPr="00612653">
        <w:rPr>
          <w:rFonts w:ascii="Book Antiqua" w:hAnsi="Book Antiqua"/>
          <w:sz w:val="24"/>
          <w:szCs w:val="24"/>
          <w:lang w:val="en-US"/>
        </w:rPr>
        <w:t>histo</w:t>
      </w:r>
      <w:r w:rsidR="00DD1667" w:rsidRPr="00612653">
        <w:rPr>
          <w:rFonts w:ascii="Book Antiqua" w:hAnsi="Book Antiqua"/>
          <w:sz w:val="24"/>
          <w:szCs w:val="24"/>
          <w:lang w:val="en-US"/>
        </w:rPr>
        <w:t xml:space="preserve">morphological criteria for </w:t>
      </w:r>
      <w:r w:rsidR="00F3530B" w:rsidRPr="00612653">
        <w:rPr>
          <w:rFonts w:ascii="Book Antiqua" w:hAnsi="Book Antiqua"/>
          <w:sz w:val="24"/>
          <w:szCs w:val="24"/>
          <w:lang w:val="en-US"/>
        </w:rPr>
        <w:t xml:space="preserve">human </w:t>
      </w:r>
      <w:r w:rsidR="00DD1667" w:rsidRPr="00612653">
        <w:rPr>
          <w:rFonts w:ascii="Book Antiqua" w:hAnsi="Book Antiqua"/>
          <w:sz w:val="24"/>
          <w:szCs w:val="24"/>
          <w:lang w:val="en-US"/>
        </w:rPr>
        <w:t>hepatocyte ballooning</w:t>
      </w:r>
      <w:r w:rsidR="00DD1667" w:rsidRPr="00612653">
        <w:rPr>
          <w:rFonts w:ascii="Book Antiqua" w:hAnsi="Book Antiqua"/>
          <w:sz w:val="24"/>
          <w:szCs w:val="24"/>
        </w:rPr>
        <w:fldChar w:fldCharType="begin" w:fldLock="1"/>
      </w:r>
      <w:r w:rsidR="00096F21" w:rsidRPr="00612653">
        <w:rPr>
          <w:rFonts w:ascii="Book Antiqua" w:hAnsi="Book Antiqua"/>
          <w:sz w:val="24"/>
          <w:szCs w:val="24"/>
          <w:lang w:val="en-US"/>
        </w:rPr>
        <w:instrText>ADDIN CSL_CITATION { "citationItems" : [ { "id" : "ITEM-1", "itemData" : { "DOI" : "10.1371/journal.pone.0115922", "ISSN" : "1932-6203", "PMID" : "25535951", "abstract" : "BACKGROUND AND AIMS The recently developed histological scoring system for non-alcoholic fatty liver disease (NAFLD) by the NASH Clinical Research Network (NASH-CRN) has been widely used in clinical settings, but is increasingly employed in preclinical research as well. However, it has not been systematically analyzed whether the human scoring system can directly be converted to preclinical rodent models. To analyze this, we systematically compared human NAFLD liver pathology, using human liver biopsies, with liver pathology of several NAFLD mouse models. Based upon the features pertaining to mouse NAFLD, we aimed at establishing a modified generic scoring system that is applicable to broad spectrum of rodent models. METHODS The histopathology of NAFLD was analyzed in several different mouse models of NAFLD to define generic criteria for histological assessment (preclinical scoring system). For validation of this scoring system, 36 slides of mouse livers, covering the whole spectrum of NAFLD, were blindly analyzed by ten observers. Additionally, the livers were blindly scored by one observer during two separate assessments longer than 3 months apart. RESULTS The criteria macrovesicular steatosis, microvesicular steatosis, hepatocellular hypertrophy, inflammation and fibrosis were generally applicable to rodent NAFLD. The inter-observer reproducibility (evaluated using the Intraclass Correlation Coefficient) between the ten observers was high for the analysis of macrovesicular steatosis and microvesicular steatosis (ICC\u200a=\u200a0.784 and 0.776, all p&lt;0.001, respectively) and moderate for the analysis of hypertrophy and inflammation (ICC\u200a=\u200a0.685 and 0.650, all p&lt;0.001, respectively). The intra-observer reproducibility between the different observations of one observer was high for the analysis of macrovesicular steatosis, microvesicular steatosis and hypertrophy (ICC\u200a=\u200a0.871, 0.871 and 0.896, all p&lt;0.001, respectively) and very high for the analysis of inflammation (ICC\u200a=\u200a0.931, p&lt;0.001). CONCLUSIONS We established a simple NAFLD scoring system with high reproducibility that is applicable for different rodent models and for all stages of NAFLD etiology.", "author" : [ { "dropping-particle" : "", "family" : "Liang", "given" : "Wen", "non-dropping-particle" : "", "parse-names" : false, "suffix" : "" }, { "dropping-particle" : "", "family" : "Menke", "given" : "Aswin L", "non-dropping-particle" : "", "parse-names" : false, "suffix" : "" }, { "dropping-particle" : "", "family" : "Driessen", "given" : "Ann", "non-dropping-particle" : "", "parse-names" : false, "suffix" : "" }, { "dropping-particle" : "", "family" : "Koek", "given" : "Ger H", "non-dropping-particle" : "", "parse-names" : false, "suffix" : "" }, { "dropping-particle" : "", "family" : "Lindeman", "given" : "Jan H", "non-dropping-particle" : "", "parse-names" : false, "suffix" : "" }, { "dropping-particle" : "", "family" : "Stoop", "given" : "Reinout", "non-dropping-particle" : "", "parse-names" : false, "suffix" : "" }, { "dropping-particle" : "", "family" : "Havekes", "given" : "Louis M", "non-dropping-particle" : "", "parse-names" : false, "suffix" : "" }, { "dropping-particle" : "", "family" : "Kleemann", "given" : "Robert", "non-dropping-particle" : "", "parse-names" : false, "suffix" : "" }, { "dropping-particle" : "", "family" : "Hoek", "given" : "Anita M", "non-dropping-particle" : "van den", "parse-names" : false, "suffix" : "" } ], "container-title" : "PloS one", "id" : "ITEM-1", "issue" : "12", "issued" : { "date-parts" : [ [ "2014" ] ] }, "page" : "e115922", "publisher" : "Public Library of Science", "title" : "Establishment of a general NAFLD scoring system for rodent models and comparison to human liver pathology.", "type" : "article-journal", "volume" : "9" }, "uris" : [ "http://www.mendeley.com/documents/?uuid=50dcf67d-0617-3b8b-be8d-1c84aca75301" ] } ], "mendeley" : { "formattedCitation" : "&lt;sup&gt;[47]&lt;/sup&gt;", "plainTextFormattedCitation" : "[47]", "previouslyFormattedCitation" : "&lt;sup&gt;[47]&lt;/sup&gt;" }, "properties" : { "noteIndex" : 0 }, "schema" : "https://github.com/citation-style-language/schema/raw/master/csl-citation.json" }</w:instrText>
      </w:r>
      <w:r w:rsidR="00DD1667" w:rsidRPr="00612653">
        <w:rPr>
          <w:rFonts w:ascii="Book Antiqua" w:hAnsi="Book Antiqua"/>
          <w:sz w:val="24"/>
          <w:szCs w:val="24"/>
          <w:vertAlign w:val="superscript"/>
          <w:lang w:val="en-US"/>
        </w:rPr>
        <w:fldChar w:fldCharType="separate"/>
      </w:r>
      <w:r w:rsidR="00096F21" w:rsidRPr="00612653">
        <w:rPr>
          <w:rFonts w:ascii="Book Antiqua" w:hAnsi="Book Antiqua"/>
          <w:noProof/>
          <w:sz w:val="24"/>
          <w:szCs w:val="24"/>
          <w:vertAlign w:val="superscript"/>
          <w:lang w:val="en-US"/>
        </w:rPr>
        <w:t>[47]</w:t>
      </w:r>
      <w:r w:rsidR="00DD1667" w:rsidRPr="00612653">
        <w:rPr>
          <w:rFonts w:ascii="Book Antiqua" w:hAnsi="Book Antiqua"/>
          <w:sz w:val="24"/>
          <w:szCs w:val="24"/>
        </w:rPr>
        <w:fldChar w:fldCharType="end"/>
      </w:r>
      <w:r w:rsidR="00DD1667" w:rsidRPr="00612653">
        <w:rPr>
          <w:rFonts w:ascii="Book Antiqua" w:hAnsi="Book Antiqua"/>
          <w:sz w:val="24"/>
          <w:szCs w:val="24"/>
          <w:lang w:val="en-US"/>
        </w:rPr>
        <w:t>.</w:t>
      </w:r>
      <w:r w:rsidR="00715339" w:rsidRPr="00612653">
        <w:rPr>
          <w:rFonts w:ascii="Book Antiqua" w:hAnsi="Book Antiqua"/>
          <w:sz w:val="24"/>
          <w:szCs w:val="24"/>
          <w:lang w:val="en-US"/>
        </w:rPr>
        <w:t xml:space="preserve"> </w:t>
      </w:r>
      <w:r w:rsidR="009D3736" w:rsidRPr="00612653">
        <w:rPr>
          <w:rFonts w:ascii="Book Antiqua" w:hAnsi="Book Antiqua"/>
          <w:sz w:val="24"/>
          <w:szCs w:val="24"/>
          <w:lang w:val="en-US"/>
        </w:rPr>
        <w:t xml:space="preserve">As is seen in the clinic, </w:t>
      </w:r>
      <w:r w:rsidR="001458DA" w:rsidRPr="00612653">
        <w:rPr>
          <w:rFonts w:ascii="Book Antiqua" w:hAnsi="Book Antiqua"/>
          <w:sz w:val="24"/>
          <w:szCs w:val="24"/>
          <w:lang w:val="en-US"/>
        </w:rPr>
        <w:t>DIO-NASH m</w:t>
      </w:r>
      <w:r w:rsidR="009D3736" w:rsidRPr="00612653">
        <w:rPr>
          <w:rFonts w:ascii="Book Antiqua" w:hAnsi="Book Antiqua"/>
          <w:sz w:val="24"/>
          <w:szCs w:val="24"/>
          <w:lang w:val="en-US"/>
        </w:rPr>
        <w:t>ice</w:t>
      </w:r>
      <w:r w:rsidR="001458DA" w:rsidRPr="00612653">
        <w:rPr>
          <w:rFonts w:ascii="Book Antiqua" w:hAnsi="Book Antiqua"/>
          <w:sz w:val="24"/>
          <w:szCs w:val="24"/>
          <w:lang w:val="en-US"/>
        </w:rPr>
        <w:t xml:space="preserve"> represented all stages of NAFLD and fibrosis for any dieting period ≥</w:t>
      </w:r>
      <w:r w:rsidR="00E74C5F" w:rsidRPr="00612653">
        <w:rPr>
          <w:rFonts w:ascii="Book Antiqua" w:hAnsi="Book Antiqua"/>
          <w:sz w:val="24"/>
          <w:szCs w:val="24"/>
          <w:lang w:val="en-US" w:eastAsia="zh-CN"/>
        </w:rPr>
        <w:t xml:space="preserve"> </w:t>
      </w:r>
      <w:r w:rsidR="00E74C5F" w:rsidRPr="00612653">
        <w:rPr>
          <w:rFonts w:ascii="Book Antiqua" w:hAnsi="Book Antiqua"/>
          <w:sz w:val="24"/>
          <w:szCs w:val="24"/>
          <w:lang w:val="en-US"/>
        </w:rPr>
        <w:t>20 wk</w:t>
      </w:r>
      <w:r w:rsidR="00E926ED" w:rsidRPr="00612653">
        <w:rPr>
          <w:rFonts w:ascii="Book Antiqua" w:hAnsi="Book Antiqua"/>
          <w:sz w:val="24"/>
          <w:szCs w:val="24"/>
          <w:lang w:val="en-US"/>
        </w:rPr>
        <w:t xml:space="preserve">, </w:t>
      </w:r>
      <w:r w:rsidR="009D3736" w:rsidRPr="00612653">
        <w:rPr>
          <w:rFonts w:ascii="Book Antiqua" w:hAnsi="Book Antiqua"/>
          <w:sz w:val="24"/>
          <w:szCs w:val="24"/>
          <w:lang w:val="en-US"/>
        </w:rPr>
        <w:t>which</w:t>
      </w:r>
      <w:r w:rsidR="00E926ED" w:rsidRPr="00612653">
        <w:rPr>
          <w:rFonts w:ascii="Book Antiqua" w:hAnsi="Book Antiqua"/>
          <w:sz w:val="24"/>
          <w:szCs w:val="24"/>
          <w:lang w:val="en-US"/>
        </w:rPr>
        <w:t xml:space="preserve"> confirm</w:t>
      </w:r>
      <w:r w:rsidR="009D3736" w:rsidRPr="00612653">
        <w:rPr>
          <w:rFonts w:ascii="Book Antiqua" w:hAnsi="Book Antiqua"/>
          <w:sz w:val="24"/>
          <w:szCs w:val="24"/>
          <w:lang w:val="en-US"/>
        </w:rPr>
        <w:t>s</w:t>
      </w:r>
      <w:r w:rsidR="00E926ED" w:rsidRPr="00612653">
        <w:rPr>
          <w:rFonts w:ascii="Book Antiqua" w:hAnsi="Book Antiqua"/>
          <w:sz w:val="24"/>
          <w:szCs w:val="24"/>
          <w:lang w:val="en-US"/>
        </w:rPr>
        <w:t xml:space="preserve"> the highly individual fibrosis progression in this model</w:t>
      </w:r>
      <w:r w:rsidR="00E926ED" w:rsidRPr="00612653">
        <w:rPr>
          <w:rFonts w:ascii="Book Antiqua" w:hAnsi="Book Antiqua"/>
          <w:sz w:val="24"/>
          <w:szCs w:val="24"/>
        </w:rPr>
        <w:fldChar w:fldCharType="begin" w:fldLock="1"/>
      </w:r>
      <w:r w:rsidR="00096F21" w:rsidRPr="00612653">
        <w:rPr>
          <w:rFonts w:ascii="Book Antiqua" w:hAnsi="Book Antiqua"/>
          <w:sz w:val="24"/>
          <w:szCs w:val="24"/>
          <w:lang w:val="en-US"/>
        </w:rPr>
        <w:instrText>ADDIN CSL_CITATION { "citationItems" : [ { "id" : "ITEM-1", "itemData" : { "DOI" : "10.4254/wjh.v8.i16.673", "ISSN" : "1948-5182", "PMID" : "27326314", "abstract" : "AIM To characterize development of diet-induced nonalcoholic steatohepatitis (NASH) by performing liver biopsy in wild-type and genetically obese mice. METHODS Male wild-type C57BL/6J (C57) mice (DIO-NASH) and male Lep(ob) /Lep(ob) (ob/ob) mice (ob/ob-NASH) were maintained on a diet high in trans-fat (40%), fructose (22%) and cholesterol (2%) for 26 and 12 wk, respectively. A normal chow diet served as control in C57 mice (lean chow) and ob/ob mice (ob/ob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ob/ob-NASH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ob/ob-NASH vs DIO-NASH mice. During the eight week repeated vehicle dosing period, the metabolic phenotype was sustained in DIO-NASH and ob/ob-NASH mice in conjunction with hepatomegaly and increased hepatic lipids and collagen accumulation. Histopathological scoring demonstrated significantly increased NAS of DIO-NASH mice (0 vs 4.7 \u00b1 0.4, P &lt; 0.001 compared to lean chow) and ob/ob-NASH mice (2.4 \u00b1 0.3 vs 6.3 \u00b1 0.2, P &lt; 0.001 compared to ob/ob chow), respectively. Furthermore, fibrosis stage was significantly elevated for DIO-NASH mice (0 vs 1.2 \u00b1 0.2, P &lt; 0.05 compared to lean chow) and ob/ob NASH (0.1 \u00b1 0.1 vs 3.0 \u00b1 0.2, P &lt; 0.001 compared to ob/ob chow). Notably, fibrosis stage was significantly (P &lt; 0.001) increased in ob/ob-NASH mice, when compared to DIO-NASH mice. CONCLUSION These data introduce the obese diet-induced DIO-NASH and ob/ob-NASH mouse models\u2026", "author" : [ { "dropping-particle" : "", "family" : "Kristiansen", "given" : "Maria Nicoline Baandrup",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"T\u00f8lb\u00f8l", "given" : "Kirstine Sloth", "non-dropping-particle" : "", "parse-names" : false, "suffix" : "" }, { "dropping-particle" : "", "family" : "Roth", "given" : "Jonathan David", "non-dropping-particle" : "", "parse-names" : false, "suffix" : "" }, { "dropping-particle" : "", "family" : "Jelsing", "given" : "Jacob", "non-dropping-particle" : "", "parse-names" : false, "suffix" : "" }, { "dropping-particle" : "", "family" : "Vrang", "given" : "Niels", "non-dropping-particle" : "", "parse-names" : false, "suffix" : "" }, { "dropping-particle" : "", "family" : "Feigh", "given" : "Michael", "non-dropping-particle" : "", "parse-names" : false, "suffix" : "" } ], "container-title" : "World Journal of Hepatology", "id" : "ITEM-1", "issue" : "16", "issued" : { "date-parts" : [ [ "2016", "6", "8" ] ] }, "page" : "673", "title" : "Obese diet-induced mouse models of nonalcoholic steatohepatitis-tracking disease by liver biopsy", "type" : "article-journal", "volume" : "8" }, "uris" : [ "http://www.mendeley.com/documents/?uuid=69bb0cda-5036-450b-90a1-83c8b0817689" ] }, { "id" : "ITEM-2", "itemData" : { "DOI" : "10.1152/ajpgi.00079.2013", "ISBN" : "0193-1857", "ISSN" : "0193-1857", "PMID" : "23886860", "abstract" : "Shortcomings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\u223c18%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 "author" : [ { "dropping-particle" : "", "family" : "Clapper", "given" : "Jason R.", "non-dropping-particle" : "", "parse-names" : false, "suffix" : "" }, { "dropping-particle" : "", "family" : "Hendricks", "given" : "Michelle D.", "non-dropping-particle" : "", "parse-names" : false, "suffix" : "" }, { "dropping-particle" : "", "family" : "Gu", "given" : "Guibao", "non-dropping-particle" : "", "parse-names" : false, "suffix" : "" }, { "dropping-particle" : "", "family" : "Wittmer", "given" : "Carrie", "non-dropping-particle" : "", "parse-names" : false, "suffix" : "" }, { "dropping-particle" : "", "family" : "Dolman", "given" : "Carrie S.", "non-dropping-particle" : "", "parse-names" : false, "suffix" : "" }, { "dropping-particle" : "", "family" : "Herich", "given" : "John", "non-dropping-particle" : "", "parse-names" : false, "suffix" : "" }, { "dropping-particle" : "", "family" : "Athanacio", "given" : "Jennifer", "non-dropping-particle" : "", "parse-names" : false, "suffix" : "" }, { "dropping-particle" : "", "family" : "Villescaz", "given" : "Christiane", "non-dropping-particle" : "", "parse-names" : false, "suffix" : "" }, { "dropping-particle" : "", "family" : "Ghosh", "given" : "Soumitra S.", "non-dropping-particle" : "", "parse-names" : false, "suffix" : "" }, { "dropping-particle" : "", "family" : "Heilig", "given" : "Joseph S.", "non-dropping-particle" : "", "parse-names" : false, "suffix" : "" }, { "dropping-particle" : "", "family" : "Lowe", "given" : "Carolyn", "non-dropping-particle" : "", "parse-names" : false, "suffix" : "" }, { "dropping-particle" : "", "family" : "Roth", "given" : "Jonathan D.", "non-dropping-particle" : "", "parse-names" : false, "suffix" : "" } ], "container-title" : "AJP: Gastrointestinal and Liver Physiology", "id" : "ITEM-2", "issue" : "7", "issued" : { "date-parts" : [ [ "2013", "10", "1" ] ] }, "note" : "From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 "page" : "G483-G495", "title" : "Diet-induced mouse model of fatty liver disease and nonalcoholic steatohepatitis reflecting clinical disease progression and methods of assessment", "type" : "article-journal", "volume" : "305" }, "uris" : [ "http://www.mendeley.com/documents/?uuid=f296c90d-1058-4388-a031-b0fef4d5ade2" ] } ], "mendeley" : { "formattedCitation" : "&lt;sup&gt;[9,19]&lt;/sup&gt;", "plainTextFormattedCitation" : "[9,19]", "previouslyFormattedCitation" : "&lt;sup&gt;[9,19]&lt;/sup&gt;" }, "properties" : { "noteIndex" : 0 }, "schema" : "https://github.com/citation-style-language/schema/raw/master/csl-citation.json" }</w:instrText>
      </w:r>
      <w:r w:rsidR="00E926ED" w:rsidRPr="00612653">
        <w:rPr>
          <w:rFonts w:ascii="Book Antiqua" w:hAnsi="Book Antiqua"/>
          <w:sz w:val="24"/>
          <w:szCs w:val="24"/>
          <w:lang w:val="en-US"/>
        </w:rPr>
        <w:fldChar w:fldCharType="separate"/>
      </w:r>
      <w:r w:rsidR="00096F21" w:rsidRPr="00612653">
        <w:rPr>
          <w:rFonts w:ascii="Book Antiqua" w:hAnsi="Book Antiqua"/>
          <w:noProof/>
          <w:sz w:val="24"/>
          <w:szCs w:val="24"/>
          <w:vertAlign w:val="superscript"/>
          <w:lang w:val="en-US"/>
        </w:rPr>
        <w:t>[9,19]</w:t>
      </w:r>
      <w:r w:rsidR="00E926ED" w:rsidRPr="00612653">
        <w:rPr>
          <w:rFonts w:ascii="Book Antiqua" w:hAnsi="Book Antiqua"/>
          <w:sz w:val="24"/>
          <w:szCs w:val="24"/>
        </w:rPr>
        <w:fldChar w:fldCharType="end"/>
      </w:r>
      <w:r w:rsidR="00E926ED" w:rsidRPr="00612653">
        <w:rPr>
          <w:rFonts w:ascii="Book Antiqua" w:hAnsi="Book Antiqua"/>
          <w:sz w:val="24"/>
          <w:szCs w:val="24"/>
          <w:lang w:val="en-US"/>
        </w:rPr>
        <w:t>.</w:t>
      </w:r>
      <w:r w:rsidR="009D3736" w:rsidRPr="00612653">
        <w:rPr>
          <w:rFonts w:ascii="Book Antiqua" w:hAnsi="Book Antiqua"/>
          <w:sz w:val="24"/>
          <w:szCs w:val="24"/>
          <w:lang w:val="en-US"/>
        </w:rPr>
        <w:t xml:space="preserve"> </w:t>
      </w:r>
      <w:r w:rsidR="00E926ED" w:rsidRPr="00612653">
        <w:rPr>
          <w:rFonts w:ascii="Book Antiqua" w:hAnsi="Book Antiqua"/>
          <w:sz w:val="24"/>
          <w:szCs w:val="24"/>
          <w:lang w:val="en-US"/>
        </w:rPr>
        <w:t>Notably,</w:t>
      </w:r>
      <w:r w:rsidR="001458DA" w:rsidRPr="00612653">
        <w:rPr>
          <w:rFonts w:ascii="Book Antiqua" w:hAnsi="Book Antiqua"/>
          <w:sz w:val="24"/>
          <w:szCs w:val="24"/>
          <w:lang w:val="en-US"/>
        </w:rPr>
        <w:t xml:space="preserve"> up to 30% of the animals </w:t>
      </w:r>
      <w:r w:rsidR="00E926ED" w:rsidRPr="00612653">
        <w:rPr>
          <w:rFonts w:ascii="Book Antiqua" w:hAnsi="Book Antiqua"/>
          <w:sz w:val="24"/>
          <w:szCs w:val="24"/>
          <w:lang w:val="en-US"/>
        </w:rPr>
        <w:t xml:space="preserve">failed to </w:t>
      </w:r>
      <w:r w:rsidR="001458DA" w:rsidRPr="00612653">
        <w:rPr>
          <w:rFonts w:ascii="Book Antiqua" w:hAnsi="Book Antiqua"/>
          <w:sz w:val="24"/>
          <w:szCs w:val="24"/>
          <w:lang w:val="en-US"/>
        </w:rPr>
        <w:t xml:space="preserve">develop </w:t>
      </w:r>
      <w:r w:rsidR="00E926ED" w:rsidRPr="00612653">
        <w:rPr>
          <w:rFonts w:ascii="Book Antiqua" w:hAnsi="Book Antiqua"/>
          <w:sz w:val="24"/>
          <w:szCs w:val="24"/>
          <w:lang w:val="en-US"/>
        </w:rPr>
        <w:t xml:space="preserve">steatohepatitis and </w:t>
      </w:r>
      <w:r w:rsidR="001458DA" w:rsidRPr="00612653">
        <w:rPr>
          <w:rFonts w:ascii="Book Antiqua" w:hAnsi="Book Antiqua"/>
          <w:sz w:val="24"/>
          <w:szCs w:val="24"/>
          <w:lang w:val="en-US"/>
        </w:rPr>
        <w:t>fibrosis</w:t>
      </w:r>
      <w:r w:rsidR="009D3736" w:rsidRPr="00612653">
        <w:rPr>
          <w:rFonts w:ascii="Book Antiqua" w:hAnsi="Book Antiqua"/>
          <w:sz w:val="24"/>
          <w:szCs w:val="24"/>
          <w:lang w:val="en-US"/>
        </w:rPr>
        <w:t xml:space="preserve">, and the </w:t>
      </w:r>
      <w:r w:rsidR="00BB25E5" w:rsidRPr="00612653">
        <w:rPr>
          <w:rFonts w:ascii="Book Antiqua" w:hAnsi="Book Antiqua"/>
          <w:sz w:val="24"/>
          <w:szCs w:val="24"/>
          <w:lang w:val="en-US"/>
        </w:rPr>
        <w:t xml:space="preserve">severity in </w:t>
      </w:r>
      <w:r w:rsidR="009D3736" w:rsidRPr="00612653">
        <w:rPr>
          <w:rFonts w:ascii="Book Antiqua" w:hAnsi="Book Antiqua"/>
          <w:sz w:val="24"/>
          <w:szCs w:val="24"/>
          <w:lang w:val="en-US"/>
        </w:rPr>
        <w:t xml:space="preserve">histopathology did not become more homogenous </w:t>
      </w:r>
      <w:r w:rsidR="001A6BF5" w:rsidRPr="00612653">
        <w:rPr>
          <w:rFonts w:ascii="Book Antiqua" w:hAnsi="Book Antiqua"/>
          <w:sz w:val="24"/>
          <w:szCs w:val="24"/>
          <w:lang w:val="en-US"/>
        </w:rPr>
        <w:t>by</w:t>
      </w:r>
      <w:r w:rsidR="009D3736" w:rsidRPr="00612653">
        <w:rPr>
          <w:rFonts w:ascii="Book Antiqua" w:hAnsi="Book Antiqua"/>
          <w:sz w:val="24"/>
          <w:szCs w:val="24"/>
          <w:lang w:val="en-US"/>
        </w:rPr>
        <w:t xml:space="preserve"> extend</w:t>
      </w:r>
      <w:r w:rsidR="001A6BF5" w:rsidRPr="00612653">
        <w:rPr>
          <w:rFonts w:ascii="Book Antiqua" w:hAnsi="Book Antiqua"/>
          <w:sz w:val="24"/>
          <w:szCs w:val="24"/>
          <w:lang w:val="en-US"/>
        </w:rPr>
        <w:t>ing</w:t>
      </w:r>
      <w:r w:rsidR="009D3736" w:rsidRPr="00612653">
        <w:rPr>
          <w:rFonts w:ascii="Book Antiqua" w:hAnsi="Book Antiqua"/>
          <w:sz w:val="24"/>
          <w:szCs w:val="24"/>
          <w:lang w:val="en-US"/>
        </w:rPr>
        <w:t xml:space="preserve"> AMLN dieting periods. </w:t>
      </w:r>
      <w:r w:rsidR="003E183E" w:rsidRPr="00612653">
        <w:rPr>
          <w:rFonts w:ascii="Book Antiqua" w:hAnsi="Book Antiqua"/>
          <w:sz w:val="24"/>
          <w:szCs w:val="24"/>
          <w:lang w:val="en-US"/>
        </w:rPr>
        <w:t xml:space="preserve">Similar </w:t>
      </w:r>
      <w:r w:rsidR="00B11574" w:rsidRPr="00612653">
        <w:rPr>
          <w:rFonts w:ascii="Book Antiqua" w:hAnsi="Book Antiqua"/>
          <w:sz w:val="24"/>
          <w:szCs w:val="24"/>
          <w:lang w:val="en-US"/>
        </w:rPr>
        <w:t>disease variability</w:t>
      </w:r>
      <w:r w:rsidR="003E183E" w:rsidRPr="00612653">
        <w:rPr>
          <w:rFonts w:ascii="Book Antiqua" w:hAnsi="Book Antiqua"/>
          <w:sz w:val="24"/>
          <w:szCs w:val="24"/>
          <w:lang w:val="en-US"/>
        </w:rPr>
        <w:t xml:space="preserve"> ha</w:t>
      </w:r>
      <w:r w:rsidR="0018546E" w:rsidRPr="00612653">
        <w:rPr>
          <w:rFonts w:ascii="Book Antiqua" w:hAnsi="Book Antiqua"/>
          <w:sz w:val="24"/>
          <w:szCs w:val="24"/>
          <w:lang w:val="en-US"/>
        </w:rPr>
        <w:t>s</w:t>
      </w:r>
      <w:r w:rsidR="003E183E" w:rsidRPr="00612653">
        <w:rPr>
          <w:rFonts w:ascii="Book Antiqua" w:hAnsi="Book Antiqua"/>
          <w:sz w:val="24"/>
          <w:szCs w:val="24"/>
          <w:lang w:val="en-US"/>
        </w:rPr>
        <w:t xml:space="preserve"> been reported </w:t>
      </w:r>
      <w:r w:rsidR="009975E1" w:rsidRPr="00612653">
        <w:rPr>
          <w:rFonts w:ascii="Book Antiqua" w:hAnsi="Book Antiqua"/>
          <w:sz w:val="24"/>
          <w:szCs w:val="24"/>
          <w:lang w:val="en-US"/>
        </w:rPr>
        <w:t>in</w:t>
      </w:r>
      <w:r w:rsidR="003E183E" w:rsidRPr="00612653">
        <w:rPr>
          <w:rFonts w:ascii="Book Antiqua" w:hAnsi="Book Antiqua"/>
          <w:sz w:val="24"/>
          <w:szCs w:val="24"/>
          <w:lang w:val="en-US"/>
        </w:rPr>
        <w:t xml:space="preserve"> </w:t>
      </w:r>
      <w:r w:rsidR="00E926ED" w:rsidRPr="00612653">
        <w:rPr>
          <w:rFonts w:ascii="Book Antiqua" w:hAnsi="Book Antiqua"/>
          <w:sz w:val="24"/>
          <w:szCs w:val="24"/>
          <w:lang w:val="en-US"/>
        </w:rPr>
        <w:t xml:space="preserve">other </w:t>
      </w:r>
      <w:r w:rsidR="003E183E" w:rsidRPr="00612653">
        <w:rPr>
          <w:rFonts w:ascii="Book Antiqua" w:hAnsi="Book Antiqua"/>
          <w:sz w:val="24"/>
          <w:szCs w:val="24"/>
          <w:lang w:val="en-US"/>
        </w:rPr>
        <w:t>DIO</w:t>
      </w:r>
      <w:r w:rsidR="00E926ED" w:rsidRPr="00612653">
        <w:rPr>
          <w:rFonts w:ascii="Book Antiqua" w:hAnsi="Book Antiqua"/>
          <w:sz w:val="24"/>
          <w:szCs w:val="24"/>
          <w:lang w:val="en-US"/>
        </w:rPr>
        <w:t xml:space="preserve"> mouse models of </w:t>
      </w:r>
      <w:r w:rsidR="003E183E" w:rsidRPr="00612653">
        <w:rPr>
          <w:rFonts w:ascii="Book Antiqua" w:hAnsi="Book Antiqua"/>
          <w:sz w:val="24"/>
          <w:szCs w:val="24"/>
          <w:lang w:val="en-US"/>
        </w:rPr>
        <w:t>NASH</w:t>
      </w:r>
      <w:r w:rsidR="00E926ED" w:rsidRPr="00612653">
        <w:rPr>
          <w:rFonts w:ascii="Book Antiqua" w:hAnsi="Book Antiqua"/>
          <w:sz w:val="24"/>
          <w:szCs w:val="24"/>
        </w:rPr>
        <w:fldChar w:fldCharType="begin" w:fldLock="1"/>
      </w:r>
      <w:r w:rsidR="00C5337D" w:rsidRPr="00612653">
        <w:rPr>
          <w:rFonts w:ascii="Book Antiqua" w:hAnsi="Book Antiqua"/>
          <w:sz w:val="24"/>
          <w:szCs w:val="24"/>
          <w:lang w:val="en-US"/>
        </w:rPr>
        <w:instrText>ADDIN CSL_CITATION { "citationItems" : [ { "id" : "ITEM-1", "itemData" : { "DOI" : "10.1111/liv.12335", "ISSN" : "14783223", "PMID" : "24107103", "abstract" : "BACKGROUND &amp; AIMS Obese Alms1 mutant (foz/foz) NOD.B10 mice develop diabetes and fibrotic NASH when fed high-fat(HF) diet. To establish whether diabetes or obesity is more closely associated with NASH fibrosis, we compared diabetic foz/foz C57BL6/J with non-diabetic foz/foz BALB/c mice. We also determined hepatic cytokines, growth factors and related profibrotic pathways. METHODS Male and female foz/foz BALB/c and C57BL6/J mice were fed HF or chow for 24\u00a0weeks before determining metabolic indices, liver injury, cytokines, growth factors, pathology/fibrosis and matrix deposition pathways. RESULTS All foz/foz mice were obese. Hepatomegaly, hyperinsulinemia, hyperglycaemia and hypoadiponectinaemia occurred only in foz/foz C57BL6/J mice, whereas foz/foz BALB/c formed more adipose. Serum ALT, steatosis, ballooning, liver inflammation and NAFLD activity score were worse in C57BL6/J mice. In HF-fed mice, fibrosis was severe in foz/foz C57BL6/J, appreciable in WT C57BL6/J, but absent in foz/foz BALB/c mice. Hepatic mRNA expression of TNF-\u03b1, IL-12, IL-4, IL-10 was increased (but not IFN-\u03b3, IL-1\u03b2, IL-17A), and IL-4:IFN-\u03b3 ratio (indicating Th-2 predominance) was higher in HF-fed foz/foz C57BL6/J than BALB/c mice. In livers of HF-fed foz/foz C57BL6/J mice, TGF-\u03b2 was unaltered but PDGF\u03b1 and CTGF were increased in association with enhanced \u03b1-SMA, CD147and MMP activity. CONCLUSIONS In mice with equivalent genetic/dietary obesity, NASH development is linked to strain differences in hyperinsulinaemia and hyperglycaemia inversely related to lipid partitioning between adipose and liver. Diabetes-mediated CTGF-regulation of MMPs as well as cytokines/growth factors (Th-2 cytokine predominant, PDGF\u03b1, not TGF-\u03b2) mobilized in the resultant hepatic necroinflammatory change may contribute to strain differences in NASH fibrosis.", "author" : [ { "dropping-particle" : "", "family" : "Farrell", "given" : "Geoffrey C.", "non-dropping-particle" : "", "parse-names" : false, "suffix" : "" }, { "dropping-particle" : "", "family" : "Mridha", "given" : "Auvro R.", "non-dropping-particle" : "", "parse-names" : false, "suffix" : "" }, { "dropping-particle" : "", "family" : "Yeh", "given" : "Matthew M.", "non-dropping-particle" : "", "parse-names" : false, "suffix" : "" }, { "dropping-particle" : "", "family" : "Arsov", "given" : "Todor", "non-dropping-particle" : "", "parse-names" : false, "suffix" : "" }, { "dropping-particle" : "", "family" : "Rooyen", "given" : "Derrick M.", "non-dropping-particle" : "Van", "parse-names" : false, "suffix" : "" }, { "dropping-particle" : "", "family" : "Brooling", "given" : "John", "non-dropping-particle" : "", "parse-names" : false, "suffix" : "" }, { "dropping-particle" : "", "family" : "Nguyen", "given" : "Tori", "non-dropping-particle" : "", "parse-names" : false, "suffix" : "" }, { "dropping-particle" : "", "family" : "Heydet", "given" : "Deborah", "non-dropping-particle" : "", "parse-names" : false, "suffix" : "" }, { "dropping-particle" : "", "family" : "Delghingaro-Augusto", "given" : "Viviane", "non-dropping-particle" : "", "parse-names" : false, "suffix" : "" }, { "dropping-particle" : "", "family" : "Nolan", "given" : "Christopher J.", "non-dropping-particle" : "", "parse-names" : false, "suffix" : "" }, { "dropping-particle" : "", "family" : "Shackel", "given" : "Nicholas A.", "non-dropping-particle" : "", "parse-names" : false, "suffix" : "" }, { "dropping-particle" : "V.", "family" : "McLennan", "given" : "Susan", "non-dropping-particle" : "", "parse-names" : false, "suffix" : "" }, { "dropping-particle" : "", "family" : "Teoh", "given" : "Narci C.", "non-dropping-particle" : "", "parse-names" : false, "suffix" : "" }, { "dropping-particle" : "", "family" : "Larter", "given" : "Claire Z.", "non-dropping-particle" : "", "parse-names" : false, "suffix" : "" } ], "container-title" : "Liver International", "id" : "ITEM-1", "issue" : "7", "issued" : { "date-parts" : [ [ "2014", "8" ] ] }, "page" : "1084-1093", "title" : "Strain dependence of diet-induced NASH and liver fibrosis in obese mice is linked to diabetes and inflammatory phenotype", "type" : "article-journal", "volume" : "34" }, "uris" : [ "http://www.mendeley.com/documents/?uuid=aa3a9571-82c8-3f42-9f70-79af6e949ae8" ] }, { "id" : "ITEM-2", "itemData" : { "DOI" : "10.1002/oby.21701", "ISSN" : "1930-739X", "PMID" : "27804232", "abstract" : "OBJECTIVE Nonalcoholic steatohepatitis (NASH) is the outcome of interactions between overnutrition, energy metabolism, and adipose function. Obeticholic acid (OCA) improves steatosis in patients but for unknown reasons does not resolve NASH pathology. This study therefore investigated OCA effects in Wt mice, which develop obesity with atherogenic dietary feeding, and appetite-dysregulated, Alms1 mutant foz/foz mice fed the same diet, which develop metabolic obesity and diabetes. METHODS OCA (1 mg/kg) was administered orally to female foz/foz mice and Wt littermates from weaning until 28 weeks. Adipose indices, glucose tolerance, and fatty liver pathology were studied. Experiments were repeated with OCA 10 mg/kg. RESULTS OCA reduced body weight and hepatic lipids and improved glucose disposal only in Wt mice. OCA limited Wt adipose expansion, altered morphometry in favor of small adipocytes, enhanced expression of genes indicating adipose browning, and reduced crown-like structure number in visceral adipose tissue. foz/foz mice showed more crown-like structures in all compartments; OCA failed to alter adipose morphometry, browning, inflammation, or improve NASH severity, even at 10 mg/kg. CONCLUSIONS OCA improved adipose indices, glucose tolerance, and steatosis in a milder metabolic phenotype but failed to improve these factors in morbidly obese diabetic mice. These results help explain OCA's limited efficacy to reverse human NASH.", "author" : [ { "dropping-particle" : "", "family" : "Haczeyni", "given" : "Fahrettin", "non-dropping-particle" : "", "parse-names" : false, "suffix" : "" }, { "dropping-particle" : "", "family" : "Poekes", "given" : "Laurence", "non-dropping-particle" : "", "parse-names" : false, "suffix" : "" }, { "dropping-particle" : "", "family" : "Wang", "given" : "Hans", "non-dropping-particle" : "", "parse-names" : false, "suffix" : "" }, { "dropping-particle" : "", "family" : "Mridha", "given" : "Auvro R", "non-dropping-particle" : "", "parse-names" : false, "suffix" : "" }, { "dropping-particle" : "", "family" : "Barn", "given" : "Vanessa", "non-dropping-particle" : "", "parse-names" : false, "suffix" : "" }, { "dropping-particle" : "", "family" : "Geoffrey Haigh", "given" : "W", "non-dropping-particle" : "", "parse-names" : false, "suffix" : "" }, { "dropping-particle" : "", "family" : "Ioannou", "given" : "George N", "non-dropping-particle" : "", "parse-names" : false, "suffix" : "" }, { "dropping-particle" : "", "family" : "Yeh", "given" : "Matthew M", "non-dropping-particle" : "", "parse-names" : false, "suffix" : "" }, { "dropping-particle" : "", "family" : "Leclercq", "given" : "Isabelle A", "non-dropping-particle" : "", "parse-names" : false, "suffix" : "" }, { "dropping-particle" : "", "family" : "Teoh", "given" : "Narcissus C", "non-dropping-particle" : "", "parse-names" : false, "suffix" : "" }, { "dropping-particle" : "", "family" : "Farrell", "given" : "Geoffrey C", "non-dropping-particle" : "", "parse-names" : false, "suffix" : "" } ], "container-title" : "Obesity (Silver Spring, Md.)", "id" : "ITEM-2", "issue" : "1", "issued" : { "date-parts" : [ [ "2017", "1" ] ] }, "page" : "155-165", "title" : "Obeticholic acid improves adipose morphometry and inflammation and reduces steatosis in dietary but not metabolic obesity in mice.", "type" : "article-journal", "volume" : "25" }, "uris" : [ "http://www.mendeley.com/documents/?uuid=aca95c94-5b43-316e-8edc-a492d341e981" ] }, { "id" : "ITEM-3", "itemData" : { "DOI" : "10.1152/ajpgi.00213.2016", "ISSN" : "1522-1547", "PMID" : "28232454", "abstract" : "The sequence of events that lead to inflammation and fibrosing nonalcoholic steatohepatitis (NASH) is incompletely understood. Hence, we investigated the chronology of whole body, tissue, and cellular events that occur during the evolution of diet-induced NASH. Male C57Bl/6 mice were assigned to a fast-food (FF; high calorie, high cholesterol, high fructose) or standard-chow (SC) diet over a period of 36 wk. Liver histology, body composition, mitochondrial respiration, metabolic rate, gene expression, and hepatic lipid content were analyzed. Insulin resistance [homeostasis model assessment-insulin resistance (HOMA-IR)] increased 10-fold after 4 wk. Fibrosing NASH was fully established by 16 wk. Total hepatic lipids increased by 4 wk and remained two- to threefold increased throughout. Hepatic triglycerides declined from sixfold increase at 8 wk to threefold increase by 36 wk. In contrast, hepatic cholesterol levels steadily increased from baseline at 8 wk to twofold by 36 wk. The hepatic immune cell population altered over time with macrophages persisting beyond 16 wk. Mitochondrial oxygen flux rates of FF mice diet were uniformly lower with all the tested substrates (13-276 pmol\u00b7s(-1)\u00b7ml(-1) per unit citrate synthase) than SC mice (17-394 pmol\u00b7s(-1)\u00b7ml(-1) per unit citrate synthase) and was accompanied by decreased mitochondrial:nuclear gene copy number ratios after 4 wk. Metabolic rate was lower in FF mice. Mitochondrial glutathione was significantly decreased at 24 wk in FF mice. Expression of dismutases and catalase was also decreased in FF mice. The evolution of NASH in the FF diet-induced model is multiphasic, particularly in terms of hepatic lipid composition. Insulin resistance precedes hepatic inflammation and fibrosis. Mitochondrial dysfunction and depletion occur after the histological features of NASH are apparent. Collectively, these observations provide a unique overview of the sequence of changes that coevolve with the histological evolution of NASH.NEW &amp; NOTEWORTHY This study demonstrates in a first of kind longitudinal analysis, the evolution of nonalcoholic steatohepatitis (NASH) on a fast-food diet-induced model. Key findings include 1) hepatic lipid composition changes in a multiphasic fashion as NASH evolves; 2) insulin resistance precedes hepatic inflammation and fibrosis, answering a longstanding chicken-and-egg question regarding the relationship of insulin resistance to liver histology in NASH; and 3) mitochondrial dysfunction a\u2026", "author" : [ { "dropping-particle" : "", "family" : "Krishnan", "given" : "Anuradha", "non-dropping-particle" : "", "parse-names" : false, "suffix" : "" }, { "dropping-particle" : "", "family" : "Abdullah", "given" : "Tasduq Sheikh", "non-dropping-particle" : "", "parse-names" : false, "suffix" : "" }, { "dropping-particle" : "", "family" : "Mounajjed", "given" : "Taofic", "non-dropping-particle" : "", "parse-names" : false, "suffix" : "" }, { "dropping-particle" : "", "family" : "Hartono", "given" : "Stella", "non-dropping-particle" : "", "parse-names" : false, "suffix" : "" }, { "dropping-particle" : "", "family" : "McConico", "given" : "Andrea", "non-dropping-particle" : "", "parse-names" : false, "suffix" : "" }, { "dropping-particle" : "", "family" : "White", "given" : "Thomas", "non-dropping-particle" : "", "parse-names" : false, "suffix" : "" }, { "dropping-particle" : "", "family" : "LeBrasseur", "given" : "Nathan", "non-dropping-particle" : "", "parse-names" : false, "suffix" : "" }, { "dropping-particle" : "", "family" : "Lanza", "given" : "Ian", "non-dropping-particle" : "", "parse-names" : false, "suffix" : "" }, { "dropping-particle" : "", "family" : "Nair", "given" : "Sreekumaran", "non-dropping-particle" : "", "parse-names" : false, "suffix" : "" }, { "dropping-particle" : "", "family" : "Gores", "given" : "Gregory", "non-dropping-particle" : "", "parse-names" : false, "suffix" : "" }, { "dropping-particle" : "", "family" : "Charlton", "given" : "Michael", "non-dropping-particle" : "", "parse-names" : false, "suffix" : "" } ], "container-title" : "American journal of physiology. Gastrointestinal and liver physiology", "id" : "ITEM-3", "issue" : "6", "issued" : { "date-parts" : [ [ "2017", "6", "1" ] ] }, "page" : "G666-G680", "title" : "A longitudinal study of whole body, tissue, and cellular physiology in a mouse model of fibrosing NASH with high fidelity to the human condition.", "type" : "article-journal", "volume" : "312" }, "uris" : [ "http://www.mendeley.com/documents/?uuid=6a84eab6-7a8b-3b9e-bf38-9fbdd5390487" ] } ], "mendeley" : { "formattedCitation" : "&lt;sup&gt;[12,13,48]&lt;/sup&gt;", "plainTextFormattedCitation" : "[12,13,48]", "previouslyFormattedCitation" : "&lt;sup&gt;[12,13,48]&lt;/sup&gt;" }, "properties" : { "noteIndex" : 0 }, "schema" : "https://github.com/citation-style-language/schema/raw/master/csl-citation.json" }</w:instrText>
      </w:r>
      <w:r w:rsidR="00E926ED"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[12,13,48]</w:t>
      </w:r>
      <w:r w:rsidR="00E926ED" w:rsidRPr="00612653">
        <w:rPr>
          <w:rFonts w:ascii="Book Antiqua" w:hAnsi="Book Antiqua"/>
          <w:sz w:val="24"/>
          <w:szCs w:val="24"/>
        </w:rPr>
        <w:fldChar w:fldCharType="end"/>
      </w:r>
      <w:r w:rsidR="003E183E" w:rsidRPr="00612653">
        <w:rPr>
          <w:rFonts w:ascii="Book Antiqua" w:hAnsi="Book Antiqua"/>
          <w:sz w:val="24"/>
          <w:szCs w:val="24"/>
          <w:lang w:val="en-US"/>
        </w:rPr>
        <w:t xml:space="preserve">, which therefore likely </w:t>
      </w:r>
      <w:r w:rsidR="00E45B65" w:rsidRPr="00612653">
        <w:rPr>
          <w:rFonts w:ascii="Book Antiqua" w:hAnsi="Book Antiqua"/>
          <w:sz w:val="24"/>
          <w:szCs w:val="24"/>
          <w:lang w:val="en-US"/>
        </w:rPr>
        <w:t>generalizes to all obese mouse models of fibrotic steatohepatitis.</w:t>
      </w:r>
      <w:r w:rsidR="00F40588" w:rsidRPr="00612653">
        <w:rPr>
          <w:rFonts w:ascii="Book Antiqua" w:hAnsi="Book Antiqua"/>
          <w:sz w:val="24"/>
          <w:szCs w:val="24"/>
          <w:lang w:val="en-US"/>
        </w:rPr>
        <w:t xml:space="preserve"> </w:t>
      </w:r>
      <w:r w:rsidR="0018546E" w:rsidRPr="00612653">
        <w:rPr>
          <w:rFonts w:ascii="Book Antiqua" w:hAnsi="Book Antiqua"/>
          <w:sz w:val="24"/>
          <w:szCs w:val="24"/>
          <w:lang w:val="en-US"/>
        </w:rPr>
        <w:t>Therefore, t</w:t>
      </w:r>
      <w:r w:rsidR="00F40588" w:rsidRPr="00612653">
        <w:rPr>
          <w:rFonts w:ascii="Book Antiqua" w:hAnsi="Book Antiqua"/>
          <w:sz w:val="24"/>
          <w:szCs w:val="24"/>
          <w:lang w:val="en-US"/>
        </w:rPr>
        <w:t>he use of a prebiopsy for selection and stratification of in DIO-NASH models not only substantiates the efficacy readouts, but also allows for the</w:t>
      </w:r>
      <w:r w:rsidR="00AD7F3A" w:rsidRPr="00612653">
        <w:rPr>
          <w:rFonts w:ascii="Book Antiqua" w:hAnsi="Book Antiqua"/>
          <w:sz w:val="24"/>
          <w:szCs w:val="24"/>
          <w:lang w:val="en-US"/>
        </w:rPr>
        <w:t xml:space="preserve"> employment of</w:t>
      </w:r>
      <w:r w:rsidR="00471124" w:rsidRPr="00612653">
        <w:rPr>
          <w:rFonts w:ascii="Book Antiqua" w:hAnsi="Book Antiqua"/>
          <w:sz w:val="24"/>
          <w:szCs w:val="24"/>
          <w:lang w:val="en-US"/>
        </w:rPr>
        <w:t xml:space="preserve"> clinically </w:t>
      </w:r>
      <w:r w:rsidR="00AC76FE" w:rsidRPr="00612653">
        <w:rPr>
          <w:rFonts w:ascii="Book Antiqua" w:hAnsi="Book Antiqua"/>
          <w:sz w:val="24"/>
          <w:szCs w:val="24"/>
          <w:lang w:val="en-US"/>
        </w:rPr>
        <w:t xml:space="preserve">relevant inclusion criteria and </w:t>
      </w:r>
      <w:r w:rsidR="009B1757" w:rsidRPr="00612653">
        <w:rPr>
          <w:rFonts w:ascii="Book Antiqua" w:hAnsi="Book Antiqua"/>
          <w:sz w:val="24"/>
          <w:szCs w:val="24"/>
          <w:lang w:val="en-US"/>
        </w:rPr>
        <w:t>stratification</w:t>
      </w:r>
      <w:r w:rsidR="00D848E5" w:rsidRPr="00612653">
        <w:rPr>
          <w:rFonts w:ascii="Book Antiqua" w:hAnsi="Book Antiqua"/>
          <w:sz w:val="24"/>
          <w:szCs w:val="24"/>
          <w:lang w:val="en-US"/>
        </w:rPr>
        <w:t xml:space="preserve"> procedures</w:t>
      </w:r>
      <w:r w:rsidR="00AC76FE" w:rsidRPr="00612653">
        <w:rPr>
          <w:rFonts w:ascii="Book Antiqua" w:hAnsi="Book Antiqua"/>
          <w:sz w:val="24"/>
          <w:szCs w:val="24"/>
          <w:lang w:val="en-US"/>
        </w:rPr>
        <w:t>.</w:t>
      </w:r>
    </w:p>
    <w:p w14:paraId="7B0AE48B" w14:textId="52052B16" w:rsidR="000601B7" w:rsidRPr="00612653" w:rsidRDefault="004E6401" w:rsidP="00082279">
      <w:pPr>
        <w:snapToGrid w:val="0"/>
        <w:spacing w:after="0" w:line="360" w:lineRule="auto"/>
        <w:ind w:firstLineChars="100" w:firstLine="240"/>
        <w:jc w:val="both"/>
        <w:rPr>
          <w:rFonts w:ascii="Book Antiqua" w:hAnsi="Book Antiqua"/>
          <w:sz w:val="24"/>
          <w:szCs w:val="24"/>
          <w:lang w:val="en-US"/>
        </w:rPr>
      </w:pPr>
      <w:r w:rsidRPr="00612653">
        <w:rPr>
          <w:rFonts w:ascii="Book Antiqua" w:hAnsi="Book Antiqua"/>
          <w:sz w:val="24"/>
          <w:szCs w:val="24"/>
          <w:lang w:val="en-US"/>
        </w:rPr>
        <w:t xml:space="preserve">In the </w:t>
      </w:r>
      <w:r w:rsidR="004C4A42" w:rsidRPr="00612653">
        <w:rPr>
          <w:rFonts w:ascii="Book Antiqua" w:hAnsi="Book Antiqua"/>
          <w:sz w:val="24"/>
          <w:szCs w:val="24"/>
          <w:lang w:val="en-US"/>
        </w:rPr>
        <w:t xml:space="preserve">present </w:t>
      </w:r>
      <w:r w:rsidRPr="00612653">
        <w:rPr>
          <w:rFonts w:ascii="Book Antiqua" w:hAnsi="Book Antiqua"/>
          <w:sz w:val="24"/>
          <w:szCs w:val="24"/>
          <w:lang w:val="en-US"/>
        </w:rPr>
        <w:t xml:space="preserve">pharmacological study, inherent differences in NASH pathology were </w:t>
      </w:r>
      <w:r w:rsidR="004C4A42" w:rsidRPr="00612653">
        <w:rPr>
          <w:rFonts w:ascii="Book Antiqua" w:hAnsi="Book Antiqua"/>
          <w:sz w:val="24"/>
          <w:szCs w:val="24"/>
          <w:lang w:val="en-US"/>
        </w:rPr>
        <w:t>therefore</w:t>
      </w:r>
      <w:r w:rsidR="00AC1E1D" w:rsidRPr="00612653">
        <w:rPr>
          <w:rFonts w:ascii="Book Antiqua" w:hAnsi="Book Antiqua"/>
          <w:sz w:val="24"/>
          <w:szCs w:val="24"/>
          <w:lang w:val="en-US"/>
        </w:rPr>
        <w:t xml:space="preserve"> </w:t>
      </w:r>
      <w:r w:rsidRPr="00612653">
        <w:rPr>
          <w:rFonts w:ascii="Book Antiqua" w:hAnsi="Book Antiqua"/>
          <w:sz w:val="24"/>
          <w:szCs w:val="24"/>
          <w:lang w:val="en-US"/>
        </w:rPr>
        <w:t xml:space="preserve">considered by introducing liver biopsy-based histology for evaluating NASH severity in all individual mice prior to introduction of treatment. </w:t>
      </w:r>
      <w:r w:rsidR="004433FD" w:rsidRPr="00612653">
        <w:rPr>
          <w:rFonts w:ascii="Book Antiqua" w:hAnsi="Book Antiqua"/>
          <w:sz w:val="24"/>
          <w:szCs w:val="24"/>
          <w:lang w:val="en-US"/>
        </w:rPr>
        <w:t xml:space="preserve">Only mice with biopsy-confirmed fibrotic NASH were included in the study, and randomization and stratification procedures were applied to equalize mean levels of baseline NAS and fibrosis stage across treatment groups. </w:t>
      </w:r>
      <w:r w:rsidRPr="00612653">
        <w:rPr>
          <w:rFonts w:ascii="Book Antiqua" w:hAnsi="Book Antiqua"/>
          <w:sz w:val="24"/>
          <w:szCs w:val="24"/>
          <w:lang w:val="en-US"/>
        </w:rPr>
        <w:t>The present study evaluated the pharmacodynamics of three individual compounds in</w:t>
      </w:r>
      <w:r w:rsidR="00AC1E1D" w:rsidRPr="00612653">
        <w:rPr>
          <w:rFonts w:ascii="Book Antiqua" w:hAnsi="Book Antiqua"/>
          <w:sz w:val="24"/>
          <w:szCs w:val="24"/>
          <w:lang w:val="en-US"/>
        </w:rPr>
        <w:t xml:space="preserve"> current advanced</w:t>
      </w:r>
      <w:r w:rsidRPr="00612653">
        <w:rPr>
          <w:rFonts w:ascii="Book Antiqua" w:hAnsi="Book Antiqua"/>
          <w:sz w:val="24"/>
          <w:szCs w:val="24"/>
          <w:lang w:val="en-US"/>
        </w:rPr>
        <w:t xml:space="preserve"> clinical development for NASH</w:t>
      </w:r>
      <w:r w:rsidR="00AC1E1D" w:rsidRPr="00612653">
        <w:rPr>
          <w:rFonts w:ascii="Book Antiqua" w:hAnsi="Book Antiqua"/>
          <w:sz w:val="24"/>
          <w:szCs w:val="24"/>
          <w:lang w:val="en-US"/>
        </w:rPr>
        <w:t xml:space="preserve">. The selected compounds are </w:t>
      </w:r>
      <w:r w:rsidR="002F7E04" w:rsidRPr="00612653">
        <w:rPr>
          <w:rFonts w:ascii="Book Antiqua" w:hAnsi="Book Antiqua"/>
          <w:sz w:val="24"/>
          <w:szCs w:val="24"/>
          <w:lang w:val="en-US"/>
        </w:rPr>
        <w:t>re</w:t>
      </w:r>
      <w:r w:rsidR="00EB4D40" w:rsidRPr="00612653">
        <w:rPr>
          <w:rFonts w:ascii="Book Antiqua" w:hAnsi="Book Antiqua"/>
          <w:sz w:val="24"/>
          <w:szCs w:val="24"/>
          <w:lang w:val="en-US"/>
        </w:rPr>
        <w:t xml:space="preserve">presentative of </w:t>
      </w:r>
      <w:r w:rsidR="002F7E04" w:rsidRPr="00612653">
        <w:rPr>
          <w:rFonts w:ascii="Book Antiqua" w:hAnsi="Book Antiqua"/>
          <w:sz w:val="24"/>
          <w:szCs w:val="24"/>
          <w:lang w:val="en-US"/>
        </w:rPr>
        <w:t>different</w:t>
      </w:r>
      <w:r w:rsidR="00EB4D40" w:rsidRPr="00612653">
        <w:rPr>
          <w:rFonts w:ascii="Book Antiqua" w:hAnsi="Book Antiqua"/>
          <w:sz w:val="24"/>
          <w:szCs w:val="24"/>
          <w:lang w:val="en-US"/>
        </w:rPr>
        <w:t xml:space="preserve"> drug classes and therapeutic concepts</w:t>
      </w:r>
      <w:r w:rsidR="002F7E04" w:rsidRPr="00612653">
        <w:rPr>
          <w:rFonts w:ascii="Book Antiqua" w:hAnsi="Book Antiqua"/>
          <w:sz w:val="24"/>
          <w:szCs w:val="24"/>
          <w:lang w:val="en-US"/>
        </w:rPr>
        <w:t xml:space="preserve"> and</w:t>
      </w:r>
      <w:r w:rsidR="00EB4D40" w:rsidRPr="00612653">
        <w:rPr>
          <w:rFonts w:ascii="Book Antiqua" w:hAnsi="Book Antiqua"/>
          <w:sz w:val="24"/>
          <w:szCs w:val="24"/>
          <w:lang w:val="en-US"/>
        </w:rPr>
        <w:t xml:space="preserve"> </w:t>
      </w:r>
      <w:r w:rsidR="002F7E04" w:rsidRPr="00612653">
        <w:rPr>
          <w:rFonts w:ascii="Book Antiqua" w:hAnsi="Book Antiqua"/>
          <w:sz w:val="24"/>
          <w:szCs w:val="24"/>
          <w:lang w:val="en-US"/>
        </w:rPr>
        <w:t>included</w:t>
      </w:r>
      <w:r w:rsidR="00EB4D40" w:rsidRPr="00612653">
        <w:rPr>
          <w:rFonts w:ascii="Book Antiqua" w:hAnsi="Book Antiqua"/>
          <w:sz w:val="24"/>
          <w:szCs w:val="24"/>
          <w:lang w:val="en-US"/>
        </w:rPr>
        <w:t xml:space="preserve"> agonists for the GLP-1 receptor (liraglutide), FXR (obeticholic acid, OCA) and PPAR-</w:t>
      </w:r>
      <w:r w:rsidR="00EB4D40" w:rsidRPr="00612653">
        <w:rPr>
          <w:rFonts w:ascii="Book Antiqua" w:hAnsi="Book Antiqua"/>
          <w:sz w:val="24"/>
          <w:szCs w:val="24"/>
        </w:rPr>
        <w:t>α</w:t>
      </w:r>
      <w:r w:rsidR="00EB4D40" w:rsidRPr="00612653">
        <w:rPr>
          <w:rFonts w:ascii="Book Antiqua" w:hAnsi="Book Antiqua"/>
          <w:sz w:val="24"/>
          <w:szCs w:val="24"/>
          <w:lang w:val="en-US"/>
        </w:rPr>
        <w:t>/</w:t>
      </w:r>
      <w:r w:rsidR="00EB4D40" w:rsidRPr="00612653">
        <w:rPr>
          <w:rFonts w:ascii="Book Antiqua" w:hAnsi="Book Antiqua"/>
          <w:sz w:val="24"/>
          <w:szCs w:val="24"/>
        </w:rPr>
        <w:t>δ</w:t>
      </w:r>
      <w:r w:rsidR="00EB4D40" w:rsidRPr="00612653">
        <w:rPr>
          <w:rFonts w:ascii="Book Antiqua" w:hAnsi="Book Antiqua"/>
          <w:sz w:val="24"/>
          <w:szCs w:val="24"/>
          <w:lang w:val="en-US"/>
        </w:rPr>
        <w:t xml:space="preserve"> (elafibranor)</w:t>
      </w:r>
      <w:r w:rsidRPr="00612653">
        <w:rPr>
          <w:rFonts w:ascii="Book Antiqua" w:hAnsi="Book Antiqua"/>
          <w:sz w:val="24"/>
          <w:szCs w:val="24"/>
          <w:lang w:val="en-US"/>
        </w:rPr>
        <w:fldChar w:fldCharType="begin" w:fldLock="1"/>
      </w:r>
      <w:r w:rsidR="00096F21" w:rsidRPr="00612653">
        <w:rPr>
          <w:rFonts w:ascii="Book Antiqua" w:hAnsi="Book Antiqua"/>
          <w:sz w:val="24"/>
          <w:szCs w:val="24"/>
          <w:lang w:val="en-US"/>
        </w:rPr>
        <w:instrText>ADDIN CSL_CITATION { "citationItems" : [ { "id" : "ITEM-1", "itemData" : { "DOI" : "10.1016/S0140-6736(15)00803-X", "ISBN" : "0140-6736", "ISSN" : "01406736", "PMID" : "26608256", "abstract" : "BACKGROUND Glucagon-like peptide-1 (GLP-1) analogues reduce hepatic steatosis, concentrations of liver enzymes, and insulin resistance in murine models of fatty liver disease. These analogues are licensed for type 2 diabetes, but their efficacy in patients with non-alcoholic steatohepatitis is unknown. We assessed the safety and efficacy of the long-acting GLP-1 analogue, liraglutide, in patients with non-alcoholic steatohepatitis. METHODS This multicentre, double-blinded, randomised, placebo-controlled phase 2 trial was conducted in four UK medical centres to assess subcutaneous injections of liraglutide (1\u00b78 mg daily) compared with placebo for patients who are overweight and show clinical evidence of non-alcoholic steatohepatitis. Patients were randomly assigned (1:1) using a computer-generated, centrally administered procedure, stratified by trial centre and diabetes status. The trial was designed using A'Hern's single-group method, which required eight (38%) of 21 successes in the liraglutide group for the effect of liraglutide to be considered clinically significant. Patients, investigators, clinical trial site staff, and pathologists were masked to treatment assignment throughout the study. The primary outcome measure was resolution of definite non-alcoholic steatohepatitis with no worsening in fibrosis from baseline to end of treatment (48 weeks), as assessed centrally by two independent pathologists. Analysis was done by intention-to-treat analysis, which included all patients who underwent end-of-treatment biopsy. The trial was registered with ClinicalTrials.gov, number NCT01237119. FINDINGS Between Aug 1, 2010, and May 31, 2013, 26 patients were randomly assigned to receive liraglutide and 26 to placebo. Nine (39%) of 23 patients who received liraglutide and underwent end-of-treatment liver biopsy had resolution of definite non-alcoholic steatohepatitis compared with two (9%) of 22 such patients in the placebo group (relative risk 4\u00b73 [95% CI 1\u00b70-17\u00b77]; p=0\u00b7019). Two (9%) of 23 patients in the liraglutide group versus eight (36%) of 22 patients in the placebo group had progression of fibrosis (0\u00b72 [0\u00b71-1\u00b70]; p=0\u00b704). Most adverse events were grade 1 (mild) to grade 2 (moderate) in severity, transient, and similar in the two treatment groups for all organ classes and symptoms, with the exception of gastrointestinal disorders in 21 (81%) of 23 patients in the liraglutide group and 17 (65%) of 22 patients in the placebo group, which included diar\u2026", "author" : [ { "dropping-particle" : "", "family" : "Armstrong", "given" : "Matthew James", "non-dropping-particle" : "", "parse-names" : false, "suffix" : "" }, { "dropping-particle" : "", "family" : "Gaunt", "given" : "Piers", "non-dropping-particle" : "", "parse-names" : false, "suffix" : "" }, { "dropping-particle" : "", "family" : "Aithal", "given" : "Guruprasad P.", "non-dropping-particle" : "", "parse-names" : false, "suffix" : "" }, { "dropping-particle" : "", "family" : "Barton", "given" : "Darren", "non-dropping-particle" : "", "parse-names" : false, "suffix" : "" }, { "dropping-particle" : "", "family" : "Hull", "given" : "Diana", "non-dropping-particle" : "", "parse-names" : false, "suffix" : "" }, { "dropping-particle" : "", "family" : "Parker", "given" : "Richard", "non-dropping-particle" : "", "parse-names" : false, "suffix" : "" }, { "dropping-particle" : "", "family" : "Hazlehurst", "given" : "Jonathan M.", "non-dropping-particle" : "", "parse-names" : false, "suffix" : "" }, { "dropping-particle" : "", "family" : "Guo", "given" : "Kathy", "non-dropping-particle" : "", "parse-names" : false, "suffix" : "" }, { "dropping-particle" : "", "family" : "Abouda", "given" : "George", "non-dropping-particle" : "", "parse-names" : false, "suffix" : "" }, { "dropping-particle" : "", "family" : "Aldersley", "given" : "Mark A.", "non-dropping-particle" : "", "parse-names" : false, "suffix" : "" }, { "dropping-particle" : "", "family" : "Stocken", "given" : "Deborah", "non-dropping-particle" : "", "parse-names" : false, "suffix" : "" }, { "dropping-particle" : "", "family" : "Gough", "given" : "Stephen C.", "non-dropping-particle" : "", "parse-names" : false, "suffix" : "" }, { "dropping-particle" : "", "family" : "Tomlinson", "given" : "Jeremy W.", "non-dropping-particle" : "", "parse-names" : false, "suffix" : "" }, { "dropping-particle" : "", "family" : "Brown", "given" : "Rachel M.", "non-dropping-particle" : "", "parse-names" : false, "suffix" : "" }, { "dropping-particle" : "", "family" : "H\u00fcbscher", "given" : "Stefan G.", "non-dropping-particle" : "", "parse-names" : false, "suffix" : "" }, { "dropping-particle" : "", "family" : "Newsome", "given" : "Philip N.", "non-dropping-particle" : "", "parse-names" : false, "suffix" : "" }, { "dropping-particle" : "", "family" : "Newsome", "given" : "Philip N.", "non-dropping-particle" : "", "parse-names" : false, "suffix" : "" } ], "container-title" : "The Lancet", "id" : "ITEM-1", "issue" : "10019", "issued" : { "date-parts" : [ [ "2016", "2", "13" ] ] }, "page" : "679-690", "title" : "Liraglutide safety and efficacy in patients with non-alcoholic steatohepatitis (LEAN): a multicentre, double-blind, randomised, placebo-controlled phase 2 study.", "type" : "article-journal", "volume" : "387" }, "uris" : [ "http://www.mendeley.com/documents/?uuid=bbf66a32-0855-4fcf-b9a0-2c5e6316606b" ] }, { "id" : "ITEM-2", "itemData" : { "DOI" : "10.1053/j.gastro.2016.01.038", "ISSN" : "00165085", "PMID" : "26874076", "abstract" : "BACKGROUND &amp; AIMS Elafibranor is an agonist of the peroxisome proliferator-activated receptor-\u03b1 and peroxisome proliferator-activated receptor-\u03b4. Elafibranor improves insulin sensitivity, glucose homeostasis, and lipid metabolism and reduces inflammation. We assessed the safety and efficacy of elafibranor in an international, randomized, double-blind placebo-controlled trial of patients with nonalcoholic steatohepatitis (NASH). METHODS Patients with NASH without cirrhosis were randomly assigned to groups given elafibranor 80 mg (n\u00a0= 93), elafibranor 120 mg (n\u00a0= 91), or placebo (n\u00a0= 92) each day for 52 weeks at sites in Europe and the United States. Clinical and laboratory evaluations were performed every 2 months during this 1-year period. Liver biopsies were then collected and patients were assessed 3 months later. The primary outcome was resolution of NASH without fibrosis worsening, using protocol-defined and modified definitions. Data from the groups given the different doses of elafibranor were compared with those from the placebo group using step-down logistic regression, adjusting for baseline nonalcoholic fatty liver disease activity score. RESULTS In intention-to-treat analysis, there was no significant difference between the elafibranor and placebo groups in the protocol-defined primary outcome. However, NASH resolved without fibrosis worsening in a higher proportion of patients in the 120-mg elafibranor group vs the placebo group (19% vs 12%; odds ratio\u00a0= 2.31; 95% confidence interval: 1.02-5.24; P\u00a0= .045), based on a post-hoc analysis for the modified definition. In post-hoc analyses of patients with nonalcoholic fatty liver disease activity score \u22654 (n\u00a0= 234), elafibranor 120 mg resolved NASH in larger proportions of patients than placebo based on the protocol definition (20% vs 11%; odds ratio\u00a0= 3.16; 95% confidence interval: 1.22-8.13; P\u00a0= .018) and the modified definitions (19% vs 9%; odds ratio\u00a0= 3.52; 95% confidence interval: 1.32-9.40; P\u00a0= .013). Patients with NASH resolution after receiving elafibranor 120 mg had reduced liver fibrosis stages compared with those without NASH resolution (mean reduction of 0.65 \u00b1 0.61 in responders for the primary outcome vs an increase of 0.10 \u00b1 0.98 in nonresponders; P &lt; .001). Liver enzymes, lipids, glucose profiles, and markers of systemic inflammation were significantly reduced in the elafibranor 120-mg group vs the placebo group. Elafibranor was well\u00a0tolerated and did not cause weight gain or car\u2026", "author" : [ { "dropping-particle" : "", "family" : "Ratziu", "given" : "Vlad", "non-dropping-particle" : "", "parse-names" : false, "suffix" : "" }, { "dropping-particle" : "", "family" : "Harrison", "given" : "Stephen A.", "non-dropping-particle" : "", "parse-names" : false, "suffix" : "" }, { "dropping-particle" : "", "family" : "Francque", "given" : "Sven", "non-dropping-particle" : "", "parse-names" : false, "suffix" : "" }, { "dropping-particle" : "", "family" : "Bedossa", "given" : "Pierre", "non-dropping-particle" : "", "parse-names" : false, "suffix" : "" }, { "dropping-particle" : "", "family" : "Lehert", "given" : "Philippe", "non-dropping-particle" : "", "parse-names" : false, "suffix" : "" }, { "dropping-particle" : "", "family" : "Serfaty", "given" : "Lawrence", "non-dropping-particle" : "", "parse-names" : false, "suffix" : "" }, { "dropping-particle" : "", "family" : "Romero-Gomez", "given" : "Manuel", "non-dropping-particle" : "", "parse-names" : false, "suffix" : "" }, { "dropping-particle" : "", "family" : "Boursier", "given" : "J\u00e9r\u00f4me", "non-dropping-particle" : "", "parse-names" : false, "suffix" : "" }, { "dropping-particle" : "", "family" : "Abdelmalek", "given" : "Manal", "non-dropping-particle" : "", "parse-names" : false, "suffix" : "" }, { "dropping-particle" : "", "family" : "Caldwell", "given" : "Steve", "non-dropping-particle" : "", "parse-names" : false, "suffix" : "" }, { "dropping-particle" : "", "family" : "Drenth", "given" : "Joost", "non-dropping-particle" : "", "parse-names" : false, "suffix" : "" }, { "dropping-particle" : "", "family" : "Anstee", "given" : "Quentin M.", "non-dropping-particle" : "", "parse-names" : false, "suffix" : "" }, { "dropping-particle" : "", "family" : "Hum", "given" : "Dean", "non-dropping-particle" : "", "parse-names" : false, "suffix" : "" }, { "dropping-particle" : "", "family" : "Hanf", "given" : "Remy", "non-dropping-particle" : "", "parse-names" : false, "suffix" : "" }, { "dropping-particle" : "", "family" : "Roudot", "given" : "Alice", "non-dropping-particle" : "", "parse-names" : false, "suffix" : "" }, { "dropping-particle" : "", "family" : "Megnien", "given" : "Sophie", "non-dropping-particle" : "", "parse-names" : false, "suffix" : "" }, { "dropping-particle" : "", "family" : "Staels", "given" : "Bart", "non-dropping-particle" : "", "parse-names" : false, "suffix" : "" }, { "dropping-particle" : "", "family" : "Sanyal", "given" : "Arun", "non-dropping-particle" : "", "parse-names" : false, "suffix" : "" }, { "dropping-particle" : "", "family" : "Mathurin", "given" : "P.", "non-dropping-particle" : "", "parse-names" : false, "suffix" : "" }, { "dropping-particle" : "", "family" : "Gournay", "given" : "J.", "non-dropping-particle" : "", "parse-names" : false, "suffix" : "" }, { "dropping-particle" : "", "family" : "Nguyen-Khac", "given" : "E.", "non-dropping-particle" : "", "parse-names" : false, "suffix" : "" }, { "dropping-particle" : "", "family" : "Ledinghen", "given" : "V.", "non-dropping-particle" : "De", "parse-names" : false, "suffix" : "" }, { "dropping-particle" : "", "family" : "Larrey", "given" : "D.", "non-dropping-particle" : "", "parse-names" : false, "suffix" : "" }, { "dropping-particle" : "", "family" : "Tran", "given" : "A.", "non-dropping-particle" : "", "parse-names" : false, "suffix" : "" }, { "dropping-particle" : "", "family" : "Bourliere", "given" : "M.", "non-dropping-particle" : "", "parse-names" : false, "suffix" : "" }, { "dropping-particle" : "", "family" : "Maynard-Muet", "given" : "M.", "non-dropping-particle" : "", "parse-names" : false, "suffix" : "" }, { "dropping-particle" : "", "family" : "Asselah", "given" : "T.", "non-dropping-particle" : "", "parse-names" : false, "suffix" : "" }, { "dropping-particle" : "", "family" : "Henrion", "given" : "J.", "non-dropping-particle" : "", "parse-names" : false, "suffix" : "" }, { "dropping-particle" : "", "family" : "Nevens", "given" : "F.", "non-dropping-particle" : "", "parse-names" : false, "suffix" : "" }, { "dropping-particle" : "", "family" : "Cassiman", "given" : "D.", "non-dropping-particle" : "", "parse-names" : false, "suffix" : "" }, { "dropping-particle" : "", "family" : "Geerts", "given" : "A.", "non-dropping-particle" : "", "parse-names" : false, "suffix" : "" }, { "dropping-particle" : "", "family" : "Moreno", "given" : "C.", "non-dropping-particle" : "", "parse-names" : false, "suffix" : "" }, { "dropping-particle" : "", "family" : "Beuers", "given" : "U.H.", "non-dropping-particle" : "", "parse-names" : false, "suffix" : "" }, { "dropping-particle" : "", "family" : "Galle", "given" : "P.R.", "non-dropping-particle" : "", "parse-names" : false, "suffix" : "" }, { "dropping-particle" : "", "family" : "Spengler", "given" : "U.", "non-dropping-particle" : "", "parse-names" : false, "suffix" : "" }, { "dropping-particle" : "", "family" : "Bugianesi", "given" : "E.", "non-dropping-particle" : "", "parse-names" : false, "suffix" : "" }, { "dropping-particle" : "", "family" : "Craxi", "given" : "A.", "non-dropping-particle" : "", "parse-names" : false, "suffix" : "" }, { "dropping-particle" : "", "family" : "Angelico", "given" : "M.", "non-dropping-particle" : "", "parse-names" : false, "suffix" : "" }, { "dropping-particle" : "", "family" : "Fargion", "given" : "S.", "non-dropping-particle" : "", "parse-names" : false, "suffix" : "" }, { "dropping-particle" : "", "family" : "Voiculescu", "given" : "M.", "non-dropping-particle" : "", "parse-names" : false, "suffix" : "" }, { "dropping-particle" : "", "family" : "Gheorghe", "given" : "L.", "non-dropping-particle" : "", "parse-names" : false, "suffix" : "" }, { "dropping-particle" : "", "family" : "Preotescu", "given" : "L.", "non-dropping-particle" : "", "parse-names" : false, "suffix" : "" }, { "dropping-particle" : "", "family" : "Caballeria", "given" : "J.", "non-dropping-particle" : "", "parse-names" : false, "suffix" : "" }, { "dropping-particle" : "", "family" : "Andrade", "given" : "R.J.", "non-dropping-particle" : "", "parse-names" : false, "suffix" : "" }, { "dropping-particle" : "", "family" : "Crespo", "given" : "J.", "non-dropping-particle" : "", "parse-names" : false, "suffix" : "" }, { "dropping-particle" : "", "family" : "Callera", "given" : "J.L.", "non-dropping-particle" : "", "parse-names" : false, "suffix" : "" }, { "dropping-particle" : "", "family" : "Ala", "given" : "A.", "non-dropping-particle" : "", "parse-names" : false, "suffix" : "" }, { "dropping-particle" : "", "family" : "Aithal", "given" : "G.", "non-dropping-particle" : "", "parse-names" : false, "suffix" : "" }, { "dropping-particle" : "", "family" : "Abouda", "given" : "G.", "non-dropping-particle" : "", "parse-names" : false, "suffix" : "" }, { "dropping-particle" : "", "family" : "Luketic", "given" : "V.", "non-dropping-particle" : "", "parse-names" : false, "suffix" : "" }, { "dropping-particle" : "", "family" : "Huang", "given" : "M.A.", "non-dropping-particle" : "", "parse-names" : false, "suffix" : "" }, { "dropping-particle" : "", "family" : "Gordon", "given" : "S.", "non-dropping-particle" : "", "parse-names" : false, "suffix" : "" }, { "dropping-particle" : "", "family" : "Pockros", "given" : "P.", "non-dropping-particle" : "", "parse-names" : false, "suffix" : "" }, { "dropping-particle" : "", "family" : "Poordad", "given" : "F.", "non-dropping-particle" : "", "parse-names" : false, "suffix" : "" }, { "dropping-particle" : "", "family" : "Shores", "given" : "N.", "non-dropping-particle" : "", "parse-names" : false, "suffix" : "" }, { "dropping-particle" : "", "family" : "Moehlen", "given" : "M.W.", "non-dropping-particle" : "", "parse-names" : false, "suffix" : "" }, { "dropping-particle" : "", "family" : "Bambha", "given" : "K.", "non-dropping-particle" : "", "parse-names" : false, "suffix" : "" }, { "dropping-particle" : "", "family" : "Clark", "given" : "V.", "non-dropping-particle" : "", "parse-names" : false, "suffix" : "" }, { "dropping-particle" : "", "family" : "Satapathy", "given" : "S.", "non-dropping-particle" : "", "parse-names" : false, "suffix" : "" }, { "dropping-particle" : "", "family" : "Parekh", "given" : "S.", "non-dropping-particle" : "", "parse-names" : false, "suffix" : "" }, { "dropping-particle" : "", "family" : "Reddy", "given" : "R.K.", "non-dropping-particle" : "", "parse-names" : false, "suffix" : "" }, { "dropping-particle" : "", "family" : "Sheikh", "given" : "M.Y.", "non-dropping-particle" : "", "parse-names" : false, "suffix" : "" }, { "dropping-particle" : "", "family" : "Szabo", "given" : "G.", "non-dropping-particle" : "", "parse-names" : false, "suffix" : "" }, { "dropping-particle" : "", "family" : "Vierling", "given" : "J.", "non-dropping-particle" : "", "parse-names" : false, "suffix" : "" }, { "dropping-particle" : "", "family" : "Foster", "given" : "T.", "non-dropping-particle" : "", "parse-names" : false, "suffix" : "" }, { "dropping-particle" : "", "family" : "Umpierrez", "given" : "G.", "non-dropping-particle" : "", "parse-names" : false, "suffix" : "" }, { "dropping-particle" : "", "family" : "Chang", "given" : "C.", "non-dropping-particle" : "", "parse-names" : false, "suffix" : "" }, { "dropping-particle" : "", "family" : "Box", "given" : "T.", "non-dropping-particle" : "", "parse-names" : false, "suffix" : "" }, { "dropping-particle" : "", "family" : "Gallegos-Orozco", "given" : "J.", "non-dropping-particle" : "", "parse-names" : false, "suffix" : "" } ], "container-title" : "Gastroenterology", "id" : "ITEM-2", "issue" : "5", "issued" : { "date-parts" : [ [ "2016", "5" ] ] }, "page" : "1147-1159.e5", "title" : "Elafibranor, an Agonist of the Peroxisome Proliferator\u2212Activated Receptor\u2212\u03b1 and\u00a0\u2212\u03b4, Induces Resolution of Nonalcoholic Steatohepatitis Without Fibrosis Worsening", "type" : "article-journal", "volume" : "150" }, "uris" : [ "http://www.mendeley.com/documents/?uuid=f07a3ce6-2387-3c74-ad39-ef9b8f1c4f59" ] }, { "id" : "ITEM-3", "itemData" : { "DOI" : "10.1016/S0140-6736(14)61933-4", "ISSN" : "01406736", "PMID" : "25468160", "abstract" : "BACKGROUND The bile acid derivative 6-ethylchenodeoxycholic acid (obeticholic acid) is a potent activator of the farnesoid X nuclear receptor that reduces liver fat and fibrosis in animal models of fatty liver disease. We assessed the efficacy of obeticholic acid in adult patients with non-alcoholic steatohepatitis. METHODS We did a multicentre, double-blind, placebo-controlled, parallel group, randomised clinical trial at medical centres in the USA in patients with non-cirrhotic, non-alcoholic steatohepatitis to assess treatment with obeticholic acid given orally (25 mg daily) or placebo for 72 weeks. Patients were randomly assigned 1:1 using a computer-generated, centrally administered procedure, stratified by clinical centre and diabetes status. The primary outcome measure was improvement in centrally scored liver histology defined as a decrease in non-alcoholic fatty liver disease activity score by at least 2 points without worsening of fibrosis from baseline to the end of treatment. A planned interim analysis of change in alanine aminotransferase at 24 weeks undertaken before end-of-treatment (72 weeks) biopsies supported the decision to continue the trial (relative change in alanine aminotransferase -24%, 95% CI -45 to -3). A planned interim analysis of the primary outcome showed improved efficacy of obeticholic acid (p=0\u00b70024) and supported a decision not to do end-of-treatment biopsies and end treatment early in 64 patients, but to continue the trial to obtain the 24-week post-treatment measures. Analyses were done by intention-to-treat. This trial was registered with ClinicalTrials.gov, number NCT01265498. FINDINGS Between March 16, 2011, and Dec 3, 2012, 141 patients were randomly assigned to receive obeticholic acid and 142 to placebo. 50 (45%) of 110 patients in the obeticholic acid group who were meant to have biopsies at baseline and 72 weeks had improved liver histology compared with 23 (21%) of 109 such patients in the placebo group (relative risk 1\u00b79, 95% CI 1\u00b73 to 2\u00b78; p=0\u00b70002). 33 (23%) of 141 patients in the obeticholic acid developed pruritus compared with nine (6%) of 142 in the placebo group. INTERPRETATION Obeticholic acid improved the histological features of non-alcoholic steatohepatitis, but its long-term benefits and safety need further clarification. FUNDING National Institute of Diabetes and Digestive and Kidney Diseases, Intercept Pharmaceuticals.", "author" : [ { "dropping-particle" : "", "family" : "Neuschwander-Tetri", "given" : "Brent A", "non-dropping-particle" : "", "parse-names" : false, "suffix" : "" }, { "dropping-particle" : "", "family" : "Loomba", "given" : "Rohit", "non-dropping-particle" : "", "parse-names" : false, "suffix" : "" }, { "dropping-particle" : "", "family" : "Sanyal", "given" : "Arun J", "non-dropping-particle" : "", "parse-names" : false, "suffix" : "" }, { "dropping-particle" : "", "family" : "Lavine", "given" : "Joel E", "non-dropping-particle" : "", "parse-names" : false, "suffix" : "" }, { "dropping-particle" : "", "family" : "Natta", "given" : "Mark L", "non-dropping-particle" : "Van", "parse-names" : false, "suffix" : "" }, { "dropping-particle" : "", "family" : "Abdelmalek", "given" : "Manal F", "non-dropping-particle" : "", "parse-names" : false, "suffix" : "" }, { "dropping-particle" : "", "family" : "Chalasani", "given" : "Naga", "non-dropping-particle" : "", "parse-names" : false, "suffix" : "" }, { "dropping-particle" : "", "family" : "Dasarathy", "given" : "Srinivasan", "non-dropping-particle" : "", "parse-names" : false, "suffix" : "" }, { "dropping-particle" : "", "family" : "Diehl", "given" : "Anna Mae", "non-dropping-particle" : "", "parse-names" : false, "suffix" : "" }, { "dropping-particle" : "", "family" : "Hameed", "given" : "Bilal", "non-dropping-particle" : "", "parse-names" : false, "suffix" : "" }, { "dropping-particle" : "V", "family" : "Kowdley", "given" : "Kris", "non-dropping-particle" : "", "parse-names" : false, "suffix" : "" }, { "dropping-particle" : "", "family" : "McCullough", "given" : "Arthur", "non-dropping-particle" : "", "parse-names" : false, "suffix" : "" }, { "dropping-particle" : "", "family" : "Terrault", "given" : "Norah", "non-dropping-particle" : "", "parse-names" : false, "suffix" : "" }, { "dropping-particle" : "", "family" : "Clark", "given" : "Jeanne M", "non-dropping-particle" : "", "parse-names" : false, "suffix" : "" }, { "dropping-particle" : "", "family" : "Tonascia", "given" : "James", "non-dropping-particle" : "", "parse-names" : false, "suffix" : "" }, { "dropping-particle" : "", "family" : "Brunt", "given" : "Elizabeth M", "non-dropping-particle" : "", "parse-names" : false, "suffix" : "" }, { "dropping-particle" : "", "family" : "Kleiner", "given" : "David E", "non-dropping-particle" : "", "parse-names" : false, "suffix" : "" }, { "dropping-particle" : "", "family" : "Doo", "given" : "Edward", "non-dropping-particle" : "", "parse-names" : false, "suffix" : "" }, { "dropping-particle" : "", "family" : "NASH Clinical Research Network", "given" : "", "non-dropping-particle" : "", "parse-names" : false, "suffix" : "" } ], "container-title" : "The Lancet", "id" : "ITEM-3", "issue" : "9972", "issued" : { "date-parts" : [ [ "2015", "3", "14" ] ] }, "page" : "956-965", "title" : "Farnesoid X nuclear receptor ligand obeticholic acid for non-cirrhotic, non-alcoholic steatohepatitis (FLINT): a multicentre, randomised, placebo-controlled trial", "type" : "article-journal", "volume" : "385" }, "uris" : [ "http://www.mendeley.com/documents/?uuid=f8fd340b-8c77-3c73-b079-2ad9566c2d77" ] } ], "mendeley" : { "formattedCitation" : "&lt;sup&gt;[20\u201322]&lt;/sup&gt;", "plainTextFormattedCitation" : "[20\u201322]", "previouslyFormattedCitation" : "&lt;sup&gt;[20\u201322]&lt;/sup&gt;" }, "properties" : { "noteIndex" : 0 }, "schema" : "https://github.com/citation-style-language/schema/raw/master/csl-citation.json" }</w:instrText>
      </w:r>
      <w:r w:rsidRPr="00612653">
        <w:rPr>
          <w:rFonts w:ascii="Book Antiqua" w:hAnsi="Book Antiqua"/>
          <w:sz w:val="24"/>
          <w:szCs w:val="24"/>
          <w:vertAlign w:val="superscript"/>
          <w:lang w:val="en-US"/>
        </w:rPr>
        <w:fldChar w:fldCharType="separate"/>
      </w:r>
      <w:r w:rsidR="00096F21" w:rsidRPr="00612653">
        <w:rPr>
          <w:rFonts w:ascii="Book Antiqua" w:hAnsi="Book Antiqua"/>
          <w:noProof/>
          <w:sz w:val="24"/>
          <w:szCs w:val="24"/>
          <w:vertAlign w:val="superscript"/>
          <w:lang w:val="en-US"/>
        </w:rPr>
        <w:t>[20–22]</w:t>
      </w:r>
      <w:r w:rsidRPr="00612653">
        <w:rPr>
          <w:rFonts w:ascii="Book Antiqua" w:hAnsi="Book Antiqua"/>
          <w:sz w:val="24"/>
          <w:szCs w:val="24"/>
          <w:lang w:val="en-US"/>
        </w:rPr>
        <w:fldChar w:fldCharType="end"/>
      </w:r>
      <w:r w:rsidRPr="00612653">
        <w:rPr>
          <w:rFonts w:ascii="Book Antiqua" w:hAnsi="Book Antiqua"/>
          <w:sz w:val="24"/>
          <w:szCs w:val="24"/>
          <w:lang w:val="en-US"/>
        </w:rPr>
        <w:t>.</w:t>
      </w:r>
      <w:r w:rsidR="000601B7" w:rsidRPr="00612653">
        <w:rPr>
          <w:rFonts w:ascii="Book Antiqua" w:hAnsi="Book Antiqua"/>
          <w:sz w:val="24"/>
          <w:szCs w:val="24"/>
          <w:lang w:val="en-US"/>
        </w:rPr>
        <w:t xml:space="preserve"> We have recently reported a comparative liver biopsy study on DIO-NASH and </w:t>
      </w:r>
      <w:r w:rsidR="000601B7" w:rsidRPr="00612653">
        <w:rPr>
          <w:rFonts w:ascii="Book Antiqua" w:hAnsi="Book Antiqua"/>
          <w:i/>
          <w:iCs/>
          <w:sz w:val="24"/>
          <w:szCs w:val="24"/>
          <w:lang w:val="en-US"/>
        </w:rPr>
        <w:t>ob/ob</w:t>
      </w:r>
      <w:r w:rsidR="000601B7" w:rsidRPr="00612653">
        <w:rPr>
          <w:rFonts w:ascii="Book Antiqua" w:hAnsi="Book Antiqua"/>
          <w:iCs/>
          <w:sz w:val="24"/>
          <w:szCs w:val="24"/>
          <w:lang w:val="en-US"/>
        </w:rPr>
        <w:t>-NASH</w:t>
      </w:r>
      <w:r w:rsidR="000601B7" w:rsidRPr="00612653">
        <w:rPr>
          <w:rFonts w:ascii="Book Antiqua" w:hAnsi="Book Antiqua"/>
          <w:sz w:val="24"/>
          <w:szCs w:val="24"/>
          <w:lang w:val="en-US"/>
        </w:rPr>
        <w:t xml:space="preserve"> mice, which confirmed that </w:t>
      </w:r>
      <w:r w:rsidR="000601B7" w:rsidRPr="00612653">
        <w:rPr>
          <w:rFonts w:ascii="Book Antiqua" w:hAnsi="Book Antiqua"/>
          <w:i/>
          <w:iCs/>
          <w:sz w:val="24"/>
          <w:szCs w:val="24"/>
          <w:lang w:val="en-US"/>
        </w:rPr>
        <w:t>ob/ob</w:t>
      </w:r>
      <w:r w:rsidR="000601B7" w:rsidRPr="00612653">
        <w:rPr>
          <w:rFonts w:ascii="Book Antiqua" w:hAnsi="Book Antiqua"/>
          <w:iCs/>
          <w:sz w:val="24"/>
          <w:szCs w:val="24"/>
          <w:lang w:val="en-US"/>
        </w:rPr>
        <w:t>-NASH</w:t>
      </w:r>
      <w:r w:rsidR="000601B7" w:rsidRPr="00612653">
        <w:rPr>
          <w:rFonts w:ascii="Book Antiqua" w:hAnsi="Book Antiqua"/>
          <w:sz w:val="24"/>
          <w:szCs w:val="24"/>
          <w:lang w:val="en-US"/>
        </w:rPr>
        <w:t xml:space="preserve"> mice generally display more marked </w:t>
      </w:r>
      <w:r w:rsidR="00AC1E1D" w:rsidRPr="00612653">
        <w:rPr>
          <w:rFonts w:ascii="Book Antiqua" w:hAnsi="Book Antiqua"/>
          <w:sz w:val="24"/>
          <w:szCs w:val="24"/>
          <w:lang w:val="en-US"/>
        </w:rPr>
        <w:t xml:space="preserve">fibrotic </w:t>
      </w:r>
      <w:r w:rsidR="000601B7" w:rsidRPr="00612653">
        <w:rPr>
          <w:rFonts w:ascii="Book Antiqua" w:hAnsi="Book Antiqua"/>
          <w:sz w:val="24"/>
          <w:szCs w:val="24"/>
          <w:lang w:val="en-US"/>
        </w:rPr>
        <w:t>steatohepatitis</w:t>
      </w:r>
      <w:r w:rsidR="00B76637" w:rsidRPr="00612653">
        <w:rPr>
          <w:rFonts w:ascii="Book Antiqua" w:hAnsi="Book Antiqua"/>
          <w:sz w:val="24"/>
          <w:szCs w:val="24"/>
          <w:lang w:val="en-US"/>
        </w:rPr>
        <w:fldChar w:fldCharType="begin" w:fldLock="1"/>
      </w:r>
      <w:r w:rsidR="00267B22" w:rsidRPr="00612653">
        <w:rPr>
          <w:rFonts w:ascii="Book Antiqua" w:hAnsi="Book Antiqua"/>
          <w:sz w:val="24"/>
          <w:szCs w:val="24"/>
          <w:lang w:val="en-US"/>
        </w:rPr>
        <w:instrText>ADDIN CSL_CITATION { "citationItems" : [ { "id" : "ITEM-1", "itemData" : { "DOI" : "10.4254/wjh.v8.i16.673", "ISSN" : "1948-5182", "PMID" : "27326314", "abstract" : "AIM To characterize development of diet-induced nonalcoholic steatohepatitis (NASH) by performing liver biopsy in wild-type and genetically obese mice. METHODS Male wild-type C57BL/6J (C57) mice (DIO-NASH) and male Lep(ob) /Lep(ob) (ob/ob) mice (ob/ob-NASH) were maintained on a diet high in trans-fat (40%), fructose (22%) and cholesterol (2%) for 26 and 12 wk, respectively. A normal chow diet served as control in C57 mice (lean chow) and ob/ob mice (ob/ob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ob/ob-NASH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ob/ob-NASH vs DIO-NASH mice. During the eight week repeated vehicle dosing period, the metabolic phenotype was sustained in DIO-NASH and ob/ob-NASH mice in conjunction with hepatomegaly and increased hepatic lipids and collagen accumulation. Histopathological scoring demonstrated significantly increased NAS of DIO-NASH mice (0 vs 4.7 \u00b1 0.4, P &lt; 0.001 compared to lean chow) and ob/ob-NASH mice (2.4 \u00b1 0.3 vs 6.3 \u00b1 0.2, P &lt; 0.001 compared to ob/ob chow), respectively. Furthermore, fibrosis stage was significantly elevated for DIO-NASH mice (0 vs 1.2 \u00b1 0.2, P &lt; 0.05 compared to lean chow) and ob/ob NASH (0.1 \u00b1 0.1 vs 3.0 \u00b1 0.2, P &lt; 0.001 compared to ob/ob chow). Notably, fibrosis stage was significantly (P &lt; 0.001) increased in ob/ob-NASH mice, when compared to DIO-NASH mice. CONCLUSION These data introduce the obese diet-induced DIO-NASH and ob/ob-NASH mouse models\u2026", "author" : [ { "dropping-particle" : "", "family" : "Kristiansen", "given" : "Maria Nicoline Baandrup",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"T\u00f8lb\u00f8l", "given" : "Kirstine Sloth", "non-dropping-particle" : "", "parse-names" : false, "suffix" : "" }, { "dropping-particle" : "", "family" : "Roth", "given" : "Jonathan David", "non-dropping-particle" : "", "parse-names" : false, "suffix" : "" }, { "dropping-particle" : "", "family" : "Jelsing", "given" : "Jacob", "non-dropping-particle" : "", "parse-names" : false, "suffix" : "" }, { "dropping-particle" : "", "family" : "Vrang", "given" : "Niels", "non-dropping-particle" : "", "parse-names" : false, "suffix" : "" }, { "dropping-particle" : "", "family" : "Feigh", "given" : "Michael", "non-dropping-particle" : "", "parse-names" : false, "suffix" : "" } ], "container-title" : "World Journal of Hepatology", "id" : "ITEM-1", "issue" : "16", "issued" : { "date-parts" : [ [ "2016", "6", "8" ] ] }, "page" : "673", "title" : "Obese diet-induced mouse models of nonalcoholic steatohepatitis-tracking disease by liver biopsy", "type" : "article-journal", "volume" : "8" }, "uris" : [ "http://www.mendeley.com/documents/?uuid=69bb0cda-5036-450b-90a1-83c8b0817689" ] } ], "mendeley" : { "formattedCitation" : "&lt;sup&gt;[19]&lt;/sup&gt;", "plainTextFormattedCitation" : "[19]", "previouslyFormattedCitation" : "&lt;sup&gt;[19]&lt;/sup&gt;" }, "properties" : { "noteIndex" : 0 }, "schema" : "https://github.com/citation-style-language/schema/raw/master/csl-citation.json" }</w:instrText>
      </w:r>
      <w:r w:rsidR="00B76637" w:rsidRPr="00612653">
        <w:rPr>
          <w:rFonts w:ascii="Book Antiqua" w:hAnsi="Book Antiqua"/>
          <w:sz w:val="24"/>
          <w:szCs w:val="24"/>
          <w:lang w:val="en-US"/>
        </w:rPr>
        <w:fldChar w:fldCharType="separate"/>
      </w:r>
      <w:r w:rsidR="00267B22" w:rsidRPr="00612653">
        <w:rPr>
          <w:rFonts w:ascii="Book Antiqua" w:hAnsi="Book Antiqua"/>
          <w:noProof/>
          <w:sz w:val="24"/>
          <w:szCs w:val="24"/>
          <w:vertAlign w:val="superscript"/>
          <w:lang w:val="en-US"/>
        </w:rPr>
        <w:t>[19]</w:t>
      </w:r>
      <w:r w:rsidR="00B76637" w:rsidRPr="00612653">
        <w:rPr>
          <w:rFonts w:ascii="Book Antiqua" w:hAnsi="Book Antiqua"/>
          <w:sz w:val="24"/>
          <w:szCs w:val="24"/>
          <w:lang w:val="en-US"/>
        </w:rPr>
        <w:fldChar w:fldCharType="end"/>
      </w:r>
      <w:r w:rsidR="000601B7" w:rsidRPr="00612653">
        <w:rPr>
          <w:rFonts w:ascii="Book Antiqua" w:hAnsi="Book Antiqua"/>
          <w:sz w:val="24"/>
          <w:szCs w:val="24"/>
          <w:lang w:val="en-US"/>
        </w:rPr>
        <w:t xml:space="preserve">. </w:t>
      </w:r>
      <w:r w:rsidR="004C4A42" w:rsidRPr="00612653">
        <w:rPr>
          <w:rFonts w:ascii="Book Antiqua" w:hAnsi="Book Antiqua"/>
          <w:sz w:val="24"/>
          <w:szCs w:val="24"/>
          <w:lang w:val="en-US"/>
        </w:rPr>
        <w:t>Thus, p</w:t>
      </w:r>
      <w:r w:rsidR="000601B7" w:rsidRPr="00612653">
        <w:rPr>
          <w:rFonts w:ascii="Book Antiqua" w:hAnsi="Book Antiqua"/>
          <w:sz w:val="24"/>
          <w:szCs w:val="24"/>
          <w:lang w:val="en-US"/>
        </w:rPr>
        <w:t xml:space="preserve">otential differences in therapeutic efficacies as a function of overall severity in hepatopathology were addressed by applying identical treatment protocols to both DIO-NASH and </w:t>
      </w:r>
      <w:r w:rsidR="000601B7" w:rsidRPr="00612653">
        <w:rPr>
          <w:rFonts w:ascii="Book Antiqua" w:hAnsi="Book Antiqua"/>
          <w:i/>
          <w:sz w:val="24"/>
          <w:szCs w:val="24"/>
          <w:lang w:val="en-US"/>
        </w:rPr>
        <w:t>ob/ob</w:t>
      </w:r>
      <w:r w:rsidR="000601B7" w:rsidRPr="00612653">
        <w:rPr>
          <w:rFonts w:ascii="Book Antiqua" w:hAnsi="Book Antiqua"/>
          <w:sz w:val="24"/>
          <w:szCs w:val="24"/>
          <w:lang w:val="en-US"/>
        </w:rPr>
        <w:t xml:space="preserve">-NASH mice. </w:t>
      </w:r>
    </w:p>
    <w:p w14:paraId="503AAA32" w14:textId="59941BBD" w:rsidR="00F61039" w:rsidRPr="00612653" w:rsidRDefault="00C02399" w:rsidP="00082279">
      <w:pPr>
        <w:snapToGrid w:val="0"/>
        <w:spacing w:after="0" w:line="360" w:lineRule="auto"/>
        <w:ind w:firstLineChars="100" w:firstLine="240"/>
        <w:jc w:val="both"/>
        <w:rPr>
          <w:rFonts w:ascii="Book Antiqua" w:hAnsi="Book Antiqua"/>
          <w:sz w:val="24"/>
          <w:szCs w:val="24"/>
          <w:lang w:val="en-US"/>
        </w:rPr>
      </w:pPr>
      <w:r w:rsidRPr="00612653">
        <w:rPr>
          <w:rFonts w:ascii="Book Antiqua" w:hAnsi="Book Antiqua"/>
          <w:sz w:val="24"/>
          <w:szCs w:val="24"/>
          <w:lang w:val="en-US"/>
        </w:rPr>
        <w:t>The GLP-1 analog, l</w:t>
      </w:r>
      <w:r w:rsidR="00757646" w:rsidRPr="00612653">
        <w:rPr>
          <w:rFonts w:ascii="Book Antiqua" w:hAnsi="Book Antiqua"/>
          <w:sz w:val="24"/>
          <w:szCs w:val="24"/>
          <w:lang w:val="en-US"/>
        </w:rPr>
        <w:t>iraglutide</w:t>
      </w:r>
      <w:r w:rsidRPr="00612653">
        <w:rPr>
          <w:rFonts w:ascii="Book Antiqua" w:hAnsi="Book Antiqua"/>
          <w:sz w:val="24"/>
          <w:szCs w:val="24"/>
          <w:lang w:val="en-US"/>
        </w:rPr>
        <w:t>, which is currently approved for t</w:t>
      </w:r>
      <w:r w:rsidR="00941312" w:rsidRPr="00612653">
        <w:rPr>
          <w:rFonts w:ascii="Book Antiqua" w:hAnsi="Book Antiqua"/>
          <w:sz w:val="24"/>
          <w:szCs w:val="24"/>
          <w:lang w:val="en-US"/>
        </w:rPr>
        <w:t xml:space="preserve">he treatment of type 2 </w:t>
      </w:r>
      <w:r w:rsidR="00E74C5F" w:rsidRPr="00612653">
        <w:rPr>
          <w:rFonts w:ascii="Book Antiqua" w:hAnsi="Book Antiqua"/>
          <w:sz w:val="24"/>
          <w:szCs w:val="24"/>
          <w:lang w:val="en-US"/>
        </w:rPr>
        <w:t>diabetes and obesity</w:t>
      </w:r>
      <w:r w:rsidR="005A549A" w:rsidRPr="00612653">
        <w:rPr>
          <w:rFonts w:ascii="Book Antiqua" w:hAnsi="Book Antiqua"/>
          <w:sz w:val="24"/>
          <w:szCs w:val="24"/>
          <w:lang w:val="en-US"/>
        </w:rPr>
        <w:fldChar w:fldCharType="begin" w:fldLock="1"/>
      </w:r>
      <w:r w:rsidR="004A5E9A" w:rsidRPr="00612653">
        <w:rPr>
          <w:rFonts w:ascii="Book Antiqua" w:hAnsi="Book Antiqua"/>
          <w:sz w:val="24"/>
          <w:szCs w:val="24"/>
          <w:lang w:val="en-US"/>
        </w:rPr>
        <w:instrText>ADDIN CSL_CITATION { "citationItems" : [ { "id" : "ITEM-1", "itemData" : { "DOI" : "10.1038/nrd3148", "ISSN" : "1474-1776", "PMID" : "20357801", "abstract" : "In January 2010, liraglutide (Victoza; Novo Nordisk)--an injectable glucagon-like peptide 1 receptor agonist--was approved by the US FDA to improve glycaemic control in adults with type 2 diabetes mellitus.", "author" : [ { "dropping-particle" : "", "family" : "Drucker", "given" : "Daniel J.", "non-dropping-particle" : "", "parse-names" : false, "suffix" : "" }, { "dropping-particle" : "", "family" : "Dritselis", "given" : "Argyris", "non-dropping-particle" : "", "parse-names" : false, "suffix" : "" }, { "dropping-particle" : "", "family" : "Kirkpatrick", "given" : "Peter", "non-dropping-particle" : "", "parse-names" : false, "suffix" : "" } ], "container-title" : "Nature Reviews Drug Discovery", "id" : "ITEM-1", "issue" : "4", "issued" : { "date-parts" : [ [ "2010", "4" ] ] }, "page" : "267-268", "title" : "Liraglutide", "type" : "article-journal", "volume" : "9" }, "uris" : [ "http://www.mendeley.com/documents/?uuid=1a98220f-6ab2-4f26-9109-5b5875d26035" ] }, { "id" : "ITEM-2", "itemData" : { "DOI" : "10.1002/phar.1639", "ISSN" : "02770008", "PMID" : "26497479", "abstract" : "Obesity continues to pose a major public health risk to the United States and across the world, with an estimated one-third of adult Americans being defined as obese. Obesity treatment guidelines recommend the use of pharmacologic therapy in adults who have a body mass index (BMI) of 30\u00a0kg/m(2) or higher or in patients with a BMI of 27\u00a0kg/m(2) or higher who have at least one weight-related comorbid condition (e.g., hypertension, dyslipidemia, insulin resistance, type 2 diabetes mellitus). Liraglutide is a glucagon-like peptide-1 receptor agonist that has been successfully used in the treatment of type 2 diabetes for several years. Weight loss has been well described as an additional benefit with liraglutide therapy, which prompted the manufacturer to evaluate and develop a higher dose formulation specifically for the treatment of obesity. Liraglutide 3\u00a0mg/day was approved by the U.S. Food and Drug Administration for this indication in December 2014. We performed a search of the Medline database to identify relevant literature focused on liraglutide's role specifically in treating obesity. Five clinical trials with this primary end point were identified. Data demonstrated that liraglutide can successfully achieve weight-loss benchmarks of 5% or more and 10% or more loss from baseline. The most common adverse effects were gastrointestinal and mild to moderate in intensity. The cost of therapy is high, averaging over $1000/month for out-of-pocket expenses if insurance coverage is not available. Liraglutide is also available for delivery only by subcutaneous injection, which may represent a barrier for patients. Liraglutide 3\u00a0mg/day represents another pharmacologic option for the treatment of obesity.", "author" : [ { "dropping-particle" : "", "family" : "Nuffer", "given" : "Wesley A.", "non-dropping-particle" : "", "parse-names" : false, "suffix" : "" }, { "dropping-particle" : "", "family" : "Trujillo", "given" : "Jennifer M.", "non-dropping-particle" : "", "parse-names" : false, "suffix" : "" } ], "container-title" : "Pharmacotherapy: The Journal of Human Pharmacology and Drug Therapy", "id" : "ITEM-2", "issue" : "10", "issued" : { "date-parts" : [ [ "2015", "10" ] ] }, "page" : "926-934", "title" : "Liraglutide: A New Option for the Treatment of Obesity", "type" : "article-journal", "volume" : "35" }, "uris" : [ "http://www.mendeley.com/documents/?uuid=00820345-d941-4b58-a254-2a3dd388136f" ] } ], "mendeley" : { "formattedCitation" : "&lt;sup&gt;[24,25]&lt;/sup&gt;", "plainTextFormattedCitation" : "[24,25]", "previouslyFormattedCitation" : "&lt;sup&gt;[24,25]&lt;/sup&gt;" }, "properties" : { "noteIndex" : 0 }, "schema" : "https://github.com/citation-style-language/schema/raw/master/csl-citation.json" }</w:instrText>
      </w:r>
      <w:r w:rsidR="005A549A" w:rsidRPr="00612653">
        <w:rPr>
          <w:rFonts w:ascii="Book Antiqua" w:hAnsi="Book Antiqua"/>
          <w:sz w:val="24"/>
          <w:szCs w:val="24"/>
          <w:vertAlign w:val="superscript"/>
          <w:lang w:val="en-US"/>
        </w:rPr>
        <w:fldChar w:fldCharType="separate"/>
      </w:r>
      <w:r w:rsidR="004A5E9A" w:rsidRPr="00612653">
        <w:rPr>
          <w:rFonts w:ascii="Book Antiqua" w:hAnsi="Book Antiqua"/>
          <w:noProof/>
          <w:sz w:val="24"/>
          <w:szCs w:val="24"/>
          <w:vertAlign w:val="superscript"/>
          <w:lang w:val="en-US"/>
        </w:rPr>
        <w:t>[24,25]</w:t>
      </w:r>
      <w:r w:rsidR="005A549A" w:rsidRPr="00612653">
        <w:rPr>
          <w:rFonts w:ascii="Book Antiqua" w:hAnsi="Book Antiqua"/>
          <w:sz w:val="24"/>
          <w:szCs w:val="24"/>
          <w:lang w:val="en-US"/>
        </w:rPr>
        <w:fldChar w:fldCharType="end"/>
      </w:r>
      <w:r w:rsidR="004C4A42" w:rsidRPr="00612653">
        <w:rPr>
          <w:rFonts w:ascii="Book Antiqua" w:hAnsi="Book Antiqua"/>
          <w:sz w:val="24"/>
          <w:szCs w:val="24"/>
          <w:lang w:val="en-US"/>
        </w:rPr>
        <w:t>,</w:t>
      </w:r>
      <w:r w:rsidR="00757646" w:rsidRPr="00612653">
        <w:rPr>
          <w:rFonts w:ascii="Book Antiqua" w:hAnsi="Book Antiqua"/>
          <w:sz w:val="24"/>
          <w:szCs w:val="24"/>
          <w:lang w:val="en-US"/>
        </w:rPr>
        <w:t xml:space="preserve"> reduced weight gain</w:t>
      </w:r>
      <w:r w:rsidR="007E413B" w:rsidRPr="00612653">
        <w:rPr>
          <w:rFonts w:ascii="Book Antiqua" w:hAnsi="Book Antiqua"/>
          <w:sz w:val="24"/>
          <w:szCs w:val="24"/>
          <w:lang w:val="en-US"/>
        </w:rPr>
        <w:t xml:space="preserve"> </w:t>
      </w:r>
      <w:r w:rsidR="005B7117" w:rsidRPr="00612653">
        <w:rPr>
          <w:rFonts w:ascii="Book Antiqua" w:hAnsi="Book Antiqua"/>
          <w:sz w:val="24"/>
          <w:szCs w:val="24"/>
          <w:lang w:val="en-US"/>
        </w:rPr>
        <w:t xml:space="preserve">in </w:t>
      </w:r>
      <w:r w:rsidRPr="00612653">
        <w:rPr>
          <w:rFonts w:ascii="Book Antiqua" w:hAnsi="Book Antiqua"/>
          <w:sz w:val="24"/>
          <w:szCs w:val="24"/>
          <w:lang w:val="en-US"/>
        </w:rPr>
        <w:t xml:space="preserve">both </w:t>
      </w:r>
      <w:r w:rsidR="005B7117" w:rsidRPr="00612653">
        <w:rPr>
          <w:rFonts w:ascii="Book Antiqua" w:hAnsi="Book Antiqua"/>
          <w:sz w:val="24"/>
          <w:szCs w:val="24"/>
          <w:lang w:val="en-US"/>
        </w:rPr>
        <w:t xml:space="preserve">DIO-NASH and </w:t>
      </w:r>
      <w:r w:rsidR="005B7117" w:rsidRPr="00612653">
        <w:rPr>
          <w:rFonts w:ascii="Book Antiqua" w:hAnsi="Book Antiqua"/>
          <w:i/>
          <w:iCs/>
          <w:sz w:val="24"/>
          <w:szCs w:val="24"/>
          <w:lang w:val="en-US"/>
        </w:rPr>
        <w:t>ob/ob</w:t>
      </w:r>
      <w:r w:rsidR="005B7117" w:rsidRPr="00612653">
        <w:rPr>
          <w:rFonts w:ascii="Book Antiqua" w:hAnsi="Book Antiqua"/>
          <w:sz w:val="24"/>
          <w:szCs w:val="24"/>
          <w:lang w:val="en-US"/>
        </w:rPr>
        <w:t xml:space="preserve">-NASH mice </w:t>
      </w:r>
      <w:r w:rsidR="007E413B" w:rsidRPr="00612653">
        <w:rPr>
          <w:rFonts w:ascii="Book Antiqua" w:hAnsi="Book Antiqua"/>
          <w:sz w:val="24"/>
          <w:szCs w:val="24"/>
          <w:lang w:val="en-US"/>
        </w:rPr>
        <w:t>with</w:t>
      </w:r>
      <w:r w:rsidR="00757646" w:rsidRPr="00612653">
        <w:rPr>
          <w:rFonts w:ascii="Book Antiqua" w:hAnsi="Book Antiqua"/>
          <w:sz w:val="24"/>
          <w:szCs w:val="24"/>
          <w:lang w:val="en-US"/>
        </w:rPr>
        <w:t xml:space="preserve"> concurrent improvement</w:t>
      </w:r>
      <w:r w:rsidR="007E413B" w:rsidRPr="00612653">
        <w:rPr>
          <w:rFonts w:ascii="Book Antiqua" w:hAnsi="Book Antiqua"/>
          <w:sz w:val="24"/>
          <w:szCs w:val="24"/>
          <w:lang w:val="en-US"/>
        </w:rPr>
        <w:t>s in</w:t>
      </w:r>
      <w:r w:rsidR="00757646" w:rsidRPr="00612653">
        <w:rPr>
          <w:rFonts w:ascii="Book Antiqua" w:hAnsi="Book Antiqua"/>
          <w:sz w:val="24"/>
          <w:szCs w:val="24"/>
          <w:lang w:val="en-US"/>
        </w:rPr>
        <w:t xml:space="preserve"> </w:t>
      </w:r>
      <w:r w:rsidR="002617D2" w:rsidRPr="00612653">
        <w:rPr>
          <w:rFonts w:ascii="Book Antiqua" w:hAnsi="Book Antiqua"/>
          <w:sz w:val="24"/>
          <w:szCs w:val="24"/>
          <w:lang w:val="en-US"/>
        </w:rPr>
        <w:t xml:space="preserve">whole-body fat mass, </w:t>
      </w:r>
      <w:r w:rsidR="007C11D0" w:rsidRPr="00612653">
        <w:rPr>
          <w:rFonts w:ascii="Book Antiqua" w:hAnsi="Book Antiqua"/>
          <w:sz w:val="24"/>
          <w:szCs w:val="24"/>
          <w:lang w:val="en-US"/>
        </w:rPr>
        <w:t xml:space="preserve">hepatomegaly, </w:t>
      </w:r>
      <w:r w:rsidR="0010328E" w:rsidRPr="00612653">
        <w:rPr>
          <w:rFonts w:ascii="Book Antiqua" w:hAnsi="Book Antiqua"/>
          <w:sz w:val="24"/>
          <w:szCs w:val="24"/>
          <w:lang w:val="en-US"/>
        </w:rPr>
        <w:t>liver lipid</w:t>
      </w:r>
      <w:r w:rsidR="007C11D0" w:rsidRPr="00612653">
        <w:rPr>
          <w:rFonts w:ascii="Book Antiqua" w:hAnsi="Book Antiqua"/>
          <w:sz w:val="24"/>
          <w:szCs w:val="24"/>
          <w:lang w:val="en-US"/>
        </w:rPr>
        <w:t xml:space="preserve"> </w:t>
      </w:r>
      <w:r w:rsidR="00922C47" w:rsidRPr="00612653">
        <w:rPr>
          <w:rFonts w:ascii="Book Antiqua" w:hAnsi="Book Antiqua"/>
          <w:sz w:val="24"/>
          <w:szCs w:val="24"/>
          <w:lang w:val="en-US"/>
        </w:rPr>
        <w:lastRenderedPageBreak/>
        <w:t>deposition</w:t>
      </w:r>
      <w:r w:rsidR="00FD32BD" w:rsidRPr="00612653">
        <w:rPr>
          <w:rFonts w:ascii="Book Antiqua" w:hAnsi="Book Antiqua"/>
          <w:sz w:val="24"/>
          <w:szCs w:val="24"/>
          <w:lang w:val="en-US"/>
        </w:rPr>
        <w:t>, and</w:t>
      </w:r>
      <w:r w:rsidR="00830F02" w:rsidRPr="00612653">
        <w:rPr>
          <w:rFonts w:ascii="Book Antiqua" w:hAnsi="Book Antiqua"/>
          <w:sz w:val="24"/>
          <w:szCs w:val="24"/>
          <w:lang w:val="en-US"/>
        </w:rPr>
        <w:t xml:space="preserve"> hypercholesterolemia</w:t>
      </w:r>
      <w:r w:rsidR="000566AF" w:rsidRPr="00612653">
        <w:rPr>
          <w:rFonts w:ascii="Book Antiqua" w:hAnsi="Book Antiqua"/>
          <w:sz w:val="24"/>
          <w:szCs w:val="24"/>
          <w:lang w:val="en-US"/>
        </w:rPr>
        <w:t>,</w:t>
      </w:r>
      <w:r w:rsidRPr="00612653">
        <w:rPr>
          <w:rFonts w:ascii="Book Antiqua" w:hAnsi="Book Antiqua"/>
          <w:sz w:val="24"/>
          <w:szCs w:val="24"/>
          <w:lang w:val="en-US"/>
        </w:rPr>
        <w:t xml:space="preserve"> which is</w:t>
      </w:r>
      <w:r w:rsidR="000566AF" w:rsidRPr="00612653">
        <w:rPr>
          <w:rFonts w:ascii="Book Antiqua" w:hAnsi="Book Antiqua"/>
          <w:sz w:val="24"/>
          <w:szCs w:val="24"/>
          <w:lang w:val="en-US"/>
        </w:rPr>
        <w:t xml:space="preserve"> consistent with findings</w:t>
      </w:r>
      <w:r w:rsidR="00A353CD" w:rsidRPr="00612653">
        <w:rPr>
          <w:rFonts w:ascii="Book Antiqua" w:hAnsi="Book Antiqua"/>
          <w:sz w:val="24"/>
          <w:szCs w:val="24"/>
          <w:lang w:val="en-US"/>
        </w:rPr>
        <w:t xml:space="preserve"> in </w:t>
      </w:r>
      <w:r w:rsidR="007C11D0" w:rsidRPr="00612653">
        <w:rPr>
          <w:rFonts w:ascii="Book Antiqua" w:hAnsi="Book Antiqua"/>
          <w:sz w:val="24"/>
          <w:szCs w:val="24"/>
          <w:lang w:val="en-US"/>
        </w:rPr>
        <w:t xml:space="preserve">other </w:t>
      </w:r>
      <w:r w:rsidR="00A353CD" w:rsidRPr="00612653">
        <w:rPr>
          <w:rFonts w:ascii="Book Antiqua" w:hAnsi="Book Antiqua"/>
          <w:sz w:val="24"/>
          <w:szCs w:val="24"/>
          <w:lang w:val="en-US"/>
        </w:rPr>
        <w:t>obese</w:t>
      </w:r>
      <w:r w:rsidR="007C11D0" w:rsidRPr="00612653">
        <w:rPr>
          <w:rFonts w:ascii="Book Antiqua" w:hAnsi="Book Antiqua"/>
          <w:sz w:val="24"/>
          <w:szCs w:val="24"/>
          <w:lang w:val="en-US"/>
        </w:rPr>
        <w:t xml:space="preserve"> mouse models of NASH</w:t>
      </w:r>
      <w:r w:rsidR="007C11D0" w:rsidRPr="00612653">
        <w:rPr>
          <w:rFonts w:ascii="Book Antiqua" w:hAnsi="Book Antiqua"/>
          <w:sz w:val="24"/>
          <w:szCs w:val="24"/>
        </w:rPr>
        <w:fldChar w:fldCharType="begin" w:fldLock="1"/>
      </w:r>
      <w:r w:rsidR="00096F21" w:rsidRPr="00612653">
        <w:rPr>
          <w:rFonts w:ascii="Book Antiqua" w:hAnsi="Book Antiqua"/>
          <w:sz w:val="24"/>
          <w:szCs w:val="24"/>
          <w:lang w:val="en-US"/>
        </w:rPr>
        <w:instrText>ADDIN CSL_CITATION { "citationItems" : [ { "id" : "ITEM-1", "itemData" : { "DOI" : "10.1038/labinvest.2016.61", "ISSN" : "1530-0307", "PMID" : "27239734", "abstract" : "The CCAAT/enhancer-binding protein (C/EBP) homologous protein (CHOP), a major transcriptional regulator of endoplasmic reticulum (ER) stress-mediated apoptosis, is implicated in lipotoxicity-induced ER stress and hepatocyte apoptosis in non-alcoholic fatty liver disease (NAFLD). We have previously demonstrated that the glucagon-like peptide-1 (GLP-1) agonist, liraglutide, protects steatotic hepatocytes from lipotoxicity-induced apoptosis by improved handling of free fatty acid (FFA)-induced ER stress. In the present study, we investigated whether CHOP is critical for GLP-1-mediated restoration of ER homeostasis and mitigation of hepatocyte apoptosis in a murine model of NASH (non-alcoholic steatohepatitis). Our data show that despite similar caloric intake, CHOP KO (CHOP(-/-)) mice fed a diet high in fat, fructose, and cholesterol (HFCD) for 16 weeks developed more severe histological features of NASH compared with wild-type (WT) controls. Severity of NASH in HFCD-fed CHOP(-/-) mice correlated with significant decrease in peroxisomal \u03b2-oxidation, and increased de novo lipogenesis and ER stress-mediated hepatocyte apoptosis. Four weeks of liraglutide treatment markedly attenuated steatohepatitis in HFCD-fed WT mice by improving insulin sensitivity, and suppressing de novo lipogenesis and ER stress-mediated hepatocyte apoptosis. However, in the absence of CHOP, liraglutide did not improve insulin sensitivity, nor suppress peroxisomal \u03b2-oxidation or ER stress-mediated hepatocyte apoptosis. Taken together, these data indicate that CHOP protects hepatocytes from HFCD-induced ER stress, and has a significant role in the mechanism of liraglutide-mediated protection against NASH pathogenesis.", "author" : [ { "dropping-particle" : "", "family" : "Rahman", "given" : "Khalidur", "non-dropping-particle" : "", "parse-names" : false, "suffix" : "" }, { "dropping-particle" : "", "family" : "Liu", "given" : "Yunshan", "non-dropping-particle" : "", "parse-names" : false, "suffix" : "" }, { "dropping-particle" : "", "family" : "Kumar", "given" : "Pradeep", "non-dropping-particle" : "", "parse-names" : false, "suffix" : "" }, { "dropping-particle" : "", "family" : "Smith", "given" : "Tekla", "non-dropping-particle" : "", "parse-names" : false, "suffix" : "" }, { "dropping-particle" : "", "family" : "Thorn", "given" : "Natalie E", "non-dropping-particle" : "", "parse-names" : false, "suffix" : "" }, { "dropping-particle" : "", "family" : "Farris", "given" : "Alton B", "non-dropping-particle" : "", "parse-names" : false, "suffix" : "" }, { "dropping-particle" : "", "family" : "Anania", "given" : "Frank A", "non-dropping-particle" : "", "parse-names" : false, "suffix" : "" } ], "container-title" : "Laboratory investigation; a journal of technical methods and pathology", "id" : "ITEM-1", "issue" : "8", "issued" : { "date-parts" : [ [ "2016", "8", "30" ] ] }, "page" : "895-908", "title" : "C/EBP homologous protein modulates liraglutide-mediated attenuation of non-alcoholic steatohepatitis.", "type" : "article-journal", "volume" : "96" }, "uris" : [ "http://www.mendeley.com/documents/?uuid=ec8c57ed-ff84-3300-ad72-19dfabfec096" ] }, { "id" : "ITEM-2", "itemData" : { "DOI" : "10.1152/ajpgi.00274.2011", "ISBN" : "1522-1547 (Electronic)\\r0193-1857 (Linking)", "ISSN" : "0193-1857", "PMID" : "22038829", "abstract" : "The aims of this study were designed to determine whether liraglutide, a long-acting glucagon-like peptide, could reverse the adverse effects of a diet high in fat that also contained trans-fat and high-fructose corn syrup (ALIOS diet). Specifically, we examined whether treatment with liraglutide could reduce hepatic insulin resistance and steatosis as well as improve cardiac function. Male C57BL/6J mice were pair fed or fed ad libitum either standard chow or the ALIOS diet. After 8 wk the mice were further subdivided and received daily injections of either liraglutide or saline for 4 wk. Hyperinsulinemic-euglycemic clamp studies were performed after 6 wk, revealing hepatic insulin resistance. Glucose tolerance and insulin resistance tests were performed at 8 and 12 wk prior to and following liraglutide treatment. Liver pathology, cardiac measurements, blood chemistry, and RNA and protein analyses were performed. Clamp studies revealed hepatic insulin resistance after 6 wk of ALIOS diet. Liraglutide reduced visceral adiposity and liver weight (P &lt; 0.001). As expected, liraglutide improved glucose and insulin tolerance. Liraglutide improved hypertension (P &lt; 0.05) and reduced cardiac hypertrophy. Surprisingly, liver from liraglutide-treated mice had significantly higher levels of fatty acid binding protein, acyl-CoA oxidase II, very long-chain acyl-CoA dehydrogenase, and microsomal triglyceride transfer protein. We conclude that liraglutide reduces the harmful effects of an ALIOS diet by improving insulin sensitivity and by reducing lipid accumulation in liver through multiple mechanisms including, transport, and increase beta-oxidation.", "author" : [ { "dropping-particle" : "", "family" : "Mells", "given" : "J E", "non-dropping-particle" : "", "parse-names" : false, "suffix" : "" }, { "dropping-particle" : "", "family" : "Fu", "given" : "P P", "non-dropping-particle" : "", "parse-names" : false, "suffix" : "" }, { "dropping-particle" : "", "family" : "Sharma", "given" : "S", "non-dropping-particle" : "", "parse-names" : false, "suffix" : "" }, { "dropping-particle" : "", "family" : "Olson", "given" : "D", "non-dropping-particle" : "", "parse-names" : false, "suffix" : "" }, { "dropping-particle" : "", "family" : "Cheng", "given" : "L", "non-dropping-particle" : "", "parse-names" : false, "suffix" : "" }, { "dropping-particle" : "", "family" : "Handy", "given" : "J A", "non-dropping-particle" : "", "parse-names" : false, "suffix" : "" }, { "dropping-particle" : "", "family" : "Saxena", "given" : "N K", "non-dropping-particle" : "", "parse-names" : false, "suffix" : "" }, { "dropping-particle" : "", "family" : "Sorescu", "given" : "D", "non-dropping-particle" : "", "parse-names" : false, "suffix" : "" }, { "dropping-particle" : "", "family" : "Anania", "given" : "F A", "non-dropping-particle" : "", "parse-names" : false, "suffix" : "" } ], "container-title" : "Am J Physiol Gastrointest Liver Physiol", "id" : "ITEM-2", "issue" : "2", "issued" : { "date-parts" : [ [ "2012" ] ] }, "page" : "G225-35", "title" : "Glp-1 analog, liraglutide, ameliorates hepatic steatosis and cardiac hypertrophy in C57BL/6J mice fed a Western diet", "type" : "article-journal", "volume" : "302" }, "uris" : [ "http://www.mendeley.com/documents/?uuid=20a01031-ba80-45bd-93cf-cee3bbca19a8" ] } ], "mendeley" : { "formattedCitation" : "&lt;sup&gt;[33,41]&lt;/sup&gt;", "plainTextFormattedCitation" : "[33,41]", "previouslyFormattedCitation" : "&lt;sup&gt;[33,41]&lt;/sup&gt;" }, "properties" : { "noteIndex" : 0 }, "schema" : "https://github.com/citation-style-language/schema/raw/master/csl-citation.json" }</w:instrText>
      </w:r>
      <w:r w:rsidR="007C11D0" w:rsidRPr="00612653">
        <w:rPr>
          <w:rFonts w:ascii="Book Antiqua" w:hAnsi="Book Antiqua"/>
          <w:sz w:val="24"/>
          <w:szCs w:val="24"/>
          <w:vertAlign w:val="superscript"/>
          <w:lang w:val="en-US"/>
        </w:rPr>
        <w:fldChar w:fldCharType="separate"/>
      </w:r>
      <w:r w:rsidR="00096F21" w:rsidRPr="00612653">
        <w:rPr>
          <w:rFonts w:ascii="Book Antiqua" w:hAnsi="Book Antiqua"/>
          <w:noProof/>
          <w:sz w:val="24"/>
          <w:szCs w:val="24"/>
          <w:vertAlign w:val="superscript"/>
          <w:lang w:val="en-US"/>
        </w:rPr>
        <w:t>[33,41]</w:t>
      </w:r>
      <w:r w:rsidR="007C11D0" w:rsidRPr="00612653">
        <w:rPr>
          <w:rFonts w:ascii="Book Antiqua" w:hAnsi="Book Antiqua"/>
          <w:sz w:val="24"/>
          <w:szCs w:val="24"/>
        </w:rPr>
        <w:fldChar w:fldCharType="end"/>
      </w:r>
      <w:r w:rsidR="00397D45" w:rsidRPr="00612653">
        <w:rPr>
          <w:rFonts w:ascii="Book Antiqua" w:hAnsi="Book Antiqua"/>
          <w:sz w:val="24"/>
          <w:szCs w:val="24"/>
          <w:lang w:val="en-US"/>
        </w:rPr>
        <w:t>.</w:t>
      </w:r>
      <w:r w:rsidR="00614C35" w:rsidRPr="00612653">
        <w:rPr>
          <w:rFonts w:ascii="Book Antiqua" w:hAnsi="Book Antiqua"/>
          <w:sz w:val="24"/>
          <w:szCs w:val="24"/>
          <w:lang w:val="en-US"/>
        </w:rPr>
        <w:t xml:space="preserve"> </w:t>
      </w:r>
      <w:r w:rsidR="00397D45" w:rsidRPr="00612653">
        <w:rPr>
          <w:rFonts w:ascii="Book Antiqua" w:hAnsi="Book Antiqua"/>
          <w:sz w:val="24"/>
          <w:szCs w:val="24"/>
          <w:lang w:val="en-US"/>
        </w:rPr>
        <w:t>The</w:t>
      </w:r>
      <w:r w:rsidR="007E5495" w:rsidRPr="00612653">
        <w:rPr>
          <w:rFonts w:ascii="Book Antiqua" w:hAnsi="Book Antiqua"/>
          <w:sz w:val="24"/>
          <w:szCs w:val="24"/>
          <w:lang w:val="en-US"/>
        </w:rPr>
        <w:t xml:space="preserve"> </w:t>
      </w:r>
      <w:r w:rsidR="000D2DA5" w:rsidRPr="00612653">
        <w:rPr>
          <w:rFonts w:ascii="Book Antiqua" w:hAnsi="Book Antiqua"/>
          <w:sz w:val="24"/>
          <w:szCs w:val="24"/>
          <w:lang w:val="en-US"/>
        </w:rPr>
        <w:t>intra</w:t>
      </w:r>
      <w:r w:rsidR="00451308" w:rsidRPr="00612653">
        <w:rPr>
          <w:rFonts w:ascii="Book Antiqua" w:hAnsi="Book Antiqua"/>
          <w:sz w:val="24"/>
          <w:szCs w:val="24"/>
          <w:lang w:val="en-US"/>
        </w:rPr>
        <w:t>hepatic lipid</w:t>
      </w:r>
      <w:r w:rsidR="000566AF" w:rsidRPr="00612653">
        <w:rPr>
          <w:rFonts w:ascii="Book Antiqua" w:hAnsi="Book Antiqua"/>
          <w:sz w:val="24"/>
          <w:szCs w:val="24"/>
          <w:lang w:val="en-US"/>
        </w:rPr>
        <w:t>-</w:t>
      </w:r>
      <w:r w:rsidR="00397D45" w:rsidRPr="00612653">
        <w:rPr>
          <w:rFonts w:ascii="Book Antiqua" w:hAnsi="Book Antiqua"/>
          <w:sz w:val="24"/>
          <w:szCs w:val="24"/>
          <w:lang w:val="en-US"/>
        </w:rPr>
        <w:t>lowering effect</w:t>
      </w:r>
      <w:r w:rsidR="000D2DA5" w:rsidRPr="00612653">
        <w:rPr>
          <w:rFonts w:ascii="Book Antiqua" w:hAnsi="Book Antiqua"/>
          <w:sz w:val="24"/>
          <w:szCs w:val="24"/>
          <w:lang w:val="en-US"/>
        </w:rPr>
        <w:t>s</w:t>
      </w:r>
      <w:r w:rsidR="00397D45" w:rsidRPr="00612653">
        <w:rPr>
          <w:rFonts w:ascii="Book Antiqua" w:hAnsi="Book Antiqua"/>
          <w:sz w:val="24"/>
          <w:szCs w:val="24"/>
          <w:lang w:val="en-US"/>
        </w:rPr>
        <w:t xml:space="preserve"> of liraglutide </w:t>
      </w:r>
      <w:r w:rsidR="000D2DA5" w:rsidRPr="00612653">
        <w:rPr>
          <w:rFonts w:ascii="Book Antiqua" w:hAnsi="Book Antiqua"/>
          <w:sz w:val="24"/>
          <w:szCs w:val="24"/>
          <w:lang w:val="en-US"/>
        </w:rPr>
        <w:t>are</w:t>
      </w:r>
      <w:r w:rsidR="00397D45" w:rsidRPr="00612653">
        <w:rPr>
          <w:rFonts w:ascii="Book Antiqua" w:hAnsi="Book Antiqua"/>
          <w:sz w:val="24"/>
          <w:szCs w:val="24"/>
          <w:lang w:val="en-US"/>
        </w:rPr>
        <w:t xml:space="preserve"> l</w:t>
      </w:r>
      <w:r w:rsidR="007E5495" w:rsidRPr="00612653">
        <w:rPr>
          <w:rFonts w:ascii="Book Antiqua" w:hAnsi="Book Antiqua"/>
          <w:sz w:val="24"/>
          <w:szCs w:val="24"/>
          <w:lang w:val="en-US"/>
        </w:rPr>
        <w:t xml:space="preserve">ikely </w:t>
      </w:r>
      <w:r w:rsidR="005B7117" w:rsidRPr="00612653">
        <w:rPr>
          <w:rFonts w:ascii="Book Antiqua" w:hAnsi="Book Antiqua"/>
          <w:sz w:val="24"/>
          <w:szCs w:val="24"/>
          <w:lang w:val="en-US"/>
        </w:rPr>
        <w:t xml:space="preserve">secondary to the </w:t>
      </w:r>
      <w:r w:rsidR="00397D45" w:rsidRPr="00612653">
        <w:rPr>
          <w:rFonts w:ascii="Book Antiqua" w:hAnsi="Book Antiqua"/>
          <w:sz w:val="24"/>
          <w:szCs w:val="24"/>
          <w:lang w:val="en-US"/>
        </w:rPr>
        <w:t xml:space="preserve">progressive </w:t>
      </w:r>
      <w:r w:rsidR="005B7117" w:rsidRPr="00612653">
        <w:rPr>
          <w:rFonts w:ascii="Book Antiqua" w:hAnsi="Book Antiqua"/>
          <w:sz w:val="24"/>
          <w:szCs w:val="24"/>
          <w:lang w:val="en-US"/>
        </w:rPr>
        <w:t xml:space="preserve">weight loss promoted by </w:t>
      </w:r>
      <w:r w:rsidR="00F90D0A" w:rsidRPr="00612653">
        <w:rPr>
          <w:rFonts w:ascii="Book Antiqua" w:hAnsi="Book Antiqua"/>
          <w:sz w:val="24"/>
          <w:szCs w:val="24"/>
          <w:lang w:val="en-US"/>
        </w:rPr>
        <w:t xml:space="preserve">the </w:t>
      </w:r>
      <w:r w:rsidR="00830F02" w:rsidRPr="00612653">
        <w:rPr>
          <w:rFonts w:ascii="Book Antiqua" w:hAnsi="Book Antiqua"/>
          <w:sz w:val="24"/>
          <w:szCs w:val="24"/>
          <w:lang w:val="en-US"/>
        </w:rPr>
        <w:t xml:space="preserve">GLP-1 </w:t>
      </w:r>
      <w:r w:rsidR="00F90D0A" w:rsidRPr="00612653">
        <w:rPr>
          <w:rFonts w:ascii="Book Antiqua" w:hAnsi="Book Antiqua"/>
          <w:sz w:val="24"/>
          <w:szCs w:val="24"/>
          <w:lang w:val="en-US"/>
        </w:rPr>
        <w:t>agonist</w:t>
      </w:r>
      <w:r w:rsidR="00DE1970" w:rsidRPr="00612653">
        <w:rPr>
          <w:rFonts w:ascii="Book Antiqua" w:hAnsi="Book Antiqua"/>
          <w:sz w:val="24"/>
          <w:szCs w:val="24"/>
        </w:rPr>
        <w:fldChar w:fldCharType="begin" w:fldLock="1"/>
      </w:r>
      <w:r w:rsidR="00C5337D" w:rsidRPr="00612653">
        <w:rPr>
          <w:rFonts w:ascii="Book Antiqua" w:hAnsi="Book Antiqua"/>
          <w:sz w:val="24"/>
          <w:szCs w:val="24"/>
          <w:lang w:val="en-US"/>
        </w:rPr>
        <w:instrText>ADDIN CSL_CITATION { "citationItems" : [ { "id" : "ITEM-1", "itemData" : { "DOI" : "10.1152/ajpregu.00520.2015", "ISSN" : "0363-6119", "PMID" : "27030669", "abstract" : "Glucagon-like peptide-1 (GLP-1) is currently one of the most promising biological systems for the development of effective obesity pharmacotherapies. Long-acting GLP-1 analogs potently reduce food intake and body weight, and recent discoveries reveal that peripheral administration of these drugs reduces food intake largely through humoral pathways involving direct action on brain GLP-1 receptors (GLP-1R). Thus, it is of critical importance to understand the neural systems through which GLP-1 and long-acting GLP-1 analogs reduce food intake and body weight. In this review, we discuss several neural, physiological, cellular and molecular, as well as behavioral mechanisms through which peripheral and central GLP-1R signaling reduces feeding. Particular attention is devoted to discussion regarding the numerous neural substrates through which GLP-1 and GLP-1 analogs act to reduce food intake and body weight, including various hypothalamic nuclei (arcuate nucleus of the hypothalamus, periventricular hypothalamus, lateral hypothalamic area), hindbrain nuclei (parabrachial nucleus, medial nucleus tractus solitarius), hippocampus (ventral subregion; vHP), and nuclei embedded within the mesolimbic reward circuitry [ventral tegmental area (VTA) and nucleus accumbens (NAc)]. In some of these nuclei [VTA, NAc, and vHP], GLP-1R activation reduces food intake and body weight without concomitant nausea responses, suggesting that targeting these specific pathways may be of particular interest for future obesity pharmacotherapy. The widely distributed neural systems through which GLP-1 and GLP-1 analogs act to reduce body weight highlight the complexity of the neural systems regulating energy balance, as well as the challenges for developing effective obesity pharmacotherapies that reduce feeding without producing parallel negative side effects.", "author" : [ { "dropping-particle" : "", "family" : "Kanoski", "given" : "Scott E.", "non-dropping-particle" : "", "parse-names" : false, "suffix" : "" }, { "dropping-particle" : "", "family" : "Hayes", "given" : "Matthew R.", "non-dropping-particle" : "", "parse-names" : false, "suffix" : "" }, { "dropping-particle" : "", "family" : "Skibicka", "given" : "Karolina P.", "non-dropping-particle" : "", "parse-names" : false, "suffix" : "" } ], "container-title" : "American Journal of Physiology - Regulatory, Integrative and Comparative Physiology", "id" : "ITEM-1", "issue" : "10", "issued" : { "date-parts" : [ [ "2016", "5", "15" ] ] }, "page" : "R885-R895", "title" : "GLP-1 and weight loss: unraveling the diverse neural circuitry", "type" : "article-journal", "volume" : "310" }, "uris" : [ "http://www.mendeley.com/documents/?uuid=e437bf96-7719-3049-adbc-d6b499131164" ] } ], "mendeley" : { "formattedCitation" : "&lt;sup&gt;[49]&lt;/sup&gt;", "plainTextFormattedCitation" : "[49]", "previouslyFormattedCitation" : "&lt;sup&gt;[49]&lt;/sup&gt;" }, "properties" : { "noteIndex" : 0 }, "schema" : "https://github.com/citation-style-language/schema/raw/master/csl-citation.json" }</w:instrText>
      </w:r>
      <w:r w:rsidR="00DE1970" w:rsidRPr="00612653">
        <w:rPr>
          <w:rFonts w:ascii="Book Antiqua" w:hAnsi="Book Antiqua"/>
          <w:sz w:val="24"/>
          <w:szCs w:val="24"/>
          <w:vertAlign w:val="superscript"/>
          <w:lang w:val="en-US"/>
        </w:rPr>
        <w:fldChar w:fldCharType="separate"/>
      </w:r>
      <w:r w:rsidR="00C5337D" w:rsidRPr="00612653">
        <w:rPr>
          <w:rFonts w:ascii="Book Antiqua" w:hAnsi="Book Antiqua"/>
          <w:noProof/>
          <w:sz w:val="24"/>
          <w:szCs w:val="24"/>
          <w:vertAlign w:val="superscript"/>
          <w:lang w:val="en-US"/>
        </w:rPr>
        <w:t>[49]</w:t>
      </w:r>
      <w:r w:rsidR="00DE1970" w:rsidRPr="00612653">
        <w:rPr>
          <w:rFonts w:ascii="Book Antiqua" w:hAnsi="Book Antiqua"/>
          <w:sz w:val="24"/>
          <w:szCs w:val="24"/>
        </w:rPr>
        <w:fldChar w:fldCharType="end"/>
      </w:r>
      <w:r w:rsidR="005B7117" w:rsidRPr="00612653">
        <w:rPr>
          <w:rFonts w:ascii="Book Antiqua" w:hAnsi="Book Antiqua"/>
          <w:sz w:val="24"/>
          <w:szCs w:val="24"/>
          <w:lang w:val="en-US"/>
        </w:rPr>
        <w:t xml:space="preserve">. </w:t>
      </w:r>
      <w:r w:rsidR="000D2DA5" w:rsidRPr="00612653">
        <w:rPr>
          <w:rFonts w:ascii="Book Antiqua" w:hAnsi="Book Antiqua"/>
          <w:sz w:val="24"/>
          <w:szCs w:val="24"/>
          <w:lang w:val="en-US"/>
        </w:rPr>
        <w:t xml:space="preserve">This is relevant, as weight loss </w:t>
      </w:r>
      <w:r w:rsidR="000D2DA5" w:rsidRPr="00612653">
        <w:rPr>
          <w:rFonts w:ascii="Book Antiqua" w:hAnsi="Book Antiqua"/>
          <w:i/>
          <w:sz w:val="24"/>
          <w:szCs w:val="24"/>
          <w:lang w:val="en-US"/>
        </w:rPr>
        <w:t>per se</w:t>
      </w:r>
      <w:r w:rsidR="000D2DA5" w:rsidRPr="00612653">
        <w:rPr>
          <w:rFonts w:ascii="Book Antiqua" w:hAnsi="Book Antiqua"/>
          <w:sz w:val="24"/>
          <w:szCs w:val="24"/>
          <w:lang w:val="en-US"/>
        </w:rPr>
        <w:t xml:space="preserve"> is known to mediate benefits on NAFLD endpoints</w:t>
      </w:r>
      <w:r w:rsidR="000D2DA5" w:rsidRPr="00612653">
        <w:rPr>
          <w:rFonts w:ascii="Book Antiqua" w:hAnsi="Book Antiqua"/>
          <w:sz w:val="24"/>
          <w:szCs w:val="24"/>
          <w:lang w:val="en-US"/>
        </w:rPr>
        <w:fldChar w:fldCharType="begin" w:fldLock="1"/>
      </w:r>
      <w:r w:rsidR="00C5337D" w:rsidRPr="00612653">
        <w:rPr>
          <w:rFonts w:ascii="Book Antiqua" w:hAnsi="Book Antiqua"/>
          <w:sz w:val="24"/>
          <w:szCs w:val="24"/>
          <w:lang w:val="en-US"/>
        </w:rPr>
        <w:instrText>ADDIN CSL_CITATION { "citationItems" : [ { "id" : "ITEM-1", "itemData" : { "DOI" : "10.1016/j.cgh.2014.08.039", "ISSN" : "1542-7714", "PMID" : "25218667", "abstract" : "BACKGROUND &amp; AIMS Little is known about how weight loss affects magnetic resonance imaging (MRI) of liver fat and volume or liver histology in patients with nonalcoholic steatohepatitis (NASH). We measured changes in liver fat and liver volume associated with weight loss by using an advanced MRI method. METHODS We analyzed data collected from a previous randomized controlled trial in which 43 adult patients with biopsy-proven NASH underwent clinical evaluation, biochemical tests, and MRI and liver biopsy analyses at the start of the study and after 24 weeks. We compared data between patients who did and did not have at least 5% decrease in body mass index (BMI) during the study period. RESULTS Ten of 43 patients had at least a 5% decrease in BMI during the study period. These patients had a significant decrease in liver fat, which was based on MRI proton density fat fraction estimates (18.3% \u00b1 7.6% to 13.6% \u00b1 13.6%, P\u00a0= .03), a relative 25.5% reduction. They also had a significant decrease in liver volume (5.3%). However, no significant changes in levels of alanine aminotransferase or aspartate aminotransferase were observed with weight loss. Thirty-three patients without at least 5% decrease in BMI had insignificant increases in estimated liver fat fraction and liver volume. CONCLUSIONS A reduction in BMI of at least 5% is associated with significant decrease in liver fat and volume in patients with biopsy-proven NASH. These data should be considered in assessing effect size in studies of patients with nonalcoholic fatty liver disease or obesity that use MRI-estimated liver fat and volume as end points.", "author" : [ { "dropping-particle" : "", "family" : "Patel", "given" : "Niraj S", "non-dropping-particle" : "", "parse-names" : false, "suffix" : "" }, { "dropping-particle" : "", "family" : "Doycheva", "given" : "Iliana", "non-dropping-particle" : "", "parse-names" : false, "suffix" : "" }, { "dropping-particle" : "", "family" : "Peterson", "given" : "Michael R", "non-dropping-particle" : "", "parse-names" : false, "suffix" : "" }, { "dropping-particle" : "", "family" : "Hooker", "given" : "Jonathan", "non-dropping-particle" : "", "parse-names" : false, "suffix" : "" }, { "dropping-particle" : "", "family" : "Kisselva", "given" : "Tatiana", "non-dropping-particle" : "", "parse-names" : false, "suffix" : "" }, { "dropping-particle" : "", "family" : "Schnabl", "given" : "Bernd", "non-dropping-particle" : "", "parse-names" : false, "suffix" : "" }, { "dropping-particle" : "", "family" : "Seki", "given" : "Ekihiro", "non-dropping-particle" : "", "parse-names" : false, "suffix" : "" }, { "dropping-particle" : "", "family" : "Sirlin", "given" : "Claude B", "non-dropping-particle" : "", "parse-names" : false, "suffix" : "" }, { "dropping-particle" : "", "family" : "Loomba", "given" : "Rohit", "non-dropping-particle" : "", "parse-names" : false, "suffix" : "" } ], "container-title" : "Clinical gastroenterology and hepatology : the official clinical practice journal of the American Gastroenterological Association", "id" : "ITEM-1", "issue" : "3", "issued" : { "date-parts" : [ [ "2015", "3" ] ] }, "page" : "561-568.e1", "title" : "Effect of weight loss on magnetic resonance imaging estimation of liver fat and volume in patients with nonalcoholic steatohepatitis.", "type" : "article-journal", "volume" : "13" }, "uris" : [ "http://www.mendeley.com/documents/?uuid=dfe56b8a-70b2-35ea-8455-d7e5b73727a5", "http://www.mendeley.com/documents/?uuid=a74a7395-4d43-48c4-bc6f-bdefeb54d0b6" ] } ], "mendeley" : { "formattedCitation" : "&lt;sup&gt;[50]&lt;/sup&gt;", "plainTextFormattedCitation" : "[50]", "previouslyFormattedCitation" : "&lt;sup&gt;[50]&lt;/sup&gt;" }, "properties" : { "noteIndex" : 0 }, "schema" : "https://github.com/citation-style-language/schema/raw/master/csl-citation.json" }</w:instrText>
      </w:r>
      <w:r w:rsidR="000D2DA5"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[50]</w:t>
      </w:r>
      <w:r w:rsidR="000D2DA5" w:rsidRPr="00612653">
        <w:rPr>
          <w:rFonts w:ascii="Book Antiqua" w:hAnsi="Book Antiqua"/>
          <w:sz w:val="24"/>
          <w:szCs w:val="24"/>
          <w:lang w:val="en-US"/>
        </w:rPr>
        <w:fldChar w:fldCharType="end"/>
      </w:r>
      <w:r w:rsidR="000D2DA5" w:rsidRPr="00612653">
        <w:rPr>
          <w:rFonts w:ascii="Book Antiqua" w:hAnsi="Book Antiqua"/>
          <w:sz w:val="24"/>
          <w:szCs w:val="24"/>
          <w:lang w:val="en-US"/>
        </w:rPr>
        <w:t xml:space="preserve">. </w:t>
      </w:r>
      <w:r w:rsidR="00C45F97" w:rsidRPr="00612653">
        <w:rPr>
          <w:rFonts w:ascii="Book Antiqua" w:hAnsi="Book Antiqua"/>
          <w:sz w:val="24"/>
          <w:szCs w:val="24"/>
          <w:lang w:val="en-US"/>
        </w:rPr>
        <w:t xml:space="preserve">The </w:t>
      </w:r>
      <w:r w:rsidRPr="00612653">
        <w:rPr>
          <w:rFonts w:ascii="Book Antiqua" w:hAnsi="Book Antiqua"/>
          <w:sz w:val="24"/>
          <w:szCs w:val="24"/>
          <w:lang w:val="en-US"/>
        </w:rPr>
        <w:t xml:space="preserve">present </w:t>
      </w:r>
      <w:r w:rsidR="00C45F97" w:rsidRPr="00612653">
        <w:rPr>
          <w:rFonts w:ascii="Book Antiqua" w:hAnsi="Book Antiqua"/>
          <w:sz w:val="24"/>
          <w:szCs w:val="24"/>
          <w:lang w:val="en-US"/>
        </w:rPr>
        <w:t xml:space="preserve">findings are </w:t>
      </w:r>
      <w:r w:rsidRPr="00612653">
        <w:rPr>
          <w:rFonts w:ascii="Book Antiqua" w:hAnsi="Book Antiqua"/>
          <w:sz w:val="24"/>
          <w:szCs w:val="24"/>
          <w:lang w:val="en-US"/>
        </w:rPr>
        <w:t xml:space="preserve">also </w:t>
      </w:r>
      <w:r w:rsidR="00C45F97" w:rsidRPr="00612653">
        <w:rPr>
          <w:rFonts w:ascii="Book Antiqua" w:hAnsi="Book Antiqua"/>
          <w:sz w:val="24"/>
          <w:szCs w:val="24"/>
          <w:lang w:val="en-US"/>
        </w:rPr>
        <w:t xml:space="preserve">in agreement with a previous study assessing the effect of </w:t>
      </w:r>
      <w:r w:rsidR="005B7117" w:rsidRPr="00612653">
        <w:rPr>
          <w:rFonts w:ascii="Book Antiqua" w:hAnsi="Book Antiqua"/>
          <w:sz w:val="24"/>
          <w:szCs w:val="24"/>
          <w:lang w:val="en-US"/>
        </w:rPr>
        <w:t>an exendin-4 analogue</w:t>
      </w:r>
      <w:r w:rsidR="00D4431B" w:rsidRPr="00612653">
        <w:rPr>
          <w:rFonts w:ascii="Book Antiqua" w:hAnsi="Book Antiqua"/>
          <w:sz w:val="24"/>
          <w:szCs w:val="24"/>
          <w:lang w:val="en-US"/>
        </w:rPr>
        <w:t xml:space="preserve"> in</w:t>
      </w:r>
      <w:r w:rsidR="005B7117" w:rsidRPr="00612653">
        <w:rPr>
          <w:rFonts w:ascii="Book Antiqua" w:hAnsi="Book Antiqua"/>
          <w:sz w:val="24"/>
          <w:szCs w:val="24"/>
          <w:lang w:val="en-US"/>
        </w:rPr>
        <w:t xml:space="preserve"> </w:t>
      </w:r>
      <w:r w:rsidR="00A353CD" w:rsidRPr="00612653">
        <w:rPr>
          <w:rFonts w:ascii="Book Antiqua" w:hAnsi="Book Antiqua"/>
          <w:i/>
          <w:iCs/>
          <w:sz w:val="24"/>
          <w:szCs w:val="24"/>
          <w:lang w:val="en-US"/>
        </w:rPr>
        <w:t>ob/ob</w:t>
      </w:r>
      <w:r w:rsidR="00A353CD" w:rsidRPr="00612653">
        <w:rPr>
          <w:rFonts w:ascii="Book Antiqua" w:hAnsi="Book Antiqua"/>
          <w:sz w:val="24"/>
          <w:szCs w:val="24"/>
          <w:lang w:val="en-US"/>
        </w:rPr>
        <w:t>-NASH mice</w:t>
      </w:r>
      <w:r w:rsidR="007E5495" w:rsidRPr="00612653">
        <w:rPr>
          <w:rFonts w:ascii="Book Antiqua" w:hAnsi="Book Antiqua"/>
          <w:sz w:val="24"/>
          <w:szCs w:val="24"/>
        </w:rPr>
        <w:fldChar w:fldCharType="begin" w:fldLock="1"/>
      </w:r>
      <w:r w:rsidR="00193B67" w:rsidRPr="00612653">
        <w:rPr>
          <w:rFonts w:ascii="Book Antiqua" w:hAnsi="Book Antiqua"/>
          <w:sz w:val="24"/>
          <w:szCs w:val="24"/>
          <w:lang w:val="en-US"/>
        </w:rPr>
        <w:instrText>ADDIN CSL_CITATION { "citationItems" : [ { "id" : "ITEM-1", "itemData" : { "DOI" : "10.1152/ajpgi.00476.2011", "ISSN" : "0193-1857", "PMID" : "22268099", "abstract" : "These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 "author" : [ { "dropping-particle" : "", "family" : "Trevaskis", "given" : "J. L.", "non-dropping-particle" : "", "parse-names" : false, "suffix" : "" }, { "dropping-particle" : "", "family" : "Griffin", "given" : "P. S.", "non-dropping-particle" : "", "parse-names" : false, "suffix" : "" }, { "dropping-particle" : "", "family" : "Wittmer", "given" : "C.", "non-dropping-particle" : "", "parse-names" : false, "suffix" : "" }, { "dropping-particle" : "", "family" : "Neuschwander-Tetri", "given" : "B. A.", "non-dropping-particle" : "", "parse-names" : false, "suffix" : "" }, { "dropping-particle" : "", "family" : "Brunt", "given" : "E. M.", "non-dropping-particle" : "", "parse-names" : false, "suffix" : "" }, { "dropping-particle" : "", "family" : "Dolman", "given" : "C. S.", "non-dropping-particle" : "", "parse-names" : false, "suffix" : "" }, { "dropping-particle" : "", "family" : "Erickson", "given" : "M. R.", "non-dropping-particle" : "", "parse-names" : false, "suffix" : "" }, { "dropping-particle" : "", "family" : "Napora", "given" : "J.", "non-dropping-particle" : "", "parse-names" : false, "suffix" : "" }, { "dropping-particle" : "", "family" : "Parkes", "given" : "D. G.", "non-dropping-particle" : "", "parse-names" : false, "suffix" : "" }, { "dropping-particle" : "", "family" : "Roth", "given" : "J. D.", "non-dropping-particle" : "", "parse-names" : false, "suffix" : "" } ], "container-title" : "AJP: Gastrointestinal and Liver Physiology", "id" : "ITEM-1", "issue" : "8", "issued" : { "date-parts" : [ [ "2012", "4", "1" ] ] }, "page" : "G762-G772", "title" : "Glucagon-like peptide-1 receptor agonism improves metabolic, biochemical, and histopathological indices of nonalcoholic steatohepatitis in mice", "type" : "article-journal", "volume" : "302" }, "uris" : [ "http://www.mendeley.com/documents/?uuid=64b2a52f-d879-3106-88dc-e74d1e6a88cb" ] } ], "mendeley" : { "formattedCitation" : "&lt;sup&gt;[10]&lt;/sup&gt;", "plainTextFormattedCitation" : "[10]", "previouslyFormattedCitation" : "&lt;sup&gt;[10]&lt;/sup&gt;" }, "properties" : { "noteIndex" : 0 }, "schema" : "https://github.com/citation-style-language/schema/raw/master/csl-citation.json" }</w:instrText>
      </w:r>
      <w:r w:rsidR="007E5495" w:rsidRPr="00612653">
        <w:rPr>
          <w:rFonts w:ascii="Book Antiqua" w:hAnsi="Book Antiqua"/>
          <w:sz w:val="24"/>
          <w:szCs w:val="24"/>
          <w:lang w:val="en-US"/>
        </w:rPr>
        <w:fldChar w:fldCharType="separate"/>
      </w:r>
      <w:r w:rsidR="00193B67" w:rsidRPr="00612653">
        <w:rPr>
          <w:rFonts w:ascii="Book Antiqua" w:hAnsi="Book Antiqua"/>
          <w:noProof/>
          <w:sz w:val="24"/>
          <w:szCs w:val="24"/>
          <w:vertAlign w:val="superscript"/>
          <w:lang w:val="en-US"/>
        </w:rPr>
        <w:t>[10]</w:t>
      </w:r>
      <w:r w:rsidR="007E5495" w:rsidRPr="00612653">
        <w:rPr>
          <w:rFonts w:ascii="Book Antiqua" w:hAnsi="Book Antiqua"/>
          <w:sz w:val="24"/>
          <w:szCs w:val="24"/>
        </w:rPr>
        <w:fldChar w:fldCharType="end"/>
      </w:r>
      <w:r w:rsidR="007E5495" w:rsidRPr="00612653">
        <w:rPr>
          <w:rFonts w:ascii="Book Antiqua" w:hAnsi="Book Antiqua"/>
          <w:sz w:val="24"/>
          <w:szCs w:val="24"/>
          <w:lang w:val="en-US"/>
        </w:rPr>
        <w:t xml:space="preserve">. </w:t>
      </w:r>
      <w:r w:rsidR="000D2DA5" w:rsidRPr="00612653">
        <w:rPr>
          <w:rFonts w:ascii="Book Antiqua" w:hAnsi="Book Antiqua"/>
          <w:sz w:val="24"/>
          <w:szCs w:val="24"/>
          <w:lang w:val="en-US"/>
        </w:rPr>
        <w:t xml:space="preserve">Liraglutide showed most marked effects </w:t>
      </w:r>
      <w:r w:rsidRPr="00612653">
        <w:rPr>
          <w:rFonts w:ascii="Book Antiqua" w:hAnsi="Book Antiqua"/>
          <w:sz w:val="24"/>
          <w:szCs w:val="24"/>
          <w:lang w:val="en-US"/>
        </w:rPr>
        <w:t xml:space="preserve">on </w:t>
      </w:r>
      <w:r w:rsidR="000D2DA5" w:rsidRPr="00612653">
        <w:rPr>
          <w:rFonts w:ascii="Book Antiqua" w:hAnsi="Book Antiqua"/>
          <w:sz w:val="24"/>
          <w:szCs w:val="24"/>
          <w:lang w:val="en-US"/>
        </w:rPr>
        <w:t xml:space="preserve">hepatic gene transcriptional signatures associated to the canonical effects of GLP-1 receptor agonists on hepatic glucose metabolism and production. The liver transcriptome analyses in DIO-NASH mice also suggested that liraglutide-induced improvements in lipid metabolism was linked to activation of signaling pathways involved in fatty acid degradation, oxidative phosphorylation and cholesterol handling. Perturbations in these signaling pathways could </w:t>
      </w:r>
      <w:r w:rsidR="00B2451D" w:rsidRPr="00612653">
        <w:rPr>
          <w:rFonts w:ascii="Book Antiqua" w:hAnsi="Book Antiqua"/>
          <w:sz w:val="24"/>
          <w:szCs w:val="24"/>
          <w:lang w:val="en-US"/>
        </w:rPr>
        <w:t xml:space="preserve">therefore </w:t>
      </w:r>
      <w:r w:rsidR="000D2DA5" w:rsidRPr="00612653">
        <w:rPr>
          <w:rFonts w:ascii="Book Antiqua" w:hAnsi="Book Antiqua"/>
          <w:sz w:val="24"/>
          <w:szCs w:val="24"/>
          <w:lang w:val="en-US"/>
        </w:rPr>
        <w:t>potentially trigger</w:t>
      </w:r>
      <w:r w:rsidR="003629B8" w:rsidRPr="00612653">
        <w:rPr>
          <w:rFonts w:ascii="Book Antiqua" w:hAnsi="Book Antiqua"/>
          <w:sz w:val="24"/>
          <w:szCs w:val="24"/>
          <w:lang w:val="en-US"/>
        </w:rPr>
        <w:t xml:space="preserve"> </w:t>
      </w:r>
      <w:r w:rsidR="000D2DA5" w:rsidRPr="00612653">
        <w:rPr>
          <w:rFonts w:ascii="Book Antiqua" w:hAnsi="Book Antiqua"/>
          <w:sz w:val="24"/>
          <w:szCs w:val="24"/>
          <w:lang w:val="en-US"/>
        </w:rPr>
        <w:t>gene expression program</w:t>
      </w:r>
      <w:r w:rsidR="003629B8" w:rsidRPr="00612653">
        <w:rPr>
          <w:rFonts w:ascii="Book Antiqua" w:hAnsi="Book Antiqua"/>
          <w:sz w:val="24"/>
          <w:szCs w:val="24"/>
          <w:lang w:val="en-US"/>
        </w:rPr>
        <w:t>s</w:t>
      </w:r>
      <w:r w:rsidR="000D2DA5" w:rsidRPr="00612653">
        <w:rPr>
          <w:rFonts w:ascii="Book Antiqua" w:hAnsi="Book Antiqua"/>
          <w:sz w:val="24"/>
          <w:szCs w:val="24"/>
          <w:lang w:val="en-US"/>
        </w:rPr>
        <w:t xml:space="preserve"> </w:t>
      </w:r>
      <w:r w:rsidR="003629B8" w:rsidRPr="00612653">
        <w:rPr>
          <w:rFonts w:ascii="Book Antiqua" w:hAnsi="Book Antiqua"/>
          <w:sz w:val="24"/>
          <w:szCs w:val="24"/>
          <w:lang w:val="en-US"/>
        </w:rPr>
        <w:t>that</w:t>
      </w:r>
      <w:r w:rsidR="000D2DA5" w:rsidRPr="00612653">
        <w:rPr>
          <w:rFonts w:ascii="Book Antiqua" w:hAnsi="Book Antiqua"/>
          <w:sz w:val="24"/>
          <w:szCs w:val="24"/>
          <w:lang w:val="en-US"/>
        </w:rPr>
        <w:t xml:space="preserve"> favor</w:t>
      </w:r>
      <w:r w:rsidR="00B2451D" w:rsidRPr="00612653">
        <w:rPr>
          <w:rFonts w:ascii="Book Antiqua" w:hAnsi="Book Antiqua"/>
          <w:sz w:val="24"/>
          <w:szCs w:val="24"/>
          <w:lang w:val="en-US"/>
        </w:rPr>
        <w:t>ed</w:t>
      </w:r>
      <w:r w:rsidR="000D2DA5" w:rsidRPr="00612653">
        <w:rPr>
          <w:rFonts w:ascii="Book Antiqua" w:hAnsi="Book Antiqua"/>
          <w:sz w:val="24"/>
          <w:szCs w:val="24"/>
          <w:lang w:val="en-US"/>
        </w:rPr>
        <w:t xml:space="preserve"> reduc</w:t>
      </w:r>
      <w:r w:rsidR="006C5F5C" w:rsidRPr="00612653">
        <w:rPr>
          <w:rFonts w:ascii="Book Antiqua" w:hAnsi="Book Antiqua"/>
          <w:sz w:val="24"/>
          <w:szCs w:val="24"/>
          <w:lang w:val="en-US"/>
        </w:rPr>
        <w:t>ed</w:t>
      </w:r>
      <w:r w:rsidR="000D2DA5" w:rsidRPr="00612653">
        <w:rPr>
          <w:rFonts w:ascii="Book Antiqua" w:hAnsi="Book Antiqua"/>
          <w:sz w:val="24"/>
          <w:szCs w:val="24"/>
          <w:lang w:val="en-US"/>
        </w:rPr>
        <w:t xml:space="preserve"> hepatic free fatty acid uptake, as well as improving the clearance of </w:t>
      </w:r>
      <w:r w:rsidR="00B2451D" w:rsidRPr="00612653">
        <w:rPr>
          <w:rFonts w:ascii="Book Antiqua" w:hAnsi="Book Antiqua"/>
          <w:sz w:val="24"/>
          <w:szCs w:val="24"/>
          <w:lang w:val="en-US"/>
        </w:rPr>
        <w:t>cholesterol</w:t>
      </w:r>
      <w:r w:rsidR="000D2DA5" w:rsidRPr="00612653">
        <w:rPr>
          <w:rFonts w:ascii="Book Antiqua" w:hAnsi="Book Antiqua"/>
          <w:sz w:val="24"/>
          <w:szCs w:val="24"/>
          <w:lang w:val="en-US"/>
        </w:rPr>
        <w:t xml:space="preserve"> and fatty acids, all of which have been implicated in the pathogenesis of NASH. </w:t>
      </w:r>
      <w:r w:rsidR="001E7322" w:rsidRPr="00612653">
        <w:rPr>
          <w:rFonts w:ascii="Book Antiqua" w:hAnsi="Book Antiqua"/>
          <w:sz w:val="24"/>
          <w:szCs w:val="24"/>
          <w:lang w:val="en-US"/>
        </w:rPr>
        <w:t>In contrast to OCA and elafibranor, liraglutide did not improve</w:t>
      </w:r>
      <w:r w:rsidR="00F90D0A" w:rsidRPr="00612653">
        <w:rPr>
          <w:rFonts w:ascii="Book Antiqua" w:hAnsi="Book Antiqua"/>
          <w:sz w:val="24"/>
          <w:szCs w:val="24"/>
          <w:lang w:val="en-US"/>
        </w:rPr>
        <w:t xml:space="preserve"> </w:t>
      </w:r>
      <w:r w:rsidR="001424B5" w:rsidRPr="00612653">
        <w:rPr>
          <w:rFonts w:ascii="Book Antiqua" w:hAnsi="Book Antiqua"/>
          <w:sz w:val="24"/>
          <w:szCs w:val="24"/>
          <w:lang w:val="en-US"/>
        </w:rPr>
        <w:t xml:space="preserve">composite </w:t>
      </w:r>
      <w:r w:rsidR="00F90D0A" w:rsidRPr="00612653">
        <w:rPr>
          <w:rFonts w:ascii="Book Antiqua" w:hAnsi="Book Antiqua"/>
          <w:sz w:val="24"/>
          <w:szCs w:val="24"/>
          <w:lang w:val="en-US"/>
        </w:rPr>
        <w:t>NAS</w:t>
      </w:r>
      <w:r w:rsidRPr="00612653">
        <w:rPr>
          <w:rFonts w:ascii="Book Antiqua" w:hAnsi="Book Antiqua"/>
          <w:sz w:val="24"/>
          <w:szCs w:val="24"/>
          <w:lang w:val="en-US"/>
        </w:rPr>
        <w:t xml:space="preserve"> in </w:t>
      </w:r>
      <w:r w:rsidRPr="00612653">
        <w:rPr>
          <w:rFonts w:ascii="Book Antiqua" w:hAnsi="Book Antiqua"/>
          <w:i/>
          <w:sz w:val="24"/>
          <w:szCs w:val="24"/>
          <w:lang w:val="en-US"/>
        </w:rPr>
        <w:t>ob/ob</w:t>
      </w:r>
      <w:r w:rsidR="004C4A42" w:rsidRPr="00612653">
        <w:rPr>
          <w:rFonts w:ascii="Book Antiqua" w:hAnsi="Book Antiqua"/>
          <w:sz w:val="24"/>
          <w:szCs w:val="24"/>
          <w:lang w:val="en-US"/>
        </w:rPr>
        <w:t>-NASH</w:t>
      </w:r>
      <w:r w:rsidRPr="00612653">
        <w:rPr>
          <w:rFonts w:ascii="Book Antiqua" w:hAnsi="Book Antiqua"/>
          <w:sz w:val="24"/>
          <w:szCs w:val="24"/>
          <w:lang w:val="en-US"/>
        </w:rPr>
        <w:t xml:space="preserve"> mice</w:t>
      </w:r>
      <w:r w:rsidR="00F90D0A" w:rsidRPr="00612653">
        <w:rPr>
          <w:rFonts w:ascii="Book Antiqua" w:hAnsi="Book Antiqua"/>
          <w:sz w:val="24"/>
          <w:szCs w:val="24"/>
          <w:lang w:val="en-US"/>
        </w:rPr>
        <w:t xml:space="preserve">. </w:t>
      </w:r>
      <w:r w:rsidR="001E7322" w:rsidRPr="00612653">
        <w:rPr>
          <w:rFonts w:ascii="Book Antiqua" w:hAnsi="Book Antiqua"/>
          <w:sz w:val="24"/>
          <w:szCs w:val="24"/>
          <w:lang w:val="en-US"/>
        </w:rPr>
        <w:t>In addition, l</w:t>
      </w:r>
      <w:r w:rsidR="00923D83" w:rsidRPr="00612653">
        <w:rPr>
          <w:rFonts w:ascii="Book Antiqua" w:hAnsi="Book Antiqua"/>
          <w:sz w:val="24"/>
          <w:szCs w:val="24"/>
          <w:lang w:val="en-US"/>
        </w:rPr>
        <w:t>iraglutide</w:t>
      </w:r>
      <w:r w:rsidR="00922C47" w:rsidRPr="00612653">
        <w:rPr>
          <w:rFonts w:ascii="Book Antiqua" w:hAnsi="Book Antiqua"/>
          <w:sz w:val="24"/>
          <w:szCs w:val="24"/>
          <w:lang w:val="en-US"/>
        </w:rPr>
        <w:t xml:space="preserve"> treatment did not influence</w:t>
      </w:r>
      <w:r w:rsidR="00564557" w:rsidRPr="00612653">
        <w:rPr>
          <w:rFonts w:ascii="Book Antiqua" w:hAnsi="Book Antiqua"/>
          <w:sz w:val="24"/>
          <w:szCs w:val="24"/>
          <w:lang w:val="en-US"/>
        </w:rPr>
        <w:t xml:space="preserve"> fibrosis and</w:t>
      </w:r>
      <w:r w:rsidR="003232B5" w:rsidRPr="00612653">
        <w:rPr>
          <w:rFonts w:ascii="Book Antiqua" w:hAnsi="Book Antiqua"/>
          <w:sz w:val="24"/>
          <w:szCs w:val="24"/>
          <w:lang w:val="en-US"/>
        </w:rPr>
        <w:t xml:space="preserve"> </w:t>
      </w:r>
      <w:r w:rsidR="00216AB7" w:rsidRPr="00612653">
        <w:rPr>
          <w:rFonts w:ascii="Book Antiqua" w:hAnsi="Book Antiqua"/>
          <w:sz w:val="24"/>
          <w:szCs w:val="24"/>
          <w:lang w:val="en-US"/>
        </w:rPr>
        <w:t xml:space="preserve">low-grade </w:t>
      </w:r>
      <w:r w:rsidR="00923D83" w:rsidRPr="00612653">
        <w:rPr>
          <w:rFonts w:ascii="Book Antiqua" w:hAnsi="Book Antiqua"/>
          <w:sz w:val="24"/>
          <w:szCs w:val="24"/>
          <w:lang w:val="en-US"/>
        </w:rPr>
        <w:t>hepatocyte ballooning</w:t>
      </w:r>
      <w:r w:rsidR="00574F93" w:rsidRPr="00612653">
        <w:rPr>
          <w:rFonts w:ascii="Book Antiqua" w:hAnsi="Book Antiqua"/>
          <w:sz w:val="24"/>
          <w:szCs w:val="24"/>
          <w:lang w:val="en-US"/>
        </w:rPr>
        <w:t xml:space="preserve"> in either model, </w:t>
      </w:r>
      <w:r w:rsidR="00EF0EE1" w:rsidRPr="00612653">
        <w:rPr>
          <w:rFonts w:ascii="Book Antiqua" w:hAnsi="Book Antiqua"/>
          <w:sz w:val="24"/>
          <w:szCs w:val="24"/>
          <w:lang w:val="en-US"/>
        </w:rPr>
        <w:t>indicat</w:t>
      </w:r>
      <w:r w:rsidR="00574F93" w:rsidRPr="00612653">
        <w:rPr>
          <w:rFonts w:ascii="Book Antiqua" w:hAnsi="Book Antiqua"/>
          <w:sz w:val="24"/>
          <w:szCs w:val="24"/>
          <w:lang w:val="en-US"/>
        </w:rPr>
        <w:t>ing</w:t>
      </w:r>
      <w:r w:rsidR="00995862" w:rsidRPr="00612653">
        <w:rPr>
          <w:rFonts w:ascii="Book Antiqua" w:hAnsi="Book Antiqua"/>
          <w:sz w:val="24"/>
          <w:szCs w:val="24"/>
          <w:lang w:val="en-US"/>
        </w:rPr>
        <w:t xml:space="preserve"> that GLP-1 receptor mediated amelioration of hepatic lipid overload was</w:t>
      </w:r>
      <w:r w:rsidR="00E40AFF" w:rsidRPr="00612653">
        <w:rPr>
          <w:rFonts w:ascii="Book Antiqua" w:hAnsi="Book Antiqua"/>
          <w:sz w:val="24"/>
          <w:szCs w:val="24"/>
          <w:lang w:val="en-US"/>
        </w:rPr>
        <w:t xml:space="preserve"> perhaps</w:t>
      </w:r>
      <w:r w:rsidR="00995862" w:rsidRPr="00612653">
        <w:rPr>
          <w:rFonts w:ascii="Book Antiqua" w:hAnsi="Book Antiqua"/>
          <w:sz w:val="24"/>
          <w:szCs w:val="24"/>
          <w:lang w:val="en-US"/>
        </w:rPr>
        <w:t xml:space="preserve"> not sufficient to </w:t>
      </w:r>
      <w:r w:rsidR="00406D91" w:rsidRPr="00612653">
        <w:rPr>
          <w:rFonts w:ascii="Book Antiqua" w:hAnsi="Book Antiqua"/>
          <w:sz w:val="24"/>
          <w:szCs w:val="24"/>
          <w:lang w:val="en-US"/>
        </w:rPr>
        <w:t>reduce</w:t>
      </w:r>
      <w:r w:rsidR="00995862" w:rsidRPr="00612653">
        <w:rPr>
          <w:rFonts w:ascii="Book Antiqua" w:hAnsi="Book Antiqua"/>
          <w:sz w:val="24"/>
          <w:szCs w:val="24"/>
          <w:lang w:val="en-US"/>
        </w:rPr>
        <w:t xml:space="preserve"> </w:t>
      </w:r>
      <w:r w:rsidR="00216AB7" w:rsidRPr="00612653">
        <w:rPr>
          <w:rFonts w:ascii="Book Antiqua" w:hAnsi="Book Antiqua"/>
          <w:sz w:val="24"/>
          <w:szCs w:val="24"/>
          <w:lang w:val="en-US"/>
        </w:rPr>
        <w:t xml:space="preserve">morphological </w:t>
      </w:r>
      <w:r w:rsidR="00EF0EE1" w:rsidRPr="00612653">
        <w:rPr>
          <w:rFonts w:ascii="Book Antiqua" w:hAnsi="Book Antiqua"/>
          <w:sz w:val="24"/>
          <w:szCs w:val="24"/>
          <w:lang w:val="en-US"/>
        </w:rPr>
        <w:t xml:space="preserve">indices of more </w:t>
      </w:r>
      <w:r w:rsidR="00270BA4" w:rsidRPr="00612653">
        <w:rPr>
          <w:rFonts w:ascii="Book Antiqua" w:hAnsi="Book Antiqua"/>
          <w:sz w:val="24"/>
          <w:szCs w:val="24"/>
          <w:lang w:val="en-US"/>
        </w:rPr>
        <w:t xml:space="preserve">advanced </w:t>
      </w:r>
      <w:r w:rsidR="00216AB7" w:rsidRPr="00612653">
        <w:rPr>
          <w:rFonts w:ascii="Book Antiqua" w:hAnsi="Book Antiqua"/>
          <w:sz w:val="24"/>
          <w:szCs w:val="24"/>
          <w:lang w:val="en-US"/>
        </w:rPr>
        <w:t>N</w:t>
      </w:r>
      <w:r w:rsidR="00601B84" w:rsidRPr="00612653">
        <w:rPr>
          <w:rFonts w:ascii="Book Antiqua" w:hAnsi="Book Antiqua"/>
          <w:sz w:val="24"/>
          <w:szCs w:val="24"/>
          <w:lang w:val="en-US"/>
        </w:rPr>
        <w:t>A</w:t>
      </w:r>
      <w:r w:rsidR="00BD7099" w:rsidRPr="00612653">
        <w:rPr>
          <w:rFonts w:ascii="Book Antiqua" w:hAnsi="Book Antiqua"/>
          <w:sz w:val="24"/>
          <w:szCs w:val="24"/>
          <w:lang w:val="en-US"/>
        </w:rPr>
        <w:t>SH</w:t>
      </w:r>
      <w:r w:rsidR="00601B84" w:rsidRPr="00612653">
        <w:rPr>
          <w:rFonts w:ascii="Book Antiqua" w:hAnsi="Book Antiqua"/>
          <w:sz w:val="24"/>
          <w:szCs w:val="24"/>
          <w:lang w:val="en-US"/>
        </w:rPr>
        <w:t xml:space="preserve">. </w:t>
      </w:r>
      <w:r w:rsidR="00270BA4" w:rsidRPr="00612653">
        <w:rPr>
          <w:rFonts w:ascii="Book Antiqua" w:hAnsi="Book Antiqua"/>
          <w:sz w:val="24"/>
          <w:szCs w:val="24"/>
          <w:lang w:val="en-US"/>
        </w:rPr>
        <w:t xml:space="preserve">In contrast, </w:t>
      </w:r>
      <w:r w:rsidR="003670EC" w:rsidRPr="00612653">
        <w:rPr>
          <w:rFonts w:ascii="Book Antiqua" w:hAnsi="Book Antiqua"/>
          <w:sz w:val="24"/>
          <w:szCs w:val="24"/>
          <w:lang w:val="en-US"/>
        </w:rPr>
        <w:t xml:space="preserve">total </w:t>
      </w:r>
      <w:r w:rsidR="00270BA4" w:rsidRPr="00612653">
        <w:rPr>
          <w:rFonts w:ascii="Book Antiqua" w:hAnsi="Book Antiqua"/>
          <w:sz w:val="24"/>
          <w:szCs w:val="24"/>
          <w:lang w:val="en-US"/>
        </w:rPr>
        <w:t>h</w:t>
      </w:r>
      <w:r w:rsidR="00995862" w:rsidRPr="00612653">
        <w:rPr>
          <w:rFonts w:ascii="Book Antiqua" w:hAnsi="Book Antiqua"/>
          <w:sz w:val="24"/>
          <w:szCs w:val="24"/>
          <w:lang w:val="en-US"/>
        </w:rPr>
        <w:t>epatic galec</w:t>
      </w:r>
      <w:r w:rsidR="001E7322" w:rsidRPr="00612653">
        <w:rPr>
          <w:rFonts w:ascii="Book Antiqua" w:hAnsi="Book Antiqua"/>
          <w:sz w:val="24"/>
          <w:szCs w:val="24"/>
          <w:lang w:val="en-US"/>
        </w:rPr>
        <w:t>tin-3 and C</w:t>
      </w:r>
      <w:r w:rsidR="00995862" w:rsidRPr="00612653">
        <w:rPr>
          <w:rFonts w:ascii="Book Antiqua" w:hAnsi="Book Antiqua"/>
          <w:sz w:val="24"/>
          <w:szCs w:val="24"/>
          <w:lang w:val="en-US"/>
        </w:rPr>
        <w:t xml:space="preserve">ol1a1 levels were significantly lowered in both DIO-NASH and </w:t>
      </w:r>
      <w:r w:rsidR="00995862" w:rsidRPr="00612653">
        <w:rPr>
          <w:rFonts w:ascii="Book Antiqua" w:hAnsi="Book Antiqua"/>
          <w:i/>
          <w:iCs/>
          <w:sz w:val="24"/>
          <w:szCs w:val="24"/>
          <w:lang w:val="en-US"/>
        </w:rPr>
        <w:t>ob/ob</w:t>
      </w:r>
      <w:r w:rsidR="00995862" w:rsidRPr="00612653">
        <w:rPr>
          <w:rFonts w:ascii="Book Antiqua" w:hAnsi="Book Antiqua"/>
          <w:sz w:val="24"/>
          <w:szCs w:val="24"/>
          <w:lang w:val="en-US"/>
        </w:rPr>
        <w:t>-NASH m</w:t>
      </w:r>
      <w:r w:rsidR="00601B84" w:rsidRPr="00612653">
        <w:rPr>
          <w:rFonts w:ascii="Book Antiqua" w:hAnsi="Book Antiqua"/>
          <w:sz w:val="24"/>
          <w:szCs w:val="24"/>
          <w:lang w:val="en-US"/>
        </w:rPr>
        <w:t xml:space="preserve">ice after liraglutide treatment, </w:t>
      </w:r>
      <w:r w:rsidR="00E40AFF" w:rsidRPr="00612653">
        <w:rPr>
          <w:rFonts w:ascii="Book Antiqua" w:hAnsi="Book Antiqua"/>
          <w:sz w:val="24"/>
          <w:szCs w:val="24"/>
          <w:lang w:val="en-US"/>
        </w:rPr>
        <w:t xml:space="preserve">consistent with the reduction in </w:t>
      </w:r>
      <w:r w:rsidR="00601B84" w:rsidRPr="00612653">
        <w:rPr>
          <w:rFonts w:ascii="Book Antiqua" w:hAnsi="Book Antiqua"/>
          <w:sz w:val="24"/>
          <w:szCs w:val="24"/>
          <w:lang w:val="en-US"/>
        </w:rPr>
        <w:t>hepatomegaly.</w:t>
      </w:r>
      <w:r w:rsidR="00995862" w:rsidRPr="00612653">
        <w:rPr>
          <w:rFonts w:ascii="Book Antiqua" w:hAnsi="Book Antiqua"/>
          <w:sz w:val="24"/>
          <w:szCs w:val="24"/>
          <w:lang w:val="en-US"/>
        </w:rPr>
        <w:t xml:space="preserve"> </w:t>
      </w:r>
      <w:r w:rsidR="00E40AFF" w:rsidRPr="00612653">
        <w:rPr>
          <w:rFonts w:ascii="Book Antiqua" w:hAnsi="Book Antiqua"/>
          <w:sz w:val="24"/>
          <w:szCs w:val="24"/>
          <w:lang w:val="en-US"/>
        </w:rPr>
        <w:t>Overall, the</w:t>
      </w:r>
      <w:r w:rsidR="000E4000" w:rsidRPr="00612653">
        <w:rPr>
          <w:rFonts w:ascii="Book Antiqua" w:hAnsi="Book Antiqua"/>
          <w:sz w:val="24"/>
          <w:szCs w:val="24"/>
          <w:lang w:val="en-US"/>
        </w:rPr>
        <w:t xml:space="preserve"> </w:t>
      </w:r>
      <w:r w:rsidR="000566AF" w:rsidRPr="00612653">
        <w:rPr>
          <w:rFonts w:ascii="Book Antiqua" w:hAnsi="Book Antiqua"/>
          <w:sz w:val="24"/>
          <w:szCs w:val="24"/>
          <w:lang w:val="en-US"/>
        </w:rPr>
        <w:t>pharmacodynamics</w:t>
      </w:r>
      <w:r w:rsidR="000E4000" w:rsidRPr="00612653">
        <w:rPr>
          <w:rFonts w:ascii="Book Antiqua" w:hAnsi="Book Antiqua"/>
          <w:sz w:val="24"/>
          <w:szCs w:val="24"/>
          <w:lang w:val="en-US"/>
        </w:rPr>
        <w:t xml:space="preserve"> of liraglutide in </w:t>
      </w:r>
      <w:r w:rsidR="00E40AFF" w:rsidRPr="00612653">
        <w:rPr>
          <w:rFonts w:ascii="Book Antiqua" w:hAnsi="Book Antiqua"/>
          <w:sz w:val="24"/>
          <w:szCs w:val="24"/>
          <w:lang w:val="en-US"/>
        </w:rPr>
        <w:t xml:space="preserve">the </w:t>
      </w:r>
      <w:r w:rsidR="000E4000" w:rsidRPr="00612653">
        <w:rPr>
          <w:rFonts w:ascii="Book Antiqua" w:hAnsi="Book Antiqua"/>
          <w:sz w:val="24"/>
          <w:szCs w:val="24"/>
          <w:lang w:val="en-US"/>
        </w:rPr>
        <w:t xml:space="preserve">DIO-NASH mice </w:t>
      </w:r>
      <w:r w:rsidR="000B79B1" w:rsidRPr="00612653">
        <w:rPr>
          <w:rFonts w:ascii="Book Antiqua" w:hAnsi="Book Antiqua"/>
          <w:sz w:val="24"/>
          <w:szCs w:val="24"/>
          <w:lang w:val="en-US"/>
        </w:rPr>
        <w:t>are</w:t>
      </w:r>
      <w:r w:rsidR="000E4000" w:rsidRPr="00612653">
        <w:rPr>
          <w:rFonts w:ascii="Book Antiqua" w:hAnsi="Book Antiqua"/>
          <w:sz w:val="24"/>
          <w:szCs w:val="24"/>
          <w:lang w:val="en-US"/>
        </w:rPr>
        <w:t xml:space="preserve"> in general agreement with a recent phase-II </w:t>
      </w:r>
      <w:r w:rsidR="009869FD" w:rsidRPr="00612653">
        <w:rPr>
          <w:rFonts w:ascii="Book Antiqua" w:hAnsi="Book Antiqua"/>
          <w:sz w:val="24"/>
          <w:szCs w:val="24"/>
          <w:lang w:val="en-US"/>
        </w:rPr>
        <w:t>(LEAN) trial for NASH</w:t>
      </w:r>
      <w:r w:rsidR="000E4000" w:rsidRPr="00612653">
        <w:rPr>
          <w:rFonts w:ascii="Book Antiqua" w:hAnsi="Book Antiqua"/>
          <w:sz w:val="24"/>
          <w:szCs w:val="24"/>
          <w:lang w:val="en-US"/>
        </w:rPr>
        <w:t xml:space="preserve">, </w:t>
      </w:r>
      <w:r w:rsidR="000566AF" w:rsidRPr="00612653">
        <w:rPr>
          <w:rFonts w:ascii="Book Antiqua" w:hAnsi="Book Antiqua"/>
          <w:sz w:val="24"/>
          <w:szCs w:val="24"/>
          <w:lang w:val="en-US"/>
        </w:rPr>
        <w:t>where liraglutide treatment promoted</w:t>
      </w:r>
      <w:r w:rsidR="000B79B1" w:rsidRPr="00612653">
        <w:rPr>
          <w:rFonts w:ascii="Book Antiqua" w:hAnsi="Book Antiqua"/>
          <w:sz w:val="24"/>
          <w:szCs w:val="24"/>
          <w:lang w:val="en-US"/>
        </w:rPr>
        <w:t xml:space="preserve"> </w:t>
      </w:r>
      <w:r w:rsidR="000E4000" w:rsidRPr="00612653">
        <w:rPr>
          <w:rFonts w:ascii="Book Antiqua" w:hAnsi="Book Antiqua"/>
          <w:sz w:val="24"/>
          <w:szCs w:val="24"/>
          <w:lang w:val="en-US"/>
        </w:rPr>
        <w:t xml:space="preserve">a significant weight </w:t>
      </w:r>
      <w:r w:rsidR="000B79B1" w:rsidRPr="00612653">
        <w:rPr>
          <w:rFonts w:ascii="Book Antiqua" w:hAnsi="Book Antiqua"/>
          <w:sz w:val="24"/>
          <w:szCs w:val="24"/>
          <w:lang w:val="en-US"/>
        </w:rPr>
        <w:t xml:space="preserve">loss </w:t>
      </w:r>
      <w:r w:rsidR="00BE27AF" w:rsidRPr="00612653">
        <w:rPr>
          <w:rFonts w:ascii="Book Antiqua" w:hAnsi="Book Antiqua"/>
          <w:sz w:val="24"/>
          <w:szCs w:val="24"/>
          <w:lang w:val="en-US"/>
        </w:rPr>
        <w:t>(</w:t>
      </w:r>
      <w:r w:rsidR="007773EA" w:rsidRPr="00612653">
        <w:rPr>
          <w:rFonts w:ascii="Book Antiqua" w:hAnsi="Book Antiqua"/>
          <w:sz w:val="24"/>
          <w:szCs w:val="24"/>
          <w:lang w:val="en-US"/>
        </w:rPr>
        <w:t xml:space="preserve">approximately </w:t>
      </w:r>
      <w:r w:rsidR="00BE27AF" w:rsidRPr="00612653">
        <w:rPr>
          <w:rFonts w:ascii="Book Antiqua" w:hAnsi="Book Antiqua"/>
          <w:sz w:val="24"/>
          <w:szCs w:val="24"/>
          <w:lang w:val="en-US"/>
        </w:rPr>
        <w:t xml:space="preserve">5%) </w:t>
      </w:r>
      <w:r w:rsidR="000B79B1" w:rsidRPr="00612653">
        <w:rPr>
          <w:rFonts w:ascii="Book Antiqua" w:hAnsi="Book Antiqua"/>
          <w:sz w:val="24"/>
          <w:szCs w:val="24"/>
          <w:lang w:val="en-US"/>
        </w:rPr>
        <w:t>and</w:t>
      </w:r>
      <w:r w:rsidR="000E4000" w:rsidRPr="00612653">
        <w:rPr>
          <w:rFonts w:ascii="Book Antiqua" w:hAnsi="Book Antiqua"/>
          <w:sz w:val="24"/>
          <w:szCs w:val="24"/>
          <w:lang w:val="en-US"/>
        </w:rPr>
        <w:t xml:space="preserve"> improved NAS (</w:t>
      </w:r>
      <w:r w:rsidR="00805CC8" w:rsidRPr="00612653">
        <w:rPr>
          <w:rFonts w:ascii="Book Antiqua" w:hAnsi="Book Antiqua"/>
          <w:sz w:val="24"/>
          <w:szCs w:val="24"/>
          <w:lang w:val="en-US"/>
        </w:rPr>
        <w:t>lowered steatosis score</w:t>
      </w:r>
      <w:r w:rsidR="000E4000" w:rsidRPr="00612653">
        <w:rPr>
          <w:rFonts w:ascii="Book Antiqua" w:hAnsi="Book Antiqua"/>
          <w:sz w:val="24"/>
          <w:szCs w:val="24"/>
          <w:lang w:val="en-US"/>
        </w:rPr>
        <w:t xml:space="preserve">) without </w:t>
      </w:r>
      <w:r w:rsidR="00BE27AF" w:rsidRPr="00612653">
        <w:rPr>
          <w:rFonts w:ascii="Book Antiqua" w:hAnsi="Book Antiqua"/>
          <w:sz w:val="24"/>
          <w:szCs w:val="24"/>
          <w:lang w:val="en-US"/>
        </w:rPr>
        <w:t>worsening</w:t>
      </w:r>
      <w:r w:rsidR="000E4000" w:rsidRPr="00612653">
        <w:rPr>
          <w:rFonts w:ascii="Book Antiqua" w:hAnsi="Book Antiqua"/>
          <w:sz w:val="24"/>
          <w:szCs w:val="24"/>
          <w:lang w:val="en-US"/>
        </w:rPr>
        <w:t xml:space="preserve"> </w:t>
      </w:r>
      <w:r w:rsidR="00BE27AF" w:rsidRPr="00612653">
        <w:rPr>
          <w:rFonts w:ascii="Book Antiqua" w:hAnsi="Book Antiqua"/>
          <w:sz w:val="24"/>
          <w:szCs w:val="24"/>
          <w:lang w:val="en-US"/>
        </w:rPr>
        <w:t xml:space="preserve">of </w:t>
      </w:r>
      <w:r w:rsidR="000E4000" w:rsidRPr="00612653">
        <w:rPr>
          <w:rFonts w:ascii="Book Antiqua" w:hAnsi="Book Antiqua"/>
          <w:sz w:val="24"/>
          <w:szCs w:val="24"/>
          <w:lang w:val="en-US"/>
        </w:rPr>
        <w:t>fibrosis stage</w:t>
      </w:r>
      <w:r w:rsidR="000E4000" w:rsidRPr="00612653">
        <w:rPr>
          <w:rFonts w:ascii="Book Antiqua" w:hAnsi="Book Antiqua"/>
          <w:sz w:val="24"/>
          <w:szCs w:val="24"/>
        </w:rPr>
        <w:fldChar w:fldCharType="begin" w:fldLock="1"/>
      </w:r>
      <w:r w:rsidR="004A5E9A" w:rsidRPr="00612653">
        <w:rPr>
          <w:rFonts w:ascii="Book Antiqua" w:hAnsi="Book Antiqua"/>
          <w:sz w:val="24"/>
          <w:szCs w:val="24"/>
          <w:lang w:val="en-US"/>
        </w:rPr>
        <w:instrText>ADDIN CSL_CITATION { "citationItems" : [ { "id" : "ITEM-1", "itemData" : { "DOI" : "10.1016/S0140-6736(15)00803-X", "ISBN" : "0140-6736", "ISSN" : "01406736", "PMID" : "26608256", "abstract" : "BACKGROUND Glucagon-like peptide-1 (GLP-1) analogues reduce hepatic steatosis, concentrations of liver enzymes, and insulin resistance in murine models of fatty liver disease. These analogues are licensed for type 2 diabetes, but their efficacy in patients with non-alcoholic steatohepatitis is unknown. We assessed the safety and efficacy of the long-acting GLP-1 analogue, liraglutide, in patients with non-alcoholic steatohepatitis. METHODS This multicentre, double-blinded, randomised, placebo-controlled phase 2 trial was conducted in four UK medical centres to assess subcutaneous injections of liraglutide (1\u00b78 mg daily) compared with placebo for patients who are overweight and show clinical evidence of non-alcoholic steatohepatitis. Patients were randomly assigned (1:1) using a computer-generated, centrally administered procedure, stratified by trial centre and diabetes status. The trial was designed using A'Hern's single-group method, which required eight (38%) of 21 successes in the liraglutide group for the effect of liraglutide to be considered clinically significant. Patients, investigators, clinical trial site staff, and pathologists were masked to treatment assignment throughout the study. The primary outcome measure was resolution of definite non-alcoholic steatohepatitis with no worsening in fibrosis from baseline to end of treatment (48 weeks), as assessed centrally by two independent pathologists. Analysis was done by intention-to-treat analysis, which included all patients who underwent end-of-treatment biopsy. The trial was registered with ClinicalTrials.gov, number NCT01237119. FINDINGS Between Aug 1, 2010, and May 31, 2013, 26 patients were randomly assigned to receive liraglutide and 26 to placebo. Nine (39%) of 23 patients who received liraglutide and underwent end-of-treatment liver biopsy had resolution of definite non-alcoholic steatohepatitis compared with two (9%) of 22 such patients in the placebo group (relative risk 4\u00b73 [95% CI 1\u00b70-17\u00b77]; p=0\u00b7019). Two (9%) of 23 patients in the liraglutide group versus eight (36%) of 22 patients in the placebo group had progression of fibrosis (0\u00b72 [0\u00b71-1\u00b70]; p=0\u00b704). Most adverse events were grade 1 (mild) to grade 2 (moderate) in severity, transient, and similar in the two treatment groups for all organ classes and symptoms, with the exception of gastrointestinal disorders in 21 (81%) of 23 patients in the liraglutide group and 17 (65%) of 22 patients in the placebo group, which included diar\u2026", "author" : [ { "dropping-particle" : "", "family" : "Armstrong", "given" : "Matthew James", "non-dropping-particle" : "", "parse-names" : false, "suffix" : "" }, { "dropping-particle" : "", "family" : "Gaunt", "given" : "Piers", "non-dropping-particle" : "", "parse-names" : false, "suffix" : "" }, { "dropping-particle" : "", "family" : "Aithal", "given" : "Guruprasad P.", "non-dropping-particle" : "", "parse-names" : false, "suffix" : "" }, { "dropping-particle" : "", "family" : "Barton", "given" : "Darren", "non-dropping-particle" : "", "parse-names" : false, "suffix" : "" }, { "dropping-particle" : "", "family" : "Hull", "given" : "Diana", "non-dropping-particle" : "", "parse-names" : false, "suffix" : "" }, { "dropping-particle" : "", "family" : "Parker", "given" : "Richard", "non-dropping-particle" : "", "parse-names" : false, "suffix" : "" }, { "dropping-particle" : "", "family" : "Hazlehurst", "given" : "Jonathan M.", "non-dropping-particle" : "", "parse-names" : false, "suffix" : "" }, { "dropping-particle" : "", "family" : "Guo", "given" : "Kathy", "non-dropping-particle" : "", "parse-names" : false, "suffix" : "" }, { "dropping-particle" : "", "family" : "Abouda", "given" : "George", "non-dropping-particle" : "", "parse-names" : false, "suffix" : "" }, { "dropping-particle" : "", "family" : "Aldersley", "given" : "Mark A.", "non-dropping-particle" : "", "parse-names" : false, "suffix" : "" }, { "dropping-particle" : "", "family" : "Stocken", "given" : "Deborah", "non-dropping-particle" : "", "parse-names" : false, "suffix" : "" }, { "dropping-particle" : "", "family" : "Gough", "given" : "Stephen C.", "non-dropping-particle" : "", "parse-names" : false, "suffix" : "" }, { "dropping-particle" : "", "family" : "Tomlinson", "given" : "Jeremy W.", "non-dropping-particle" : "", "parse-names" : false, "suffix" : "" }, { "dropping-particle" : "", "family" : "Brown", "given" : "Rachel M.", "non-dropping-particle" : "", "parse-names" : false, "suffix" : "" }, { "dropping-particle" : "", "family" : "H\u00fcbscher", "given" : "Stefan G.", "non-dropping-particle" : "", "parse-names" : false, "suffix" : "" }, { "dropping-particle" : "", "family" : "Newsome", "given" : "Philip N.", "non-dropping-particle" : "", "parse-names" : false, "suffix" : "" }, { "dropping-particle" : "", "family" : "Newsome", "given" : "Philip N.", "non-dropping-particle" : "", "parse-names" : false, "suffix" : "" } ], "container-title" : "The Lancet", "id" : "ITEM-1", "issue" : "10019", "issued" : { "date-parts" : [ [ "2016", "2", "13" ] ] }, "page" : "679-690", "title" : "Liraglutide safety and efficacy in patients with non-alcoholic steatohepatitis (LEAN): a multicentre, double-blind, randomised, placebo-controlled phase 2 study.", "type" : "article-journal", "volume" : "387" }, "uris" : [ "http://www.mendeley.com/documents/?uuid=bbf66a32-0855-4fcf-b9a0-2c5e6316606b" ] } ], "mendeley" : { "formattedCitation" : "&lt;sup&gt;[20]&lt;/sup&gt;", "plainTextFormattedCitation" : "[20]", "previouslyFormattedCitation" : "&lt;sup&gt;[20]&lt;/sup&gt;" }, "properties" : { "noteIndex" : 0 }, "schema" : "https://github.com/citation-style-language/schema/raw/master/csl-citation.json" }</w:instrText>
      </w:r>
      <w:r w:rsidR="000E4000" w:rsidRPr="00612653">
        <w:rPr>
          <w:rFonts w:ascii="Book Antiqua" w:hAnsi="Book Antiqua"/>
          <w:sz w:val="24"/>
          <w:szCs w:val="24"/>
          <w:vertAlign w:val="superscript"/>
          <w:lang w:val="en-US"/>
        </w:rPr>
        <w:fldChar w:fldCharType="separate"/>
      </w:r>
      <w:r w:rsidR="004A5E9A" w:rsidRPr="00612653">
        <w:rPr>
          <w:rFonts w:ascii="Book Antiqua" w:hAnsi="Book Antiqua"/>
          <w:noProof/>
          <w:sz w:val="24"/>
          <w:szCs w:val="24"/>
          <w:vertAlign w:val="superscript"/>
          <w:lang w:val="en-US"/>
        </w:rPr>
        <w:t>[20]</w:t>
      </w:r>
      <w:r w:rsidR="000E4000" w:rsidRPr="00612653">
        <w:rPr>
          <w:rFonts w:ascii="Book Antiqua" w:hAnsi="Book Antiqua"/>
          <w:sz w:val="24"/>
          <w:szCs w:val="24"/>
        </w:rPr>
        <w:fldChar w:fldCharType="end"/>
      </w:r>
      <w:r w:rsidR="000E4000" w:rsidRPr="00612653">
        <w:rPr>
          <w:rFonts w:ascii="Book Antiqua" w:hAnsi="Book Antiqua"/>
          <w:sz w:val="24"/>
          <w:szCs w:val="24"/>
          <w:lang w:val="en-US"/>
        </w:rPr>
        <w:t>. GLP-1 receptor agonists have not shown significant effects on liver fibrosis morphology in various mouse models of NASH</w:t>
      </w:r>
      <w:r w:rsidR="000E4000" w:rsidRPr="00612653">
        <w:rPr>
          <w:rFonts w:ascii="Book Antiqua" w:hAnsi="Book Antiqua"/>
          <w:sz w:val="24"/>
          <w:szCs w:val="24"/>
        </w:rPr>
        <w:fldChar w:fldCharType="begin" w:fldLock="1"/>
      </w:r>
      <w:r w:rsidR="0045230C" w:rsidRPr="00612653">
        <w:rPr>
          <w:rFonts w:ascii="Book Antiqua" w:hAnsi="Book Antiqua"/>
          <w:sz w:val="24"/>
          <w:szCs w:val="24"/>
          <w:lang w:val="en-US"/>
        </w:rPr>
        <w:instrText>ADDIN CSL_CITATION { "citationItems" : [ { "id" : "ITEM-1", "itemData" : { "DOI" : "10.1016/j.drudis.2017.06.007", "ISSN" : "1878-5832", "PMID" : "28687459", "abstract" : "Nonalcoholic fatty liver disease (NAFLD) has become the most common cause of chronic liver disease in the Western world. NAFLD is a complex spectrum of liver diseases ranging from benign hepatic steatosis to its more aggressive necroinflammatory manifestation, nonalcoholic steatohepatitis (NASH). NASH pathogenesis is multifactorial and risk factors are almost identical to those of the metabolic syndrome. This has prompted substantial efforts to identify novel drug therapies for correcting underlying metabolic deficits, and to prevent or alleviate hepatic fibrosis in NASH. Available mouse models of NASH address different aspects of the disease, have varying clinical translatability, and, therefore, also show different utility in drug discovery.", "author" : [ { "dropping-particle" : "", "family" : "Hansen", "given" : "Henrik H.", "non-dropping-particle" : "", "parse-names" : false, "suffix" : "" }, { "dropping-particle" : "", "family" : "Feigh", "given" : "Michael",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"Vrang", "given" : "Niels", "non-dropping-particle" : "", "parse-names" : false, "suffix" : "" }, { "dropping-particle" : "", "family" : "Fosgerau", "given" : "Keld", "non-dropping-particle" : "", "parse-names" : false, "suffix" : "" } ], "container-title" : "Drug discovery today", "id" : "ITEM-1", "issue" : "11", "issued" : { "date-parts" : [ [ "2017", "7", "4" ] ] }, "page" : "1707-1718", "title" : "Mouse models of nonalcoholic steatohepatitis in preclinical drug development.", "type" : "article-journal", "volume" : "22" }, "uris" : [ "http://www.mendeley.com/documents/?uuid=e30a1a22-369c-41ab-9d50-b11e3601d690" ] } ], "mendeley" : { "formattedCitation" : "&lt;sup&gt;[8]&lt;/sup&gt;", "plainTextFormattedCitation" : "[8]", "previouslyFormattedCitation" : "&lt;sup&gt;[8]&lt;/sup&gt;" }, "properties" : { "noteIndex" : 0 }, "schema" : "https://github.com/citation-style-language/schema/raw/master/csl-citation.json" }</w:instrText>
      </w:r>
      <w:r w:rsidR="000E4000" w:rsidRPr="00612653">
        <w:rPr>
          <w:rFonts w:ascii="Book Antiqua" w:hAnsi="Book Antiqua"/>
          <w:sz w:val="24"/>
          <w:szCs w:val="24"/>
          <w:lang w:val="en-US"/>
        </w:rPr>
        <w:fldChar w:fldCharType="separate"/>
      </w:r>
      <w:r w:rsidR="0045230C" w:rsidRPr="00612653">
        <w:rPr>
          <w:rFonts w:ascii="Book Antiqua" w:hAnsi="Book Antiqua"/>
          <w:noProof/>
          <w:sz w:val="24"/>
          <w:szCs w:val="24"/>
          <w:vertAlign w:val="superscript"/>
          <w:lang w:val="en-US"/>
        </w:rPr>
        <w:t>[8]</w:t>
      </w:r>
      <w:r w:rsidR="000E4000" w:rsidRPr="00612653">
        <w:rPr>
          <w:rFonts w:ascii="Book Antiqua" w:hAnsi="Book Antiqua"/>
          <w:sz w:val="24"/>
          <w:szCs w:val="24"/>
        </w:rPr>
        <w:fldChar w:fldCharType="end"/>
      </w:r>
      <w:r w:rsidR="000E4000" w:rsidRPr="00612653">
        <w:rPr>
          <w:rFonts w:ascii="Book Antiqua" w:hAnsi="Book Antiqua"/>
          <w:sz w:val="24"/>
          <w:szCs w:val="24"/>
          <w:lang w:val="en-US"/>
        </w:rPr>
        <w:t>. Future studies must therefore aim to cl</w:t>
      </w:r>
      <w:r w:rsidR="00805CC8" w:rsidRPr="00612653">
        <w:rPr>
          <w:rFonts w:ascii="Book Antiqua" w:hAnsi="Book Antiqua"/>
          <w:sz w:val="24"/>
          <w:szCs w:val="24"/>
          <w:lang w:val="en-US"/>
        </w:rPr>
        <w:t xml:space="preserve">arify if </w:t>
      </w:r>
      <w:r w:rsidR="000E4000" w:rsidRPr="00612653">
        <w:rPr>
          <w:rFonts w:ascii="Book Antiqua" w:hAnsi="Book Antiqua"/>
          <w:sz w:val="24"/>
          <w:szCs w:val="24"/>
          <w:lang w:val="en-US"/>
        </w:rPr>
        <w:t>extended dosing periods are required for detecting antifibrotic efficacy of liraglutide</w:t>
      </w:r>
      <w:r w:rsidR="00B367A5" w:rsidRPr="00612653">
        <w:rPr>
          <w:rFonts w:ascii="Book Antiqua" w:hAnsi="Book Antiqua"/>
          <w:sz w:val="24"/>
          <w:szCs w:val="24"/>
          <w:lang w:val="en-US"/>
        </w:rPr>
        <w:t>, or whether</w:t>
      </w:r>
      <w:r w:rsidR="000E4000" w:rsidRPr="00612653">
        <w:rPr>
          <w:rFonts w:ascii="Book Antiqua" w:hAnsi="Book Antiqua"/>
          <w:sz w:val="24"/>
          <w:szCs w:val="24"/>
          <w:lang w:val="en-US"/>
        </w:rPr>
        <w:t xml:space="preserve"> </w:t>
      </w:r>
      <w:r w:rsidR="00E40AFF" w:rsidRPr="00612653">
        <w:rPr>
          <w:rFonts w:ascii="Book Antiqua" w:hAnsi="Book Antiqua"/>
          <w:sz w:val="24"/>
          <w:szCs w:val="24"/>
          <w:lang w:val="en-US"/>
        </w:rPr>
        <w:t xml:space="preserve">the lack of a direct </w:t>
      </w:r>
      <w:r w:rsidR="000E4000" w:rsidRPr="00612653">
        <w:rPr>
          <w:rFonts w:ascii="Book Antiqua" w:hAnsi="Book Antiqua"/>
          <w:sz w:val="24"/>
          <w:szCs w:val="24"/>
          <w:lang w:val="en-US"/>
        </w:rPr>
        <w:t>hepatic</w:t>
      </w:r>
      <w:r w:rsidR="00D93801" w:rsidRPr="00612653">
        <w:rPr>
          <w:rFonts w:ascii="Book Antiqua" w:hAnsi="Book Antiqua"/>
          <w:sz w:val="24"/>
          <w:szCs w:val="24"/>
          <w:lang w:val="en-US"/>
        </w:rPr>
        <w:t xml:space="preserve"> action</w:t>
      </w:r>
      <w:r w:rsidR="000E4000" w:rsidRPr="00612653">
        <w:rPr>
          <w:rFonts w:ascii="Book Antiqua" w:hAnsi="Book Antiqua"/>
          <w:sz w:val="24"/>
          <w:szCs w:val="24"/>
          <w:lang w:val="en-US"/>
        </w:rPr>
        <w:t xml:space="preserve"> </w:t>
      </w:r>
      <w:r w:rsidR="003A61D9" w:rsidRPr="00612653">
        <w:rPr>
          <w:rFonts w:ascii="Book Antiqua" w:hAnsi="Book Antiqua"/>
          <w:sz w:val="24"/>
          <w:szCs w:val="24"/>
          <w:lang w:val="en-US"/>
        </w:rPr>
        <w:t>could be a</w:t>
      </w:r>
      <w:r w:rsidR="003A0C05" w:rsidRPr="00612653">
        <w:rPr>
          <w:rFonts w:ascii="Book Antiqua" w:hAnsi="Book Antiqua"/>
          <w:sz w:val="24"/>
          <w:szCs w:val="24"/>
          <w:lang w:val="en-US"/>
        </w:rPr>
        <w:t xml:space="preserve"> </w:t>
      </w:r>
      <w:r w:rsidR="003A61D9" w:rsidRPr="00612653">
        <w:rPr>
          <w:rFonts w:ascii="Book Antiqua" w:hAnsi="Book Antiqua"/>
          <w:sz w:val="24"/>
          <w:szCs w:val="24"/>
          <w:lang w:val="en-US"/>
        </w:rPr>
        <w:t>limiting factor for i</w:t>
      </w:r>
      <w:r w:rsidR="003A0C05" w:rsidRPr="00612653">
        <w:rPr>
          <w:rFonts w:ascii="Book Antiqua" w:hAnsi="Book Antiqua"/>
          <w:sz w:val="24"/>
          <w:szCs w:val="24"/>
          <w:lang w:val="en-US"/>
        </w:rPr>
        <w:t>nfluencing</w:t>
      </w:r>
      <w:r w:rsidR="00DA73B0" w:rsidRPr="00612653">
        <w:rPr>
          <w:rFonts w:ascii="Book Antiqua" w:hAnsi="Book Antiqua"/>
          <w:sz w:val="24"/>
          <w:szCs w:val="24"/>
          <w:lang w:val="en-US"/>
        </w:rPr>
        <w:t xml:space="preserve"> liver fibrosis</w:t>
      </w:r>
      <w:r w:rsidR="00F61039" w:rsidRPr="00612653">
        <w:rPr>
          <w:rFonts w:ascii="Book Antiqua" w:hAnsi="Book Antiqua"/>
          <w:sz w:val="24"/>
          <w:szCs w:val="24"/>
          <w:lang w:val="en-US"/>
        </w:rPr>
        <w:t xml:space="preserve"> </w:t>
      </w:r>
      <w:r w:rsidR="000E4000" w:rsidRPr="00612653">
        <w:rPr>
          <w:rFonts w:ascii="Book Antiqua" w:hAnsi="Book Antiqua"/>
          <w:sz w:val="24"/>
          <w:szCs w:val="24"/>
          <w:lang w:val="en-US"/>
        </w:rPr>
        <w:t>in obese mouse models of NASH.</w:t>
      </w:r>
    </w:p>
    <w:p w14:paraId="60385DF2" w14:textId="6C95D3C3" w:rsidR="003F0CF7" w:rsidRPr="00612653" w:rsidRDefault="00127188" w:rsidP="00082279">
      <w:pPr>
        <w:snapToGrid w:val="0"/>
        <w:spacing w:after="0" w:line="360" w:lineRule="auto"/>
        <w:ind w:firstLineChars="100" w:firstLine="240"/>
        <w:jc w:val="both"/>
        <w:rPr>
          <w:rFonts w:ascii="Book Antiqua" w:hAnsi="Book Antiqua"/>
          <w:sz w:val="24"/>
          <w:szCs w:val="24"/>
          <w:lang w:val="en-US"/>
        </w:rPr>
      </w:pPr>
      <w:r w:rsidRPr="00612653">
        <w:rPr>
          <w:rFonts w:ascii="Book Antiqua" w:hAnsi="Book Antiqua"/>
          <w:sz w:val="24"/>
          <w:szCs w:val="24"/>
          <w:lang w:val="en-US"/>
        </w:rPr>
        <w:lastRenderedPageBreak/>
        <w:t xml:space="preserve">OCA is a first-in-class selective </w:t>
      </w:r>
      <w:r w:rsidR="003C398C" w:rsidRPr="00612653">
        <w:rPr>
          <w:rFonts w:ascii="Book Antiqua" w:hAnsi="Book Antiqua"/>
          <w:sz w:val="24"/>
          <w:szCs w:val="24"/>
          <w:lang w:val="en-US"/>
        </w:rPr>
        <w:t xml:space="preserve">synthetic </w:t>
      </w:r>
      <w:r w:rsidRPr="00612653">
        <w:rPr>
          <w:rFonts w:ascii="Book Antiqua" w:hAnsi="Book Antiqua"/>
          <w:sz w:val="24"/>
          <w:szCs w:val="24"/>
          <w:lang w:val="en-US"/>
        </w:rPr>
        <w:t xml:space="preserve">FXR agonist that is approximately 100-fold more potent than </w:t>
      </w:r>
      <w:r w:rsidR="00A332DE" w:rsidRPr="00612653">
        <w:rPr>
          <w:rFonts w:ascii="Book Antiqua" w:hAnsi="Book Antiqua"/>
          <w:sz w:val="24"/>
          <w:szCs w:val="24"/>
          <w:lang w:val="en-US"/>
        </w:rPr>
        <w:t>its</w:t>
      </w:r>
      <w:r w:rsidRPr="00612653">
        <w:rPr>
          <w:rFonts w:ascii="Book Antiqua" w:hAnsi="Book Antiqua"/>
          <w:sz w:val="24"/>
          <w:szCs w:val="24"/>
          <w:lang w:val="en-US"/>
        </w:rPr>
        <w:t xml:space="preserve"> natural </w:t>
      </w:r>
      <w:r w:rsidR="00A332DE" w:rsidRPr="00612653">
        <w:rPr>
          <w:rFonts w:ascii="Book Antiqua" w:hAnsi="Book Antiqua"/>
          <w:sz w:val="24"/>
          <w:szCs w:val="24"/>
          <w:lang w:val="en-US"/>
        </w:rPr>
        <w:t xml:space="preserve">bile acid </w:t>
      </w:r>
      <w:r w:rsidRPr="00612653">
        <w:rPr>
          <w:rFonts w:ascii="Book Antiqua" w:hAnsi="Book Antiqua"/>
          <w:sz w:val="24"/>
          <w:szCs w:val="24"/>
          <w:lang w:val="en-US"/>
        </w:rPr>
        <w:t>homologue</w:t>
      </w:r>
      <w:r w:rsidRPr="00612653">
        <w:rPr>
          <w:rFonts w:ascii="Book Antiqua" w:hAnsi="Book Antiqua"/>
          <w:sz w:val="24"/>
          <w:szCs w:val="24"/>
        </w:rPr>
        <w:fldChar w:fldCharType="begin" w:fldLock="1"/>
      </w:r>
      <w:r w:rsidR="004A5E9A" w:rsidRPr="00612653">
        <w:rPr>
          <w:rFonts w:ascii="Book Antiqua" w:hAnsi="Book Antiqua"/>
          <w:sz w:val="24"/>
          <w:szCs w:val="24"/>
          <w:lang w:val="en-US"/>
        </w:rPr>
        <w:instrText>ADDIN CSL_CITATION { "citationItems" : [ { "id" : "ITEM-1", "itemData" : { "ISSN" : "0022-2623", "PMID" : "12166927", "abstract" : "A series of 6alpha-alkyl-substituted analogues of chenodeoxycholic acid (CDCA) were synthesized and evaluated as potential farnesoid X receptor (FXR) ligands. Among them, 6alpha-ethyl-chenodeoxycholic acid (6-ECDCA) was shown to be a very potent and selective FXR agonist (EC(50) = 99 nM) and to be endowed with anticholeretic activity in an in vivo rat model of cholestasis.", "author" : [ { "dropping-particle" : "", "family" : "Pellicciari", "given" : "Roberto", "non-dropping-particle" : "", "parse-names" : false, "suffix" : "" }, { "dropping-particle" : "", "family" : "Fiorucci", "given" : "Stefano", "non-dropping-particle" : "", "parse-names" : false, "suffix" : "" }, { "dropping-particle" : "", "family" : "Camaioni", "given" : "Emidio", "non-dropping-particle" : "", "parse-names" : false, "suffix" : "" }, { "dropping-particle" : "", "family" : "Clerici", "given" : "Carlo", "non-dropping-particle" : "", "parse-names" : false, "suffix" : "" }, { "dropping-particle" : "", "family" : "Costantino", "given" : "Gabriele", "non-dropping-particle" : "", "parse-names" : false, "suffix" : "" }, { "dropping-particle" : "", "family" : "Maloney", "given" : "Patrick R", "non-dropping-particle" : "", "parse-names" : false, "suffix" : "" }, { "dropping-particle" : "", "family" : "Morelli", "given" : "Antonio", "non-dropping-particle" : "", "parse-names" : false, "suffix" : "" }, { "dropping-particle" : "", "family" : "Parks", "given" : "Derek J", "non-dropping-particle" : "", "parse-names" : false, "suffix" : "" }, { "dropping-particle" : "", "family" : "Willson", "given" : "Timothy M", "non-dropping-particle" : "", "parse-names" : false, "suffix" : "" } ], "container-title" : "Journal of medicinal chemistry", "id" : "ITEM-1", "issue" : "17", "issued" : { "date-parts" : [ [ "2002", "8", "15" ] ] }, "page" : "3569-72", "title" : "6alpha-ethyl-chenodeoxycholic acid (6-ECDCA), a potent and selective FXR agonist endowed with anticholestatic activity.", "type" : "article-journal", "volume" : "45" }, "uris" : [ "http://www.mendeley.com/documents/?uuid=9e24726a-2d9b-3598-8f5c-064f34f3077a", "http://www.mendeley.com/documents/?uuid=d306744b-8c71-4c5b-bbef-0d08116251dd" ] } ], "mendeley" : { "formattedCitation" : "&lt;sup&gt;[27]&lt;/sup&gt;", "plainTextFormattedCitation" : "[27]", "previouslyFormattedCitation" : "&lt;sup&gt;[27]&lt;/sup&gt;" }, "properties" : { "noteIndex" : 0 }, "schema" : "https://github.com/citation-style-language/schema/raw/master/csl-citation.json" }</w:instrText>
      </w:r>
      <w:r w:rsidRPr="00612653">
        <w:rPr>
          <w:rFonts w:ascii="Book Antiqua" w:hAnsi="Book Antiqua"/>
          <w:sz w:val="24"/>
          <w:szCs w:val="24"/>
          <w:vertAlign w:val="superscript"/>
          <w:lang w:val="en-US"/>
        </w:rPr>
        <w:fldChar w:fldCharType="separate"/>
      </w:r>
      <w:r w:rsidR="004A5E9A" w:rsidRPr="00612653">
        <w:rPr>
          <w:rFonts w:ascii="Book Antiqua" w:hAnsi="Book Antiqua"/>
          <w:noProof/>
          <w:sz w:val="24"/>
          <w:szCs w:val="24"/>
          <w:vertAlign w:val="superscript"/>
          <w:lang w:val="en-US"/>
        </w:rPr>
        <w:t>[27]</w:t>
      </w:r>
      <w:r w:rsidRPr="00612653">
        <w:rPr>
          <w:rFonts w:ascii="Book Antiqua" w:hAnsi="Book Antiqua"/>
          <w:sz w:val="24"/>
          <w:szCs w:val="24"/>
        </w:rPr>
        <w:fldChar w:fldCharType="end"/>
      </w:r>
      <w:r w:rsidRPr="00612653">
        <w:rPr>
          <w:rFonts w:ascii="Book Antiqua" w:hAnsi="Book Antiqua"/>
          <w:sz w:val="24"/>
          <w:szCs w:val="24"/>
          <w:lang w:val="en-US"/>
        </w:rPr>
        <w:t>. Nuclear FXRs are abundantly expressed in the liver, in</w:t>
      </w:r>
      <w:r w:rsidR="00FC1937" w:rsidRPr="00612653">
        <w:rPr>
          <w:rFonts w:ascii="Book Antiqua" w:hAnsi="Book Antiqua"/>
          <w:sz w:val="24"/>
          <w:szCs w:val="24"/>
          <w:lang w:val="en-US"/>
        </w:rPr>
        <w:t xml:space="preserve">testine and adipose tissue, </w:t>
      </w:r>
      <w:r w:rsidRPr="00612653">
        <w:rPr>
          <w:rFonts w:ascii="Book Antiqua" w:hAnsi="Book Antiqua"/>
          <w:sz w:val="24"/>
          <w:szCs w:val="24"/>
          <w:lang w:val="en-US"/>
        </w:rPr>
        <w:t>serv</w:t>
      </w:r>
      <w:r w:rsidR="00FC1937" w:rsidRPr="00612653">
        <w:rPr>
          <w:rFonts w:ascii="Book Antiqua" w:hAnsi="Book Antiqua"/>
          <w:sz w:val="24"/>
          <w:szCs w:val="24"/>
          <w:lang w:val="en-US"/>
        </w:rPr>
        <w:t>ing</w:t>
      </w:r>
      <w:r w:rsidR="007F18EE" w:rsidRPr="00612653">
        <w:rPr>
          <w:rFonts w:ascii="Book Antiqua" w:hAnsi="Book Antiqua"/>
          <w:sz w:val="24"/>
          <w:szCs w:val="24"/>
          <w:lang w:val="en-US"/>
        </w:rPr>
        <w:t xml:space="preserve"> as </w:t>
      </w:r>
      <w:r w:rsidRPr="00612653">
        <w:rPr>
          <w:rFonts w:ascii="Book Antiqua" w:hAnsi="Book Antiqua"/>
          <w:sz w:val="24"/>
          <w:szCs w:val="24"/>
          <w:lang w:val="en-US"/>
        </w:rPr>
        <w:t>primary sensor</w:t>
      </w:r>
      <w:r w:rsidR="007F18EE" w:rsidRPr="00612653">
        <w:rPr>
          <w:rFonts w:ascii="Book Antiqua" w:hAnsi="Book Antiqua"/>
          <w:sz w:val="24"/>
          <w:szCs w:val="24"/>
          <w:lang w:val="en-US"/>
        </w:rPr>
        <w:t>s</w:t>
      </w:r>
      <w:r w:rsidRPr="00612653">
        <w:rPr>
          <w:rFonts w:ascii="Book Antiqua" w:hAnsi="Book Antiqua"/>
          <w:sz w:val="24"/>
          <w:szCs w:val="24"/>
          <w:lang w:val="en-US"/>
        </w:rPr>
        <w:t xml:space="preserve"> </w:t>
      </w:r>
      <w:r w:rsidR="00FC1937" w:rsidRPr="00612653">
        <w:rPr>
          <w:rFonts w:ascii="Book Antiqua" w:hAnsi="Book Antiqua"/>
          <w:sz w:val="24"/>
          <w:szCs w:val="24"/>
          <w:lang w:val="en-US"/>
        </w:rPr>
        <w:t>for regu</w:t>
      </w:r>
      <w:r w:rsidR="007F18EE" w:rsidRPr="00612653">
        <w:rPr>
          <w:rFonts w:ascii="Book Antiqua" w:hAnsi="Book Antiqua"/>
          <w:sz w:val="24"/>
          <w:szCs w:val="24"/>
          <w:lang w:val="en-US"/>
        </w:rPr>
        <w:t>lating</w:t>
      </w:r>
      <w:r w:rsidRPr="00612653">
        <w:rPr>
          <w:rFonts w:ascii="Book Antiqua" w:hAnsi="Book Antiqua"/>
          <w:sz w:val="24"/>
          <w:szCs w:val="24"/>
          <w:lang w:val="en-US"/>
        </w:rPr>
        <w:t xml:space="preserve"> enterohepatic bile acid </w:t>
      </w:r>
      <w:r w:rsidR="00FC1937" w:rsidRPr="00612653">
        <w:rPr>
          <w:rFonts w:ascii="Book Antiqua" w:hAnsi="Book Antiqua"/>
          <w:sz w:val="24"/>
          <w:szCs w:val="24"/>
          <w:lang w:val="en-US"/>
        </w:rPr>
        <w:t>flow</w:t>
      </w:r>
      <w:r w:rsidRPr="00612653">
        <w:rPr>
          <w:rFonts w:ascii="Book Antiqua" w:hAnsi="Book Antiqua"/>
          <w:sz w:val="24"/>
          <w:szCs w:val="24"/>
          <w:lang w:val="en-US"/>
        </w:rPr>
        <w:t xml:space="preserve">. </w:t>
      </w:r>
      <w:r w:rsidR="00FC1937" w:rsidRPr="00612653">
        <w:rPr>
          <w:rFonts w:ascii="Book Antiqua" w:hAnsi="Book Antiqua"/>
          <w:sz w:val="24"/>
          <w:szCs w:val="24"/>
          <w:lang w:val="en-US"/>
        </w:rPr>
        <w:t xml:space="preserve">In the present study, </w:t>
      </w:r>
      <w:r w:rsidR="005F7A4D" w:rsidRPr="00612653">
        <w:rPr>
          <w:rFonts w:ascii="Book Antiqua" w:hAnsi="Book Antiqua"/>
          <w:sz w:val="24"/>
          <w:szCs w:val="24"/>
          <w:lang w:val="en-US"/>
        </w:rPr>
        <w:t>OCA</w:t>
      </w:r>
      <w:r w:rsidR="00E0685D" w:rsidRPr="00612653">
        <w:rPr>
          <w:rFonts w:ascii="Book Antiqua" w:hAnsi="Book Antiqua"/>
          <w:sz w:val="24"/>
          <w:szCs w:val="24"/>
          <w:lang w:val="en-US"/>
        </w:rPr>
        <w:t xml:space="preserve"> </w:t>
      </w:r>
      <w:r w:rsidR="00A92ABA" w:rsidRPr="00612653">
        <w:rPr>
          <w:rFonts w:ascii="Book Antiqua" w:hAnsi="Book Antiqua"/>
          <w:sz w:val="24"/>
          <w:szCs w:val="24"/>
          <w:lang w:val="en-US"/>
        </w:rPr>
        <w:t xml:space="preserve">reduced hepatomegaly and </w:t>
      </w:r>
      <w:r w:rsidR="007F18EE" w:rsidRPr="00612653">
        <w:rPr>
          <w:rFonts w:ascii="Book Antiqua" w:hAnsi="Book Antiqua"/>
          <w:sz w:val="24"/>
          <w:szCs w:val="24"/>
          <w:lang w:val="en-US"/>
        </w:rPr>
        <w:t>NAS</w:t>
      </w:r>
      <w:r w:rsidR="00A92ABA" w:rsidRPr="00612653">
        <w:rPr>
          <w:rFonts w:ascii="Book Antiqua" w:hAnsi="Book Antiqua"/>
          <w:sz w:val="24"/>
          <w:szCs w:val="24"/>
          <w:lang w:val="en-US"/>
        </w:rPr>
        <w:t xml:space="preserve"> scores in </w:t>
      </w:r>
      <w:r w:rsidR="005F7A4D" w:rsidRPr="00612653">
        <w:rPr>
          <w:rFonts w:ascii="Book Antiqua" w:hAnsi="Book Antiqua"/>
          <w:sz w:val="24"/>
          <w:szCs w:val="24"/>
          <w:lang w:val="en-US"/>
        </w:rPr>
        <w:t xml:space="preserve">both </w:t>
      </w:r>
      <w:r w:rsidR="00A92ABA" w:rsidRPr="00612653">
        <w:rPr>
          <w:rFonts w:ascii="Book Antiqua" w:hAnsi="Book Antiqua"/>
          <w:sz w:val="24"/>
          <w:szCs w:val="24"/>
          <w:lang w:val="en-US"/>
        </w:rPr>
        <w:t xml:space="preserve">DIO-NASH and </w:t>
      </w:r>
      <w:r w:rsidR="00A92ABA" w:rsidRPr="00612653">
        <w:rPr>
          <w:rFonts w:ascii="Book Antiqua" w:hAnsi="Book Antiqua"/>
          <w:i/>
          <w:iCs/>
          <w:sz w:val="24"/>
          <w:szCs w:val="24"/>
          <w:lang w:val="en-US"/>
        </w:rPr>
        <w:t>ob/ob</w:t>
      </w:r>
      <w:r w:rsidR="00A92ABA" w:rsidRPr="00612653">
        <w:rPr>
          <w:rFonts w:ascii="Book Antiqua" w:hAnsi="Book Antiqua"/>
          <w:sz w:val="24"/>
          <w:szCs w:val="24"/>
          <w:lang w:val="en-US"/>
        </w:rPr>
        <w:t>-NASH mice</w:t>
      </w:r>
      <w:r w:rsidR="00FC1937" w:rsidRPr="00612653">
        <w:rPr>
          <w:rFonts w:ascii="Book Antiqua" w:hAnsi="Book Antiqua"/>
          <w:sz w:val="24"/>
          <w:szCs w:val="24"/>
          <w:lang w:val="en-US"/>
        </w:rPr>
        <w:t xml:space="preserve">. </w:t>
      </w:r>
      <w:r w:rsidR="00507A56" w:rsidRPr="00612653">
        <w:rPr>
          <w:rFonts w:ascii="Book Antiqua" w:hAnsi="Book Antiqua"/>
          <w:sz w:val="24"/>
          <w:szCs w:val="24"/>
          <w:lang w:val="en-US"/>
        </w:rPr>
        <w:t>FXR agonist</w:t>
      </w:r>
      <w:r w:rsidR="00770CEA" w:rsidRPr="00612653">
        <w:rPr>
          <w:rFonts w:ascii="Book Antiqua" w:hAnsi="Book Antiqua"/>
          <w:sz w:val="24"/>
          <w:szCs w:val="24"/>
          <w:lang w:val="en-US"/>
        </w:rPr>
        <w:t>s</w:t>
      </w:r>
      <w:r w:rsidR="007F18EE" w:rsidRPr="00612653">
        <w:rPr>
          <w:rFonts w:ascii="Book Antiqua" w:hAnsi="Book Antiqua"/>
          <w:sz w:val="24"/>
          <w:szCs w:val="24"/>
          <w:lang w:val="en-US"/>
        </w:rPr>
        <w:t>, including OCA,</w:t>
      </w:r>
      <w:r w:rsidR="00507A56" w:rsidRPr="00612653">
        <w:rPr>
          <w:rFonts w:ascii="Book Antiqua" w:hAnsi="Book Antiqua"/>
          <w:sz w:val="24"/>
          <w:szCs w:val="24"/>
          <w:lang w:val="en-US"/>
        </w:rPr>
        <w:t xml:space="preserve"> have </w:t>
      </w:r>
      <w:r w:rsidR="003A0C05" w:rsidRPr="00612653">
        <w:rPr>
          <w:rFonts w:ascii="Book Antiqua" w:hAnsi="Book Antiqua"/>
          <w:sz w:val="24"/>
          <w:szCs w:val="24"/>
          <w:lang w:val="en-US"/>
        </w:rPr>
        <w:t>shown</w:t>
      </w:r>
      <w:r w:rsidR="00507A56" w:rsidRPr="00612653">
        <w:rPr>
          <w:rFonts w:ascii="Book Antiqua" w:hAnsi="Book Antiqua"/>
          <w:sz w:val="24"/>
          <w:szCs w:val="24"/>
          <w:lang w:val="en-US"/>
        </w:rPr>
        <w:t xml:space="preserve"> </w:t>
      </w:r>
      <w:r w:rsidR="00770CEA" w:rsidRPr="00612653">
        <w:rPr>
          <w:rFonts w:ascii="Book Antiqua" w:hAnsi="Book Antiqua"/>
          <w:sz w:val="24"/>
          <w:szCs w:val="24"/>
          <w:lang w:val="en-US"/>
        </w:rPr>
        <w:t xml:space="preserve">similar effects in </w:t>
      </w:r>
      <w:r w:rsidR="00204B2B" w:rsidRPr="00612653">
        <w:rPr>
          <w:rFonts w:ascii="Book Antiqua" w:hAnsi="Book Antiqua"/>
          <w:sz w:val="24"/>
          <w:szCs w:val="24"/>
          <w:lang w:val="en-US"/>
        </w:rPr>
        <w:t>genetic and methinonin</w:t>
      </w:r>
      <w:r w:rsidR="00B97F44" w:rsidRPr="00612653">
        <w:rPr>
          <w:rFonts w:ascii="Book Antiqua" w:hAnsi="Book Antiqua"/>
          <w:sz w:val="24"/>
          <w:szCs w:val="24"/>
          <w:lang w:val="en-US"/>
        </w:rPr>
        <w:t>e</w:t>
      </w:r>
      <w:r w:rsidR="00204B2B" w:rsidRPr="00612653">
        <w:rPr>
          <w:rFonts w:ascii="Book Antiqua" w:hAnsi="Book Antiqua"/>
          <w:sz w:val="24"/>
          <w:szCs w:val="24"/>
          <w:lang w:val="en-US"/>
        </w:rPr>
        <w:t>-choline deficient (</w:t>
      </w:r>
      <w:r w:rsidR="00897CE1" w:rsidRPr="00612653">
        <w:rPr>
          <w:rFonts w:ascii="Book Antiqua" w:hAnsi="Book Antiqua"/>
          <w:sz w:val="24"/>
          <w:szCs w:val="24"/>
          <w:lang w:val="en-US"/>
        </w:rPr>
        <w:t>MCD</w:t>
      </w:r>
      <w:r w:rsidR="00204B2B" w:rsidRPr="00612653">
        <w:rPr>
          <w:rFonts w:ascii="Book Antiqua" w:hAnsi="Book Antiqua"/>
          <w:sz w:val="24"/>
          <w:szCs w:val="24"/>
          <w:lang w:val="en-US"/>
        </w:rPr>
        <w:t>)</w:t>
      </w:r>
      <w:r w:rsidR="00897CE1" w:rsidRPr="00612653">
        <w:rPr>
          <w:rFonts w:ascii="Book Antiqua" w:hAnsi="Book Antiqua"/>
          <w:sz w:val="24"/>
          <w:szCs w:val="24"/>
          <w:lang w:val="en-US"/>
        </w:rPr>
        <w:t xml:space="preserve"> </w:t>
      </w:r>
      <w:r w:rsidR="00204B2B" w:rsidRPr="00612653">
        <w:rPr>
          <w:rFonts w:ascii="Book Antiqua" w:hAnsi="Book Antiqua"/>
          <w:sz w:val="24"/>
          <w:szCs w:val="24"/>
          <w:lang w:val="en-US"/>
        </w:rPr>
        <w:t xml:space="preserve">dietary </w:t>
      </w:r>
      <w:r w:rsidR="00507A56" w:rsidRPr="00612653">
        <w:rPr>
          <w:rFonts w:ascii="Book Antiqua" w:hAnsi="Book Antiqua"/>
          <w:sz w:val="24"/>
          <w:szCs w:val="24"/>
          <w:lang w:val="en-US"/>
        </w:rPr>
        <w:t>models of NASH</w:t>
      </w:r>
      <w:r w:rsidR="00507A56" w:rsidRPr="00612653">
        <w:rPr>
          <w:rFonts w:ascii="Book Antiqua" w:hAnsi="Book Antiqua"/>
          <w:sz w:val="24"/>
          <w:szCs w:val="24"/>
        </w:rPr>
        <w:fldChar w:fldCharType="begin" w:fldLock="1"/>
      </w:r>
      <w:r w:rsidR="00C5337D" w:rsidRPr="00612653">
        <w:rPr>
          <w:rFonts w:ascii="Book Antiqua" w:hAnsi="Book Antiqua"/>
          <w:sz w:val="24"/>
          <w:szCs w:val="24"/>
          <w:lang w:val="en-US"/>
        </w:rPr>
        <w:instrText>ADDIN CSL_CITATION { "citationItems" : [ { "id" : "ITEM-1", "itemData" : { "DOI" : "10.1016/j.jhep.2009.03.025", "ISSN" : "01688278", "PMID" : "19501927", "abstract" : "BACKGROUND/AIMS The farnesoid X receptor (FXR) is a member of the nuclear hormone receptor superfamily, which plays an essential role in the regulation of enterohepatic circulation and lipid homeostasis. Here we investigated whether WAY-362450, a synthetic potent FXR agonist, could protect against non-alcoholic steatohepatitis (NASH) in mice fed a methionine and choline-deficient (MCD) diet. METHODS Male C57BL/6 mice on the MCD diet were treated with or without WAY-362450 (30 mg/kg) for 4 weeks. RESULTS The elevations of serum ALT and AST activities induced by the MCD diet were decreased with WAY-362450 treatment. In terms of liver histology, while WAY-362450 treatment showed no impact on hepatic triglyceride accumulation, it significantly reduced inflammatory cell infiltration and hepatic fibrosis. The reduction in inflammatory cell infiltration correlated with deceased serum levels of keratinocyte derived chemokine (mKC) and MCP 1 and decreased hepatic gene expression of MCP-1 and VCAM-1. The reduction of hepatic fibrosis by WAY-362450 treatment corresponded to a reduction in hepatic gene expression of fibrosis markers. The positive effects of WAY-362450 were FXR-dependent since no protection was observed in MCD diet-fed FXR deficient mice. CONCLUSIONS These findings demonstrate that FXR agonists may be useful for the treatment of non-alcoholic steatohepatitis.", "author" : [ { "dropping-particle" : "", "family" : "Zhang", "given" : "Songwen", "non-dropping-particle" : "", "parse-names" : false, "suffix" : "" }, { "dropping-particle" : "", "family" : "Wang", "given" : "Juan", "non-dropping-particle" : "", "parse-names" : false, "suffix" : "" }, { "dropping-particle" : "", "family" : "Liu", "given" : "Qiangyuan", "non-dropping-particle" : "", "parse-names" : false, "suffix" : "" }, { "dropping-particle" : "", "family" : "Harnish", "given" : "Douglas C.", "non-dropping-particle" : "", "parse-names" : false, "suffix" : "" } ], "container-title" : "Journal of Hepatology", "id" : "ITEM-1", "issue" : "2", "issued" : { "date-parts" : [ [ "2009", "8" ] ] }, "page" : "380-388", "title" : "Farnesoid X receptor agonist WAY-362450 attenuates liver inflammation and fibrosis in murine model of non-alcoholic steatohepatitis", "type" : "article-journal", "volume" : "51" }, "uris" : [ "http://www.mendeley.com/documents/?uuid=9a1d4eb0-f50e-3270-a97a-f7809e4f7904" ] }, { "id" : "ITEM-2", "itemData" : { "DOI" : "10.1074/jbc.M112.446575", "ISSN" : "0021-9258", "PMID" : "23460643", "abstract" : "Nonalcoholic fatty liver disease (NAFLD) affects a large proportion of the American population. The spectrum of disease ranges from bland steatosis without inflammation to nonalcoholic steatohepatitis and cirrhosis. Bile acids are critical regulators of hepatic lipid and glucose metabolism and signal through two major receptor pathways: farnesoid X receptor (FXR), a member of the nuclear hormone receptor superfamily, and TGR5, a G protein-coupled bile acid receptor (GPBAR1). Both FXR and TGR5 demonstrate pleiotropic functions, including immune modulation. To evaluate the effects of these pathways in NAFLD, we treated obese db/db mice with a dual FXR/TGR5 agonist (INT-767) for 6 weeks. Treatment with the agonist significantly improved the histological features of nonalcoholic steatohepatitis. Furthermore, treatment increased the proportion of intrahepatic monocytes with the anti-inflammatory Ly6C(low) phenotype and increased intrahepatic expression of genes expressed by alternatively activated macrophages, including CD206, Retnla, and Clec7a. In vitro treatment of monocytes with INT-767 led to decreased Ly6C expression and increased IL-10 production through a cAMP-dependent pathway. Our data indicate that FXR/TGR5 activation coordinates the immune phenotype of monocytes and macrophages, both in vitro and in vivo, identifying potential targeting strategies for treatment of NAFLD.", "author" : [ { "dropping-particle" : "", "family" : "McMahan", "given" : "Rachel H.", "non-dropping-particle" : "", "parse-names" : false, "suffix" : "" }, { "dropping-particle" : "", "family" : "Wang", "given" : "Xiaoxin X.", "non-dropping-particle" : "", "parse-names" : false, "suffix" : "" }, { "dropping-particle" : "", "family" : "Cheng", "given" : "Lin Ling", "non-dropping-particle" : "", "parse-names" : false, "suffix" : "" }, { "dropping-particle" : "", "family" : "Krisko", "given" : "Tibor", "non-dropping-particle" : "", "parse-names" : false, "suffix" : "" }, { "dropping-particle" : "", "family" : "Smith", "given" : "Maxwell", "non-dropping-particle" : "", "parse-names" : false, "suffix" : "" }, { "dropping-particle" : "", "family" : "Kasmi", "given" : "Karim", "non-dropping-particle" : "El", "parse-names" : false, "suffix" : "" }, { "dropping-particle" : "", "family" : "Pruzanski", "given" : "Mark", "non-dropping-particle" : "", "parse-names" : false, "suffix" : "" }, { "dropping-particle" : "", "family" : "Adorini", "given" : "Luciano", "non-dropping-particle" : "", "parse-names" : false, "suffix" : "" }, { "dropping-particle" : "", "family" : "Golden-Mason", "given" : "Lucy", "non-dropping-particle" : "", "parse-names" : false, "suffix" : "" }, { "dropping-particle" : "", "family" : "Levi", "given" : "Moshe", "non-dropping-particle" : "", "parse-names" : false, "suffix" : "" }, { "dropping-particle" : "", "family" : "Rosen", "given" : "Hugo R.", "non-dropping-particle" : "", "parse-names" : false, "suffix" : "" } ], "container-title" : "Journal of Biological Chemistry", "id" : "ITEM-2", "issue" : "17", "issued" : { "date-parts" : [ [ "2013", "4", "26" ] ] }, "page" : "11761-11770", "title" : "Bile Acid Receptor Activation Modulates Hepatic Monocyte Activity and Improves Nonalcoholic Fatty Liver Disease", "type" : "article-journal", "volume" : "288" }, "uris" : [ "http://www.mendeley.com/documents/?uuid=69727ad6-b411-4ef1-9969-1e25640366ed" ] }, { "id" : "ITEM-3", "itemData" : { "DOI" : "10.1002/oby.21701", "ISSN" : "1930-739X", "PMID" : "27804232", "abstract" : "OBJECTIVE Nonalcoholic steatohepatitis (NASH) is the outcome of interactions between overnutrition, energy metabolism, and adipose function. Obeticholic acid (OCA) improves steatosis in patients but for unknown reasons does not resolve NASH pathology. This study therefore investigated OCA effects in Wt mice, which develop obesity with atherogenic dietary feeding, and appetite-dysregulated, Alms1 mutant foz/foz mice fed the same diet, which develop metabolic obesity and diabetes. METHODS OCA (1 mg/kg) was administered orally to female foz/foz mice and Wt littermates from weaning until 28 weeks. Adipose indices, glucose tolerance, and fatty liver pathology were studied. Experiments were repeated with OCA 10 mg/kg. RESULTS OCA reduced body weight and hepatic lipids and improved glucose disposal only in Wt mice. OCA limited Wt adipose expansion, altered morphometry in favor of small adipocytes, enhanced expression of genes indicating adipose browning, and reduced crown-like structure number in visceral adipose tissue. foz/foz mice showed more crown-like structures in all compartments; OCA failed to alter adipose morphometry, browning, inflammation, or improve NASH severity, even at 10 mg/kg. CONCLUSIONS OCA improved adipose indices, glucose tolerance, and steatosis in a milder metabolic phenotype but failed to improve these factors in morbidly obese diabetic mice. These results help explain OCA's limited efficacy to reverse human NASH.", "author" : [ { "dropping-particle" : "", "family" : "Haczeyni", "given" : "Fahrettin", "non-dropping-particle" : "", "parse-names" : false, "suffix" : "" }, { "dropping-particle" : "", "family" : "Poekes", "given" : "Laurence", "non-dropping-particle" : "", "parse-names" : false, "suffix" : "" }, { "dropping-particle" : "", "family" : "Wang", "given" : "Hans", "non-dropping-particle" : "", "parse-names" : false, "suffix" : "" }, { "dropping-particle" : "", "family" : "Mridha", "given" : "Auvro R", "non-dropping-particle" : "", "parse-names" : false, "suffix" : "" }, { "dropping-particle" : "", "family" : "Barn", "given" : "Vanessa", "non-dropping-particle" : "", "parse-names" : false, "suffix" : "" }, { "dropping-particle" : "", "family" : "Geoffrey Haigh", "given" : "W", "non-dropping-particle" : "", "parse-names" : false, "suffix" : "" }, { "dropping-particle" : "", "family" : "Ioannou", "given" : "George N", "non-dropping-particle" : "", "parse-names" : false, "suffix" : "" }, { "dropping-particle" : "", "family" : "Yeh", "given" : "Matthew M", "non-dropping-particle" : "", "parse-names" : false, "suffix" : "" }, { "dropping-particle" : "", "family" : "Leclercq", "given" : "Isabelle A", "non-dropping-particle" : "", "parse-names" : false, "suffix" : "" }, { "dropping-particle" : "", "family" : "Teoh", "given" : "Narcissus C", "non-dropping-particle" : "", "parse-names" : false, "suffix" : "" }, { "dropping-particle" : "", "family" : "Farrell", "given" : "Geoffrey C", "non-dropping-particle" : "", "parse-names" : false, "suffix" : "" } ], "container-title" : "Obesity (Silver Spring, Md.)", "id" : "ITEM-3", "issue" : "1", "issued" : { "date-parts" : [ [ "2017", "1" ] ] }, "page" : "155-165", "title" : "Obeticholic acid improves adipose morphometry and inflammation and reduces steatosis in dietary but not metabolic obesity in mice.", "type" : "article-journal", "volume" : "25" }, "uris" : [ "http://www.mendeley.com/documents/?uuid=aca95c94-5b43-316e-8edc-a492d341e981" ] } ], "mendeley" : { "formattedCitation" : "&lt;sup&gt;[13,15,51]&lt;/sup&gt;", "plainTextFormattedCitation" : "[13,15,51]", "previouslyFormattedCitation" : "&lt;sup&gt;[13,15,51]&lt;/sup&gt;" }, "properties" : { "noteIndex" : 0 }, "schema" : "https://github.com/citation-style-language/schema/raw/master/csl-citation.json" }</w:instrText>
      </w:r>
      <w:r w:rsidR="00507A56" w:rsidRPr="00612653">
        <w:rPr>
          <w:rFonts w:ascii="Book Antiqua" w:hAnsi="Book Antiqua"/>
          <w:sz w:val="24"/>
          <w:szCs w:val="24"/>
          <w:vertAlign w:val="superscript"/>
          <w:lang w:val="en-US"/>
        </w:rPr>
        <w:fldChar w:fldCharType="separate"/>
      </w:r>
      <w:r w:rsidR="00C5337D" w:rsidRPr="00612653">
        <w:rPr>
          <w:rFonts w:ascii="Book Antiqua" w:hAnsi="Book Antiqua"/>
          <w:noProof/>
          <w:sz w:val="24"/>
          <w:szCs w:val="24"/>
          <w:vertAlign w:val="superscript"/>
          <w:lang w:val="en-US"/>
        </w:rPr>
        <w:t>[13,15,51]</w:t>
      </w:r>
      <w:r w:rsidR="00507A56" w:rsidRPr="00612653">
        <w:rPr>
          <w:rFonts w:ascii="Book Antiqua" w:hAnsi="Book Antiqua"/>
          <w:sz w:val="24"/>
          <w:szCs w:val="24"/>
        </w:rPr>
        <w:fldChar w:fldCharType="end"/>
      </w:r>
      <w:r w:rsidR="00770CEA" w:rsidRPr="00612653">
        <w:rPr>
          <w:rFonts w:ascii="Book Antiqua" w:hAnsi="Book Antiqua"/>
          <w:sz w:val="24"/>
          <w:szCs w:val="24"/>
          <w:lang w:val="en-US"/>
        </w:rPr>
        <w:t xml:space="preserve">. </w:t>
      </w:r>
      <w:r w:rsidR="00507A56" w:rsidRPr="00612653">
        <w:rPr>
          <w:rFonts w:ascii="Book Antiqua" w:hAnsi="Book Antiqua"/>
          <w:sz w:val="24"/>
          <w:szCs w:val="24"/>
          <w:lang w:val="en-US"/>
        </w:rPr>
        <w:t xml:space="preserve">The </w:t>
      </w:r>
      <w:r w:rsidR="00E40AFF" w:rsidRPr="00612653">
        <w:rPr>
          <w:rFonts w:ascii="Book Antiqua" w:hAnsi="Book Antiqua"/>
          <w:sz w:val="24"/>
          <w:szCs w:val="24"/>
          <w:lang w:val="en-US"/>
        </w:rPr>
        <w:t xml:space="preserve">improvement </w:t>
      </w:r>
      <w:r w:rsidR="00507A56" w:rsidRPr="00612653">
        <w:rPr>
          <w:rFonts w:ascii="Book Antiqua" w:hAnsi="Book Antiqua"/>
          <w:sz w:val="24"/>
          <w:szCs w:val="24"/>
          <w:lang w:val="en-US"/>
        </w:rPr>
        <w:t xml:space="preserve">of steatohepatitis </w:t>
      </w:r>
      <w:r w:rsidR="00770CEA" w:rsidRPr="00612653">
        <w:rPr>
          <w:rFonts w:ascii="Book Antiqua" w:hAnsi="Book Antiqua"/>
          <w:sz w:val="24"/>
          <w:szCs w:val="24"/>
          <w:lang w:val="en-US"/>
        </w:rPr>
        <w:t xml:space="preserve">in DIO-NASH mice </w:t>
      </w:r>
      <w:r w:rsidR="00FC1937" w:rsidRPr="00612653">
        <w:rPr>
          <w:rFonts w:ascii="Book Antiqua" w:hAnsi="Book Antiqua"/>
          <w:sz w:val="24"/>
          <w:szCs w:val="24"/>
          <w:lang w:val="en-US"/>
        </w:rPr>
        <w:t>corresponded</w:t>
      </w:r>
      <w:r w:rsidR="00507A56" w:rsidRPr="00612653">
        <w:rPr>
          <w:rFonts w:ascii="Book Antiqua" w:hAnsi="Book Antiqua"/>
          <w:sz w:val="24"/>
          <w:szCs w:val="24"/>
          <w:lang w:val="en-US"/>
        </w:rPr>
        <w:t xml:space="preserve"> to reduced </w:t>
      </w:r>
      <w:r w:rsidR="00770CEA" w:rsidRPr="00612653">
        <w:rPr>
          <w:rFonts w:ascii="Book Antiqua" w:hAnsi="Book Antiqua"/>
          <w:sz w:val="24"/>
          <w:szCs w:val="24"/>
          <w:lang w:val="en-US"/>
        </w:rPr>
        <w:t xml:space="preserve">expression </w:t>
      </w:r>
      <w:r w:rsidR="00FC1937" w:rsidRPr="00612653">
        <w:rPr>
          <w:rFonts w:ascii="Book Antiqua" w:hAnsi="Book Antiqua"/>
          <w:sz w:val="24"/>
          <w:szCs w:val="24"/>
          <w:lang w:val="en-US"/>
        </w:rPr>
        <w:t>of genes</w:t>
      </w:r>
      <w:r w:rsidR="00B77849" w:rsidRPr="00612653">
        <w:rPr>
          <w:rFonts w:ascii="Book Antiqua" w:hAnsi="Book Antiqua"/>
          <w:sz w:val="24"/>
          <w:szCs w:val="24"/>
          <w:lang w:val="en-US"/>
        </w:rPr>
        <w:t xml:space="preserve"> that are important transcriptional targets of FXRs </w:t>
      </w:r>
      <w:r w:rsidR="00FC1937" w:rsidRPr="00612653">
        <w:rPr>
          <w:rFonts w:ascii="Book Antiqua" w:hAnsi="Book Antiqua"/>
          <w:sz w:val="24"/>
          <w:szCs w:val="24"/>
          <w:lang w:val="en-US"/>
        </w:rPr>
        <w:t>and</w:t>
      </w:r>
      <w:r w:rsidR="00B77849" w:rsidRPr="00612653">
        <w:rPr>
          <w:rFonts w:ascii="Book Antiqua" w:hAnsi="Book Antiqua"/>
          <w:sz w:val="24"/>
          <w:szCs w:val="24"/>
          <w:lang w:val="en-US"/>
        </w:rPr>
        <w:t xml:space="preserve"> regulat</w:t>
      </w:r>
      <w:r w:rsidR="007F18EE" w:rsidRPr="00612653">
        <w:rPr>
          <w:rFonts w:ascii="Book Antiqua" w:hAnsi="Book Antiqua"/>
          <w:sz w:val="24"/>
          <w:szCs w:val="24"/>
          <w:lang w:val="en-US"/>
        </w:rPr>
        <w:t>e</w:t>
      </w:r>
      <w:r w:rsidR="00FC1937" w:rsidRPr="00612653">
        <w:rPr>
          <w:rFonts w:ascii="Book Antiqua" w:hAnsi="Book Antiqua"/>
          <w:sz w:val="24"/>
          <w:szCs w:val="24"/>
          <w:lang w:val="en-US"/>
        </w:rPr>
        <w:t xml:space="preserve"> </w:t>
      </w:r>
      <w:r w:rsidR="00271A61" w:rsidRPr="00612653">
        <w:rPr>
          <w:rFonts w:ascii="Book Antiqua" w:hAnsi="Book Antiqua"/>
          <w:sz w:val="24"/>
          <w:szCs w:val="24"/>
          <w:lang w:val="en-US"/>
        </w:rPr>
        <w:t xml:space="preserve">hepatocyte </w:t>
      </w:r>
      <w:r w:rsidR="00770CEA" w:rsidRPr="00612653">
        <w:rPr>
          <w:rFonts w:ascii="Book Antiqua" w:hAnsi="Book Antiqua"/>
          <w:sz w:val="24"/>
          <w:szCs w:val="24"/>
          <w:lang w:val="en-US"/>
        </w:rPr>
        <w:t>lipid metabolism and macrophage activity</w:t>
      </w:r>
      <w:r w:rsidR="00770CEA" w:rsidRPr="00612653">
        <w:rPr>
          <w:rFonts w:ascii="Book Antiqua" w:hAnsi="Book Antiqua"/>
          <w:sz w:val="24"/>
          <w:szCs w:val="24"/>
        </w:rPr>
        <w:fldChar w:fldCharType="begin" w:fldLock="1"/>
      </w:r>
      <w:r w:rsidR="00C5337D" w:rsidRPr="00612653">
        <w:rPr>
          <w:rFonts w:ascii="Book Antiqua" w:hAnsi="Book Antiqua"/>
          <w:sz w:val="24"/>
          <w:szCs w:val="24"/>
          <w:lang w:val="en-US"/>
        </w:rPr>
        <w:instrText>ADDIN CSL_CITATION { "citationItems" : [ { "id" : "ITEM-1", "itemData" : { "DOI" : "10.1038/nrendo.2014.60", "ISSN" : "1759-5029", "PMID" : "24821328", "abstract" : "Over the past decade, it has become apparent that bile acids are involved in a host of activities beyond their classic functions in bile formation and fat absorption. The identification of the farnesoid X receptor (FXR) as a nuclear receptor directly activated by bile acids and the discovery that bile acids are also ligands for the membrane-bound, G-protein coupled bile acid receptor 1 (also known as TGR5) have opened new avenues of research. Both FXR and TGR5 regulate various elements of glucose, lipid and energy metabolism. Consequently, a picture has emerged of bile acids acting as modulators of (postprandial) metabolism. Therefore, strategies that interfere with either bile acid metabolism or signalling cascades mediated by bile acids may represent novel therapeutic approaches for metabolic diseases. Synthetic modulators of FXR have been designed and tested, primarily in animal models. Furthermore, the use of bile acid sequestrants to reduce plasma cholesterol levels has unexpected benefits. For example, treatment of patients with type 2 diabetes mellitus (T2DM) with sequestrants causes substantial reductions in plasma levels of glucose and HbA1c. This Review aims to provide an overview of the molecular mechanisms by which bile acids modulate glucose and energy metabolism, particularly focusing on the glucose-lowering actions of bile acid sequestrants in insulin resistant states and T2DM.", "author" : [ { "dropping-particle" : "", "family" : "Kuipers", "given" : "Folkert", "non-dropping-particle" : "", "parse-names" : false, "suffix" : "" }, { "dropping-particle" : "", "family" : "Bloks", "given" : "Vincent W.", "non-dropping-particle" : "", "parse-names" : false, "suffix" : "" }, { "dropping-particle" : "", "family" : "Groen", "given" : "Albert K.", "non-dropping-particle" : "", "parse-names" : false, "suffix" : "" } ], "container-title" : "Nature Reviews Endocrinology", "id" : "ITEM-1", "issue" : "8", "issued" : { "date-parts" : [ [ "2014", "5", "13" ] ] }, "page" : "488-498", "title" : "Beyond intestinal soap\u2014bile acids in metabolic control", "type" : "article-journal", "volume" : "10" }, "uris" : [ "http://www.mendeley.com/documents/?uuid=f5839e35-6eeb-3a84-9c8b-6f12d11df1c2" ] } ], "mendeley" : { "formattedCitation" : "&lt;sup&gt;[52]&lt;/sup&gt;", "plainTextFormattedCitation" : "[52]", "previouslyFormattedCitation" : "&lt;sup&gt;[52]&lt;/sup&gt;" }, "properties" : { "noteIndex" : 0 }, "schema" : "https://github.com/citation-style-language/schema/raw/master/csl-citation.json" }</w:instrText>
      </w:r>
      <w:r w:rsidR="00770CEA"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[52]</w:t>
      </w:r>
      <w:r w:rsidR="00770CEA" w:rsidRPr="00612653">
        <w:rPr>
          <w:rFonts w:ascii="Book Antiqua" w:hAnsi="Book Antiqua"/>
          <w:sz w:val="24"/>
          <w:szCs w:val="24"/>
        </w:rPr>
        <w:fldChar w:fldCharType="end"/>
      </w:r>
      <w:r w:rsidR="00770CEA" w:rsidRPr="00612653">
        <w:rPr>
          <w:rFonts w:ascii="Book Antiqua" w:hAnsi="Book Antiqua"/>
          <w:sz w:val="24"/>
          <w:szCs w:val="24"/>
          <w:lang w:val="en-US"/>
        </w:rPr>
        <w:t>.</w:t>
      </w:r>
      <w:r w:rsidR="005A549A" w:rsidRPr="00612653">
        <w:rPr>
          <w:rFonts w:ascii="Book Antiqua" w:hAnsi="Book Antiqua"/>
          <w:sz w:val="24"/>
          <w:szCs w:val="24"/>
          <w:lang w:val="en-US"/>
        </w:rPr>
        <w:t xml:space="preserve"> </w:t>
      </w:r>
      <w:r w:rsidR="00A30174" w:rsidRPr="00612653">
        <w:rPr>
          <w:rFonts w:ascii="Book Antiqua" w:hAnsi="Book Antiqua"/>
          <w:sz w:val="24"/>
          <w:szCs w:val="24"/>
          <w:lang w:val="en-US"/>
        </w:rPr>
        <w:t>Whereas several genes involved in cholesterol and lipoprotein metabolism are transcriptional targets of hepatocyte FXRs</w:t>
      </w:r>
      <w:r w:rsidR="00A30174" w:rsidRPr="00612653">
        <w:rPr>
          <w:rFonts w:ascii="Book Antiqua" w:hAnsi="Book Antiqua"/>
          <w:sz w:val="24"/>
          <w:szCs w:val="24"/>
          <w:lang w:val="en-US"/>
        </w:rPr>
        <w:fldChar w:fldCharType="begin" w:fldLock="1"/>
      </w:r>
      <w:r w:rsidR="00C5337D" w:rsidRPr="00612653">
        <w:rPr>
          <w:rFonts w:ascii="Book Antiqua" w:hAnsi="Book Antiqua"/>
          <w:sz w:val="24"/>
          <w:szCs w:val="24"/>
          <w:lang w:val="en-US"/>
        </w:rPr>
        <w:instrText>ADDIN CSL_CITATION { "citationItems" : [ { "id" : "ITEM-1", "itemData" : { "DOI" : "10.1016/j.tips.2009.08.001", "ISSN" : "01656147", "PMID" : "19758712", "abstract" : "Bile acids are a family of steroid molecules generated in the liver by cholesterol oxidation. In addition to their role in nutrient absorption, bile acids are signaling molecules that exert genomic and non-genomic effects by activating TGR5 (M-BAR, GP-BAR1 or BG37) a G-protein-coupled receptor, and farnesoid X receptor (FXR), a member of the nuclear hormone receptor superfamily. Ligands for these receptors might be beneficial in treating disorders of lipid and glucose homeostasis. TGR5 ligands decrease blood glucose levels and increase energy expenditure by promoting intracellular thyroid hormone activation in thermogenically competent tissues. FXR agonists repress the synthesis of endogenous bile acids and reduce triglyceride, cholesterol and glucose plasma levels and are currently being tested in nonalcoholic steatohepatitis. FXR modulators are being developed to target selective gene clusters and avoid the negative impact of FXR on HDL biosynthesis. The development of dual FXR and TGR5 ligands could provide new opportunities for the treatment of lipid and glucose disorders.", "author" : [ { "dropping-particle" : "", "family" : "Fiorucci", "given" : "Stefano", "non-dropping-particle" : "", "parse-names" : false, "suffix" : "" }, { "dropping-particle" : "", "family" : "Mencarelli", "given" : "Andrea", "non-dropping-particle" : "", "parse-names" : false, "suffix" : "" }, { "dropping-particle" : "", "family" : "Palladino", "given" : "Giuseppe", "non-dropping-particle" : "", "parse-names" : false, "suffix" : "" }, { "dropping-particle" : "", "family" : "Cipriani", "given" : "Sabrina", "non-dropping-particle" : "", "parse-names" : false, "suffix" : "" } ], "container-title" : "Trends in Pharmacological Sciences", "id" : "ITEM-1", "issue" : "11", "issued" : { "date-parts" : [ [ "2009", "11" ] ] }, "page" : "570-580", "title" : "Bile-acid-activated receptors: targeting TGR5 and farnesoid-X-receptor in lipid and glucose disorders", "type" : "article-journal", "volume" : "30" }, "uris" : [ "http://www.mendeley.com/documents/?uuid=3de5df5f-489f-373a-9272-d6e7c92ae02b", "http://www.mendeley.com/documents/?uuid=4df5fb01-78b3-4556-8e7d-03c483a58108" ] } ], "mendeley" : { "formattedCitation" : "&lt;sup&gt;[53]&lt;/sup&gt;", "plainTextFormattedCitation" : "[53]", "previouslyFormattedCitation" : "&lt;sup&gt;[53]&lt;/sup&gt;" }, "properties" : { "noteIndex" : 0 }, "schema" : "https://github.com/citation-style-language/schema/raw/master/csl-citation.json" }</w:instrText>
      </w:r>
      <w:r w:rsidR="00A30174"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[53]</w:t>
      </w:r>
      <w:r w:rsidR="00A30174" w:rsidRPr="00612653">
        <w:rPr>
          <w:rFonts w:ascii="Book Antiqua" w:hAnsi="Book Antiqua"/>
          <w:sz w:val="24"/>
          <w:szCs w:val="24"/>
          <w:lang w:val="en-US"/>
        </w:rPr>
        <w:fldChar w:fldCharType="end"/>
      </w:r>
      <w:r w:rsidR="00A30174" w:rsidRPr="00612653">
        <w:rPr>
          <w:rFonts w:ascii="Book Antiqua" w:hAnsi="Book Antiqua"/>
          <w:sz w:val="24"/>
          <w:szCs w:val="24"/>
          <w:lang w:val="en-US"/>
        </w:rPr>
        <w:t xml:space="preserve">, it </w:t>
      </w:r>
      <w:r w:rsidR="006D358A" w:rsidRPr="00612653">
        <w:rPr>
          <w:rFonts w:ascii="Book Antiqua" w:hAnsi="Book Antiqua"/>
          <w:sz w:val="24"/>
          <w:szCs w:val="24"/>
          <w:lang w:val="en-US"/>
        </w:rPr>
        <w:t>is</w:t>
      </w:r>
      <w:r w:rsidR="00A30174" w:rsidRPr="00612653">
        <w:rPr>
          <w:rFonts w:ascii="Book Antiqua" w:hAnsi="Book Antiqua"/>
          <w:sz w:val="24"/>
          <w:szCs w:val="24"/>
          <w:lang w:val="en-US"/>
        </w:rPr>
        <w:t xml:space="preserve"> </w:t>
      </w:r>
      <w:r w:rsidR="006D358A" w:rsidRPr="00612653">
        <w:rPr>
          <w:rFonts w:ascii="Book Antiqua" w:hAnsi="Book Antiqua"/>
          <w:sz w:val="24"/>
          <w:szCs w:val="24"/>
          <w:lang w:val="en-US"/>
        </w:rPr>
        <w:t>not resolved</w:t>
      </w:r>
      <w:r w:rsidR="00A30174" w:rsidRPr="00612653">
        <w:rPr>
          <w:rFonts w:ascii="Book Antiqua" w:hAnsi="Book Antiqua"/>
          <w:sz w:val="24"/>
          <w:szCs w:val="24"/>
          <w:lang w:val="en-US"/>
        </w:rPr>
        <w:t xml:space="preserve"> whether FXR stimulation directly activates master transcription factors that controls the expression of genes involved in fatty acid biosynthesis</w:t>
      </w:r>
      <w:r w:rsidR="00A30174" w:rsidRPr="00612653">
        <w:rPr>
          <w:rFonts w:ascii="Book Antiqua" w:hAnsi="Book Antiqua"/>
          <w:sz w:val="24"/>
          <w:szCs w:val="24"/>
          <w:lang w:val="en-US"/>
        </w:rPr>
        <w:fldChar w:fldCharType="begin" w:fldLock="1"/>
      </w:r>
      <w:r w:rsidR="00C5337D" w:rsidRPr="00612653">
        <w:rPr>
          <w:rFonts w:ascii="Book Antiqua" w:hAnsi="Book Antiqua"/>
          <w:sz w:val="24"/>
          <w:szCs w:val="24"/>
          <w:lang w:val="en-US"/>
        </w:rPr>
        <w:instrText>ADDIN CSL_CITATION { "citationItems" : [ { "id" : "ITEM-1", "itemData" : { "DOI" : "10.1016/j.bcp.2013.08.015", "ISSN" : "00062952", "PMID" : "23988487", "abstract" : "Accumulating data have shown that bile acids are important cell signaling molecules, which may activate several signaling pathways to regulate biological processes. Bile acids are endogenous ligands for the farnesoid X receptor (FXR) and TGR5, a G-protein coupled receptor. Gain- and loss-of-function studies have demonstrated that both FXR and TGR5 play important roles in regulating lipid and carbohydrate metabolism and inflammatory responses. Importantly, activation of FXR or TGR5 lowers hepatic triglyceride levels and inhibits inflammation. Such properties of FXR or TGR5 have indicated that these two bile acid receptors are ideal targets for treatment of non-alcoholic fatty liver disease, one of the major health concerns worldwide. In this article, we will focus on recent advances on the role of both FXR and TGR5 in regulating hepatic triglyceride metabolism and inflammatory responses under normal and disease conditions.", "author" : [ { "dropping-particle" : "", "family" : "Li", "given" : "Yuanyuan", "non-dropping-particle" : "", "parse-names" : false, "suffix" : "" }, { "dropping-particle" : "", "family" : "Jadhav", "given" : "Kavita", "non-dropping-particle" : "", "parse-names" : false, "suffix" : "" }, { "dropping-particle" : "", "family" : "Zhang", "given" : "Yanqiao", "non-dropping-particle" : "", "parse-names" : false, "suffix" : "" } ], "container-title" : "Biochemical Pharmacology", "id" : "ITEM-1", "issue" : "11", "issued" : { "date-parts" : [ [ "2013", "12", "1" ] ] }, "page" : "1517-1524", "title" : "Bile acid receptors in non-alcoholic fatty liver disease", "type" : "article-journal", "volume" : "86" }, "uris" : [ "http://www.mendeley.com/documents/?uuid=3e1aac8b-3495-3c45-9334-66f4d47f1fae", "http://www.mendeley.com/documents/?uuid=3718cedf-b1ed-439b-871f-b7fbccdf8708" ] } ], "mendeley" : { "formattedCitation" : "&lt;sup&gt;[54]&lt;/sup&gt;", "plainTextFormattedCitation" : "[54]", "previouslyFormattedCitation" : "&lt;sup&gt;[54]&lt;/sup&gt;" }, "properties" : { "noteIndex" : 0 }, "schema" : "https://github.com/citation-style-language/schema/raw/master/csl-citation.json" }</w:instrText>
      </w:r>
      <w:r w:rsidR="00A30174"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[54]</w:t>
      </w:r>
      <w:r w:rsidR="00A30174" w:rsidRPr="00612653">
        <w:rPr>
          <w:rFonts w:ascii="Book Antiqua" w:hAnsi="Book Antiqua"/>
          <w:sz w:val="24"/>
          <w:szCs w:val="24"/>
          <w:lang w:val="en-US"/>
        </w:rPr>
        <w:fldChar w:fldCharType="end"/>
      </w:r>
      <w:r w:rsidR="00A30174" w:rsidRPr="00612653">
        <w:rPr>
          <w:rFonts w:ascii="Book Antiqua" w:hAnsi="Book Antiqua"/>
          <w:sz w:val="24"/>
          <w:szCs w:val="24"/>
          <w:lang w:val="en-US"/>
        </w:rPr>
        <w:t xml:space="preserve">. As FXRs also suppress transcriptional activity </w:t>
      </w:r>
      <w:r w:rsidR="00C02399" w:rsidRPr="00612653">
        <w:rPr>
          <w:rFonts w:ascii="Book Antiqua" w:hAnsi="Book Antiqua"/>
          <w:sz w:val="24"/>
          <w:szCs w:val="24"/>
          <w:lang w:val="en-US"/>
        </w:rPr>
        <w:t xml:space="preserve">of </w:t>
      </w:r>
      <w:r w:rsidR="00A30174" w:rsidRPr="00612653">
        <w:rPr>
          <w:rFonts w:ascii="Book Antiqua" w:hAnsi="Book Antiqua"/>
          <w:sz w:val="24"/>
          <w:szCs w:val="24"/>
          <w:lang w:val="en-US"/>
        </w:rPr>
        <w:t>several carbohydrate responsive genes, it is assumed that FXR reduces TG levels mainly through increasing plasma lipoprotein clearance and improving hepatic insulin resistance</w:t>
      </w:r>
      <w:r w:rsidR="00A30174" w:rsidRPr="00612653">
        <w:rPr>
          <w:rFonts w:ascii="Book Antiqua" w:hAnsi="Book Antiqua"/>
          <w:sz w:val="24"/>
          <w:szCs w:val="24"/>
          <w:lang w:val="en-US"/>
        </w:rPr>
        <w:fldChar w:fldCharType="begin" w:fldLock="1"/>
      </w:r>
      <w:r w:rsidR="00C5337D" w:rsidRPr="00612653">
        <w:rPr>
          <w:rFonts w:ascii="Book Antiqua" w:hAnsi="Book Antiqua"/>
          <w:sz w:val="24"/>
          <w:szCs w:val="24"/>
          <w:lang w:val="en-US"/>
        </w:rPr>
        <w:instrText>ADDIN CSL_CITATION { "citationItems" : [ { "id" : "ITEM-1", "itemData" : { "DOI" : "10.1038/nrendo.2014.60", "ISSN" : "1759-5029", "PMID" : "24821328", "abstract" : "Over the past decade, it has become apparent that bile acids are involved in a host of activities beyond their classic functions in bile formation and fat absorption. The identification of the farnesoid X receptor (FXR) as a nuclear receptor directly activated by bile acids and the discovery that bile acids are also ligands for the membrane-bound, G-protein coupled bile acid receptor 1 (also known as TGR5) have opened new avenues of research. Both FXR and TGR5 regulate various elements of glucose, lipid and energy metabolism. Consequently, a picture has emerged of bile acids acting as modulators of (postprandial) metabolism. Therefore, strategies that interfere with either bile acid metabolism or signalling cascades mediated by bile acids may represent novel therapeutic approaches for metabolic diseases. Synthetic modulators of FXR have been designed and tested, primarily in animal models. Furthermore, the use of bile acid sequestrants to reduce plasma cholesterol levels has unexpected benefits. For example, treatment of patients with type 2 diabetes mellitus (T2DM) with sequestrants causes substantial reductions in plasma levels of glucose and HbA1c. This Review aims to provide an overview of the molecular mechanisms by which bile acids modulate glucose and energy metabolism, particularly focusing on the glucose-lowering actions of bile acid sequestrants in insulin resistant states and T2DM.", "author" : [ { "dropping-particle" : "", "family" : "Kuipers", "given" : "Folkert", "non-dropping-particle" : "", "parse-names" : false, "suffix" : "" }, { "dropping-particle" : "", "family" : "Bloks", "given" : "Vincent W.", "non-dropping-particle" : "", "parse-names" : false, "suffix" : "" }, { "dropping-particle" : "", "family" : "Groen", "given" : "Albert K.", "non-dropping-particle" : "", "parse-names" : false, "suffix" : "" } ], "container-title" : "Nature Reviews Endocrinology", "id" : "ITEM-1", "issue" : "8", "issued" : { "date-parts" : [ [ "2014", "5", "13" ] ] }, "page" : "488-498", "title" : "Beyond intestinal soap\u2014bile acids in metabolic control", "type" : "article-journal", "volume" : "10" }, "uris" : [ "http://www.mendeley.com/documents/?uuid=f5839e35-6eeb-3a84-9c8b-6f12d11df1c2", "http://www.mendeley.com/documents/?uuid=373498bc-648d-499e-bccd-d074d231ee7b" ] }, { "id" : "ITEM-2", "itemData" : { "DOI" : "10.1016/j.bcp.2013.08.015", "ISSN" : "00062952", "PMID" : "23988487", "abstract" : "Accumulating data have shown that bile acids are important cell signaling molecules, which may activate several signaling pathways to regulate biological processes. Bile acids are endogenous ligands for the farnesoid X receptor (FXR) and TGR5, a G-protein coupled receptor. Gain- and loss-of-function studies have demonstrated that both FXR and TGR5 play important roles in regulating lipid and carbohydrate metabolism and inflammatory responses. Importantly, activation of FXR or TGR5 lowers hepatic triglyceride levels and inhibits inflammation. Such properties of FXR or TGR5 have indicated that these two bile acid receptors are ideal targets for treatment of non-alcoholic fatty liver disease, one of the major health concerns worldwide. In this article, we will focus on recent advances on the role of both FXR and TGR5 in regulating hepatic triglyceride metabolism and inflammatory responses under normal and disease conditions.", "author" : [ { "dropping-particle" : "", "family" : "Li", "given" : "Yuanyuan", "non-dropping-particle" : "", "parse-names" : false, "suffix" : "" }, { "dropping-particle" : "", "family" : "Jadhav", "given" : "Kavita", "non-dropping-particle" : "", "parse-names" : false, "suffix" : "" }, { "dropping-particle" : "", "family" : "Zhang", "given" : "Yanqiao", "non-dropping-particle" : "", "parse-names" : false, "suffix" : "" } ], "container-title" : "Biochemical Pharmacology", "id" : "ITEM-2", "issue" : "11", "issued" : { "date-parts" : [ [ "2013", "12", "1" ] ] }, "page" : "1517-1524", "title" : "Bile acid receptors in non-alcoholic fatty liver disease", "type" : "article-journal", "volume" : "86" }, "uris" : [ "http://www.mendeley.com/documents/?uuid=3718cedf-b1ed-439b-871f-b7fbccdf8708", "http://www.mendeley.com/documents/?uuid=3e1aac8b-3495-3c45-9334-66f4d47f1fae" ] }, { "id" : "ITEM-3", "itemData" : { "DOI" : "10.1016/j.tips.2009.08.001", "ISSN" : "01656147", "PMID" : "19758712", "abstract" : "Bile acids are a family of steroid molecules generated in the liver by cholesterol oxidation. In addition to their role in nutrient absorption, bile acids are signaling molecules that exert genomic and non-genomic effects by activating TGR5 (M-BAR, GP-BAR1 or BG37) a G-protein-coupled receptor, and farnesoid X receptor (FXR), a member of the nuclear hormone receptor superfamily. Ligands for these receptors might be beneficial in treating disorders of lipid and glucose homeostasis. TGR5 ligands decrease blood glucose levels and increase energy expenditure by promoting intracellular thyroid hormone activation in thermogenically competent tissues. FXR agonists repress the synthesis of endogenous bile acids and reduce triglyceride, cholesterol and glucose plasma levels and are currently being tested in nonalcoholic steatohepatitis. FXR modulators are being developed to target selective gene clusters and avoid the negative impact of FXR on HDL biosynthesis. The development of dual FXR and TGR5 ligands could provide new opportunities for the treatment of lipid and glucose disorders.", "author" : [ { "dropping-particle" : "", "family" : "Fiorucci", "given" : "Stefano", "non-dropping-particle" : "", "parse-names" : false, "suffix" : "" }, { "dropping-particle" : "", "family" : "Mencarelli", "given" : "Andrea", "non-dropping-particle" : "", "parse-names" : false, "suffix" : "" }, { "dropping-particle" : "", "family" : "Palladino", "given" : "Giuseppe", "non-dropping-particle" : "", "parse-names" : false, "suffix" : "" }, { "dropping-particle" : "", "family" : "Cipriani", "given" : "Sabrina", "non-dropping-particle" : "", "parse-names" : false, "suffix" : "" } ], "container-title" : "Trends in Pharmacological Sciences", "id" : "ITEM-3", "issue" : "11", "issued" : { "date-parts" : [ [ "2009", "11" ] ] }, "page" : "570-580", "title" : "Bile-acid-activated receptors: targeting TGR5 and farnesoid-X-receptor in lipid and glucose disorders", "type" : "article-journal", "volume" : "30" }, "uris" : [ "http://www.mendeley.com/documents/?uuid=4df5fb01-78b3-4556-8e7d-03c483a58108", "http://www.mendeley.com/documents/?uuid=3de5df5f-489f-373a-9272-d6e7c92ae02b", "http://www.mendeley.com/documents/?uuid=3503d142-bc8e-4463-9eac-ac9abcf2e2b8" ] } ], "mendeley" : { "formattedCitation" : "&lt;sup&gt;[52\u201354]&lt;/sup&gt;", "plainTextFormattedCitation" : "[52\u201354]", "previouslyFormattedCitation" : "&lt;sup&gt;[52\u201354]&lt;/sup&gt;" }, "properties" : { "noteIndex" : 0 }, "schema" : "https://github.com/citation-style-language/schema/raw/master/csl-citation.json" }</w:instrText>
      </w:r>
      <w:r w:rsidR="00A30174"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[52</w:t>
      </w:r>
      <w:r w:rsidR="0042492D">
        <w:rPr>
          <w:rFonts w:ascii="Book Antiqua" w:hAnsi="Book Antiqua" w:hint="eastAsia"/>
          <w:noProof/>
          <w:sz w:val="24"/>
          <w:szCs w:val="24"/>
          <w:vertAlign w:val="superscript"/>
          <w:lang w:val="en-US" w:eastAsia="zh-CN"/>
        </w:rPr>
        <w:t>-</w:t>
      </w:r>
      <w:r w:rsidR="00C5337D" w:rsidRPr="00612653">
        <w:rPr>
          <w:rFonts w:ascii="Book Antiqua" w:hAnsi="Book Antiqua"/>
          <w:noProof/>
          <w:sz w:val="24"/>
          <w:szCs w:val="24"/>
          <w:vertAlign w:val="superscript"/>
          <w:lang w:val="en-US"/>
        </w:rPr>
        <w:t>54]</w:t>
      </w:r>
      <w:r w:rsidR="00A30174" w:rsidRPr="00612653">
        <w:rPr>
          <w:rFonts w:ascii="Book Antiqua" w:hAnsi="Book Antiqua"/>
          <w:sz w:val="24"/>
          <w:szCs w:val="24"/>
          <w:lang w:val="en-US"/>
        </w:rPr>
        <w:fldChar w:fldCharType="end"/>
      </w:r>
      <w:r w:rsidR="00A30174" w:rsidRPr="00612653">
        <w:rPr>
          <w:rFonts w:ascii="Book Antiqua" w:hAnsi="Book Antiqua"/>
          <w:sz w:val="24"/>
          <w:szCs w:val="24"/>
          <w:lang w:val="en-US"/>
        </w:rPr>
        <w:t xml:space="preserve">. </w:t>
      </w:r>
      <w:r w:rsidR="00B23210" w:rsidRPr="00612653">
        <w:rPr>
          <w:rFonts w:ascii="Book Antiqua" w:hAnsi="Book Antiqua"/>
          <w:sz w:val="24"/>
          <w:szCs w:val="24"/>
          <w:lang w:val="en-US"/>
        </w:rPr>
        <w:t>The anti-inflammatory effects of FXR are well-established. Accordingly, several studies have reported that FXR agonists, including OCA, attenuate hepatic inflammatio</w:t>
      </w:r>
      <w:r w:rsidR="0042492D">
        <w:rPr>
          <w:rFonts w:ascii="Book Antiqua" w:hAnsi="Book Antiqua"/>
          <w:sz w:val="24"/>
          <w:szCs w:val="24"/>
          <w:lang w:val="en-US"/>
        </w:rPr>
        <w:t>n in high-fat fed obese rodents</w:t>
      </w:r>
      <w:r w:rsidR="00B23210" w:rsidRPr="00612653">
        <w:rPr>
          <w:rFonts w:ascii="Book Antiqua" w:hAnsi="Book Antiqua"/>
          <w:sz w:val="24"/>
          <w:szCs w:val="24"/>
          <w:lang w:val="en-US"/>
        </w:rPr>
        <w:fldChar w:fldCharType="begin" w:fldLock="1"/>
      </w:r>
      <w:r w:rsidR="00C5337D" w:rsidRPr="00612653">
        <w:rPr>
          <w:rFonts w:ascii="Book Antiqua" w:hAnsi="Book Antiqua"/>
          <w:sz w:val="24"/>
          <w:szCs w:val="24"/>
          <w:lang w:val="en-US"/>
        </w:rPr>
        <w:instrText>ADDIN CSL_CITATION { "citationItems" : [ { "id" : "ITEM-1", "itemData" : { "DOI" : "10.1007/s11095-013-0986-7", "ISSN" : "0724-8741", "PMID" : "23371517", "abstract" : "PURPOSE To examine the effect of farnesoid X receptor (FXR) activation by its synthetic agonist, 3-[2-[2-Chloro-4-[[3-(2,6-dichlorophenyl)-5-(1-methylethyl)-4-isoxazolyl]methoxy]phenyl]ethenyl]benzoic acid (GW4064) on diet-induced obesity and hepatic steatosis. METHODS Fifteen week-old C57BL/6 mice fed with high-fat diet (HFD) or high-fat, high-cholesterol diet were treated by twice weekly injection of GW4064 (50\u00a0mg/kg) intraperitoneally or DMSO (carrier solution) for 6\u00a0weeks. Body weight, body composition and food intake were monitored weekly. Serum glucose and insulin levels and lipid content in the liver were measured at the end of study. Additionally, genes involved in lipogenesis, gluconeogenesis and inflammation were analyzed by real time PCR. CD36 protein level was detected by western blot. RESULTS Activation of FXR by GW4064 suppressed weight gain in C57BL/6 mice fed with either HFD or high-fat and high-cholesterol diet. GW4064 treatment of mice significantly repressed diet-induced hepatic steatosis as evidenced by lower triglyceride and free fatty acid level in the liver. Analysis of genes involved in lipid metabolism showed GW4064 markedly reduced lipid transporter Cd36 gene expression without affecting expression of genes that are directly involved in lipogenesis. GW4064 treatment attenuated hepatic inflammation while having no effect on white adipose tissue. In addition, activation of FXR by GW4064 avoided diet-induced hyperinsulinemia and hyperglycemia through decreasing the transcript levels of phosphoenolpyruvate carboxykinase (Pepck) and glucose-6-phosphatase (G6pase), two key enzymes in gluconeogenesis. CONCLUSIONS The results verify the important function of FXR in diet-induced obesity and suggest that FXR agonists are promising therapeutic agents for obesity-associated metabolic disorders.", "author" : [ { "dropping-particle" : "", "family" : "Ma", "given" : "Yongjie", "non-dropping-particle" : "", "parse-names" : false, "suffix" : "" }, { "dropping-particle" : "", "family" : "Huang", "given" : "Yixian", "non-dropping-particle" : "", "parse-names" : false, "suffix" : "" }, { "dropping-particle" : "", "family" : "Yan", "given" : "Linna", "non-dropping-particle" : "", "parse-names" : false, "suffix" : "" }, { "dropping-particle" : "", "family" : "Gao", "given" : "Mingming", "non-dropping-particle" : "", "parse-names" : false, "suffix" : "" }, { "dropping-particle" : "", "family" : "Liu", "given" : "Dexi", "non-dropping-particle" : "", "parse-names" : false, "suffix" : "" } ], "container-title" : "Pharmaceutical Research", "id" : "ITEM-1", "issue" : "5", "issued" : { "date-parts" : [ [ "2013", "5", "1" ] ] }, "page" : "1447-1457", "title" : "Synthetic FXR Agonist GW4064 Prevents Diet-Induced Hepatic Steatosis and Insulin Resistance", "type" : "article-journal", "volume" : "30" }, "uris" : [ "http://www.mendeley.com/documents/?uuid=74f7699d-5d5b-3578-acdc-97274a95fb21", "http://www.mendeley.com/documents/?uuid=0e9bd604-f529-4730-8334-297c18c68c4b" ] }, { "id" : "ITEM-2", "itemData" : { "DOI" : "10.1016/j.jhep.2009.03.025", "ISSN" : "01688278", "PMID" : "19501927", "abstract" : "BACKGROUND/AIMS The farnesoid X receptor (FXR) is a member of the nuclear hormone receptor superfamily, which plays an essential role in the regulation of enterohepatic circulation and lipid homeostasis. Here we investigated whether WAY-362450, a synthetic potent FXR agonist, could protect against non-alcoholic steatohepatitis (NASH) in mice fed a methionine and choline-deficient (MCD) diet. METHODS Male C57BL/6 mice on the MCD diet were treated with or without WAY-362450 (30 mg/kg) for 4 weeks. RESULTS The elevations of serum ALT and AST activities induced by the MCD diet were decreased with WAY-362450 treatment. In terms of liver histology, while WAY-362450 treatment showed no impact on hepatic triglyceride accumulation, it significantly reduced inflammatory cell infiltration and hepatic fibrosis. The reduction in inflammatory cell infiltration correlated with deceased serum levels of keratinocyte derived chemokine (mKC) and MCP 1 and decreased hepatic gene expression of MCP-1 and VCAM-1. The reduction of hepatic fibrosis by WAY-362450 treatment corresponded to a reduction in hepatic gene expression of fibrosis markers. The positive effects of WAY-362450 were FXR-dependent since no protection was observed in MCD diet-fed FXR deficient mice. CONCLUSIONS These findings demonstrate that FXR agonists may be useful for the treatment of non-alcoholic steatohepatitis.", "author" : [ { "dropping-particle" : "", "family" : "Zhang", "given" : "Songwen", "non-dropping-particle" : "", "parse-names" : false, "suffix" : "" }, { "dropping-particle" : "", "family" : "Wang", "given" : "Juan", "non-dropping-particle" : "", "parse-names" : false, "suffix" : "" }, { "dropping-particle" : "", "family" : "Liu", "given" : "Qiangyuan", "non-dropping-particle" : "", "parse-names" : false, "suffix" : "" }, { "dropping-particle" : "", "family" : "Harnish", "given" : "Douglas C.", "non-dropping-particle" : "", "parse-names" : false, "suffix" : "" } ], "container-title" : "Journal of Hepatology", "id" : "ITEM-2", "issue" : "2", "issued" : { "date-parts" : [ [ "2009", "8" ] ] }, "page" : "380-388", "title" : "Farnesoid X receptor agonist WAY-362450 attenuates liver inflammation and fibrosis in murine model of non-alcoholic steatohepatitis", "type" : "article-journal", "volume" : "51" }, "uris" : [ "http://www.mendeley.com/documents/?uuid=9a1d4eb0-f50e-3270-a97a-f7809e4f7904", "http://www.mendeley.com/documents/?uuid=7750031e-c91d-49a7-9bd3-c089ca2d87c8" ] }, { "id" : "ITEM-3", "itemData" : { "DOI" : "10.1074/jbc.M112.446575", "ISSN" : "0021-9258", "PMID" : "23460643", "abstract" : "Nonalcoholic fatty liver disease (NAFLD) affects a large proportion of the American population. The spectrum of disease ranges from bland steatosis without inflammation to nonalcoholic steatohepatitis and cirrhosis. Bile acids are critical regulators of hepatic lipid and glucose metabolism and signal through two major receptor pathways: farnesoid X receptor (FXR), a member of the nuclear hormone receptor superfamily, and TGR5, a G protein-coupled bile acid receptor (GPBAR1). Both FXR and TGR5 demonstrate pleiotropic functions, including immune modulation. To evaluate the effects of these pathways in NAFLD, we treated obese db/db mice with a dual FXR/TGR5 agonist (INT-767) for 6 weeks. Treatment with the agonist significantly improved the histological features of nonalcoholic steatohepatitis. Furthermore, treatment increased the proportion of intrahepatic monocytes with the anti-inflammatory Ly6C(low) phenotype and increased intrahepatic expression of genes expressed by alternatively activated macrophages, including CD206, Retnla, and Clec7a. In vitro treatment of monocytes with INT-767 led to decreased Ly6C expression and increased IL-10 production through a cAMP-dependent pathway. Our data indicate that FXR/TGR5 activation coordinates the immune phenotype of monocytes and macrophages, both in vitro and in vivo, identifying potential targeting strategies for treatment of NAFLD.", "author" : [ { "dropping-particle" : "", "family" : "McMahan", "given" : "Rachel H.", "non-dropping-particle" : "", "parse-names" : false, "suffix" : "" }, { "dropping-particle" : "", "family" : "Wang", "given" : "Xiaoxin X.", "non-dropping-particle" : "", "parse-names" : false, "suffix" : "" }, { "dropping-particle" : "", "family" : "Cheng", "given" : "Lin Ling", "non-dropping-particle" : "", "parse-names" : false, "suffix" : "" }, { "dropping-particle" : "", "family" : "Krisko", "given" : "Tibor", "non-dropping-particle" : "", "parse-names" : false, "suffix" : "" }, { "dropping-particle" : "", "family" : "Smith", "given" : "Maxwell", "non-dropping-particle" : "", "parse-names" : false, "suffix" : "" }, { "dropping-particle" : "", "family" : "Kasmi", "given" : "Karim", "non-dropping-particle" : "El", "parse-names" : false, "suffix" : "" }, { "dropping-particle" : "", "family" : "Pruzanski", "given" : "Mark", "non-dropping-particle" : "", "parse-names" : false, "suffix" : "" }, { "dropping-particle" : "", "family" : "Adorini", "given" : "Luciano", "non-dropping-particle" : "", "parse-names" : false, "suffix" : "" }, { "dropping-particle" : "", "family" : "Golden-Mason", "given" : "Lucy", "non-dropping-particle" : "", "parse-names" : false, "suffix" : "" }, { "dropping-particle" : "", "family" : "Levi", "given" : "Moshe", "non-dropping-particle" : "", "parse-names" : false, "suffix" : "" }, { "dropping-particle" : "", "family" : "Rosen", "given" : "Hugo R.", "non-dropping-particle" : "", "parse-names" : false, "suffix" : "" } ], "container-title" : "Journal of Biological Chemistry", "id" : "ITEM-3", "issue" : "17", "issued" : { "date-parts" : [ [ "2013", "4", "26" ] ] }, "page" : "11761-11770", "title" : "Bile Acid Receptor Activation Modulates Hepatic Monocyte Activity and Improves Nonalcoholic Fatty Liver Disease", "type" : "article-journal", "volume" : "288" }, "uris" : [ "http://www.mendeley.com/documents/?uuid=69727ad6-b411-4ef1-9969-1e25640366ed" ] }, { "id" : "ITEM-4", "itemData" : { "DOI" : "10.1194/jlr.M001602", "ISSN" : "1539-7262", "PMID" : "19783811", "abstract" : "The farnesoid X receptor (FXR) is a bile acid activated nuclear receptor. Zucker (fa/fa) rats, harboring a loss of function mutation of the leptin receptor, develop diabetes, insulin resistance, obesity, and liver steatosis. In this study, we investigated the effect of FXR activation by 6-ethyl-chenodeoxycholic acid, (6E-CDCA, 10 mg/kg) on insulin resistance and liver and muscle lipid metabolism in fa/fa rats and compared its activity with rosiglitazone (10 mg/kg) alone or in combination with 6E-CDCA (5 mg/kg each). In comparison to lean (fa/+), fa/fa rats on a normal diet developed insulin resistance and liver steatosis. FXR activation protected against body weight gain and liver and muscle fat deposition and reversed insulin resistance as assessed by insulin responsive substrate-1 phosphorylation on serine 312 in liver and muscles. Activation of FXR reduced liver expression of genes involved in fatty acid synthesis, lipogenesis, and gluconeogenesis. In the muscles, FXR treatment reduced free fatty acid synthesis. Rosiglitazone reduced blood insulin, glucose, triglyceride, free fatty acid, and cholesterol plasma levels but promoted body weight gain (20%) and liver fat deposition. FXR activation reduced high density lipoprotein plasma levels. In summary, FXR administration reversed insulin resistance and correct lipid metabolism abnormalities in an obesity animal model.", "author" : [ { "dropping-particle" : "", "family" : "Cipriani", "given" : "Sabrina", "non-dropping-particle" : "", "parse-names" : false, "suffix" : "" }, { "dropping-particle" : "", "family" : "Mencarelli", "given" : "Andrea", "non-dropping-particle" : "", "parse-names" : false, "suffix" : "" }, { "dropping-particle" : "", "family" : "Palladino", "given" : "Giuseppe", "non-dropping-particle" : "", "parse-names" : false, "suffix" : "" }, { "dropping-particle" : "", "family" : "Fiorucci", "given" : "Stefano", "non-dropping-particle" : "", "parse-names" : false, "suffix" : "" } ], "container-title" : "Journal of lipid research", "id" : "ITEM-4", "issue" : "4", "issued" : { "date-parts" : [ [ "2010", "4" ] ] }, "page" : "771-84", "title" : "FXR activation reverses insulin resistance and lipid abnormalities and protects against liver steatosis in Zucker (fa/fa) obese rats.", "type" : "article-journal", "volume" : "51" }, "uris" : [ "http://www.mendeley.com/documents/?uuid=579e5083-59d2-3d73-baa7-589beb245b27", "http://www.mendeley.com/documents/?uuid=743399e0-2b88-4ea6-8fdb-2629fea6e284" ] } ], "mendeley" : { "formattedCitation" : "&lt;sup&gt;[15,51,55,56]&lt;/sup&gt;", "plainTextFormattedCitation" : "[15,51,55,56]", "previouslyFormattedCitation" : "&lt;sup&gt;[15,51,55,56]&lt;/sup&gt;" }, "properties" : { "noteIndex" : 0 }, "schema" : "https://github.com/citation-style-language/schema/raw/master/csl-citation.json" }</w:instrText>
      </w:r>
      <w:r w:rsidR="00B23210"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[15,51,55,56]</w:t>
      </w:r>
      <w:r w:rsidR="00B23210" w:rsidRPr="00612653">
        <w:rPr>
          <w:rFonts w:ascii="Book Antiqua" w:hAnsi="Book Antiqua"/>
          <w:sz w:val="24"/>
          <w:szCs w:val="24"/>
          <w:lang w:val="en-US"/>
        </w:rPr>
        <w:fldChar w:fldCharType="end"/>
      </w:r>
      <w:r w:rsidR="00B23210" w:rsidRPr="00612653">
        <w:rPr>
          <w:rFonts w:ascii="Book Antiqua" w:hAnsi="Book Antiqua"/>
          <w:sz w:val="24"/>
          <w:szCs w:val="24"/>
          <w:lang w:val="en-US"/>
        </w:rPr>
        <w:t xml:space="preserve">, and </w:t>
      </w:r>
      <w:r w:rsidR="00B23210" w:rsidRPr="00612653">
        <w:rPr>
          <w:rFonts w:ascii="Book Antiqua" w:hAnsi="Book Antiqua"/>
          <w:i/>
          <w:sz w:val="24"/>
          <w:szCs w:val="24"/>
          <w:lang w:val="en-US"/>
        </w:rPr>
        <w:t>Fxr</w:t>
      </w:r>
      <w:r w:rsidR="00B23210" w:rsidRPr="00612653">
        <w:rPr>
          <w:rFonts w:ascii="Book Antiqua" w:hAnsi="Book Antiqua"/>
          <w:sz w:val="24"/>
          <w:szCs w:val="24"/>
          <w:lang w:val="en-US"/>
        </w:rPr>
        <w:t>-null mice are highly sensitive to develop severe steatohepatitis when fed an obesogenic diet</w:t>
      </w:r>
      <w:r w:rsidR="00B23210" w:rsidRPr="00612653">
        <w:rPr>
          <w:rFonts w:ascii="Book Antiqua" w:hAnsi="Book Antiqua"/>
          <w:sz w:val="24"/>
          <w:szCs w:val="24"/>
          <w:lang w:val="en-US"/>
        </w:rPr>
        <w:fldChar w:fldCharType="begin" w:fldLock="1"/>
      </w:r>
      <w:r w:rsidR="00C5337D" w:rsidRPr="00612653">
        <w:rPr>
          <w:rFonts w:ascii="Book Antiqua" w:hAnsi="Book Antiqua"/>
          <w:sz w:val="24"/>
          <w:szCs w:val="24"/>
          <w:lang w:val="en-US"/>
        </w:rPr>
        <w:instrText>ADDIN CSL_CITATION { "citationItems" : [ { "id" : "ITEM-1", "itemData" : { "DOI" : "10.1124/jpet.108.144600", "ISSN" : "0022-3565", "PMID" : "18948497", "abstract" : "Nonalcoholic steatohepatitis (NASH) comprises dysregulation of lipid metabolism and inflammation. Identification of the various genetic and environmental susceptibility factors for NASH may provide novel treatments to limit inflammation and fibrosis in patients. This study utilized a mouse model of hypercholesterolemia, low-density lipoprotein receptor knockout (LDLr(-/-)) mice fed a high-fat diet for 5 months, to test the hypothesis that farnesoid X receptor (FXR) deficiency contributed to NASH development. Either the high-fat diet or FXR deficiency increased serum alanine aminotransferase activity, whereas only FXR deficiency increased bile acid and alkaline phosphatase levels. FXR deficiency and high-fat feeding increased serum cholesterol and triglycerides. Although high fat led to macrosteatosis and hepatocyte ballooning in livers of mice regardless of genotype, no inflammatory infiltrate was observed in the livers of LDLr(-/-) mice. In contrast, in the livers of LDLr(-/-)/FXR(-/-) mice, foci of inflammatory cells were observed occasionally when fed the control diet and were greatly increased when fed the high-fat diet. Consistent with enhanced inflammatory cells, hepatic levels of tumor necrosis factor alpha and intercellular adhesion molecule-1 mRNA were increased by the high-fat diet in LDLr(-/-)/FXR(-/-) mice. In agreement with elevated levels of procollagen 1 alpha 1 and TGF-beta mRNA, type 1 collagen protein levels were increased in livers of LDLr(-/-)/FXR(-/-) mice fed a high-fat diet. In conclusion, FXR deficiency induces pathologic manifestations required for NASH diagnosis in a mouse model of hypercholesterolemia, including macrosteatosis, hepatocyte ballooning, and inflammation, which suggest a combination of FXR deficiency and high-fat diet is a risk factor for NASH development, and activation of FXR may be a therapeutic intervention in the treatment of NASH.", "author" : [ { "dropping-particle" : "", "family" : "Kong", "given" : "B.", "non-dropping-particle" : "", "parse-names" : false, "suffix" : "" }, { "dropping-particle" : "", "family" : "Luyendyk", "given" : "J. P.", "non-dropping-particle" : "", "parse-names" : false, "suffix" : "" }, { "dropping-particle" : "", "family" : "Tawfik", "given" : "O.", "non-dropping-particle" : "", "parse-names" : false, "suffix" : "" }, { "dropping-particle" : "", "family" : "Guo", "given" : "G. L.", "non-dropping-particle" : "", "parse-names" : false, "suffix" : "" } ], "container-title" : "Journal of Pharmacology and Experimental Therapeutics", "id" : "ITEM-1", "issue" : "1", "issued" : { "date-parts" : [ [ "2009", "1", "1" ] ] }, "page" : "116-122", "title" : "Farnesoid X Receptor Deficiency Induces Nonalcoholic Steatohepatitis in Low-Density Lipoprotein Receptor-Knockout Mice Fed a High-Fat Diet", "type" : "article-journal", "volume" : "328" }, "uris" : [ "http://www.mendeley.com/documents/?uuid=833f7a3e-1ad9-3ab8-bb74-e3d4b77dd81f", "http://www.mendeley.com/documents/?uuid=a3746979-20f4-4fbe-9680-9aa67dbdaccf" ] } ], "mendeley" : { "formattedCitation" : "&lt;sup&gt;[57]&lt;/sup&gt;", "plainTextFormattedCitation" : "[57]", "previouslyFormattedCitation" : "&lt;sup&gt;[57]&lt;/sup&gt;" }, "properties" : { "noteIndex" : 0 }, "schema" : "https://github.com/citation-style-language/schema/raw/master/csl-citation.json" }</w:instrText>
      </w:r>
      <w:r w:rsidR="00B23210"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[57]</w:t>
      </w:r>
      <w:r w:rsidR="00B23210" w:rsidRPr="00612653">
        <w:rPr>
          <w:rFonts w:ascii="Book Antiqua" w:hAnsi="Book Antiqua"/>
          <w:sz w:val="24"/>
          <w:szCs w:val="24"/>
          <w:lang w:val="en-US"/>
        </w:rPr>
        <w:fldChar w:fldCharType="end"/>
      </w:r>
      <w:r w:rsidR="00B23210" w:rsidRPr="00612653">
        <w:rPr>
          <w:rFonts w:ascii="Book Antiqua" w:hAnsi="Book Antiqua"/>
          <w:sz w:val="24"/>
          <w:szCs w:val="24"/>
          <w:lang w:val="en-US"/>
        </w:rPr>
        <w:t xml:space="preserve">. </w:t>
      </w:r>
      <w:r w:rsidR="008F5A8D" w:rsidRPr="00612653">
        <w:rPr>
          <w:rFonts w:ascii="Book Antiqua" w:hAnsi="Book Antiqua"/>
          <w:sz w:val="24"/>
          <w:szCs w:val="24"/>
          <w:lang w:val="en-US"/>
        </w:rPr>
        <w:t xml:space="preserve">OCA treatment </w:t>
      </w:r>
      <w:r w:rsidR="000C7CF1" w:rsidRPr="00612653">
        <w:rPr>
          <w:rFonts w:ascii="Book Antiqua" w:hAnsi="Book Antiqua"/>
          <w:sz w:val="24"/>
          <w:szCs w:val="24"/>
          <w:lang w:val="en-US"/>
        </w:rPr>
        <w:t xml:space="preserve">also </w:t>
      </w:r>
      <w:r w:rsidR="003A0C05" w:rsidRPr="00612653">
        <w:rPr>
          <w:rFonts w:ascii="Book Antiqua" w:hAnsi="Book Antiqua"/>
          <w:sz w:val="24"/>
          <w:szCs w:val="24"/>
          <w:lang w:val="en-US"/>
        </w:rPr>
        <w:t>reversed</w:t>
      </w:r>
      <w:r w:rsidR="000C7CF1" w:rsidRPr="00612653">
        <w:rPr>
          <w:rFonts w:ascii="Book Antiqua" w:hAnsi="Book Antiqua"/>
          <w:sz w:val="24"/>
          <w:szCs w:val="24"/>
          <w:lang w:val="en-US"/>
        </w:rPr>
        <w:t xml:space="preserve"> mild-stage</w:t>
      </w:r>
      <w:r w:rsidR="00572A09" w:rsidRPr="00612653">
        <w:rPr>
          <w:rFonts w:ascii="Book Antiqua" w:hAnsi="Book Antiqua"/>
          <w:sz w:val="24"/>
          <w:szCs w:val="24"/>
          <w:lang w:val="en-US"/>
        </w:rPr>
        <w:t xml:space="preserve"> hepatocyte ballooning</w:t>
      </w:r>
      <w:r w:rsidR="000C7CF1" w:rsidRPr="00612653">
        <w:rPr>
          <w:rFonts w:ascii="Book Antiqua" w:hAnsi="Book Antiqua"/>
          <w:sz w:val="24"/>
          <w:szCs w:val="24"/>
          <w:lang w:val="en-US"/>
        </w:rPr>
        <w:t xml:space="preserve"> in affected</w:t>
      </w:r>
      <w:r w:rsidR="00155A6C" w:rsidRPr="00612653">
        <w:rPr>
          <w:rFonts w:ascii="Book Antiqua" w:hAnsi="Book Antiqua"/>
          <w:sz w:val="24"/>
          <w:szCs w:val="24"/>
          <w:lang w:val="en-US"/>
        </w:rPr>
        <w:t xml:space="preserve"> </w:t>
      </w:r>
      <w:r w:rsidR="00155A6C" w:rsidRPr="00612653">
        <w:rPr>
          <w:rFonts w:ascii="Book Antiqua" w:hAnsi="Book Antiqua"/>
          <w:i/>
          <w:iCs/>
          <w:sz w:val="24"/>
          <w:szCs w:val="24"/>
          <w:lang w:val="en-US"/>
        </w:rPr>
        <w:t>ob/ob</w:t>
      </w:r>
      <w:r w:rsidR="00155A6C" w:rsidRPr="00612653">
        <w:rPr>
          <w:rFonts w:ascii="Book Antiqua" w:hAnsi="Book Antiqua"/>
          <w:sz w:val="24"/>
          <w:szCs w:val="24"/>
          <w:lang w:val="en-US"/>
        </w:rPr>
        <w:t>-NASH</w:t>
      </w:r>
      <w:r w:rsidR="000C7CF1" w:rsidRPr="00612653">
        <w:rPr>
          <w:rFonts w:ascii="Book Antiqua" w:hAnsi="Book Antiqua"/>
          <w:sz w:val="24"/>
          <w:szCs w:val="24"/>
          <w:lang w:val="en-US"/>
        </w:rPr>
        <w:t xml:space="preserve"> mice</w:t>
      </w:r>
      <w:r w:rsidR="00DB69F7" w:rsidRPr="00612653">
        <w:rPr>
          <w:rFonts w:ascii="Book Antiqua" w:hAnsi="Book Antiqua"/>
          <w:sz w:val="24"/>
          <w:szCs w:val="24"/>
          <w:lang w:val="en-US"/>
        </w:rPr>
        <w:t xml:space="preserve">. </w:t>
      </w:r>
      <w:r w:rsidR="00B23210" w:rsidRPr="00612653">
        <w:rPr>
          <w:rFonts w:ascii="Book Antiqua" w:hAnsi="Book Antiqua"/>
          <w:sz w:val="24"/>
          <w:szCs w:val="24"/>
          <w:lang w:val="en-US"/>
        </w:rPr>
        <w:t>OCA has previously been reported to reverse low-grade hepatocyte ballooning in mice fed an ath</w:t>
      </w:r>
      <w:r w:rsidR="00E5409E" w:rsidRPr="00612653">
        <w:rPr>
          <w:rFonts w:ascii="Book Antiqua" w:hAnsi="Book Antiqua"/>
          <w:sz w:val="24"/>
          <w:szCs w:val="24"/>
          <w:lang w:val="en-US"/>
        </w:rPr>
        <w:t>erogenic diet</w:t>
      </w:r>
      <w:r w:rsidR="00E5409E" w:rsidRPr="00612653">
        <w:rPr>
          <w:rFonts w:ascii="Book Antiqua" w:hAnsi="Book Antiqua"/>
          <w:sz w:val="24"/>
          <w:szCs w:val="24"/>
          <w:lang w:val="en-US"/>
        </w:rPr>
        <w:fldChar w:fldCharType="begin" w:fldLock="1"/>
      </w:r>
      <w:r w:rsidR="00E5409E" w:rsidRPr="00612653">
        <w:rPr>
          <w:rFonts w:ascii="Book Antiqua" w:hAnsi="Book Antiqua"/>
          <w:sz w:val="24"/>
          <w:szCs w:val="24"/>
          <w:lang w:val="en-US"/>
        </w:rPr>
        <w:instrText>ADDIN CSL_CITATION { "citationItems" : [ { "id" : "ITEM-1", "itemData" : { "DOI" : "10.1002/oby.21701", "ISSN" : "1930-739X", "PMID" : "27804232", "abstract" : "OBJECTIVE Nonalcoholic steatohepatitis (NASH) is the outcome of interactions between overnutrition, energy metabolism, and adipose function. Obeticholic acid (OCA) improves steatosis in patients but for unknown reasons does not resolve NASH pathology. This study therefore investigated OCA effects in Wt mice, which develop obesity with atherogenic dietary feeding, and appetite-dysregulated, Alms1 mutant foz/foz mice fed the same diet, which develop metabolic obesity and diabetes. METHODS OCA (1 mg/kg) was administered orally to female foz/foz mice and Wt littermates from weaning until 28 weeks. Adipose indices, glucose tolerance, and fatty liver pathology were studied. Experiments were repeated with OCA 10 mg/kg. RESULTS OCA reduced body weight and hepatic lipids and improved glucose disposal only in Wt mice. OCA limited Wt adipose expansion, altered morphometry in favor of small adipocytes, enhanced expression of genes indicating adipose browning, and reduced crown-like structure number in visceral adipose tissue. foz/foz mice showed more crown-like structures in all compartments; OCA failed to alter adipose morphometry, browning, inflammation, or improve NASH severity, even at 10 mg/kg. CONCLUSIONS OCA improved adipose indices, glucose tolerance, and steatosis in a milder metabolic phenotype but failed to improve these factors in morbidly obese diabetic mice. These results help explain OCA's limited efficacy to reverse human NASH.", "author" : [ { "dropping-particle" : "", "family" : "Haczeyni", "given" : "Fahrettin", "non-dropping-particle" : "", "parse-names" : false, "suffix" : "" }, { "dropping-particle" : "", "family" : "Poekes", "given" : "Laurence", "non-dropping-particle" : "", "parse-names" : false, "suffix" : "" }, { "dropping-particle" : "", "family" : "Wang", "given" : "Hans", "non-dropping-particle" : "", "parse-names" : false, "suffix" : "" }, { "dropping-particle" : "", "family" : "Mridha", "given" : "Auvro R", "non-dropping-particle" : "", "parse-names" : false, "suffix" : "" }, { "dropping-particle" : "", "family" : "Barn", "given" : "Vanessa", "non-dropping-particle" : "", "parse-names" : false, "suffix" : "" }, { "dropping-particle" : "", "family" : "Geoffrey Haigh", "given" : "W", "non-dropping-particle" : "", "parse-names" : false, "suffix" : "" }, { "dropping-particle" : "", "family" : "Ioannou", "given" : "George N", "non-dropping-particle" : "", "parse-names" : false, "suffix" : "" }, { "dropping-particle" : "", "family" : "Yeh", "given" : "Matthew M", "non-dropping-particle" : "", "parse-names" : false, "suffix" : "" }, { "dropping-particle" : "", "family" : "Leclercq", "given" : "Isabelle A", "non-dropping-particle" : "", "parse-names" : false, "suffix" : "" }, { "dropping-particle" : "", "family" : "Teoh", "given" : "Narcissus C", "non-dropping-particle" : "", "parse-names" : false, "suffix" : "" }, { "dropping-particle" : "", "family" : "Farrell", "given" : "Geoffrey C", "non-dropping-particle" : "", "parse-names" : false, "suffix" : "" } ], "container-title" : "Obesity (Silver Spring, Md.)", "id" : "ITEM-1", "issue" : "1", "issued" : { "date-parts" : [ [ "2017", "1" ] ] }, "page" : "155-165", "title" : "Obeticholic acid improves adipose morphometry and inflammation and reduces steatosis in dietary but not metabolic obesity in mice.", "type" : "article-journal", "volume" : "25" }, "uris" : [ "http://www.mendeley.com/documents/?uuid=aca95c94-5b43-316e-8edc-a492d341e981" ] } ], "mendeley" : { "formattedCitation" : "&lt;sup&gt;[13]&lt;/sup&gt;", "plainTextFormattedCitation" : "[13]", "previouslyFormattedCitation" : "&lt;sup&gt;[13]&lt;/sup&gt;" }, "properties" : { "noteIndex" : 17 }, "schema" : "https://github.com/citation-style-language/schema/raw/master/csl-citation.json" }</w:instrText>
      </w:r>
      <w:r w:rsidR="00E5409E" w:rsidRPr="00612653">
        <w:rPr>
          <w:rFonts w:ascii="Book Antiqua" w:hAnsi="Book Antiqua"/>
          <w:sz w:val="24"/>
          <w:szCs w:val="24"/>
          <w:lang w:val="en-US"/>
        </w:rPr>
        <w:fldChar w:fldCharType="separate"/>
      </w:r>
      <w:r w:rsidR="00E5409E" w:rsidRPr="00612653">
        <w:rPr>
          <w:rFonts w:ascii="Book Antiqua" w:hAnsi="Book Antiqua"/>
          <w:noProof/>
          <w:sz w:val="24"/>
          <w:szCs w:val="24"/>
          <w:vertAlign w:val="superscript"/>
          <w:lang w:val="en-US"/>
        </w:rPr>
        <w:t>[13]</w:t>
      </w:r>
      <w:r w:rsidR="00E5409E" w:rsidRPr="00612653">
        <w:rPr>
          <w:rFonts w:ascii="Book Antiqua" w:hAnsi="Book Antiqua"/>
          <w:sz w:val="24"/>
          <w:szCs w:val="24"/>
          <w:lang w:val="en-US"/>
        </w:rPr>
        <w:fldChar w:fldCharType="end"/>
      </w:r>
      <w:r w:rsidR="00D33AFE" w:rsidRPr="00612653">
        <w:rPr>
          <w:rFonts w:ascii="Book Antiqua" w:hAnsi="Book Antiqua"/>
          <w:noProof/>
          <w:sz w:val="24"/>
          <w:szCs w:val="24"/>
          <w:lang w:val="en-US"/>
        </w:rPr>
        <w:t xml:space="preserve">, and </w:t>
      </w:r>
      <w:r w:rsidR="00B2451D" w:rsidRPr="00612653">
        <w:rPr>
          <w:rFonts w:ascii="Book Antiqua" w:hAnsi="Book Antiqua"/>
          <w:noProof/>
          <w:sz w:val="24"/>
          <w:szCs w:val="24"/>
          <w:lang w:val="en-US"/>
        </w:rPr>
        <w:t xml:space="preserve">a different </w:t>
      </w:r>
      <w:r w:rsidR="00682002" w:rsidRPr="00612653">
        <w:rPr>
          <w:rFonts w:ascii="Book Antiqua" w:hAnsi="Book Antiqua"/>
          <w:sz w:val="24"/>
          <w:szCs w:val="24"/>
          <w:lang w:val="en-US"/>
        </w:rPr>
        <w:t>semisynthetic</w:t>
      </w:r>
      <w:r w:rsidR="00E40AFF" w:rsidRPr="00612653">
        <w:rPr>
          <w:rFonts w:ascii="Book Antiqua" w:hAnsi="Book Antiqua"/>
          <w:sz w:val="24"/>
          <w:szCs w:val="24"/>
          <w:lang w:val="en-US"/>
        </w:rPr>
        <w:t xml:space="preserve"> FXR agonist</w:t>
      </w:r>
      <w:r w:rsidR="00B23210" w:rsidRPr="00612653">
        <w:rPr>
          <w:rFonts w:ascii="Book Antiqua" w:hAnsi="Book Antiqua"/>
          <w:sz w:val="24"/>
          <w:szCs w:val="24"/>
          <w:lang w:val="en-US"/>
        </w:rPr>
        <w:t xml:space="preserve"> </w:t>
      </w:r>
      <w:r w:rsidR="003C398C" w:rsidRPr="00612653">
        <w:rPr>
          <w:rFonts w:ascii="Book Antiqua" w:hAnsi="Book Antiqua"/>
          <w:sz w:val="24"/>
          <w:szCs w:val="24"/>
          <w:lang w:val="en-US"/>
        </w:rPr>
        <w:t>(INT-767)</w:t>
      </w:r>
      <w:r w:rsidR="00DB69F7" w:rsidRPr="00612653">
        <w:rPr>
          <w:rFonts w:ascii="Book Antiqua" w:hAnsi="Book Antiqua"/>
          <w:sz w:val="24"/>
          <w:szCs w:val="24"/>
          <w:lang w:val="en-US"/>
        </w:rPr>
        <w:t xml:space="preserve"> </w:t>
      </w:r>
      <w:r w:rsidR="00D33AFE" w:rsidRPr="00612653">
        <w:rPr>
          <w:rFonts w:ascii="Book Antiqua" w:hAnsi="Book Antiqua"/>
          <w:sz w:val="24"/>
          <w:szCs w:val="24"/>
          <w:lang w:val="en-US"/>
        </w:rPr>
        <w:t xml:space="preserve">has shown </w:t>
      </w:r>
      <w:r w:rsidR="002F761E" w:rsidRPr="00612653">
        <w:rPr>
          <w:rFonts w:ascii="Book Antiqua" w:hAnsi="Book Antiqua"/>
          <w:sz w:val="24"/>
          <w:szCs w:val="24"/>
          <w:lang w:val="en-US"/>
        </w:rPr>
        <w:t xml:space="preserve">a </w:t>
      </w:r>
      <w:r w:rsidR="00D33AFE" w:rsidRPr="00612653">
        <w:rPr>
          <w:rFonts w:ascii="Book Antiqua" w:hAnsi="Book Antiqua"/>
          <w:sz w:val="24"/>
          <w:szCs w:val="24"/>
          <w:lang w:val="en-US"/>
        </w:rPr>
        <w:t xml:space="preserve">similar effect </w:t>
      </w:r>
      <w:r w:rsidR="00DB69F7" w:rsidRPr="00612653">
        <w:rPr>
          <w:rFonts w:ascii="Book Antiqua" w:hAnsi="Book Antiqua"/>
          <w:sz w:val="24"/>
          <w:szCs w:val="24"/>
          <w:lang w:val="en-US"/>
        </w:rPr>
        <w:t xml:space="preserve">in </w:t>
      </w:r>
      <w:r w:rsidR="000C7CF1" w:rsidRPr="00612653">
        <w:rPr>
          <w:rFonts w:ascii="Book Antiqua" w:hAnsi="Book Antiqua"/>
          <w:sz w:val="24"/>
          <w:szCs w:val="24"/>
          <w:lang w:val="en-US"/>
        </w:rPr>
        <w:t xml:space="preserve">non-fibrotic </w:t>
      </w:r>
      <w:r w:rsidR="000C7CF1" w:rsidRPr="00612653">
        <w:rPr>
          <w:rFonts w:ascii="Book Antiqua" w:hAnsi="Book Antiqua"/>
          <w:i/>
          <w:iCs/>
          <w:sz w:val="24"/>
          <w:szCs w:val="24"/>
          <w:lang w:val="en-US"/>
        </w:rPr>
        <w:t xml:space="preserve">db/db </w:t>
      </w:r>
      <w:r w:rsidR="003C398C" w:rsidRPr="00612653">
        <w:rPr>
          <w:rFonts w:ascii="Book Antiqua" w:hAnsi="Book Antiqua"/>
          <w:sz w:val="24"/>
          <w:szCs w:val="24"/>
          <w:lang w:val="en-US"/>
        </w:rPr>
        <w:t>mice</w:t>
      </w:r>
      <w:r w:rsidR="00DB69F7" w:rsidRPr="00612653">
        <w:rPr>
          <w:rFonts w:ascii="Book Antiqua" w:hAnsi="Book Antiqua"/>
          <w:sz w:val="24"/>
          <w:szCs w:val="24"/>
        </w:rPr>
        <w:fldChar w:fldCharType="begin" w:fldLock="1"/>
      </w:r>
      <w:r w:rsidR="00C5337D" w:rsidRPr="00612653">
        <w:rPr>
          <w:rFonts w:ascii="Book Antiqua" w:hAnsi="Book Antiqua"/>
          <w:sz w:val="24"/>
          <w:szCs w:val="24"/>
          <w:lang w:val="en-US"/>
        </w:rPr>
        <w:instrText>ADDIN CSL_CITATION { "citationItems" : [ { "id" : "ITEM-1", "itemData" : { "DOI" : "10.1074/jbc.M112.446575", "ISSN" : "0021-9258", "PMID" : "23460643", "abstract" : "Nonalcoholic fatty liver disease (NAFLD) affects a large proportion of the American population. The spectrum of disease ranges from bland steatosis without inflammation to nonalcoholic steatohepatitis and cirrhosis. Bile acids are critical regulators of hepatic lipid and glucose metabolism and signal through two major receptor pathways: farnesoid X receptor (FXR), a member of the nuclear hormone receptor superfamily, and TGR5, a G protein-coupled bile acid receptor (GPBAR1). Both FXR and TGR5 demonstrate pleiotropic functions, including immune modulation. To evaluate the effects of these pathways in NAFLD, we treated obese db/db mice with a dual FXR/TGR5 agonist (INT-767) for 6 weeks. Treatment with the agonist significantly improved the histological features of nonalcoholic steatohepatitis. Furthermore, treatment increased the proportion of intrahepatic monocytes with the anti-inflammatory Ly6C(low) phenotype and increased intrahepatic expression of genes expressed by alternatively activated macrophages, including CD206, Retnla, and Clec7a. In vitro treatment of monocytes with INT-767 led to decreased Ly6C expression and increased IL-10 production through a cAMP-dependent pathway. Our data indicate that FXR/TGR5 activation coordinates the immune phenotype of monocytes and macrophages, both in vitro and in vivo, identifying potential targeting strategies for treatment of NAFLD.", "author" : [ { "dropping-particle" : "", "family" : "McMahan", "given" : "Rachel H.", "non-dropping-particle" : "", "parse-names" : false, "suffix" : "" }, { "dropping-particle" : "", "family" : "Wang", "given" : "Xiaoxin X.", "non-dropping-particle" : "", "parse-names" : false, "suffix" : "" }, { "dropping-particle" : "", "family" : "Cheng", "given" : "Lin Ling", "non-dropping-particle" : "", "parse-names" : false, "suffix" : "" }, { "dropping-particle" : "", "family" : "Krisko", "given" : "Tibor", "non-dropping-particle" : "", "parse-names" : false, "suffix" : "" }, { "dropping-particle" : "", "family" : "Smith", "given" : "Maxwell", "non-dropping-particle" : "", "parse-names" : false, "suffix" : "" }, { "dropping-particle" : "", "family" : "Kasmi", "given" : "Karim", "non-dropping-particle" : "El", "parse-names" : false, "suffix" : "" }, { "dropping-particle" : "", "family" : "Pruzanski", "given" : "Mark", "non-dropping-particle" : "", "parse-names" : false, "suffix" : "" }, { "dropping-particle" : "", "family" : "Adorini", "given" : "Luciano", "non-dropping-particle" : "", "parse-names" : false, "suffix" : "" }, { "dropping-particle" : "", "family" : "Golden-Mason", "given" : "Lucy", "non-dropping-particle" : "", "parse-names" : false, "suffix" : "" }, { "dropping-particle" : "", "family" : "Levi", "given" : "Moshe", "non-dropping-particle" : "", "parse-names" : false, "suffix" : "" }, { "dropping-particle" : "", "family" : "Rosen", "given" : "Hugo R.", "non-dropping-particle" : "", "parse-names" : false, "suffix" : "" } ], "container-title" : "Journal of Biological Chemistry", "id" : "ITEM-1", "issue" : "17", "issued" : { "date-parts" : [ [ "2013", "4", "26" ] ] }, "page" : "11761-11770", "title" : "Bile Acid Receptor Activation Modulates Hepatic Monocyte Activity and Improves Nonalcoholic Fatty Liver Disease", "type" : "article-journal", "volume" : "288" }, "uris" : [ "http://www.mendeley.com/documents/?uuid=69727ad6-b411-4ef1-9969-1e25640366ed" ] } ], "mendeley" : { "formattedCitation" : "&lt;sup&gt;[51]&lt;/sup&gt;", "plainTextFormattedCitation" : "[51]", "previouslyFormattedCitation" : "&lt;sup&gt;[51]&lt;/sup&gt;" }, "properties" : { "noteIndex" : 0 }, "schema" : "https://github.com/citation-style-language/schema/raw/master/csl-citation.json" }</w:instrText>
      </w:r>
      <w:r w:rsidR="00DB69F7"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[51]</w:t>
      </w:r>
      <w:r w:rsidR="00DB69F7" w:rsidRPr="00612653">
        <w:rPr>
          <w:rFonts w:ascii="Book Antiqua" w:hAnsi="Book Antiqua"/>
          <w:sz w:val="24"/>
          <w:szCs w:val="24"/>
        </w:rPr>
        <w:fldChar w:fldCharType="end"/>
      </w:r>
      <w:r w:rsidR="000D663F" w:rsidRPr="00612653">
        <w:rPr>
          <w:rFonts w:ascii="Book Antiqua" w:hAnsi="Book Antiqua"/>
          <w:sz w:val="24"/>
          <w:szCs w:val="24"/>
          <w:lang w:val="en-US"/>
        </w:rPr>
        <w:t xml:space="preserve">. Interestingly, </w:t>
      </w:r>
      <w:r w:rsidR="008D56FE" w:rsidRPr="00612653">
        <w:rPr>
          <w:rFonts w:ascii="Book Antiqua" w:hAnsi="Book Antiqua"/>
          <w:sz w:val="24"/>
          <w:szCs w:val="24"/>
          <w:lang w:val="en-US"/>
        </w:rPr>
        <w:t>enhanced</w:t>
      </w:r>
      <w:r w:rsidR="000D663F" w:rsidRPr="00612653">
        <w:rPr>
          <w:rFonts w:ascii="Book Antiqua" w:hAnsi="Book Antiqua"/>
          <w:sz w:val="24"/>
          <w:szCs w:val="24"/>
          <w:lang w:val="en-US"/>
        </w:rPr>
        <w:t xml:space="preserve"> hepatocyte ballooning is also reported in FXR-deficient hypercholesterolemic mice</w:t>
      </w:r>
      <w:r w:rsidR="000D663F" w:rsidRPr="00612653">
        <w:rPr>
          <w:rFonts w:ascii="Book Antiqua" w:hAnsi="Book Antiqua"/>
          <w:sz w:val="24"/>
          <w:szCs w:val="24"/>
          <w:lang w:val="en-US"/>
        </w:rPr>
        <w:fldChar w:fldCharType="begin" w:fldLock="1"/>
      </w:r>
      <w:r w:rsidR="00C5337D" w:rsidRPr="00612653">
        <w:rPr>
          <w:rFonts w:ascii="Book Antiqua" w:hAnsi="Book Antiqua"/>
          <w:sz w:val="24"/>
          <w:szCs w:val="24"/>
          <w:lang w:val="en-US"/>
        </w:rPr>
        <w:instrText>ADDIN CSL_CITATION { "citationItems" : [ { "id" : "ITEM-1", "itemData" : { "DOI" : "10.1124/jpet.108.144600", "ISSN" : "0022-3565", "PMID" : "18948497", "abstract" : "Nonalcoholic steatohepatitis (NASH) comprises dysregulation of lipid metabolism and inflammation. Identification of the various genetic and environmental susceptibility factors for NASH may provide novel treatments to limit inflammation and fibrosis in patients. This study utilized a mouse model of hypercholesterolemia, low-density lipoprotein receptor knockout (LDLr(-/-)) mice fed a high-fat diet for 5 months, to test the hypothesis that farnesoid X receptor (FXR) deficiency contributed to NASH development. Either the high-fat diet or FXR deficiency increased serum alanine aminotransferase activity, whereas only FXR deficiency increased bile acid and alkaline phosphatase levels. FXR deficiency and high-fat feeding increased serum cholesterol and triglycerides. Although high fat led to macrosteatosis and hepatocyte ballooning in livers of mice regardless of genotype, no inflammatory infiltrate was observed in the livers of LDLr(-/-) mice. In contrast, in the livers of LDLr(-/-)/FXR(-/-) mice, foci of inflammatory cells were observed occasionally when fed the control diet and were greatly increased when fed the high-fat diet. Consistent with enhanced inflammatory cells, hepatic levels of tumor necrosis factor alpha and intercellular adhesion molecule-1 mRNA were increased by the high-fat diet in LDLr(-/-)/FXR(-/-) mice. In agreement with elevated levels of procollagen 1 alpha 1 and TGF-beta mRNA, type 1 collagen protein levels were increased in livers of LDLr(-/-)/FXR(-/-) mice fed a high-fat diet. In conclusion, FXR deficiency induces pathologic manifestations required for NASH diagnosis in a mouse model of hypercholesterolemia, including macrosteatosis, hepatocyte ballooning, and inflammation, which suggest a combination of FXR deficiency and high-fat diet is a risk factor for NASH development, and activation of FXR may be a therapeutic intervention in the treatment of NASH.", "author" : [ { "dropping-particle" : "", "family" : "Kong", "given" : "B.", "non-dropping-particle" : "", "parse-names" : false, "suffix" : "" }, { "dropping-particle" : "", "family" : "Luyendyk", "given" : "J. P.", "non-dropping-particle" : "", "parse-names" : false, "suffix" : "" }, { "dropping-particle" : "", "family" : "Tawfik", "given" : "O.", "non-dropping-particle" : "", "parse-names" : false, "suffix" : "" }, { "dropping-particle" : "", "family" : "Guo", "given" : "G. L.", "non-dropping-particle" : "", "parse-names" : false, "suffix" : "" } ], "container-title" : "Journal of Pharmacology and Experimental Therapeutics", "id" : "ITEM-1", "issue" : "1", "issued" : { "date-parts" : [ [ "2009", "1", "1" ] ] }, "page" : "116-122", "title" : "Farnesoid X Receptor Deficiency Induces Nonalcoholic Steatohepatitis in Low-Density Lipoprotein Receptor-Knockout Mice Fed a High-Fat Diet", "type" : "article-journal", "volume" : "328" }, "uris" : [ "http://www.mendeley.com/documents/?uuid=a3746979-20f4-4fbe-9680-9aa67dbdaccf", "http://www.mendeley.com/documents/?uuid=833f7a3e-1ad9-3ab8-bb74-e3d4b77dd81f" ] } ], "mendeley" : { "formattedCitation" : "&lt;sup&gt;[57]&lt;/sup&gt;", "plainTextFormattedCitation" : "[57]", "previouslyFormattedCitation" : "&lt;sup&gt;[57]&lt;/sup&gt;" }, "properties" : { "noteIndex" : 0 }, "schema" : "https://github.com/citation-style-language/schema/raw/master/csl-citation.json" }</w:instrText>
      </w:r>
      <w:r w:rsidR="000D663F"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[57]</w:t>
      </w:r>
      <w:r w:rsidR="000D663F" w:rsidRPr="00612653">
        <w:rPr>
          <w:rFonts w:ascii="Book Antiqua" w:hAnsi="Book Antiqua"/>
          <w:sz w:val="24"/>
          <w:szCs w:val="24"/>
          <w:lang w:val="en-US"/>
        </w:rPr>
        <w:fldChar w:fldCharType="end"/>
      </w:r>
      <w:r w:rsidR="000D663F" w:rsidRPr="00612653">
        <w:rPr>
          <w:rFonts w:ascii="Book Antiqua" w:hAnsi="Book Antiqua"/>
          <w:sz w:val="24"/>
          <w:szCs w:val="24"/>
          <w:lang w:val="en-US"/>
        </w:rPr>
        <w:t xml:space="preserve">, thus lending further support to FXR-dependent hepatocyte protective effects. </w:t>
      </w:r>
      <w:r w:rsidR="00DB0AE7" w:rsidRPr="00612653">
        <w:rPr>
          <w:rFonts w:ascii="Book Antiqua" w:hAnsi="Book Antiqua"/>
          <w:sz w:val="24"/>
          <w:szCs w:val="24"/>
          <w:lang w:val="en-US"/>
        </w:rPr>
        <w:t xml:space="preserve">As for liraglutide, OCA treatment </w:t>
      </w:r>
      <w:r w:rsidR="003A0C05" w:rsidRPr="00612653">
        <w:rPr>
          <w:rFonts w:ascii="Book Antiqua" w:hAnsi="Book Antiqua"/>
          <w:sz w:val="24"/>
          <w:szCs w:val="24"/>
          <w:lang w:val="en-US"/>
        </w:rPr>
        <w:t>did not influence fibrosis morphometry, but reduced</w:t>
      </w:r>
      <w:r w:rsidR="00DB0AE7" w:rsidRPr="00612653">
        <w:rPr>
          <w:rFonts w:ascii="Book Antiqua" w:hAnsi="Book Antiqua"/>
          <w:sz w:val="24"/>
          <w:szCs w:val="24"/>
          <w:lang w:val="en-US"/>
        </w:rPr>
        <w:t xml:space="preserve"> total hepatic</w:t>
      </w:r>
      <w:r w:rsidR="005A549A" w:rsidRPr="00612653">
        <w:rPr>
          <w:rFonts w:ascii="Book Antiqua" w:hAnsi="Book Antiqua"/>
          <w:sz w:val="24"/>
          <w:szCs w:val="24"/>
          <w:lang w:val="en-US"/>
        </w:rPr>
        <w:t xml:space="preserve"> Col1a1 expression</w:t>
      </w:r>
      <w:r w:rsidR="00503E9D" w:rsidRPr="00612653">
        <w:rPr>
          <w:rFonts w:ascii="Book Antiqua" w:hAnsi="Book Antiqua"/>
          <w:sz w:val="24"/>
          <w:szCs w:val="24"/>
          <w:lang w:val="en-US"/>
        </w:rPr>
        <w:t xml:space="preserve"> </w:t>
      </w:r>
      <w:r w:rsidR="00A837D0" w:rsidRPr="00612653">
        <w:rPr>
          <w:rFonts w:ascii="Book Antiqua" w:hAnsi="Book Antiqua"/>
          <w:sz w:val="24"/>
          <w:szCs w:val="24"/>
          <w:lang w:val="en-US"/>
        </w:rPr>
        <w:t>due to</w:t>
      </w:r>
      <w:r w:rsidR="00503E9D" w:rsidRPr="00612653">
        <w:rPr>
          <w:rFonts w:ascii="Book Antiqua" w:hAnsi="Book Antiqua"/>
          <w:sz w:val="24"/>
          <w:szCs w:val="24"/>
          <w:lang w:val="en-US"/>
        </w:rPr>
        <w:t xml:space="preserve"> reduced liver weight</w:t>
      </w:r>
      <w:r w:rsidR="00DB0AE7" w:rsidRPr="00612653">
        <w:rPr>
          <w:rFonts w:ascii="Book Antiqua" w:hAnsi="Book Antiqua"/>
          <w:sz w:val="24"/>
          <w:szCs w:val="24"/>
          <w:lang w:val="en-US"/>
        </w:rPr>
        <w:t>.</w:t>
      </w:r>
      <w:r w:rsidR="001A7152" w:rsidRPr="00612653">
        <w:rPr>
          <w:rFonts w:ascii="Book Antiqua" w:hAnsi="Book Antiqua"/>
          <w:sz w:val="24"/>
          <w:szCs w:val="24"/>
          <w:lang w:val="en-US"/>
        </w:rPr>
        <w:t xml:space="preserve"> </w:t>
      </w:r>
      <w:r w:rsidR="00474730" w:rsidRPr="00612653">
        <w:rPr>
          <w:rFonts w:ascii="Book Antiqua" w:hAnsi="Book Antiqua"/>
          <w:sz w:val="24"/>
          <w:szCs w:val="24"/>
          <w:lang w:val="en-US"/>
        </w:rPr>
        <w:t>A</w:t>
      </w:r>
      <w:r w:rsidR="00A837D0" w:rsidRPr="00612653">
        <w:rPr>
          <w:rFonts w:ascii="Book Antiqua" w:hAnsi="Book Antiqua"/>
          <w:sz w:val="24"/>
          <w:szCs w:val="24"/>
          <w:lang w:val="en-US"/>
        </w:rPr>
        <w:t xml:space="preserve"> recent study in </w:t>
      </w:r>
      <w:r w:rsidR="00A837D0" w:rsidRPr="00612653">
        <w:rPr>
          <w:rFonts w:ascii="Book Antiqua" w:hAnsi="Book Antiqua"/>
          <w:i/>
          <w:sz w:val="24"/>
          <w:szCs w:val="24"/>
          <w:lang w:val="en-US"/>
        </w:rPr>
        <w:t>ob/ob</w:t>
      </w:r>
      <w:r w:rsidR="00474730" w:rsidRPr="00612653">
        <w:rPr>
          <w:rFonts w:ascii="Book Antiqua" w:hAnsi="Book Antiqua"/>
          <w:sz w:val="24"/>
          <w:szCs w:val="24"/>
          <w:lang w:val="en-US"/>
        </w:rPr>
        <w:t>-</w:t>
      </w:r>
      <w:r w:rsidR="00A837D0" w:rsidRPr="00612653">
        <w:rPr>
          <w:rFonts w:ascii="Book Antiqua" w:hAnsi="Book Antiqua"/>
          <w:sz w:val="24"/>
          <w:szCs w:val="24"/>
          <w:lang w:val="en-US"/>
        </w:rPr>
        <w:t>NASH mice (</w:t>
      </w:r>
      <w:r w:rsidR="00474730" w:rsidRPr="00612653">
        <w:rPr>
          <w:rFonts w:ascii="Book Antiqua" w:hAnsi="Book Antiqua"/>
          <w:sz w:val="24"/>
          <w:szCs w:val="24"/>
          <w:lang w:val="en-US"/>
        </w:rPr>
        <w:t xml:space="preserve">fed AMLN diet for </w:t>
      </w:r>
      <w:r w:rsidR="00A837D0" w:rsidRPr="00612653">
        <w:rPr>
          <w:rFonts w:ascii="Book Antiqua" w:hAnsi="Book Antiqua"/>
          <w:sz w:val="24"/>
          <w:szCs w:val="24"/>
          <w:lang w:val="en-US"/>
        </w:rPr>
        <w:t>8</w:t>
      </w:r>
      <w:r w:rsidR="00474730" w:rsidRPr="00612653">
        <w:rPr>
          <w:rFonts w:ascii="Book Antiqua" w:hAnsi="Book Antiqua"/>
          <w:sz w:val="24"/>
          <w:szCs w:val="24"/>
          <w:lang w:val="en-US"/>
        </w:rPr>
        <w:t xml:space="preserve"> weeks</w:t>
      </w:r>
      <w:r w:rsidR="00A837D0" w:rsidRPr="00612653">
        <w:rPr>
          <w:rFonts w:ascii="Book Antiqua" w:hAnsi="Book Antiqua"/>
          <w:sz w:val="24"/>
          <w:szCs w:val="24"/>
          <w:lang w:val="en-US"/>
        </w:rPr>
        <w:t xml:space="preserve">) and treated with </w:t>
      </w:r>
      <w:r w:rsidR="007F6AEC" w:rsidRPr="00612653">
        <w:rPr>
          <w:rFonts w:ascii="Book Antiqua" w:hAnsi="Book Antiqua"/>
          <w:sz w:val="24"/>
          <w:szCs w:val="24"/>
          <w:lang w:val="en-US"/>
        </w:rPr>
        <w:t xml:space="preserve">a similar daily dose of </w:t>
      </w:r>
      <w:r w:rsidR="00A837D0" w:rsidRPr="00612653">
        <w:rPr>
          <w:rFonts w:ascii="Book Antiqua" w:hAnsi="Book Antiqua"/>
          <w:sz w:val="24"/>
          <w:szCs w:val="24"/>
          <w:lang w:val="en-US"/>
        </w:rPr>
        <w:t xml:space="preserve">OCA for 4 weeks </w:t>
      </w:r>
      <w:r w:rsidR="00474730" w:rsidRPr="00612653">
        <w:rPr>
          <w:rFonts w:ascii="Book Antiqua" w:hAnsi="Book Antiqua"/>
          <w:sz w:val="24"/>
          <w:szCs w:val="24"/>
          <w:lang w:val="en-US"/>
        </w:rPr>
        <w:t xml:space="preserve">also </w:t>
      </w:r>
      <w:r w:rsidR="0025653A" w:rsidRPr="00612653">
        <w:rPr>
          <w:rFonts w:ascii="Book Antiqua" w:hAnsi="Book Antiqua"/>
          <w:sz w:val="24"/>
          <w:szCs w:val="24"/>
          <w:lang w:val="en-US"/>
        </w:rPr>
        <w:t>indicated</w:t>
      </w:r>
      <w:r w:rsidR="001A7152" w:rsidRPr="00612653">
        <w:rPr>
          <w:rFonts w:ascii="Book Antiqua" w:hAnsi="Book Antiqua"/>
          <w:sz w:val="24"/>
          <w:szCs w:val="24"/>
          <w:lang w:val="en-US"/>
        </w:rPr>
        <w:t xml:space="preserve"> no effect on </w:t>
      </w:r>
      <w:r w:rsidR="00474730" w:rsidRPr="00612653">
        <w:rPr>
          <w:rFonts w:ascii="Book Antiqua" w:hAnsi="Book Antiqua"/>
          <w:sz w:val="24"/>
          <w:szCs w:val="24"/>
          <w:lang w:val="en-US"/>
        </w:rPr>
        <w:t xml:space="preserve">liver </w:t>
      </w:r>
      <w:r w:rsidR="000D059E" w:rsidRPr="00612653">
        <w:rPr>
          <w:rFonts w:ascii="Book Antiqua" w:hAnsi="Book Antiqua"/>
          <w:sz w:val="24"/>
          <w:szCs w:val="24"/>
          <w:lang w:val="en-US"/>
        </w:rPr>
        <w:t>fibrosis</w:t>
      </w:r>
      <w:r w:rsidR="001A7152" w:rsidRPr="00612653">
        <w:rPr>
          <w:rFonts w:ascii="Book Antiqua" w:hAnsi="Book Antiqua"/>
          <w:sz w:val="24"/>
          <w:szCs w:val="24"/>
          <w:lang w:val="en-US"/>
        </w:rPr>
        <w:fldChar w:fldCharType="begin" w:fldLock="1"/>
      </w:r>
      <w:r w:rsidR="00C5337D" w:rsidRPr="00612653">
        <w:rPr>
          <w:rFonts w:ascii="Book Antiqua" w:hAnsi="Book Antiqua"/>
          <w:sz w:val="24"/>
          <w:szCs w:val="24"/>
          <w:lang w:val="en-US"/>
        </w:rPr>
        <w:instrText>ADDIN CSL_CITATION { "citationItems" : [ { "id" : "ITEM-1", "itemData" : { "DOI" : "10.1016/j.molmet.2017.09.001", "ISSN" : "22128778", "PMID" : "29107284", "abstract" : "OBJECTIVE Nonalcoholic steatohepatitis (NASH) is an unmet need associated with metabolic syndrome. There are no approved therapies for NASH; however, glucagon-like peptide-1 receptor (GLP-1R) and farnesoid-X receptor (FXR) agonists are promising drug targets. We investigated the therapeutic effects of co-administration of a GLP-1R agonist, IP118, with FXR agonist obeticholic acid (OCA) in mice. METHODS OCA and IP118 alone and in combination were sub-chronically administered to Lep(ob)/Lep(ob) mice with diet-induced NASH or diet-induced obese (DIO) mice. Metabolic (body weight and glucose) and liver (biochemical and histological) endpoints were assessed. NASH severity in Lep(ob)/Lep(ob) mice was graded using a customized integrated scoring system. RESULTS OCA reduced liver weight and lipid in NASH mice (both by\u00a0-17%) but had no effect on plasma ALT or AST levels. In contrast, IP118 significantly reduced liver weight (-21%), liver lipid (-15%), ALT (-29%), and AST (-27%). The combination of OCA\u00a0+\u00a0IP118 further reduced liver weight (-29%), liver lipid (-22%), ALT (-39%), and AST (-36%). Combination therapy was superior to monotherapies in reducing hepatic steatosis, inflammation, and fibrosis. Hepatic improvements with IP118 and OCA\u00a0+\u00a0IP118 were associated with reduced body weight (-4.3% and\u00a0-3.5% respectively) and improved glycemic control in OCA\u00a0+\u00a0IP118-treated mice. In DIO mice, OCA\u00a0+\u00a0IP118 co-administration reduced body weight (-25.3%) to a greater degree than IP118 alone (-12.5%) and further improved glucose tolerance and reduced hepatic lipid. CONCLUSION Our data suggest a complementary or synergistic therapeutic effect of GLP-1R and FXR agonism in mouse models of metabolic disease and NASH.", "author" : [ { "dropping-particle" : "", "family" : "Jouihan", "given" : "Hani", "non-dropping-particle" : "", "parse-names" : false, "suffix" : "" }, { "dropping-particle" : "", "family" : "Will", "given" : "Sarah", "non-dropping-particle" : "", "parse-names" : false, "suffix" : "" }, { "dropping-particle" : "", "family" : "Guionaud", "given" : "Silvia", "non-dropping-particle" : "", "parse-names" : false, "suffix" : "" }, { "dropping-particle" : "", "family" : "Boland", "given" : "Michelle L.", "non-dropping-particle" : "", "parse-names" : false, "suffix" : "" }, { "dropping-particle" : "", "family" : "Oldham", "given" : "Stephanie", "non-dropping-particle" : "", "parse-names" : false, "suffix" : "" }, { "dropping-particle" : "", "family" : "Ravn", "given" : "Peter", "non-dropping-particle" : "", "parse-names" : false, "suffix" : "" }, { "dropping-particle" : "", "family" : "Celeste", "given" : "Anthony", "non-dropping-particle" : "", "parse-names" : false, "suffix" : "" }, { "dropping-particle" : "", "family" : "Trevaskis", "given" : "James L.", "non-dropping-particle" : "", "parse-names" : false, "suffix" : "" } ], "container-title" : "Molecular Metabolism", "id" : "ITEM-1", "issue" : "11", "issued" : { "date-parts" : [ [ "2017", "11" ] ] }, "page" : "1360-1370", "title" : "Superior reductions in hepatic steatosis and fibrosis with co-administration of a glucagon-like peptide-1 receptor agonist and obeticholic acid in mice", "type" : "article-journal", "volume" : "6" }, "uris" : [ "http://www.mendeley.com/documents/?uuid=66ac804a-e209-39a7-a811-ceb7faf1b201" ] } ], "mendeley" : { "formattedCitation" : "&lt;sup&gt;[58]&lt;/sup&gt;", "plainTextFormattedCitation" : "[58]", "previouslyFormattedCitation" : "&lt;sup&gt;[58]&lt;/sup&gt;" }, "properties" : { "noteIndex" : 18 }, "schema" : "https://github.com/citation-style-language/schema/raw/master/csl-citation.json" }</w:instrText>
      </w:r>
      <w:r w:rsidR="001A7152"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[58]</w:t>
      </w:r>
      <w:r w:rsidR="001A7152" w:rsidRPr="00612653">
        <w:rPr>
          <w:rFonts w:ascii="Book Antiqua" w:hAnsi="Book Antiqua"/>
          <w:sz w:val="24"/>
          <w:szCs w:val="24"/>
          <w:lang w:val="en-US"/>
        </w:rPr>
        <w:fldChar w:fldCharType="end"/>
      </w:r>
      <w:r w:rsidR="0025653A" w:rsidRPr="00612653">
        <w:rPr>
          <w:rFonts w:ascii="Book Antiqua" w:hAnsi="Book Antiqua"/>
          <w:sz w:val="24"/>
          <w:szCs w:val="24"/>
          <w:lang w:val="en-US"/>
        </w:rPr>
        <w:t xml:space="preserve">. </w:t>
      </w:r>
      <w:r w:rsidR="003A0C05" w:rsidRPr="00612653">
        <w:rPr>
          <w:rFonts w:ascii="Book Antiqua" w:hAnsi="Book Antiqua"/>
          <w:sz w:val="24"/>
          <w:szCs w:val="24"/>
          <w:lang w:val="en-US"/>
        </w:rPr>
        <w:t>In contrast</w:t>
      </w:r>
      <w:r w:rsidR="000D663F" w:rsidRPr="00612653">
        <w:rPr>
          <w:rFonts w:ascii="Book Antiqua" w:hAnsi="Book Antiqua"/>
          <w:sz w:val="24"/>
          <w:szCs w:val="24"/>
          <w:lang w:val="en-US"/>
        </w:rPr>
        <w:t>,</w:t>
      </w:r>
      <w:r w:rsidR="003A0C05" w:rsidRPr="00612653">
        <w:rPr>
          <w:rFonts w:ascii="Book Antiqua" w:hAnsi="Book Antiqua"/>
          <w:sz w:val="24"/>
          <w:szCs w:val="24"/>
          <w:lang w:val="en-US"/>
        </w:rPr>
        <w:t xml:space="preserve"> a</w:t>
      </w:r>
      <w:r w:rsidR="000C4EE1" w:rsidRPr="00612653">
        <w:rPr>
          <w:rFonts w:ascii="Book Antiqua" w:hAnsi="Book Antiqua"/>
          <w:sz w:val="24"/>
          <w:szCs w:val="24"/>
          <w:lang w:val="en-US"/>
        </w:rPr>
        <w:t>ntifibrotic e</w:t>
      </w:r>
      <w:r w:rsidR="003A0C05" w:rsidRPr="00612653">
        <w:rPr>
          <w:rFonts w:ascii="Book Antiqua" w:hAnsi="Book Antiqua"/>
          <w:sz w:val="24"/>
          <w:szCs w:val="24"/>
          <w:lang w:val="en-US"/>
        </w:rPr>
        <w:t>ffects</w:t>
      </w:r>
      <w:r w:rsidR="000C4EE1" w:rsidRPr="00612653">
        <w:rPr>
          <w:rFonts w:ascii="Book Antiqua" w:hAnsi="Book Antiqua"/>
          <w:sz w:val="24"/>
          <w:szCs w:val="24"/>
          <w:lang w:val="en-US"/>
        </w:rPr>
        <w:t xml:space="preserve"> of synthetic FXR agonists</w:t>
      </w:r>
      <w:r w:rsidR="00DB0AE7" w:rsidRPr="00612653">
        <w:rPr>
          <w:rFonts w:ascii="Book Antiqua" w:hAnsi="Book Antiqua"/>
          <w:sz w:val="24"/>
          <w:szCs w:val="24"/>
          <w:lang w:val="en-US"/>
        </w:rPr>
        <w:t>, including OCA,</w:t>
      </w:r>
      <w:r w:rsidR="00F42284" w:rsidRPr="00612653">
        <w:rPr>
          <w:rFonts w:ascii="Book Antiqua" w:hAnsi="Book Antiqua"/>
          <w:sz w:val="24"/>
          <w:szCs w:val="24"/>
          <w:lang w:val="en-US"/>
        </w:rPr>
        <w:t xml:space="preserve"> </w:t>
      </w:r>
      <w:r w:rsidR="003A0C05" w:rsidRPr="00612653">
        <w:rPr>
          <w:rFonts w:ascii="Book Antiqua" w:hAnsi="Book Antiqua"/>
          <w:sz w:val="24"/>
          <w:szCs w:val="24"/>
          <w:lang w:val="en-US"/>
        </w:rPr>
        <w:t>have</w:t>
      </w:r>
      <w:r w:rsidR="00FC1937" w:rsidRPr="00612653">
        <w:rPr>
          <w:rFonts w:ascii="Book Antiqua" w:hAnsi="Book Antiqua"/>
          <w:sz w:val="24"/>
          <w:szCs w:val="24"/>
          <w:lang w:val="en-US"/>
        </w:rPr>
        <w:t xml:space="preserve"> been demonstrated </w:t>
      </w:r>
      <w:r w:rsidR="00F42284" w:rsidRPr="00612653">
        <w:rPr>
          <w:rFonts w:ascii="Book Antiqua" w:hAnsi="Book Antiqua"/>
          <w:sz w:val="24"/>
          <w:szCs w:val="24"/>
          <w:lang w:val="en-US"/>
        </w:rPr>
        <w:t xml:space="preserve">in </w:t>
      </w:r>
      <w:r w:rsidR="007F18EE" w:rsidRPr="00612653">
        <w:rPr>
          <w:rFonts w:ascii="Book Antiqua" w:hAnsi="Book Antiqua"/>
          <w:sz w:val="24"/>
          <w:szCs w:val="24"/>
          <w:lang w:val="en-US"/>
        </w:rPr>
        <w:t xml:space="preserve">more aggressive </w:t>
      </w:r>
      <w:r w:rsidR="00F42284" w:rsidRPr="00612653">
        <w:rPr>
          <w:rFonts w:ascii="Book Antiqua" w:hAnsi="Book Antiqua"/>
          <w:sz w:val="24"/>
          <w:szCs w:val="24"/>
          <w:lang w:val="en-US"/>
        </w:rPr>
        <w:t xml:space="preserve">models of fibrotic </w:t>
      </w:r>
      <w:r w:rsidR="000C4EE1" w:rsidRPr="00612653">
        <w:rPr>
          <w:rFonts w:ascii="Book Antiqua" w:hAnsi="Book Antiqua"/>
          <w:sz w:val="24"/>
          <w:szCs w:val="24"/>
          <w:lang w:val="en-US"/>
        </w:rPr>
        <w:t>NASH</w:t>
      </w:r>
      <w:r w:rsidR="00F42284" w:rsidRPr="00612653">
        <w:rPr>
          <w:rFonts w:ascii="Book Antiqua" w:hAnsi="Book Antiqua"/>
          <w:sz w:val="24"/>
          <w:szCs w:val="24"/>
        </w:rPr>
        <w:fldChar w:fldCharType="begin" w:fldLock="1"/>
      </w:r>
      <w:r w:rsidR="00C5337D" w:rsidRPr="00612653">
        <w:rPr>
          <w:rFonts w:ascii="Book Antiqua" w:hAnsi="Book Antiqua"/>
          <w:sz w:val="24"/>
          <w:szCs w:val="24"/>
          <w:lang w:val="en-US"/>
        </w:rPr>
        <w:instrText>ADDIN CSL_CITATION { "citationItems" : [ { "id" : "ITEM-1", "itemData" : { "DOI" : "10.1016/j.taap.2016.11.006", "ISSN" : "1096-0333", "PMID" : "27865854", "abstract" : "The farnesoid X receptor (FXR) is a ligand-activated transcription factor that plays important roles in regulating bile acid homeostasis. The aim of the present study was to investigate the effects of obeticholic acid (OCA), a novel synthetic FXR agonist, carbon tetrachloride (CCl4)-induced acute liver injury. Mice were intraperitoneally injected with CCl4 (0.15ml/kg). In CCl4+OCA group, mice were orally with OCA (5mg/kg) 48, 24 and 1h before CCl4. As expected, hepatic FXR was activated by OCA. Interestingly, OCA pretreatment alleviated CCl4-induced elevation of serum ALT and hepatic necrosis. Moreover, OCA pretreatment inhibited CCl4-induced hepatocyte apoptosis. Additional experiment showed that OCA inhibits CCl4-induced hepatic chemokine gene Mcp-1, Mip-2 and Kc. Moreover, OCA inhibits CCl4-induced hepatic pro-inflammatory gene Tnf-\u03b1 and Il-1\u03b2. By contrast, OCA pretreatment elevated hepatic anti-inflammatory gene Il-4. Further analysis showed that OCA pretreatment inhibited hepatic I\u03baB phosphorylation and blocked nuclear translocation of NF-\u03baB p65 and p50 subunits during CCl4-induced acute liver injury. In addition, OCA pretreatment inhibited hepatic Akt, ERK and p38 phosphorylation in CCl4-induced acute liver injury. These results suggest that OCA protects against CCl4-induced acute liver injury and inflammation. Synthetic FXR agonists may be effective antidotes for hepatic inflammation during acute liver injury.", "author" : [ { "dropping-particle" : "", "family" : "Zhang", "given" : "Da-Gang", "non-dropping-particle" : "", "parse-names" : false, "suffix" : "" }, { "dropping-particle" : "", "family" : "Zhang", "given" : "Cheng", "non-dropping-particle" : "", "parse-names" : false, "suffix" : "" }, { "dropping-particle" : "", "family" : "Wang", "given" : "Jun-Xian", "non-dropping-particle" : "", "parse-names" : false, "suffix" : "" }, { "dropping-particle" : "", "family" : "Wang", "given" : "Bi-Wei", "non-dropping-particle" : "", "parse-names" : false, "suffix" : "" }, { "dropping-particle" : "", "family" : "Wang", "given" : "Hua", "non-dropping-particle" : "", "parse-names" : false, "suffix" : "" }, { "dropping-particle" : "", "family" : "Zhang", "given" : "Zhi-Hui", "non-dropping-particle" : "", "parse-names" : false, "suffix" : "" }, { "dropping-particle" : "", "family" : "Chen", "given" : "Yuan-Hua", "non-dropping-particle" : "", "parse-names" : false, "suffix" : "" }, { "dropping-particle" : "", "family" : "Lu", "given" : "Yan", "non-dropping-particle" : "", "parse-names" : false, "suffix" : "" }, { "dropping-particle" : "", "family" : "Tao", "given" : "Li", "non-dropping-particle" : "", "parse-names" : false, "suffix" : "" }, { "dropping-particle" : "", "family" : "Wang", "given" : "Jian-Qing", "non-dropping-particle" : "", "parse-names" : false, "suffix" : "" }, { "dropping-particle" : "", "family" : "Chen", "given" : "Xi", "non-dropping-particle" : "", "parse-names" : false, "suffix" : "" }, { "dropping-particle" : "", "family" : "Xu", "given" : "De-Xiang", "non-dropping-particle" : "", "parse-names" : false, "suffix" : "" } ], "container-title" : "Toxicology and applied pharmacology", "id" : "ITEM-1", "issued" : { "date-parts" : [ [ "2017", "1", "1" ] ] }, "page" : "39-47", "title" : "Obeticholic acid protects against carbon tetrachloride-induced acute liver injury and inflammation.", "type" : "article-journal", "volume" : "314" }, "uris" : [ "http://www.mendeley.com/documents/?uuid=0e4218fd-a587-3d23-b52a-61f487b82807" ] }, { "id" : "ITEM-2", "itemData" : { "DOI" : "10.1016/j.jhep.2009.03.025", "ISSN" : "01688278", "PMID" : "19501927", "abstract" : "BACKGROUND/AIMS The farnesoid X receptor (FXR) is a member of the nuclear hormone receptor superfamily, which plays an essential role in the regulation of enterohepatic circulation and lipid homeostasis. Here we investigated whether WAY-362450, a synthetic potent FXR agonist, could protect against non-alcoholic steatohepatitis (NASH) in mice fed a methionine and choline-deficient (MCD) diet. METHODS Male C57BL/6 mice on the MCD diet were treated with or without WAY-362450 (30 mg/kg) for 4 weeks. RESULTS The elevations of serum ALT and AST activities induced by the MCD diet were decreased with WAY-362450 treatment. In terms of liver histology, while WAY-362450 treatment showed no impact on hepatic triglyceride accumulation, it significantly reduced inflammatory cell infiltration and hepatic fibrosis. The reduction in inflammatory cell infiltration correlated with deceased serum levels of keratinocyte derived chemokine (mKC) and MCP 1 and decreased hepatic gene expression of MCP-1 and VCAM-1. The reduction of hepatic fibrosis by WAY-362450 treatment corresponded to a reduction in hepatic gene expression of fibrosis markers. The positive effects of WAY-362450 were FXR-dependent since no protection was observed in MCD diet-fed FXR deficient mice. CONCLUSIONS These findings demonstrate that FXR agonists may be useful for the treatment of non-alcoholic steatohepatitis.", "author" : [ { "dropping-particle" : "", "family" : "Zhang", "given" : "Songwen", "non-dropping-particle" : "", "parse-names" : false, "suffix" : "" }, { "dropping-particle" : "", "family" : "Wang", "given" : "Juan", "non-dropping-particle" : "", "parse-names" : false, "suffix" : "" }, { "dropping-particle" : "", "family" : "Liu", "given" : "Qiangyuan", "non-dropping-particle" : "", "parse-names" : false, "suffix" : "" }, { "dropping-particle" : "", "family" : "Harnish", "given" : "Douglas C.", "non-dropping-particle" : "", "parse-names" : false, "suffix" : "" } ], "container-title" : "Journal of Hepatology", "id" : "ITEM-2", "issue" : "2", "issued" : { "date-parts" : [ [ "2009", "8" ] ] }, "page" : "380-388", "title" : "Farnesoid X receptor agonist WAY-362450 attenuates liver inflammation and fibrosis in murine model of non-alcoholic steatohepatitis", "type" : "article-journal", "volume" : "51" }, "uris" : [ "http://www.mendeley.com/documents/?uuid=9a1d4eb0-f50e-3270-a97a-f7809e4f7904" ] } ], "mendeley" : { "formattedCitation" : "&lt;sup&gt;[15,59]&lt;/sup&gt;", "plainTextFormattedCitation" : "[15,59]", "previouslyFormattedCitation" : "&lt;sup&gt;[15,59]&lt;/sup&gt;" }, "properties" : { "noteIndex" : 0 }, "schema" : "https://github.com/citation-style-language/schema/raw/master/csl-citation.json" }</w:instrText>
      </w:r>
      <w:r w:rsidR="00F42284" w:rsidRPr="00612653">
        <w:rPr>
          <w:rFonts w:ascii="Book Antiqua" w:hAnsi="Book Antiqua"/>
          <w:sz w:val="24"/>
          <w:szCs w:val="24"/>
          <w:vertAlign w:val="superscript"/>
          <w:lang w:val="en-US"/>
        </w:rPr>
        <w:fldChar w:fldCharType="separate"/>
      </w:r>
      <w:r w:rsidR="00C5337D" w:rsidRPr="00612653">
        <w:rPr>
          <w:rFonts w:ascii="Book Antiqua" w:hAnsi="Book Antiqua"/>
          <w:noProof/>
          <w:sz w:val="24"/>
          <w:szCs w:val="24"/>
          <w:vertAlign w:val="superscript"/>
          <w:lang w:val="en-US"/>
        </w:rPr>
        <w:t>[15,59]</w:t>
      </w:r>
      <w:r w:rsidR="00F42284" w:rsidRPr="00612653">
        <w:rPr>
          <w:rFonts w:ascii="Book Antiqua" w:hAnsi="Book Antiqua"/>
          <w:sz w:val="24"/>
          <w:szCs w:val="24"/>
        </w:rPr>
        <w:fldChar w:fldCharType="end"/>
      </w:r>
      <w:r w:rsidR="00F42284" w:rsidRPr="00612653">
        <w:rPr>
          <w:rFonts w:ascii="Book Antiqua" w:hAnsi="Book Antiqua"/>
          <w:sz w:val="24"/>
          <w:szCs w:val="24"/>
          <w:lang w:val="en-US"/>
        </w:rPr>
        <w:t>.</w:t>
      </w:r>
      <w:r w:rsidR="00885F95" w:rsidRPr="00612653">
        <w:rPr>
          <w:rFonts w:ascii="Book Antiqua" w:hAnsi="Book Antiqua"/>
          <w:sz w:val="24"/>
          <w:szCs w:val="24"/>
          <w:lang w:val="en-US"/>
        </w:rPr>
        <w:t xml:space="preserve"> </w:t>
      </w:r>
      <w:r w:rsidR="007F6AEC" w:rsidRPr="00612653">
        <w:rPr>
          <w:rFonts w:ascii="Book Antiqua" w:hAnsi="Book Antiqua"/>
          <w:sz w:val="24"/>
          <w:szCs w:val="24"/>
          <w:lang w:val="en-US"/>
        </w:rPr>
        <w:t>It should, however, be noted</w:t>
      </w:r>
      <w:r w:rsidR="00EB5834" w:rsidRPr="00612653">
        <w:rPr>
          <w:rFonts w:ascii="Book Antiqua" w:hAnsi="Book Antiqua"/>
          <w:sz w:val="24"/>
          <w:szCs w:val="24"/>
          <w:lang w:val="en-US"/>
        </w:rPr>
        <w:t xml:space="preserve"> that</w:t>
      </w:r>
      <w:r w:rsidR="00885F95" w:rsidRPr="00612653">
        <w:rPr>
          <w:rFonts w:ascii="Book Antiqua" w:hAnsi="Book Antiqua"/>
          <w:sz w:val="24"/>
          <w:szCs w:val="24"/>
          <w:lang w:val="en-US"/>
        </w:rPr>
        <w:t xml:space="preserve"> OCA </w:t>
      </w:r>
      <w:r w:rsidR="007C4528" w:rsidRPr="00612653">
        <w:rPr>
          <w:rFonts w:ascii="Book Antiqua" w:hAnsi="Book Antiqua"/>
          <w:sz w:val="24"/>
          <w:szCs w:val="24"/>
          <w:lang w:val="en-US"/>
        </w:rPr>
        <w:lastRenderedPageBreak/>
        <w:t>reduced</w:t>
      </w:r>
      <w:r w:rsidR="00885F95" w:rsidRPr="00612653">
        <w:rPr>
          <w:rFonts w:ascii="Book Antiqua" w:hAnsi="Book Antiqua"/>
          <w:sz w:val="24"/>
          <w:szCs w:val="24"/>
          <w:lang w:val="en-US"/>
        </w:rPr>
        <w:t xml:space="preserve"> all NAS components in </w:t>
      </w:r>
      <w:r w:rsidR="00885F95" w:rsidRPr="00612653">
        <w:rPr>
          <w:rFonts w:ascii="Book Antiqua" w:hAnsi="Book Antiqua"/>
          <w:i/>
          <w:iCs/>
          <w:sz w:val="24"/>
          <w:szCs w:val="24"/>
          <w:lang w:val="en-US"/>
        </w:rPr>
        <w:t>ob/ob</w:t>
      </w:r>
      <w:r w:rsidR="0025653A" w:rsidRPr="00612653">
        <w:rPr>
          <w:rFonts w:ascii="Book Antiqua" w:hAnsi="Book Antiqua"/>
          <w:sz w:val="24"/>
          <w:szCs w:val="24"/>
          <w:lang w:val="en-US"/>
        </w:rPr>
        <w:t>-NASH mice</w:t>
      </w:r>
      <w:r w:rsidR="007F6AEC" w:rsidRPr="00612653">
        <w:rPr>
          <w:rFonts w:ascii="Book Antiqua" w:hAnsi="Book Antiqua"/>
          <w:sz w:val="24"/>
          <w:szCs w:val="24"/>
          <w:lang w:val="en-US"/>
        </w:rPr>
        <w:t>, suggesting</w:t>
      </w:r>
      <w:r w:rsidR="00885F95" w:rsidRPr="00612653">
        <w:rPr>
          <w:rFonts w:ascii="Book Antiqua" w:hAnsi="Book Antiqua"/>
          <w:sz w:val="24"/>
          <w:szCs w:val="24"/>
          <w:lang w:val="en-US"/>
        </w:rPr>
        <w:t xml:space="preserve"> that prolonged </w:t>
      </w:r>
      <w:r w:rsidR="002C1A4D" w:rsidRPr="00612653">
        <w:rPr>
          <w:rFonts w:ascii="Book Antiqua" w:hAnsi="Book Antiqua"/>
          <w:sz w:val="24"/>
          <w:szCs w:val="24"/>
          <w:lang w:val="en-US"/>
        </w:rPr>
        <w:t xml:space="preserve">OCA </w:t>
      </w:r>
      <w:r w:rsidR="00885F95" w:rsidRPr="00612653">
        <w:rPr>
          <w:rFonts w:ascii="Book Antiqua" w:hAnsi="Book Antiqua"/>
          <w:sz w:val="24"/>
          <w:szCs w:val="24"/>
          <w:lang w:val="en-US"/>
        </w:rPr>
        <w:t xml:space="preserve">treatment </w:t>
      </w:r>
      <w:r w:rsidR="00291E55" w:rsidRPr="00612653">
        <w:rPr>
          <w:rFonts w:ascii="Book Antiqua" w:hAnsi="Book Antiqua"/>
          <w:sz w:val="24"/>
          <w:szCs w:val="24"/>
          <w:lang w:val="en-US"/>
        </w:rPr>
        <w:t>could</w:t>
      </w:r>
      <w:r w:rsidR="007C4528" w:rsidRPr="00612653">
        <w:rPr>
          <w:rFonts w:ascii="Book Antiqua" w:hAnsi="Book Antiqua"/>
          <w:sz w:val="24"/>
          <w:szCs w:val="24"/>
          <w:lang w:val="en-US"/>
        </w:rPr>
        <w:t xml:space="preserve"> </w:t>
      </w:r>
      <w:r w:rsidR="007F6AEC" w:rsidRPr="00612653">
        <w:rPr>
          <w:rFonts w:ascii="Book Antiqua" w:hAnsi="Book Antiqua"/>
          <w:sz w:val="24"/>
          <w:szCs w:val="24"/>
          <w:lang w:val="en-US"/>
        </w:rPr>
        <w:t xml:space="preserve">lead to </w:t>
      </w:r>
      <w:r w:rsidR="007C4528" w:rsidRPr="00612653">
        <w:rPr>
          <w:rFonts w:ascii="Book Antiqua" w:hAnsi="Book Antiqua"/>
          <w:sz w:val="24"/>
          <w:szCs w:val="24"/>
          <w:lang w:val="en-US"/>
        </w:rPr>
        <w:t>i</w:t>
      </w:r>
      <w:r w:rsidR="00885F95" w:rsidRPr="00612653">
        <w:rPr>
          <w:rFonts w:ascii="Book Antiqua" w:hAnsi="Book Antiqua"/>
          <w:sz w:val="24"/>
          <w:szCs w:val="24"/>
          <w:lang w:val="en-US"/>
        </w:rPr>
        <w:t>mprove</w:t>
      </w:r>
      <w:r w:rsidR="007F6AEC" w:rsidRPr="00612653">
        <w:rPr>
          <w:rFonts w:ascii="Book Antiqua" w:hAnsi="Book Antiqua"/>
          <w:sz w:val="24"/>
          <w:szCs w:val="24"/>
          <w:lang w:val="en-US"/>
        </w:rPr>
        <w:t xml:space="preserve">d </w:t>
      </w:r>
      <w:r w:rsidR="00885F95" w:rsidRPr="00612653">
        <w:rPr>
          <w:rFonts w:ascii="Book Antiqua" w:hAnsi="Book Antiqua"/>
          <w:sz w:val="24"/>
          <w:szCs w:val="24"/>
          <w:lang w:val="en-US"/>
        </w:rPr>
        <w:t>fibrosis</w:t>
      </w:r>
      <w:r w:rsidR="00D61B83" w:rsidRPr="00612653">
        <w:rPr>
          <w:rFonts w:ascii="Book Antiqua" w:hAnsi="Book Antiqua"/>
          <w:sz w:val="24"/>
          <w:szCs w:val="24"/>
          <w:lang w:val="en-US"/>
        </w:rPr>
        <w:t xml:space="preserve"> stage</w:t>
      </w:r>
      <w:r w:rsidR="007F6AEC" w:rsidRPr="00612653">
        <w:rPr>
          <w:rFonts w:ascii="Book Antiqua" w:hAnsi="Book Antiqua"/>
          <w:sz w:val="24"/>
          <w:szCs w:val="24"/>
          <w:lang w:val="en-US"/>
        </w:rPr>
        <w:t xml:space="preserve"> in this model</w:t>
      </w:r>
      <w:r w:rsidR="00885F95" w:rsidRPr="00612653">
        <w:rPr>
          <w:rFonts w:ascii="Book Antiqua" w:hAnsi="Book Antiqua"/>
          <w:sz w:val="24"/>
          <w:szCs w:val="24"/>
          <w:lang w:val="en-US"/>
        </w:rPr>
        <w:t>.</w:t>
      </w:r>
      <w:r w:rsidR="002C1A4D" w:rsidRPr="00612653">
        <w:rPr>
          <w:rFonts w:ascii="Book Antiqua" w:hAnsi="Book Antiqua"/>
          <w:sz w:val="24"/>
          <w:szCs w:val="24"/>
          <w:lang w:val="en-US"/>
        </w:rPr>
        <w:t xml:space="preserve"> </w:t>
      </w:r>
      <w:r w:rsidR="00A45807" w:rsidRPr="00612653">
        <w:rPr>
          <w:rFonts w:ascii="Book Antiqua" w:hAnsi="Book Antiqua"/>
          <w:sz w:val="24"/>
          <w:szCs w:val="24"/>
          <w:lang w:val="en-US"/>
        </w:rPr>
        <w:t xml:space="preserve">The present data are in </w:t>
      </w:r>
      <w:r w:rsidR="00133BCC" w:rsidRPr="00612653">
        <w:rPr>
          <w:rFonts w:ascii="Book Antiqua" w:hAnsi="Book Antiqua"/>
          <w:sz w:val="24"/>
          <w:szCs w:val="24"/>
          <w:lang w:val="en-US"/>
        </w:rPr>
        <w:t>accordance with</w:t>
      </w:r>
      <w:r w:rsidR="00A45807" w:rsidRPr="00612653">
        <w:rPr>
          <w:rFonts w:ascii="Book Antiqua" w:hAnsi="Book Antiqua"/>
          <w:sz w:val="24"/>
          <w:szCs w:val="24"/>
          <w:lang w:val="en-US"/>
        </w:rPr>
        <w:t xml:space="preserve"> </w:t>
      </w:r>
      <w:r w:rsidR="00594C0F" w:rsidRPr="00612653">
        <w:rPr>
          <w:rFonts w:ascii="Book Antiqua" w:hAnsi="Book Antiqua"/>
          <w:sz w:val="24"/>
          <w:szCs w:val="24"/>
          <w:lang w:val="en-US"/>
        </w:rPr>
        <w:t xml:space="preserve">a recent phase-II </w:t>
      </w:r>
      <w:r w:rsidR="009869FD" w:rsidRPr="00612653">
        <w:rPr>
          <w:rFonts w:ascii="Book Antiqua" w:hAnsi="Book Antiqua"/>
          <w:sz w:val="24"/>
          <w:szCs w:val="24"/>
          <w:lang w:val="en-US"/>
        </w:rPr>
        <w:t xml:space="preserve">(FLINT) </w:t>
      </w:r>
      <w:r w:rsidR="00594C0F" w:rsidRPr="00612653">
        <w:rPr>
          <w:rFonts w:ascii="Book Antiqua" w:hAnsi="Book Antiqua"/>
          <w:sz w:val="24"/>
          <w:szCs w:val="24"/>
          <w:lang w:val="en-US"/>
        </w:rPr>
        <w:t>trial</w:t>
      </w:r>
      <w:r w:rsidR="00A45807" w:rsidRPr="00612653">
        <w:rPr>
          <w:rFonts w:ascii="Book Antiqua" w:hAnsi="Book Antiqua"/>
          <w:sz w:val="24"/>
          <w:szCs w:val="24"/>
          <w:lang w:val="en-US"/>
        </w:rPr>
        <w:t xml:space="preserve"> on OCA treatment for </w:t>
      </w:r>
      <w:r w:rsidR="00431F2D" w:rsidRPr="00612653">
        <w:rPr>
          <w:rFonts w:ascii="Book Antiqua" w:hAnsi="Book Antiqua"/>
          <w:sz w:val="24"/>
          <w:szCs w:val="24"/>
          <w:lang w:val="en-US"/>
        </w:rPr>
        <w:t>NASH</w:t>
      </w:r>
      <w:r w:rsidR="00A45807" w:rsidRPr="00612653">
        <w:rPr>
          <w:rFonts w:ascii="Book Antiqua" w:hAnsi="Book Antiqua"/>
          <w:sz w:val="24"/>
          <w:szCs w:val="24"/>
        </w:rPr>
        <w:fldChar w:fldCharType="begin" w:fldLock="1"/>
      </w:r>
      <w:r w:rsidR="004A5E9A" w:rsidRPr="00612653">
        <w:rPr>
          <w:rFonts w:ascii="Book Antiqua" w:hAnsi="Book Antiqua"/>
          <w:bCs/>
          <w:sz w:val="24"/>
          <w:szCs w:val="24"/>
          <w:lang w:val="en-US"/>
        </w:rPr>
        <w:instrText>ADDIN CSL_CITATION { "citationItems" : [ { "id" : "ITEM-1", "itemData" : { "DOI" : "10.1016/S0140-6736(14)61933-4", "ISSN" : "01406736", "PMID" : "25468160", "abstract" : "BACKGROUND The bile acid derivative 6-ethylchenodeoxycholic acid (obeticholic acid) is a potent activator of the farnesoid X nuclear receptor that reduces liver fat and fibrosis in animal models of fatty liver disease. We assessed the efficacy of obeticholic acid in adult patients with non-alcoholic steatohepatitis. METHODS We did a multicentre, double-blind, placebo-controlled, parallel group, randomised clinical trial at medical centres in the USA in patients with non-cirrhotic, non-alcoholic steatohepatitis to assess treatment with obeticholic acid given orally (25 mg daily) or placebo for 72 weeks. Patients were randomly assigned 1:1 using a computer-generated, centrally administered procedure, stratified by clinical centre and diabetes status. The primary outcome measure was improvement in centrally scored liver histology defined as a decrease in non-alcoholic fatty liver disease activity score by at least 2 points without worsening of fibrosis from baseline to the end of treatment. A planned interim analysis of change in alanine aminotransferase at 24 weeks undertaken before end-of-treatment (72 weeks) biopsies supported the decision to continue the trial (relative change in alanine aminotransferase -24%, 95% CI -45 to -3). A planned interim analysis of the primary outcome showed improved efficacy of obeticholic acid (p=0\u00b70024) and supported a decision not to do end-of-treatment biopsies and end treatment early in 64 patients, but to continue the trial to obtain the 24-week post-treatment measures. Analyses were done by intention-to-treat. This trial was registered with ClinicalTrials.gov, number NCT01265498. FINDINGS Between March 16, 2011, and Dec 3, 2012, 141 patients were randomly assigned to receive obeticholic acid and 142 to placebo. 50 (45%) of 110 patients in the obeticholic acid group who were meant to have biopsies at baseline and 72 weeks had improved liver histology compared with 23 (21%) of 109 such patients in the placebo group (relative risk 1\u00b79, 95% CI 1\u00b73 to 2\u00b78; p=0\u00b70002). 33 (23%) of 141 patients in the obeticholic acid developed pruritus compared with nine (6%) of 142 in the placebo group. INTERPRETATION Obeticholic acid improved the histological features of non-alcoholic steatohepatitis, but its long-term benefits and safety need further clarification. FUNDING National Institute of Diabetes and Digestive and Kidney Diseases, Intercept Pharmaceuticals.", "author" : [ { "dropping-particle" : "", "family" : "Neuschwander-Tetri", "given" : "Brent A", "non-dropping-particle" : "", "parse-names" : false, "suffix" : "" }, { "dropping-particle" : "", "family" : "Loomba", "given" : "Rohit", "non-dropping-particle" : "", "parse-names" : false, "suffix" : "" }, { "dropping-particle" : "", "family" : "Sanyal", "given" : "Arun J", "non-dropping-particle" : "", "parse-names" : false, "suffix" : "" }, { "dropping-particle" : "", "family" : "Lavine", "given" : "Joel E", "non-dropping-particle" : "", "parse-names" : false, "suffix" : "" }, { "dropping-particle" : "", "family" : "Natta", "given" : "Mark L", "non-dropping-particle" : "Van", "parse-names" : false, "suffix" : "" }, { "dropping-particle" : "", "family" : "Abdelmalek", "given" : "Manal F", "non-dropping-particle" : "", "parse-names" : false, "suffix" : "" }, { "dropping-particle" : "", "family" : "Chalasani", "given" : "Naga", "non-dropping-particle" : "", "parse-names" : false, "suffix" : "" }, { "dropping-particle" : "", "family" : "Dasarathy", "given" : "Srinivasan", "non-dropping-particle" : "", "parse-names" : false, "suffix" : "" }, { "dropping-particle" : "", "family" : "Diehl", "given" : "Anna Mae", "non-dropping-particle" : "", "parse-names" : false, "suffix" : "" }, { "dropping-particle" : "", "family" : "Hameed", "given" : "Bilal", "non-dropping-particle" : "", "parse-names" : false, "suffix" : "" }, { "dropping-particle" : "V", "family" : "Kowdley", "given" : "Kris", "non-dropping-particle" : "", "parse-names" : false, "suffix" : "" }, { "dropping-particle" : "", "family" : "McCullough", "given" : "Arthur", "non-dropping-particle" : "", "parse-names" : false, "suffix" : "" }, { "dropping-particle" : "", "family" : "Terrault", "given" : "Norah", "non-dropping-particle" : "", "parse-names" : false, "suffix" : "" }, { "dropping-particle" : "", "family" : "Clark", "given" : "Jeanne M", "non-dropping-particle" : "", "parse-names" : false, "suffix" : "" }, { "dropping-particle" : "", "family" : "Tonascia", "given" : "James", "non-dropping-particle" : "", "parse-names" : false, "suffix" : "" }, { "dropping-particle" : "", "family" : "Brunt", "given" : "Elizabeth M", "non-dropping-particle" : "", "parse-names" : false, "suffix" : "" }, { "dropping-particle" : "", "family" : "Kleiner", "given" : "David E", "non-dropping-particle" : "", "parse-names" : false, "suffix" : "" }, { "dropping-particle" : "", "family" : "Doo", "given" : "Edward", "non-dropping-particle" : "", "parse-names" : false, "suffix" : "" }, { "dropping-particle" : "", "family" : "NASH Clinical Research Network", "given" : "", "non-dropping-particle" : "", "parse-names" : false, "suffix" : "" } ], "container-title" : "The Lancet", "id" : "ITEM-1", "issue" : "9972", "issued" : { "date-parts" : [ [ "2015", "3", "14" ] ] }, "page" : "956-965", "title" : "Farnesoid X nuclear receptor ligand obeticholic acid for non-cirrhotic, non-alcoholic steatohepatitis (FLINT): a multicentre, randomised, placebo-controlled trial", "type" : "article-journal", "volume" : "385" }, "uris" : [ "http://www.mendeley.com/documents/?uuid=f8fd340b-8c77-3c73-b079-2ad9566c2d77" ] } ], "mendeley" : { "formattedCitation" : "&lt;sup&gt;[21]&lt;/sup&gt;", "plainTextFormattedCitation" : "[21]", "previouslyFormattedCitation" : "&lt;sup&gt;[21]&lt;/sup&gt;" }, "properties" : { "noteIndex" : 0 }, "schema" : "https://github.com/citation-style-language/schema/raw/master/csl-citation.json" }</w:instrText>
      </w:r>
      <w:r w:rsidR="00A45807" w:rsidRPr="00612653">
        <w:rPr>
          <w:rFonts w:ascii="Book Antiqua" w:hAnsi="Book Antiqua"/>
          <w:bCs/>
          <w:sz w:val="24"/>
          <w:szCs w:val="24"/>
          <w:lang w:val="en-US"/>
        </w:rPr>
        <w:fldChar w:fldCharType="separate"/>
      </w:r>
      <w:r w:rsidR="004A5E9A" w:rsidRPr="00612653">
        <w:rPr>
          <w:rFonts w:ascii="Book Antiqua" w:hAnsi="Book Antiqua"/>
          <w:noProof/>
          <w:sz w:val="24"/>
          <w:szCs w:val="24"/>
          <w:vertAlign w:val="superscript"/>
          <w:lang w:val="en-US"/>
        </w:rPr>
        <w:t>[21]</w:t>
      </w:r>
      <w:r w:rsidR="00A45807" w:rsidRPr="00612653">
        <w:rPr>
          <w:rFonts w:ascii="Book Antiqua" w:hAnsi="Book Antiqua"/>
          <w:sz w:val="24"/>
          <w:szCs w:val="24"/>
        </w:rPr>
        <w:fldChar w:fldCharType="end"/>
      </w:r>
      <w:r w:rsidR="00133BCC" w:rsidRPr="00612653">
        <w:rPr>
          <w:rFonts w:ascii="Book Antiqua" w:hAnsi="Book Antiqua"/>
          <w:sz w:val="24"/>
          <w:szCs w:val="24"/>
          <w:lang w:val="en-US"/>
        </w:rPr>
        <w:t xml:space="preserve">, </w:t>
      </w:r>
      <w:r w:rsidR="003A0C05" w:rsidRPr="00612653">
        <w:rPr>
          <w:rFonts w:ascii="Book Antiqua" w:hAnsi="Book Antiqua"/>
          <w:sz w:val="24"/>
          <w:szCs w:val="24"/>
          <w:lang w:val="en-US"/>
        </w:rPr>
        <w:t>reporting</w:t>
      </w:r>
      <w:r w:rsidR="00431F2D" w:rsidRPr="00612653">
        <w:rPr>
          <w:rFonts w:ascii="Book Antiqua" w:hAnsi="Book Antiqua"/>
          <w:sz w:val="24"/>
          <w:szCs w:val="24"/>
          <w:lang w:val="en-US"/>
        </w:rPr>
        <w:t xml:space="preserve"> significant improvements </w:t>
      </w:r>
      <w:r w:rsidR="003A0C05" w:rsidRPr="00612653">
        <w:rPr>
          <w:rFonts w:ascii="Book Antiqua" w:hAnsi="Book Antiqua"/>
          <w:sz w:val="24"/>
          <w:szCs w:val="24"/>
          <w:lang w:val="en-US"/>
        </w:rPr>
        <w:t>of</w:t>
      </w:r>
      <w:r w:rsidR="00431F2D" w:rsidRPr="00612653">
        <w:rPr>
          <w:rFonts w:ascii="Book Antiqua" w:hAnsi="Book Antiqua"/>
          <w:sz w:val="24"/>
          <w:szCs w:val="24"/>
          <w:lang w:val="en-US"/>
        </w:rPr>
        <w:t xml:space="preserve"> all NAS components </w:t>
      </w:r>
      <w:r w:rsidR="00133BCC" w:rsidRPr="00612653">
        <w:rPr>
          <w:rFonts w:ascii="Book Antiqua" w:hAnsi="Book Antiqua"/>
          <w:sz w:val="24"/>
          <w:szCs w:val="24"/>
          <w:lang w:val="en-US"/>
        </w:rPr>
        <w:t>without worsening of fibrosis</w:t>
      </w:r>
      <w:r w:rsidR="00431F2D" w:rsidRPr="00612653">
        <w:rPr>
          <w:rFonts w:ascii="Book Antiqua" w:hAnsi="Book Antiqua"/>
          <w:sz w:val="24"/>
          <w:szCs w:val="24"/>
          <w:lang w:val="en-US"/>
        </w:rPr>
        <w:t xml:space="preserve">. </w:t>
      </w:r>
      <w:r w:rsidR="00624CE9" w:rsidRPr="00612653">
        <w:rPr>
          <w:rFonts w:ascii="Book Antiqua" w:hAnsi="Book Antiqua"/>
          <w:sz w:val="24"/>
          <w:szCs w:val="24"/>
          <w:lang w:val="en-US"/>
        </w:rPr>
        <w:t>T</w:t>
      </w:r>
      <w:r w:rsidR="003F0CF7" w:rsidRPr="00612653">
        <w:rPr>
          <w:rFonts w:ascii="Book Antiqua" w:hAnsi="Book Antiqua"/>
          <w:sz w:val="24"/>
          <w:szCs w:val="24"/>
          <w:lang w:val="en-US"/>
        </w:rPr>
        <w:t xml:space="preserve">he FLINT trial </w:t>
      </w:r>
      <w:r w:rsidR="00624CE9" w:rsidRPr="00612653">
        <w:rPr>
          <w:rFonts w:ascii="Book Antiqua" w:hAnsi="Book Antiqua"/>
          <w:sz w:val="24"/>
          <w:szCs w:val="24"/>
          <w:lang w:val="en-US"/>
        </w:rPr>
        <w:t xml:space="preserve">also </w:t>
      </w:r>
      <w:r w:rsidR="003F0CF7" w:rsidRPr="00612653">
        <w:rPr>
          <w:rFonts w:ascii="Book Antiqua" w:hAnsi="Book Antiqua"/>
          <w:sz w:val="24"/>
          <w:szCs w:val="24"/>
          <w:lang w:val="en-US"/>
        </w:rPr>
        <w:t>indicated n</w:t>
      </w:r>
      <w:r w:rsidR="00624CE9" w:rsidRPr="00612653">
        <w:rPr>
          <w:rFonts w:ascii="Book Antiqua" w:hAnsi="Book Antiqua"/>
          <w:sz w:val="24"/>
          <w:szCs w:val="24"/>
          <w:lang w:val="en-US"/>
        </w:rPr>
        <w:t xml:space="preserve">o anti-obesity potential of OCA, analogous to </w:t>
      </w:r>
      <w:r w:rsidR="003A0C05" w:rsidRPr="00612653">
        <w:rPr>
          <w:rFonts w:ascii="Book Antiqua" w:hAnsi="Book Antiqua"/>
          <w:sz w:val="24"/>
          <w:szCs w:val="24"/>
          <w:lang w:val="en-US"/>
        </w:rPr>
        <w:t xml:space="preserve">the </w:t>
      </w:r>
      <w:r w:rsidR="00624CE9" w:rsidRPr="00612653">
        <w:rPr>
          <w:rFonts w:ascii="Book Antiqua" w:hAnsi="Book Antiqua"/>
          <w:sz w:val="24"/>
          <w:szCs w:val="24"/>
          <w:lang w:val="en-US"/>
        </w:rPr>
        <w:t xml:space="preserve">observations in </w:t>
      </w:r>
      <w:r w:rsidR="003A0C05" w:rsidRPr="00612653">
        <w:rPr>
          <w:rFonts w:ascii="Book Antiqua" w:hAnsi="Book Antiqua"/>
          <w:sz w:val="24"/>
          <w:szCs w:val="24"/>
          <w:lang w:val="en-US"/>
        </w:rPr>
        <w:t>the present study</w:t>
      </w:r>
      <w:r w:rsidR="00624CE9" w:rsidRPr="00612653">
        <w:rPr>
          <w:rFonts w:ascii="Book Antiqua" w:hAnsi="Book Antiqua"/>
          <w:sz w:val="24"/>
          <w:szCs w:val="24"/>
          <w:lang w:val="en-US"/>
        </w:rPr>
        <w:t>.</w:t>
      </w:r>
    </w:p>
    <w:p w14:paraId="0242C532" w14:textId="6DDA0182" w:rsidR="00D513BF" w:rsidRPr="00612653" w:rsidRDefault="00745C5F" w:rsidP="00082279">
      <w:pPr>
        <w:snapToGrid w:val="0"/>
        <w:spacing w:after="0" w:line="360" w:lineRule="auto"/>
        <w:ind w:firstLineChars="100" w:firstLine="240"/>
        <w:jc w:val="both"/>
        <w:rPr>
          <w:rFonts w:ascii="Book Antiqua" w:hAnsi="Book Antiqua"/>
          <w:sz w:val="24"/>
          <w:szCs w:val="24"/>
          <w:lang w:val="en-US"/>
        </w:rPr>
      </w:pPr>
      <w:r w:rsidRPr="00612653">
        <w:rPr>
          <w:rFonts w:ascii="Book Antiqua" w:hAnsi="Book Antiqua"/>
          <w:sz w:val="24"/>
          <w:szCs w:val="24"/>
          <w:lang w:val="en-US"/>
        </w:rPr>
        <w:t xml:space="preserve">PPARs constitute another </w:t>
      </w:r>
      <w:r w:rsidR="00354E58" w:rsidRPr="00612653">
        <w:rPr>
          <w:rFonts w:ascii="Book Antiqua" w:hAnsi="Book Antiqua"/>
          <w:sz w:val="24"/>
          <w:szCs w:val="24"/>
          <w:lang w:val="en-US"/>
        </w:rPr>
        <w:t>fa</w:t>
      </w:r>
      <w:r w:rsidR="0011163E" w:rsidRPr="00612653">
        <w:rPr>
          <w:rFonts w:ascii="Book Antiqua" w:hAnsi="Book Antiqua"/>
          <w:sz w:val="24"/>
          <w:szCs w:val="24"/>
          <w:lang w:val="en-US"/>
        </w:rPr>
        <w:t>mil</w:t>
      </w:r>
      <w:r w:rsidR="00354E58" w:rsidRPr="00612653">
        <w:rPr>
          <w:rFonts w:ascii="Book Antiqua" w:hAnsi="Book Antiqua"/>
          <w:sz w:val="24"/>
          <w:szCs w:val="24"/>
          <w:lang w:val="en-US"/>
        </w:rPr>
        <w:t>y</w:t>
      </w:r>
      <w:r w:rsidRPr="00612653">
        <w:rPr>
          <w:rFonts w:ascii="Book Antiqua" w:hAnsi="Book Antiqua"/>
          <w:sz w:val="24"/>
          <w:szCs w:val="24"/>
          <w:lang w:val="en-US"/>
        </w:rPr>
        <w:t xml:space="preserve"> of l</w:t>
      </w:r>
      <w:r w:rsidR="00354E58" w:rsidRPr="00612653">
        <w:rPr>
          <w:rFonts w:ascii="Book Antiqua" w:hAnsi="Book Antiqua"/>
          <w:sz w:val="24"/>
          <w:szCs w:val="24"/>
          <w:lang w:val="en-US"/>
        </w:rPr>
        <w:t>igand-activ</w:t>
      </w:r>
      <w:r w:rsidR="009E0E10" w:rsidRPr="00612653">
        <w:rPr>
          <w:rFonts w:ascii="Book Antiqua" w:hAnsi="Book Antiqua"/>
          <w:sz w:val="24"/>
          <w:szCs w:val="24"/>
          <w:lang w:val="en-US"/>
        </w:rPr>
        <w:t>at</w:t>
      </w:r>
      <w:r w:rsidR="00354E58" w:rsidRPr="00612653">
        <w:rPr>
          <w:rFonts w:ascii="Book Antiqua" w:hAnsi="Book Antiqua"/>
          <w:sz w:val="24"/>
          <w:szCs w:val="24"/>
          <w:lang w:val="en-US"/>
        </w:rPr>
        <w:t>ed nuclear receptors</w:t>
      </w:r>
      <w:r w:rsidR="005A0827" w:rsidRPr="00612653">
        <w:rPr>
          <w:rFonts w:ascii="Book Antiqua" w:hAnsi="Book Antiqua"/>
          <w:sz w:val="24"/>
          <w:szCs w:val="24"/>
          <w:lang w:val="en-US"/>
        </w:rPr>
        <w:t xml:space="preserve">. </w:t>
      </w:r>
      <w:r w:rsidR="00797440" w:rsidRPr="00612653">
        <w:rPr>
          <w:rFonts w:ascii="Book Antiqua" w:hAnsi="Book Antiqua"/>
          <w:sz w:val="24"/>
          <w:szCs w:val="24"/>
          <w:lang w:val="en-US"/>
        </w:rPr>
        <w:t xml:space="preserve">PPARs are </w:t>
      </w:r>
      <w:r w:rsidR="00100D9E" w:rsidRPr="00612653">
        <w:rPr>
          <w:rFonts w:ascii="Book Antiqua" w:hAnsi="Book Antiqua"/>
          <w:sz w:val="24"/>
          <w:szCs w:val="24"/>
          <w:lang w:val="en-US"/>
        </w:rPr>
        <w:t>abundantly expressed in the liver</w:t>
      </w:r>
      <w:r w:rsidR="00797440" w:rsidRPr="00612653">
        <w:rPr>
          <w:rFonts w:ascii="Book Antiqua" w:hAnsi="Book Antiqua"/>
          <w:sz w:val="24"/>
          <w:szCs w:val="24"/>
          <w:lang w:val="en-US"/>
        </w:rPr>
        <w:t xml:space="preserve"> (PPAR-α</w:t>
      </w:r>
      <w:r w:rsidR="003F110C" w:rsidRPr="00612653">
        <w:rPr>
          <w:rFonts w:ascii="Book Antiqua" w:hAnsi="Book Antiqua"/>
          <w:sz w:val="24"/>
          <w:szCs w:val="24"/>
          <w:lang w:val="en-US"/>
        </w:rPr>
        <w:t xml:space="preserve">, </w:t>
      </w:r>
      <w:r w:rsidR="00030A93" w:rsidRPr="00612653">
        <w:rPr>
          <w:rFonts w:ascii="Book Antiqua" w:hAnsi="Book Antiqua"/>
          <w:sz w:val="24"/>
          <w:szCs w:val="24"/>
          <w:lang w:val="en-US"/>
        </w:rPr>
        <w:t>PPAR-</w:t>
      </w:r>
      <w:r w:rsidR="00E74C5F" w:rsidRPr="00612653">
        <w:rPr>
          <w:rFonts w:ascii="Book Antiqua" w:hAnsi="Book Antiqua"/>
          <w:sz w:val="24"/>
          <w:szCs w:val="24"/>
          <w:lang w:val="en-US"/>
        </w:rPr>
        <w:t>β</w:t>
      </w:r>
      <w:r w:rsidR="00030A93" w:rsidRPr="00612653">
        <w:rPr>
          <w:rFonts w:ascii="Book Antiqua" w:hAnsi="Book Antiqua"/>
          <w:sz w:val="24"/>
          <w:szCs w:val="24"/>
          <w:lang w:val="en-US"/>
        </w:rPr>
        <w:t>/</w:t>
      </w:r>
      <w:r w:rsidR="00E74C5F" w:rsidRPr="00612653">
        <w:rPr>
          <w:rFonts w:ascii="Book Antiqua" w:hAnsi="Book Antiqua"/>
          <w:sz w:val="24"/>
          <w:szCs w:val="24"/>
          <w:lang w:val="en-US"/>
        </w:rPr>
        <w:sym w:font="Symbol" w:char="F064"/>
      </w:r>
      <w:r w:rsidR="00797440" w:rsidRPr="00612653">
        <w:rPr>
          <w:rFonts w:ascii="Book Antiqua" w:hAnsi="Book Antiqua"/>
          <w:sz w:val="24"/>
          <w:szCs w:val="24"/>
          <w:lang w:val="en-US"/>
        </w:rPr>
        <w:t>)</w:t>
      </w:r>
      <w:r w:rsidR="00030A93" w:rsidRPr="00612653">
        <w:rPr>
          <w:rFonts w:ascii="Book Antiqua" w:hAnsi="Book Antiqua"/>
          <w:sz w:val="24"/>
          <w:szCs w:val="24"/>
          <w:lang w:val="en-US"/>
        </w:rPr>
        <w:t xml:space="preserve"> </w:t>
      </w:r>
      <w:r w:rsidR="003A0C05" w:rsidRPr="00612653">
        <w:rPr>
          <w:rFonts w:ascii="Book Antiqua" w:hAnsi="Book Antiqua"/>
          <w:sz w:val="24"/>
          <w:szCs w:val="24"/>
          <w:lang w:val="en-US"/>
        </w:rPr>
        <w:t>and</w:t>
      </w:r>
      <w:r w:rsidR="00030A93" w:rsidRPr="00612653">
        <w:rPr>
          <w:rFonts w:ascii="Book Antiqua" w:hAnsi="Book Antiqua"/>
          <w:sz w:val="24"/>
          <w:szCs w:val="24"/>
          <w:lang w:val="en-US"/>
        </w:rPr>
        <w:t xml:space="preserve"> </w:t>
      </w:r>
      <w:r w:rsidR="00797440" w:rsidRPr="00612653">
        <w:rPr>
          <w:rFonts w:ascii="Book Antiqua" w:hAnsi="Book Antiqua"/>
          <w:sz w:val="24"/>
          <w:szCs w:val="24"/>
          <w:lang w:val="en-US"/>
        </w:rPr>
        <w:t>adipose</w:t>
      </w:r>
      <w:r w:rsidR="00103F4B" w:rsidRPr="00612653">
        <w:rPr>
          <w:rFonts w:ascii="Book Antiqua" w:hAnsi="Book Antiqua"/>
          <w:sz w:val="24"/>
          <w:szCs w:val="24"/>
          <w:lang w:val="en-US"/>
        </w:rPr>
        <w:t xml:space="preserve"> tissue</w:t>
      </w:r>
      <w:r w:rsidR="00797440" w:rsidRPr="00612653">
        <w:rPr>
          <w:rFonts w:ascii="Book Antiqua" w:hAnsi="Book Antiqua"/>
          <w:sz w:val="24"/>
          <w:szCs w:val="24"/>
          <w:lang w:val="en-US"/>
        </w:rPr>
        <w:t xml:space="preserve"> (PPAR-δ</w:t>
      </w:r>
      <w:r w:rsidR="00030A93" w:rsidRPr="00612653">
        <w:rPr>
          <w:rFonts w:ascii="Book Antiqua" w:hAnsi="Book Antiqua"/>
          <w:sz w:val="24"/>
          <w:szCs w:val="24"/>
          <w:lang w:val="en-US"/>
        </w:rPr>
        <w:t>, PPAR-</w:t>
      </w:r>
      <w:r w:rsidR="003409D8" w:rsidRPr="00612653">
        <w:rPr>
          <w:rFonts w:ascii="Book Antiqua" w:hAnsi="Book Antiqua"/>
          <w:sz w:val="24"/>
          <w:szCs w:val="24"/>
          <w:lang w:val="en-US"/>
        </w:rPr>
        <w:sym w:font="Symbol" w:char="F067"/>
      </w:r>
      <w:r w:rsidR="00914DAD" w:rsidRPr="00612653">
        <w:rPr>
          <w:rFonts w:ascii="Book Antiqua" w:hAnsi="Book Antiqua"/>
          <w:sz w:val="24"/>
          <w:szCs w:val="24"/>
          <w:lang w:val="en-US"/>
        </w:rPr>
        <w:t>)</w:t>
      </w:r>
      <w:r w:rsidR="00F50880" w:rsidRPr="00612653">
        <w:rPr>
          <w:rFonts w:ascii="Book Antiqua" w:hAnsi="Book Antiqua"/>
          <w:sz w:val="24"/>
          <w:szCs w:val="24"/>
          <w:lang w:val="en-US"/>
        </w:rPr>
        <w:t xml:space="preserve">, </w:t>
      </w:r>
      <w:r w:rsidR="005109D8" w:rsidRPr="00612653">
        <w:rPr>
          <w:rFonts w:ascii="Book Antiqua" w:hAnsi="Book Antiqua"/>
          <w:sz w:val="24"/>
          <w:szCs w:val="24"/>
          <w:lang w:val="en-US"/>
        </w:rPr>
        <w:t xml:space="preserve">being </w:t>
      </w:r>
      <w:r w:rsidR="003A0C05" w:rsidRPr="00612653">
        <w:rPr>
          <w:rFonts w:ascii="Book Antiqua" w:hAnsi="Book Antiqua"/>
          <w:sz w:val="24"/>
          <w:szCs w:val="24"/>
          <w:lang w:val="en-US"/>
        </w:rPr>
        <w:t xml:space="preserve">prominent regulators of lipid and glucose metabolism, </w:t>
      </w:r>
      <w:r w:rsidR="00F50880" w:rsidRPr="00612653">
        <w:rPr>
          <w:rFonts w:ascii="Book Antiqua" w:hAnsi="Book Antiqua"/>
          <w:sz w:val="24"/>
          <w:szCs w:val="24"/>
          <w:lang w:val="en-US"/>
        </w:rPr>
        <w:t xml:space="preserve">but </w:t>
      </w:r>
      <w:r w:rsidR="00E96914" w:rsidRPr="00612653">
        <w:rPr>
          <w:rFonts w:ascii="Book Antiqua" w:hAnsi="Book Antiqua"/>
          <w:sz w:val="24"/>
          <w:szCs w:val="24"/>
          <w:lang w:val="en-US"/>
        </w:rPr>
        <w:t>are also functional in</w:t>
      </w:r>
      <w:r w:rsidR="00030A93" w:rsidRPr="00612653">
        <w:rPr>
          <w:rFonts w:ascii="Book Antiqua" w:hAnsi="Book Antiqua"/>
          <w:sz w:val="24"/>
          <w:szCs w:val="24"/>
          <w:lang w:val="en-US"/>
        </w:rPr>
        <w:t xml:space="preserve"> </w:t>
      </w:r>
      <w:r w:rsidR="00914DAD" w:rsidRPr="00612653">
        <w:rPr>
          <w:rFonts w:ascii="Book Antiqua" w:hAnsi="Book Antiqua"/>
          <w:sz w:val="24"/>
          <w:szCs w:val="24"/>
          <w:lang w:val="en-US"/>
        </w:rPr>
        <w:t>immune cells, including</w:t>
      </w:r>
      <w:r w:rsidR="00E96914" w:rsidRPr="00612653">
        <w:rPr>
          <w:rFonts w:ascii="Book Antiqua" w:hAnsi="Book Antiqua"/>
          <w:sz w:val="24"/>
          <w:szCs w:val="24"/>
          <w:lang w:val="en-US"/>
        </w:rPr>
        <w:t xml:space="preserve"> monocytes and </w:t>
      </w:r>
      <w:r w:rsidR="00030A93" w:rsidRPr="00612653">
        <w:rPr>
          <w:rFonts w:ascii="Book Antiqua" w:hAnsi="Book Antiqua"/>
          <w:sz w:val="24"/>
          <w:szCs w:val="24"/>
          <w:lang w:val="en-US"/>
        </w:rPr>
        <w:t>macrophages</w:t>
      </w:r>
      <w:r w:rsidR="00E96914" w:rsidRPr="00612653">
        <w:rPr>
          <w:rFonts w:ascii="Book Antiqua" w:hAnsi="Book Antiqua"/>
          <w:sz w:val="24"/>
          <w:szCs w:val="24"/>
          <w:lang w:val="en-US"/>
        </w:rPr>
        <w:t xml:space="preserve"> </w:t>
      </w:r>
      <w:r w:rsidR="00030A93" w:rsidRPr="00612653">
        <w:rPr>
          <w:rFonts w:ascii="Book Antiqua" w:hAnsi="Book Antiqua"/>
          <w:sz w:val="24"/>
          <w:szCs w:val="24"/>
          <w:lang w:val="en-US"/>
        </w:rPr>
        <w:t>(PPAR-</w:t>
      </w:r>
      <w:r w:rsidR="00E74C5F" w:rsidRPr="00612653">
        <w:rPr>
          <w:rFonts w:ascii="Book Antiqua" w:hAnsi="Book Antiqua"/>
          <w:sz w:val="24"/>
          <w:szCs w:val="24"/>
          <w:lang w:val="en-US"/>
        </w:rPr>
        <w:sym w:font="Symbol" w:char="F067"/>
      </w:r>
      <w:r w:rsidR="00030A93" w:rsidRPr="00612653">
        <w:rPr>
          <w:rFonts w:ascii="Book Antiqua" w:hAnsi="Book Antiqua"/>
          <w:sz w:val="24"/>
          <w:szCs w:val="24"/>
          <w:lang w:val="en-US"/>
        </w:rPr>
        <w:t>)</w:t>
      </w:r>
      <w:r w:rsidR="00E96914" w:rsidRPr="00612653">
        <w:rPr>
          <w:rFonts w:ascii="Book Antiqua" w:hAnsi="Book Antiqua"/>
          <w:sz w:val="24"/>
          <w:szCs w:val="24"/>
        </w:rPr>
        <w:fldChar w:fldCharType="begin" w:fldLock="1"/>
      </w:r>
      <w:r w:rsidR="00C5337D" w:rsidRPr="00612653">
        <w:rPr>
          <w:rFonts w:ascii="Book Antiqua" w:hAnsi="Book Antiqua" w:cstheme="minorHAnsi"/>
          <w:sz w:val="24"/>
          <w:szCs w:val="24"/>
          <w:lang w:val="en-US"/>
        </w:rPr>
        <w:instrText>ADDIN CSL_CITATION { "citationItems" : [ { "id" : "ITEM-1", "itemData" : { "DOI" : "10.1097/01.mol.0000092630.86399.00", "ISSN" : "0957-9672", "PMID" : "14501584", "abstract" : "PURPOSE OF REVIEW This review focuses on recent advances on the roles of peroxisome proliferator-activated receptors in the control of lipid metabolism, and the inflammatory response of macrophages and the potential participation of these actions in the modulation of atherogenesis. RECENT FINDINGS Altered macrophage functions contribute to the pathogenesis of many infectious, immunological and inflammatory disease processes. Pharmacological modulation of macrophage gene expression therefore represents an important strategy for the prevention and treatment of inflammation-related diseases, such as atherosclerosis. Peroxisome proliferator-activated receptors are lipid-activated transcription factors that control lipid and lipoprotein metabolism, glucose and energy homeostasis, as well as cellular differentiation and proliferation. Recent data suggest that peroxisome proliferator-activated receptor alpha and peroxisome proliferator-activated receptor gamma activators may decrease the incidence of cardiovascular disease, not only by correcting metabolic disorders, but also by directly acting at the level of the vascular wall. In this context, ligand-activated peroxisome proliferator-activated receptors control cellular functions by regulating gene expression in different cell types, including monocytes, macrophages and foam cells. SUMMARY These findings identify the crucial roles of peroxisome proliferator-activated receptors in macrophages, improving the comprehension of the patho-physiological mechanisms of atherogenesis. Moreover, a scientific rationale for the evaluation of peroxisome proliferator-activated receptor activators in the treatment of inflammatory disorders such as atherosclerosis is thus provided.", "author" : [ { "dropping-particle" : "", "family" : "Chinetti", "given" : "Giulia", "non-dropping-particle" : "", "parse-names" : false, "suffix" : "" }, { "dropping-particle" : "", "family" : "Fruchart", "given" : "Jean-Charles", "non-dropping-particle" : "", "parse-names" : false, "suffix" : "" }, { "dropping-particle" : "", "family" : "Staels", "given" : "Bart", "non-dropping-particle" : "", "parse-names" : false, "suffix" : "" } ], "container-title" : "Current opinion in lipidology", "id" : "ITEM-1", "issue" : "5", "issued" : { "date-parts" : [ [ "2003", "10" ] ] }, "page" : "459-68", "title" : "Peroxisome proliferator-activated receptors: new targets for the pharmacological modulation of macrophage gene expression and function.", "type" : "article-journal", "volume" : "14" }, "uris" : [ "http://www.mendeley.com/documents/?uuid=095e5e1a-4928-3fdc-b2f0-478de9e72f33" ] } ], "mendeley" : { "formattedCitation" : "&lt;sup&gt;[60]&lt;/sup&gt;", "plainTextFormattedCitation" : "[60]", "previouslyFormattedCitation" : "&lt;sup&gt;[60]&lt;/sup&gt;" }, "properties" : { "noteIndex" : 0 }, "schema" : "https://github.com/citation-style-language/schema/raw/master/csl-citation.json" }</w:instrText>
      </w:r>
      <w:r w:rsidR="00E96914" w:rsidRPr="00612653">
        <w:rPr>
          <w:rFonts w:ascii="Book Antiqua" w:hAnsi="Book Antiqua" w:cstheme="minorHAnsi"/>
          <w:sz w:val="24"/>
          <w:szCs w:val="24"/>
          <w:vertAlign w:val="superscript"/>
          <w:lang w:val="en-US"/>
        </w:rPr>
        <w:fldChar w:fldCharType="separate"/>
      </w:r>
      <w:r w:rsidR="00C5337D" w:rsidRPr="00612653">
        <w:rPr>
          <w:rFonts w:ascii="Book Antiqua" w:hAnsi="Book Antiqua"/>
          <w:noProof/>
          <w:sz w:val="24"/>
          <w:szCs w:val="24"/>
          <w:vertAlign w:val="superscript"/>
          <w:lang w:val="en-US"/>
        </w:rPr>
        <w:t>[60]</w:t>
      </w:r>
      <w:r w:rsidR="00E96914" w:rsidRPr="00612653">
        <w:rPr>
          <w:rFonts w:ascii="Book Antiqua" w:hAnsi="Book Antiqua"/>
          <w:sz w:val="24"/>
          <w:szCs w:val="24"/>
        </w:rPr>
        <w:fldChar w:fldCharType="end"/>
      </w:r>
      <w:r w:rsidR="00030731" w:rsidRPr="00612653">
        <w:rPr>
          <w:rFonts w:ascii="Book Antiqua" w:hAnsi="Book Antiqua"/>
          <w:sz w:val="24"/>
          <w:szCs w:val="24"/>
          <w:lang w:val="en-US"/>
        </w:rPr>
        <w:t>.</w:t>
      </w:r>
      <w:r w:rsidR="00100D9E" w:rsidRPr="00612653">
        <w:rPr>
          <w:rFonts w:ascii="Book Antiqua" w:hAnsi="Book Antiqua"/>
          <w:sz w:val="24"/>
          <w:szCs w:val="24"/>
          <w:lang w:val="en-US"/>
        </w:rPr>
        <w:t xml:space="preserve"> </w:t>
      </w:r>
      <w:r w:rsidR="00CD002B" w:rsidRPr="00612653">
        <w:rPr>
          <w:rFonts w:ascii="Book Antiqua" w:hAnsi="Book Antiqua"/>
          <w:sz w:val="24"/>
          <w:szCs w:val="24"/>
          <w:lang w:val="en-US"/>
        </w:rPr>
        <w:t>Several s</w:t>
      </w:r>
      <w:r w:rsidR="002E482E" w:rsidRPr="00612653">
        <w:rPr>
          <w:rFonts w:ascii="Book Antiqua" w:hAnsi="Book Antiqua"/>
          <w:sz w:val="24"/>
          <w:szCs w:val="24"/>
          <w:lang w:val="en-US"/>
        </w:rPr>
        <w:t xml:space="preserve">ubtype-selective PPAR agonists </w:t>
      </w:r>
      <w:r w:rsidR="00CD002B" w:rsidRPr="00612653">
        <w:rPr>
          <w:rFonts w:ascii="Book Antiqua" w:hAnsi="Book Antiqua"/>
          <w:sz w:val="24"/>
          <w:szCs w:val="24"/>
          <w:lang w:val="en-US"/>
        </w:rPr>
        <w:t>have been demonstrated to reduce experimental fibrotic steatohepatitis</w:t>
      </w:r>
      <w:r w:rsidR="00FD118C" w:rsidRPr="00612653">
        <w:rPr>
          <w:rFonts w:ascii="Book Antiqua" w:hAnsi="Book Antiqua"/>
          <w:sz w:val="24"/>
          <w:szCs w:val="24"/>
          <w:lang w:val="en-US"/>
        </w:rPr>
        <w:t>, particularly in</w:t>
      </w:r>
      <w:r w:rsidR="00CD002B" w:rsidRPr="00612653">
        <w:rPr>
          <w:rFonts w:ascii="Book Antiqua" w:hAnsi="Book Antiqua"/>
          <w:sz w:val="24"/>
          <w:szCs w:val="24"/>
          <w:lang w:val="en-US"/>
        </w:rPr>
        <w:t xml:space="preserve"> MCD </w:t>
      </w:r>
      <w:r w:rsidR="005109D8" w:rsidRPr="00612653">
        <w:rPr>
          <w:rFonts w:ascii="Book Antiqua" w:hAnsi="Book Antiqua"/>
          <w:sz w:val="24"/>
          <w:szCs w:val="24"/>
          <w:lang w:val="en-US"/>
        </w:rPr>
        <w:t>mice</w:t>
      </w:r>
      <w:r w:rsidR="00FD118C" w:rsidRPr="00612653">
        <w:rPr>
          <w:rFonts w:ascii="Book Antiqua" w:hAnsi="Book Antiqua"/>
          <w:sz w:val="24"/>
          <w:szCs w:val="24"/>
        </w:rPr>
        <w:fldChar w:fldCharType="begin" w:fldLock="1"/>
      </w:r>
      <w:r w:rsidR="0045230C" w:rsidRPr="00612653">
        <w:rPr>
          <w:rFonts w:ascii="Book Antiqua" w:hAnsi="Book Antiqua"/>
          <w:sz w:val="24"/>
          <w:szCs w:val="24"/>
          <w:lang w:val="en-US"/>
        </w:rPr>
        <w:instrText>ADDIN CSL_CITATION { "citationItems" : [ { "id" : "ITEM-1", "itemData" : { "DOI" : "10.1016/j.drudis.2017.06.007", "ISSN" : "1878-5832", "PMID" : "28687459", "abstract" : "Nonalcoholic fatty liver disease (NAFLD) has become the most common cause of chronic liver disease in the Western world. NAFLD is a complex spectrum of liver diseases ranging from benign hepatic steatosis to its more aggressive necroinflammatory manifestation, nonalcoholic steatohepatitis (NASH). NASH pathogenesis is multifactorial and risk factors are almost identical to those of the metabolic syndrome. This has prompted substantial efforts to identify novel drug therapies for correcting underlying metabolic deficits, and to prevent or alleviate hepatic fibrosis in NASH. Available mouse models of NASH address different aspects of the disease, have varying clinical translatability, and, therefore, also show different utility in drug discovery.", "author" : [ { "dropping-particle" : "", "family" : "Hansen", "given" : "Henrik H.", "non-dropping-particle" : "", "parse-names" : false, "suffix" : "" }, { "dropping-particle" : "", "family" : "Feigh", "given" : "Michael", "non-dropping-particle" : "", "parse-names" : false, "suffix" : "" }, { "dropping-particle" : "", "family" : "Veidal", "given" : "Sanne Skovg\u00e5rd", "non-dropping-particle" : "", "parse-names" : false, "suffix" : "" }, { "dropping-particle" : "", "family" : "Rigbolt", "given" : "Kristoffer Tobias Gustav", "non-dropping-particle" : "", "parse-names" : false, "suffix" : "" }, { "dropping-particle" : "", "family" : "Vrang", "given" : "Niels", "non-dropping-particle" : "", "parse-names" : false, "suffix" : "" }, { "dropping-particle" : "", "family" : "Fosgerau", "given" : "Keld", "non-dropping-particle" : "", "parse-names" : false, "suffix" : "" } ], "container-title" : "Drug discovery today", "id" : "ITEM-1", "issue" : "11", "issued" : { "date-parts" : [ [ "2017", "7", "4" ] ] }, "page" : "1707-1718", "title" : "Mouse models of nonalcoholic steatohepatitis in preclinical drug development.", "type" : "article-journal", "volume" : "22" }, "uris" : [ "http://www.mendeley.com/documents/?uuid=e30a1a22-369c-41ab-9d50-b11e3601d690" ] } ], "mendeley" : { "formattedCitation" : "&lt;sup&gt;[8]&lt;/sup&gt;", "plainTextFormattedCitation" : "[8]", "previouslyFormattedCitation" : "&lt;sup&gt;[8]&lt;/sup&gt;" }, "properties" : { "noteIndex" : 0 }, "schema" : "https://github.com/citation-style-language/schema/raw/master/csl-citation.json" }</w:instrText>
      </w:r>
      <w:r w:rsidR="00FD118C" w:rsidRPr="00612653">
        <w:rPr>
          <w:rFonts w:ascii="Book Antiqua" w:hAnsi="Book Antiqua"/>
          <w:sz w:val="24"/>
          <w:szCs w:val="24"/>
          <w:lang w:val="en-US"/>
        </w:rPr>
        <w:fldChar w:fldCharType="separate"/>
      </w:r>
      <w:r w:rsidR="0045230C" w:rsidRPr="00612653">
        <w:rPr>
          <w:rFonts w:ascii="Book Antiqua" w:hAnsi="Book Antiqua"/>
          <w:noProof/>
          <w:sz w:val="24"/>
          <w:szCs w:val="24"/>
          <w:vertAlign w:val="superscript"/>
          <w:lang w:val="en-US"/>
        </w:rPr>
        <w:t>[8]</w:t>
      </w:r>
      <w:r w:rsidR="00FD118C" w:rsidRPr="00612653">
        <w:rPr>
          <w:rFonts w:ascii="Book Antiqua" w:hAnsi="Book Antiqua"/>
          <w:sz w:val="24"/>
          <w:szCs w:val="24"/>
        </w:rPr>
        <w:fldChar w:fldCharType="end"/>
      </w:r>
      <w:r w:rsidR="00CD002B" w:rsidRPr="00612653">
        <w:rPr>
          <w:rFonts w:ascii="Book Antiqua" w:hAnsi="Book Antiqua"/>
          <w:sz w:val="24"/>
          <w:szCs w:val="24"/>
          <w:lang w:val="en-US"/>
        </w:rPr>
        <w:t xml:space="preserve">. In contrast, there is a sparsity in studies addressing effects of PPAR agonists in more translational </w:t>
      </w:r>
      <w:r w:rsidR="00A340E2" w:rsidRPr="00612653">
        <w:rPr>
          <w:rFonts w:ascii="Book Antiqua" w:hAnsi="Book Antiqua"/>
          <w:sz w:val="24"/>
          <w:szCs w:val="24"/>
          <w:lang w:val="en-US"/>
        </w:rPr>
        <w:t xml:space="preserve">mouse </w:t>
      </w:r>
      <w:r w:rsidR="00CD002B" w:rsidRPr="00612653">
        <w:rPr>
          <w:rFonts w:ascii="Book Antiqua" w:hAnsi="Book Antiqua"/>
          <w:sz w:val="24"/>
          <w:szCs w:val="24"/>
          <w:lang w:val="en-US"/>
        </w:rPr>
        <w:t>models of NASH.</w:t>
      </w:r>
      <w:r w:rsidR="00030731" w:rsidRPr="00612653">
        <w:rPr>
          <w:rFonts w:ascii="Book Antiqua" w:hAnsi="Book Antiqua"/>
          <w:sz w:val="24"/>
          <w:szCs w:val="24"/>
          <w:lang w:val="en-US"/>
        </w:rPr>
        <w:t xml:space="preserve"> </w:t>
      </w:r>
      <w:r w:rsidR="00E96914" w:rsidRPr="00612653">
        <w:rPr>
          <w:rFonts w:ascii="Book Antiqua" w:hAnsi="Book Antiqua"/>
          <w:sz w:val="24"/>
          <w:szCs w:val="24"/>
          <w:lang w:val="en-US"/>
        </w:rPr>
        <w:t xml:space="preserve">In DIO-NASH mice, </w:t>
      </w:r>
      <w:r w:rsidR="00030731" w:rsidRPr="00612653">
        <w:rPr>
          <w:rFonts w:ascii="Book Antiqua" w:hAnsi="Book Antiqua"/>
          <w:sz w:val="24"/>
          <w:szCs w:val="24"/>
          <w:lang w:val="en-US"/>
        </w:rPr>
        <w:t>e</w:t>
      </w:r>
      <w:r w:rsidR="00D44143" w:rsidRPr="00612653">
        <w:rPr>
          <w:rFonts w:ascii="Book Antiqua" w:hAnsi="Book Antiqua"/>
          <w:sz w:val="24"/>
          <w:szCs w:val="24"/>
          <w:lang w:val="en-US"/>
        </w:rPr>
        <w:t>lafibranor</w:t>
      </w:r>
      <w:r w:rsidR="00030731" w:rsidRPr="00612653">
        <w:rPr>
          <w:rFonts w:ascii="Book Antiqua" w:hAnsi="Book Antiqua"/>
          <w:sz w:val="24"/>
          <w:szCs w:val="24"/>
          <w:lang w:val="en-US"/>
        </w:rPr>
        <w:t xml:space="preserve"> </w:t>
      </w:r>
      <w:r w:rsidR="00C41336" w:rsidRPr="00612653">
        <w:rPr>
          <w:rFonts w:ascii="Book Antiqua" w:hAnsi="Book Antiqua"/>
          <w:sz w:val="24"/>
          <w:szCs w:val="24"/>
          <w:lang w:val="en-US"/>
        </w:rPr>
        <w:t>showed</w:t>
      </w:r>
      <w:r w:rsidR="006A19CF" w:rsidRPr="00612653">
        <w:rPr>
          <w:rFonts w:ascii="Book Antiqua" w:hAnsi="Book Antiqua"/>
          <w:sz w:val="24"/>
          <w:szCs w:val="24"/>
          <w:lang w:val="en-US"/>
        </w:rPr>
        <w:t xml:space="preserve"> similar efficacy in reducing</w:t>
      </w:r>
      <w:r w:rsidR="00E96914" w:rsidRPr="00612653">
        <w:rPr>
          <w:rFonts w:ascii="Book Antiqua" w:hAnsi="Book Antiqua"/>
          <w:sz w:val="24"/>
          <w:szCs w:val="24"/>
          <w:lang w:val="en-US"/>
        </w:rPr>
        <w:t xml:space="preserve"> body weight and steatosis</w:t>
      </w:r>
      <w:r w:rsidR="00C41336" w:rsidRPr="00612653">
        <w:rPr>
          <w:rFonts w:ascii="Book Antiqua" w:hAnsi="Book Antiqua"/>
          <w:sz w:val="24"/>
          <w:szCs w:val="24"/>
          <w:lang w:val="en-US"/>
        </w:rPr>
        <w:t xml:space="preserve"> </w:t>
      </w:r>
      <w:r w:rsidR="00B712E0" w:rsidRPr="00612653">
        <w:rPr>
          <w:rFonts w:ascii="Book Antiqua" w:hAnsi="Book Antiqua"/>
          <w:sz w:val="24"/>
          <w:szCs w:val="24"/>
          <w:lang w:val="en-US"/>
        </w:rPr>
        <w:t>compared to liraglutide</w:t>
      </w:r>
      <w:r w:rsidR="00C41336" w:rsidRPr="00612653">
        <w:rPr>
          <w:rFonts w:ascii="Book Antiqua" w:hAnsi="Book Antiqua"/>
          <w:sz w:val="24"/>
          <w:szCs w:val="24"/>
          <w:lang w:val="en-US"/>
        </w:rPr>
        <w:t xml:space="preserve">, </w:t>
      </w:r>
      <w:r w:rsidR="00E96914" w:rsidRPr="00612653">
        <w:rPr>
          <w:rFonts w:ascii="Book Antiqua" w:hAnsi="Book Antiqua"/>
          <w:sz w:val="24"/>
          <w:szCs w:val="24"/>
          <w:lang w:val="en-US"/>
        </w:rPr>
        <w:t>however,</w:t>
      </w:r>
      <w:r w:rsidR="00C41336" w:rsidRPr="00612653">
        <w:rPr>
          <w:rFonts w:ascii="Book Antiqua" w:hAnsi="Book Antiqua"/>
          <w:sz w:val="24"/>
          <w:szCs w:val="24"/>
          <w:lang w:val="en-US"/>
        </w:rPr>
        <w:t xml:space="preserve"> the </w:t>
      </w:r>
      <w:r w:rsidR="006A19CF" w:rsidRPr="00612653">
        <w:rPr>
          <w:rFonts w:ascii="Book Antiqua" w:hAnsi="Book Antiqua"/>
          <w:sz w:val="24"/>
          <w:szCs w:val="24"/>
          <w:lang w:val="en-US"/>
        </w:rPr>
        <w:t xml:space="preserve">metabolic </w:t>
      </w:r>
      <w:r w:rsidR="00C41336" w:rsidRPr="00612653">
        <w:rPr>
          <w:rFonts w:ascii="Book Antiqua" w:hAnsi="Book Antiqua"/>
          <w:sz w:val="24"/>
          <w:szCs w:val="24"/>
          <w:lang w:val="en-US"/>
        </w:rPr>
        <w:t xml:space="preserve">effects </w:t>
      </w:r>
      <w:r w:rsidR="00E80F97" w:rsidRPr="00612653">
        <w:rPr>
          <w:rFonts w:ascii="Book Antiqua" w:hAnsi="Book Antiqua"/>
          <w:sz w:val="24"/>
          <w:szCs w:val="24"/>
          <w:lang w:val="en-US"/>
        </w:rPr>
        <w:t xml:space="preserve">of elafibranor </w:t>
      </w:r>
      <w:r w:rsidR="00C41336" w:rsidRPr="00612653">
        <w:rPr>
          <w:rFonts w:ascii="Book Antiqua" w:hAnsi="Book Antiqua"/>
          <w:sz w:val="24"/>
          <w:szCs w:val="24"/>
          <w:lang w:val="en-US"/>
        </w:rPr>
        <w:t xml:space="preserve">were not accompanied by </w:t>
      </w:r>
      <w:r w:rsidR="006310AC" w:rsidRPr="00612653">
        <w:rPr>
          <w:rFonts w:ascii="Book Antiqua" w:hAnsi="Book Antiqua"/>
          <w:sz w:val="24"/>
          <w:szCs w:val="24"/>
          <w:lang w:val="en-US"/>
        </w:rPr>
        <w:t>improvements in</w:t>
      </w:r>
      <w:r w:rsidR="00E80F97" w:rsidRPr="00612653">
        <w:rPr>
          <w:rFonts w:ascii="Book Antiqua" w:hAnsi="Book Antiqua"/>
          <w:sz w:val="24"/>
          <w:szCs w:val="24"/>
          <w:lang w:val="en-US"/>
        </w:rPr>
        <w:t xml:space="preserve"> liver weight</w:t>
      </w:r>
      <w:r w:rsidR="00B712E0" w:rsidRPr="00612653">
        <w:rPr>
          <w:rFonts w:ascii="Book Antiqua" w:hAnsi="Book Antiqua"/>
          <w:sz w:val="24"/>
          <w:szCs w:val="24"/>
          <w:lang w:val="en-US"/>
        </w:rPr>
        <w:t xml:space="preserve">. </w:t>
      </w:r>
      <w:r w:rsidR="00E80F97" w:rsidRPr="00612653">
        <w:rPr>
          <w:rFonts w:ascii="Book Antiqua" w:hAnsi="Book Antiqua"/>
          <w:sz w:val="24"/>
          <w:szCs w:val="24"/>
          <w:lang w:val="en-US"/>
        </w:rPr>
        <w:t>Accordingly</w:t>
      </w:r>
      <w:r w:rsidR="00B712E0" w:rsidRPr="00612653">
        <w:rPr>
          <w:rFonts w:ascii="Book Antiqua" w:hAnsi="Book Antiqua"/>
          <w:sz w:val="24"/>
          <w:szCs w:val="24"/>
          <w:lang w:val="en-US"/>
        </w:rPr>
        <w:t xml:space="preserve">, </w:t>
      </w:r>
      <w:r w:rsidR="00A677D7" w:rsidRPr="00612653">
        <w:rPr>
          <w:rFonts w:ascii="Book Antiqua" w:hAnsi="Book Antiqua"/>
          <w:sz w:val="24"/>
          <w:szCs w:val="24"/>
          <w:lang w:val="en-US"/>
        </w:rPr>
        <w:t xml:space="preserve">hepatomegaly was </w:t>
      </w:r>
      <w:r w:rsidR="00B712E0" w:rsidRPr="00612653">
        <w:rPr>
          <w:rFonts w:ascii="Book Antiqua" w:hAnsi="Book Antiqua"/>
          <w:sz w:val="24"/>
          <w:szCs w:val="24"/>
          <w:lang w:val="en-US"/>
        </w:rPr>
        <w:t xml:space="preserve">either </w:t>
      </w:r>
      <w:r w:rsidR="00A677D7" w:rsidRPr="00612653">
        <w:rPr>
          <w:rFonts w:ascii="Book Antiqua" w:hAnsi="Book Antiqua"/>
          <w:sz w:val="24"/>
          <w:szCs w:val="24"/>
          <w:lang w:val="en-US"/>
        </w:rPr>
        <w:t>accentuated (DIO-NASH mice) or un</w:t>
      </w:r>
      <w:r w:rsidR="00B712E0" w:rsidRPr="00612653">
        <w:rPr>
          <w:rFonts w:ascii="Book Antiqua" w:hAnsi="Book Antiqua"/>
          <w:sz w:val="24"/>
          <w:szCs w:val="24"/>
          <w:lang w:val="en-US"/>
        </w:rPr>
        <w:t>altered</w:t>
      </w:r>
      <w:r w:rsidR="00A677D7" w:rsidRPr="00612653">
        <w:rPr>
          <w:rFonts w:ascii="Book Antiqua" w:hAnsi="Book Antiqua"/>
          <w:sz w:val="24"/>
          <w:szCs w:val="24"/>
          <w:lang w:val="en-US"/>
        </w:rPr>
        <w:t xml:space="preserve"> (</w:t>
      </w:r>
      <w:r w:rsidR="00A677D7" w:rsidRPr="00612653">
        <w:rPr>
          <w:rFonts w:ascii="Book Antiqua" w:hAnsi="Book Antiqua"/>
          <w:i/>
          <w:iCs/>
          <w:sz w:val="24"/>
          <w:szCs w:val="24"/>
          <w:lang w:val="en-US"/>
        </w:rPr>
        <w:t>ob/ob</w:t>
      </w:r>
      <w:r w:rsidR="00A677D7" w:rsidRPr="00612653">
        <w:rPr>
          <w:rFonts w:ascii="Book Antiqua" w:hAnsi="Book Antiqua"/>
          <w:sz w:val="24"/>
          <w:szCs w:val="24"/>
          <w:lang w:val="en-US"/>
        </w:rPr>
        <w:t>-NASH mice)</w:t>
      </w:r>
      <w:r w:rsidR="00B712E0" w:rsidRPr="00612653">
        <w:rPr>
          <w:rFonts w:ascii="Book Antiqua" w:hAnsi="Book Antiqua"/>
          <w:sz w:val="24"/>
          <w:szCs w:val="24"/>
          <w:lang w:val="en-US"/>
        </w:rPr>
        <w:t xml:space="preserve"> with elafibranor treatment</w:t>
      </w:r>
      <w:r w:rsidR="00914DAD" w:rsidRPr="00612653">
        <w:rPr>
          <w:rFonts w:ascii="Book Antiqua" w:hAnsi="Book Antiqua"/>
          <w:sz w:val="24"/>
          <w:szCs w:val="24"/>
          <w:lang w:val="en-US"/>
        </w:rPr>
        <w:t>. RNA sequencing analysis indicated</w:t>
      </w:r>
      <w:r w:rsidR="00C41336" w:rsidRPr="00612653">
        <w:rPr>
          <w:rFonts w:ascii="Book Antiqua" w:hAnsi="Book Antiqua"/>
          <w:sz w:val="24"/>
          <w:szCs w:val="24"/>
          <w:lang w:val="en-US"/>
        </w:rPr>
        <w:t xml:space="preserve"> stimulat</w:t>
      </w:r>
      <w:r w:rsidR="00914DAD" w:rsidRPr="00612653">
        <w:rPr>
          <w:rFonts w:ascii="Book Antiqua" w:hAnsi="Book Antiqua"/>
          <w:sz w:val="24"/>
          <w:szCs w:val="24"/>
          <w:lang w:val="en-US"/>
        </w:rPr>
        <w:t xml:space="preserve">ion of </w:t>
      </w:r>
      <w:r w:rsidR="00C41336" w:rsidRPr="00612653">
        <w:rPr>
          <w:rFonts w:ascii="Book Antiqua" w:hAnsi="Book Antiqua"/>
          <w:sz w:val="24"/>
          <w:szCs w:val="24"/>
          <w:lang w:val="en-US"/>
        </w:rPr>
        <w:t>PPAR and peroxisomal signaling pathways</w:t>
      </w:r>
      <w:r w:rsidR="00914DAD" w:rsidRPr="00612653">
        <w:rPr>
          <w:rFonts w:ascii="Book Antiqua" w:hAnsi="Book Antiqua"/>
          <w:sz w:val="24"/>
          <w:szCs w:val="24"/>
          <w:lang w:val="en-US"/>
        </w:rPr>
        <w:t xml:space="preserve"> in DIO-NASH mice, and h</w:t>
      </w:r>
      <w:r w:rsidR="00B712E0" w:rsidRPr="00612653">
        <w:rPr>
          <w:rFonts w:ascii="Book Antiqua" w:hAnsi="Book Antiqua"/>
          <w:sz w:val="24"/>
          <w:szCs w:val="24"/>
          <w:lang w:val="en-US"/>
        </w:rPr>
        <w:t>epatocyte</w:t>
      </w:r>
      <w:r w:rsidR="00384683" w:rsidRPr="00612653">
        <w:rPr>
          <w:rFonts w:ascii="Book Antiqua" w:hAnsi="Book Antiqua"/>
          <w:sz w:val="24"/>
          <w:szCs w:val="24"/>
          <w:lang w:val="en-US"/>
        </w:rPr>
        <w:t xml:space="preserve"> p</w:t>
      </w:r>
      <w:r w:rsidR="007E359A" w:rsidRPr="00612653">
        <w:rPr>
          <w:rFonts w:ascii="Book Antiqua" w:hAnsi="Book Antiqua"/>
          <w:sz w:val="24"/>
          <w:szCs w:val="24"/>
          <w:lang w:val="en-US"/>
        </w:rPr>
        <w:t>eroxisome proliferat</w:t>
      </w:r>
      <w:r w:rsidR="00384683" w:rsidRPr="00612653">
        <w:rPr>
          <w:rFonts w:ascii="Book Antiqua" w:hAnsi="Book Antiqua"/>
          <w:sz w:val="24"/>
          <w:szCs w:val="24"/>
          <w:lang w:val="en-US"/>
        </w:rPr>
        <w:t>ion</w:t>
      </w:r>
      <w:r w:rsidR="001B7320" w:rsidRPr="00612653">
        <w:rPr>
          <w:rFonts w:ascii="Book Antiqua" w:hAnsi="Book Antiqua"/>
          <w:sz w:val="24"/>
          <w:szCs w:val="24"/>
          <w:lang w:val="en-US"/>
        </w:rPr>
        <w:t xml:space="preserve"> and tumorigenesis</w:t>
      </w:r>
      <w:r w:rsidR="00384683" w:rsidRPr="00612653">
        <w:rPr>
          <w:rFonts w:ascii="Book Antiqua" w:hAnsi="Book Antiqua"/>
          <w:sz w:val="24"/>
          <w:szCs w:val="24"/>
          <w:lang w:val="en-US"/>
        </w:rPr>
        <w:t xml:space="preserve"> </w:t>
      </w:r>
      <w:r w:rsidR="00B712E0" w:rsidRPr="00612653">
        <w:rPr>
          <w:rFonts w:ascii="Book Antiqua" w:hAnsi="Book Antiqua"/>
          <w:sz w:val="24"/>
          <w:szCs w:val="24"/>
          <w:lang w:val="en-US"/>
        </w:rPr>
        <w:t>have been</w:t>
      </w:r>
      <w:r w:rsidR="00D46910" w:rsidRPr="00612653">
        <w:rPr>
          <w:rFonts w:ascii="Book Antiqua" w:hAnsi="Book Antiqua"/>
          <w:sz w:val="24"/>
          <w:szCs w:val="24"/>
          <w:lang w:val="en-US"/>
        </w:rPr>
        <w:t xml:space="preserve"> </w:t>
      </w:r>
      <w:r w:rsidR="007E359A" w:rsidRPr="00612653">
        <w:rPr>
          <w:rFonts w:ascii="Book Antiqua" w:hAnsi="Book Antiqua"/>
          <w:sz w:val="24"/>
          <w:szCs w:val="24"/>
          <w:lang w:val="en-US"/>
        </w:rPr>
        <w:t xml:space="preserve">consistent </w:t>
      </w:r>
      <w:r w:rsidR="00153FA9" w:rsidRPr="00612653">
        <w:rPr>
          <w:rFonts w:ascii="Book Antiqua" w:hAnsi="Book Antiqua"/>
          <w:sz w:val="24"/>
          <w:szCs w:val="24"/>
          <w:lang w:val="en-US"/>
        </w:rPr>
        <w:t xml:space="preserve">findings in </w:t>
      </w:r>
      <w:r w:rsidR="00C41336" w:rsidRPr="00612653">
        <w:rPr>
          <w:rFonts w:ascii="Book Antiqua" w:hAnsi="Book Antiqua"/>
          <w:sz w:val="24"/>
          <w:szCs w:val="24"/>
          <w:lang w:val="en-US"/>
        </w:rPr>
        <w:t xml:space="preserve">rodent </w:t>
      </w:r>
      <w:r w:rsidR="00153FA9" w:rsidRPr="00612653">
        <w:rPr>
          <w:rFonts w:ascii="Book Antiqua" w:hAnsi="Book Antiqua"/>
          <w:sz w:val="24"/>
          <w:szCs w:val="24"/>
          <w:lang w:val="en-US"/>
        </w:rPr>
        <w:t>studies with</w:t>
      </w:r>
      <w:r w:rsidR="001B7320" w:rsidRPr="00612653">
        <w:rPr>
          <w:rFonts w:ascii="Book Antiqua" w:hAnsi="Book Antiqua"/>
          <w:sz w:val="24"/>
          <w:szCs w:val="24"/>
          <w:lang w:val="en-US"/>
        </w:rPr>
        <w:t xml:space="preserve"> PPAR</w:t>
      </w:r>
      <w:r w:rsidR="00D46910" w:rsidRPr="00612653">
        <w:rPr>
          <w:rFonts w:ascii="Book Antiqua" w:hAnsi="Book Antiqua"/>
          <w:sz w:val="24"/>
          <w:szCs w:val="24"/>
          <w:lang w:val="en-US"/>
        </w:rPr>
        <w:t>-α</w:t>
      </w:r>
      <w:r w:rsidR="001B7320" w:rsidRPr="00612653">
        <w:rPr>
          <w:rFonts w:ascii="Book Antiqua" w:hAnsi="Book Antiqua"/>
          <w:sz w:val="24"/>
          <w:szCs w:val="24"/>
          <w:lang w:val="en-US"/>
        </w:rPr>
        <w:t xml:space="preserve"> agonist</w:t>
      </w:r>
      <w:r w:rsidR="00153FA9" w:rsidRPr="00612653">
        <w:rPr>
          <w:rFonts w:ascii="Book Antiqua" w:hAnsi="Book Antiqua"/>
          <w:sz w:val="24"/>
          <w:szCs w:val="24"/>
          <w:lang w:val="en-US"/>
        </w:rPr>
        <w:t>s</w:t>
      </w:r>
      <w:r w:rsidR="00867591" w:rsidRPr="00612653">
        <w:rPr>
          <w:rFonts w:ascii="Book Antiqua" w:hAnsi="Book Antiqua"/>
          <w:sz w:val="24"/>
          <w:szCs w:val="24"/>
          <w:lang w:val="en-US"/>
        </w:rPr>
        <w:t xml:space="preserve"> (including elafibranor)</w:t>
      </w:r>
      <w:r w:rsidR="00E80F97" w:rsidRPr="00612653">
        <w:rPr>
          <w:rFonts w:ascii="Book Antiqua" w:hAnsi="Book Antiqua"/>
          <w:sz w:val="24"/>
          <w:szCs w:val="24"/>
        </w:rPr>
        <w:fldChar w:fldCharType="begin" w:fldLock="1"/>
      </w:r>
      <w:r w:rsidR="004A5E9A" w:rsidRPr="00612653">
        <w:rPr>
          <w:rFonts w:ascii="Book Antiqua" w:hAnsi="Book Antiqua"/>
          <w:sz w:val="24"/>
          <w:szCs w:val="24"/>
          <w:lang w:val="en-US"/>
        </w:rPr>
        <w:instrText>ADDIN CSL_CITATION { "citationItems" : [ { "id" : "ITEM-1", "itemData" : { "DOI" : "10.1002/hep.26461", "ISSN" : "02709139", "PMID" : "23703580", "abstract" : "UNLABELLED Nonalcoholic fatty liver disease (NAFLD) covers a spectrum of liver damage ranging from simple steatosis to nonalcoholic steatohepatitis (NASH), fibrosis, and cirrhosis. To date, no pharmacological treatment is approved for NAFLD/NASH. Here, we report on preclinical and clinical data with GFT505, a novel dual peroxisome proliferator-activated receptor alpha/delta (PPAR-\u03b1/\u03b4) agonist. In the rat, GFT505 concentrated in the liver with limited extrahepatic exposure and underwent extensive enterohepatic cycling. The efficacy of GFT505 was assessed in animal models of NAFLD/NASH and liver fibrosis (Western diet [WD]-fed human apolipoprotein E2 [hApoE2] transgenic mice, methionine- and choline-deficient diet-fed db/db mice, and CCl4 -induced fibrosis in rats). GFT505 demonstrated liver-protective effects on steatosis, inflammation, and fibrosis. In addition, GFT505 improved liver dysfunction markers, decreased hepatic lipid accumulation, and inhibited proinflammatory (interleukin-1 beta, tumor necrosis factor alpha, and F4/80) and profibrotic (transforming growth factor beta, tissue inhibitor of metalloproteinase 2, collagen type I, alpha 1, and collagen type I, alpha 2) gene expression. To determine the role of PPAR-\u03b1-independent mechanisms, the effect of GFT505 was assessed in hApoE2 knock-in/PPAR-\u03b1 knockout mice. In these mice, GFT505 also prevented WD-induced liver steatosis and inflammation, indicating a contribution of PPAR-\u03b1-independent mechanisms. Finally, the effect of GFT505 on liver dysfunction markers was assessed in a combined analysis of four phase II clinical studies in metabolic syndrome patients. GFT505 treatment decreased plasma concentrations of alanine aminotransferase, gamma-glutamyl transpeptidase, and alkaline phosphatase. CONCLUSION The dual PPAR-\u03b1/\u03b4 agonist, GFT505, is a promising liver-targeted drug for treatment of NAFLD/NASH. In animals, its protective effects are mediated by both PPAR-\u03b1-dependent and -independent mechanisms.", "author" : [ { "dropping-particle" : "", "family" : "Staels", "given" : "Bart", "non-dropping-particle" : "", "parse-names" : false, "suffix" : "" }, { "dropping-particle" : "", "family" : "Rubenstrunk", "given" : "Anne", "non-dropping-particle" : "", "parse-names" : false, "suffix" : "" }, { "dropping-particle" : "", "family" : "Noel", "given" : "Benoit", "non-dropping-particle" : "", "parse-names" : false, "suffix" : "" }, { "dropping-particle" : "", "family" : "Rigou", "given" : "G\u00e9raldine", "non-dropping-particle" : "", "parse-names" : false, "suffix" : "" }, { "dropping-particle" : "", "family" : "Delataille", "given" : "Philippe", "non-dropping-particle" : "", "parse-names" : false, "suffix" : "" }, { "dropping-particle" : "", "family" : "Millatt", "given" : "Lesley J.", "non-dropping-particle" : "", "parse-names" : false, "suffix" : "" }, { "dropping-particle" : "", "family" : "Baron", "given" : "Morgane", "non-dropping-particle" : "", "parse-names" : false, "suffix" : "" }, { "dropping-particle" : "", "family" : "Lucas", "given" : "Anthony", "non-dropping-particle" : "", "parse-names" : false, "suffix" : "" }, { "dropping-particle" : "", "family" : "Tailleux", "given" : "Anne", "non-dropping-particle" : "", "parse-names" : false, "suffix" : "" }, { "dropping-particle" : "", "family" : "Hum", "given" : "Dean W.", "non-dropping-particle" : "", "parse-names" : false, "suffix" : "" }, { "dropping-particle" : "", "family" : "Ratziu", "given" : "Vlad", "non-dropping-particle" : "", "parse-names" : false, "suffix" : "" }, { "dropping-particle" : "", "family" : "Cariou", "given" : "Bertrand", "non-dropping-particle" : "", "parse-names" : false, "suffix" : "" }, { "dropping-particle" : "", "family" : "Hanf", "given" : "R\u00e9my", "non-dropping-particle" : "", "parse-names" : false, "suffix" : "" } ], "container-title" : "Hepatology", "id" : "ITEM-1", "issue" : "6", "issued" : { "date-parts" : [ [ "2013", "12" ] ] }, "page" : "1941-1952", "title" : "Hepatoprotective effects of the dual peroxisome proliferator-activated receptor alpha/delta agonist, GFT505, in rodent models of nonalcoholic fatty liver disease/nonalcoholic steatohepatitis", "type" : "article-journal", "volume" : "58" }, "uris" : [ "http://www.mendeley.com/documents/?uuid=9c07d5cb-caac-333d-ad11-008d20640e82" ] } ], "mendeley" : { "formattedCitation" : "&lt;sup&gt;[30]&lt;/sup&gt;", "plainTextFormattedCitation" : "[30]", "previouslyFormattedCitation" : "&lt;sup&gt;[30]&lt;/sup&gt;" }, "properties" : { "noteIndex" : 0 }, "schema" : "https://github.com/citation-style-language/schema/raw/master/csl-citation.json" }</w:instrText>
      </w:r>
      <w:r w:rsidR="00E80F97" w:rsidRPr="00612653">
        <w:rPr>
          <w:rFonts w:ascii="Book Antiqua" w:hAnsi="Book Antiqua"/>
          <w:sz w:val="24"/>
          <w:szCs w:val="24"/>
          <w:lang w:val="en-US"/>
        </w:rPr>
        <w:fldChar w:fldCharType="separate"/>
      </w:r>
      <w:r w:rsidR="004A5E9A" w:rsidRPr="00612653">
        <w:rPr>
          <w:rFonts w:ascii="Book Antiqua" w:hAnsi="Book Antiqua"/>
          <w:noProof/>
          <w:sz w:val="24"/>
          <w:szCs w:val="24"/>
          <w:vertAlign w:val="superscript"/>
          <w:lang w:val="en-US"/>
        </w:rPr>
        <w:t>[30]</w:t>
      </w:r>
      <w:r w:rsidR="00E80F97" w:rsidRPr="00612653">
        <w:rPr>
          <w:rFonts w:ascii="Book Antiqua" w:hAnsi="Book Antiqua"/>
          <w:sz w:val="24"/>
          <w:szCs w:val="24"/>
        </w:rPr>
        <w:fldChar w:fldCharType="end"/>
      </w:r>
      <w:r w:rsidR="00867591" w:rsidRPr="00612653">
        <w:rPr>
          <w:rFonts w:ascii="Book Antiqua" w:hAnsi="Book Antiqua"/>
          <w:sz w:val="24"/>
          <w:szCs w:val="24"/>
          <w:lang w:val="en-US"/>
        </w:rPr>
        <w:t xml:space="preserve">, </w:t>
      </w:r>
      <w:r w:rsidR="0076065C" w:rsidRPr="00612653">
        <w:rPr>
          <w:rFonts w:ascii="Book Antiqua" w:hAnsi="Book Antiqua"/>
          <w:sz w:val="24"/>
          <w:szCs w:val="24"/>
          <w:lang w:val="en-US"/>
        </w:rPr>
        <w:t>but</w:t>
      </w:r>
      <w:r w:rsidR="00C41336" w:rsidRPr="00612653">
        <w:rPr>
          <w:rFonts w:ascii="Book Antiqua" w:hAnsi="Book Antiqua"/>
          <w:sz w:val="24"/>
          <w:szCs w:val="24"/>
          <w:lang w:val="en-US"/>
        </w:rPr>
        <w:t xml:space="preserve"> </w:t>
      </w:r>
      <w:r w:rsidR="000C1079" w:rsidRPr="00612653">
        <w:rPr>
          <w:rFonts w:ascii="Book Antiqua" w:hAnsi="Book Antiqua"/>
          <w:sz w:val="24"/>
          <w:szCs w:val="24"/>
          <w:lang w:val="en-US"/>
        </w:rPr>
        <w:t xml:space="preserve">not </w:t>
      </w:r>
      <w:r w:rsidR="009E0E10" w:rsidRPr="00612653">
        <w:rPr>
          <w:rFonts w:ascii="Book Antiqua" w:hAnsi="Book Antiqua"/>
          <w:sz w:val="24"/>
          <w:szCs w:val="24"/>
          <w:lang w:val="en-US"/>
        </w:rPr>
        <w:t>in</w:t>
      </w:r>
      <w:r w:rsidR="000C1079" w:rsidRPr="00612653">
        <w:rPr>
          <w:rFonts w:ascii="Book Antiqua" w:hAnsi="Book Antiqua"/>
          <w:sz w:val="24"/>
          <w:szCs w:val="24"/>
          <w:lang w:val="en-US"/>
        </w:rPr>
        <w:t xml:space="preserve"> humans</w:t>
      </w:r>
      <w:r w:rsidR="00867591" w:rsidRPr="00612653">
        <w:rPr>
          <w:rFonts w:ascii="Book Antiqua" w:hAnsi="Book Antiqua"/>
          <w:sz w:val="24"/>
          <w:szCs w:val="24"/>
        </w:rPr>
        <w:fldChar w:fldCharType="begin" w:fldLock="1"/>
      </w:r>
      <w:r w:rsidR="00C5337D" w:rsidRPr="00612653">
        <w:rPr>
          <w:rFonts w:ascii="Book Antiqua" w:hAnsi="Book Antiqua"/>
          <w:sz w:val="24"/>
          <w:szCs w:val="24"/>
          <w:lang w:val="en-US"/>
        </w:rPr>
        <w:instrText>ADDIN CSL_CITATION { "citationItems" : [ { "id" : "ITEM-1", "itemData" : { "DOI" : "10.1016/j.tox.2007.09.030", "ISSN" : "0300483X", "PMID" : "18006136", "abstract" : "Peroxisome proliferator chemicals are classic non-genotoxic carcinogens. These agents cause liver cancers when chronically administered to rats and mice. Peroxisome proliferators include the widely prescribed lipid and cholesterol lowering fibrate drugs. In contrast to the results in rodents, there is no evidence that fibrates are associated with elevated risk of liver cancer or any other neoplasms in humans thus indicating a species difference in the hepatocarcinogenic response. The biological effects of peroxisome proliferators are mediated by the peroxisome proliferator-activated receptor (PPAR)alpha. Pparalpha-null mice are resistant to all of the pleiotropic effects of peroxisome proliferators, including cell proliferation and hepatocarcinogenesis. The mechanism of hepatocellular proliferation involves downregulation of the microRNA let-7c gene by PPARalpha. Let-7c controls levels of proliferative c-myc by destabilizing its mRNA. Thus, upon suppression of let-7c, c-myc mRNA and protein are elevated resulting in enhanced hepatocellular proliferation. In contrast, PPARalpha-humanized mice, that respond to Wy-14,643 by lower serum triglycerides and induction of genes encoding fatty acid metabolizing enzymes, are resistant to peroxisome proliferator-induced cell proliferation and cancer. These mice do not exhibit downregulation of let-7c gene expression thus forming the basis for the resistance to hepatocellular carcinogenesis.", "author" : [ { "dropping-particle" : "", "family" : "Gonzalez", "given" : "Frank J.", "non-dropping-particle" : "", "parse-names" : false, "suffix" : "" }, { "dropping-particle" : "", "family" : "Shah", "given" : "Yatrik M.", "non-dropping-particle" : "", "parse-names" : false, "suffix" : "" } ], "container-title" : "Toxicology", "id" : "ITEM-1", "issue" : "1", "issued" : { "date-parts" : [ [ "2008", "4", "3" ] ] }, "page" : "2-8", "title" : "PPAR\u03b1: Mechanism of species differences and hepatocarcinogenesis of peroxisome proliferators", "type" : "article-journal", "volume" : "246" }, "uris" : [ "http://www.mendeley.com/documents/?uuid=92532a20-0d1b-3ca9-8161-f2d4a1d2678e" ] } ], "mendeley" : { "formattedCitation" : "&lt;sup&gt;[61]&lt;/sup&gt;", "plainTextFormattedCitation" : "[61]", "previouslyFormattedCitation" : "&lt;sup&gt;[61]&lt;/sup&gt;" }, "properties" : { "noteIndex" : 0 }, "schema" : "https://github.com/citation-style-language/schema/raw/master/csl-citation.json" }</w:instrText>
      </w:r>
      <w:r w:rsidR="00867591" w:rsidRPr="00612653">
        <w:rPr>
          <w:rFonts w:ascii="Book Antiqua" w:hAnsi="Book Antiqua"/>
          <w:sz w:val="24"/>
          <w:szCs w:val="24"/>
          <w:vertAlign w:val="superscript"/>
          <w:lang w:val="en-US"/>
        </w:rPr>
        <w:fldChar w:fldCharType="separate"/>
      </w:r>
      <w:r w:rsidR="00C5337D" w:rsidRPr="00612653">
        <w:rPr>
          <w:rFonts w:ascii="Book Antiqua" w:hAnsi="Book Antiqua"/>
          <w:noProof/>
          <w:sz w:val="24"/>
          <w:szCs w:val="24"/>
          <w:vertAlign w:val="superscript"/>
          <w:lang w:val="en-US"/>
        </w:rPr>
        <w:t>[61]</w:t>
      </w:r>
      <w:r w:rsidR="00867591" w:rsidRPr="00612653">
        <w:rPr>
          <w:rFonts w:ascii="Book Antiqua" w:hAnsi="Book Antiqua"/>
          <w:sz w:val="24"/>
          <w:szCs w:val="24"/>
        </w:rPr>
        <w:fldChar w:fldCharType="end"/>
      </w:r>
      <w:r w:rsidR="00867591" w:rsidRPr="00612653">
        <w:rPr>
          <w:rFonts w:ascii="Book Antiqua" w:hAnsi="Book Antiqua"/>
          <w:sz w:val="24"/>
          <w:szCs w:val="24"/>
          <w:lang w:val="en-US"/>
        </w:rPr>
        <w:t>.</w:t>
      </w:r>
      <w:r w:rsidR="007C0EC7" w:rsidRPr="00612653">
        <w:rPr>
          <w:rFonts w:ascii="Book Antiqua" w:hAnsi="Book Antiqua"/>
          <w:sz w:val="24"/>
          <w:szCs w:val="24"/>
          <w:lang w:val="en-US"/>
        </w:rPr>
        <w:t xml:space="preserve"> </w:t>
      </w:r>
      <w:r w:rsidR="00E80F97" w:rsidRPr="00612653">
        <w:rPr>
          <w:rFonts w:ascii="Book Antiqua" w:hAnsi="Book Antiqua"/>
          <w:sz w:val="24"/>
          <w:szCs w:val="24"/>
          <w:lang w:val="en-US"/>
        </w:rPr>
        <w:t>Notably, e</w:t>
      </w:r>
      <w:r w:rsidR="00DD55BB" w:rsidRPr="00612653">
        <w:rPr>
          <w:rFonts w:ascii="Book Antiqua" w:hAnsi="Book Antiqua"/>
          <w:sz w:val="24"/>
          <w:szCs w:val="24"/>
          <w:lang w:val="en-US"/>
        </w:rPr>
        <w:t>lafibranor</w:t>
      </w:r>
      <w:r w:rsidR="00C41336" w:rsidRPr="00612653">
        <w:rPr>
          <w:rFonts w:ascii="Book Antiqua" w:hAnsi="Book Antiqua"/>
          <w:sz w:val="24"/>
          <w:szCs w:val="24"/>
          <w:lang w:val="en-US"/>
        </w:rPr>
        <w:t xml:space="preserve"> </w:t>
      </w:r>
      <w:r w:rsidR="00C0009C" w:rsidRPr="00612653">
        <w:rPr>
          <w:rFonts w:ascii="Book Antiqua" w:hAnsi="Book Antiqua"/>
          <w:sz w:val="24"/>
          <w:szCs w:val="24"/>
          <w:lang w:val="en-US"/>
        </w:rPr>
        <w:t>i</w:t>
      </w:r>
      <w:r w:rsidR="00D92392" w:rsidRPr="00612653">
        <w:rPr>
          <w:rFonts w:ascii="Book Antiqua" w:hAnsi="Book Antiqua"/>
          <w:sz w:val="24"/>
          <w:szCs w:val="24"/>
          <w:lang w:val="en-US"/>
        </w:rPr>
        <w:t>mproved</w:t>
      </w:r>
      <w:r w:rsidR="00C41336" w:rsidRPr="00612653">
        <w:rPr>
          <w:rFonts w:ascii="Book Antiqua" w:hAnsi="Book Antiqua"/>
          <w:sz w:val="24"/>
          <w:szCs w:val="24"/>
          <w:lang w:val="en-US"/>
        </w:rPr>
        <w:t xml:space="preserve"> NAS </w:t>
      </w:r>
      <w:r w:rsidR="009E0E10" w:rsidRPr="00612653">
        <w:rPr>
          <w:rFonts w:ascii="Book Antiqua" w:hAnsi="Book Antiqua"/>
          <w:sz w:val="24"/>
          <w:szCs w:val="24"/>
          <w:lang w:val="en-US"/>
        </w:rPr>
        <w:t xml:space="preserve">scores </w:t>
      </w:r>
      <w:r w:rsidR="00E80F97" w:rsidRPr="00612653">
        <w:rPr>
          <w:rFonts w:ascii="Book Antiqua" w:hAnsi="Book Antiqua"/>
          <w:sz w:val="24"/>
          <w:szCs w:val="24"/>
          <w:lang w:val="en-US"/>
        </w:rPr>
        <w:t>with concomitant</w:t>
      </w:r>
      <w:r w:rsidR="002C4706" w:rsidRPr="00612653">
        <w:rPr>
          <w:rFonts w:ascii="Book Antiqua" w:hAnsi="Book Antiqua"/>
          <w:sz w:val="24"/>
          <w:szCs w:val="24"/>
          <w:lang w:val="en-US"/>
        </w:rPr>
        <w:t xml:space="preserve"> reduc</w:t>
      </w:r>
      <w:r w:rsidR="00E80F97" w:rsidRPr="00612653">
        <w:rPr>
          <w:rFonts w:ascii="Book Antiqua" w:hAnsi="Book Antiqua"/>
          <w:sz w:val="24"/>
          <w:szCs w:val="24"/>
          <w:lang w:val="en-US"/>
        </w:rPr>
        <w:t>tions in</w:t>
      </w:r>
      <w:r w:rsidR="002C4706" w:rsidRPr="00612653">
        <w:rPr>
          <w:rFonts w:ascii="Book Antiqua" w:hAnsi="Book Antiqua"/>
          <w:sz w:val="24"/>
          <w:szCs w:val="24"/>
          <w:lang w:val="en-US"/>
        </w:rPr>
        <w:t xml:space="preserve"> </w:t>
      </w:r>
      <w:r w:rsidR="00DD55BB" w:rsidRPr="00612653">
        <w:rPr>
          <w:rFonts w:ascii="Book Antiqua" w:hAnsi="Book Antiqua"/>
          <w:sz w:val="24"/>
          <w:szCs w:val="24"/>
          <w:lang w:val="en-US"/>
        </w:rPr>
        <w:t xml:space="preserve">fibrosis </w:t>
      </w:r>
      <w:r w:rsidR="00B42815" w:rsidRPr="00612653">
        <w:rPr>
          <w:rFonts w:ascii="Book Antiqua" w:hAnsi="Book Antiqua"/>
          <w:sz w:val="24"/>
          <w:szCs w:val="24"/>
          <w:lang w:val="en-US"/>
        </w:rPr>
        <w:t>stage</w:t>
      </w:r>
      <w:r w:rsidR="00EB5834" w:rsidRPr="00612653">
        <w:rPr>
          <w:rFonts w:ascii="Book Antiqua" w:hAnsi="Book Antiqua"/>
          <w:sz w:val="24"/>
          <w:szCs w:val="24"/>
          <w:lang w:val="en-US"/>
        </w:rPr>
        <w:t>, also</w:t>
      </w:r>
      <w:r w:rsidR="000D7EBA" w:rsidRPr="00612653">
        <w:rPr>
          <w:rFonts w:ascii="Book Antiqua" w:hAnsi="Book Antiqua"/>
          <w:sz w:val="24"/>
          <w:szCs w:val="24"/>
          <w:lang w:val="en-US"/>
        </w:rPr>
        <w:t xml:space="preserve"> supported by </w:t>
      </w:r>
      <w:r w:rsidR="000E7BD4" w:rsidRPr="00612653">
        <w:rPr>
          <w:rFonts w:ascii="Book Antiqua" w:hAnsi="Book Antiqua"/>
          <w:sz w:val="24"/>
          <w:szCs w:val="24"/>
          <w:lang w:val="en-US"/>
        </w:rPr>
        <w:t xml:space="preserve">corresponding </w:t>
      </w:r>
      <w:r w:rsidR="000D7EBA" w:rsidRPr="00612653">
        <w:rPr>
          <w:rFonts w:ascii="Book Antiqua" w:hAnsi="Book Antiqua"/>
          <w:sz w:val="24"/>
          <w:szCs w:val="24"/>
          <w:lang w:val="en-US"/>
        </w:rPr>
        <w:t xml:space="preserve">liver </w:t>
      </w:r>
      <w:r w:rsidR="0021084F" w:rsidRPr="00612653">
        <w:rPr>
          <w:rFonts w:ascii="Book Antiqua" w:hAnsi="Book Antiqua"/>
          <w:sz w:val="24"/>
          <w:szCs w:val="24"/>
          <w:lang w:val="en-US"/>
        </w:rPr>
        <w:t>transcriptome changes</w:t>
      </w:r>
      <w:r w:rsidR="000D7EBA" w:rsidRPr="00612653">
        <w:rPr>
          <w:rFonts w:ascii="Book Antiqua" w:hAnsi="Book Antiqua"/>
          <w:sz w:val="24"/>
          <w:szCs w:val="24"/>
          <w:lang w:val="en-US"/>
        </w:rPr>
        <w:t>. In contrast,</w:t>
      </w:r>
      <w:r w:rsidR="0021084F" w:rsidRPr="00612653">
        <w:rPr>
          <w:rFonts w:ascii="Book Antiqua" w:hAnsi="Book Antiqua"/>
          <w:sz w:val="24"/>
          <w:szCs w:val="24"/>
          <w:lang w:val="en-US"/>
        </w:rPr>
        <w:t xml:space="preserve"> t</w:t>
      </w:r>
      <w:r w:rsidR="005F5068" w:rsidRPr="00612653">
        <w:rPr>
          <w:rFonts w:ascii="Book Antiqua" w:hAnsi="Book Antiqua"/>
          <w:sz w:val="24"/>
          <w:szCs w:val="24"/>
          <w:lang w:val="en-US"/>
        </w:rPr>
        <w:t xml:space="preserve">otal Col1a1 </w:t>
      </w:r>
      <w:r w:rsidR="000D7EBA" w:rsidRPr="00612653">
        <w:rPr>
          <w:rFonts w:ascii="Book Antiqua" w:hAnsi="Book Antiqua"/>
          <w:sz w:val="24"/>
          <w:szCs w:val="24"/>
          <w:lang w:val="en-US"/>
        </w:rPr>
        <w:t xml:space="preserve">and Galectin-3 </w:t>
      </w:r>
      <w:r w:rsidR="0021084F" w:rsidRPr="00612653">
        <w:rPr>
          <w:rFonts w:ascii="Book Antiqua" w:hAnsi="Book Antiqua"/>
          <w:sz w:val="24"/>
          <w:szCs w:val="24"/>
          <w:lang w:val="en-US"/>
        </w:rPr>
        <w:t>immunoreactivity was</w:t>
      </w:r>
      <w:r w:rsidR="005F5068" w:rsidRPr="00612653">
        <w:rPr>
          <w:rFonts w:ascii="Book Antiqua" w:hAnsi="Book Antiqua"/>
          <w:sz w:val="24"/>
          <w:szCs w:val="24"/>
          <w:lang w:val="en-US"/>
        </w:rPr>
        <w:t xml:space="preserve"> unaffected </w:t>
      </w:r>
      <w:r w:rsidR="000D7EBA" w:rsidRPr="00612653">
        <w:rPr>
          <w:rFonts w:ascii="Book Antiqua" w:hAnsi="Book Antiqua"/>
          <w:sz w:val="24"/>
          <w:szCs w:val="24"/>
          <w:lang w:val="en-US"/>
        </w:rPr>
        <w:t>in</w:t>
      </w:r>
      <w:r w:rsidR="00EB5834" w:rsidRPr="00612653">
        <w:rPr>
          <w:rFonts w:ascii="Book Antiqua" w:hAnsi="Book Antiqua"/>
          <w:sz w:val="24"/>
          <w:szCs w:val="24"/>
          <w:lang w:val="en-US"/>
        </w:rPr>
        <w:t xml:space="preserve"> elafibranor-treated</w:t>
      </w:r>
      <w:r w:rsidR="000D7EBA" w:rsidRPr="00612653">
        <w:rPr>
          <w:rFonts w:ascii="Book Antiqua" w:hAnsi="Book Antiqua"/>
          <w:sz w:val="24"/>
          <w:szCs w:val="24"/>
          <w:lang w:val="en-US"/>
        </w:rPr>
        <w:t xml:space="preserve"> DIO-NASH mice </w:t>
      </w:r>
      <w:r w:rsidR="008728D9" w:rsidRPr="00612653">
        <w:rPr>
          <w:rFonts w:ascii="Book Antiqua" w:hAnsi="Book Antiqua"/>
          <w:sz w:val="24"/>
          <w:szCs w:val="24"/>
          <w:lang w:val="en-US"/>
        </w:rPr>
        <w:t>due to the</w:t>
      </w:r>
      <w:r w:rsidR="00E80F97" w:rsidRPr="00612653">
        <w:rPr>
          <w:rFonts w:ascii="Book Antiqua" w:hAnsi="Book Antiqua"/>
          <w:sz w:val="24"/>
          <w:szCs w:val="24"/>
          <w:lang w:val="en-US"/>
        </w:rPr>
        <w:t xml:space="preserve"> </w:t>
      </w:r>
      <w:r w:rsidR="007C0EC7" w:rsidRPr="00612653">
        <w:rPr>
          <w:rFonts w:ascii="Book Antiqua" w:hAnsi="Book Antiqua"/>
          <w:sz w:val="24"/>
          <w:szCs w:val="24"/>
          <w:lang w:val="en-US"/>
        </w:rPr>
        <w:t>liver hypertrophic effect</w:t>
      </w:r>
      <w:r w:rsidR="00425F3D" w:rsidRPr="00612653">
        <w:rPr>
          <w:rFonts w:ascii="Book Antiqua" w:hAnsi="Book Antiqua"/>
          <w:sz w:val="24"/>
          <w:szCs w:val="24"/>
          <w:lang w:val="en-US"/>
        </w:rPr>
        <w:t>.</w:t>
      </w:r>
      <w:r w:rsidR="00C41336" w:rsidRPr="00612653">
        <w:rPr>
          <w:rFonts w:ascii="Book Antiqua" w:hAnsi="Book Antiqua"/>
          <w:sz w:val="24"/>
          <w:szCs w:val="24"/>
          <w:lang w:val="en-US"/>
        </w:rPr>
        <w:t xml:space="preserve"> </w:t>
      </w:r>
      <w:r w:rsidR="00F1641C" w:rsidRPr="00612653">
        <w:rPr>
          <w:rFonts w:ascii="Book Antiqua" w:hAnsi="Book Antiqua"/>
          <w:sz w:val="24"/>
          <w:szCs w:val="24"/>
          <w:lang w:val="en-US"/>
        </w:rPr>
        <w:t xml:space="preserve">Elafibranor treatment also promoted marked </w:t>
      </w:r>
      <w:r w:rsidR="0054103A" w:rsidRPr="00612653">
        <w:rPr>
          <w:rFonts w:ascii="Book Antiqua" w:hAnsi="Book Antiqua"/>
          <w:sz w:val="24"/>
          <w:szCs w:val="24"/>
          <w:lang w:val="en-US"/>
        </w:rPr>
        <w:t>effects</w:t>
      </w:r>
      <w:r w:rsidR="00F1641C" w:rsidRPr="00612653">
        <w:rPr>
          <w:rFonts w:ascii="Book Antiqua" w:hAnsi="Book Antiqua"/>
          <w:sz w:val="24"/>
          <w:szCs w:val="24"/>
          <w:lang w:val="en-US"/>
        </w:rPr>
        <w:t xml:space="preserve"> on hepatic signaling pathways associated with lipid </w:t>
      </w:r>
      <w:r w:rsidR="00204B2B" w:rsidRPr="00612653">
        <w:rPr>
          <w:rFonts w:ascii="Book Antiqua" w:hAnsi="Book Antiqua"/>
          <w:sz w:val="24"/>
          <w:szCs w:val="24"/>
          <w:lang w:val="en-US"/>
        </w:rPr>
        <w:t>metabolism</w:t>
      </w:r>
      <w:r w:rsidR="00B2289C" w:rsidRPr="00612653">
        <w:rPr>
          <w:rFonts w:ascii="Book Antiqua" w:hAnsi="Book Antiqua"/>
          <w:sz w:val="24"/>
          <w:szCs w:val="24"/>
          <w:lang w:val="en-US"/>
        </w:rPr>
        <w:t>,</w:t>
      </w:r>
      <w:r w:rsidR="00F1641C" w:rsidRPr="00612653">
        <w:rPr>
          <w:rFonts w:ascii="Book Antiqua" w:hAnsi="Book Antiqua"/>
          <w:sz w:val="24"/>
          <w:szCs w:val="24"/>
          <w:lang w:val="en-US"/>
        </w:rPr>
        <w:t xml:space="preserve"> mitochondrial energy harvesting</w:t>
      </w:r>
      <w:r w:rsidR="00B2289C" w:rsidRPr="00612653">
        <w:rPr>
          <w:rFonts w:ascii="Book Antiqua" w:hAnsi="Book Antiqua"/>
          <w:sz w:val="24"/>
          <w:szCs w:val="24"/>
          <w:lang w:val="en-US"/>
        </w:rPr>
        <w:t>, inflammation, fibrogenesis and execution of cell death programs</w:t>
      </w:r>
      <w:r w:rsidR="00204B2B" w:rsidRPr="00612653">
        <w:rPr>
          <w:rFonts w:ascii="Book Antiqua" w:hAnsi="Book Antiqua"/>
          <w:sz w:val="24"/>
          <w:szCs w:val="24"/>
          <w:lang w:val="en-US"/>
        </w:rPr>
        <w:t xml:space="preserve">. </w:t>
      </w:r>
      <w:r w:rsidR="0088058E" w:rsidRPr="00612653">
        <w:rPr>
          <w:rFonts w:ascii="Book Antiqua" w:hAnsi="Book Antiqua"/>
          <w:sz w:val="24"/>
          <w:szCs w:val="24"/>
          <w:lang w:val="en-US"/>
        </w:rPr>
        <w:t>Other PPAR agonists, including fibrates (bezafibrate, Wy-14,463; PPAR-</w:t>
      </w:r>
      <w:r w:rsidR="00E74C5F" w:rsidRPr="00612653">
        <w:rPr>
          <w:rFonts w:ascii="Book Antiqua" w:hAnsi="Book Antiqua"/>
          <w:sz w:val="24"/>
          <w:szCs w:val="24"/>
          <w:lang w:val="en-US"/>
        </w:rPr>
        <w:sym w:font="Symbol" w:char="F061"/>
      </w:r>
      <w:r w:rsidR="0088058E" w:rsidRPr="00612653">
        <w:rPr>
          <w:rFonts w:ascii="Book Antiqua" w:hAnsi="Book Antiqua"/>
          <w:sz w:val="24"/>
          <w:szCs w:val="24"/>
          <w:lang w:val="en-US"/>
        </w:rPr>
        <w:t xml:space="preserve"> ligands), thiazolidinediones (rosiglitazone, PPAR-</w:t>
      </w:r>
      <w:r w:rsidR="00E74C5F" w:rsidRPr="00612653">
        <w:rPr>
          <w:rFonts w:ascii="Book Antiqua" w:hAnsi="Book Antiqua"/>
          <w:sz w:val="24"/>
          <w:szCs w:val="24"/>
          <w:lang w:val="en-US"/>
        </w:rPr>
        <w:sym w:font="Symbol" w:char="F067"/>
      </w:r>
      <w:r w:rsidR="0088058E" w:rsidRPr="00612653">
        <w:rPr>
          <w:rFonts w:ascii="Book Antiqua" w:hAnsi="Book Antiqua"/>
          <w:sz w:val="24"/>
          <w:szCs w:val="24"/>
          <w:lang w:val="en-US"/>
        </w:rPr>
        <w:t xml:space="preserve"> ligand) and GW501516 (PPAR-</w:t>
      </w:r>
      <w:r w:rsidR="00E74C5F" w:rsidRPr="00612653">
        <w:rPr>
          <w:rFonts w:ascii="Book Antiqua" w:hAnsi="Book Antiqua"/>
          <w:sz w:val="24"/>
          <w:szCs w:val="24"/>
          <w:lang w:val="en-US"/>
        </w:rPr>
        <w:t>β/</w:t>
      </w:r>
      <w:r w:rsidR="00E74C5F" w:rsidRPr="00612653">
        <w:rPr>
          <w:rFonts w:ascii="Book Antiqua" w:hAnsi="Book Antiqua"/>
          <w:sz w:val="24"/>
          <w:szCs w:val="24"/>
          <w:lang w:val="en-US"/>
        </w:rPr>
        <w:sym w:font="Symbol" w:char="F064"/>
      </w:r>
      <w:r w:rsidR="00E74C5F" w:rsidRPr="00612653">
        <w:rPr>
          <w:rFonts w:ascii="Book Antiqua" w:hAnsi="Book Antiqua"/>
          <w:sz w:val="24"/>
          <w:szCs w:val="24"/>
          <w:lang w:val="en-US" w:eastAsia="zh-CN"/>
        </w:rPr>
        <w:t xml:space="preserve"> </w:t>
      </w:r>
      <w:r w:rsidR="0088058E" w:rsidRPr="00612653">
        <w:rPr>
          <w:rFonts w:ascii="Book Antiqua" w:hAnsi="Book Antiqua"/>
          <w:sz w:val="24"/>
          <w:szCs w:val="24"/>
          <w:lang w:val="en-US"/>
        </w:rPr>
        <w:t xml:space="preserve">ligand), have been reported to reduce fibrotic steatohepatitis in </w:t>
      </w:r>
      <w:r w:rsidR="00204B2B" w:rsidRPr="00612653">
        <w:rPr>
          <w:rFonts w:ascii="Book Antiqua" w:hAnsi="Book Antiqua"/>
          <w:sz w:val="24"/>
          <w:szCs w:val="24"/>
          <w:lang w:val="en-US"/>
        </w:rPr>
        <w:t>MCD mice</w:t>
      </w:r>
      <w:r w:rsidR="0088058E" w:rsidRPr="00612653">
        <w:rPr>
          <w:rFonts w:ascii="Book Antiqua" w:hAnsi="Book Antiqua"/>
          <w:sz w:val="24"/>
          <w:szCs w:val="24"/>
          <w:lang w:val="en-US"/>
        </w:rPr>
        <w:fldChar w:fldCharType="begin" w:fldLock="1"/>
      </w:r>
      <w:r w:rsidR="00C5337D" w:rsidRPr="00612653">
        <w:rPr>
          <w:rFonts w:ascii="Book Antiqua" w:hAnsi="Book Antiqua"/>
          <w:sz w:val="24"/>
          <w:szCs w:val="24"/>
          <w:lang w:val="en-US"/>
        </w:rPr>
        <w:instrText>ADDIN CSL_CITATION { "citationItems" : [ { "id" : "ITEM-1", "itemData" : { "DOI" : "10.1016/j.ejphar.2006.02.028", "ISSN" : "00142999", "PMID" : "16574099", "abstract" : "We evaluated the effects of bezafibrate, a peroxisome proliferator-activated receptor (PPAR) pan-agonist, and GW501516, a PPARdelta agonist, on mice fed a methionine- and choline-deficient (MCD) diet, a model of non-alcholic steatohepatitis (NASH), to investigate (a) the efficacy of bezafibrate against non-alcholic steatohepatitis and (b) the relation between non-alcholic steatohepatitis and the functional role of PPARdelta. Bezafibrate (50 or 100 mg/kg/day) and GW501516 (10 mg/kg/day) were administered by gavage once a day for 5 weeks. Hepatic lipid contents, plasma triglyceride, high density lipoprotein (HDL)-cholesterol and alanine aminotransferase (ALT) concentrations were evaluated, as were histopathological changes in the liver and hepatic mRNA expression levels. Bezafibrate and GW501516 inhibited the MCD-diet-induced elevations of hepatic triglyceride and thiobarbituric acid-reactants contents and the histopathological increases in fatty droplets within hepatocytes, liver inflammation and number of activated hepatic stellate cells. In this model, bezafibrate and GW501516 increased the levels of hepatic mRNAs associated with fatty acid beta-oxidation [acyl-CoA oxidase (ACO), carnitine palmitoyltransferase-1 (CPT-1), liver-fatty acid binding protein (L-FABP) and peroxisomal ketothiolase], and reduced the levels of those associated with inflammatory cytokines or chemokine [transforming growth factor (TGF)-beta1, interleukin (IL)-6, IL-1beta, monocyte chemoattractant protein (MCP)-1, tumor necrosis factor (TNF) alpha and nuclear factor (NF)-kappaB1]. In addition, bezafibrate characteristically reduced the elevation in the level of plasma ALT, but enhanced that in plasma adiponectin and increased the mRNA expression levels of its receptors (adiponectin receptors 1 and 2). These results suggest that (a) bezafibrate (especially) and GW501516 might improve hepatic steatosis via an improvement in fatty acid beta-oxidation and a direct prevention of inflammation, (b) treatment with a PPARdelta agonist might improve non-alcholic steatohepatitis, (c) bezafibrate may improve non-alcholic steatohepatitis via activation not only of PPARalpha but also of PPARdelta, because bezafibrate is a PPAR pan-agonist.", "author" : [ { "dropping-particle" : "", "family" : "Nagasawa", "given" : "Tatsuya", "non-dropping-particle" : "", "parse-names" : false, "suffix" : "" }, { "dropping-particle" : "", "family" : "Inada", "given" : "Yoichi", "non-dropping-particle" : "", "parse-names" : false, "suffix" : "" }, { "dropping-particle" : "", "family" : "Nakano", "given" : "Shigeru", "non-dropping-particle" : "", "parse-names" : false, "suffix" : "" }, { "dropping-particle" : "", "family" : "Tamura", "given" : "Toru", "non-dropping-particle" : "", "parse-names" : false, "suffix" : "" }, { "dropping-particle" : "", "family" : "Takahashi", "given" : "Tetsuaki", "non-dropping-particle" : "", "parse-names" : false, "suffix" : "" }, { "dropping-particle" : "", "family" : "Maruyama", "given" : "Kazuyasu", "non-dropping-particle" : "", "parse-names" : false, "suffix" : "" }, { "dropping-particle" : "", "family" : "Yamazaki", "given" : "Yoshinobu", "non-dropping-particle" : "", "parse-names" : false, "suffix" : "" }, { "dropping-particle" : "", "family" : "Kuroda", "given" : "Junji", "non-dropping-particle" : "", "parse-names" : false, "suffix" : "" }, { "dropping-particle" : "", "family" : "Shibata", "given" : "Nobuo", "non-dropping-particle" : "", "parse-names" : false, "suffix" : "" } ], "container-title" : "European Journal of Pharmacology", "id" : "ITEM-1", "issue" : "1-2", "issued" : { "date-parts" : [ [ "2006", "4", "24" ] ] }, "page" : "182-191", "title" : "Effects of bezafibrate, PPAR pan-agonist, and GW501516, PPAR\u03b4 agonist, on development of steatohepatitis in mice fed a methionine- and choline-deficient diet", "type" : "article-journal", "volume" : "536" }, "uris" : [ "http://www.mendeley.com/documents/?uuid=0bb376c8-9367-3fa9-a06e-be89fe1ee59a" ] }, { "id" : "ITEM-2", "itemData" : { "DOI" : "10.1002/hep.20170", "ISSN" : "0270-9139", "PMID" : "15122757", "abstract" : "Administration of a methionine and choline deficient (MCD) diet to rodents causes progressive fibrosing steatohepatitis pathologically similar to human metabolic steatohepatitis. We have previously shown that the peroxisome proliferator-activated receptor-alpha (PPARalpha) agonist, Wy-14,643, prevented the development of MCD diet-induced steatohepatitis. We have now tested whether Wy-14,643 ameliorates established steatohepatitis and fibrosis. Male C57BL6 mice were fed the MCD diet for 51 days to induce severe steatohepatitis. They were then treated with Wy-14,643 together with the MCD diet for 5 or 12 days; positive controls continued on the MCD diet for 5 or 12 days. After 5 days of Wy-14,643 treatment, alanine aminotransferase (ALT) levels were significantly decreased, steatohepatitis less severe, and hepatic lipoperoxides significantly reduced. After 12 days, hepatic triglycerides were normalized and there was near resolution of histological changes. MCD dietary feeding was associated with increased expression of vascular cell adhesion molecule (VCAM)-1, and increased numbers of activated macrophages in the liver. Treatment with Wy-14,643 reduced VCAM-1 expression and macrophage numbers. MCD diet-fed mice developed hepatic fibrosis with increased hepatic collagen alpha1(I), tissue inhibitor of metalloproteinases (TIMP)-1, TIMP-2, and matrix metalloproteinase (MMP)-13 mRNA levels. After treatment with Wy-14,643, expression of these genes was reduced in a manner that paralleled the reduction in activated hepatic stellate cells and near resolution of liver fibrosis. In conclusion, the present study shows that MCD diet-induced fibrosing steatohepatitis can be reversed by treatment with Wy-14,643. It is likely that activation of PPARalpha reverses fibrosis indirectly by reducing stimuli, such as lipid peroxides, and activation of cells responsible for promoting hepatic fibrosis.", "author" : [ { "dropping-particle" : "", "family" : "Ip", "given" : "Emilia", "non-dropping-particle" : "", "parse-names" : false, "suffix" : "" }, { "dropping-particle" : "", "family" : "Farrell", "given" : "Geoff", "non-dropping-particle" : "", "parse-names" : false, "suffix" : "" }, { "dropping-particle" : "", "family" : "Hall", "given" : "Pauline", "non-dropping-particle" : "", "parse-names" : false, "suffix" : "" }, { "dropping-particle" : "", "family" : "Robertson", "given" : "Graham", "non-dropping-particle" : "", "parse-names" : false, "suffix" : "" }, { "dropping-particle" : "", "family" : "Leclercq", "given" : "Isabelle", "non-dropping-particle" : "", "parse-names" : false, "suffix" : "" } ], "container-title" : "Hepatology", "id" : "ITEM-2", "issue" : "5", "issued" : { "date-parts" : [ [ "2004", "5" ] ] }, "page" : "1286-1296", "title" : "Administration of the potent PPARalpha agonist, Wy-14,643, reverses nutritional fibrosis and steatohepatitis in mice", "type" : "article-journal", "volume" : "39" }, "uris" : [ "http://www.mendeley.com/documents/?uuid=45fa3614-e69e-328b-a72e-6e2aabc1a91e" ] }, { "id" : "ITEM-3", "itemData" : { "DOI" : "10.1002/hep.27297", "ISSN" : "02709139", "PMID" : "24995693", "abstract" : "UNLABELLED Nonalcoholic fatty liver disease (NAFLD) is increasingly prevalent and strongly associated with central obesity, dyslipidemia, and insulin resistance. According to the multiple-hit model of NAFLD pathogenesis, lipid accumulation drives nonalcoholic steatohepatitis (NASH) initiation by triggering oxidative stress, lipotoxicity, and subsequent activation of hepatic inflammatory responses that may progress, in predisposed individuals, to fibrosis and cirrhosis. While there is an unmet therapeutical need for NASH and fibrosis, recent preclinical studies showed that peroxisome proliferator-activated receptor (PPAR)-\u03b1 agonism can efficiently oppose these symptoms. To dissect the relative contribution of antisteatotic versus anti-inflammatory PPAR-\u03b1 activities in counteracting dietary-induced liver fibrosis, we used a PPAR-\u03b1 mutant lacking its DNA-binding-dependent activity on fatty acid metabolism. Liver-specific expression of wild-type or a DNA-binding-deficient PPAR-\u03b1 in acute and chronic models of inflammation were used to study PPAR-\u03b1's anti-inflammatory versus metabolic activities in NASH and fibrosis. Pharmacologically activated PPAR-\u03b1 inhibited hepatic inflammatory responses and the transition from steatosis toward NASH and fibrosis through a direct, anti-inflammatory mechanism independent of its lipid handling properties. CONCLUSION The transrepression activity of PPAR-\u03b1 on chronic liver inflammation is sufficient to prevent progression of NASH to liver fibrosis. Dissociated PPAR-\u03b1 agonists, selectively modulating PPAR-\u03b1 transrepression activity, could thus be an option to prevent NASH and fibrosis progression.", "author" : [ { "dropping-particle" : "", "family" : "Pawlak", "given" : "Michal", "non-dropping-particle" : "", "parse-names" : false, "suffix" : "" }, { "dropping-particle" : "", "family" : "Baug\u00e9", "given" : "Eric", "non-dropping-particle" : "", "parse-names" : false, "suffix" : "" }, { "dropping-particle" : "", "family" : "Bourguet", "given" : "William", "non-dropping-particle" : "", "parse-names" : false, "suffix" : "" }, { "dropping-particle" : "", "family" : "Bosscher", "given" : "Karolien", "non-dropping-particle" : "De", "parse-names" : false, "suffix" : "" }, { "dropping-particle" : "", "family" : "Lalloyer", "given" : "Fanny", "non-dropping-particle" : "", "parse-names" : false, "suffix" : "" }, { "dropping-particle" : "", "family" : "Tailleux", "given" : "Anne", "non-dropping-particle" : "", "parse-names" : false, "suffix" : "" }, { "dropping-particle" : "", "family" : "Lebherz", "given" : "Corinna", "non-dropping-particle" : "", "parse-names" : false, "suffix" : "" }, { "dropping-particle" : "", "family" : "Lefebvre", "given" : "Philippe", "non-dropping-particle" : "", "parse-names" : false, "suffix" : "" }, { "dropping-particle" : "", "family" : "Staels", "given" : "Bart", "non-dropping-particle" : "", "parse-names" : false, "suffix" : "" } ], "container-title" : "Hepatology", "id" : "ITEM-3", "issue" : "5", "issued" : { "date-parts" : [ [ "2014", "11" ] ] }, "page" : "1593-1606", "title" : "The transrepressive activity of peroxisome proliferator-activated receptor alpha is necessary and sufficient to prevent liver fibrosis in mice", "type" : "article-journal", "volume" : "60" }, "uris" : [ "http://www.mendeley.com/documents/?uuid=f9206a61-3c2b-358f-b419-865ad0720e27" ] } ], "mendeley" : { "formattedCitation" : "&lt;sup&gt;[14,62,63]&lt;/sup&gt;", "plainTextFormattedCitation" : "[14,62,63]", "previouslyFormattedCitation" : "&lt;sup&gt;[14,62,63]&lt;/sup&gt;" }, "properties" : { "noteIndex" : 0 }, "schema" : "https://github.com/citation-style-language/schema/raw/master/csl-citation.json" }</w:instrText>
      </w:r>
      <w:r w:rsidR="0088058E"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[14,62,63]</w:t>
      </w:r>
      <w:r w:rsidR="0088058E" w:rsidRPr="00612653">
        <w:rPr>
          <w:rFonts w:ascii="Book Antiqua" w:hAnsi="Book Antiqua"/>
          <w:sz w:val="24"/>
          <w:szCs w:val="24"/>
          <w:lang w:val="en-US"/>
        </w:rPr>
        <w:fldChar w:fldCharType="end"/>
      </w:r>
      <w:r w:rsidR="0088058E" w:rsidRPr="00612653">
        <w:rPr>
          <w:rFonts w:ascii="Book Antiqua" w:hAnsi="Book Antiqua"/>
          <w:sz w:val="24"/>
          <w:szCs w:val="24"/>
          <w:lang w:val="en-US"/>
        </w:rPr>
        <w:t xml:space="preserve">. PPAR stimulation is suggested to ameliorate NASH </w:t>
      </w:r>
      <w:r w:rsidR="0088058E" w:rsidRPr="00612653">
        <w:rPr>
          <w:rFonts w:ascii="Book Antiqua" w:hAnsi="Book Antiqua"/>
          <w:sz w:val="24"/>
          <w:szCs w:val="24"/>
          <w:lang w:val="en-US"/>
        </w:rPr>
        <w:lastRenderedPageBreak/>
        <w:t>primarily by enhancing</w:t>
      </w:r>
      <w:r w:rsidR="00267B22" w:rsidRPr="00612653">
        <w:rPr>
          <w:rFonts w:ascii="Book Antiqua" w:hAnsi="Book Antiqua"/>
          <w:sz w:val="24"/>
          <w:szCs w:val="24"/>
          <w:lang w:val="en-US"/>
        </w:rPr>
        <w:t xml:space="preserve"> </w:t>
      </w:r>
      <w:r w:rsidR="00267B22" w:rsidRPr="00612653">
        <w:rPr>
          <w:rFonts w:ascii="Book Antiqua" w:hAnsi="Book Antiqua"/>
          <w:sz w:val="24"/>
          <w:szCs w:val="24"/>
          <w:lang w:val="en-US"/>
        </w:rPr>
        <w:t></w:t>
      </w:r>
      <w:r w:rsidR="00107449" w:rsidRPr="00612653">
        <w:rPr>
          <w:rFonts w:ascii="Book Antiqua" w:hAnsi="Book Antiqua"/>
          <w:sz w:val="24"/>
          <w:szCs w:val="24"/>
          <w:lang w:val="en-US"/>
        </w:rPr>
        <w:t xml:space="preserve">-oxidation </w:t>
      </w:r>
      <w:r w:rsidR="00204B2B" w:rsidRPr="00612653">
        <w:rPr>
          <w:rFonts w:ascii="Book Antiqua" w:hAnsi="Book Antiqua"/>
          <w:sz w:val="24"/>
          <w:szCs w:val="24"/>
          <w:lang w:val="en-US"/>
        </w:rPr>
        <w:t>associated</w:t>
      </w:r>
      <w:r w:rsidR="0088058E" w:rsidRPr="00612653">
        <w:rPr>
          <w:rFonts w:ascii="Book Antiqua" w:hAnsi="Book Antiqua"/>
          <w:sz w:val="24"/>
          <w:szCs w:val="24"/>
          <w:lang w:val="en-US"/>
        </w:rPr>
        <w:t xml:space="preserve"> hepatic fatty acid disposal</w:t>
      </w:r>
      <w:r w:rsidR="00204B2B" w:rsidRPr="00612653">
        <w:rPr>
          <w:rFonts w:ascii="Book Antiqua" w:hAnsi="Book Antiqua"/>
          <w:sz w:val="24"/>
          <w:szCs w:val="24"/>
          <w:lang w:val="en-US"/>
        </w:rPr>
        <w:t>,</w:t>
      </w:r>
      <w:r w:rsidR="0088058E" w:rsidRPr="00612653">
        <w:rPr>
          <w:rFonts w:ascii="Book Antiqua" w:hAnsi="Book Antiqua"/>
          <w:sz w:val="24"/>
          <w:szCs w:val="24"/>
          <w:lang w:val="en-US"/>
        </w:rPr>
        <w:t xml:space="preserve"> but anti-inflammatory and antifibrotic mechanisms might also contribute to improvements in liver histology independent on reduced hepatocyte lipid accumulation</w:t>
      </w:r>
      <w:r w:rsidR="0088058E" w:rsidRPr="00612653">
        <w:rPr>
          <w:rFonts w:ascii="Book Antiqua" w:hAnsi="Book Antiqua"/>
          <w:sz w:val="24"/>
          <w:szCs w:val="24"/>
          <w:lang w:val="en-US"/>
        </w:rPr>
        <w:fldChar w:fldCharType="begin" w:fldLock="1"/>
      </w:r>
      <w:r w:rsidR="00C5337D" w:rsidRPr="00612653">
        <w:rPr>
          <w:rFonts w:ascii="Book Antiqua" w:hAnsi="Book Antiqua"/>
          <w:sz w:val="24"/>
          <w:szCs w:val="24"/>
          <w:lang w:val="en-US"/>
        </w:rPr>
        <w:instrText>ADDIN CSL_CITATION { "citationItems" : [ { "id" : "ITEM-1", "itemData" : { "DOI" : "10.1016/j.pharmthera.2017.05.011", "ISSN" : "01637258", "PMID" : "28546081", "abstract" : "Ligand-activated nuclear receptors, including peroxisome proliferator-activated receptor alpha (PPAR\u03b1), pregnane X receptor, and constitutive androstane receptor, were first identified as key regulators of the responses against chemical toxicants. However, numerous studies using mouse disease models and human samples have revealed critical roles for these receptors and others, such as PPAR\u03b2/\u03b4, PPAR\u03b3, farnesoid X receptor (FXR), and liver X receptor (LXR), in maintaining nutrient/energy homeostasis in part through modulation of the gut-liver-adipose axis. Recently, disorders associated with disrupted nutrient/energy homeostasis, e.g., obesity, metabolic syndrome, and non-alcoholic fatty liver disease (NAFLD), are increasing worldwide. Notably, in NAFLD, a progressive subtype exists, designated as non-alcoholic steatohepatitis (NASH) that is characterized by typical histological features resembling alcoholic steatohepatitis (ASH), and NASH/ASH are recognized as major causes of hepatitis virus-unrelated liver cirrhosis and hepatocellular carcinoma. Since hepatic steatosis is basically caused by an imbalance between fat/energy influx and utilization, abnormal signaling of these nuclear receptors contribute to the pathogenesis of fatty liver disease. Standard therapeutic interventions have not been fully established for fatty liver disease, but some new agents that activate or inhibit nuclear receptor signaling have shown promise as possible therapeutic targets. In this review, we summarize recent findings on the roles of nuclear receptors in fatty liver disease and discuss future perspectives to develop promising pharmacological strategies targeting nuclear receptors for NAFLD/NASH.", "author" : [ { "dropping-particle" : "", "family" : "Tanaka", "given" : "Naoki", "non-dropping-particle" : "", "parse-names" : false, "suffix" : "" }, { "dropping-particle" : "", "family" : "Aoyama", "given" : "Toshifumi", "non-dropping-particle" : "", "parse-names" : false, "suffix" : "" }, { "dropping-particle" : "", "family" : "Kimura", "given" : "Shioko", "non-dropping-particle" : "", "parse-names" : false, "suffix" : "" }, { "dropping-particle" : "", "family" : "Gonzalez", "given" : "Frank J.", "non-dropping-particle" : "", "parse-names" : false, "suffix" : "" } ], "container-title" : "Pharmacology &amp; Therapeutics", "id" : "ITEM-1", "issued" : { "date-parts" : [ [ "2017", "5", "23" ] ] }, "title" : "Targeting nuclear receptors for the treatment of fatty liver disease", "type" : "article-journal" }, "uris" : [ "http://www.mendeley.com/documents/?uuid=e3cfffb5-3bb0-3cd9-bab5-30a634d85e5e" ] }, { "id" : "ITEM-2", "itemData" : { "DOI" : "10.1002/hep.27297", "ISSN" : "02709139", "PMID" : "24995693", "abstract" : "UNLABELLED Nonalcoholic fatty liver disease (NAFLD) is increasingly prevalent and strongly associated with central obesity, dyslipidemia, and insulin resistance. According to the multiple-hit model of NAFLD pathogenesis, lipid accumulation drives nonalcoholic steatohepatitis (NASH) initiation by triggering oxidative stress, lipotoxicity, and subsequent activation of hepatic inflammatory responses that may progress, in predisposed individuals, to fibrosis and cirrhosis. While there is an unmet therapeutical need for NASH and fibrosis, recent preclinical studies showed that peroxisome proliferator-activated receptor (PPAR)-\u03b1 agonism can efficiently oppose these symptoms. To dissect the relative contribution of antisteatotic versus anti-inflammatory PPAR-\u03b1 activities in counteracting dietary-induced liver fibrosis, we used a PPAR-\u03b1 mutant lacking its DNA-binding-dependent activity on fatty acid metabolism. Liver-specific expression of wild-type or a DNA-binding-deficient PPAR-\u03b1 in acute and chronic models of inflammation were used to study PPAR-\u03b1's anti-inflammatory versus metabolic activities in NASH and fibrosis. Pharmacologically activated PPAR-\u03b1 inhibited hepatic inflammatory responses and the transition from steatosis toward NASH and fibrosis through a direct, anti-inflammatory mechanism independent of its lipid handling properties. CONCLUSION The transrepression activity of PPAR-\u03b1 on chronic liver inflammation is sufficient to prevent progression of NASH to liver fibrosis. Dissociated PPAR-\u03b1 agonists, selectively modulating PPAR-\u03b1 transrepression activity, could thus be an option to prevent NASH and fibrosis progression.", "author" : [ { "dropping-particle" : "", "family" : "Pawlak", "given" : "Michal", "non-dropping-particle" : "", "parse-names" : false, "suffix" : "" }, { "dropping-particle" : "", "family" : "Baug\u00e9", "given" : "Eric", "non-dropping-particle" : "", "parse-names" : false, "suffix" : "" }, { "dropping-particle" : "", "family" : "Bourguet", "given" : "William", "non-dropping-particle" : "", "parse-names" : false, "suffix" : "" }, { "dropping-particle" : "", "family" : "Bosscher", "given" : "Karolien", "non-dropping-particle" : "De", "parse-names" : false, "suffix" : "" }, { "dropping-particle" : "", "family" : "Lalloyer", "given" : "Fanny", "non-dropping-particle" : "", "parse-names" : false, "suffix" : "" }, { "dropping-particle" : "", "family" : "Tailleux", "given" : "Anne", "non-dropping-particle" : "", "parse-names" : false, "suffix" : "" }, { "dropping-particle" : "", "family" : "Lebherz", "given" : "Corinna", "non-dropping-particle" : "", "parse-names" : false, "suffix" : "" }, { "dropping-particle" : "", "family" : "Lefebvre", "given" : "Philippe", "non-dropping-particle" : "", "parse-names" : false, "suffix" : "" }, { "dropping-particle" : "", "family" : "Staels", "given" : "Bart", "non-dropping-particle" : "", "parse-names" : false, "suffix" : "" } ], "container-title" : "Hepatology", "id" : "ITEM-2", "issue" : "5", "issued" : { "date-parts" : [ [ "2014", "11" ] ] }, "page" : "1593-1606", "title" : "The transrepressive activity of peroxisome proliferator-activated receptor alpha is necessary and sufficient to prevent liver fibrosis in mice", "type" : "article-journal", "volume" : "60" }, "uris" : [ "http://www.mendeley.com/documents/?uuid=f9206a61-3c2b-358f-b419-865ad0720e27" ] } ], "mendeley" : { "formattedCitation" : "&lt;sup&gt;[63,64]&lt;/sup&gt;", "plainTextFormattedCitation" : "[63,64]", "previouslyFormattedCitation" : "&lt;sup&gt;[63,64]&lt;/sup&gt;" }, "properties" : { "noteIndex" : 0 }, "schema" : "https://github.com/citation-style-language/schema/raw/master/csl-citation.json" }</w:instrText>
      </w:r>
      <w:r w:rsidR="0088058E"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[63,64]</w:t>
      </w:r>
      <w:r w:rsidR="0088058E" w:rsidRPr="00612653">
        <w:rPr>
          <w:rFonts w:ascii="Book Antiqua" w:hAnsi="Book Antiqua"/>
          <w:sz w:val="24"/>
          <w:szCs w:val="24"/>
          <w:lang w:val="en-US"/>
        </w:rPr>
        <w:fldChar w:fldCharType="end"/>
      </w:r>
      <w:r w:rsidR="0088058E" w:rsidRPr="00612653">
        <w:rPr>
          <w:rFonts w:ascii="Book Antiqua" w:hAnsi="Book Antiqua"/>
          <w:sz w:val="24"/>
          <w:szCs w:val="24"/>
          <w:lang w:val="en-US"/>
        </w:rPr>
        <w:t>.</w:t>
      </w:r>
      <w:r w:rsidR="00204B2B" w:rsidRPr="00612653">
        <w:rPr>
          <w:rFonts w:ascii="Book Antiqua" w:hAnsi="Book Antiqua"/>
          <w:sz w:val="24"/>
          <w:szCs w:val="24"/>
          <w:lang w:val="en-US"/>
        </w:rPr>
        <w:t xml:space="preserve"> </w:t>
      </w:r>
      <w:r w:rsidR="0088058E" w:rsidRPr="00612653">
        <w:rPr>
          <w:rFonts w:ascii="Book Antiqua" w:hAnsi="Book Antiqua"/>
          <w:sz w:val="24"/>
          <w:szCs w:val="24"/>
          <w:lang w:val="en-US"/>
        </w:rPr>
        <w:t>In the present study, dual PPAR-</w:t>
      </w:r>
      <w:r w:rsidR="0088058E" w:rsidRPr="00612653">
        <w:rPr>
          <w:rFonts w:ascii="Book Antiqua" w:hAnsi="Book Antiqua"/>
          <w:sz w:val="24"/>
          <w:szCs w:val="24"/>
        </w:rPr>
        <w:t>α</w:t>
      </w:r>
      <w:r w:rsidR="0088058E" w:rsidRPr="00612653">
        <w:rPr>
          <w:rFonts w:ascii="Book Antiqua" w:hAnsi="Book Antiqua"/>
          <w:sz w:val="24"/>
          <w:szCs w:val="24"/>
          <w:lang w:val="en-US"/>
        </w:rPr>
        <w:t>/</w:t>
      </w:r>
      <w:r w:rsidR="0088058E" w:rsidRPr="00612653">
        <w:rPr>
          <w:rFonts w:ascii="Book Antiqua" w:hAnsi="Book Antiqua"/>
          <w:sz w:val="24"/>
          <w:szCs w:val="24"/>
        </w:rPr>
        <w:t>δ</w:t>
      </w:r>
      <w:r w:rsidR="0088058E" w:rsidRPr="00612653">
        <w:rPr>
          <w:rFonts w:ascii="Book Antiqua" w:hAnsi="Book Antiqua"/>
          <w:sz w:val="24"/>
          <w:szCs w:val="24"/>
          <w:lang w:val="en-US"/>
        </w:rPr>
        <w:t xml:space="preserve"> stimulation by elafibranor may thus improve fibrosis</w:t>
      </w:r>
      <w:r w:rsidR="000D7EBA" w:rsidRPr="00612653">
        <w:rPr>
          <w:rFonts w:ascii="Book Antiqua" w:hAnsi="Book Antiqua"/>
          <w:sz w:val="24"/>
          <w:szCs w:val="24"/>
          <w:lang w:val="en-US"/>
        </w:rPr>
        <w:t xml:space="preserve"> stage</w:t>
      </w:r>
      <w:r w:rsidR="0088058E" w:rsidRPr="00612653">
        <w:rPr>
          <w:rFonts w:ascii="Book Antiqua" w:hAnsi="Book Antiqua"/>
          <w:sz w:val="24"/>
          <w:szCs w:val="24"/>
          <w:lang w:val="en-US"/>
        </w:rPr>
        <w:t xml:space="preserve"> in DIO-NASH and </w:t>
      </w:r>
      <w:r w:rsidR="0088058E" w:rsidRPr="00612653">
        <w:rPr>
          <w:rFonts w:ascii="Book Antiqua" w:hAnsi="Book Antiqua"/>
          <w:i/>
          <w:sz w:val="24"/>
          <w:szCs w:val="24"/>
          <w:lang w:val="en-US"/>
        </w:rPr>
        <w:t>ob/ob</w:t>
      </w:r>
      <w:r w:rsidR="0088058E" w:rsidRPr="00612653">
        <w:rPr>
          <w:rFonts w:ascii="Book Antiqua" w:hAnsi="Book Antiqua"/>
          <w:sz w:val="24"/>
          <w:szCs w:val="24"/>
          <w:lang w:val="en-US"/>
        </w:rPr>
        <w:t>-NASH mice by resolving intrahepatic lipid deposition but also through engagement of lipid metabolism-independent signaling pathways.</w:t>
      </w:r>
      <w:r w:rsidR="0054103A" w:rsidRPr="00612653">
        <w:rPr>
          <w:rFonts w:ascii="Book Antiqua" w:hAnsi="Book Antiqua"/>
          <w:sz w:val="24"/>
          <w:szCs w:val="24"/>
          <w:lang w:val="en-US"/>
        </w:rPr>
        <w:t xml:space="preserve"> </w:t>
      </w:r>
      <w:r w:rsidR="001D3DBB" w:rsidRPr="00612653">
        <w:rPr>
          <w:rFonts w:ascii="Book Antiqua" w:hAnsi="Book Antiqua"/>
          <w:sz w:val="24"/>
          <w:szCs w:val="24"/>
          <w:lang w:val="en-US"/>
        </w:rPr>
        <w:t xml:space="preserve">The pharmacokinetics of </w:t>
      </w:r>
      <w:r w:rsidR="00735F96" w:rsidRPr="00612653">
        <w:rPr>
          <w:rFonts w:ascii="Book Antiqua" w:hAnsi="Book Antiqua"/>
          <w:sz w:val="24"/>
          <w:szCs w:val="24"/>
          <w:lang w:val="en-US"/>
        </w:rPr>
        <w:t>elafibranor has</w:t>
      </w:r>
      <w:r w:rsidR="001D3DBB" w:rsidRPr="00612653">
        <w:rPr>
          <w:rFonts w:ascii="Book Antiqua" w:hAnsi="Book Antiqua"/>
          <w:sz w:val="24"/>
          <w:szCs w:val="24"/>
          <w:lang w:val="en-US"/>
        </w:rPr>
        <w:t xml:space="preserve"> not b</w:t>
      </w:r>
      <w:r w:rsidR="00012675" w:rsidRPr="00612653">
        <w:rPr>
          <w:rFonts w:ascii="Book Antiqua" w:hAnsi="Book Antiqua"/>
          <w:sz w:val="24"/>
          <w:szCs w:val="24"/>
          <w:lang w:val="en-US"/>
        </w:rPr>
        <w:t>een reported in detail,</w:t>
      </w:r>
      <w:r w:rsidR="001D3DBB" w:rsidRPr="00612653">
        <w:rPr>
          <w:rFonts w:ascii="Book Antiqua" w:hAnsi="Book Antiqua"/>
          <w:sz w:val="24"/>
          <w:szCs w:val="24"/>
          <w:lang w:val="en-US"/>
        </w:rPr>
        <w:t xml:space="preserve"> </w:t>
      </w:r>
      <w:r w:rsidR="00735F96" w:rsidRPr="00612653">
        <w:rPr>
          <w:rFonts w:ascii="Book Antiqua" w:hAnsi="Book Antiqua"/>
          <w:sz w:val="24"/>
          <w:szCs w:val="24"/>
          <w:lang w:val="en-US"/>
        </w:rPr>
        <w:t xml:space="preserve">but a preliminary study </w:t>
      </w:r>
      <w:r w:rsidR="003F6908" w:rsidRPr="00612653">
        <w:rPr>
          <w:rFonts w:ascii="Book Antiqua" w:hAnsi="Book Antiqua"/>
          <w:sz w:val="24"/>
          <w:szCs w:val="24"/>
          <w:lang w:val="en-US"/>
        </w:rPr>
        <w:t xml:space="preserve">in rats </w:t>
      </w:r>
      <w:r w:rsidR="00E73A76" w:rsidRPr="00612653">
        <w:rPr>
          <w:rFonts w:ascii="Book Antiqua" w:hAnsi="Book Antiqua"/>
          <w:sz w:val="24"/>
          <w:szCs w:val="24"/>
          <w:lang w:val="en-US"/>
        </w:rPr>
        <w:t xml:space="preserve">indicated </w:t>
      </w:r>
      <w:r w:rsidR="0064306C" w:rsidRPr="00612653">
        <w:rPr>
          <w:rFonts w:ascii="Book Antiqua" w:hAnsi="Book Antiqua"/>
          <w:sz w:val="24"/>
          <w:szCs w:val="24"/>
          <w:lang w:val="en-US"/>
        </w:rPr>
        <w:t xml:space="preserve">elafibranor </w:t>
      </w:r>
      <w:r w:rsidR="00735F96" w:rsidRPr="00612653">
        <w:rPr>
          <w:rFonts w:ascii="Book Antiqua" w:hAnsi="Book Antiqua"/>
          <w:sz w:val="24"/>
          <w:szCs w:val="24"/>
          <w:lang w:val="en-US"/>
        </w:rPr>
        <w:t>excret</w:t>
      </w:r>
      <w:r w:rsidR="00E73A76" w:rsidRPr="00612653">
        <w:rPr>
          <w:rFonts w:ascii="Book Antiqua" w:hAnsi="Book Antiqua"/>
          <w:sz w:val="24"/>
          <w:szCs w:val="24"/>
          <w:lang w:val="en-US"/>
        </w:rPr>
        <w:t>ion</w:t>
      </w:r>
      <w:r w:rsidR="0064306C" w:rsidRPr="00612653">
        <w:rPr>
          <w:rFonts w:ascii="Book Antiqua" w:hAnsi="Book Antiqua"/>
          <w:sz w:val="24"/>
          <w:szCs w:val="24"/>
          <w:lang w:val="en-US"/>
        </w:rPr>
        <w:t xml:space="preserve"> </w:t>
      </w:r>
      <w:r w:rsidR="00735F96" w:rsidRPr="00612653">
        <w:rPr>
          <w:rFonts w:ascii="Book Antiqua" w:hAnsi="Book Antiqua"/>
          <w:sz w:val="24"/>
          <w:szCs w:val="24"/>
          <w:lang w:val="en-US"/>
        </w:rPr>
        <w:t>in the bile</w:t>
      </w:r>
      <w:r w:rsidR="00B660C1" w:rsidRPr="00612653">
        <w:rPr>
          <w:rFonts w:ascii="Book Antiqua" w:hAnsi="Book Antiqua"/>
          <w:sz w:val="24"/>
          <w:szCs w:val="24"/>
          <w:lang w:val="en-US"/>
        </w:rPr>
        <w:t xml:space="preserve"> </w:t>
      </w:r>
      <w:r w:rsidR="00B22E1E" w:rsidRPr="00612653">
        <w:rPr>
          <w:rFonts w:ascii="Book Antiqua" w:hAnsi="Book Antiqua"/>
          <w:sz w:val="24"/>
          <w:szCs w:val="24"/>
          <w:lang w:val="en-US"/>
        </w:rPr>
        <w:t>suggestive of</w:t>
      </w:r>
      <w:r w:rsidR="00735F96" w:rsidRPr="00612653">
        <w:rPr>
          <w:rFonts w:ascii="Book Antiqua" w:hAnsi="Book Antiqua"/>
          <w:sz w:val="24"/>
          <w:szCs w:val="24"/>
          <w:lang w:val="en-US"/>
        </w:rPr>
        <w:t xml:space="preserve"> extensive enterohepatic cycling</w:t>
      </w:r>
      <w:r w:rsidR="003F68A1" w:rsidRPr="00612653">
        <w:rPr>
          <w:rFonts w:ascii="Book Antiqua" w:hAnsi="Book Antiqua"/>
          <w:sz w:val="24"/>
          <w:szCs w:val="24"/>
        </w:rPr>
        <w:fldChar w:fldCharType="begin" w:fldLock="1"/>
      </w:r>
      <w:r w:rsidR="004A5E9A" w:rsidRPr="00612653">
        <w:rPr>
          <w:rFonts w:ascii="Book Antiqua" w:hAnsi="Book Antiqua"/>
          <w:sz w:val="24"/>
          <w:szCs w:val="24"/>
          <w:lang w:val="en-US"/>
        </w:rPr>
        <w:instrText>ADDIN CSL_CITATION { "citationItems" : [ { "id" : "ITEM-1", "itemData" : { "DOI" : "10.2337/dc12-2012", "ISSN" : "1935-5548", "PMID" : "23715754", "abstract" : "OBJECTIVE The development of new insulin sensitizers is an unmet need for the treatment of type 2 diabetes. We investigated the effect of GFT505, a dual peroxisome proliferator-activated receptor (PPAR)-\u03b1/\u03b4 agonist, on peripheral and hepatic insulin sensitivity. RESEARCH DESIGN AND METHODS Twenty-two abdominally obese insulin-resistant males (homeostasis model assessment of insulin resistance&gt;3) were randomly assigned in a randomized crossover study to subsequent 8-week treatment periods with GFT505 (80 mg/day) or placebo, followed by a two-step hyperinsulinemic-euglycemic insulin clamp with a glucose tracer to calculate endogenous glucose production (EGP). The primary end point was the improvement in glucose infusion rate (GIR). Gene expression analysis was performed on skeletal muscle biopsy specimens. RESULTS GFT505 improved peripheral insulin sensitivity, with a 21% (P=0.048) increase of the GIR at the second insulin infusion period. GFT505 also enhanced hepatic insulin sensitivity, with a 44% (P=0.006) increase of insulin suppression of EGP at the first insulin infusion period. Insulin-suppressed plasma free fatty acid concentrations were significantly reduced on GFT505 treatment (0.21\u00b10.07 vs. 0.27\u00b10.11 mmol/L; P=0.006). Neither PPAR\u03b1 nor PPAR\u03b4 target genes were induced in skeletal muscle, suggesting a liver-targeted action of GFT505. GFT505 significantly reduced fasting plasma triglycerides (-21%; P=0.003) and LDL cholesterol (-13%; P=0.0006), as well as liver enzyme concentrations (\u03b3-glutamyltranspeptidase: -30.4%, P=0.003; alanine aminotransferase: -20.5%, P=0.004). There was no safety concern or any indication of PPAR\u03b3 activation with GFT505. CONCLUSIONS The dual PPAR\u03b1/\u03b4 agonist GFT505 is a liver-targeted insulin-sensitizer that is a promising drug candidate for the treatment of type 2 diabetes and nonalcoholic fatty liver disease.", "author" : [ { "dropping-particle" : "", "family" : "Cariou", "given" : "Bertrand", "non-dropping-particle" : "", "parse-names" : false, "suffix" : "" }, { "dropping-particle" : "", "family" : "Hanf", "given" : "R\u00e9my", "non-dropping-particle" : "", "parse-names" : false, "suffix" : "" }, { "dropping-particle" : "", "family" : "Lambert-Porcheron", "given" : "St\u00e9phanie", "non-dropping-particle" : "", "parse-names" : false, "suffix" : "" }, { "dropping-particle" : "", "family" : "Za\u00efr", "given" : "Yassine", "non-dropping-particle" : "", "parse-names" : false, "suffix" : "" }, { "dropping-particle" : "", "family" : "Sauvinet", "given" : "Val\u00e9rie", "non-dropping-particle" : "", "parse-names" : false, "suffix" : "" }, { "dropping-particle" : "", "family" : "No\u00ebl", "given" : "Benoit", "non-dropping-particle" : "", "parse-names" : false, "suffix" : "" }, { "dropping-particle" : "", "family" : "Flet", "given" : "Laurent", "non-dropping-particle" : "", "parse-names" : false, "suffix" : "" }, { "dropping-particle" : "", "family" : "Vidal", "given" : "Hubert", "non-dropping-particle" : "", "parse-names" : false, "suffix" : "" }, { "dropping-particle" : "", "family" : "Staels", "given" : "Bart", "non-dropping-particle" : "", "parse-names" : false, "suffix" : "" }, { "dropping-particle" : "", "family" : "Laville", "given" : "Martine", "non-dropping-particle" : "", "parse-names" : false, "suffix" : "" } ], "container-title" : "Diabetes care", "id" : "ITEM-1", "issue" : "10", "issued" : { "date-parts" : [ [ "2013", "10", "1" ] ] }, "page" : "2923-30", "title" : "Dual peroxisome proliferator-activated receptor \u03b1/\u03b4 agonist GFT505 improves hepatic and peripheral insulin sensitivity in abdominally obese subjects.", "type" : "article-journal", "volume" : "36" }, "uris" : [ "http://www.mendeley.com/documents/?uuid=234aed17-8393-4deb-8a73-a9792c821f73" ] } ], "mendeley" : { "formattedCitation" : "&lt;sup&gt;[29]&lt;/sup&gt;", "plainTextFormattedCitation" : "[29]", "previouslyFormattedCitation" : "&lt;sup&gt;[29]&lt;/sup&gt;" }, "properties" : { "noteIndex" : 0 }, "schema" : "https://github.com/citation-style-language/schema/raw/master/csl-citation.json" }</w:instrText>
      </w:r>
      <w:r w:rsidR="003F68A1" w:rsidRPr="00612653">
        <w:rPr>
          <w:rFonts w:ascii="Book Antiqua" w:hAnsi="Book Antiqua"/>
          <w:sz w:val="24"/>
          <w:szCs w:val="24"/>
          <w:lang w:val="en-US"/>
        </w:rPr>
        <w:fldChar w:fldCharType="separate"/>
      </w:r>
      <w:r w:rsidR="004A5E9A" w:rsidRPr="00612653">
        <w:rPr>
          <w:rFonts w:ascii="Book Antiqua" w:hAnsi="Book Antiqua"/>
          <w:noProof/>
          <w:sz w:val="24"/>
          <w:szCs w:val="24"/>
          <w:vertAlign w:val="superscript"/>
          <w:lang w:val="en-US"/>
        </w:rPr>
        <w:t>[29]</w:t>
      </w:r>
      <w:r w:rsidR="003F68A1" w:rsidRPr="00612653">
        <w:rPr>
          <w:rFonts w:ascii="Book Antiqua" w:hAnsi="Book Antiqua"/>
          <w:sz w:val="24"/>
          <w:szCs w:val="24"/>
        </w:rPr>
        <w:fldChar w:fldCharType="end"/>
      </w:r>
      <w:r w:rsidR="00B660C1" w:rsidRPr="00612653">
        <w:rPr>
          <w:rFonts w:ascii="Book Antiqua" w:hAnsi="Book Antiqua"/>
          <w:sz w:val="24"/>
          <w:szCs w:val="24"/>
          <w:lang w:val="en-US"/>
        </w:rPr>
        <w:t xml:space="preserve">. Elafibranor </w:t>
      </w:r>
      <w:r w:rsidR="00490B7C" w:rsidRPr="00612653">
        <w:rPr>
          <w:rFonts w:ascii="Book Antiqua" w:hAnsi="Book Antiqua"/>
          <w:sz w:val="24"/>
          <w:szCs w:val="24"/>
          <w:lang w:val="en-US"/>
        </w:rPr>
        <w:t>may</w:t>
      </w:r>
      <w:r w:rsidR="00B660C1" w:rsidRPr="00612653">
        <w:rPr>
          <w:rFonts w:ascii="Book Antiqua" w:hAnsi="Book Antiqua"/>
          <w:sz w:val="24"/>
          <w:szCs w:val="24"/>
          <w:lang w:val="en-US"/>
        </w:rPr>
        <w:t xml:space="preserve"> t</w:t>
      </w:r>
      <w:r w:rsidR="00735F96" w:rsidRPr="00612653">
        <w:rPr>
          <w:rFonts w:ascii="Book Antiqua" w:hAnsi="Book Antiqua"/>
          <w:sz w:val="24"/>
          <w:szCs w:val="24"/>
          <w:lang w:val="en-US"/>
        </w:rPr>
        <w:t xml:space="preserve">herefore </w:t>
      </w:r>
      <w:r w:rsidR="00490B7C" w:rsidRPr="00612653">
        <w:rPr>
          <w:rFonts w:ascii="Book Antiqua" w:hAnsi="Book Antiqua"/>
          <w:sz w:val="24"/>
          <w:szCs w:val="24"/>
          <w:lang w:val="en-US"/>
        </w:rPr>
        <w:t xml:space="preserve">be </w:t>
      </w:r>
      <w:r w:rsidR="00735F96" w:rsidRPr="00612653">
        <w:rPr>
          <w:rFonts w:ascii="Book Antiqua" w:hAnsi="Book Antiqua"/>
          <w:sz w:val="24"/>
          <w:szCs w:val="24"/>
          <w:lang w:val="en-US"/>
        </w:rPr>
        <w:t>considered liver-targeted</w:t>
      </w:r>
      <w:r w:rsidR="003F68A1" w:rsidRPr="00612653">
        <w:rPr>
          <w:rFonts w:ascii="Book Antiqua" w:hAnsi="Book Antiqua"/>
          <w:sz w:val="24"/>
          <w:szCs w:val="24"/>
          <w:lang w:val="en-US"/>
        </w:rPr>
        <w:t>,</w:t>
      </w:r>
      <w:r w:rsidR="00735F96" w:rsidRPr="00612653">
        <w:rPr>
          <w:rFonts w:ascii="Book Antiqua" w:hAnsi="Book Antiqua"/>
          <w:sz w:val="24"/>
          <w:szCs w:val="24"/>
          <w:lang w:val="en-US"/>
        </w:rPr>
        <w:t xml:space="preserve"> which </w:t>
      </w:r>
      <w:r w:rsidR="00490B7C" w:rsidRPr="00612653">
        <w:rPr>
          <w:rFonts w:ascii="Book Antiqua" w:hAnsi="Book Antiqua"/>
          <w:sz w:val="24"/>
          <w:szCs w:val="24"/>
          <w:lang w:val="en-US"/>
        </w:rPr>
        <w:t>could</w:t>
      </w:r>
      <w:r w:rsidR="00B660C1" w:rsidRPr="00612653">
        <w:rPr>
          <w:rFonts w:ascii="Book Antiqua" w:hAnsi="Book Antiqua"/>
          <w:sz w:val="24"/>
          <w:szCs w:val="24"/>
          <w:lang w:val="en-US"/>
        </w:rPr>
        <w:t xml:space="preserve"> </w:t>
      </w:r>
      <w:r w:rsidR="008728D9" w:rsidRPr="00612653">
        <w:rPr>
          <w:rFonts w:ascii="Book Antiqua" w:hAnsi="Book Antiqua"/>
          <w:sz w:val="24"/>
          <w:szCs w:val="24"/>
          <w:lang w:val="en-US"/>
        </w:rPr>
        <w:t xml:space="preserve">enhance treatment efficacy </w:t>
      </w:r>
      <w:r w:rsidR="003F68A1" w:rsidRPr="00612653">
        <w:rPr>
          <w:rFonts w:ascii="Book Antiqua" w:hAnsi="Book Antiqua"/>
          <w:sz w:val="24"/>
          <w:szCs w:val="24"/>
          <w:lang w:val="en-US"/>
        </w:rPr>
        <w:t xml:space="preserve">in DIO-NASH and </w:t>
      </w:r>
      <w:r w:rsidR="003F68A1" w:rsidRPr="00612653">
        <w:rPr>
          <w:rFonts w:ascii="Book Antiqua" w:hAnsi="Book Antiqua"/>
          <w:i/>
          <w:iCs/>
          <w:sz w:val="24"/>
          <w:szCs w:val="24"/>
          <w:lang w:val="en-US"/>
        </w:rPr>
        <w:t>ob/ob</w:t>
      </w:r>
      <w:r w:rsidR="003F68A1" w:rsidRPr="00612653">
        <w:rPr>
          <w:rFonts w:ascii="Book Antiqua" w:hAnsi="Book Antiqua"/>
          <w:sz w:val="24"/>
          <w:szCs w:val="24"/>
          <w:lang w:val="en-US"/>
        </w:rPr>
        <w:t>-NASH mice.</w:t>
      </w:r>
      <w:r w:rsidR="00735F96" w:rsidRPr="00612653">
        <w:rPr>
          <w:rFonts w:ascii="Book Antiqua" w:hAnsi="Book Antiqua"/>
          <w:sz w:val="24"/>
          <w:szCs w:val="24"/>
          <w:lang w:val="en-US"/>
        </w:rPr>
        <w:t xml:space="preserve"> </w:t>
      </w:r>
      <w:r w:rsidR="003F6908" w:rsidRPr="00612653">
        <w:rPr>
          <w:rFonts w:ascii="Book Antiqua" w:hAnsi="Book Antiqua"/>
          <w:sz w:val="24"/>
          <w:szCs w:val="24"/>
          <w:lang w:val="en-US"/>
        </w:rPr>
        <w:t xml:space="preserve">The present data are in overall agreement with </w:t>
      </w:r>
      <w:r w:rsidR="006E1D38" w:rsidRPr="00612653">
        <w:rPr>
          <w:rFonts w:ascii="Book Antiqua" w:hAnsi="Book Antiqua"/>
          <w:sz w:val="24"/>
          <w:szCs w:val="24"/>
          <w:lang w:val="en-US"/>
        </w:rPr>
        <w:t xml:space="preserve">a recent clinical phase-II study </w:t>
      </w:r>
      <w:r w:rsidR="003F6908" w:rsidRPr="00612653">
        <w:rPr>
          <w:rFonts w:ascii="Book Antiqua" w:hAnsi="Book Antiqua"/>
          <w:sz w:val="24"/>
          <w:szCs w:val="24"/>
          <w:lang w:val="en-US"/>
        </w:rPr>
        <w:t xml:space="preserve">(GOLDEN-505) </w:t>
      </w:r>
      <w:r w:rsidR="006E1D38" w:rsidRPr="00612653">
        <w:rPr>
          <w:rFonts w:ascii="Book Antiqua" w:hAnsi="Book Antiqua"/>
          <w:sz w:val="24"/>
          <w:szCs w:val="24"/>
          <w:lang w:val="en-US"/>
        </w:rPr>
        <w:t>on elafibranor treatment for NASH</w:t>
      </w:r>
      <w:r w:rsidR="00941218" w:rsidRPr="00612653">
        <w:rPr>
          <w:rFonts w:ascii="Book Antiqua" w:hAnsi="Book Antiqua"/>
          <w:sz w:val="24"/>
          <w:szCs w:val="24"/>
        </w:rPr>
        <w:fldChar w:fldCharType="begin" w:fldLock="1"/>
      </w:r>
      <w:r w:rsidR="004A5E9A" w:rsidRPr="00612653">
        <w:rPr>
          <w:rFonts w:ascii="Book Antiqua" w:hAnsi="Book Antiqua"/>
          <w:bCs/>
          <w:sz w:val="24"/>
          <w:szCs w:val="24"/>
          <w:lang w:val="en-US"/>
        </w:rPr>
        <w:instrText>ADDIN CSL_CITATION { "citationItems" : [ { "id" : "ITEM-1", "itemData" : { "DOI" : "10.1053/j.gastro.2016.01.038", "ISSN" : "00165085", "PMID" : "26874076", "abstract" : "BACKGROUND &amp; AIMS Elafibranor is an agonist of the peroxisome proliferator-activated receptor-\u03b1 and peroxisome proliferator-activated receptor-\u03b4. Elafibranor improves insulin sensitivity, glucose homeostasis, and lipid metabolism and reduces inflammation. We assessed the safety and efficacy of elafibranor in an international, randomized, double-blind placebo-controlled trial of patients with nonalcoholic steatohepatitis (NASH). METHODS Patients with NASH without cirrhosis were randomly assigned to groups given elafibranor 80 mg (n\u00a0= 93), elafibranor 120 mg (n\u00a0= 91), or placebo (n\u00a0= 92) each day for 52 weeks at sites in Europe and the United States. Clinical and laboratory evaluations were performed every 2 months during this 1-year period. Liver biopsies were then collected and patients were assessed 3 months later. The primary outcome was resolution of NASH without fibrosis worsening, using protocol-defined and modified definitions. Data from the groups given the different doses of elafibranor were compared with those from the placebo group using step-down logistic regression, adjusting for baseline nonalcoholic fatty liver disease activity score. RESULTS In intention-to-treat analysis, there was no significant difference between the elafibranor and placebo groups in the protocol-defined primary outcome. However, NASH resolved without fibrosis worsening in a higher proportion of patients in the 120-mg elafibranor group vs the placebo group (19% vs 12%; odds ratio\u00a0= 2.31; 95% confidence interval: 1.02-5.24; P\u00a0= .045), based on a post-hoc analysis for the modified definition. In post-hoc analyses of patients with nonalcoholic fatty liver disease activity score \u22654 (n\u00a0= 234), elafibranor 120 mg resolved NASH in larger proportions of patients than placebo based on the protocol definition (20% vs 11%; odds ratio\u00a0= 3.16; 95% confidence interval: 1.22-8.13; P\u00a0= .018) and the modified definitions (19% vs 9%; odds ratio\u00a0= 3.52; 95% confidence interval: 1.32-9.40; P\u00a0= .013). Patients with NASH resolution after receiving elafibranor 120 mg had reduced liver fibrosis stages compared with those without NASH resolution (mean reduction of 0.65 \u00b1 0.61 in responders for the primary outcome vs an increase of 0.10 \u00b1 0.98 in nonresponders; P &lt; .001). Liver enzymes, lipids, glucose profiles, and markers of systemic inflammation were significantly reduced in the elafibranor 120-mg group vs the placebo group. Elafibranor was well\u00a0tolerated and did not cause weight gain or car\u2026", "author" : [ { "dropping-particle" : "", "family" : "Ratziu", "given" : "Vlad", "non-dropping-particle" : "", "parse-names" : false, "suffix" : "" }, { "dropping-particle" : "", "family" : "Harrison", "given" : "Stephen A.", "non-dropping-particle" : "", "parse-names" : false, "suffix" : "" }, { "dropping-particle" : "", "family" : "Francque", "given" : "Sven", "non-dropping-particle" : "", "parse-names" : false, "suffix" : "" }, { "dropping-particle" : "", "family" : "Bedossa", "given" : "Pierre", "non-dropping-particle" : "", "parse-names" : false, "suffix" : "" }, { "dropping-particle" : "", "family" : "Lehert", "given" : "Philippe", "non-dropping-particle" : "", "parse-names" : false, "suffix" : "" }, { "dropping-particle" : "", "family" : "Serfaty", "given" : "Lawrence", "non-dropping-particle" : "", "parse-names" : false, "suffix" : "" }, { "dropping-particle" : "", "family" : "Romero-Gomez", "given" : "Manuel", "non-dropping-particle" : "", "parse-names" : false, "suffix" : "" }, { "dropping-particle" : "", "family" : "Boursier", "given" : "J\u00e9r\u00f4me", "non-dropping-particle" : "", "parse-names" : false, "suffix" : "" }, { "dropping-particle" : "", "family" : "Abdelmalek", "given" : "Manal", "non-dropping-particle" : "", "parse-names" : false, "suffix" : "" }, { "dropping-particle" : "", "family" : "Caldwell", "given" : "Steve", "non-dropping-particle" : "", "parse-names" : false, "suffix" : "" }, { "dropping-particle" : "", "family" : "Drenth", "given" : "Joost", "non-dropping-particle" : "", "parse-names" : false, "suffix" : "" }, { "dropping-particle" : "", "family" : "Anstee", "given" : "Quentin M.", "non-dropping-particle" : "", "parse-names" : false, "suffix" : "" }, { "dropping-particle" : "", "family" : "Hum", "given" : "Dean", "non-dropping-particle" : "", "parse-names" : false, "suffix" : "" }, { "dropping-particle" : "", "family" : "Hanf", "given" : "Remy", "non-dropping-particle" : "", "parse-names" : false, "suffix" : "" }, { "dropping-particle" : "", "family" : "Roudot", "given" : "Alice", "non-dropping-particle" : "", "parse-names" : false, "suffix" : "" }, { "dropping-particle" : "", "family" : "Megnien", "given" : "Sophie", "non-dropping-particle" : "", "parse-names" : false, "suffix" : "" }, { "dropping-particle" : "", "family" : "Staels", "given" : "Bart", "non-dropping-particle" : "", "parse-names" : false, "suffix" : "" }, { "dropping-particle" : "", "family" : "Sanyal", "given" : "Arun", "non-dropping-particle" : "", "parse-names" : false, "suffix" : "" }, { "dropping-particle" : "", "family" : "Mathurin", "given" : "P.", "non-dropping-particle" : "", "parse-names" : false, "suffix" : "" }, { "dropping-particle" : "", "family" : "Gournay", "given" : "J.", "non-dropping-particle" : "", "parse-names" : false, "suffix" : "" }, { "dropping-particle" : "", "family" : "Nguyen-Khac", "given" : "E.", "non-dropping-particle" : "", "parse-names" : false, "suffix" : "" }, { "dropping-particle" : "", "family" : "Ledinghen", "given" : "V.", "non-dropping-particle" : "De", "parse-names" : false, "suffix" : "" }, { "dropping-particle" : "", "family" : "Larrey", "given" : "D.", "non-dropping-particle" : "", "parse-names" : false, "suffix" : "" }, { "dropping-particle" : "", "family" : "Tran", "given" : "A.", "non-dropping-particle" : "", "parse-names" : false, "suffix" : "" }, { "dropping-particle" : "", "family" : "Bourliere", "given" : "M.", "non-dropping-particle" : "", "parse-names" : false, "suffix" : "" }, { "dropping-particle" : "", "family" : "Maynard-Muet", "given" : "M.", "non-dropping-particle" : "", "parse-names" : false, "suffix" : "" }, { "dropping-particle" : "", "family" : "Asselah", "given" : "T.", "non-dropping-particle" : "", "parse-names" : false, "suffix" : "" }, { "dropping-particle" : "", "family" : "Henrion", "given" : "J.", "non-dropping-particle" : "", "parse-names" : false, "suffix" : "" }, { "dropping-particle" : "", "family" : "Nevens", "given" : "F.", "non-dropping-particle" : "", "parse-names" : false, "suffix" : "" }, { "dropping-particle" : "", "family" : "Cassiman", "given" : "D.", "non-dropping-particle" : "", "parse-names" : false, "suffix" : "" }, { "dropping-particle" : "", "family" : "Geerts", "given" : "A.", "non-dropping-particle" : "", "parse-names" : false, "suffix" : "" }, { "dropping-particle" : "", "family" : "Moreno", "given" : "C.", "non-dropping-particle" : "", "parse-names" : false, "suffix" : "" }, { "dropping-particle" : "", "family" : "Beuers", "given" : "U.H.", "non-dropping-particle" : "", "parse-names" : false, "suffix" : "" }, { "dropping-particle" : "", "family" : "Galle", "given" : "P.R.", "non-dropping-particle" : "", "parse-names" : false, "suffix" : "" }, { "dropping-particle" : "", "family" : "Spengler", "given" : "U.", "non-dropping-particle" : "", "parse-names" : false, "suffix" : "" }, { "dropping-particle" : "", "family" : "Bugianesi", "given" : "E.", "non-dropping-particle" : "", "parse-names" : false, "suffix" : "" }, { "dropping-particle" : "", "family" : "Craxi", "given" : "A.", "non-dropping-particle" : "", "parse-names" : false, "suffix" : "" }, { "dropping-particle" : "", "family" : "Angelico", "given" : "M.", "non-dropping-particle" : "", "parse-names" : false, "suffix" : "" }, { "dropping-particle" : "", "family" : "Fargion", "given" : "S.", "non-dropping-particle" : "", "parse-names" : false, "suffix" : "" }, { "dropping-particle" : "", "family" : "Voiculescu", "given" : "M.", "non-dropping-particle" : "", "parse-names" : false, "suffix" : "" }, { "dropping-particle" : "", "family" : "Gheorghe", "given" : "L.", "non-dropping-particle" : "", "parse-names" : false, "suffix" : "" }, { "dropping-particle" : "", "family" : "Preotescu", "given" : "L.", "non-dropping-particle" : "", "parse-names" : false, "suffix" : "" }, { "dropping-particle" : "", "family" : "Caballeria", "given" : "J.", "non-dropping-particle" : "", "parse-names" : false, "suffix" : "" }, { "dropping-particle" : "", "family" : "Andrade", "given" : "R.J.", "non-dropping-particle" : "", "parse-names" : false, "suffix" : "" }, { "dropping-particle" : "", "family" : "Crespo", "given" : "J.", "non-dropping-particle" : "", "parse-names" : false, "suffix" : "" }, { "dropping-particle" : "", "family" : "Callera", "given" : "J.L.", "non-dropping-particle" : "", "parse-names" : false, "suffix" : "" }, { "dropping-particle" : "", "family" : "Ala", "given" : "A.", "non-dropping-particle" : "", "parse-names" : false, "suffix" : "" }, { "dropping-particle" : "", "family" : "Aithal", "given" : "G.", "non-dropping-particle" : "", "parse-names" : false, "suffix" : "" }, { "dropping-particle" : "", "family" : "Abouda", "given" : "G.", "non-dropping-particle" : "", "parse-names" : false, "suffix" : "" }, { "dropping-particle" : "", "family" : "Luketic", "given" : "V.", "non-dropping-particle" : "", "parse-names" : false, "suffix" : "" }, { "dropping-particle" : "", "family" : "Huang", "given" : "M.A.", "non-dropping-particle" : "", "parse-names" : false, "suffix" : "" }, { "dropping-particle" : "", "family" : "Gordon", "given" : "S.", "non-dropping-particle" : "", "parse-names" : false, "suffix" : "" }, { "dropping-particle" : "", "family" : "Pockros", "given" : "P.", "non-dropping-particle" : "", "parse-names" : false, "suffix" : "" }, { "dropping-particle" : "", "family" : "Poordad", "given" : "F.", "non-dropping-particle" : "", "parse-names" : false, "suffix" : "" }, { "dropping-particle" : "", "family" : "Shores", "given" : "N.", "non-dropping-particle" : "", "parse-names" : false, "suffix" : "" }, { "dropping-particle" : "", "family" : "Moehlen", "given" : "M.W.", "non-dropping-particle" : "", "parse-names" : false, "suffix" : "" }, { "dropping-particle" : "", "family" : "Bambha", "given" : "K.", "non-dropping-particle" : "", "parse-names" : false, "suffix" : "" }, { "dropping-particle" : "", "family" : "Clark", "given" : "V.", "non-dropping-particle" : "", "parse-names" : false, "suffix" : "" }, { "dropping-particle" : "", "family" : "Satapathy", "given" : "S.", "non-dropping-particle" : "", "parse-names" : false, "suffix" : "" }, { "dropping-particle" : "", "family" : "Parekh", "given" : "S.", "non-dropping-particle" : "", "parse-names" : false, "suffix" : "" }, { "dropping-particle" : "", "family" : "Reddy", "given" : "R.K.", "non-dropping-particle" : "", "parse-names" : false, "suffix" : "" }, { "dropping-particle" : "", "family" : "Sheikh", "given" : "M.Y.", "non-dropping-particle" : "", "parse-names" : false, "suffix" : "" }, { "dropping-particle" : "", "family" : "Szabo", "given" : "G.", "non-dropping-particle" : "", "parse-names" : false, "suffix" : "" }, { "dropping-particle" : "", "family" : "Vierling", "given" : "J.", "non-dropping-particle" : "", "parse-names" : false, "suffix" : "" }, { "dropping-particle" : "", "family" : "Foster", "given" : "T.", "non-dropping-particle" : "", "parse-names" : false, "suffix" : "" }, { "dropping-particle" : "", "family" : "Umpierrez", "given" : "G.", "non-dropping-particle" : "", "parse-names" : false, "suffix" : "" }, { "dropping-particle" : "", "family" : "Chang", "given" : "C.", "non-dropping-particle" : "", "parse-names" : false, "suffix" : "" }, { "dropping-particle" : "", "family" : "Box", "given" : "T.", "non-dropping-particle" : "", "parse-names" : false, "suffix" : "" }, { "dropping-particle" : "", "family" : "Gallegos-Orozco", "given" : "J.", "non-dropping-particle" : "", "parse-names" : false, "suffix" : "" } ], "container-title" : "Gastroenterology", "id" : "ITEM-1", "issue" : "5", "issued" : { "date-parts" : [ [ "2016", "5" ] ] }, "page" : "1147-1159.e5", "title" : "Elafibranor, an Agonist of the Peroxisome Proliferator\u2212Activated Receptor\u2212\u03b1 and\u00a0\u2212\u03b4, Induces Resolution of Nonalcoholic Steatohepatitis Without Fibrosis Worsening", "type" : "article-journal", "volume" : "150" }, "uris" : [ "http://www.mendeley.com/documents/?uuid=f07a3ce6-2387-3c74-ad39-ef9b8f1c4f59" ] } ], "mendeley" : { "formattedCitation" : "&lt;sup&gt;[22]&lt;/sup&gt;", "plainTextFormattedCitation" : "[22]", "previouslyFormattedCitation" : "&lt;sup&gt;[22]&lt;/sup&gt;" }, "properties" : { "noteIndex" : 0 }, "schema" : "https://github.com/citation-style-language/schema/raw/master/csl-citation.json" }</w:instrText>
      </w:r>
      <w:r w:rsidR="00941218" w:rsidRPr="00612653">
        <w:rPr>
          <w:rFonts w:ascii="Book Antiqua" w:hAnsi="Book Antiqua"/>
          <w:bCs/>
          <w:sz w:val="24"/>
          <w:szCs w:val="24"/>
          <w:vertAlign w:val="superscript"/>
          <w:lang w:val="en-US"/>
        </w:rPr>
        <w:fldChar w:fldCharType="separate"/>
      </w:r>
      <w:r w:rsidR="004A5E9A" w:rsidRPr="00612653">
        <w:rPr>
          <w:rFonts w:ascii="Book Antiqua" w:hAnsi="Book Antiqua"/>
          <w:noProof/>
          <w:sz w:val="24"/>
          <w:szCs w:val="24"/>
          <w:vertAlign w:val="superscript"/>
          <w:lang w:val="en-US"/>
        </w:rPr>
        <w:t>[22]</w:t>
      </w:r>
      <w:r w:rsidR="00941218" w:rsidRPr="00612653">
        <w:rPr>
          <w:rFonts w:ascii="Book Antiqua" w:hAnsi="Book Antiqua"/>
          <w:sz w:val="24"/>
          <w:szCs w:val="24"/>
        </w:rPr>
        <w:fldChar w:fldCharType="end"/>
      </w:r>
      <w:r w:rsidR="003F6908" w:rsidRPr="00612653">
        <w:rPr>
          <w:rFonts w:ascii="Book Antiqua" w:hAnsi="Book Antiqua"/>
          <w:sz w:val="24"/>
          <w:szCs w:val="24"/>
          <w:lang w:val="en-US"/>
        </w:rPr>
        <w:t xml:space="preserve">. </w:t>
      </w:r>
      <w:r w:rsidR="00402E37" w:rsidRPr="00612653">
        <w:rPr>
          <w:rFonts w:ascii="Book Antiqua" w:hAnsi="Book Antiqua"/>
          <w:sz w:val="24"/>
          <w:szCs w:val="24"/>
          <w:lang w:val="en-US"/>
        </w:rPr>
        <w:t>Interestingly, the improvement</w:t>
      </w:r>
      <w:r w:rsidR="00B22E1E" w:rsidRPr="00612653">
        <w:rPr>
          <w:rFonts w:ascii="Book Antiqua" w:hAnsi="Book Antiqua"/>
          <w:sz w:val="24"/>
          <w:szCs w:val="24"/>
          <w:lang w:val="en-US"/>
        </w:rPr>
        <w:t>s</w:t>
      </w:r>
      <w:r w:rsidR="00402E37" w:rsidRPr="00612653">
        <w:rPr>
          <w:rFonts w:ascii="Book Antiqua" w:hAnsi="Book Antiqua"/>
          <w:sz w:val="24"/>
          <w:szCs w:val="24"/>
          <w:lang w:val="en-US"/>
        </w:rPr>
        <w:t xml:space="preserve"> in mean NAS (</w:t>
      </w:r>
      <w:r w:rsidR="007773EA" w:rsidRPr="00612653">
        <w:rPr>
          <w:rFonts w:ascii="Book Antiqua" w:hAnsi="Book Antiqua"/>
          <w:sz w:val="24"/>
          <w:szCs w:val="24"/>
          <w:lang w:val="en-US"/>
        </w:rPr>
        <w:t xml:space="preserve">approximately </w:t>
      </w:r>
      <w:r w:rsidR="00402E37" w:rsidRPr="00612653">
        <w:rPr>
          <w:rFonts w:ascii="Book Antiqua" w:hAnsi="Book Antiqua"/>
          <w:sz w:val="24"/>
          <w:szCs w:val="24"/>
          <w:lang w:val="en-US"/>
        </w:rPr>
        <w:t>2.5 points) and fibrosis s</w:t>
      </w:r>
      <w:r w:rsidR="0075514D" w:rsidRPr="00612653">
        <w:rPr>
          <w:rFonts w:ascii="Book Antiqua" w:hAnsi="Book Antiqua"/>
          <w:sz w:val="24"/>
          <w:szCs w:val="24"/>
          <w:lang w:val="en-US"/>
        </w:rPr>
        <w:t>core</w:t>
      </w:r>
      <w:r w:rsidR="00402E37" w:rsidRPr="00612653">
        <w:rPr>
          <w:rFonts w:ascii="Book Antiqua" w:hAnsi="Book Antiqua"/>
          <w:sz w:val="24"/>
          <w:szCs w:val="24"/>
          <w:lang w:val="en-US"/>
        </w:rPr>
        <w:t xml:space="preserve"> (</w:t>
      </w:r>
      <w:r w:rsidR="007773EA" w:rsidRPr="00612653">
        <w:rPr>
          <w:rFonts w:ascii="Book Antiqua" w:hAnsi="Book Antiqua"/>
          <w:sz w:val="24"/>
          <w:szCs w:val="24"/>
          <w:lang w:val="en-US"/>
        </w:rPr>
        <w:t>approximately</w:t>
      </w:r>
      <w:r w:rsidR="00911B4C" w:rsidRPr="00612653">
        <w:rPr>
          <w:rFonts w:ascii="Book Antiqua" w:hAnsi="Book Antiqua"/>
          <w:sz w:val="24"/>
          <w:szCs w:val="24"/>
          <w:lang w:val="en-US" w:eastAsia="zh-CN"/>
        </w:rPr>
        <w:t xml:space="preserve"> </w:t>
      </w:r>
      <w:r w:rsidR="00402E37" w:rsidRPr="00612653">
        <w:rPr>
          <w:rFonts w:ascii="Book Antiqua" w:hAnsi="Book Antiqua"/>
          <w:sz w:val="24"/>
          <w:szCs w:val="24"/>
          <w:lang w:val="en-US"/>
        </w:rPr>
        <w:t>0.5 point</w:t>
      </w:r>
      <w:r w:rsidR="00451308" w:rsidRPr="00612653">
        <w:rPr>
          <w:rFonts w:ascii="Book Antiqua" w:hAnsi="Book Antiqua"/>
          <w:sz w:val="24"/>
          <w:szCs w:val="24"/>
          <w:lang w:val="en-US"/>
        </w:rPr>
        <w:t>s</w:t>
      </w:r>
      <w:r w:rsidR="00402E37" w:rsidRPr="00612653">
        <w:rPr>
          <w:rFonts w:ascii="Book Antiqua" w:hAnsi="Book Antiqua"/>
          <w:sz w:val="24"/>
          <w:szCs w:val="24"/>
          <w:lang w:val="en-US"/>
        </w:rPr>
        <w:t>) in elafibranor-treated NASH patients achieving the modified primary ou</w:t>
      </w:r>
      <w:r w:rsidR="0075514D" w:rsidRPr="00612653">
        <w:rPr>
          <w:rFonts w:ascii="Book Antiqua" w:hAnsi="Book Antiqua"/>
          <w:sz w:val="24"/>
          <w:szCs w:val="24"/>
          <w:lang w:val="en-US"/>
        </w:rPr>
        <w:t>tcome (no fibrosis worsening) was</w:t>
      </w:r>
      <w:r w:rsidR="00402E37" w:rsidRPr="00612653">
        <w:rPr>
          <w:rFonts w:ascii="Book Antiqua" w:hAnsi="Book Antiqua"/>
          <w:sz w:val="24"/>
          <w:szCs w:val="24"/>
          <w:lang w:val="en-US"/>
        </w:rPr>
        <w:t xml:space="preserve"> </w:t>
      </w:r>
      <w:r w:rsidR="003F6908" w:rsidRPr="00612653">
        <w:rPr>
          <w:rFonts w:ascii="Book Antiqua" w:hAnsi="Book Antiqua"/>
          <w:sz w:val="24"/>
          <w:szCs w:val="24"/>
          <w:lang w:val="en-US"/>
        </w:rPr>
        <w:t>on</w:t>
      </w:r>
      <w:r w:rsidR="00402E37" w:rsidRPr="00612653">
        <w:rPr>
          <w:rFonts w:ascii="Book Antiqua" w:hAnsi="Book Antiqua"/>
          <w:sz w:val="24"/>
          <w:szCs w:val="24"/>
          <w:lang w:val="en-US"/>
        </w:rPr>
        <w:t xml:space="preserve"> par with </w:t>
      </w:r>
      <w:r w:rsidR="0075514D" w:rsidRPr="00612653">
        <w:rPr>
          <w:rFonts w:ascii="Book Antiqua" w:hAnsi="Book Antiqua"/>
          <w:sz w:val="24"/>
          <w:szCs w:val="24"/>
          <w:lang w:val="en-US"/>
        </w:rPr>
        <w:t xml:space="preserve">the reductions in NAS and fibrosis scores </w:t>
      </w:r>
      <w:r w:rsidR="003F6908" w:rsidRPr="00612653">
        <w:rPr>
          <w:rFonts w:ascii="Book Antiqua" w:hAnsi="Book Antiqua"/>
          <w:sz w:val="24"/>
          <w:szCs w:val="24"/>
          <w:lang w:val="en-US"/>
        </w:rPr>
        <w:t xml:space="preserve">determined in </w:t>
      </w:r>
      <w:r w:rsidR="00B22E1E" w:rsidRPr="00612653">
        <w:rPr>
          <w:rFonts w:ascii="Book Antiqua" w:hAnsi="Book Antiqua"/>
          <w:sz w:val="24"/>
          <w:szCs w:val="24"/>
          <w:lang w:val="en-US"/>
        </w:rPr>
        <w:t xml:space="preserve">DIO-NASH and </w:t>
      </w:r>
      <w:r w:rsidR="00B22E1E" w:rsidRPr="00612653">
        <w:rPr>
          <w:rFonts w:ascii="Book Antiqua" w:hAnsi="Book Antiqua"/>
          <w:i/>
          <w:iCs/>
          <w:sz w:val="24"/>
          <w:szCs w:val="24"/>
          <w:lang w:val="en-US"/>
        </w:rPr>
        <w:t>ob/ob</w:t>
      </w:r>
      <w:r w:rsidR="00B22E1E" w:rsidRPr="00612653">
        <w:rPr>
          <w:rFonts w:ascii="Book Antiqua" w:hAnsi="Book Antiqua"/>
          <w:sz w:val="24"/>
          <w:szCs w:val="24"/>
          <w:lang w:val="en-US"/>
        </w:rPr>
        <w:t>-NASH mice</w:t>
      </w:r>
      <w:r w:rsidR="00402E37" w:rsidRPr="00612653">
        <w:rPr>
          <w:rFonts w:ascii="Book Antiqua" w:hAnsi="Book Antiqua"/>
          <w:sz w:val="24"/>
          <w:szCs w:val="24"/>
          <w:lang w:val="en-US"/>
        </w:rPr>
        <w:t>. In contrast to the</w:t>
      </w:r>
      <w:r w:rsidR="00B22E1E" w:rsidRPr="00612653">
        <w:rPr>
          <w:rFonts w:ascii="Book Antiqua" w:hAnsi="Book Antiqua"/>
          <w:sz w:val="24"/>
          <w:szCs w:val="24"/>
          <w:lang w:val="en-US"/>
        </w:rPr>
        <w:t xml:space="preserve"> weight </w:t>
      </w:r>
      <w:r w:rsidR="003F6908" w:rsidRPr="00612653">
        <w:rPr>
          <w:rFonts w:ascii="Book Antiqua" w:hAnsi="Book Antiqua"/>
          <w:sz w:val="24"/>
          <w:szCs w:val="24"/>
          <w:lang w:val="en-US"/>
        </w:rPr>
        <w:t>n</w:t>
      </w:r>
      <w:r w:rsidR="00B22E1E" w:rsidRPr="00612653">
        <w:rPr>
          <w:rFonts w:ascii="Book Antiqua" w:hAnsi="Book Antiqua"/>
          <w:sz w:val="24"/>
          <w:szCs w:val="24"/>
          <w:lang w:val="en-US"/>
        </w:rPr>
        <w:t>eutral effect</w:t>
      </w:r>
      <w:r w:rsidR="003F6908" w:rsidRPr="00612653">
        <w:rPr>
          <w:rFonts w:ascii="Book Antiqua" w:hAnsi="Book Antiqua"/>
          <w:sz w:val="24"/>
          <w:szCs w:val="24"/>
          <w:lang w:val="en-US"/>
        </w:rPr>
        <w:t xml:space="preserve"> of elafibranor in</w:t>
      </w:r>
      <w:r w:rsidR="00402E37" w:rsidRPr="00612653">
        <w:rPr>
          <w:rFonts w:ascii="Book Antiqua" w:hAnsi="Book Antiqua"/>
          <w:sz w:val="24"/>
          <w:szCs w:val="24"/>
          <w:lang w:val="en-US"/>
        </w:rPr>
        <w:t xml:space="preserve"> </w:t>
      </w:r>
      <w:r w:rsidR="00E34D09" w:rsidRPr="00612653">
        <w:rPr>
          <w:rFonts w:ascii="Book Antiqua" w:hAnsi="Book Antiqua"/>
          <w:sz w:val="24"/>
          <w:szCs w:val="24"/>
          <w:lang w:val="en-US"/>
        </w:rPr>
        <w:t>NASH</w:t>
      </w:r>
      <w:r w:rsidR="00EA59F3" w:rsidRPr="00612653">
        <w:rPr>
          <w:rFonts w:ascii="Book Antiqua" w:hAnsi="Book Antiqua"/>
          <w:sz w:val="24"/>
          <w:szCs w:val="24"/>
          <w:lang w:val="en-US"/>
        </w:rPr>
        <w:t xml:space="preserve"> patients</w:t>
      </w:r>
      <w:r w:rsidR="00402E37" w:rsidRPr="00612653">
        <w:rPr>
          <w:rFonts w:ascii="Book Antiqua" w:hAnsi="Book Antiqua"/>
          <w:sz w:val="24"/>
          <w:szCs w:val="24"/>
          <w:lang w:val="en-US"/>
        </w:rPr>
        <w:t xml:space="preserve">, elafibranor </w:t>
      </w:r>
      <w:r w:rsidR="006D7F17" w:rsidRPr="00612653">
        <w:rPr>
          <w:rFonts w:ascii="Book Antiqua" w:hAnsi="Book Antiqua"/>
          <w:sz w:val="24"/>
          <w:szCs w:val="24"/>
          <w:lang w:val="en-US"/>
        </w:rPr>
        <w:t xml:space="preserve">markedly </w:t>
      </w:r>
      <w:r w:rsidR="00D711CE" w:rsidRPr="00612653">
        <w:rPr>
          <w:rFonts w:ascii="Book Antiqua" w:hAnsi="Book Antiqua"/>
          <w:sz w:val="24"/>
          <w:szCs w:val="24"/>
          <w:lang w:val="en-US"/>
        </w:rPr>
        <w:t xml:space="preserve">reduced body </w:t>
      </w:r>
      <w:r w:rsidR="003F6908" w:rsidRPr="00612653">
        <w:rPr>
          <w:rFonts w:ascii="Book Antiqua" w:hAnsi="Book Antiqua"/>
          <w:sz w:val="24"/>
          <w:szCs w:val="24"/>
          <w:lang w:val="en-US"/>
        </w:rPr>
        <w:t xml:space="preserve">weight in both </w:t>
      </w:r>
      <w:r w:rsidR="00B22E1E" w:rsidRPr="00612653">
        <w:rPr>
          <w:rFonts w:ascii="Book Antiqua" w:hAnsi="Book Antiqua"/>
          <w:sz w:val="24"/>
          <w:szCs w:val="24"/>
          <w:lang w:val="en-US"/>
        </w:rPr>
        <w:t xml:space="preserve">DIO-NASH and </w:t>
      </w:r>
      <w:r w:rsidR="00B22E1E" w:rsidRPr="00612653">
        <w:rPr>
          <w:rFonts w:ascii="Book Antiqua" w:hAnsi="Book Antiqua"/>
          <w:i/>
          <w:iCs/>
          <w:sz w:val="24"/>
          <w:szCs w:val="24"/>
          <w:lang w:val="en-US"/>
        </w:rPr>
        <w:t>ob/ob</w:t>
      </w:r>
      <w:r w:rsidR="00B22E1E" w:rsidRPr="00612653">
        <w:rPr>
          <w:rFonts w:ascii="Book Antiqua" w:hAnsi="Book Antiqua"/>
          <w:sz w:val="24"/>
          <w:szCs w:val="24"/>
          <w:lang w:val="en-US"/>
        </w:rPr>
        <w:t>-NASH mice</w:t>
      </w:r>
      <w:r w:rsidR="00402E37" w:rsidRPr="00612653">
        <w:rPr>
          <w:rFonts w:ascii="Book Antiqua" w:hAnsi="Book Antiqua"/>
          <w:sz w:val="24"/>
          <w:szCs w:val="24"/>
          <w:lang w:val="en-US"/>
        </w:rPr>
        <w:t xml:space="preserve">. </w:t>
      </w:r>
      <w:r w:rsidR="00094D17" w:rsidRPr="00612653">
        <w:rPr>
          <w:rFonts w:ascii="Book Antiqua" w:hAnsi="Book Antiqua"/>
          <w:sz w:val="24"/>
          <w:szCs w:val="24"/>
          <w:lang w:val="en-US"/>
        </w:rPr>
        <w:t>Wh</w:t>
      </w:r>
      <w:r w:rsidR="00B22E1E" w:rsidRPr="00612653">
        <w:rPr>
          <w:rFonts w:ascii="Book Antiqua" w:hAnsi="Book Antiqua"/>
          <w:sz w:val="24"/>
          <w:szCs w:val="24"/>
          <w:lang w:val="en-US"/>
        </w:rPr>
        <w:t>ereas</w:t>
      </w:r>
      <w:r w:rsidR="00094D17" w:rsidRPr="00612653">
        <w:rPr>
          <w:rFonts w:ascii="Book Antiqua" w:hAnsi="Book Antiqua"/>
          <w:sz w:val="24"/>
          <w:szCs w:val="24"/>
          <w:lang w:val="en-US"/>
        </w:rPr>
        <w:t xml:space="preserve"> body weight loss has not been reported with PPAR</w:t>
      </w:r>
      <w:r w:rsidR="00737FFC" w:rsidRPr="00612653">
        <w:rPr>
          <w:rFonts w:ascii="Book Antiqua" w:hAnsi="Book Antiqua"/>
          <w:sz w:val="24"/>
          <w:szCs w:val="24"/>
          <w:lang w:val="en-US"/>
        </w:rPr>
        <w:t xml:space="preserve"> agonist </w:t>
      </w:r>
      <w:r w:rsidR="00094D17" w:rsidRPr="00612653">
        <w:rPr>
          <w:rFonts w:ascii="Book Antiqua" w:hAnsi="Book Antiqua"/>
          <w:sz w:val="24"/>
          <w:szCs w:val="24"/>
          <w:lang w:val="en-US"/>
        </w:rPr>
        <w:t>treatment in humans</w:t>
      </w:r>
      <w:r w:rsidR="00094D17" w:rsidRPr="00612653">
        <w:rPr>
          <w:rFonts w:ascii="Book Antiqua" w:hAnsi="Book Antiqua"/>
          <w:sz w:val="24"/>
          <w:szCs w:val="24"/>
        </w:rPr>
        <w:fldChar w:fldCharType="begin" w:fldLock="1"/>
      </w:r>
      <w:r w:rsidR="00C5337D" w:rsidRPr="00612653">
        <w:rPr>
          <w:rFonts w:ascii="Book Antiqua" w:hAnsi="Book Antiqua" w:cstheme="minorHAnsi"/>
          <w:sz w:val="24"/>
          <w:szCs w:val="24"/>
          <w:lang w:val="en-US"/>
        </w:rPr>
        <w:instrText>ADDIN CSL_CITATION { "citationItems" : [ { "id" : "ITEM-1", "itemData" : { "DOI" : "10.1517/13543784.15.7.763", "ISSN" : "1744-7658", "PMID" : "16787140", "abstract" : "The tremendous increase in the global prevalence of Type 2 diabetes (T2D) and its conglomeration of metabolic disorders has dramatically intensified the search for innovative therapies to fight this emerging epidemic. Over the last decade, the family of nuclear receptors, especially the peroxisome proliferator-activated receptors (PPARs), has emerged as one of the most important drug targets aimed at combating the metabolic syndrome. Consequently, compounds that activate the PPARs have served as potential therapeutics for the treatment of T2D and the metabolic anomalies associated with this disorder. This review focuses on the currently marketed compounds and also describes the discovery and development of the next generation of PPAR ligands that are under investigation for the potential treatment of T2D and the metabolic syndrome.", "author" : [ { "dropping-particle" : "", "family" : "Savkur", "given" : "Rajesh S", "non-dropping-particle" : "", "parse-names" : false, "suffix" : "" }, { "dropping-particle" : "", "family" : "Miller", "given" : "Anne R", "non-dropping-particle" : "", "parse-names" : false, "suffix" : "" } ], "container-title" : "Expert opinion on investigational drugs", "id" : "ITEM-1", "issue" : "7", "issued" : { "date-parts" : [ [ "2006", "7", "21" ] ] }, "page" : "763-78", "title" : "Investigational PPAR-gamma agonists for the treatment of Type 2 diabetes.", "type" : "article-journal", "volume" : "15" }, "uris" : [ "http://www.mendeley.com/documents/?uuid=00dc626f-ff7f-3491-947a-3960e71f1073" ] } ], "mendeley" : { "formattedCitation" : "&lt;sup&gt;[65]&lt;/sup&gt;", "plainTextFormattedCitation" : "[65]", "previouslyFormattedCitation" : "&lt;sup&gt;[65]&lt;/sup&gt;" }, "properties" : { "noteIndex" : 0 }, "schema" : "https://github.com/citation-style-language/schema/raw/master/csl-citation.json" }</w:instrText>
      </w:r>
      <w:r w:rsidR="00094D17" w:rsidRPr="00612653">
        <w:rPr>
          <w:rFonts w:ascii="Book Antiqua" w:hAnsi="Book Antiqua" w:cstheme="minorHAnsi"/>
          <w:sz w:val="24"/>
          <w:szCs w:val="24"/>
          <w:lang w:val="en-US"/>
        </w:rPr>
        <w:fldChar w:fldCharType="separate"/>
      </w:r>
      <w:r w:rsidR="00C5337D" w:rsidRPr="00612653">
        <w:rPr>
          <w:rFonts w:ascii="Book Antiqua" w:hAnsi="Book Antiqua"/>
          <w:noProof/>
          <w:sz w:val="24"/>
          <w:szCs w:val="24"/>
          <w:vertAlign w:val="superscript"/>
          <w:lang w:val="en-US"/>
        </w:rPr>
        <w:t>[65]</w:t>
      </w:r>
      <w:r w:rsidR="00094D17" w:rsidRPr="00612653">
        <w:rPr>
          <w:rFonts w:ascii="Book Antiqua" w:hAnsi="Book Antiqua"/>
          <w:sz w:val="24"/>
          <w:szCs w:val="24"/>
        </w:rPr>
        <w:fldChar w:fldCharType="end"/>
      </w:r>
      <w:r w:rsidR="00737FFC" w:rsidRPr="00612653">
        <w:rPr>
          <w:rFonts w:ascii="Book Antiqua" w:hAnsi="Book Antiqua"/>
          <w:sz w:val="24"/>
          <w:szCs w:val="24"/>
          <w:lang w:val="en-US"/>
        </w:rPr>
        <w:t xml:space="preserve">, </w:t>
      </w:r>
      <w:r w:rsidR="00402E37" w:rsidRPr="00612653">
        <w:rPr>
          <w:rFonts w:ascii="Book Antiqua" w:hAnsi="Book Antiqua"/>
          <w:sz w:val="24"/>
          <w:szCs w:val="24"/>
          <w:lang w:val="en-US"/>
        </w:rPr>
        <w:t>stimulated PPAR-</w:t>
      </w:r>
      <w:r w:rsidR="00E74C5F" w:rsidRPr="00612653">
        <w:rPr>
          <w:rFonts w:ascii="Book Antiqua" w:hAnsi="Book Antiqua"/>
          <w:sz w:val="24"/>
          <w:szCs w:val="24"/>
          <w:lang w:val="en-US"/>
        </w:rPr>
        <w:sym w:font="Symbol" w:char="F061"/>
      </w:r>
      <w:r w:rsidR="00402E37" w:rsidRPr="00612653">
        <w:rPr>
          <w:rFonts w:ascii="Book Antiqua" w:hAnsi="Book Antiqua"/>
          <w:sz w:val="24"/>
          <w:szCs w:val="24"/>
          <w:lang w:val="en-US"/>
        </w:rPr>
        <w:t xml:space="preserve"> and PPAR-</w:t>
      </w:r>
      <w:r w:rsidR="00E74C5F" w:rsidRPr="00612653">
        <w:rPr>
          <w:rFonts w:ascii="Book Antiqua" w:hAnsi="Book Antiqua"/>
          <w:sz w:val="24"/>
          <w:szCs w:val="24"/>
          <w:lang w:val="en-US"/>
        </w:rPr>
        <w:sym w:font="Symbol" w:char="F064"/>
      </w:r>
      <w:r w:rsidR="00402E37" w:rsidRPr="00612653">
        <w:rPr>
          <w:rFonts w:ascii="Book Antiqua" w:hAnsi="Book Antiqua"/>
          <w:sz w:val="24"/>
          <w:szCs w:val="24"/>
          <w:lang w:val="en-US"/>
        </w:rPr>
        <w:t xml:space="preserve"> function </w:t>
      </w:r>
      <w:r w:rsidR="00D711CE" w:rsidRPr="00612653">
        <w:rPr>
          <w:rFonts w:ascii="Book Antiqua" w:hAnsi="Book Antiqua"/>
          <w:sz w:val="24"/>
          <w:szCs w:val="24"/>
          <w:lang w:val="en-US"/>
        </w:rPr>
        <w:t>has been</w:t>
      </w:r>
      <w:r w:rsidR="00737FFC" w:rsidRPr="00612653">
        <w:rPr>
          <w:rFonts w:ascii="Book Antiqua" w:hAnsi="Book Antiqua"/>
          <w:sz w:val="24"/>
          <w:szCs w:val="24"/>
          <w:lang w:val="en-US"/>
        </w:rPr>
        <w:t xml:space="preserve"> associated with weight loss, appetite suppression and reduced tissue</w:t>
      </w:r>
      <w:r w:rsidR="008139CE" w:rsidRPr="00612653">
        <w:rPr>
          <w:rFonts w:ascii="Book Antiqua" w:hAnsi="Book Antiqua"/>
          <w:sz w:val="24"/>
          <w:szCs w:val="24"/>
          <w:lang w:val="en-US"/>
        </w:rPr>
        <w:t xml:space="preserve"> lipid deposition in obesity-prone mice</w:t>
      </w:r>
      <w:r w:rsidR="006310AC" w:rsidRPr="00612653">
        <w:rPr>
          <w:rFonts w:ascii="Book Antiqua" w:hAnsi="Book Antiqua"/>
          <w:sz w:val="24"/>
          <w:szCs w:val="24"/>
        </w:rPr>
        <w:fldChar w:fldCharType="begin" w:fldLock="1"/>
      </w:r>
      <w:r w:rsidR="00C5337D" w:rsidRPr="00612653">
        <w:rPr>
          <w:rFonts w:ascii="Book Antiqua" w:hAnsi="Book Antiqua"/>
          <w:sz w:val="24"/>
          <w:szCs w:val="24"/>
          <w:lang w:val="en-US"/>
        </w:rPr>
        <w:instrText>ADDIN CSL_CITATION { "citationItems" : [ { "id" : "ITEM-1", "itemData" : { "DOI" : "10.1371/journal.pbio.0020294", "ISSN" : "1545-7885", "PMID" : "15328533", "abstract" : "Endurance exercise training can promote an adaptive muscle fiber transformation and an increase of mitochondrial biogenesis by triggering scripted changes in gene expression. However, no transcription factor has yet been identified that can direct this process. We describe the engineering of a mouse capable of continuous running of up to twice the distance of a wild-type littermate. This was achieved by targeted expression of an activated form of peroxisome proliferator-activated receptor delta (PPARdelta) in skeletal muscle, which induces a switch to form increased numbers of type I muscle fibers. Treatment of wild-type mice with PPARdelta agonist elicits a similar type I fiber gene expression profile in muscle. Moreover, these genetically generated fibers confer resistance to obesity with improved metabolic profiles, even in the absence of exercise. These results demonstrate that complex physiologic properties such as fatigue, endurance, and running capacity can be molecularly analyzed and manipulated.", "author" : [ { "dropping-particle" : "", "family" : "Wang", "given" : "Yong-Xu", "non-dropping-particle" : "", "parse-names" : false, "suffix" : "" }, { "dropping-particle" : "", "family" : "Zhang", "given" : "Chun-Li", "non-dropping-particle" : "", "parse-names" : false, "suffix" : "" }, { "dropping-particle" : "", "family" : "Yu", "given" : "Ruth T", "non-dropping-particle" : "", "parse-names" : false, "suffix" : "" }, { "dropping-particle" : "", "family" : "Cho", "given" : "Helen K", "non-dropping-particle" : "", "parse-names" : false, "suffix" : "" }, { "dropping-particle" : "", "family" : "Nelson", "given" : "Michael C", "non-dropping-particle" : "", "parse-names" : false, "suffix" : "" }, { "dropping-particle" : "", "family" : "Bayuga-Ocampo", "given" : "Corinne R", "non-dropping-particle" : "", "parse-names" : false, "suffix" : "" }, { "dropping-particle" : "", "family" : "Ham", "given" : "Jungyeob", "non-dropping-particle" : "", "parse-names" : false, "suffix" : "" }, { "dropping-particle" : "", "family" : "Kang", "given" : "Heonjoong", "non-dropping-particle" : "", "parse-names" : false, "suffix" : "" }, { "dropping-particle" : "", "family" : "Evans", "given" : "Ronald M", "non-dropping-particle" : "", "parse-names" : false, "suffix" : "" } ], "container-title" : "PLoS Biology", "editor" : [ { "dropping-particle" : "", "family" : "Steve O'Rahilly", "given" : "", "non-dropping-particle" : "", "parse-names" : false, "suffix" : "" } ], "id" : "ITEM-1", "issue" : "10", "issued" : { "date-parts" : [ [ "2004", "8", "24" ] ] }, "page" : "e294", "title" : "Regulation of Muscle Fiber Type and Running Endurance by PPAR\u03b4", "type" : "article-journal", "volume" : "2" }, "uris" : [ "http://www.mendeley.com/documents/?uuid=c2f118b8-bcba-3445-b730-801818d1d8c8" ] }, { "id" : "ITEM-2", "itemData" : { "DOI" : "10.1155/2007/97125", "ISSN" : "1687-4757", "PMID" : "17710237", "abstract" : "Activation of peroxisome proliferator-activated receptor (PPAR) alpha, delta, and gamma subtypes increases expression of genes involved in fatty acid transport and oxidation and alters adiposity in animal models of obesity and type-2 diabetes. PPARpan agonists which activate all three receptor subtypes have antidiabetic activity in animal models without the weight gain associated with selective PPARgamma agonists. Herein we report the effects of selective PPAR agonists (GW9578, a PPARalpha agonist, GW0742, a PPARdelta agonist, GW7845, a PPARgamma agonist), combination of PPARalpha and delta agonists, and PPARpan (PPARalpha/gamma/delta) activators (GW4148 or GW9135) on body weight (BW), body composition, food consumption, fatty acid oxidation, and serum chemistry of diet-induced obese AKR/J mice. PPARalpha or PPARdelta agonist treatment induced a slight decrease in fat mass (FM) while a PPARgamma agonist increased BW and FM commensurate with increased food consumption. The reduction in BW and food intake after cotreatment with PPARalpha and delta agonists appeared to be synergistic. GW4148, a PPARpan agonist, induced a significant and sustained reduction in BW and FM similar to an efficacious dose of rimonabant, an antiobesity compound. GW9135, a PPARpan agonist with weak activity at PPARdelta, induced weight loss initially followed by rebound weight gain reaching vehicle control levels by the end of the experiment. We conclude that PPARalpha and PPARdelta activations are critical to effective weight loss induction. These results suggest that the PPARpan compounds may be expected to maintain the beneficial insulin sensitization effects of a PPARgamma agonist while either maintaining weight or producing weight loss.", "author" : [ { "dropping-particle" : "", "family" : "Harrington", "given" : "W Wallace", "non-dropping-particle" : "", "parse-names" : false, "suffix" : "" }, { "dropping-particle" : "", "family" : "S Britt", "given" : "Christy", "non-dropping-particle" : "", "parse-names" : false, "suffix" : "" }, { "dropping-particle" : "", "family" : "G Wilson", "given" : "Joan", "non-dropping-particle" : "", "parse-names" : false, "suffix" : "" }, { "dropping-particle" : "", "family" : "O Milliken", "given" : "Naphtali", "non-dropping-particle" : "", "parse-names" : false, "suffix" : "" }, { "dropping-particle" : "", "family" : "G Binz", "given" : "Jane", "non-dropping-particle" : "", "parse-names" : false, "suffix" : "" }, { "dropping-particle" : "", "family" : "C Lobe", "given" : "David", "non-dropping-particle" : "", "parse-names" : false, "suffix" : "" }, { "dropping-particle" : "", "family" : "R Oliver", "given" : "William", "non-dropping-particle" : "", "parse-names" : false, "suffix" : "" }, { "dropping-particle" : "", "family" : "C Lewis", "given" : "Michael", "non-dropping-particle" : "", "parse-names" : false, "suffix" : "" }, { "dropping-particle" : "", "family" : "M Ignar", "given" : "Diane", "non-dropping-particle" : "", "parse-names" : false, "suffix" : "" } ], "container-title" : "PPAR research", "id" : "ITEM-2", "issued" : { "date-parts" : [ [ "2007" ] ] }, "page" : "97125", "title" : "The Effect of PPARalpha, PPARdelta, PPARgamma, and PPARpan Agonists on Body Weight, Body Mass, and Serum Lipid Profiles in Diet-Induced Obese AKR/J Mice.", "type" : "article-journal", "volume" : "2007" }, "uris" : [ "http://www.mendeley.com/documents/?uuid=65bc5cb4-ef35-30b4-94d2-7bf0959fc2a6" ] }, { "id" : "ITEM-3", "itemData" : { "DOI" : "10.1016/j.mce.2014.12.027", "ISSN" : "03037207", "PMID" : "25576856", "abstract" : "Browning is characterized by the formation of beige/brite fat depots in subcutaneous white adipose tissue (sWAT). This study aimed to examine whether the chronic activation of PPARalpha by fenofibrate could induce beige cell depots in the sWAT of diet-induced obese mice. High-fat fed animals presented overweight, insulin resistance and displayed adverse sWAT remodeling. Fenofibrate significantly attenuated these parameters. Treated groups demonstrated active UCP-1 beige cell clusters within sWAT, confirmed through higher gene expression of PPARalpha, PPARbeta, PGC1alpha, BMP8B, UCP-1, PRDM16 and irisin in treated groups. PPARalpha activation seems to be pivotal to trigger browning through irisin induction and UCP-1 transcription, indicating that fenofibrate increased the expression of genes typical of brown adipose tissue (BAT) in the sWAT, characterizing the formation of beige cells. These findings put forward a possible role of PPARalpha as a promising therapeutic for metabolic diseases via beige cell induction.", "author" : [ { "dropping-particle" : "", "family" : "Rachid", "given" : "Tamiris Lima", "non-dropping-particle" : "", "parse-names" : false, "suffix" : "" }, { "dropping-particle" : "", "family" : "Penna-de-Carvalho", "given" : "Aline", "non-dropping-particle" : "", "parse-names" : false, "suffix" : "" }, { "dropping-particle" : "", "family" : "Bringhenti", "given" : "Isabele", "non-dropping-particle" : "", "parse-names" : false, "suffix" : "" }, { "dropping-particle" : "", "family" : "Aguila", "given" : "Marcia B.", "non-dropping-particle" : "", "parse-names" : false, "suffix" : "" }, { "dropping-particle" : "", "family" : "Mandarim-de-Lacerda", "given" : "Carlos A.", "non-dropping-particle" : "", "parse-names" : false, "suffix" : "" }, { "dropping-particle" : "", "family" : "Souza-Mello", "given" : "Vanessa", "non-dropping-particle" : "", "parse-names" : false, "suffix" : "" } ], "container-title" : "Molecular and Cellular Endocrinology", "id" : "ITEM-3", "issued" : { "date-parts" : [ [ "2015", "2", "15" ] ] }, "page" : "86-94", "title" : "Fenofibrate (PPARalpha agonist) induces beige cell formation in subcutaneous white adipose tissue from diet-induced male obese mice", "type" : "article-journal", "volume" : "402" }, "uris" : [ "http://www.mendeley.com/documents/?uuid=d9c3f208-29b2-32a2-9231-50c62ebe8caa" ] } ], "mendeley" : { "formattedCitation" : "&lt;sup&gt;[66\u201368]&lt;/sup&gt;", "plainTextFormattedCitation" : "[66\u201368]", "previouslyFormattedCitation" : "&lt;sup&gt;[66\u201368]&lt;/sup&gt;" }, "properties" : { "noteIndex" : 0 }, "schema" : "https://github.com/citation-style-language/schema/raw/master/csl-citation.json" }</w:instrText>
      </w:r>
      <w:r w:rsidR="006310AC" w:rsidRPr="00612653">
        <w:rPr>
          <w:rFonts w:ascii="Book Antiqua" w:hAnsi="Book Antiqua"/>
          <w:sz w:val="24"/>
          <w:szCs w:val="24"/>
          <w:lang w:val="en-US"/>
        </w:rPr>
        <w:fldChar w:fldCharType="separate"/>
      </w:r>
      <w:r w:rsidR="00C5337D" w:rsidRPr="00612653">
        <w:rPr>
          <w:rFonts w:ascii="Book Antiqua" w:hAnsi="Book Antiqua"/>
          <w:noProof/>
          <w:sz w:val="24"/>
          <w:szCs w:val="24"/>
          <w:vertAlign w:val="superscript"/>
          <w:lang w:val="en-US"/>
        </w:rPr>
        <w:t>[66–68]</w:t>
      </w:r>
      <w:r w:rsidR="006310AC" w:rsidRPr="00612653">
        <w:rPr>
          <w:rFonts w:ascii="Book Antiqua" w:hAnsi="Book Antiqua"/>
          <w:sz w:val="24"/>
          <w:szCs w:val="24"/>
        </w:rPr>
        <w:fldChar w:fldCharType="end"/>
      </w:r>
      <w:r w:rsidR="00012675" w:rsidRPr="00612653">
        <w:rPr>
          <w:rFonts w:ascii="Book Antiqua" w:hAnsi="Book Antiqua"/>
          <w:sz w:val="24"/>
          <w:szCs w:val="24"/>
          <w:lang w:val="en-US"/>
        </w:rPr>
        <w:t>,</w:t>
      </w:r>
      <w:r w:rsidR="006F4A52" w:rsidRPr="00612653">
        <w:rPr>
          <w:rFonts w:ascii="Book Antiqua" w:hAnsi="Book Antiqua"/>
          <w:sz w:val="24"/>
          <w:szCs w:val="24"/>
          <w:lang w:val="en-US" w:eastAsia="zh-CN"/>
        </w:rPr>
        <w:t xml:space="preserve"> </w:t>
      </w:r>
      <w:r w:rsidR="008139CE" w:rsidRPr="00612653">
        <w:rPr>
          <w:rFonts w:ascii="Book Antiqua" w:hAnsi="Book Antiqua"/>
          <w:sz w:val="24"/>
          <w:szCs w:val="24"/>
          <w:lang w:val="en-US"/>
        </w:rPr>
        <w:t xml:space="preserve">which </w:t>
      </w:r>
      <w:r w:rsidR="00E031E9" w:rsidRPr="00612653">
        <w:rPr>
          <w:rFonts w:ascii="Book Antiqua" w:hAnsi="Book Antiqua"/>
          <w:sz w:val="24"/>
          <w:szCs w:val="24"/>
          <w:lang w:val="en-US"/>
        </w:rPr>
        <w:t xml:space="preserve">could </w:t>
      </w:r>
      <w:r w:rsidR="00B22E1E" w:rsidRPr="00612653">
        <w:rPr>
          <w:rFonts w:ascii="Book Antiqua" w:hAnsi="Book Antiqua"/>
          <w:sz w:val="24"/>
          <w:szCs w:val="24"/>
          <w:lang w:val="en-US"/>
        </w:rPr>
        <w:t xml:space="preserve">imply </w:t>
      </w:r>
      <w:r w:rsidR="00094D17" w:rsidRPr="00612653">
        <w:rPr>
          <w:rFonts w:ascii="Book Antiqua" w:hAnsi="Book Antiqua"/>
          <w:sz w:val="24"/>
          <w:szCs w:val="24"/>
          <w:lang w:val="en-US"/>
        </w:rPr>
        <w:t>species</w:t>
      </w:r>
      <w:r w:rsidR="00737FFC" w:rsidRPr="00612653">
        <w:rPr>
          <w:rFonts w:ascii="Book Antiqua" w:hAnsi="Book Antiqua"/>
          <w:sz w:val="24"/>
          <w:szCs w:val="24"/>
          <w:lang w:val="en-US"/>
        </w:rPr>
        <w:t xml:space="preserve">-dependent </w:t>
      </w:r>
      <w:r w:rsidR="00E94855" w:rsidRPr="00612653">
        <w:rPr>
          <w:rFonts w:ascii="Book Antiqua" w:hAnsi="Book Antiqua"/>
          <w:sz w:val="24"/>
          <w:szCs w:val="24"/>
          <w:lang w:val="en-US"/>
        </w:rPr>
        <w:t xml:space="preserve">metabolic </w:t>
      </w:r>
      <w:r w:rsidR="00737FFC" w:rsidRPr="00612653">
        <w:rPr>
          <w:rFonts w:ascii="Book Antiqua" w:hAnsi="Book Antiqua"/>
          <w:sz w:val="24"/>
          <w:szCs w:val="24"/>
          <w:lang w:val="en-US"/>
        </w:rPr>
        <w:t>effects</w:t>
      </w:r>
      <w:r w:rsidR="00D711CE" w:rsidRPr="00612653">
        <w:rPr>
          <w:rFonts w:ascii="Book Antiqua" w:hAnsi="Book Antiqua"/>
          <w:sz w:val="24"/>
          <w:szCs w:val="24"/>
          <w:lang w:val="en-US"/>
        </w:rPr>
        <w:t xml:space="preserve"> of PPAR agonists</w:t>
      </w:r>
      <w:r w:rsidR="00737FFC" w:rsidRPr="00612653">
        <w:rPr>
          <w:rFonts w:ascii="Book Antiqua" w:hAnsi="Book Antiqua"/>
          <w:sz w:val="24"/>
          <w:szCs w:val="24"/>
          <w:lang w:val="en-US"/>
        </w:rPr>
        <w:t>.</w:t>
      </w:r>
    </w:p>
    <w:p w14:paraId="040B3DCF" w14:textId="4DE6DCD4" w:rsidR="00F672C8" w:rsidRPr="00612653" w:rsidRDefault="00E20A13" w:rsidP="006F4A52">
      <w:pPr>
        <w:snapToGrid w:val="0"/>
        <w:spacing w:after="0" w:line="360" w:lineRule="auto"/>
        <w:ind w:firstLineChars="100" w:firstLine="240"/>
        <w:jc w:val="both"/>
        <w:rPr>
          <w:rFonts w:ascii="Book Antiqua" w:hAnsi="Book Antiqua"/>
          <w:sz w:val="24"/>
          <w:szCs w:val="24"/>
          <w:lang w:val="en-US"/>
        </w:rPr>
      </w:pPr>
      <w:r w:rsidRPr="00612653">
        <w:rPr>
          <w:rFonts w:ascii="Book Antiqua" w:hAnsi="Book Antiqua"/>
          <w:sz w:val="24"/>
          <w:szCs w:val="24"/>
          <w:lang w:val="en-US"/>
        </w:rPr>
        <w:t xml:space="preserve">In </w:t>
      </w:r>
      <w:r w:rsidR="00992F26" w:rsidRPr="00612653">
        <w:rPr>
          <w:rFonts w:ascii="Book Antiqua" w:hAnsi="Book Antiqua"/>
          <w:sz w:val="24"/>
          <w:szCs w:val="24"/>
          <w:lang w:val="en-US"/>
        </w:rPr>
        <w:t>conclusion</w:t>
      </w:r>
      <w:r w:rsidRPr="00612653">
        <w:rPr>
          <w:rFonts w:ascii="Book Antiqua" w:hAnsi="Book Antiqua"/>
          <w:sz w:val="24"/>
          <w:szCs w:val="24"/>
          <w:lang w:val="en-US"/>
        </w:rPr>
        <w:t>, t</w:t>
      </w:r>
      <w:r w:rsidR="00F70E9F" w:rsidRPr="00612653">
        <w:rPr>
          <w:rFonts w:ascii="Book Antiqua" w:hAnsi="Book Antiqua"/>
          <w:sz w:val="24"/>
          <w:szCs w:val="24"/>
          <w:lang w:val="en-US"/>
        </w:rPr>
        <w:t xml:space="preserve">he </w:t>
      </w:r>
      <w:r w:rsidR="00C12A66" w:rsidRPr="00612653">
        <w:rPr>
          <w:rFonts w:ascii="Book Antiqua" w:hAnsi="Book Antiqua"/>
          <w:sz w:val="24"/>
          <w:szCs w:val="24"/>
          <w:lang w:val="en-US"/>
        </w:rPr>
        <w:t xml:space="preserve">present </w:t>
      </w:r>
      <w:r w:rsidR="003050B8" w:rsidRPr="00612653">
        <w:rPr>
          <w:rFonts w:ascii="Book Antiqua" w:hAnsi="Book Antiqua"/>
          <w:sz w:val="24"/>
          <w:szCs w:val="24"/>
          <w:lang w:val="en-US"/>
        </w:rPr>
        <w:t xml:space="preserve">comparative </w:t>
      </w:r>
      <w:r w:rsidR="00FD7166" w:rsidRPr="00612653">
        <w:rPr>
          <w:rFonts w:ascii="Book Antiqua" w:hAnsi="Book Antiqua"/>
          <w:sz w:val="24"/>
          <w:szCs w:val="24"/>
          <w:lang w:val="en-US"/>
        </w:rPr>
        <w:t xml:space="preserve">pharmacological </w:t>
      </w:r>
      <w:r w:rsidR="003050B8" w:rsidRPr="00612653">
        <w:rPr>
          <w:rFonts w:ascii="Book Antiqua" w:hAnsi="Book Antiqua"/>
          <w:sz w:val="24"/>
          <w:szCs w:val="24"/>
          <w:lang w:val="en-US"/>
        </w:rPr>
        <w:t>study in</w:t>
      </w:r>
      <w:r w:rsidR="006E1D38" w:rsidRPr="00612653">
        <w:rPr>
          <w:rFonts w:ascii="Book Antiqua" w:hAnsi="Book Antiqua"/>
          <w:sz w:val="24"/>
          <w:szCs w:val="24"/>
          <w:lang w:val="en-US"/>
        </w:rPr>
        <w:t xml:space="preserve"> diet-induced and</w:t>
      </w:r>
      <w:r w:rsidR="00913F79" w:rsidRPr="00612653">
        <w:rPr>
          <w:rFonts w:ascii="Book Antiqua" w:hAnsi="Book Antiqua"/>
          <w:sz w:val="24"/>
          <w:szCs w:val="24"/>
          <w:lang w:val="en-US"/>
        </w:rPr>
        <w:t xml:space="preserve"> </w:t>
      </w:r>
      <w:r w:rsidR="00227396" w:rsidRPr="00612653">
        <w:rPr>
          <w:rFonts w:ascii="Book Antiqua" w:hAnsi="Book Antiqua"/>
          <w:sz w:val="24"/>
          <w:szCs w:val="24"/>
          <w:lang w:val="en-US"/>
        </w:rPr>
        <w:t xml:space="preserve">genetically obese mouse models of biopsy-confirmed NASH </w:t>
      </w:r>
      <w:r w:rsidR="00AB49DB" w:rsidRPr="00612653">
        <w:rPr>
          <w:rFonts w:ascii="Book Antiqua" w:hAnsi="Book Antiqua"/>
          <w:sz w:val="24"/>
          <w:szCs w:val="24"/>
          <w:lang w:val="en-US"/>
        </w:rPr>
        <w:t>indicate</w:t>
      </w:r>
      <w:r w:rsidR="00384AB1" w:rsidRPr="00612653">
        <w:rPr>
          <w:rFonts w:ascii="Book Antiqua" w:hAnsi="Book Antiqua"/>
          <w:sz w:val="24"/>
          <w:szCs w:val="24"/>
          <w:lang w:val="en-US"/>
        </w:rPr>
        <w:t>d</w:t>
      </w:r>
      <w:r w:rsidR="00F70E9F" w:rsidRPr="00612653">
        <w:rPr>
          <w:rFonts w:ascii="Book Antiqua" w:hAnsi="Book Antiqua"/>
          <w:sz w:val="24"/>
          <w:szCs w:val="24"/>
          <w:lang w:val="en-US"/>
        </w:rPr>
        <w:t xml:space="preserve"> both shared and distinct anti-NASH effects of liraglutide, OCA, and elafibranor. </w:t>
      </w:r>
      <w:r w:rsidR="0095253A" w:rsidRPr="00612653">
        <w:rPr>
          <w:rFonts w:ascii="Book Antiqua" w:hAnsi="Book Antiqua"/>
          <w:sz w:val="24"/>
          <w:szCs w:val="24"/>
          <w:lang w:val="en-US"/>
        </w:rPr>
        <w:t xml:space="preserve">The anti-NASH effects of </w:t>
      </w:r>
      <w:r w:rsidR="00384AB1" w:rsidRPr="00612653">
        <w:rPr>
          <w:rFonts w:ascii="Book Antiqua" w:hAnsi="Book Antiqua"/>
          <w:sz w:val="24"/>
          <w:szCs w:val="24"/>
          <w:lang w:val="en-US"/>
        </w:rPr>
        <w:t>the</w:t>
      </w:r>
      <w:r w:rsidR="00737FFC" w:rsidRPr="00612653">
        <w:rPr>
          <w:rFonts w:ascii="Book Antiqua" w:hAnsi="Book Antiqua"/>
          <w:sz w:val="24"/>
          <w:szCs w:val="24"/>
          <w:lang w:val="en-US"/>
        </w:rPr>
        <w:t xml:space="preserve"> compounds </w:t>
      </w:r>
      <w:r w:rsidR="0095253A" w:rsidRPr="00612653">
        <w:rPr>
          <w:rFonts w:ascii="Book Antiqua" w:hAnsi="Book Antiqua"/>
          <w:sz w:val="24"/>
          <w:szCs w:val="24"/>
          <w:lang w:val="en-US"/>
        </w:rPr>
        <w:t>corresponded well to their individual mode</w:t>
      </w:r>
      <w:r w:rsidR="00FD7166" w:rsidRPr="00612653">
        <w:rPr>
          <w:rFonts w:ascii="Book Antiqua" w:hAnsi="Book Antiqua"/>
          <w:sz w:val="24"/>
          <w:szCs w:val="24"/>
          <w:lang w:val="en-US"/>
        </w:rPr>
        <w:t>s</w:t>
      </w:r>
      <w:r w:rsidR="0095253A" w:rsidRPr="00612653">
        <w:rPr>
          <w:rFonts w:ascii="Book Antiqua" w:hAnsi="Book Antiqua"/>
          <w:sz w:val="24"/>
          <w:szCs w:val="24"/>
          <w:lang w:val="en-US"/>
        </w:rPr>
        <w:t xml:space="preserve"> of action</w:t>
      </w:r>
      <w:r w:rsidR="00114D17" w:rsidRPr="00612653">
        <w:rPr>
          <w:rFonts w:ascii="Book Antiqua" w:hAnsi="Book Antiqua"/>
          <w:sz w:val="24"/>
          <w:szCs w:val="24"/>
          <w:lang w:val="en-US"/>
        </w:rPr>
        <w:t xml:space="preserve">, </w:t>
      </w:r>
      <w:r w:rsidR="0088720E" w:rsidRPr="00612653">
        <w:rPr>
          <w:rFonts w:ascii="Book Antiqua" w:hAnsi="Book Antiqua"/>
          <w:sz w:val="24"/>
          <w:szCs w:val="24"/>
          <w:lang w:val="en-US"/>
        </w:rPr>
        <w:t>and</w:t>
      </w:r>
      <w:r w:rsidR="00114D17" w:rsidRPr="00612653">
        <w:rPr>
          <w:rFonts w:ascii="Book Antiqua" w:hAnsi="Book Antiqua"/>
          <w:sz w:val="24"/>
          <w:szCs w:val="24"/>
          <w:lang w:val="en-US"/>
        </w:rPr>
        <w:t xml:space="preserve"> were</w:t>
      </w:r>
      <w:r w:rsidR="00384AB1" w:rsidRPr="00612653">
        <w:rPr>
          <w:rFonts w:ascii="Book Antiqua" w:hAnsi="Book Antiqua"/>
          <w:sz w:val="24"/>
          <w:szCs w:val="24"/>
          <w:lang w:val="en-US"/>
        </w:rPr>
        <w:t xml:space="preserve"> also</w:t>
      </w:r>
      <w:r w:rsidR="00114D17" w:rsidRPr="00612653">
        <w:rPr>
          <w:rFonts w:ascii="Book Antiqua" w:hAnsi="Book Antiqua"/>
          <w:sz w:val="24"/>
          <w:szCs w:val="24"/>
          <w:lang w:val="en-US"/>
        </w:rPr>
        <w:t xml:space="preserve"> </w:t>
      </w:r>
      <w:r w:rsidR="002449FD" w:rsidRPr="00612653">
        <w:rPr>
          <w:rFonts w:ascii="Book Antiqua" w:hAnsi="Book Antiqua"/>
          <w:sz w:val="24"/>
          <w:szCs w:val="24"/>
          <w:lang w:val="en-US"/>
        </w:rPr>
        <w:t xml:space="preserve">in </w:t>
      </w:r>
      <w:r w:rsidR="00FD7166" w:rsidRPr="00612653">
        <w:rPr>
          <w:rFonts w:ascii="Book Antiqua" w:hAnsi="Book Antiqua"/>
          <w:sz w:val="24"/>
          <w:szCs w:val="24"/>
          <w:lang w:val="en-US"/>
        </w:rPr>
        <w:t>concordance</w:t>
      </w:r>
      <w:r w:rsidR="00384AB1" w:rsidRPr="00612653">
        <w:rPr>
          <w:rFonts w:ascii="Book Antiqua" w:hAnsi="Book Antiqua"/>
          <w:sz w:val="24"/>
          <w:szCs w:val="24"/>
          <w:lang w:val="en-US"/>
        </w:rPr>
        <w:t xml:space="preserve"> to</w:t>
      </w:r>
      <w:r w:rsidR="002449FD" w:rsidRPr="00612653">
        <w:rPr>
          <w:rFonts w:ascii="Book Antiqua" w:hAnsi="Book Antiqua"/>
          <w:sz w:val="24"/>
          <w:szCs w:val="24"/>
          <w:lang w:val="en-US"/>
        </w:rPr>
        <w:t xml:space="preserve"> </w:t>
      </w:r>
      <w:r w:rsidR="00227396" w:rsidRPr="00612653">
        <w:rPr>
          <w:rFonts w:ascii="Book Antiqua" w:hAnsi="Book Antiqua"/>
          <w:sz w:val="24"/>
          <w:szCs w:val="24"/>
          <w:lang w:val="en-US"/>
        </w:rPr>
        <w:t xml:space="preserve">histological </w:t>
      </w:r>
      <w:r w:rsidR="00114D17" w:rsidRPr="00612653">
        <w:rPr>
          <w:rFonts w:ascii="Book Antiqua" w:hAnsi="Book Antiqua"/>
          <w:sz w:val="24"/>
          <w:szCs w:val="24"/>
          <w:lang w:val="en-US"/>
        </w:rPr>
        <w:t>findings in clinical trials for NASH</w:t>
      </w:r>
      <w:r w:rsidR="00710009" w:rsidRPr="00612653">
        <w:rPr>
          <w:rFonts w:ascii="Book Antiqua" w:hAnsi="Book Antiqua"/>
          <w:sz w:val="24"/>
          <w:szCs w:val="24"/>
          <w:lang w:val="en-US"/>
        </w:rPr>
        <w:t>. The</w:t>
      </w:r>
      <w:r w:rsidR="0088720E" w:rsidRPr="00612653">
        <w:rPr>
          <w:rFonts w:ascii="Book Antiqua" w:hAnsi="Book Antiqua"/>
          <w:sz w:val="24"/>
          <w:szCs w:val="24"/>
          <w:lang w:val="en-US"/>
        </w:rPr>
        <w:t xml:space="preserve"> present data</w:t>
      </w:r>
      <w:r w:rsidR="00FD7166" w:rsidRPr="00612653">
        <w:rPr>
          <w:rFonts w:ascii="Book Antiqua" w:hAnsi="Book Antiqua"/>
          <w:sz w:val="24"/>
          <w:szCs w:val="24"/>
          <w:lang w:val="en-US"/>
        </w:rPr>
        <w:t xml:space="preserve"> </w:t>
      </w:r>
      <w:r w:rsidR="0088720E" w:rsidRPr="00612653">
        <w:rPr>
          <w:rFonts w:ascii="Book Antiqua" w:hAnsi="Book Antiqua"/>
          <w:sz w:val="24"/>
          <w:szCs w:val="24"/>
          <w:lang w:val="en-US"/>
        </w:rPr>
        <w:t xml:space="preserve">therefore </w:t>
      </w:r>
      <w:r w:rsidR="00FD7166" w:rsidRPr="00612653">
        <w:rPr>
          <w:rFonts w:ascii="Book Antiqua" w:hAnsi="Book Antiqua"/>
          <w:sz w:val="24"/>
          <w:szCs w:val="24"/>
          <w:lang w:val="en-US"/>
        </w:rPr>
        <w:t>further support</w:t>
      </w:r>
      <w:r w:rsidR="0088720E" w:rsidRPr="00612653">
        <w:rPr>
          <w:rFonts w:ascii="Book Antiqua" w:hAnsi="Book Antiqua"/>
          <w:sz w:val="24"/>
          <w:szCs w:val="24"/>
          <w:lang w:val="en-US"/>
        </w:rPr>
        <w:t xml:space="preserve">s </w:t>
      </w:r>
      <w:r w:rsidR="00FD7166" w:rsidRPr="00612653">
        <w:rPr>
          <w:rFonts w:ascii="Book Antiqua" w:hAnsi="Book Antiqua"/>
          <w:sz w:val="24"/>
          <w:szCs w:val="24"/>
          <w:lang w:val="en-US"/>
        </w:rPr>
        <w:t xml:space="preserve">the clinical translatability </w:t>
      </w:r>
      <w:r w:rsidR="00710009" w:rsidRPr="00612653">
        <w:rPr>
          <w:rFonts w:ascii="Book Antiqua" w:hAnsi="Book Antiqua"/>
          <w:sz w:val="24"/>
          <w:szCs w:val="24"/>
          <w:lang w:val="en-US"/>
        </w:rPr>
        <w:t xml:space="preserve">and utility of </w:t>
      </w:r>
      <w:r w:rsidR="00872F14" w:rsidRPr="00612653">
        <w:rPr>
          <w:rFonts w:ascii="Book Antiqua" w:hAnsi="Book Antiqua"/>
          <w:sz w:val="24"/>
          <w:szCs w:val="24"/>
          <w:lang w:val="en-US"/>
        </w:rPr>
        <w:t xml:space="preserve">DIO-NASH and </w:t>
      </w:r>
      <w:r w:rsidR="00872F14" w:rsidRPr="00612653">
        <w:rPr>
          <w:rFonts w:ascii="Book Antiqua" w:hAnsi="Book Antiqua"/>
          <w:i/>
          <w:sz w:val="24"/>
          <w:szCs w:val="24"/>
          <w:lang w:val="en-US"/>
        </w:rPr>
        <w:t>ob/ob</w:t>
      </w:r>
      <w:r w:rsidR="00872F14" w:rsidRPr="00612653">
        <w:rPr>
          <w:rFonts w:ascii="Book Antiqua" w:hAnsi="Book Antiqua"/>
          <w:sz w:val="24"/>
          <w:szCs w:val="24"/>
          <w:lang w:val="en-US"/>
        </w:rPr>
        <w:t xml:space="preserve">-NASH </w:t>
      </w:r>
      <w:r w:rsidR="00710009" w:rsidRPr="00612653">
        <w:rPr>
          <w:rFonts w:ascii="Book Antiqua" w:hAnsi="Book Antiqua"/>
          <w:sz w:val="24"/>
          <w:szCs w:val="24"/>
          <w:lang w:val="en-US"/>
        </w:rPr>
        <w:t>mouse models of NASH in preclinical drug development.</w:t>
      </w:r>
    </w:p>
    <w:p w14:paraId="5D47FE2C" w14:textId="78949819" w:rsidR="00F1260F" w:rsidRPr="00612653" w:rsidRDefault="00F1260F" w:rsidP="00082279">
      <w:pPr>
        <w:snapToGrid w:val="0"/>
        <w:spacing w:after="0" w:line="360" w:lineRule="auto"/>
        <w:jc w:val="both"/>
        <w:rPr>
          <w:rFonts w:ascii="Book Antiqua" w:hAnsi="Book Antiqua"/>
          <w:sz w:val="24"/>
          <w:szCs w:val="24"/>
          <w:lang w:val="en-US" w:eastAsia="zh-CN"/>
        </w:rPr>
      </w:pPr>
    </w:p>
    <w:p w14:paraId="01E29A12" w14:textId="77777777" w:rsidR="003409D8" w:rsidRPr="00612653" w:rsidRDefault="003409D8" w:rsidP="00082279">
      <w:pPr>
        <w:snapToGrid w:val="0"/>
        <w:spacing w:after="0" w:line="360" w:lineRule="auto"/>
        <w:jc w:val="both"/>
        <w:rPr>
          <w:rFonts w:ascii="Book Antiqua" w:hAnsi="Book Antiqua"/>
          <w:b/>
          <w:caps/>
          <w:sz w:val="24"/>
          <w:szCs w:val="24"/>
          <w:lang w:val="en-US"/>
        </w:rPr>
      </w:pPr>
      <w:r w:rsidRPr="00612653">
        <w:rPr>
          <w:rFonts w:ascii="Book Antiqua" w:hAnsi="Book Antiqua" w:cs="Segoe UI"/>
          <w:b/>
          <w:caps/>
          <w:sz w:val="24"/>
          <w:szCs w:val="24"/>
          <w:shd w:val="clear" w:color="auto" w:fill="FFFFFF"/>
          <w:lang w:val="en-US"/>
        </w:rPr>
        <w:t xml:space="preserve">Article Highlights  </w:t>
      </w:r>
    </w:p>
    <w:p w14:paraId="6D3D5B62" w14:textId="77777777" w:rsidR="003409D8" w:rsidRPr="00612653" w:rsidRDefault="003409D8" w:rsidP="00082279">
      <w:pPr>
        <w:snapToGrid w:val="0"/>
        <w:spacing w:after="0" w:line="360" w:lineRule="auto"/>
        <w:jc w:val="both"/>
        <w:rPr>
          <w:rFonts w:ascii="Book Antiqua" w:hAnsi="Book Antiqua"/>
          <w:b/>
          <w:i/>
          <w:sz w:val="24"/>
          <w:szCs w:val="24"/>
          <w:lang w:val="en-US"/>
        </w:rPr>
      </w:pPr>
      <w:r w:rsidRPr="00612653">
        <w:rPr>
          <w:rFonts w:ascii="Book Antiqua" w:hAnsi="Book Antiqua"/>
          <w:b/>
          <w:i/>
          <w:sz w:val="24"/>
          <w:szCs w:val="24"/>
          <w:lang w:val="en-US"/>
        </w:rPr>
        <w:lastRenderedPageBreak/>
        <w:t>Research background</w:t>
      </w:r>
    </w:p>
    <w:p w14:paraId="64FC8397" w14:textId="73FCF561" w:rsidR="00E00DDC" w:rsidRPr="00612653" w:rsidRDefault="004B4823"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t xml:space="preserve">Although </w:t>
      </w:r>
      <w:r w:rsidR="00E00DDC" w:rsidRPr="00612653">
        <w:rPr>
          <w:rFonts w:ascii="Book Antiqua" w:hAnsi="Book Antiqua"/>
          <w:sz w:val="24"/>
          <w:szCs w:val="24"/>
          <w:lang w:val="en-US"/>
        </w:rPr>
        <w:t xml:space="preserve">various </w:t>
      </w:r>
      <w:r w:rsidRPr="00612653">
        <w:rPr>
          <w:rFonts w:ascii="Book Antiqua" w:hAnsi="Book Antiqua"/>
          <w:sz w:val="24"/>
          <w:szCs w:val="24"/>
          <w:lang w:val="en-US"/>
        </w:rPr>
        <w:t>d</w:t>
      </w:r>
      <w:r w:rsidR="00A8412D" w:rsidRPr="00612653">
        <w:rPr>
          <w:rFonts w:ascii="Book Antiqua" w:hAnsi="Book Antiqua"/>
          <w:sz w:val="24"/>
          <w:szCs w:val="24"/>
          <w:lang w:val="en-US"/>
        </w:rPr>
        <w:t xml:space="preserve">iet-induced obese mouse models </w:t>
      </w:r>
      <w:r w:rsidRPr="00612653">
        <w:rPr>
          <w:rFonts w:ascii="Book Antiqua" w:hAnsi="Book Antiqua"/>
          <w:sz w:val="24"/>
          <w:szCs w:val="24"/>
          <w:lang w:val="en-US"/>
        </w:rPr>
        <w:t xml:space="preserve">of NASH </w:t>
      </w:r>
      <w:r w:rsidR="00E00DDC" w:rsidRPr="00612653">
        <w:rPr>
          <w:rFonts w:ascii="Book Antiqua" w:hAnsi="Book Antiqua"/>
          <w:sz w:val="24"/>
          <w:szCs w:val="24"/>
          <w:lang w:val="en-US"/>
        </w:rPr>
        <w:t>are highly applicable</w:t>
      </w:r>
      <w:r w:rsidRPr="00612653">
        <w:rPr>
          <w:rFonts w:ascii="Book Antiqua" w:hAnsi="Book Antiqua"/>
          <w:sz w:val="24"/>
          <w:szCs w:val="24"/>
          <w:lang w:val="en-US"/>
        </w:rPr>
        <w:t xml:space="preserve"> in</w:t>
      </w:r>
      <w:r w:rsidR="00A8412D" w:rsidRPr="00612653">
        <w:rPr>
          <w:rFonts w:ascii="Book Antiqua" w:hAnsi="Book Antiqua"/>
          <w:sz w:val="24"/>
          <w:szCs w:val="24"/>
          <w:lang w:val="en-US"/>
        </w:rPr>
        <w:t xml:space="preserve"> preclinical drug development</w:t>
      </w:r>
      <w:r w:rsidRPr="00612653">
        <w:rPr>
          <w:rFonts w:ascii="Book Antiqua" w:hAnsi="Book Antiqua"/>
          <w:sz w:val="24"/>
          <w:szCs w:val="24"/>
          <w:lang w:val="en-US"/>
        </w:rPr>
        <w:t xml:space="preserve">, </w:t>
      </w:r>
      <w:r w:rsidR="00E00DDC" w:rsidRPr="00612653">
        <w:rPr>
          <w:rFonts w:ascii="Book Antiqua" w:hAnsi="Book Antiqua"/>
          <w:sz w:val="24"/>
          <w:szCs w:val="24"/>
          <w:lang w:val="en-US"/>
        </w:rPr>
        <w:t xml:space="preserve">none </w:t>
      </w:r>
      <w:r w:rsidR="00AD65D3" w:rsidRPr="00612653">
        <w:rPr>
          <w:rFonts w:ascii="Book Antiqua" w:hAnsi="Book Antiqua"/>
          <w:sz w:val="24"/>
          <w:szCs w:val="24"/>
          <w:lang w:val="en-US"/>
        </w:rPr>
        <w:t xml:space="preserve">of these models </w:t>
      </w:r>
      <w:r w:rsidR="00E00DDC" w:rsidRPr="00612653">
        <w:rPr>
          <w:rFonts w:ascii="Book Antiqua" w:hAnsi="Book Antiqua"/>
          <w:sz w:val="24"/>
          <w:szCs w:val="24"/>
          <w:lang w:val="en-US"/>
        </w:rPr>
        <w:t xml:space="preserve">have so far </w:t>
      </w:r>
      <w:r w:rsidRPr="00612653">
        <w:rPr>
          <w:rFonts w:ascii="Book Antiqua" w:hAnsi="Book Antiqua"/>
          <w:sz w:val="24"/>
          <w:szCs w:val="24"/>
          <w:lang w:val="en-US"/>
        </w:rPr>
        <w:t xml:space="preserve">been systematically evaluated </w:t>
      </w:r>
      <w:r w:rsidR="00E00DDC" w:rsidRPr="00612653">
        <w:rPr>
          <w:rFonts w:ascii="Book Antiqua" w:hAnsi="Book Antiqua"/>
          <w:sz w:val="24"/>
          <w:szCs w:val="24"/>
          <w:lang w:val="en-US"/>
        </w:rPr>
        <w:t xml:space="preserve">with respect to </w:t>
      </w:r>
      <w:r w:rsidR="005A7A90" w:rsidRPr="00612653">
        <w:rPr>
          <w:rFonts w:ascii="Book Antiqua" w:hAnsi="Book Antiqua"/>
          <w:sz w:val="24"/>
          <w:szCs w:val="24"/>
          <w:lang w:val="en-US"/>
        </w:rPr>
        <w:t xml:space="preserve">comparing individual </w:t>
      </w:r>
      <w:r w:rsidR="00E00DDC" w:rsidRPr="00612653">
        <w:rPr>
          <w:rFonts w:ascii="Book Antiqua" w:hAnsi="Book Antiqua"/>
          <w:sz w:val="24"/>
          <w:szCs w:val="24"/>
          <w:lang w:val="en-US"/>
        </w:rPr>
        <w:t>pharmacodynamics of</w:t>
      </w:r>
      <w:r w:rsidR="00AD65D3" w:rsidRPr="00612653">
        <w:rPr>
          <w:rFonts w:ascii="Book Antiqua" w:hAnsi="Book Antiqua"/>
          <w:sz w:val="24"/>
          <w:szCs w:val="24"/>
          <w:lang w:val="en-US"/>
        </w:rPr>
        <w:t xml:space="preserve"> several</w:t>
      </w:r>
      <w:r w:rsidR="00E00DDC" w:rsidRPr="00612653">
        <w:rPr>
          <w:rFonts w:ascii="Book Antiqua" w:hAnsi="Book Antiqua"/>
          <w:sz w:val="24"/>
          <w:szCs w:val="24"/>
          <w:lang w:val="en-US"/>
        </w:rPr>
        <w:t xml:space="preserve"> important compound classes in current clinical </w:t>
      </w:r>
      <w:r w:rsidR="005A7A90" w:rsidRPr="00612653">
        <w:rPr>
          <w:rFonts w:ascii="Book Antiqua" w:hAnsi="Book Antiqua"/>
          <w:sz w:val="24"/>
          <w:szCs w:val="24"/>
          <w:lang w:val="en-US"/>
        </w:rPr>
        <w:t>development</w:t>
      </w:r>
      <w:r w:rsidR="00E00DDC" w:rsidRPr="00612653">
        <w:rPr>
          <w:rFonts w:ascii="Book Antiqua" w:hAnsi="Book Antiqua"/>
          <w:sz w:val="24"/>
          <w:szCs w:val="24"/>
          <w:lang w:val="en-US"/>
        </w:rPr>
        <w:t xml:space="preserve"> for NASH.</w:t>
      </w:r>
    </w:p>
    <w:p w14:paraId="0656501A" w14:textId="77777777" w:rsidR="003409D8" w:rsidRPr="00612653" w:rsidRDefault="003409D8" w:rsidP="00082279">
      <w:pPr>
        <w:snapToGrid w:val="0"/>
        <w:spacing w:after="0" w:line="360" w:lineRule="auto"/>
        <w:jc w:val="both"/>
        <w:rPr>
          <w:rFonts w:ascii="Book Antiqua" w:hAnsi="Book Antiqua"/>
          <w:sz w:val="24"/>
          <w:szCs w:val="24"/>
          <w:lang w:val="en-US"/>
        </w:rPr>
      </w:pPr>
    </w:p>
    <w:p w14:paraId="384BA51A" w14:textId="77777777" w:rsidR="003409D8" w:rsidRPr="00612653" w:rsidRDefault="003409D8" w:rsidP="00082279">
      <w:pPr>
        <w:snapToGrid w:val="0"/>
        <w:spacing w:after="0" w:line="360" w:lineRule="auto"/>
        <w:jc w:val="both"/>
        <w:rPr>
          <w:rFonts w:ascii="Book Antiqua" w:hAnsi="Book Antiqua"/>
          <w:b/>
          <w:i/>
          <w:sz w:val="24"/>
          <w:szCs w:val="24"/>
          <w:lang w:val="en-US"/>
        </w:rPr>
      </w:pPr>
      <w:r w:rsidRPr="00612653">
        <w:rPr>
          <w:rFonts w:ascii="Book Antiqua" w:hAnsi="Book Antiqua"/>
          <w:b/>
          <w:i/>
          <w:sz w:val="24"/>
          <w:szCs w:val="24"/>
          <w:lang w:val="en-US"/>
        </w:rPr>
        <w:t>Research motivation</w:t>
      </w:r>
    </w:p>
    <w:p w14:paraId="09CAC714" w14:textId="4E87653D" w:rsidR="00E00DDC" w:rsidRPr="00612653" w:rsidRDefault="00E00DDC"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t xml:space="preserve">Comparison of preclinical treatment effects of potential anti-NASH compounds is </w:t>
      </w:r>
      <w:r w:rsidR="005A7A90" w:rsidRPr="00612653">
        <w:rPr>
          <w:rFonts w:ascii="Book Antiqua" w:hAnsi="Book Antiqua"/>
          <w:sz w:val="24"/>
          <w:szCs w:val="24"/>
          <w:lang w:val="en-US"/>
        </w:rPr>
        <w:t xml:space="preserve">currently </w:t>
      </w:r>
      <w:r w:rsidRPr="00612653">
        <w:rPr>
          <w:rFonts w:ascii="Book Antiqua" w:hAnsi="Book Antiqua"/>
          <w:sz w:val="24"/>
          <w:szCs w:val="24"/>
          <w:lang w:val="en-US"/>
        </w:rPr>
        <w:t xml:space="preserve">hampered by the absence of head-to-head pharmacological studies in experimental models of NASH. Moreover, baseline NASH disease heterogeneity is </w:t>
      </w:r>
      <w:r w:rsidR="006E4B7C" w:rsidRPr="00612653">
        <w:rPr>
          <w:rFonts w:ascii="Book Antiqua" w:hAnsi="Book Antiqua"/>
          <w:sz w:val="24"/>
          <w:szCs w:val="24"/>
          <w:lang w:val="en-US"/>
        </w:rPr>
        <w:t>often</w:t>
      </w:r>
      <w:r w:rsidRPr="00612653">
        <w:rPr>
          <w:rFonts w:ascii="Book Antiqua" w:hAnsi="Book Antiqua"/>
          <w:sz w:val="24"/>
          <w:szCs w:val="24"/>
          <w:lang w:val="en-US"/>
        </w:rPr>
        <w:t xml:space="preserve"> overlooked in pharmacological studies which may introduce unintentional variability in treatment responses, thereby narrow</w:t>
      </w:r>
      <w:r w:rsidR="00A61090" w:rsidRPr="00612653">
        <w:rPr>
          <w:rFonts w:ascii="Book Antiqua" w:hAnsi="Book Antiqua"/>
          <w:sz w:val="24"/>
          <w:szCs w:val="24"/>
          <w:lang w:val="en-US"/>
        </w:rPr>
        <w:t>ing</w:t>
      </w:r>
      <w:r w:rsidRPr="00612653">
        <w:rPr>
          <w:rFonts w:ascii="Book Antiqua" w:hAnsi="Book Antiqua"/>
          <w:sz w:val="24"/>
          <w:szCs w:val="24"/>
          <w:lang w:val="en-US"/>
        </w:rPr>
        <w:t xml:space="preserve"> the window for detection of therapeutic effects of potential anti-NASH compounds.</w:t>
      </w:r>
    </w:p>
    <w:p w14:paraId="10FF51C0" w14:textId="77777777" w:rsidR="003409D8" w:rsidRPr="00612653" w:rsidRDefault="003409D8" w:rsidP="00082279">
      <w:pPr>
        <w:snapToGrid w:val="0"/>
        <w:spacing w:after="0" w:line="360" w:lineRule="auto"/>
        <w:jc w:val="both"/>
        <w:rPr>
          <w:rFonts w:ascii="Book Antiqua" w:hAnsi="Book Antiqua"/>
          <w:b/>
          <w:sz w:val="24"/>
          <w:szCs w:val="24"/>
          <w:lang w:val="en-US"/>
        </w:rPr>
      </w:pPr>
    </w:p>
    <w:p w14:paraId="2DEFEDDF" w14:textId="77777777" w:rsidR="003409D8" w:rsidRPr="00612653" w:rsidRDefault="003409D8" w:rsidP="00082279">
      <w:pPr>
        <w:snapToGrid w:val="0"/>
        <w:spacing w:after="0" w:line="360" w:lineRule="auto"/>
        <w:jc w:val="both"/>
        <w:rPr>
          <w:rFonts w:ascii="Book Antiqua" w:hAnsi="Book Antiqua"/>
          <w:b/>
          <w:i/>
          <w:sz w:val="24"/>
          <w:szCs w:val="24"/>
          <w:lang w:val="en-US"/>
        </w:rPr>
      </w:pPr>
      <w:r w:rsidRPr="00612653">
        <w:rPr>
          <w:rFonts w:ascii="Book Antiqua" w:hAnsi="Book Antiqua"/>
          <w:b/>
          <w:i/>
          <w:sz w:val="24"/>
          <w:szCs w:val="24"/>
          <w:lang w:val="en-US"/>
        </w:rPr>
        <w:t>Research objectives</w:t>
      </w:r>
    </w:p>
    <w:p w14:paraId="5B7D5342" w14:textId="5267227A" w:rsidR="003409D8" w:rsidRPr="00612653" w:rsidRDefault="00DA3E71"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t xml:space="preserve">The present study aimed to characterize within-subject treatment responses </w:t>
      </w:r>
      <w:r w:rsidR="001825C4" w:rsidRPr="00612653">
        <w:rPr>
          <w:rFonts w:ascii="Book Antiqua" w:hAnsi="Book Antiqua"/>
          <w:sz w:val="24"/>
          <w:szCs w:val="24"/>
          <w:lang w:val="en-US"/>
        </w:rPr>
        <w:t xml:space="preserve">to </w:t>
      </w:r>
      <w:r w:rsidR="00A61090" w:rsidRPr="00612653">
        <w:rPr>
          <w:rFonts w:ascii="Book Antiqua" w:hAnsi="Book Antiqua"/>
          <w:sz w:val="24"/>
          <w:szCs w:val="24"/>
          <w:lang w:val="en-US"/>
        </w:rPr>
        <w:t>liraglutide, obeticholic acid and elafibranor in two obese mouse models of biopsy-confirmed NASH</w:t>
      </w:r>
      <w:r w:rsidRPr="00612653">
        <w:rPr>
          <w:rFonts w:ascii="Book Antiqua" w:hAnsi="Book Antiqua"/>
          <w:sz w:val="24"/>
          <w:szCs w:val="24"/>
          <w:lang w:val="en-US"/>
        </w:rPr>
        <w:t>.</w:t>
      </w:r>
    </w:p>
    <w:p w14:paraId="18721E3A" w14:textId="77777777" w:rsidR="00DA3E71" w:rsidRPr="00612653" w:rsidRDefault="00DA3E71" w:rsidP="00082279">
      <w:pPr>
        <w:snapToGrid w:val="0"/>
        <w:spacing w:after="0" w:line="360" w:lineRule="auto"/>
        <w:jc w:val="both"/>
        <w:rPr>
          <w:rFonts w:ascii="Book Antiqua" w:hAnsi="Book Antiqua"/>
          <w:b/>
          <w:sz w:val="24"/>
          <w:szCs w:val="24"/>
          <w:lang w:val="en-US"/>
        </w:rPr>
      </w:pPr>
    </w:p>
    <w:p w14:paraId="71EFFF6A" w14:textId="77777777" w:rsidR="003409D8" w:rsidRPr="00612653" w:rsidRDefault="003409D8" w:rsidP="00082279">
      <w:pPr>
        <w:snapToGrid w:val="0"/>
        <w:spacing w:after="0" w:line="360" w:lineRule="auto"/>
        <w:jc w:val="both"/>
        <w:rPr>
          <w:rFonts w:ascii="Book Antiqua" w:hAnsi="Book Antiqua"/>
          <w:b/>
          <w:i/>
          <w:sz w:val="24"/>
          <w:szCs w:val="24"/>
          <w:lang w:val="en-US"/>
        </w:rPr>
      </w:pPr>
      <w:r w:rsidRPr="00612653">
        <w:rPr>
          <w:rFonts w:ascii="Book Antiqua" w:hAnsi="Book Antiqua"/>
          <w:b/>
          <w:i/>
          <w:sz w:val="24"/>
          <w:szCs w:val="24"/>
          <w:lang w:val="en-US"/>
        </w:rPr>
        <w:t>Research methods</w:t>
      </w:r>
    </w:p>
    <w:p w14:paraId="1FB1593C" w14:textId="386BFC28" w:rsidR="003409D8" w:rsidRPr="00612653" w:rsidRDefault="006E4B7C"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t>Comparative treatment studies were conducted in male wild-type mice (DIO-NASH) and Lep</w:t>
      </w:r>
      <w:r w:rsidRPr="00612653">
        <w:rPr>
          <w:rFonts w:ascii="Book Antiqua" w:hAnsi="Book Antiqua"/>
          <w:i/>
          <w:sz w:val="24"/>
          <w:szCs w:val="24"/>
          <w:vertAlign w:val="superscript"/>
          <w:lang w:val="en-US"/>
        </w:rPr>
        <w:t>ob/ob</w:t>
      </w:r>
      <w:r w:rsidRPr="00612653">
        <w:rPr>
          <w:rFonts w:ascii="Book Antiqua" w:hAnsi="Book Antiqua"/>
          <w:sz w:val="24"/>
          <w:szCs w:val="24"/>
          <w:lang w:val="en-US"/>
        </w:rPr>
        <w:t xml:space="preserve"> (</w:t>
      </w:r>
      <w:r w:rsidRPr="00612653">
        <w:rPr>
          <w:rFonts w:ascii="Book Antiqua" w:hAnsi="Book Antiqua"/>
          <w:i/>
          <w:sz w:val="24"/>
          <w:szCs w:val="24"/>
          <w:lang w:val="en-US"/>
        </w:rPr>
        <w:t>ob/ob</w:t>
      </w:r>
      <w:r w:rsidRPr="00612653">
        <w:rPr>
          <w:rFonts w:ascii="Book Antiqua" w:hAnsi="Book Antiqua"/>
          <w:sz w:val="24"/>
          <w:szCs w:val="24"/>
          <w:lang w:val="en-US"/>
        </w:rPr>
        <w:t xml:space="preserve">-NASH) mice fed a diet high in trans-fat, fructose and cholesterol. </w:t>
      </w:r>
      <w:r w:rsidR="00F26BFA" w:rsidRPr="00612653">
        <w:rPr>
          <w:rFonts w:ascii="Book Antiqua" w:hAnsi="Book Antiqua"/>
          <w:sz w:val="24"/>
          <w:szCs w:val="24"/>
          <w:lang w:val="en-US"/>
        </w:rPr>
        <w:t>L</w:t>
      </w:r>
      <w:r w:rsidRPr="00612653">
        <w:rPr>
          <w:rFonts w:ascii="Book Antiqua" w:hAnsi="Book Antiqua"/>
          <w:sz w:val="24"/>
          <w:szCs w:val="24"/>
          <w:lang w:val="en-US"/>
        </w:rPr>
        <w:t xml:space="preserve">iver biopsy was applied </w:t>
      </w:r>
      <w:r w:rsidR="00A70E30" w:rsidRPr="00612653">
        <w:rPr>
          <w:rFonts w:ascii="Book Antiqua" w:hAnsi="Book Antiqua"/>
          <w:sz w:val="24"/>
          <w:szCs w:val="24"/>
          <w:lang w:val="en-US"/>
        </w:rPr>
        <w:t>for</w:t>
      </w:r>
      <w:r w:rsidRPr="00612653">
        <w:rPr>
          <w:rFonts w:ascii="Book Antiqua" w:hAnsi="Book Antiqua"/>
          <w:sz w:val="24"/>
          <w:szCs w:val="24"/>
          <w:lang w:val="en-US"/>
        </w:rPr>
        <w:t xml:space="preserve"> stratif</w:t>
      </w:r>
      <w:r w:rsidR="00A70E30" w:rsidRPr="00612653">
        <w:rPr>
          <w:rFonts w:ascii="Book Antiqua" w:hAnsi="Book Antiqua"/>
          <w:sz w:val="24"/>
          <w:szCs w:val="24"/>
          <w:lang w:val="en-US"/>
        </w:rPr>
        <w:t>ication of</w:t>
      </w:r>
      <w:r w:rsidRPr="00612653">
        <w:rPr>
          <w:rFonts w:ascii="Book Antiqua" w:hAnsi="Book Antiqua"/>
          <w:sz w:val="24"/>
          <w:szCs w:val="24"/>
          <w:lang w:val="en-US"/>
        </w:rPr>
        <w:t xml:space="preserve"> </w:t>
      </w:r>
      <w:r w:rsidR="00A70E30" w:rsidRPr="00612653">
        <w:rPr>
          <w:rFonts w:ascii="Book Antiqua" w:hAnsi="Book Antiqua"/>
          <w:sz w:val="24"/>
          <w:szCs w:val="24"/>
          <w:lang w:val="en-US"/>
        </w:rPr>
        <w:t xml:space="preserve">liver steatosis and fibrosis, using the nonalcoholic fatty liver disease activity score (NAS) and fibrosis staging system. Individual biopsy-confirmed histopathology also allowed for </w:t>
      </w:r>
      <w:r w:rsidR="00A67EC0" w:rsidRPr="00612653">
        <w:rPr>
          <w:rFonts w:ascii="Book Antiqua" w:hAnsi="Book Antiqua"/>
          <w:sz w:val="24"/>
          <w:szCs w:val="24"/>
          <w:lang w:val="en-US"/>
        </w:rPr>
        <w:t>evaluati</w:t>
      </w:r>
      <w:r w:rsidR="00A70E30" w:rsidRPr="00612653">
        <w:rPr>
          <w:rFonts w:ascii="Book Antiqua" w:hAnsi="Book Antiqua"/>
          <w:sz w:val="24"/>
          <w:szCs w:val="24"/>
          <w:lang w:val="en-US"/>
        </w:rPr>
        <w:t>on of</w:t>
      </w:r>
      <w:r w:rsidR="00A67EC0" w:rsidRPr="00612653">
        <w:rPr>
          <w:rFonts w:ascii="Book Antiqua" w:hAnsi="Book Antiqua"/>
          <w:sz w:val="24"/>
          <w:szCs w:val="24"/>
          <w:lang w:val="en-US"/>
        </w:rPr>
        <w:t xml:space="preserve"> </w:t>
      </w:r>
      <w:r w:rsidR="00F26BFA" w:rsidRPr="00612653">
        <w:rPr>
          <w:rFonts w:ascii="Book Antiqua" w:hAnsi="Book Antiqua"/>
          <w:sz w:val="24"/>
          <w:szCs w:val="24"/>
          <w:lang w:val="en-US"/>
        </w:rPr>
        <w:t>within-subject treatment responses based on differences in baseline vs.</w:t>
      </w:r>
      <w:r w:rsidR="00CD6701" w:rsidRPr="00612653">
        <w:rPr>
          <w:rFonts w:ascii="Book Antiqua" w:hAnsi="Book Antiqua"/>
          <w:sz w:val="24"/>
          <w:szCs w:val="24"/>
          <w:lang w:val="en-US"/>
        </w:rPr>
        <w:t xml:space="preserve"> endpoint histo</w:t>
      </w:r>
      <w:r w:rsidR="00F26BFA" w:rsidRPr="00612653">
        <w:rPr>
          <w:rFonts w:ascii="Book Antiqua" w:hAnsi="Book Antiqua"/>
          <w:sz w:val="24"/>
          <w:szCs w:val="24"/>
          <w:lang w:val="en-US"/>
        </w:rPr>
        <w:t>morphometry</w:t>
      </w:r>
      <w:r w:rsidRPr="00612653">
        <w:rPr>
          <w:rFonts w:ascii="Book Antiqua" w:hAnsi="Book Antiqua"/>
          <w:sz w:val="24"/>
          <w:szCs w:val="24"/>
          <w:lang w:val="en-US"/>
        </w:rPr>
        <w:t xml:space="preserve">. </w:t>
      </w:r>
      <w:r w:rsidR="00346586" w:rsidRPr="00612653">
        <w:rPr>
          <w:rFonts w:ascii="Book Antiqua" w:hAnsi="Book Antiqua"/>
          <w:sz w:val="24"/>
          <w:szCs w:val="24"/>
          <w:lang w:val="en-US"/>
        </w:rPr>
        <w:t xml:space="preserve">DIO-NASH and </w:t>
      </w:r>
      <w:r w:rsidR="00346586" w:rsidRPr="00612653">
        <w:rPr>
          <w:rFonts w:ascii="Book Antiqua" w:hAnsi="Book Antiqua"/>
          <w:i/>
          <w:sz w:val="24"/>
          <w:szCs w:val="24"/>
          <w:lang w:val="en-US"/>
        </w:rPr>
        <w:t>ob/ob</w:t>
      </w:r>
      <w:r w:rsidR="00346586" w:rsidRPr="00612653">
        <w:rPr>
          <w:rFonts w:ascii="Book Antiqua" w:hAnsi="Book Antiqua"/>
          <w:sz w:val="24"/>
          <w:szCs w:val="24"/>
          <w:lang w:val="en-US"/>
        </w:rPr>
        <w:t>-NASH mice were treated with vehicle, liraglutide, obeticholic acid, or elafibranor for 8 weeks. Metabolic, histomorphological and quantitative histological effects of each compound were compared in the two models of biopsy-confirmed NASH</w:t>
      </w:r>
      <w:r w:rsidR="00A67EC0" w:rsidRPr="00612653">
        <w:rPr>
          <w:rFonts w:ascii="Book Antiqua" w:hAnsi="Book Antiqua"/>
          <w:sz w:val="24"/>
          <w:szCs w:val="24"/>
          <w:lang w:val="en-US"/>
        </w:rPr>
        <w:t xml:space="preserve">. </w:t>
      </w:r>
    </w:p>
    <w:p w14:paraId="46C5136A" w14:textId="77777777" w:rsidR="00A67EC0" w:rsidRPr="00612653" w:rsidRDefault="00A67EC0" w:rsidP="00082279">
      <w:pPr>
        <w:snapToGrid w:val="0"/>
        <w:spacing w:after="0" w:line="360" w:lineRule="auto"/>
        <w:jc w:val="both"/>
        <w:rPr>
          <w:rFonts w:ascii="Book Antiqua" w:hAnsi="Book Antiqua"/>
          <w:sz w:val="24"/>
          <w:szCs w:val="24"/>
          <w:lang w:val="en-US"/>
        </w:rPr>
      </w:pPr>
    </w:p>
    <w:p w14:paraId="71B91388" w14:textId="77777777" w:rsidR="003409D8" w:rsidRPr="00612653" w:rsidRDefault="003409D8" w:rsidP="00082279">
      <w:pPr>
        <w:snapToGrid w:val="0"/>
        <w:spacing w:after="0" w:line="360" w:lineRule="auto"/>
        <w:jc w:val="both"/>
        <w:rPr>
          <w:rFonts w:ascii="Book Antiqua" w:hAnsi="Book Antiqua"/>
          <w:b/>
          <w:i/>
          <w:sz w:val="24"/>
          <w:szCs w:val="24"/>
          <w:lang w:val="en-US"/>
        </w:rPr>
      </w:pPr>
      <w:r w:rsidRPr="00612653">
        <w:rPr>
          <w:rFonts w:ascii="Book Antiqua" w:hAnsi="Book Antiqua"/>
          <w:b/>
          <w:i/>
          <w:sz w:val="24"/>
          <w:szCs w:val="24"/>
          <w:lang w:val="en-US"/>
        </w:rPr>
        <w:t>Research results</w:t>
      </w:r>
    </w:p>
    <w:p w14:paraId="32F01683" w14:textId="24D6752C" w:rsidR="00070E43" w:rsidRPr="00612653" w:rsidRDefault="00217271" w:rsidP="00082279">
      <w:pPr>
        <w:snapToGrid w:val="0"/>
        <w:spacing w:after="0" w:line="360" w:lineRule="auto"/>
        <w:ind w:left="1"/>
        <w:jc w:val="both"/>
        <w:rPr>
          <w:rFonts w:ascii="Book Antiqua" w:hAnsi="Book Antiqua"/>
          <w:sz w:val="24"/>
          <w:szCs w:val="24"/>
          <w:lang w:val="en-US"/>
        </w:rPr>
      </w:pPr>
      <w:r w:rsidRPr="00612653">
        <w:rPr>
          <w:rFonts w:ascii="Book Antiqua" w:hAnsi="Book Antiqua"/>
          <w:sz w:val="24"/>
          <w:szCs w:val="24"/>
          <w:lang w:val="en-US"/>
        </w:rPr>
        <w:lastRenderedPageBreak/>
        <w:t>Only l</w:t>
      </w:r>
      <w:r w:rsidR="00070E43" w:rsidRPr="00612653">
        <w:rPr>
          <w:rFonts w:ascii="Book Antiqua" w:hAnsi="Book Antiqua"/>
          <w:sz w:val="24"/>
          <w:szCs w:val="24"/>
          <w:lang w:val="en-US"/>
        </w:rPr>
        <w:t>iraglutide and elafibranor</w:t>
      </w:r>
      <w:r w:rsidRPr="00612653">
        <w:rPr>
          <w:rFonts w:ascii="Book Antiqua" w:hAnsi="Book Antiqua"/>
          <w:sz w:val="24"/>
          <w:szCs w:val="24"/>
          <w:lang w:val="en-US"/>
        </w:rPr>
        <w:t xml:space="preserve"> </w:t>
      </w:r>
      <w:r w:rsidR="00070E43" w:rsidRPr="00612653">
        <w:rPr>
          <w:rFonts w:ascii="Book Antiqua" w:hAnsi="Book Antiqua"/>
          <w:sz w:val="24"/>
          <w:szCs w:val="24"/>
          <w:lang w:val="en-US"/>
        </w:rPr>
        <w:t xml:space="preserve">reduced body weight in </w:t>
      </w:r>
      <w:r w:rsidRPr="00612653">
        <w:rPr>
          <w:rFonts w:ascii="Book Antiqua" w:hAnsi="Book Antiqua"/>
          <w:sz w:val="24"/>
          <w:szCs w:val="24"/>
          <w:lang w:val="en-US"/>
        </w:rPr>
        <w:t xml:space="preserve">DIO-NASH and </w:t>
      </w:r>
      <w:r w:rsidRPr="00612653">
        <w:rPr>
          <w:rFonts w:ascii="Book Antiqua" w:hAnsi="Book Antiqua"/>
          <w:i/>
          <w:sz w:val="24"/>
          <w:szCs w:val="24"/>
          <w:lang w:val="en-US"/>
        </w:rPr>
        <w:t>ob/ob</w:t>
      </w:r>
      <w:r w:rsidRPr="00612653">
        <w:rPr>
          <w:rFonts w:ascii="Book Antiqua" w:hAnsi="Book Antiqua"/>
          <w:sz w:val="24"/>
          <w:szCs w:val="24"/>
          <w:lang w:val="en-US"/>
        </w:rPr>
        <w:t>-NASH mice</w:t>
      </w:r>
      <w:r w:rsidR="00070E43" w:rsidRPr="00612653">
        <w:rPr>
          <w:rFonts w:ascii="Book Antiqua" w:hAnsi="Book Antiqua"/>
          <w:sz w:val="24"/>
          <w:szCs w:val="24"/>
          <w:lang w:val="en-US"/>
        </w:rPr>
        <w:t xml:space="preserve">. </w:t>
      </w:r>
      <w:r w:rsidR="0082783B" w:rsidRPr="00612653">
        <w:rPr>
          <w:rFonts w:ascii="Book Antiqua" w:hAnsi="Book Antiqua"/>
          <w:sz w:val="24"/>
          <w:szCs w:val="24"/>
          <w:lang w:val="en-US"/>
        </w:rPr>
        <w:t xml:space="preserve">Liraglutide improved steatosis scores in DIO-NASH mice only. </w:t>
      </w:r>
      <w:r w:rsidRPr="00612653">
        <w:rPr>
          <w:rFonts w:ascii="Book Antiqua" w:hAnsi="Book Antiqua"/>
          <w:sz w:val="24"/>
          <w:szCs w:val="24"/>
          <w:lang w:val="en-US"/>
        </w:rPr>
        <w:t>Whereas e</w:t>
      </w:r>
      <w:r w:rsidR="00070E43" w:rsidRPr="00612653">
        <w:rPr>
          <w:rFonts w:ascii="Book Antiqua" w:hAnsi="Book Antiqua"/>
          <w:sz w:val="24"/>
          <w:szCs w:val="24"/>
          <w:lang w:val="en-US"/>
        </w:rPr>
        <w:t>lafibranor and OCA</w:t>
      </w:r>
      <w:r w:rsidRPr="00612653">
        <w:rPr>
          <w:rFonts w:ascii="Book Antiqua" w:hAnsi="Book Antiqua"/>
          <w:sz w:val="24"/>
          <w:szCs w:val="24"/>
          <w:lang w:val="en-US"/>
        </w:rPr>
        <w:t xml:space="preserve"> both</w:t>
      </w:r>
      <w:r w:rsidR="00070E43" w:rsidRPr="00612653">
        <w:rPr>
          <w:rFonts w:ascii="Book Antiqua" w:hAnsi="Book Antiqua"/>
          <w:sz w:val="24"/>
          <w:szCs w:val="24"/>
          <w:lang w:val="en-US"/>
        </w:rPr>
        <w:t xml:space="preserve"> reduced hepatic steatosis and inflammation</w:t>
      </w:r>
      <w:r w:rsidRPr="00612653">
        <w:rPr>
          <w:rFonts w:ascii="Book Antiqua" w:hAnsi="Book Antiqua"/>
          <w:sz w:val="24"/>
          <w:szCs w:val="24"/>
          <w:lang w:val="en-US"/>
        </w:rPr>
        <w:t xml:space="preserve"> scores</w:t>
      </w:r>
      <w:r w:rsidR="0082783B" w:rsidRPr="00612653">
        <w:rPr>
          <w:rFonts w:ascii="Book Antiqua" w:hAnsi="Book Antiqua"/>
          <w:sz w:val="24"/>
          <w:szCs w:val="24"/>
          <w:lang w:val="en-US"/>
        </w:rPr>
        <w:t xml:space="preserve"> in both models</w:t>
      </w:r>
      <w:r w:rsidR="00070E43" w:rsidRPr="00612653">
        <w:rPr>
          <w:rFonts w:ascii="Book Antiqua" w:hAnsi="Book Antiqua"/>
          <w:sz w:val="24"/>
          <w:szCs w:val="24"/>
          <w:lang w:val="en-US"/>
        </w:rPr>
        <w:t xml:space="preserve">, only elafibranor </w:t>
      </w:r>
      <w:r w:rsidR="00B40ECC" w:rsidRPr="00612653">
        <w:rPr>
          <w:rFonts w:ascii="Book Antiqua" w:hAnsi="Book Antiqua"/>
          <w:sz w:val="24"/>
          <w:szCs w:val="24"/>
          <w:lang w:val="en-US"/>
        </w:rPr>
        <w:t xml:space="preserve">also </w:t>
      </w:r>
      <w:r w:rsidRPr="00612653">
        <w:rPr>
          <w:rFonts w:ascii="Book Antiqua" w:hAnsi="Book Antiqua"/>
          <w:sz w:val="24"/>
          <w:szCs w:val="24"/>
          <w:lang w:val="en-US"/>
        </w:rPr>
        <w:t xml:space="preserve">improved </w:t>
      </w:r>
      <w:r w:rsidR="00070E43" w:rsidRPr="00612653">
        <w:rPr>
          <w:rFonts w:ascii="Book Antiqua" w:hAnsi="Book Antiqua"/>
          <w:sz w:val="24"/>
          <w:szCs w:val="24"/>
          <w:lang w:val="en-US"/>
        </w:rPr>
        <w:t xml:space="preserve">fibrosis </w:t>
      </w:r>
      <w:r w:rsidRPr="00612653">
        <w:rPr>
          <w:rFonts w:ascii="Book Antiqua" w:hAnsi="Book Antiqua"/>
          <w:sz w:val="24"/>
          <w:szCs w:val="24"/>
          <w:lang w:val="en-US"/>
        </w:rPr>
        <w:t>stage</w:t>
      </w:r>
      <w:r w:rsidR="00070E43" w:rsidRPr="00612653">
        <w:rPr>
          <w:rFonts w:ascii="Book Antiqua" w:hAnsi="Book Antiqua"/>
          <w:sz w:val="24"/>
          <w:szCs w:val="24"/>
          <w:lang w:val="en-US"/>
        </w:rPr>
        <w:t xml:space="preserve">. </w:t>
      </w:r>
      <w:r w:rsidR="001B5C4A" w:rsidRPr="00612653">
        <w:rPr>
          <w:rFonts w:ascii="Book Antiqua" w:hAnsi="Book Antiqua"/>
          <w:sz w:val="24"/>
          <w:szCs w:val="24"/>
          <w:lang w:val="en-US"/>
        </w:rPr>
        <w:t xml:space="preserve">Owing to </w:t>
      </w:r>
      <w:r w:rsidR="00927065" w:rsidRPr="00612653">
        <w:rPr>
          <w:rFonts w:ascii="Book Antiqua" w:hAnsi="Book Antiqua"/>
          <w:sz w:val="24"/>
          <w:szCs w:val="24"/>
          <w:lang w:val="en-US"/>
        </w:rPr>
        <w:t>a</w:t>
      </w:r>
      <w:r w:rsidR="001B5C4A" w:rsidRPr="00612653">
        <w:rPr>
          <w:rFonts w:ascii="Book Antiqua" w:hAnsi="Book Antiqua"/>
          <w:sz w:val="24"/>
          <w:szCs w:val="24"/>
          <w:lang w:val="en-US"/>
        </w:rPr>
        <w:t xml:space="preserve"> marked reduction in liver weight,</w:t>
      </w:r>
      <w:r w:rsidR="00D21C74" w:rsidRPr="00612653">
        <w:rPr>
          <w:rFonts w:ascii="Book Antiqua" w:hAnsi="Book Antiqua"/>
          <w:sz w:val="24"/>
          <w:szCs w:val="24"/>
          <w:lang w:val="en-US"/>
        </w:rPr>
        <w:t xml:space="preserve"> liraglutide </w:t>
      </w:r>
      <w:r w:rsidR="00C76B07" w:rsidRPr="00612653">
        <w:rPr>
          <w:rFonts w:ascii="Book Antiqua" w:hAnsi="Book Antiqua"/>
          <w:sz w:val="24"/>
          <w:szCs w:val="24"/>
          <w:lang w:val="en-US"/>
        </w:rPr>
        <w:t xml:space="preserve">and OCA </w:t>
      </w:r>
      <w:r w:rsidR="001B5C4A" w:rsidRPr="00612653">
        <w:rPr>
          <w:rFonts w:ascii="Book Antiqua" w:hAnsi="Book Antiqua"/>
          <w:sz w:val="24"/>
          <w:szCs w:val="24"/>
          <w:lang w:val="en-US"/>
        </w:rPr>
        <w:t>lowered</w:t>
      </w:r>
      <w:r w:rsidR="00070E43" w:rsidRPr="00612653">
        <w:rPr>
          <w:rFonts w:ascii="Book Antiqua" w:hAnsi="Book Antiqua"/>
          <w:sz w:val="24"/>
          <w:szCs w:val="24"/>
          <w:lang w:val="en-US"/>
        </w:rPr>
        <w:t xml:space="preserve"> total </w:t>
      </w:r>
      <w:r w:rsidR="00D21C74" w:rsidRPr="00612653">
        <w:rPr>
          <w:rFonts w:ascii="Book Antiqua" w:hAnsi="Book Antiqua"/>
          <w:sz w:val="24"/>
          <w:szCs w:val="24"/>
          <w:lang w:val="en-US"/>
        </w:rPr>
        <w:t>liver fat, collagen 1a1 and ga</w:t>
      </w:r>
      <w:r w:rsidR="001B5C4A" w:rsidRPr="00612653">
        <w:rPr>
          <w:rFonts w:ascii="Book Antiqua" w:hAnsi="Book Antiqua"/>
          <w:sz w:val="24"/>
          <w:szCs w:val="24"/>
          <w:lang w:val="en-US"/>
        </w:rPr>
        <w:t>lectin-3 content. I</w:t>
      </w:r>
      <w:r w:rsidR="00070E43" w:rsidRPr="00612653">
        <w:rPr>
          <w:rFonts w:ascii="Book Antiqua" w:hAnsi="Book Antiqua"/>
          <w:sz w:val="24"/>
          <w:szCs w:val="24"/>
          <w:lang w:val="en-US"/>
        </w:rPr>
        <w:t>ndividual drug effects on NASH histological endpoints were supported by global gene expression (RNA sequencing) and liver lipid biochemistry.</w:t>
      </w:r>
    </w:p>
    <w:p w14:paraId="04A55E90" w14:textId="77777777" w:rsidR="003409D8" w:rsidRPr="00612653" w:rsidRDefault="003409D8" w:rsidP="00082279">
      <w:pPr>
        <w:snapToGrid w:val="0"/>
        <w:spacing w:after="0" w:line="360" w:lineRule="auto"/>
        <w:ind w:left="1"/>
        <w:jc w:val="both"/>
        <w:rPr>
          <w:rFonts w:ascii="Book Antiqua" w:hAnsi="Book Antiqua" w:cs="Segoe UI"/>
          <w:sz w:val="24"/>
          <w:szCs w:val="24"/>
          <w:shd w:val="clear" w:color="auto" w:fill="FFFFFF"/>
          <w:lang w:val="en-US"/>
        </w:rPr>
      </w:pPr>
    </w:p>
    <w:p w14:paraId="57295EBA" w14:textId="77777777" w:rsidR="003409D8" w:rsidRPr="00612653" w:rsidRDefault="003409D8" w:rsidP="00082279">
      <w:pPr>
        <w:snapToGrid w:val="0"/>
        <w:spacing w:after="0" w:line="360" w:lineRule="auto"/>
        <w:jc w:val="both"/>
        <w:rPr>
          <w:rFonts w:ascii="Book Antiqua" w:hAnsi="Book Antiqua" w:cs="Segoe UI"/>
          <w:b/>
          <w:i/>
          <w:sz w:val="24"/>
          <w:szCs w:val="24"/>
          <w:shd w:val="clear" w:color="auto" w:fill="FFFFFF"/>
          <w:lang w:val="en-US"/>
        </w:rPr>
      </w:pPr>
      <w:r w:rsidRPr="00612653">
        <w:rPr>
          <w:rFonts w:ascii="Book Antiqua" w:hAnsi="Book Antiqua"/>
          <w:b/>
          <w:i/>
          <w:sz w:val="24"/>
          <w:szCs w:val="24"/>
          <w:lang w:val="en-US"/>
        </w:rPr>
        <w:t>Research conclusions</w:t>
      </w:r>
    </w:p>
    <w:p w14:paraId="7D3DF6C6" w14:textId="21941DD1" w:rsidR="003409D8" w:rsidRPr="00612653" w:rsidRDefault="003029D5" w:rsidP="00082279">
      <w:pPr>
        <w:snapToGrid w:val="0"/>
        <w:spacing w:after="0" w:line="360" w:lineRule="auto"/>
        <w:jc w:val="both"/>
        <w:rPr>
          <w:rFonts w:ascii="Book Antiqua" w:hAnsi="Book Antiqua"/>
          <w:bCs/>
          <w:sz w:val="24"/>
          <w:szCs w:val="24"/>
          <w:lang w:val="en-US"/>
        </w:rPr>
      </w:pPr>
      <w:r w:rsidRPr="00612653">
        <w:rPr>
          <w:rFonts w:ascii="Book Antiqua" w:hAnsi="Book Antiqua"/>
          <w:sz w:val="24"/>
          <w:szCs w:val="24"/>
          <w:lang w:val="en-US"/>
        </w:rPr>
        <w:t xml:space="preserve">DIO-NASH and </w:t>
      </w:r>
      <w:r w:rsidRPr="00612653">
        <w:rPr>
          <w:rFonts w:ascii="Book Antiqua" w:hAnsi="Book Antiqua"/>
          <w:i/>
          <w:sz w:val="24"/>
          <w:szCs w:val="24"/>
          <w:lang w:val="en-US"/>
        </w:rPr>
        <w:t>ob/ob</w:t>
      </w:r>
      <w:r w:rsidRPr="00612653">
        <w:rPr>
          <w:rFonts w:ascii="Book Antiqua" w:hAnsi="Book Antiqua"/>
          <w:sz w:val="24"/>
          <w:szCs w:val="24"/>
          <w:lang w:val="en-US"/>
        </w:rPr>
        <w:t xml:space="preserve">-NASH mice show good </w:t>
      </w:r>
      <w:r w:rsidRPr="00612653">
        <w:rPr>
          <w:rFonts w:ascii="Book Antiqua" w:hAnsi="Book Antiqua"/>
          <w:bCs/>
          <w:sz w:val="24"/>
          <w:szCs w:val="24"/>
          <w:lang w:val="en-US"/>
        </w:rPr>
        <w:t xml:space="preserve">clinical translatability with respect to disease etiology, histopathology and </w:t>
      </w:r>
      <w:r w:rsidR="00B40ECC" w:rsidRPr="00612653">
        <w:rPr>
          <w:rFonts w:ascii="Book Antiqua" w:hAnsi="Book Antiqua"/>
          <w:bCs/>
          <w:sz w:val="24"/>
          <w:szCs w:val="24"/>
          <w:lang w:val="en-US"/>
        </w:rPr>
        <w:t>therapeutic</w:t>
      </w:r>
      <w:r w:rsidRPr="00612653">
        <w:rPr>
          <w:rFonts w:ascii="Book Antiqua" w:hAnsi="Book Antiqua"/>
          <w:bCs/>
          <w:sz w:val="24"/>
          <w:szCs w:val="24"/>
          <w:lang w:val="en-US"/>
        </w:rPr>
        <w:t xml:space="preserve"> effects of compounds in </w:t>
      </w:r>
      <w:r w:rsidR="00C76B07" w:rsidRPr="00612653">
        <w:rPr>
          <w:rFonts w:ascii="Book Antiqua" w:hAnsi="Book Antiqua"/>
          <w:bCs/>
          <w:sz w:val="24"/>
          <w:szCs w:val="24"/>
          <w:lang w:val="en-US"/>
        </w:rPr>
        <w:t xml:space="preserve">late-stage </w:t>
      </w:r>
      <w:r w:rsidRPr="00612653">
        <w:rPr>
          <w:rFonts w:ascii="Book Antiqua" w:hAnsi="Book Antiqua"/>
          <w:bCs/>
          <w:sz w:val="24"/>
          <w:szCs w:val="24"/>
          <w:lang w:val="en-US"/>
        </w:rPr>
        <w:t>clinical development for NASH.</w:t>
      </w:r>
      <w:r w:rsidR="00F671F6" w:rsidRPr="00612653">
        <w:rPr>
          <w:rFonts w:ascii="Book Antiqua" w:hAnsi="Book Antiqua"/>
          <w:bCs/>
          <w:sz w:val="24"/>
          <w:szCs w:val="24"/>
          <w:lang w:val="en-US"/>
        </w:rPr>
        <w:t xml:space="preserve"> </w:t>
      </w:r>
    </w:p>
    <w:p w14:paraId="47BBE14E" w14:textId="77777777" w:rsidR="003029D5" w:rsidRPr="00612653" w:rsidRDefault="003029D5" w:rsidP="00082279">
      <w:pPr>
        <w:snapToGrid w:val="0"/>
        <w:spacing w:after="0" w:line="360" w:lineRule="auto"/>
        <w:jc w:val="both"/>
        <w:rPr>
          <w:rFonts w:ascii="Book Antiqua" w:hAnsi="Book Antiqua" w:cs="Segoe UI"/>
          <w:sz w:val="24"/>
          <w:szCs w:val="24"/>
          <w:shd w:val="clear" w:color="auto" w:fill="FFFFFF"/>
          <w:lang w:val="en-US"/>
        </w:rPr>
      </w:pPr>
    </w:p>
    <w:p w14:paraId="4D30F394" w14:textId="77777777" w:rsidR="003409D8" w:rsidRPr="00612653" w:rsidRDefault="003409D8" w:rsidP="00082279">
      <w:pPr>
        <w:snapToGrid w:val="0"/>
        <w:spacing w:after="0" w:line="360" w:lineRule="auto"/>
        <w:rPr>
          <w:rFonts w:ascii="Book Antiqua" w:hAnsi="Book Antiqua" w:cs="Segoe UI"/>
          <w:b/>
          <w:i/>
          <w:sz w:val="24"/>
          <w:szCs w:val="24"/>
          <w:shd w:val="clear" w:color="auto" w:fill="FFFFFF"/>
          <w:lang w:val="en-US"/>
        </w:rPr>
      </w:pPr>
      <w:r w:rsidRPr="00612653">
        <w:rPr>
          <w:rFonts w:ascii="Book Antiqua" w:hAnsi="Book Antiqua" w:cs="Segoe UI"/>
          <w:b/>
          <w:i/>
          <w:sz w:val="24"/>
          <w:szCs w:val="24"/>
          <w:shd w:val="clear" w:color="auto" w:fill="FFFFFF"/>
          <w:lang w:val="en-US"/>
        </w:rPr>
        <w:t>Research perspectives</w:t>
      </w:r>
    </w:p>
    <w:p w14:paraId="1301EE42" w14:textId="14684713" w:rsidR="003409D8" w:rsidRPr="00612653" w:rsidRDefault="003029D5" w:rsidP="00082279">
      <w:pPr>
        <w:snapToGrid w:val="0"/>
        <w:spacing w:after="0" w:line="360" w:lineRule="auto"/>
        <w:jc w:val="both"/>
        <w:rPr>
          <w:rFonts w:ascii="Book Antiqua" w:hAnsi="Book Antiqua"/>
          <w:bCs/>
          <w:sz w:val="24"/>
          <w:szCs w:val="24"/>
          <w:lang w:val="en-US" w:eastAsia="zh-CN"/>
        </w:rPr>
      </w:pPr>
      <w:r w:rsidRPr="00612653">
        <w:rPr>
          <w:rFonts w:ascii="Book Antiqua" w:hAnsi="Book Antiqua"/>
          <w:bCs/>
          <w:sz w:val="24"/>
          <w:szCs w:val="24"/>
          <w:lang w:val="en-US"/>
        </w:rPr>
        <w:t xml:space="preserve">The present data supports the utility of </w:t>
      </w:r>
      <w:r w:rsidRPr="00612653">
        <w:rPr>
          <w:rFonts w:ascii="Book Antiqua" w:hAnsi="Book Antiqua"/>
          <w:sz w:val="24"/>
          <w:szCs w:val="24"/>
          <w:lang w:val="en-US"/>
        </w:rPr>
        <w:t xml:space="preserve">DIO-NASH and </w:t>
      </w:r>
      <w:r w:rsidRPr="00612653">
        <w:rPr>
          <w:rFonts w:ascii="Book Antiqua" w:hAnsi="Book Antiqua"/>
          <w:i/>
          <w:sz w:val="24"/>
          <w:szCs w:val="24"/>
          <w:lang w:val="en-US"/>
        </w:rPr>
        <w:t>ob/ob</w:t>
      </w:r>
      <w:r w:rsidRPr="00612653">
        <w:rPr>
          <w:rFonts w:ascii="Book Antiqua" w:hAnsi="Book Antiqua"/>
          <w:sz w:val="24"/>
          <w:szCs w:val="24"/>
          <w:lang w:val="en-US"/>
        </w:rPr>
        <w:t>-NASH mice for preclinical evaluation of the treatment efficacy of potential novel anti-NASH compounds.</w:t>
      </w:r>
      <w:r w:rsidR="00D90E4C" w:rsidRPr="00612653">
        <w:rPr>
          <w:rFonts w:ascii="Book Antiqua" w:hAnsi="Book Antiqua"/>
          <w:sz w:val="24"/>
          <w:szCs w:val="24"/>
          <w:lang w:val="en-US"/>
        </w:rPr>
        <w:t xml:space="preserve"> As also applied in </w:t>
      </w:r>
      <w:r w:rsidR="0098540E" w:rsidRPr="00612653">
        <w:rPr>
          <w:rFonts w:ascii="Book Antiqua" w:hAnsi="Book Antiqua"/>
          <w:sz w:val="24"/>
          <w:szCs w:val="24"/>
          <w:lang w:val="en-US"/>
        </w:rPr>
        <w:t>clinical trials for NASH</w:t>
      </w:r>
      <w:r w:rsidR="00D90E4C" w:rsidRPr="00612653">
        <w:rPr>
          <w:rFonts w:ascii="Book Antiqua" w:hAnsi="Book Antiqua"/>
          <w:sz w:val="24"/>
          <w:szCs w:val="24"/>
          <w:lang w:val="en-US"/>
        </w:rPr>
        <w:t>, b</w:t>
      </w:r>
      <w:r w:rsidR="00D90E4C" w:rsidRPr="00612653">
        <w:rPr>
          <w:rFonts w:ascii="Book Antiqua" w:hAnsi="Book Antiqua"/>
          <w:bCs/>
          <w:sz w:val="24"/>
          <w:szCs w:val="24"/>
          <w:lang w:val="en-US"/>
        </w:rPr>
        <w:t xml:space="preserve">iopsy-confirmed histopathology in the two obese mouse models of NASH allows for </w:t>
      </w:r>
      <w:r w:rsidR="005260CE" w:rsidRPr="00612653">
        <w:rPr>
          <w:rFonts w:ascii="Book Antiqua" w:hAnsi="Book Antiqua"/>
          <w:bCs/>
          <w:sz w:val="24"/>
          <w:szCs w:val="24"/>
          <w:lang w:val="en-US"/>
        </w:rPr>
        <w:t>stratification of disease severity prior to treatment start and improves detection of treatment efficacy of test compounds by considering</w:t>
      </w:r>
      <w:r w:rsidR="00D90E4C" w:rsidRPr="00612653">
        <w:rPr>
          <w:rFonts w:ascii="Book Antiqua" w:hAnsi="Book Antiqua"/>
          <w:bCs/>
          <w:sz w:val="24"/>
          <w:szCs w:val="24"/>
          <w:lang w:val="en-US"/>
        </w:rPr>
        <w:t xml:space="preserve"> within-subject </w:t>
      </w:r>
      <w:r w:rsidR="005260CE" w:rsidRPr="00612653">
        <w:rPr>
          <w:rFonts w:ascii="Book Antiqua" w:hAnsi="Book Antiqua"/>
          <w:bCs/>
          <w:sz w:val="24"/>
          <w:szCs w:val="24"/>
          <w:lang w:val="en-US"/>
        </w:rPr>
        <w:t>responses.</w:t>
      </w:r>
    </w:p>
    <w:p w14:paraId="60D192C5" w14:textId="77777777" w:rsidR="006F4A52" w:rsidRPr="00612653" w:rsidRDefault="006F4A52" w:rsidP="00082279">
      <w:pPr>
        <w:snapToGrid w:val="0"/>
        <w:spacing w:after="0" w:line="360" w:lineRule="auto"/>
        <w:jc w:val="both"/>
        <w:rPr>
          <w:rFonts w:ascii="Book Antiqua" w:hAnsi="Book Antiqua"/>
          <w:bCs/>
          <w:sz w:val="24"/>
          <w:szCs w:val="24"/>
          <w:lang w:val="en-US" w:eastAsia="zh-CN"/>
        </w:rPr>
      </w:pPr>
    </w:p>
    <w:p w14:paraId="6FE7C154" w14:textId="77777777" w:rsidR="006F4A52" w:rsidRPr="00612653" w:rsidRDefault="006F4A52" w:rsidP="006F4A52">
      <w:pPr>
        <w:snapToGrid w:val="0"/>
        <w:spacing w:after="0" w:line="360" w:lineRule="auto"/>
        <w:jc w:val="both"/>
        <w:rPr>
          <w:rFonts w:ascii="Book Antiqua" w:hAnsi="Book Antiqua"/>
          <w:b/>
          <w:bCs/>
          <w:sz w:val="24"/>
          <w:szCs w:val="24"/>
          <w:lang w:val="en-US"/>
        </w:rPr>
      </w:pPr>
      <w:r w:rsidRPr="00612653">
        <w:rPr>
          <w:rFonts w:ascii="Book Antiqua" w:hAnsi="Book Antiqua"/>
          <w:b/>
          <w:bCs/>
          <w:sz w:val="24"/>
          <w:szCs w:val="24"/>
          <w:lang w:val="en-US"/>
        </w:rPr>
        <w:t>ACKNOWLEDGEMENTS</w:t>
      </w:r>
    </w:p>
    <w:p w14:paraId="28F0AA21" w14:textId="13C319C0" w:rsidR="006F4A52" w:rsidRPr="00612653" w:rsidRDefault="006F4A52" w:rsidP="006F4A52">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t>The authors would like to thank Louise D</w:t>
      </w:r>
      <w:r w:rsidRPr="00612653">
        <w:rPr>
          <w:rFonts w:ascii="Book Antiqua" w:hAnsi="Book Antiqua"/>
          <w:sz w:val="24"/>
          <w:szCs w:val="24"/>
          <w:lang w:val="en-US" w:eastAsia="zh-CN"/>
        </w:rPr>
        <w:t xml:space="preserve"> </w:t>
      </w:r>
      <w:r w:rsidRPr="00612653">
        <w:rPr>
          <w:rFonts w:ascii="Book Antiqua" w:hAnsi="Book Antiqua"/>
          <w:sz w:val="24"/>
          <w:szCs w:val="24"/>
          <w:lang w:val="en-US"/>
        </w:rPr>
        <w:t>Fensholdt,</w:t>
      </w:r>
      <w:r w:rsidR="00407E18">
        <w:rPr>
          <w:rFonts w:ascii="Book Antiqua" w:hAnsi="Book Antiqua" w:hint="eastAsia"/>
          <w:sz w:val="24"/>
          <w:szCs w:val="24"/>
          <w:lang w:val="en-US" w:eastAsia="zh-CN"/>
        </w:rPr>
        <w:t xml:space="preserve"> </w:t>
      </w:r>
      <w:r w:rsidRPr="00612653">
        <w:rPr>
          <w:rFonts w:ascii="Book Antiqua" w:hAnsi="Book Antiqua"/>
          <w:sz w:val="24"/>
          <w:szCs w:val="24"/>
          <w:lang w:val="en-US"/>
        </w:rPr>
        <w:t xml:space="preserve">Dan Hemmingsen, Martin Illemann, Rasmus Lind and Chen Zhang for skillful technical assistance. </w:t>
      </w:r>
    </w:p>
    <w:p w14:paraId="62F86FD9" w14:textId="77777777" w:rsidR="006F4A52" w:rsidRPr="00407E18" w:rsidRDefault="006F4A52" w:rsidP="00082279">
      <w:pPr>
        <w:snapToGrid w:val="0"/>
        <w:spacing w:after="0" w:line="360" w:lineRule="auto"/>
        <w:jc w:val="both"/>
        <w:rPr>
          <w:rFonts w:ascii="Book Antiqua" w:hAnsi="Book Antiqua"/>
          <w:sz w:val="24"/>
          <w:szCs w:val="24"/>
          <w:lang w:val="en-US" w:eastAsia="zh-CN"/>
        </w:rPr>
      </w:pPr>
    </w:p>
    <w:p w14:paraId="35EECC21" w14:textId="77777777" w:rsidR="008F7BB8" w:rsidRPr="00612653" w:rsidRDefault="008F7BB8"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br w:type="page"/>
      </w:r>
    </w:p>
    <w:p w14:paraId="194C70A6" w14:textId="4AECCDFC" w:rsidR="004E73EB" w:rsidRPr="00612653" w:rsidRDefault="000B6884" w:rsidP="00082279">
      <w:pPr>
        <w:snapToGrid w:val="0"/>
        <w:spacing w:after="0" w:line="360" w:lineRule="auto"/>
        <w:jc w:val="both"/>
        <w:rPr>
          <w:rFonts w:ascii="Book Antiqua" w:hAnsi="Book Antiqua"/>
          <w:b/>
          <w:bCs/>
          <w:sz w:val="24"/>
          <w:szCs w:val="24"/>
          <w:lang w:val="en-US"/>
        </w:rPr>
      </w:pPr>
      <w:r w:rsidRPr="00612653">
        <w:rPr>
          <w:rFonts w:ascii="Book Antiqua" w:hAnsi="Book Antiqua"/>
          <w:b/>
          <w:bCs/>
          <w:sz w:val="24"/>
          <w:szCs w:val="24"/>
          <w:lang w:val="en-US"/>
        </w:rPr>
        <w:lastRenderedPageBreak/>
        <w:t>REFERENCES</w:t>
      </w:r>
    </w:p>
    <w:p w14:paraId="2A61D07A" w14:textId="202774DC"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1 </w:t>
      </w:r>
      <w:r w:rsidRPr="0079666F">
        <w:rPr>
          <w:rFonts w:ascii="Book Antiqua" w:eastAsia="SimSun" w:hAnsi="Book Antiqua" w:cs="Times New Roman"/>
          <w:b/>
          <w:kern w:val="2"/>
          <w:sz w:val="24"/>
          <w:szCs w:val="24"/>
          <w:lang w:val="en-US" w:eastAsia="zh-CN"/>
        </w:rPr>
        <w:t>Bedossa P</w:t>
      </w:r>
      <w:r w:rsidRPr="0079666F">
        <w:rPr>
          <w:rFonts w:ascii="Book Antiqua" w:eastAsia="SimSun" w:hAnsi="Book Antiqua" w:cs="Times New Roman"/>
          <w:kern w:val="2"/>
          <w:sz w:val="24"/>
          <w:szCs w:val="24"/>
          <w:lang w:val="en-US" w:eastAsia="zh-CN"/>
        </w:rPr>
        <w:t>.</w:t>
      </w:r>
      <w:r w:rsidR="004538F9">
        <w:rPr>
          <w:rFonts w:ascii="Book Antiqua" w:eastAsia="SimSun" w:hAnsi="Book Antiqua" w:cs="Times New Roman" w:hint="eastAsia"/>
          <w:kern w:val="2"/>
          <w:sz w:val="24"/>
          <w:szCs w:val="24"/>
          <w:lang w:val="en-US" w:eastAsia="zh-CN"/>
        </w:rPr>
        <w:t xml:space="preserve"> </w:t>
      </w:r>
      <w:r w:rsidRPr="0079666F">
        <w:rPr>
          <w:rFonts w:ascii="Book Antiqua" w:eastAsia="SimSun" w:hAnsi="Book Antiqua" w:cs="Times New Roman"/>
          <w:kern w:val="2"/>
          <w:sz w:val="24"/>
          <w:szCs w:val="24"/>
          <w:lang w:val="en-US" w:eastAsia="zh-CN"/>
        </w:rPr>
        <w:t xml:space="preserve">Pathology of non-alcoholic fatty liver disease. </w:t>
      </w:r>
      <w:r w:rsidRPr="0079666F">
        <w:rPr>
          <w:rFonts w:ascii="Book Antiqua" w:eastAsia="SimSun" w:hAnsi="Book Antiqua" w:cs="Times New Roman"/>
          <w:i/>
          <w:kern w:val="2"/>
          <w:sz w:val="24"/>
          <w:szCs w:val="24"/>
          <w:lang w:val="en-US" w:eastAsia="zh-CN"/>
        </w:rPr>
        <w:t>Liver Int</w:t>
      </w:r>
      <w:r w:rsidRPr="0079666F">
        <w:rPr>
          <w:rFonts w:ascii="Book Antiqua" w:eastAsia="SimSun" w:hAnsi="Book Antiqua" w:cs="Times New Roman"/>
          <w:kern w:val="2"/>
          <w:sz w:val="24"/>
          <w:szCs w:val="24"/>
          <w:lang w:val="en-US" w:eastAsia="zh-CN"/>
        </w:rPr>
        <w:t xml:space="preserve"> 2017; </w:t>
      </w:r>
      <w:r w:rsidRPr="0079666F">
        <w:rPr>
          <w:rFonts w:ascii="Book Antiqua" w:eastAsia="SimSun" w:hAnsi="Book Antiqua" w:cs="Times New Roman"/>
          <w:b/>
          <w:kern w:val="2"/>
          <w:sz w:val="24"/>
          <w:szCs w:val="24"/>
          <w:lang w:val="en-US" w:eastAsia="zh-CN"/>
        </w:rPr>
        <w:t>37 Suppl 1</w:t>
      </w:r>
      <w:r w:rsidRPr="0079666F">
        <w:rPr>
          <w:rFonts w:ascii="Book Antiqua" w:eastAsia="SimSun" w:hAnsi="Book Antiqua" w:cs="Times New Roman"/>
          <w:kern w:val="2"/>
          <w:sz w:val="24"/>
          <w:szCs w:val="24"/>
          <w:lang w:val="en-US" w:eastAsia="zh-CN"/>
        </w:rPr>
        <w:t>: 85-89 [PMID: 28052629 DOI: 10.1111/liv.13301]</w:t>
      </w:r>
    </w:p>
    <w:p w14:paraId="05879D2F"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2 </w:t>
      </w:r>
      <w:r w:rsidRPr="0079666F">
        <w:rPr>
          <w:rFonts w:ascii="Book Antiqua" w:eastAsia="SimSun" w:hAnsi="Book Antiqua" w:cs="Times New Roman"/>
          <w:b/>
          <w:kern w:val="2"/>
          <w:sz w:val="24"/>
          <w:szCs w:val="24"/>
          <w:lang w:val="en-US" w:eastAsia="zh-CN"/>
        </w:rPr>
        <w:t>Rosso N</w:t>
      </w:r>
      <w:r w:rsidRPr="0079666F">
        <w:rPr>
          <w:rFonts w:ascii="Book Antiqua" w:eastAsia="SimSun" w:hAnsi="Book Antiqua" w:cs="Times New Roman"/>
          <w:kern w:val="2"/>
          <w:sz w:val="24"/>
          <w:szCs w:val="24"/>
          <w:lang w:val="en-US" w:eastAsia="zh-CN"/>
        </w:rPr>
        <w:t xml:space="preserve">, Chavez-Tapia NC, Tiribelli C, Bellentani S. Translational approaches: from fatty liver to non-alcoholic steatohepatitis. </w:t>
      </w:r>
      <w:r w:rsidRPr="0079666F">
        <w:rPr>
          <w:rFonts w:ascii="Book Antiqua" w:eastAsia="SimSun" w:hAnsi="Book Antiqua" w:cs="Times New Roman"/>
          <w:i/>
          <w:kern w:val="2"/>
          <w:sz w:val="24"/>
          <w:szCs w:val="24"/>
          <w:lang w:val="en-US" w:eastAsia="zh-CN"/>
        </w:rPr>
        <w:t>World J Gastroenterol</w:t>
      </w:r>
      <w:r w:rsidRPr="0079666F">
        <w:rPr>
          <w:rFonts w:ascii="Book Antiqua" w:eastAsia="SimSun" w:hAnsi="Book Antiqua" w:cs="Times New Roman"/>
          <w:kern w:val="2"/>
          <w:sz w:val="24"/>
          <w:szCs w:val="24"/>
          <w:lang w:val="en-US" w:eastAsia="zh-CN"/>
        </w:rPr>
        <w:t xml:space="preserve"> 2014; </w:t>
      </w:r>
      <w:r w:rsidRPr="0079666F">
        <w:rPr>
          <w:rFonts w:ascii="Book Antiqua" w:eastAsia="SimSun" w:hAnsi="Book Antiqua" w:cs="Times New Roman"/>
          <w:b/>
          <w:kern w:val="2"/>
          <w:sz w:val="24"/>
          <w:szCs w:val="24"/>
          <w:lang w:val="en-US" w:eastAsia="zh-CN"/>
        </w:rPr>
        <w:t>20</w:t>
      </w:r>
      <w:r w:rsidRPr="0079666F">
        <w:rPr>
          <w:rFonts w:ascii="Book Antiqua" w:eastAsia="SimSun" w:hAnsi="Book Antiqua" w:cs="Times New Roman"/>
          <w:kern w:val="2"/>
          <w:sz w:val="24"/>
          <w:szCs w:val="24"/>
          <w:lang w:val="en-US" w:eastAsia="zh-CN"/>
        </w:rPr>
        <w:t>: 9038-9049 [PMID: 25083077 DOI: 10.3748/wjg.v20.i27.9038]</w:t>
      </w:r>
    </w:p>
    <w:p w14:paraId="3EA5C4C7"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3 </w:t>
      </w:r>
      <w:r w:rsidRPr="0079666F">
        <w:rPr>
          <w:rFonts w:ascii="Book Antiqua" w:eastAsia="SimSun" w:hAnsi="Book Antiqua" w:cs="Times New Roman"/>
          <w:b/>
          <w:kern w:val="2"/>
          <w:sz w:val="24"/>
          <w:szCs w:val="24"/>
          <w:lang w:val="en-US" w:eastAsia="zh-CN"/>
        </w:rPr>
        <w:t>Berlanga A</w:t>
      </w:r>
      <w:r w:rsidRPr="0079666F">
        <w:rPr>
          <w:rFonts w:ascii="Book Antiqua" w:eastAsia="SimSun" w:hAnsi="Book Antiqua" w:cs="Times New Roman"/>
          <w:kern w:val="2"/>
          <w:sz w:val="24"/>
          <w:szCs w:val="24"/>
          <w:lang w:val="en-US" w:eastAsia="zh-CN"/>
        </w:rPr>
        <w:t xml:space="preserve">, Guiu-Jurado E, Porras JA, Auguet T. Molecular pathways in non-alcoholic fatty liver disease. </w:t>
      </w:r>
      <w:r w:rsidRPr="0079666F">
        <w:rPr>
          <w:rFonts w:ascii="Book Antiqua" w:eastAsia="SimSun" w:hAnsi="Book Antiqua" w:cs="Times New Roman"/>
          <w:i/>
          <w:kern w:val="2"/>
          <w:sz w:val="24"/>
          <w:szCs w:val="24"/>
          <w:lang w:val="en-US" w:eastAsia="zh-CN"/>
        </w:rPr>
        <w:t>Clin Exp Gastroenterol</w:t>
      </w:r>
      <w:r w:rsidRPr="0079666F">
        <w:rPr>
          <w:rFonts w:ascii="Book Antiqua" w:eastAsia="SimSun" w:hAnsi="Book Antiqua" w:cs="Times New Roman"/>
          <w:kern w:val="2"/>
          <w:sz w:val="24"/>
          <w:szCs w:val="24"/>
          <w:lang w:val="en-US" w:eastAsia="zh-CN"/>
        </w:rPr>
        <w:t xml:space="preserve"> 2014; </w:t>
      </w:r>
      <w:r w:rsidRPr="0079666F">
        <w:rPr>
          <w:rFonts w:ascii="Book Antiqua" w:eastAsia="SimSun" w:hAnsi="Book Antiqua" w:cs="Times New Roman"/>
          <w:b/>
          <w:kern w:val="2"/>
          <w:sz w:val="24"/>
          <w:szCs w:val="24"/>
          <w:lang w:val="en-US" w:eastAsia="zh-CN"/>
        </w:rPr>
        <w:t>7</w:t>
      </w:r>
      <w:r w:rsidRPr="0079666F">
        <w:rPr>
          <w:rFonts w:ascii="Book Antiqua" w:eastAsia="SimSun" w:hAnsi="Book Antiqua" w:cs="Times New Roman"/>
          <w:kern w:val="2"/>
          <w:sz w:val="24"/>
          <w:szCs w:val="24"/>
          <w:lang w:val="en-US" w:eastAsia="zh-CN"/>
        </w:rPr>
        <w:t>: 221-239 [PMID: 25045276 DOI: 10.2147/CEG.S62831]</w:t>
      </w:r>
    </w:p>
    <w:p w14:paraId="787AE2AD"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4 </w:t>
      </w:r>
      <w:r w:rsidRPr="0079666F">
        <w:rPr>
          <w:rFonts w:ascii="Book Antiqua" w:eastAsia="SimSun" w:hAnsi="Book Antiqua" w:cs="Times New Roman"/>
          <w:b/>
          <w:kern w:val="2"/>
          <w:sz w:val="24"/>
          <w:szCs w:val="24"/>
          <w:lang w:val="en-US" w:eastAsia="zh-CN"/>
        </w:rPr>
        <w:t>Sutti S</w:t>
      </w:r>
      <w:r w:rsidRPr="0079666F">
        <w:rPr>
          <w:rFonts w:ascii="Book Antiqua" w:eastAsia="SimSun" w:hAnsi="Book Antiqua" w:cs="Times New Roman"/>
          <w:kern w:val="2"/>
          <w:sz w:val="24"/>
          <w:szCs w:val="24"/>
          <w:lang w:val="en-US" w:eastAsia="zh-CN"/>
        </w:rPr>
        <w:t xml:space="preserve">, Jindal A, Bruzzì S, Locatelli I, Bozzola C, Albano E. Is there a role for adaptive immunity in nonalcoholic steatohepatitis? </w:t>
      </w:r>
      <w:r w:rsidRPr="0079666F">
        <w:rPr>
          <w:rFonts w:ascii="Book Antiqua" w:eastAsia="SimSun" w:hAnsi="Book Antiqua" w:cs="Times New Roman"/>
          <w:i/>
          <w:kern w:val="2"/>
          <w:sz w:val="24"/>
          <w:szCs w:val="24"/>
          <w:lang w:val="en-US" w:eastAsia="zh-CN"/>
        </w:rPr>
        <w:t>World J Hepatol</w:t>
      </w:r>
      <w:r w:rsidRPr="0079666F">
        <w:rPr>
          <w:rFonts w:ascii="Book Antiqua" w:eastAsia="SimSun" w:hAnsi="Book Antiqua" w:cs="Times New Roman"/>
          <w:kern w:val="2"/>
          <w:sz w:val="24"/>
          <w:szCs w:val="24"/>
          <w:lang w:val="en-US" w:eastAsia="zh-CN"/>
        </w:rPr>
        <w:t xml:space="preserve"> 2015; </w:t>
      </w:r>
      <w:r w:rsidRPr="0079666F">
        <w:rPr>
          <w:rFonts w:ascii="Book Antiqua" w:eastAsia="SimSun" w:hAnsi="Book Antiqua" w:cs="Times New Roman"/>
          <w:b/>
          <w:kern w:val="2"/>
          <w:sz w:val="24"/>
          <w:szCs w:val="24"/>
          <w:lang w:val="en-US" w:eastAsia="zh-CN"/>
        </w:rPr>
        <w:t>7</w:t>
      </w:r>
      <w:r w:rsidRPr="0079666F">
        <w:rPr>
          <w:rFonts w:ascii="Book Antiqua" w:eastAsia="SimSun" w:hAnsi="Book Antiqua" w:cs="Times New Roman"/>
          <w:kern w:val="2"/>
          <w:sz w:val="24"/>
          <w:szCs w:val="24"/>
          <w:lang w:val="en-US" w:eastAsia="zh-CN"/>
        </w:rPr>
        <w:t>: 1725-1729 [PMID: 26167244 DOI: 10.4254/wjh.v7.i13.1725]</w:t>
      </w:r>
    </w:p>
    <w:p w14:paraId="1D5705A1"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5 </w:t>
      </w:r>
      <w:r w:rsidRPr="0079666F">
        <w:rPr>
          <w:rFonts w:ascii="Book Antiqua" w:eastAsia="SimSun" w:hAnsi="Book Antiqua" w:cs="Times New Roman"/>
          <w:b/>
          <w:kern w:val="2"/>
          <w:sz w:val="24"/>
          <w:szCs w:val="24"/>
          <w:lang w:val="en-US" w:eastAsia="zh-CN"/>
        </w:rPr>
        <w:t>Ganz M</w:t>
      </w:r>
      <w:r w:rsidRPr="0079666F">
        <w:rPr>
          <w:rFonts w:ascii="Book Antiqua" w:eastAsia="SimSun" w:hAnsi="Book Antiqua" w:cs="Times New Roman"/>
          <w:kern w:val="2"/>
          <w:sz w:val="24"/>
          <w:szCs w:val="24"/>
          <w:lang w:val="en-US" w:eastAsia="zh-CN"/>
        </w:rPr>
        <w:t xml:space="preserve">, Szabo G. Immune and inflammatory pathways in NASH. </w:t>
      </w:r>
      <w:r w:rsidRPr="0079666F">
        <w:rPr>
          <w:rFonts w:ascii="Book Antiqua" w:eastAsia="SimSun" w:hAnsi="Book Antiqua" w:cs="Times New Roman"/>
          <w:i/>
          <w:kern w:val="2"/>
          <w:sz w:val="24"/>
          <w:szCs w:val="24"/>
          <w:lang w:val="en-US" w:eastAsia="zh-CN"/>
        </w:rPr>
        <w:t>Hepatol Int</w:t>
      </w:r>
      <w:r w:rsidRPr="0079666F">
        <w:rPr>
          <w:rFonts w:ascii="Book Antiqua" w:eastAsia="SimSun" w:hAnsi="Book Antiqua" w:cs="Times New Roman"/>
          <w:kern w:val="2"/>
          <w:sz w:val="24"/>
          <w:szCs w:val="24"/>
          <w:lang w:val="en-US" w:eastAsia="zh-CN"/>
        </w:rPr>
        <w:t xml:space="preserve"> 2013; </w:t>
      </w:r>
      <w:r w:rsidRPr="0079666F">
        <w:rPr>
          <w:rFonts w:ascii="Book Antiqua" w:eastAsia="SimSun" w:hAnsi="Book Antiqua" w:cs="Times New Roman"/>
          <w:b/>
          <w:kern w:val="2"/>
          <w:sz w:val="24"/>
          <w:szCs w:val="24"/>
          <w:lang w:val="en-US" w:eastAsia="zh-CN"/>
        </w:rPr>
        <w:t>7 Suppl 2</w:t>
      </w:r>
      <w:r w:rsidRPr="0079666F">
        <w:rPr>
          <w:rFonts w:ascii="Book Antiqua" w:eastAsia="SimSun" w:hAnsi="Book Antiqua" w:cs="Times New Roman"/>
          <w:kern w:val="2"/>
          <w:sz w:val="24"/>
          <w:szCs w:val="24"/>
          <w:lang w:val="en-US" w:eastAsia="zh-CN"/>
        </w:rPr>
        <w:t>: 771-781 [PMID: 24587847 DOI: 10.1007/s12072-013-9468-6]</w:t>
      </w:r>
    </w:p>
    <w:p w14:paraId="2E7FB1DA"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6 </w:t>
      </w:r>
      <w:r w:rsidRPr="0079666F">
        <w:rPr>
          <w:rFonts w:ascii="Book Antiqua" w:eastAsia="SimSun" w:hAnsi="Book Antiqua" w:cs="Times New Roman"/>
          <w:b/>
          <w:kern w:val="2"/>
          <w:sz w:val="24"/>
          <w:szCs w:val="24"/>
          <w:lang w:val="en-US" w:eastAsia="zh-CN"/>
        </w:rPr>
        <w:t>Younossi ZM</w:t>
      </w:r>
      <w:r w:rsidRPr="0079666F">
        <w:rPr>
          <w:rFonts w:ascii="Book Antiqua" w:eastAsia="SimSun" w:hAnsi="Book Antiqua" w:cs="Times New Roman"/>
          <w:kern w:val="2"/>
          <w:sz w:val="24"/>
          <w:szCs w:val="24"/>
          <w:lang w:val="en-US" w:eastAsia="zh-CN"/>
        </w:rPr>
        <w:t xml:space="preserve">, Koenig AB, Abdelatif D, Fazel Y, Henry L, Wymer M. Global epidemiology of nonalcoholic fatty liver disease-Meta-analytic assessment of prevalence, incidence, and outcomes. </w:t>
      </w:r>
      <w:r w:rsidRPr="0079666F">
        <w:rPr>
          <w:rFonts w:ascii="Book Antiqua" w:eastAsia="SimSun" w:hAnsi="Book Antiqua" w:cs="Times New Roman"/>
          <w:i/>
          <w:kern w:val="2"/>
          <w:sz w:val="24"/>
          <w:szCs w:val="24"/>
          <w:lang w:val="en-US" w:eastAsia="zh-CN"/>
        </w:rPr>
        <w:t>Hepatology</w:t>
      </w:r>
      <w:r w:rsidRPr="0079666F">
        <w:rPr>
          <w:rFonts w:ascii="Book Antiqua" w:eastAsia="SimSun" w:hAnsi="Book Antiqua" w:cs="Times New Roman"/>
          <w:kern w:val="2"/>
          <w:sz w:val="24"/>
          <w:szCs w:val="24"/>
          <w:lang w:val="en-US" w:eastAsia="zh-CN"/>
        </w:rPr>
        <w:t xml:space="preserve"> 2016; </w:t>
      </w:r>
      <w:r w:rsidRPr="0079666F">
        <w:rPr>
          <w:rFonts w:ascii="Book Antiqua" w:eastAsia="SimSun" w:hAnsi="Book Antiqua" w:cs="Times New Roman"/>
          <w:b/>
          <w:kern w:val="2"/>
          <w:sz w:val="24"/>
          <w:szCs w:val="24"/>
          <w:lang w:val="en-US" w:eastAsia="zh-CN"/>
        </w:rPr>
        <w:t>64</w:t>
      </w:r>
      <w:r w:rsidRPr="0079666F">
        <w:rPr>
          <w:rFonts w:ascii="Book Antiqua" w:eastAsia="SimSun" w:hAnsi="Book Antiqua" w:cs="Times New Roman"/>
          <w:kern w:val="2"/>
          <w:sz w:val="24"/>
          <w:szCs w:val="24"/>
          <w:lang w:val="en-US" w:eastAsia="zh-CN"/>
        </w:rPr>
        <w:t>: 73-84 [PMID: 26707365 DOI: 10.1002/hep.28431]</w:t>
      </w:r>
    </w:p>
    <w:p w14:paraId="73D6D328"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7 </w:t>
      </w:r>
      <w:r w:rsidRPr="0079666F">
        <w:rPr>
          <w:rFonts w:ascii="Book Antiqua" w:eastAsia="SimSun" w:hAnsi="Book Antiqua" w:cs="Times New Roman"/>
          <w:b/>
          <w:kern w:val="2"/>
          <w:sz w:val="24"/>
          <w:szCs w:val="24"/>
          <w:lang w:val="en-US" w:eastAsia="zh-CN"/>
        </w:rPr>
        <w:t>Rotman Y</w:t>
      </w:r>
      <w:r w:rsidRPr="0079666F">
        <w:rPr>
          <w:rFonts w:ascii="Book Antiqua" w:eastAsia="SimSun" w:hAnsi="Book Antiqua" w:cs="Times New Roman"/>
          <w:kern w:val="2"/>
          <w:sz w:val="24"/>
          <w:szCs w:val="24"/>
          <w:lang w:val="en-US" w:eastAsia="zh-CN"/>
        </w:rPr>
        <w:t xml:space="preserve">, Sanyal AJ. Current and upcoming pharmacotherapy for non-alcoholic fatty liver disease. </w:t>
      </w:r>
      <w:r w:rsidRPr="0079666F">
        <w:rPr>
          <w:rFonts w:ascii="Book Antiqua" w:eastAsia="SimSun" w:hAnsi="Book Antiqua" w:cs="Times New Roman"/>
          <w:i/>
          <w:kern w:val="2"/>
          <w:sz w:val="24"/>
          <w:szCs w:val="24"/>
          <w:lang w:val="en-US" w:eastAsia="zh-CN"/>
        </w:rPr>
        <w:t>Gut</w:t>
      </w:r>
      <w:r w:rsidRPr="0079666F">
        <w:rPr>
          <w:rFonts w:ascii="Book Antiqua" w:eastAsia="SimSun" w:hAnsi="Book Antiqua" w:cs="Times New Roman"/>
          <w:kern w:val="2"/>
          <w:sz w:val="24"/>
          <w:szCs w:val="24"/>
          <w:lang w:val="en-US" w:eastAsia="zh-CN"/>
        </w:rPr>
        <w:t xml:space="preserve"> 2017; </w:t>
      </w:r>
      <w:r w:rsidRPr="0079666F">
        <w:rPr>
          <w:rFonts w:ascii="Book Antiqua" w:eastAsia="SimSun" w:hAnsi="Book Antiqua" w:cs="Times New Roman"/>
          <w:b/>
          <w:kern w:val="2"/>
          <w:sz w:val="24"/>
          <w:szCs w:val="24"/>
          <w:lang w:val="en-US" w:eastAsia="zh-CN"/>
        </w:rPr>
        <w:t>66</w:t>
      </w:r>
      <w:r w:rsidRPr="0079666F">
        <w:rPr>
          <w:rFonts w:ascii="Book Antiqua" w:eastAsia="SimSun" w:hAnsi="Book Antiqua" w:cs="Times New Roman"/>
          <w:kern w:val="2"/>
          <w:sz w:val="24"/>
          <w:szCs w:val="24"/>
          <w:lang w:val="en-US" w:eastAsia="zh-CN"/>
        </w:rPr>
        <w:t>: 180-190 [PMID: 27646933 DOI: 10.1136/gutjnl-2016-312431]</w:t>
      </w:r>
    </w:p>
    <w:p w14:paraId="136F9301"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8 </w:t>
      </w:r>
      <w:r w:rsidRPr="0079666F">
        <w:rPr>
          <w:rFonts w:ascii="Book Antiqua" w:eastAsia="SimSun" w:hAnsi="Book Antiqua" w:cs="Times New Roman"/>
          <w:b/>
          <w:kern w:val="2"/>
          <w:sz w:val="24"/>
          <w:szCs w:val="24"/>
          <w:lang w:val="en-US" w:eastAsia="zh-CN"/>
        </w:rPr>
        <w:t>Hansen HH</w:t>
      </w:r>
      <w:r w:rsidRPr="0079666F">
        <w:rPr>
          <w:rFonts w:ascii="Book Antiqua" w:eastAsia="SimSun" w:hAnsi="Book Antiqua" w:cs="Times New Roman"/>
          <w:kern w:val="2"/>
          <w:sz w:val="24"/>
          <w:szCs w:val="24"/>
          <w:lang w:val="en-US" w:eastAsia="zh-CN"/>
        </w:rPr>
        <w:t xml:space="preserve">, Feigh M, Veidal SS, Rigbolt KT, Vrang N, Fosgerau K. Mouse models of nonalcoholic steatohepatitis in preclinical drug development. </w:t>
      </w:r>
      <w:r w:rsidRPr="0079666F">
        <w:rPr>
          <w:rFonts w:ascii="Book Antiqua" w:eastAsia="SimSun" w:hAnsi="Book Antiqua" w:cs="Times New Roman"/>
          <w:i/>
          <w:kern w:val="2"/>
          <w:sz w:val="24"/>
          <w:szCs w:val="24"/>
          <w:lang w:val="en-US" w:eastAsia="zh-CN"/>
        </w:rPr>
        <w:t>Drug Discov Today</w:t>
      </w:r>
      <w:r w:rsidRPr="0079666F">
        <w:rPr>
          <w:rFonts w:ascii="Book Antiqua" w:eastAsia="SimSun" w:hAnsi="Book Antiqua" w:cs="Times New Roman"/>
          <w:kern w:val="2"/>
          <w:sz w:val="24"/>
          <w:szCs w:val="24"/>
          <w:lang w:val="en-US" w:eastAsia="zh-CN"/>
        </w:rPr>
        <w:t xml:space="preserve"> 2017; </w:t>
      </w:r>
      <w:r w:rsidRPr="0079666F">
        <w:rPr>
          <w:rFonts w:ascii="Book Antiqua" w:eastAsia="SimSun" w:hAnsi="Book Antiqua" w:cs="Times New Roman"/>
          <w:b/>
          <w:kern w:val="2"/>
          <w:sz w:val="24"/>
          <w:szCs w:val="24"/>
          <w:lang w:val="en-US" w:eastAsia="zh-CN"/>
        </w:rPr>
        <w:t>22</w:t>
      </w:r>
      <w:r w:rsidRPr="0079666F">
        <w:rPr>
          <w:rFonts w:ascii="Book Antiqua" w:eastAsia="SimSun" w:hAnsi="Book Antiqua" w:cs="Times New Roman"/>
          <w:kern w:val="2"/>
          <w:sz w:val="24"/>
          <w:szCs w:val="24"/>
          <w:lang w:val="en-US" w:eastAsia="zh-CN"/>
        </w:rPr>
        <w:t>: 1707-1718 [PMID: 28687459 DOI: 10.1016/j.drudis.2017.06.007]</w:t>
      </w:r>
    </w:p>
    <w:p w14:paraId="3A674F60"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9 </w:t>
      </w:r>
      <w:r w:rsidRPr="0079666F">
        <w:rPr>
          <w:rFonts w:ascii="Book Antiqua" w:eastAsia="SimSun" w:hAnsi="Book Antiqua" w:cs="Times New Roman"/>
          <w:b/>
          <w:kern w:val="2"/>
          <w:sz w:val="24"/>
          <w:szCs w:val="24"/>
          <w:lang w:val="en-US" w:eastAsia="zh-CN"/>
        </w:rPr>
        <w:t>Clapper JR</w:t>
      </w:r>
      <w:r w:rsidRPr="0079666F">
        <w:rPr>
          <w:rFonts w:ascii="Book Antiqua" w:eastAsia="SimSun" w:hAnsi="Book Antiqua" w:cs="Times New Roman"/>
          <w:kern w:val="2"/>
          <w:sz w:val="24"/>
          <w:szCs w:val="24"/>
          <w:lang w:val="en-US" w:eastAsia="zh-CN"/>
        </w:rPr>
        <w:t xml:space="preserve">, Hendricks MD, Gu G, Wittmer C, Dolman CS, Herich J, Athanacio J, Villescaz C, Ghosh SS, Heilig JS, Lowe C, Roth JD. Diet-induced mouse model of fatty liver disease and nonalcoholic steatohepatitis reflecting clinical disease progression and methods of assessment. </w:t>
      </w:r>
      <w:r w:rsidRPr="0079666F">
        <w:rPr>
          <w:rFonts w:ascii="Book Antiqua" w:eastAsia="SimSun" w:hAnsi="Book Antiqua" w:cs="Times New Roman"/>
          <w:i/>
          <w:kern w:val="2"/>
          <w:sz w:val="24"/>
          <w:szCs w:val="24"/>
          <w:lang w:val="en-US" w:eastAsia="zh-CN"/>
        </w:rPr>
        <w:t>Am J Physiol Gastrointest Liver Physiol</w:t>
      </w:r>
      <w:r w:rsidRPr="0079666F">
        <w:rPr>
          <w:rFonts w:ascii="Book Antiqua" w:eastAsia="SimSun" w:hAnsi="Book Antiqua" w:cs="Times New Roman"/>
          <w:kern w:val="2"/>
          <w:sz w:val="24"/>
          <w:szCs w:val="24"/>
          <w:lang w:val="en-US" w:eastAsia="zh-CN"/>
        </w:rPr>
        <w:t xml:space="preserve"> 2013; </w:t>
      </w:r>
      <w:r w:rsidRPr="0079666F">
        <w:rPr>
          <w:rFonts w:ascii="Book Antiqua" w:eastAsia="SimSun" w:hAnsi="Book Antiqua" w:cs="Times New Roman"/>
          <w:b/>
          <w:kern w:val="2"/>
          <w:sz w:val="24"/>
          <w:szCs w:val="24"/>
          <w:lang w:val="en-US" w:eastAsia="zh-CN"/>
        </w:rPr>
        <w:t>305</w:t>
      </w:r>
      <w:r w:rsidRPr="0079666F">
        <w:rPr>
          <w:rFonts w:ascii="Book Antiqua" w:eastAsia="SimSun" w:hAnsi="Book Antiqua" w:cs="Times New Roman"/>
          <w:kern w:val="2"/>
          <w:sz w:val="24"/>
          <w:szCs w:val="24"/>
          <w:lang w:val="en-US" w:eastAsia="zh-CN"/>
        </w:rPr>
        <w:t>: G483-G495 [PMID: 23886860 DOI: 10.1152/ajpgi.00079.2013]</w:t>
      </w:r>
    </w:p>
    <w:p w14:paraId="285CF0B1"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10 </w:t>
      </w:r>
      <w:r w:rsidRPr="0079666F">
        <w:rPr>
          <w:rFonts w:ascii="Book Antiqua" w:eastAsia="SimSun" w:hAnsi="Book Antiqua" w:cs="Times New Roman"/>
          <w:b/>
          <w:kern w:val="2"/>
          <w:sz w:val="24"/>
          <w:szCs w:val="24"/>
          <w:lang w:val="en-US" w:eastAsia="zh-CN"/>
        </w:rPr>
        <w:t>Trevaskis JL</w:t>
      </w:r>
      <w:r w:rsidRPr="0079666F">
        <w:rPr>
          <w:rFonts w:ascii="Book Antiqua" w:eastAsia="SimSun" w:hAnsi="Book Antiqua" w:cs="Times New Roman"/>
          <w:kern w:val="2"/>
          <w:sz w:val="24"/>
          <w:szCs w:val="24"/>
          <w:lang w:val="en-US" w:eastAsia="zh-CN"/>
        </w:rPr>
        <w:t xml:space="preserve">, Griffin PS, Wittmer C, Neuschwander-Tetri BA, Brunt EM, Dolman CS, Erickson MR, Napora J, Parkes DG, Roth JD. Glucagon-like peptide-1 receptor agonism </w:t>
      </w:r>
      <w:r w:rsidRPr="0079666F">
        <w:rPr>
          <w:rFonts w:ascii="Book Antiqua" w:eastAsia="SimSun" w:hAnsi="Book Antiqua" w:cs="Times New Roman"/>
          <w:kern w:val="2"/>
          <w:sz w:val="24"/>
          <w:szCs w:val="24"/>
          <w:lang w:val="en-US" w:eastAsia="zh-CN"/>
        </w:rPr>
        <w:lastRenderedPageBreak/>
        <w:t xml:space="preserve">improves metabolic, biochemical, and histopathological indices of nonalcoholic steatohepatitis in mice. </w:t>
      </w:r>
      <w:r w:rsidRPr="0079666F">
        <w:rPr>
          <w:rFonts w:ascii="Book Antiqua" w:eastAsia="SimSun" w:hAnsi="Book Antiqua" w:cs="Times New Roman"/>
          <w:i/>
          <w:kern w:val="2"/>
          <w:sz w:val="24"/>
          <w:szCs w:val="24"/>
          <w:lang w:val="en-US" w:eastAsia="zh-CN"/>
        </w:rPr>
        <w:t>Am J Physiol Gastrointest Liver Physiol</w:t>
      </w:r>
      <w:r w:rsidRPr="0079666F">
        <w:rPr>
          <w:rFonts w:ascii="Book Antiqua" w:eastAsia="SimSun" w:hAnsi="Book Antiqua" w:cs="Times New Roman"/>
          <w:kern w:val="2"/>
          <w:sz w:val="24"/>
          <w:szCs w:val="24"/>
          <w:lang w:val="en-US" w:eastAsia="zh-CN"/>
        </w:rPr>
        <w:t xml:space="preserve"> 2012; </w:t>
      </w:r>
      <w:r w:rsidRPr="0079666F">
        <w:rPr>
          <w:rFonts w:ascii="Book Antiqua" w:eastAsia="SimSun" w:hAnsi="Book Antiqua" w:cs="Times New Roman"/>
          <w:b/>
          <w:kern w:val="2"/>
          <w:sz w:val="24"/>
          <w:szCs w:val="24"/>
          <w:lang w:val="en-US" w:eastAsia="zh-CN"/>
        </w:rPr>
        <w:t>302</w:t>
      </w:r>
      <w:r w:rsidRPr="0079666F">
        <w:rPr>
          <w:rFonts w:ascii="Book Antiqua" w:eastAsia="SimSun" w:hAnsi="Book Antiqua" w:cs="Times New Roman"/>
          <w:kern w:val="2"/>
          <w:sz w:val="24"/>
          <w:szCs w:val="24"/>
          <w:lang w:val="en-US" w:eastAsia="zh-CN"/>
        </w:rPr>
        <w:t>: G762-G772 [PMID: 22268099 DOI: 10.1152/ajpgi.00476.2011]</w:t>
      </w:r>
    </w:p>
    <w:p w14:paraId="108A6F79"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11 </w:t>
      </w:r>
      <w:r w:rsidRPr="0079666F">
        <w:rPr>
          <w:rFonts w:ascii="Book Antiqua" w:eastAsia="SimSun" w:hAnsi="Book Antiqua" w:cs="Times New Roman"/>
          <w:b/>
          <w:kern w:val="2"/>
          <w:sz w:val="24"/>
          <w:szCs w:val="24"/>
          <w:lang w:val="en-US" w:eastAsia="zh-CN"/>
        </w:rPr>
        <w:t>Asgharpour A</w:t>
      </w:r>
      <w:r w:rsidRPr="0079666F">
        <w:rPr>
          <w:rFonts w:ascii="Book Antiqua" w:eastAsia="SimSun" w:hAnsi="Book Antiqua" w:cs="Times New Roman"/>
          <w:kern w:val="2"/>
          <w:sz w:val="24"/>
          <w:szCs w:val="24"/>
          <w:lang w:val="en-US" w:eastAsia="zh-CN"/>
        </w:rPr>
        <w:t xml:space="preserve">, Cazanave SC, Pacana T, Seneshaw M, Vincent R, Banini BA, Kumar DP, Daita K, Min HK, Mirshahi F, Bedossa P, Sun X, Hoshida Y, Koduru SV, Contaifer D Jr, Warncke UO, Wijesinghe DS, Sanyal AJ. A diet-induced animal model of non-alcoholic fatty liver disease and hepatocellular cancer. </w:t>
      </w:r>
      <w:r w:rsidRPr="0079666F">
        <w:rPr>
          <w:rFonts w:ascii="Book Antiqua" w:eastAsia="SimSun" w:hAnsi="Book Antiqua" w:cs="Times New Roman"/>
          <w:i/>
          <w:kern w:val="2"/>
          <w:sz w:val="24"/>
          <w:szCs w:val="24"/>
          <w:lang w:val="en-US" w:eastAsia="zh-CN"/>
        </w:rPr>
        <w:t>J Hepatol</w:t>
      </w:r>
      <w:r w:rsidRPr="0079666F">
        <w:rPr>
          <w:rFonts w:ascii="Book Antiqua" w:eastAsia="SimSun" w:hAnsi="Book Antiqua" w:cs="Times New Roman"/>
          <w:kern w:val="2"/>
          <w:sz w:val="24"/>
          <w:szCs w:val="24"/>
          <w:lang w:val="en-US" w:eastAsia="zh-CN"/>
        </w:rPr>
        <w:t xml:space="preserve"> 2016; </w:t>
      </w:r>
      <w:r w:rsidRPr="0079666F">
        <w:rPr>
          <w:rFonts w:ascii="Book Antiqua" w:eastAsia="SimSun" w:hAnsi="Book Antiqua" w:cs="Times New Roman"/>
          <w:b/>
          <w:kern w:val="2"/>
          <w:sz w:val="24"/>
          <w:szCs w:val="24"/>
          <w:lang w:val="en-US" w:eastAsia="zh-CN"/>
        </w:rPr>
        <w:t>65</w:t>
      </w:r>
      <w:r w:rsidRPr="0079666F">
        <w:rPr>
          <w:rFonts w:ascii="Book Antiqua" w:eastAsia="SimSun" w:hAnsi="Book Antiqua" w:cs="Times New Roman"/>
          <w:kern w:val="2"/>
          <w:sz w:val="24"/>
          <w:szCs w:val="24"/>
          <w:lang w:val="en-US" w:eastAsia="zh-CN"/>
        </w:rPr>
        <w:t>: 579-588 [PMID: 27261415 DOI: 10.1016/j.jhep.2016.05.005]</w:t>
      </w:r>
    </w:p>
    <w:p w14:paraId="29E33F23"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12 </w:t>
      </w:r>
      <w:r w:rsidRPr="0079666F">
        <w:rPr>
          <w:rFonts w:ascii="Book Antiqua" w:eastAsia="SimSun" w:hAnsi="Book Antiqua" w:cs="Times New Roman"/>
          <w:b/>
          <w:kern w:val="2"/>
          <w:sz w:val="24"/>
          <w:szCs w:val="24"/>
          <w:lang w:val="en-US" w:eastAsia="zh-CN"/>
        </w:rPr>
        <w:t>Krishnan A</w:t>
      </w:r>
      <w:r w:rsidRPr="0079666F">
        <w:rPr>
          <w:rFonts w:ascii="Book Antiqua" w:eastAsia="SimSun" w:hAnsi="Book Antiqua" w:cs="Times New Roman"/>
          <w:kern w:val="2"/>
          <w:sz w:val="24"/>
          <w:szCs w:val="24"/>
          <w:lang w:val="en-US" w:eastAsia="zh-CN"/>
        </w:rPr>
        <w:t xml:space="preserve">, Abdullah TS, Mounajjed T, Hartono S, McConico A, White T, LeBrasseur N, Lanza I, Nair S, Gores G, Charlton M. A longitudinal study of whole body, tissue, and cellular physiology in a mouse model of fibrosing NASH with high fidelity to the human condition. </w:t>
      </w:r>
      <w:r w:rsidRPr="0079666F">
        <w:rPr>
          <w:rFonts w:ascii="Book Antiqua" w:eastAsia="SimSun" w:hAnsi="Book Antiqua" w:cs="Times New Roman"/>
          <w:i/>
          <w:kern w:val="2"/>
          <w:sz w:val="24"/>
          <w:szCs w:val="24"/>
          <w:lang w:val="en-US" w:eastAsia="zh-CN"/>
        </w:rPr>
        <w:t>Am J Physiol Gastrointest Liver Physiol</w:t>
      </w:r>
      <w:r w:rsidRPr="0079666F">
        <w:rPr>
          <w:rFonts w:ascii="Book Antiqua" w:eastAsia="SimSun" w:hAnsi="Book Antiqua" w:cs="Times New Roman"/>
          <w:kern w:val="2"/>
          <w:sz w:val="24"/>
          <w:szCs w:val="24"/>
          <w:lang w:val="en-US" w:eastAsia="zh-CN"/>
        </w:rPr>
        <w:t xml:space="preserve"> 2017; </w:t>
      </w:r>
      <w:r w:rsidRPr="0079666F">
        <w:rPr>
          <w:rFonts w:ascii="Book Antiqua" w:eastAsia="SimSun" w:hAnsi="Book Antiqua" w:cs="Times New Roman"/>
          <w:b/>
          <w:kern w:val="2"/>
          <w:sz w:val="24"/>
          <w:szCs w:val="24"/>
          <w:lang w:val="en-US" w:eastAsia="zh-CN"/>
        </w:rPr>
        <w:t>312</w:t>
      </w:r>
      <w:r w:rsidRPr="0079666F">
        <w:rPr>
          <w:rFonts w:ascii="Book Antiqua" w:eastAsia="SimSun" w:hAnsi="Book Antiqua" w:cs="Times New Roman"/>
          <w:kern w:val="2"/>
          <w:sz w:val="24"/>
          <w:szCs w:val="24"/>
          <w:lang w:val="en-US" w:eastAsia="zh-CN"/>
        </w:rPr>
        <w:t>: G666-G680 [PMID: 28232454 DOI: 10.1152/ajpgi.00213.2016]</w:t>
      </w:r>
    </w:p>
    <w:p w14:paraId="0DF9F4D0"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13 </w:t>
      </w:r>
      <w:r w:rsidRPr="0079666F">
        <w:rPr>
          <w:rFonts w:ascii="Book Antiqua" w:eastAsia="SimSun" w:hAnsi="Book Antiqua" w:cs="Times New Roman"/>
          <w:b/>
          <w:kern w:val="2"/>
          <w:sz w:val="24"/>
          <w:szCs w:val="24"/>
          <w:lang w:val="en-US" w:eastAsia="zh-CN"/>
        </w:rPr>
        <w:t>Haczeyni F</w:t>
      </w:r>
      <w:r w:rsidRPr="0079666F">
        <w:rPr>
          <w:rFonts w:ascii="Book Antiqua" w:eastAsia="SimSun" w:hAnsi="Book Antiqua" w:cs="Times New Roman"/>
          <w:kern w:val="2"/>
          <w:sz w:val="24"/>
          <w:szCs w:val="24"/>
          <w:lang w:val="en-US" w:eastAsia="zh-CN"/>
        </w:rPr>
        <w:t xml:space="preserve">, Poekes L, Wang H, Mridha AR, Barn V, Geoffrey Haigh W, Ioannou GN, Yeh MM, Leclercq IA, Teoh NC, Farrell GC. Obeticholic acid improves adipose morphometry and inflammation and reduces steatosis in dietary but not metabolic obesity in mice. </w:t>
      </w:r>
      <w:r w:rsidRPr="0079666F">
        <w:rPr>
          <w:rFonts w:ascii="Book Antiqua" w:eastAsia="SimSun" w:hAnsi="Book Antiqua" w:cs="Times New Roman"/>
          <w:i/>
          <w:kern w:val="2"/>
          <w:sz w:val="24"/>
          <w:szCs w:val="24"/>
          <w:lang w:val="en-US" w:eastAsia="zh-CN"/>
        </w:rPr>
        <w:t>Obesity (Silver Spring)</w:t>
      </w:r>
      <w:r w:rsidRPr="0079666F">
        <w:rPr>
          <w:rFonts w:ascii="Book Antiqua" w:eastAsia="SimSun" w:hAnsi="Book Antiqua" w:cs="Times New Roman"/>
          <w:kern w:val="2"/>
          <w:sz w:val="24"/>
          <w:szCs w:val="24"/>
          <w:lang w:val="en-US" w:eastAsia="zh-CN"/>
        </w:rPr>
        <w:t xml:space="preserve"> 2017; </w:t>
      </w:r>
      <w:r w:rsidRPr="0079666F">
        <w:rPr>
          <w:rFonts w:ascii="Book Antiqua" w:eastAsia="SimSun" w:hAnsi="Book Antiqua" w:cs="Times New Roman"/>
          <w:b/>
          <w:kern w:val="2"/>
          <w:sz w:val="24"/>
          <w:szCs w:val="24"/>
          <w:lang w:val="en-US" w:eastAsia="zh-CN"/>
        </w:rPr>
        <w:t>25</w:t>
      </w:r>
      <w:r w:rsidRPr="0079666F">
        <w:rPr>
          <w:rFonts w:ascii="Book Antiqua" w:eastAsia="SimSun" w:hAnsi="Book Antiqua" w:cs="Times New Roman"/>
          <w:kern w:val="2"/>
          <w:sz w:val="24"/>
          <w:szCs w:val="24"/>
          <w:lang w:val="en-US" w:eastAsia="zh-CN"/>
        </w:rPr>
        <w:t>: 155-165 [PMID: 27804232 DOI: 10.1002/oby.21701]</w:t>
      </w:r>
    </w:p>
    <w:p w14:paraId="493193E6"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14 </w:t>
      </w:r>
      <w:r w:rsidRPr="0079666F">
        <w:rPr>
          <w:rFonts w:ascii="Book Antiqua" w:eastAsia="SimSun" w:hAnsi="Book Antiqua" w:cs="Times New Roman"/>
          <w:b/>
          <w:kern w:val="2"/>
          <w:sz w:val="24"/>
          <w:szCs w:val="24"/>
          <w:lang w:val="en-US" w:eastAsia="zh-CN"/>
        </w:rPr>
        <w:t>Ip E</w:t>
      </w:r>
      <w:r w:rsidRPr="0079666F">
        <w:rPr>
          <w:rFonts w:ascii="Book Antiqua" w:eastAsia="SimSun" w:hAnsi="Book Antiqua" w:cs="Times New Roman"/>
          <w:kern w:val="2"/>
          <w:sz w:val="24"/>
          <w:szCs w:val="24"/>
          <w:lang w:val="en-US" w:eastAsia="zh-CN"/>
        </w:rPr>
        <w:t xml:space="preserve">, Farrell G, Hall P, Robertson G, Leclercq I. Administration of the potent PPARalpha agonist, Wy-14,643, reverses nutritional fibrosis and steatohepatitis in mice. </w:t>
      </w:r>
      <w:r w:rsidRPr="0079666F">
        <w:rPr>
          <w:rFonts w:ascii="Book Antiqua" w:eastAsia="SimSun" w:hAnsi="Book Antiqua" w:cs="Times New Roman"/>
          <w:i/>
          <w:kern w:val="2"/>
          <w:sz w:val="24"/>
          <w:szCs w:val="24"/>
          <w:lang w:val="en-US" w:eastAsia="zh-CN"/>
        </w:rPr>
        <w:t>Hepatology</w:t>
      </w:r>
      <w:r w:rsidRPr="0079666F">
        <w:rPr>
          <w:rFonts w:ascii="Book Antiqua" w:eastAsia="SimSun" w:hAnsi="Book Antiqua" w:cs="Times New Roman"/>
          <w:kern w:val="2"/>
          <w:sz w:val="24"/>
          <w:szCs w:val="24"/>
          <w:lang w:val="en-US" w:eastAsia="zh-CN"/>
        </w:rPr>
        <w:t xml:space="preserve"> 2004; </w:t>
      </w:r>
      <w:r w:rsidRPr="0079666F">
        <w:rPr>
          <w:rFonts w:ascii="Book Antiqua" w:eastAsia="SimSun" w:hAnsi="Book Antiqua" w:cs="Times New Roman"/>
          <w:b/>
          <w:kern w:val="2"/>
          <w:sz w:val="24"/>
          <w:szCs w:val="24"/>
          <w:lang w:val="en-US" w:eastAsia="zh-CN"/>
        </w:rPr>
        <w:t>39</w:t>
      </w:r>
      <w:r w:rsidRPr="0079666F">
        <w:rPr>
          <w:rFonts w:ascii="Book Antiqua" w:eastAsia="SimSun" w:hAnsi="Book Antiqua" w:cs="Times New Roman"/>
          <w:kern w:val="2"/>
          <w:sz w:val="24"/>
          <w:szCs w:val="24"/>
          <w:lang w:val="en-US" w:eastAsia="zh-CN"/>
        </w:rPr>
        <w:t>: 1286-1296 [PMID: 15122757 DOI: 10.1002/hep.20170]</w:t>
      </w:r>
    </w:p>
    <w:p w14:paraId="0E03AB36"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15 </w:t>
      </w:r>
      <w:r w:rsidRPr="0079666F">
        <w:rPr>
          <w:rFonts w:ascii="Book Antiqua" w:eastAsia="SimSun" w:hAnsi="Book Antiqua" w:cs="Times New Roman"/>
          <w:b/>
          <w:kern w:val="2"/>
          <w:sz w:val="24"/>
          <w:szCs w:val="24"/>
          <w:lang w:val="en-US" w:eastAsia="zh-CN"/>
        </w:rPr>
        <w:t>Zhang S</w:t>
      </w:r>
      <w:r w:rsidRPr="0079666F">
        <w:rPr>
          <w:rFonts w:ascii="Book Antiqua" w:eastAsia="SimSun" w:hAnsi="Book Antiqua" w:cs="Times New Roman"/>
          <w:kern w:val="2"/>
          <w:sz w:val="24"/>
          <w:szCs w:val="24"/>
          <w:lang w:val="en-US" w:eastAsia="zh-CN"/>
        </w:rPr>
        <w:t xml:space="preserve">, Wang J, Liu Q, Harnish DC. Farnesoid X receptor agonist WAY-362450 attenuates liver inflammation and fibrosis in murine model of non-alcoholic steatohepatitis. </w:t>
      </w:r>
      <w:r w:rsidRPr="0079666F">
        <w:rPr>
          <w:rFonts w:ascii="Book Antiqua" w:eastAsia="SimSun" w:hAnsi="Book Antiqua" w:cs="Times New Roman"/>
          <w:i/>
          <w:kern w:val="2"/>
          <w:sz w:val="24"/>
          <w:szCs w:val="24"/>
          <w:lang w:val="en-US" w:eastAsia="zh-CN"/>
        </w:rPr>
        <w:t>J Hepatol</w:t>
      </w:r>
      <w:r w:rsidRPr="0079666F">
        <w:rPr>
          <w:rFonts w:ascii="Book Antiqua" w:eastAsia="SimSun" w:hAnsi="Book Antiqua" w:cs="Times New Roman"/>
          <w:kern w:val="2"/>
          <w:sz w:val="24"/>
          <w:szCs w:val="24"/>
          <w:lang w:val="en-US" w:eastAsia="zh-CN"/>
        </w:rPr>
        <w:t xml:space="preserve"> 2009; </w:t>
      </w:r>
      <w:r w:rsidRPr="0079666F">
        <w:rPr>
          <w:rFonts w:ascii="Book Antiqua" w:eastAsia="SimSun" w:hAnsi="Book Antiqua" w:cs="Times New Roman"/>
          <w:b/>
          <w:kern w:val="2"/>
          <w:sz w:val="24"/>
          <w:szCs w:val="24"/>
          <w:lang w:val="en-US" w:eastAsia="zh-CN"/>
        </w:rPr>
        <w:t>51</w:t>
      </w:r>
      <w:r w:rsidRPr="0079666F">
        <w:rPr>
          <w:rFonts w:ascii="Book Antiqua" w:eastAsia="SimSun" w:hAnsi="Book Antiqua" w:cs="Times New Roman"/>
          <w:kern w:val="2"/>
          <w:sz w:val="24"/>
          <w:szCs w:val="24"/>
          <w:lang w:val="en-US" w:eastAsia="zh-CN"/>
        </w:rPr>
        <w:t>: 380-388 [PMID: 19501927 DOI: 10.1016/j.jhep.2009.03.025]</w:t>
      </w:r>
    </w:p>
    <w:p w14:paraId="3DCBE320"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16 </w:t>
      </w:r>
      <w:r w:rsidRPr="0079666F">
        <w:rPr>
          <w:rFonts w:ascii="Book Antiqua" w:eastAsia="SimSun" w:hAnsi="Book Antiqua" w:cs="Times New Roman"/>
          <w:b/>
          <w:kern w:val="2"/>
          <w:sz w:val="24"/>
          <w:szCs w:val="24"/>
          <w:lang w:val="en-US" w:eastAsia="zh-CN"/>
        </w:rPr>
        <w:t>Lee JH</w:t>
      </w:r>
      <w:r w:rsidRPr="0079666F">
        <w:rPr>
          <w:rFonts w:ascii="Book Antiqua" w:eastAsia="SimSun" w:hAnsi="Book Antiqua" w:cs="Times New Roman"/>
          <w:kern w:val="2"/>
          <w:sz w:val="24"/>
          <w:szCs w:val="24"/>
          <w:lang w:val="en-US" w:eastAsia="zh-CN"/>
        </w:rPr>
        <w:t xml:space="preserve">, Kang YE, Chang JY, Park KC, Kim HW, Kim JT, Kim HJ, Yi HS, Shong M, Chung HK, Kim KS. An engineered FGF21 variant, LY2405319, can prevent non-alcoholic steatohepatitis by enhancing hepatic mitochondrial function. </w:t>
      </w:r>
      <w:r w:rsidRPr="0079666F">
        <w:rPr>
          <w:rFonts w:ascii="Book Antiqua" w:eastAsia="SimSun" w:hAnsi="Book Antiqua" w:cs="Times New Roman"/>
          <w:i/>
          <w:kern w:val="2"/>
          <w:sz w:val="24"/>
          <w:szCs w:val="24"/>
          <w:lang w:val="en-US" w:eastAsia="zh-CN"/>
        </w:rPr>
        <w:t>Am J Transl Res</w:t>
      </w:r>
      <w:r w:rsidRPr="0079666F">
        <w:rPr>
          <w:rFonts w:ascii="Book Antiqua" w:eastAsia="SimSun" w:hAnsi="Book Antiqua" w:cs="Times New Roman"/>
          <w:kern w:val="2"/>
          <w:sz w:val="24"/>
          <w:szCs w:val="24"/>
          <w:lang w:val="en-US" w:eastAsia="zh-CN"/>
        </w:rPr>
        <w:t xml:space="preserve"> 2016; </w:t>
      </w:r>
      <w:r w:rsidRPr="0079666F">
        <w:rPr>
          <w:rFonts w:ascii="Book Antiqua" w:eastAsia="SimSun" w:hAnsi="Book Antiqua" w:cs="Times New Roman"/>
          <w:b/>
          <w:kern w:val="2"/>
          <w:sz w:val="24"/>
          <w:szCs w:val="24"/>
          <w:lang w:val="en-US" w:eastAsia="zh-CN"/>
        </w:rPr>
        <w:t>8</w:t>
      </w:r>
      <w:r w:rsidRPr="0079666F">
        <w:rPr>
          <w:rFonts w:ascii="Book Antiqua" w:eastAsia="SimSun" w:hAnsi="Book Antiqua" w:cs="Times New Roman"/>
          <w:kern w:val="2"/>
          <w:sz w:val="24"/>
          <w:szCs w:val="24"/>
          <w:lang w:val="en-US" w:eastAsia="zh-CN"/>
        </w:rPr>
        <w:t>: 4750-4763 [PMID: 27904677]</w:t>
      </w:r>
    </w:p>
    <w:p w14:paraId="51D5186B"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17 </w:t>
      </w:r>
      <w:r w:rsidRPr="0079666F">
        <w:rPr>
          <w:rFonts w:ascii="Book Antiqua" w:eastAsia="SimSun" w:hAnsi="Book Antiqua" w:cs="Times New Roman"/>
          <w:b/>
          <w:kern w:val="2"/>
          <w:sz w:val="24"/>
          <w:szCs w:val="24"/>
          <w:lang w:val="en-US" w:eastAsia="zh-CN"/>
        </w:rPr>
        <w:t>Sanyal AJ</w:t>
      </w:r>
      <w:r w:rsidRPr="0079666F">
        <w:rPr>
          <w:rFonts w:ascii="Book Antiqua" w:eastAsia="SimSun" w:hAnsi="Book Antiqua" w:cs="Times New Roman"/>
          <w:kern w:val="2"/>
          <w:sz w:val="24"/>
          <w:szCs w:val="24"/>
          <w:lang w:val="en-US" w:eastAsia="zh-CN"/>
        </w:rPr>
        <w:t xml:space="preserve">, Friedman SL, McCullough AJ, Dimick-Santos L; American Association for the Study of Liver Diseases; United States Food and Drug Administration. Challenges and opportunities in drug and biomarker development for nonalcoholic steatohepatitis: </w:t>
      </w:r>
      <w:r w:rsidRPr="0079666F">
        <w:rPr>
          <w:rFonts w:ascii="Book Antiqua" w:eastAsia="SimSun" w:hAnsi="Book Antiqua" w:cs="Times New Roman"/>
          <w:kern w:val="2"/>
          <w:sz w:val="24"/>
          <w:szCs w:val="24"/>
          <w:lang w:val="en-US" w:eastAsia="zh-CN"/>
        </w:rPr>
        <w:lastRenderedPageBreak/>
        <w:t xml:space="preserve">findings and recommendations from an American Association for the Study of Liver Diseases-U.S. Food and Drug Administration Joint Workshop. </w:t>
      </w:r>
      <w:r w:rsidRPr="0079666F">
        <w:rPr>
          <w:rFonts w:ascii="Book Antiqua" w:eastAsia="SimSun" w:hAnsi="Book Antiqua" w:cs="Times New Roman"/>
          <w:i/>
          <w:kern w:val="2"/>
          <w:sz w:val="24"/>
          <w:szCs w:val="24"/>
          <w:lang w:val="en-US" w:eastAsia="zh-CN"/>
        </w:rPr>
        <w:t>Hepatology</w:t>
      </w:r>
      <w:r w:rsidRPr="0079666F">
        <w:rPr>
          <w:rFonts w:ascii="Book Antiqua" w:eastAsia="SimSun" w:hAnsi="Book Antiqua" w:cs="Times New Roman"/>
          <w:kern w:val="2"/>
          <w:sz w:val="24"/>
          <w:szCs w:val="24"/>
          <w:lang w:val="en-US" w:eastAsia="zh-CN"/>
        </w:rPr>
        <w:t xml:space="preserve"> 2015; </w:t>
      </w:r>
      <w:r w:rsidRPr="0079666F">
        <w:rPr>
          <w:rFonts w:ascii="Book Antiqua" w:eastAsia="SimSun" w:hAnsi="Book Antiqua" w:cs="Times New Roman"/>
          <w:b/>
          <w:kern w:val="2"/>
          <w:sz w:val="24"/>
          <w:szCs w:val="24"/>
          <w:lang w:val="en-US" w:eastAsia="zh-CN"/>
        </w:rPr>
        <w:t>61</w:t>
      </w:r>
      <w:r w:rsidRPr="0079666F">
        <w:rPr>
          <w:rFonts w:ascii="Book Antiqua" w:eastAsia="SimSun" w:hAnsi="Book Antiqua" w:cs="Times New Roman"/>
          <w:kern w:val="2"/>
          <w:sz w:val="24"/>
          <w:szCs w:val="24"/>
          <w:lang w:val="en-US" w:eastAsia="zh-CN"/>
        </w:rPr>
        <w:t>: 1392-1405 [PMID: 25557690 DOI: 10.1002/hep.27678]</w:t>
      </w:r>
    </w:p>
    <w:p w14:paraId="771699E2"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18 </w:t>
      </w:r>
      <w:r w:rsidRPr="0079666F">
        <w:rPr>
          <w:rFonts w:ascii="Book Antiqua" w:eastAsia="SimSun" w:hAnsi="Book Antiqua" w:cs="Times New Roman"/>
          <w:b/>
          <w:kern w:val="2"/>
          <w:sz w:val="24"/>
          <w:szCs w:val="24"/>
          <w:lang w:val="en-US" w:eastAsia="zh-CN"/>
        </w:rPr>
        <w:t>Ratziu V</w:t>
      </w:r>
      <w:r w:rsidRPr="0079666F">
        <w:rPr>
          <w:rFonts w:ascii="Book Antiqua" w:eastAsia="SimSun" w:hAnsi="Book Antiqua" w:cs="Times New Roman"/>
          <w:kern w:val="2"/>
          <w:sz w:val="24"/>
          <w:szCs w:val="24"/>
          <w:lang w:val="en-US" w:eastAsia="zh-CN"/>
        </w:rPr>
        <w:t xml:space="preserve">, Bellentani S, Cortez-Pinto H, Day C, Marchesini G. A position statement on NAFLD/NASH based on the EASL 2009 special conference. </w:t>
      </w:r>
      <w:r w:rsidRPr="0079666F">
        <w:rPr>
          <w:rFonts w:ascii="Book Antiqua" w:eastAsia="SimSun" w:hAnsi="Book Antiqua" w:cs="Times New Roman"/>
          <w:i/>
          <w:kern w:val="2"/>
          <w:sz w:val="24"/>
          <w:szCs w:val="24"/>
          <w:lang w:val="en-US" w:eastAsia="zh-CN"/>
        </w:rPr>
        <w:t>J Hepatol</w:t>
      </w:r>
      <w:r w:rsidRPr="0079666F">
        <w:rPr>
          <w:rFonts w:ascii="Book Antiqua" w:eastAsia="SimSun" w:hAnsi="Book Antiqua" w:cs="Times New Roman"/>
          <w:kern w:val="2"/>
          <w:sz w:val="24"/>
          <w:szCs w:val="24"/>
          <w:lang w:val="en-US" w:eastAsia="zh-CN"/>
        </w:rPr>
        <w:t xml:space="preserve"> 2010; </w:t>
      </w:r>
      <w:r w:rsidRPr="0079666F">
        <w:rPr>
          <w:rFonts w:ascii="Book Antiqua" w:eastAsia="SimSun" w:hAnsi="Book Antiqua" w:cs="Times New Roman"/>
          <w:b/>
          <w:kern w:val="2"/>
          <w:sz w:val="24"/>
          <w:szCs w:val="24"/>
          <w:lang w:val="en-US" w:eastAsia="zh-CN"/>
        </w:rPr>
        <w:t>53</w:t>
      </w:r>
      <w:r w:rsidRPr="0079666F">
        <w:rPr>
          <w:rFonts w:ascii="Book Antiqua" w:eastAsia="SimSun" w:hAnsi="Book Antiqua" w:cs="Times New Roman"/>
          <w:kern w:val="2"/>
          <w:sz w:val="24"/>
          <w:szCs w:val="24"/>
          <w:lang w:val="en-US" w:eastAsia="zh-CN"/>
        </w:rPr>
        <w:t>: 372-384 [PMID: 20494470 DOI: 10.1016/j.jhep.2010.04.008]</w:t>
      </w:r>
    </w:p>
    <w:p w14:paraId="391A6B36"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19 </w:t>
      </w:r>
      <w:r w:rsidRPr="0079666F">
        <w:rPr>
          <w:rFonts w:ascii="Book Antiqua" w:eastAsia="SimSun" w:hAnsi="Book Antiqua" w:cs="Times New Roman"/>
          <w:b/>
          <w:kern w:val="2"/>
          <w:sz w:val="24"/>
          <w:szCs w:val="24"/>
          <w:lang w:val="en-US" w:eastAsia="zh-CN"/>
        </w:rPr>
        <w:t>Kristiansen MN</w:t>
      </w:r>
      <w:r w:rsidRPr="0079666F">
        <w:rPr>
          <w:rFonts w:ascii="Book Antiqua" w:eastAsia="SimSun" w:hAnsi="Book Antiqua" w:cs="Times New Roman"/>
          <w:kern w:val="2"/>
          <w:sz w:val="24"/>
          <w:szCs w:val="24"/>
          <w:lang w:val="en-US" w:eastAsia="zh-CN"/>
        </w:rPr>
        <w:t xml:space="preserve">, Veidal SS, Rigbolt KT, Tølbøl KS, Roth JD, Jelsing J, Vrang N, Feigh M. Obese diet-induced mouse models of nonalcoholic steatohepatitis-tracking disease by liver biopsy. </w:t>
      </w:r>
      <w:r w:rsidRPr="0079666F">
        <w:rPr>
          <w:rFonts w:ascii="Book Antiqua" w:eastAsia="SimSun" w:hAnsi="Book Antiqua" w:cs="Times New Roman"/>
          <w:i/>
          <w:kern w:val="2"/>
          <w:sz w:val="24"/>
          <w:szCs w:val="24"/>
          <w:lang w:val="en-US" w:eastAsia="zh-CN"/>
        </w:rPr>
        <w:t>World J Hepatol</w:t>
      </w:r>
      <w:r w:rsidRPr="0079666F">
        <w:rPr>
          <w:rFonts w:ascii="Book Antiqua" w:eastAsia="SimSun" w:hAnsi="Book Antiqua" w:cs="Times New Roman"/>
          <w:kern w:val="2"/>
          <w:sz w:val="24"/>
          <w:szCs w:val="24"/>
          <w:lang w:val="en-US" w:eastAsia="zh-CN"/>
        </w:rPr>
        <w:t xml:space="preserve"> 2016; </w:t>
      </w:r>
      <w:r w:rsidRPr="0079666F">
        <w:rPr>
          <w:rFonts w:ascii="Book Antiqua" w:eastAsia="SimSun" w:hAnsi="Book Antiqua" w:cs="Times New Roman"/>
          <w:b/>
          <w:kern w:val="2"/>
          <w:sz w:val="24"/>
          <w:szCs w:val="24"/>
          <w:lang w:val="en-US" w:eastAsia="zh-CN"/>
        </w:rPr>
        <w:t>8</w:t>
      </w:r>
      <w:r w:rsidRPr="0079666F">
        <w:rPr>
          <w:rFonts w:ascii="Book Antiqua" w:eastAsia="SimSun" w:hAnsi="Book Antiqua" w:cs="Times New Roman"/>
          <w:kern w:val="2"/>
          <w:sz w:val="24"/>
          <w:szCs w:val="24"/>
          <w:lang w:val="en-US" w:eastAsia="zh-CN"/>
        </w:rPr>
        <w:t>: 673-684 [PMID: 27326314 DOI: 10.4254/wjh.v8.i16.673]</w:t>
      </w:r>
    </w:p>
    <w:p w14:paraId="458FD70D" w14:textId="30F7C818"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20 </w:t>
      </w:r>
      <w:r w:rsidRPr="0079666F">
        <w:rPr>
          <w:rFonts w:ascii="Book Antiqua" w:eastAsia="SimSun" w:hAnsi="Book Antiqua" w:cs="Times New Roman"/>
          <w:b/>
          <w:kern w:val="2"/>
          <w:sz w:val="24"/>
          <w:szCs w:val="24"/>
          <w:lang w:val="en-US" w:eastAsia="zh-CN"/>
        </w:rPr>
        <w:t>Armstrong MJ</w:t>
      </w:r>
      <w:r w:rsidRPr="0079666F">
        <w:rPr>
          <w:rFonts w:ascii="Book Antiqua" w:eastAsia="SimSun" w:hAnsi="Book Antiqua" w:cs="Times New Roman"/>
          <w:kern w:val="2"/>
          <w:sz w:val="24"/>
          <w:szCs w:val="24"/>
          <w:lang w:val="en-US" w:eastAsia="zh-CN"/>
        </w:rPr>
        <w:t>, Gaunt P, Aithal GP, Barton D, Hull D, Parker R, Hazlehurst JM, Guo K; LEAN trial team, Abouda G, Aldersley MA, Stocken D, Gough SC, Tomlinson JW, Brown RM, Hübscher SG, Newsome PN. Liraglutide safety and efficacy in patients with non-alcoholic steatohepatitis (LEAN): a multicentre, double-blind, randomised, placebo-controlled phase 2 study.</w:t>
      </w:r>
      <w:r w:rsidR="004538F9">
        <w:rPr>
          <w:rFonts w:ascii="Book Antiqua" w:eastAsia="SimSun" w:hAnsi="Book Antiqua" w:cs="Times New Roman" w:hint="eastAsia"/>
          <w:kern w:val="2"/>
          <w:sz w:val="24"/>
          <w:szCs w:val="24"/>
          <w:lang w:val="en-US" w:eastAsia="zh-CN"/>
        </w:rPr>
        <w:t xml:space="preserve"> </w:t>
      </w:r>
      <w:r w:rsidRPr="0079666F">
        <w:rPr>
          <w:rFonts w:ascii="Book Antiqua" w:eastAsia="SimSun" w:hAnsi="Book Antiqua" w:cs="Times New Roman"/>
          <w:i/>
          <w:kern w:val="2"/>
          <w:sz w:val="24"/>
          <w:szCs w:val="24"/>
          <w:lang w:val="en-US" w:eastAsia="zh-CN"/>
        </w:rPr>
        <w:t>Lancet</w:t>
      </w:r>
      <w:r w:rsidRPr="0079666F">
        <w:rPr>
          <w:rFonts w:ascii="Book Antiqua" w:eastAsia="SimSun" w:hAnsi="Book Antiqua" w:cs="Times New Roman"/>
          <w:kern w:val="2"/>
          <w:sz w:val="24"/>
          <w:szCs w:val="24"/>
          <w:lang w:val="en-US" w:eastAsia="zh-CN"/>
        </w:rPr>
        <w:t xml:space="preserve"> 2016; </w:t>
      </w:r>
      <w:r w:rsidRPr="0079666F">
        <w:rPr>
          <w:rFonts w:ascii="Book Antiqua" w:eastAsia="SimSun" w:hAnsi="Book Antiqua" w:cs="Times New Roman"/>
          <w:b/>
          <w:kern w:val="2"/>
          <w:sz w:val="24"/>
          <w:szCs w:val="24"/>
          <w:lang w:val="en-US" w:eastAsia="zh-CN"/>
        </w:rPr>
        <w:t>387</w:t>
      </w:r>
      <w:r w:rsidRPr="0079666F">
        <w:rPr>
          <w:rFonts w:ascii="Book Antiqua" w:eastAsia="SimSun" w:hAnsi="Book Antiqua" w:cs="Times New Roman"/>
          <w:kern w:val="2"/>
          <w:sz w:val="24"/>
          <w:szCs w:val="24"/>
          <w:lang w:val="en-US" w:eastAsia="zh-CN"/>
        </w:rPr>
        <w:t>: 679-690 [PMID: 26608256 DOI: 10.1016/S0140-6736(15)00803-X]</w:t>
      </w:r>
    </w:p>
    <w:p w14:paraId="3A39DECC"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21 </w:t>
      </w:r>
      <w:r w:rsidRPr="0079666F">
        <w:rPr>
          <w:rFonts w:ascii="Book Antiqua" w:eastAsia="SimSun" w:hAnsi="Book Antiqua" w:cs="Times New Roman"/>
          <w:b/>
          <w:kern w:val="2"/>
          <w:sz w:val="24"/>
          <w:szCs w:val="24"/>
          <w:lang w:val="en-US" w:eastAsia="zh-CN"/>
        </w:rPr>
        <w:t>Neuschwander-Tetri BA</w:t>
      </w:r>
      <w:r w:rsidRPr="0079666F">
        <w:rPr>
          <w:rFonts w:ascii="Book Antiqua" w:eastAsia="SimSun" w:hAnsi="Book Antiqua" w:cs="Times New Roman"/>
          <w:kern w:val="2"/>
          <w:sz w:val="24"/>
          <w:szCs w:val="24"/>
          <w:lang w:val="en-US" w:eastAsia="zh-CN"/>
        </w:rPr>
        <w:t xml:space="preserve">, Loomba R, Sanyal AJ, Lavine JE, Van Natta ML, Abdelmalek MF, Chalasani N, Dasarathy S, Diehl AM, Hameed B, Kowdley KV, McCullough A, Terrault N, Clark JM, Tonascia J, Brunt EM, Kleiner DE, Doo E; NASH Clinical Research Network. Farnesoid X nuclear receptor ligand obeticholic acid for non-cirrhotic, non-alcoholic steatohepatitis (FLINT): a multicentre, randomised, placebo-controlled trial. </w:t>
      </w:r>
      <w:r w:rsidRPr="0079666F">
        <w:rPr>
          <w:rFonts w:ascii="Book Antiqua" w:eastAsia="SimSun" w:hAnsi="Book Antiqua" w:cs="Times New Roman"/>
          <w:i/>
          <w:kern w:val="2"/>
          <w:sz w:val="24"/>
          <w:szCs w:val="24"/>
          <w:lang w:val="en-US" w:eastAsia="zh-CN"/>
        </w:rPr>
        <w:t>Lancet</w:t>
      </w:r>
      <w:r w:rsidRPr="0079666F">
        <w:rPr>
          <w:rFonts w:ascii="Book Antiqua" w:eastAsia="SimSun" w:hAnsi="Book Antiqua" w:cs="Times New Roman"/>
          <w:kern w:val="2"/>
          <w:sz w:val="24"/>
          <w:szCs w:val="24"/>
          <w:lang w:val="en-US" w:eastAsia="zh-CN"/>
        </w:rPr>
        <w:t xml:space="preserve"> 2015; </w:t>
      </w:r>
      <w:r w:rsidRPr="0079666F">
        <w:rPr>
          <w:rFonts w:ascii="Book Antiqua" w:eastAsia="SimSun" w:hAnsi="Book Antiqua" w:cs="Times New Roman"/>
          <w:b/>
          <w:kern w:val="2"/>
          <w:sz w:val="24"/>
          <w:szCs w:val="24"/>
          <w:lang w:val="en-US" w:eastAsia="zh-CN"/>
        </w:rPr>
        <w:t>385</w:t>
      </w:r>
      <w:r w:rsidRPr="0079666F">
        <w:rPr>
          <w:rFonts w:ascii="Book Antiqua" w:eastAsia="SimSun" w:hAnsi="Book Antiqua" w:cs="Times New Roman"/>
          <w:kern w:val="2"/>
          <w:sz w:val="24"/>
          <w:szCs w:val="24"/>
          <w:lang w:val="en-US" w:eastAsia="zh-CN"/>
        </w:rPr>
        <w:t>: 956-965 [PMID: 25468160 DOI: 10.1016/S0140-6736(14)61933-4]</w:t>
      </w:r>
    </w:p>
    <w:p w14:paraId="5925001D"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22 </w:t>
      </w:r>
      <w:r w:rsidRPr="0079666F">
        <w:rPr>
          <w:rFonts w:ascii="Book Antiqua" w:eastAsia="SimSun" w:hAnsi="Book Antiqua" w:cs="Times New Roman"/>
          <w:b/>
          <w:kern w:val="2"/>
          <w:sz w:val="24"/>
          <w:szCs w:val="24"/>
          <w:lang w:val="en-US" w:eastAsia="zh-CN"/>
        </w:rPr>
        <w:t>Ratziu V</w:t>
      </w:r>
      <w:r w:rsidRPr="0079666F">
        <w:rPr>
          <w:rFonts w:ascii="Book Antiqua" w:eastAsia="SimSun" w:hAnsi="Book Antiqua" w:cs="Times New Roman"/>
          <w:kern w:val="2"/>
          <w:sz w:val="24"/>
          <w:szCs w:val="24"/>
          <w:lang w:val="en-US" w:eastAsia="zh-CN"/>
        </w:rPr>
        <w:t xml:space="preserve">, Harrison SA, Francque S, Bedossa P, Lehert P, Serfaty L, Romero-Gomez M, Boursier J, Abdelmalek M, Caldwell S, Drenth J, Anstee QM, Hum D, Hanf R, Roudot A, Megnien S, Staels B, Sanyal A; GOLDEN-505 Investigator Study Group. Elafibranor, an Agonist of the Peroxisome Proliferator-Activated Receptor-α and -δ, Induces Resolution of Nonalcoholic Steatohepatitis Without Fibrosis Worsening. </w:t>
      </w:r>
      <w:r w:rsidRPr="0079666F">
        <w:rPr>
          <w:rFonts w:ascii="Book Antiqua" w:eastAsia="SimSun" w:hAnsi="Book Antiqua" w:cs="Times New Roman"/>
          <w:i/>
          <w:kern w:val="2"/>
          <w:sz w:val="24"/>
          <w:szCs w:val="24"/>
          <w:lang w:val="en-US" w:eastAsia="zh-CN"/>
        </w:rPr>
        <w:t>Gastroenterology</w:t>
      </w:r>
      <w:r w:rsidRPr="0079666F">
        <w:rPr>
          <w:rFonts w:ascii="Book Antiqua" w:eastAsia="SimSun" w:hAnsi="Book Antiqua" w:cs="Times New Roman"/>
          <w:kern w:val="2"/>
          <w:sz w:val="24"/>
          <w:szCs w:val="24"/>
          <w:lang w:val="en-US" w:eastAsia="zh-CN"/>
        </w:rPr>
        <w:t xml:space="preserve"> 2016; </w:t>
      </w:r>
      <w:r w:rsidRPr="0079666F">
        <w:rPr>
          <w:rFonts w:ascii="Book Antiqua" w:eastAsia="SimSun" w:hAnsi="Book Antiqua" w:cs="Times New Roman"/>
          <w:b/>
          <w:kern w:val="2"/>
          <w:sz w:val="24"/>
          <w:szCs w:val="24"/>
          <w:lang w:val="en-US" w:eastAsia="zh-CN"/>
        </w:rPr>
        <w:t>150</w:t>
      </w:r>
      <w:r w:rsidRPr="0079666F">
        <w:rPr>
          <w:rFonts w:ascii="Book Antiqua" w:eastAsia="SimSun" w:hAnsi="Book Antiqua" w:cs="Times New Roman"/>
          <w:kern w:val="2"/>
          <w:sz w:val="24"/>
          <w:szCs w:val="24"/>
          <w:lang w:val="en-US" w:eastAsia="zh-CN"/>
        </w:rPr>
        <w:t>: 1147-1159.e5 [PMID: 26874076 DOI: 10.1053/j.gastro.2016.01.038]</w:t>
      </w:r>
    </w:p>
    <w:p w14:paraId="7B8247BA"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23 </w:t>
      </w:r>
      <w:r w:rsidRPr="0079666F">
        <w:rPr>
          <w:rFonts w:ascii="Book Antiqua" w:eastAsia="SimSun" w:hAnsi="Book Antiqua" w:cs="Times New Roman"/>
          <w:b/>
          <w:kern w:val="2"/>
          <w:sz w:val="24"/>
          <w:szCs w:val="24"/>
          <w:lang w:val="en-US" w:eastAsia="zh-CN"/>
        </w:rPr>
        <w:t>Madsen K</w:t>
      </w:r>
      <w:r w:rsidRPr="0079666F">
        <w:rPr>
          <w:rFonts w:ascii="Book Antiqua" w:eastAsia="SimSun" w:hAnsi="Book Antiqua" w:cs="Times New Roman"/>
          <w:kern w:val="2"/>
          <w:sz w:val="24"/>
          <w:szCs w:val="24"/>
          <w:lang w:val="en-US" w:eastAsia="zh-CN"/>
        </w:rPr>
        <w:t xml:space="preserve">, Knudsen LB, Agersoe H, Nielsen PF, Thøgersen H, Wilken M, Johansen NL. Structure-activity and protraction relationship of long-acting glucagon-like peptide-1 derivatives: importance of fatty acid length, polarity, and bulkiness. </w:t>
      </w:r>
      <w:r w:rsidRPr="0079666F">
        <w:rPr>
          <w:rFonts w:ascii="Book Antiqua" w:eastAsia="SimSun" w:hAnsi="Book Antiqua" w:cs="Times New Roman"/>
          <w:i/>
          <w:kern w:val="2"/>
          <w:sz w:val="24"/>
          <w:szCs w:val="24"/>
          <w:lang w:val="en-US" w:eastAsia="zh-CN"/>
        </w:rPr>
        <w:t>J Med Chem</w:t>
      </w:r>
      <w:r w:rsidRPr="0079666F">
        <w:rPr>
          <w:rFonts w:ascii="Book Antiqua" w:eastAsia="SimSun" w:hAnsi="Book Antiqua" w:cs="Times New Roman"/>
          <w:kern w:val="2"/>
          <w:sz w:val="24"/>
          <w:szCs w:val="24"/>
          <w:lang w:val="en-US" w:eastAsia="zh-CN"/>
        </w:rPr>
        <w:t xml:space="preserve"> 2007; </w:t>
      </w:r>
      <w:r w:rsidRPr="0079666F">
        <w:rPr>
          <w:rFonts w:ascii="Book Antiqua" w:eastAsia="SimSun" w:hAnsi="Book Antiqua" w:cs="Times New Roman"/>
          <w:b/>
          <w:kern w:val="2"/>
          <w:sz w:val="24"/>
          <w:szCs w:val="24"/>
          <w:lang w:val="en-US" w:eastAsia="zh-CN"/>
        </w:rPr>
        <w:t>50</w:t>
      </w:r>
      <w:r w:rsidRPr="0079666F">
        <w:rPr>
          <w:rFonts w:ascii="Book Antiqua" w:eastAsia="SimSun" w:hAnsi="Book Antiqua" w:cs="Times New Roman"/>
          <w:kern w:val="2"/>
          <w:sz w:val="24"/>
          <w:szCs w:val="24"/>
          <w:lang w:val="en-US" w:eastAsia="zh-CN"/>
        </w:rPr>
        <w:t xml:space="preserve">: </w:t>
      </w:r>
      <w:r w:rsidRPr="0079666F">
        <w:rPr>
          <w:rFonts w:ascii="Book Antiqua" w:eastAsia="SimSun" w:hAnsi="Book Antiqua" w:cs="Times New Roman"/>
          <w:kern w:val="2"/>
          <w:sz w:val="24"/>
          <w:szCs w:val="24"/>
          <w:lang w:val="en-US" w:eastAsia="zh-CN"/>
        </w:rPr>
        <w:lastRenderedPageBreak/>
        <w:t>6126-6132 [PMID: 17975905 DOI: 10.1021/jm070861j]</w:t>
      </w:r>
    </w:p>
    <w:p w14:paraId="500699B0"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24 </w:t>
      </w:r>
      <w:r w:rsidRPr="0079666F">
        <w:rPr>
          <w:rFonts w:ascii="Book Antiqua" w:eastAsia="SimSun" w:hAnsi="Book Antiqua" w:cs="Times New Roman"/>
          <w:b/>
          <w:kern w:val="2"/>
          <w:sz w:val="24"/>
          <w:szCs w:val="24"/>
          <w:lang w:val="en-US" w:eastAsia="zh-CN"/>
        </w:rPr>
        <w:t>Drucker DJ</w:t>
      </w:r>
      <w:r w:rsidRPr="0079666F">
        <w:rPr>
          <w:rFonts w:ascii="Book Antiqua" w:eastAsia="SimSun" w:hAnsi="Book Antiqua" w:cs="Times New Roman"/>
          <w:kern w:val="2"/>
          <w:sz w:val="24"/>
          <w:szCs w:val="24"/>
          <w:lang w:val="en-US" w:eastAsia="zh-CN"/>
        </w:rPr>
        <w:t xml:space="preserve">, Dritselis A, Kirkpatrick P. Liraglutide. </w:t>
      </w:r>
      <w:r w:rsidRPr="0079666F">
        <w:rPr>
          <w:rFonts w:ascii="Book Antiqua" w:eastAsia="SimSun" w:hAnsi="Book Antiqua" w:cs="Times New Roman"/>
          <w:i/>
          <w:kern w:val="2"/>
          <w:sz w:val="24"/>
          <w:szCs w:val="24"/>
          <w:lang w:val="en-US" w:eastAsia="zh-CN"/>
        </w:rPr>
        <w:t>Nat Rev Drug Discov</w:t>
      </w:r>
      <w:r w:rsidRPr="0079666F">
        <w:rPr>
          <w:rFonts w:ascii="Book Antiqua" w:eastAsia="SimSun" w:hAnsi="Book Antiqua" w:cs="Times New Roman"/>
          <w:kern w:val="2"/>
          <w:sz w:val="24"/>
          <w:szCs w:val="24"/>
          <w:lang w:val="en-US" w:eastAsia="zh-CN"/>
        </w:rPr>
        <w:t xml:space="preserve"> 2010; </w:t>
      </w:r>
      <w:r w:rsidRPr="0079666F">
        <w:rPr>
          <w:rFonts w:ascii="Book Antiqua" w:eastAsia="SimSun" w:hAnsi="Book Antiqua" w:cs="Times New Roman"/>
          <w:b/>
          <w:kern w:val="2"/>
          <w:sz w:val="24"/>
          <w:szCs w:val="24"/>
          <w:lang w:val="en-US" w:eastAsia="zh-CN"/>
        </w:rPr>
        <w:t>9</w:t>
      </w:r>
      <w:r w:rsidRPr="0079666F">
        <w:rPr>
          <w:rFonts w:ascii="Book Antiqua" w:eastAsia="SimSun" w:hAnsi="Book Antiqua" w:cs="Times New Roman"/>
          <w:kern w:val="2"/>
          <w:sz w:val="24"/>
          <w:szCs w:val="24"/>
          <w:lang w:val="en-US" w:eastAsia="zh-CN"/>
        </w:rPr>
        <w:t>: 267-268 [PMID: 20357801 DOI: 10.1038/nrd3148]</w:t>
      </w:r>
    </w:p>
    <w:p w14:paraId="2842DD2A"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25 </w:t>
      </w:r>
      <w:r w:rsidRPr="0079666F">
        <w:rPr>
          <w:rFonts w:ascii="Book Antiqua" w:eastAsia="SimSun" w:hAnsi="Book Antiqua" w:cs="Times New Roman"/>
          <w:b/>
          <w:kern w:val="2"/>
          <w:sz w:val="24"/>
          <w:szCs w:val="24"/>
          <w:lang w:val="en-US" w:eastAsia="zh-CN"/>
        </w:rPr>
        <w:t>Nuffer WA</w:t>
      </w:r>
      <w:r w:rsidRPr="0079666F">
        <w:rPr>
          <w:rFonts w:ascii="Book Antiqua" w:eastAsia="SimSun" w:hAnsi="Book Antiqua" w:cs="Times New Roman"/>
          <w:kern w:val="2"/>
          <w:sz w:val="24"/>
          <w:szCs w:val="24"/>
          <w:lang w:val="en-US" w:eastAsia="zh-CN"/>
        </w:rPr>
        <w:t xml:space="preserve">, Trujillo JM. Liraglutide: A New Option for the Treatment of Obesity. </w:t>
      </w:r>
      <w:r w:rsidRPr="0079666F">
        <w:rPr>
          <w:rFonts w:ascii="Book Antiqua" w:eastAsia="SimSun" w:hAnsi="Book Antiqua" w:cs="Times New Roman"/>
          <w:i/>
          <w:kern w:val="2"/>
          <w:sz w:val="24"/>
          <w:szCs w:val="24"/>
          <w:lang w:val="en-US" w:eastAsia="zh-CN"/>
        </w:rPr>
        <w:t>Pharmacotherapy</w:t>
      </w:r>
      <w:r w:rsidRPr="0079666F">
        <w:rPr>
          <w:rFonts w:ascii="Book Antiqua" w:eastAsia="SimSun" w:hAnsi="Book Antiqua" w:cs="Times New Roman"/>
          <w:kern w:val="2"/>
          <w:sz w:val="24"/>
          <w:szCs w:val="24"/>
          <w:lang w:val="en-US" w:eastAsia="zh-CN"/>
        </w:rPr>
        <w:t xml:space="preserve"> 2015; </w:t>
      </w:r>
      <w:r w:rsidRPr="0079666F">
        <w:rPr>
          <w:rFonts w:ascii="Book Antiqua" w:eastAsia="SimSun" w:hAnsi="Book Antiqua" w:cs="Times New Roman"/>
          <w:b/>
          <w:kern w:val="2"/>
          <w:sz w:val="24"/>
          <w:szCs w:val="24"/>
          <w:lang w:val="en-US" w:eastAsia="zh-CN"/>
        </w:rPr>
        <w:t>35</w:t>
      </w:r>
      <w:r w:rsidRPr="0079666F">
        <w:rPr>
          <w:rFonts w:ascii="Book Antiqua" w:eastAsia="SimSun" w:hAnsi="Book Antiqua" w:cs="Times New Roman"/>
          <w:kern w:val="2"/>
          <w:sz w:val="24"/>
          <w:szCs w:val="24"/>
          <w:lang w:val="en-US" w:eastAsia="zh-CN"/>
        </w:rPr>
        <w:t>: 926-934 [PMID: 26497479 DOI: 10.1002/phar.1639]</w:t>
      </w:r>
    </w:p>
    <w:p w14:paraId="282B6123"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26 </w:t>
      </w:r>
      <w:r w:rsidRPr="0079666F">
        <w:rPr>
          <w:rFonts w:ascii="Book Antiqua" w:eastAsia="SimSun" w:hAnsi="Book Antiqua" w:cs="Times New Roman"/>
          <w:b/>
          <w:kern w:val="2"/>
          <w:sz w:val="24"/>
          <w:szCs w:val="24"/>
          <w:lang w:val="en-US" w:eastAsia="zh-CN"/>
        </w:rPr>
        <w:t>Markham A</w:t>
      </w:r>
      <w:r w:rsidRPr="0079666F">
        <w:rPr>
          <w:rFonts w:ascii="Book Antiqua" w:eastAsia="SimSun" w:hAnsi="Book Antiqua" w:cs="Times New Roman"/>
          <w:kern w:val="2"/>
          <w:sz w:val="24"/>
          <w:szCs w:val="24"/>
          <w:lang w:val="en-US" w:eastAsia="zh-CN"/>
        </w:rPr>
        <w:t xml:space="preserve">, Keam SJ. Obeticholic Acid: First Global Approval. </w:t>
      </w:r>
      <w:r w:rsidRPr="0079666F">
        <w:rPr>
          <w:rFonts w:ascii="Book Antiqua" w:eastAsia="SimSun" w:hAnsi="Book Antiqua" w:cs="Times New Roman"/>
          <w:i/>
          <w:kern w:val="2"/>
          <w:sz w:val="24"/>
          <w:szCs w:val="24"/>
          <w:lang w:val="en-US" w:eastAsia="zh-CN"/>
        </w:rPr>
        <w:t>Drugs</w:t>
      </w:r>
      <w:r w:rsidRPr="0079666F">
        <w:rPr>
          <w:rFonts w:ascii="Book Antiqua" w:eastAsia="SimSun" w:hAnsi="Book Antiqua" w:cs="Times New Roman"/>
          <w:kern w:val="2"/>
          <w:sz w:val="24"/>
          <w:szCs w:val="24"/>
          <w:lang w:val="en-US" w:eastAsia="zh-CN"/>
        </w:rPr>
        <w:t xml:space="preserve"> 2016; </w:t>
      </w:r>
      <w:r w:rsidRPr="0079666F">
        <w:rPr>
          <w:rFonts w:ascii="Book Antiqua" w:eastAsia="SimSun" w:hAnsi="Book Antiqua" w:cs="Times New Roman"/>
          <w:b/>
          <w:kern w:val="2"/>
          <w:sz w:val="24"/>
          <w:szCs w:val="24"/>
          <w:lang w:val="en-US" w:eastAsia="zh-CN"/>
        </w:rPr>
        <w:t>76</w:t>
      </w:r>
      <w:r w:rsidRPr="0079666F">
        <w:rPr>
          <w:rFonts w:ascii="Book Antiqua" w:eastAsia="SimSun" w:hAnsi="Book Antiqua" w:cs="Times New Roman"/>
          <w:kern w:val="2"/>
          <w:sz w:val="24"/>
          <w:szCs w:val="24"/>
          <w:lang w:val="en-US" w:eastAsia="zh-CN"/>
        </w:rPr>
        <w:t>: 1221-1226 [PMID: 27406083 DOI: 10.1007/s40265-016-0616-x]</w:t>
      </w:r>
    </w:p>
    <w:p w14:paraId="233A3D21"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27 </w:t>
      </w:r>
      <w:r w:rsidRPr="0079666F">
        <w:rPr>
          <w:rFonts w:ascii="Book Antiqua" w:eastAsia="SimSun" w:hAnsi="Book Antiqua" w:cs="Times New Roman"/>
          <w:b/>
          <w:kern w:val="2"/>
          <w:sz w:val="24"/>
          <w:szCs w:val="24"/>
          <w:lang w:val="en-US" w:eastAsia="zh-CN"/>
        </w:rPr>
        <w:t>Pellicciari R</w:t>
      </w:r>
      <w:r w:rsidRPr="0079666F">
        <w:rPr>
          <w:rFonts w:ascii="Book Antiqua" w:eastAsia="SimSun" w:hAnsi="Book Antiqua" w:cs="Times New Roman"/>
          <w:kern w:val="2"/>
          <w:sz w:val="24"/>
          <w:szCs w:val="24"/>
          <w:lang w:val="en-US" w:eastAsia="zh-CN"/>
        </w:rPr>
        <w:t xml:space="preserve">, Fiorucci S, Camaioni E, Clerici C, Costantino G, Maloney PR, Morelli A, Parks DJ, Willson TM. 6alpha-ethyl-chenodeoxycholic acid (6-ECDCA), a potent and selective FXR agonist endowed with anticholestatic activity. </w:t>
      </w:r>
      <w:r w:rsidRPr="0079666F">
        <w:rPr>
          <w:rFonts w:ascii="Book Antiqua" w:eastAsia="SimSun" w:hAnsi="Book Antiqua" w:cs="Times New Roman"/>
          <w:i/>
          <w:kern w:val="2"/>
          <w:sz w:val="24"/>
          <w:szCs w:val="24"/>
          <w:lang w:val="en-US" w:eastAsia="zh-CN"/>
        </w:rPr>
        <w:t>J Med Chem</w:t>
      </w:r>
      <w:r w:rsidRPr="0079666F">
        <w:rPr>
          <w:rFonts w:ascii="Book Antiqua" w:eastAsia="SimSun" w:hAnsi="Book Antiqua" w:cs="Times New Roman"/>
          <w:kern w:val="2"/>
          <w:sz w:val="24"/>
          <w:szCs w:val="24"/>
          <w:lang w:val="en-US" w:eastAsia="zh-CN"/>
        </w:rPr>
        <w:t xml:space="preserve"> 2002; </w:t>
      </w:r>
      <w:r w:rsidRPr="0079666F">
        <w:rPr>
          <w:rFonts w:ascii="Book Antiqua" w:eastAsia="SimSun" w:hAnsi="Book Antiqua" w:cs="Times New Roman"/>
          <w:b/>
          <w:kern w:val="2"/>
          <w:sz w:val="24"/>
          <w:szCs w:val="24"/>
          <w:lang w:val="en-US" w:eastAsia="zh-CN"/>
        </w:rPr>
        <w:t>45</w:t>
      </w:r>
      <w:r w:rsidRPr="0079666F">
        <w:rPr>
          <w:rFonts w:ascii="Book Antiqua" w:eastAsia="SimSun" w:hAnsi="Book Antiqua" w:cs="Times New Roman"/>
          <w:kern w:val="2"/>
          <w:sz w:val="24"/>
          <w:szCs w:val="24"/>
          <w:lang w:val="en-US" w:eastAsia="zh-CN"/>
        </w:rPr>
        <w:t>: 3569-3572 [PMID: 12166927]</w:t>
      </w:r>
    </w:p>
    <w:p w14:paraId="0C47E46C"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28 </w:t>
      </w:r>
      <w:r w:rsidRPr="0079666F">
        <w:rPr>
          <w:rFonts w:ascii="Book Antiqua" w:eastAsia="SimSun" w:hAnsi="Book Antiqua" w:cs="Times New Roman"/>
          <w:b/>
          <w:kern w:val="2"/>
          <w:sz w:val="24"/>
          <w:szCs w:val="24"/>
          <w:lang w:val="en-US" w:eastAsia="zh-CN"/>
        </w:rPr>
        <w:t>Asgharpour A</w:t>
      </w:r>
      <w:r w:rsidRPr="0079666F">
        <w:rPr>
          <w:rFonts w:ascii="Book Antiqua" w:eastAsia="SimSun" w:hAnsi="Book Antiqua" w:cs="Times New Roman"/>
          <w:kern w:val="2"/>
          <w:sz w:val="24"/>
          <w:szCs w:val="24"/>
          <w:lang w:val="en-US" w:eastAsia="zh-CN"/>
        </w:rPr>
        <w:t xml:space="preserve">, Kumar D, Sanyal A. Bile acids: emerging role in management of liver diseases. </w:t>
      </w:r>
      <w:r w:rsidRPr="0079666F">
        <w:rPr>
          <w:rFonts w:ascii="Book Antiqua" w:eastAsia="SimSun" w:hAnsi="Book Antiqua" w:cs="Times New Roman"/>
          <w:i/>
          <w:kern w:val="2"/>
          <w:sz w:val="24"/>
          <w:szCs w:val="24"/>
          <w:lang w:val="en-US" w:eastAsia="zh-CN"/>
        </w:rPr>
        <w:t>Hepatol Int</w:t>
      </w:r>
      <w:r w:rsidRPr="0079666F">
        <w:rPr>
          <w:rFonts w:ascii="Book Antiqua" w:eastAsia="SimSun" w:hAnsi="Book Antiqua" w:cs="Times New Roman"/>
          <w:kern w:val="2"/>
          <w:sz w:val="24"/>
          <w:szCs w:val="24"/>
          <w:lang w:val="en-US" w:eastAsia="zh-CN"/>
        </w:rPr>
        <w:t xml:space="preserve"> 2015; </w:t>
      </w:r>
      <w:r w:rsidRPr="0079666F">
        <w:rPr>
          <w:rFonts w:ascii="Book Antiqua" w:eastAsia="SimSun" w:hAnsi="Book Antiqua" w:cs="Times New Roman"/>
          <w:b/>
          <w:kern w:val="2"/>
          <w:sz w:val="24"/>
          <w:szCs w:val="24"/>
          <w:lang w:val="en-US" w:eastAsia="zh-CN"/>
        </w:rPr>
        <w:t>9</w:t>
      </w:r>
      <w:r w:rsidRPr="0079666F">
        <w:rPr>
          <w:rFonts w:ascii="Book Antiqua" w:eastAsia="SimSun" w:hAnsi="Book Antiqua" w:cs="Times New Roman"/>
          <w:kern w:val="2"/>
          <w:sz w:val="24"/>
          <w:szCs w:val="24"/>
          <w:lang w:val="en-US" w:eastAsia="zh-CN"/>
        </w:rPr>
        <w:t>: 527-533 [PMID: 26320013 DOI: 10.1007/s12072-015-9656-7]</w:t>
      </w:r>
    </w:p>
    <w:p w14:paraId="3D12B703"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29 </w:t>
      </w:r>
      <w:r w:rsidRPr="0079666F">
        <w:rPr>
          <w:rFonts w:ascii="Book Antiqua" w:eastAsia="SimSun" w:hAnsi="Book Antiqua" w:cs="Times New Roman"/>
          <w:b/>
          <w:kern w:val="2"/>
          <w:sz w:val="24"/>
          <w:szCs w:val="24"/>
          <w:lang w:val="en-US" w:eastAsia="zh-CN"/>
        </w:rPr>
        <w:t>Cariou B</w:t>
      </w:r>
      <w:r w:rsidRPr="0079666F">
        <w:rPr>
          <w:rFonts w:ascii="Book Antiqua" w:eastAsia="SimSun" w:hAnsi="Book Antiqua" w:cs="Times New Roman"/>
          <w:kern w:val="2"/>
          <w:sz w:val="24"/>
          <w:szCs w:val="24"/>
          <w:lang w:val="en-US" w:eastAsia="zh-CN"/>
        </w:rPr>
        <w:t xml:space="preserve">, Hanf R, Lambert-Porcheron S, Zaïr Y, Sauvinet V, Noël B, Flet L, Vidal H, Staels B, Laville M. Dual peroxisome proliferator-activated receptor α/δ agonist GFT505 improves hepatic and peripheral insulin sensitivity in abdominally obese subjects. </w:t>
      </w:r>
      <w:r w:rsidRPr="0079666F">
        <w:rPr>
          <w:rFonts w:ascii="Book Antiqua" w:eastAsia="SimSun" w:hAnsi="Book Antiqua" w:cs="Times New Roman"/>
          <w:i/>
          <w:kern w:val="2"/>
          <w:sz w:val="24"/>
          <w:szCs w:val="24"/>
          <w:lang w:val="en-US" w:eastAsia="zh-CN"/>
        </w:rPr>
        <w:t>Diabetes Care</w:t>
      </w:r>
      <w:r w:rsidRPr="0079666F">
        <w:rPr>
          <w:rFonts w:ascii="Book Antiqua" w:eastAsia="SimSun" w:hAnsi="Book Antiqua" w:cs="Times New Roman"/>
          <w:kern w:val="2"/>
          <w:sz w:val="24"/>
          <w:szCs w:val="24"/>
          <w:lang w:val="en-US" w:eastAsia="zh-CN"/>
        </w:rPr>
        <w:t xml:space="preserve"> 2013; </w:t>
      </w:r>
      <w:r w:rsidRPr="0079666F">
        <w:rPr>
          <w:rFonts w:ascii="Book Antiqua" w:eastAsia="SimSun" w:hAnsi="Book Antiqua" w:cs="Times New Roman"/>
          <w:b/>
          <w:kern w:val="2"/>
          <w:sz w:val="24"/>
          <w:szCs w:val="24"/>
          <w:lang w:val="en-US" w:eastAsia="zh-CN"/>
        </w:rPr>
        <w:t>36</w:t>
      </w:r>
      <w:r w:rsidRPr="0079666F">
        <w:rPr>
          <w:rFonts w:ascii="Book Antiqua" w:eastAsia="SimSun" w:hAnsi="Book Antiqua" w:cs="Times New Roman"/>
          <w:kern w:val="2"/>
          <w:sz w:val="24"/>
          <w:szCs w:val="24"/>
          <w:lang w:val="en-US" w:eastAsia="zh-CN"/>
        </w:rPr>
        <w:t>: 2923-2930 [PMID: 23715754 DOI: 10.2337/dc12-2012]</w:t>
      </w:r>
    </w:p>
    <w:p w14:paraId="1203B546"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30 </w:t>
      </w:r>
      <w:r w:rsidRPr="0079666F">
        <w:rPr>
          <w:rFonts w:ascii="Book Antiqua" w:eastAsia="SimSun" w:hAnsi="Book Antiqua" w:cs="Times New Roman"/>
          <w:b/>
          <w:kern w:val="2"/>
          <w:sz w:val="24"/>
          <w:szCs w:val="24"/>
          <w:lang w:val="en-US" w:eastAsia="zh-CN"/>
        </w:rPr>
        <w:t>Staels B</w:t>
      </w:r>
      <w:r w:rsidRPr="0079666F">
        <w:rPr>
          <w:rFonts w:ascii="Book Antiqua" w:eastAsia="SimSun" w:hAnsi="Book Antiqua" w:cs="Times New Roman"/>
          <w:kern w:val="2"/>
          <w:sz w:val="24"/>
          <w:szCs w:val="24"/>
          <w:lang w:val="en-US" w:eastAsia="zh-CN"/>
        </w:rPr>
        <w:t xml:space="preserve">, Rubenstrunk A, Noel B, Rigou G, Delataille P, Millatt LJ, Baron M, Lucas A, Tailleux A, Hum DW, Ratziu V, Cariou B, Hanf R. Hepatoprotective effects of the dual peroxisome proliferator-activated receptor alpha/delta agonist, GFT505, in rodent models of nonalcoholic fatty liver disease/nonalcoholic steatohepatitis. </w:t>
      </w:r>
      <w:r w:rsidRPr="0079666F">
        <w:rPr>
          <w:rFonts w:ascii="Book Antiqua" w:eastAsia="SimSun" w:hAnsi="Book Antiqua" w:cs="Times New Roman"/>
          <w:i/>
          <w:kern w:val="2"/>
          <w:sz w:val="24"/>
          <w:szCs w:val="24"/>
          <w:lang w:val="en-US" w:eastAsia="zh-CN"/>
        </w:rPr>
        <w:t>Hepatology</w:t>
      </w:r>
      <w:r w:rsidRPr="0079666F">
        <w:rPr>
          <w:rFonts w:ascii="Book Antiqua" w:eastAsia="SimSun" w:hAnsi="Book Antiqua" w:cs="Times New Roman"/>
          <w:kern w:val="2"/>
          <w:sz w:val="24"/>
          <w:szCs w:val="24"/>
          <w:lang w:val="en-US" w:eastAsia="zh-CN"/>
        </w:rPr>
        <w:t xml:space="preserve"> 2013; </w:t>
      </w:r>
      <w:r w:rsidRPr="0079666F">
        <w:rPr>
          <w:rFonts w:ascii="Book Antiqua" w:eastAsia="SimSun" w:hAnsi="Book Antiqua" w:cs="Times New Roman"/>
          <w:b/>
          <w:kern w:val="2"/>
          <w:sz w:val="24"/>
          <w:szCs w:val="24"/>
          <w:lang w:val="en-US" w:eastAsia="zh-CN"/>
        </w:rPr>
        <w:t>58</w:t>
      </w:r>
      <w:r w:rsidRPr="0079666F">
        <w:rPr>
          <w:rFonts w:ascii="Book Antiqua" w:eastAsia="SimSun" w:hAnsi="Book Antiqua" w:cs="Times New Roman"/>
          <w:kern w:val="2"/>
          <w:sz w:val="24"/>
          <w:szCs w:val="24"/>
          <w:lang w:val="en-US" w:eastAsia="zh-CN"/>
        </w:rPr>
        <w:t>: 1941-1952 [PMID: 23703580 DOI: 10.1002/hep.26461]</w:t>
      </w:r>
    </w:p>
    <w:p w14:paraId="334E0756"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31 </w:t>
      </w:r>
      <w:r w:rsidRPr="0079666F">
        <w:rPr>
          <w:rFonts w:ascii="Book Antiqua" w:eastAsia="SimSun" w:hAnsi="Book Antiqua" w:cs="Times New Roman"/>
          <w:b/>
          <w:kern w:val="2"/>
          <w:sz w:val="24"/>
          <w:szCs w:val="24"/>
          <w:lang w:val="en-US" w:eastAsia="zh-CN"/>
        </w:rPr>
        <w:t>Kleiner DE</w:t>
      </w:r>
      <w:r w:rsidRPr="0079666F">
        <w:rPr>
          <w:rFonts w:ascii="Book Antiqua" w:eastAsia="SimSun" w:hAnsi="Book Antiqua" w:cs="Times New Roman"/>
          <w:kern w:val="2"/>
          <w:sz w:val="24"/>
          <w:szCs w:val="24"/>
          <w:lang w:val="en-US" w:eastAsia="zh-CN"/>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79666F">
        <w:rPr>
          <w:rFonts w:ascii="Book Antiqua" w:eastAsia="SimSun" w:hAnsi="Book Antiqua" w:cs="Times New Roman"/>
          <w:i/>
          <w:kern w:val="2"/>
          <w:sz w:val="24"/>
          <w:szCs w:val="24"/>
          <w:lang w:val="en-US" w:eastAsia="zh-CN"/>
        </w:rPr>
        <w:t>Hepatology</w:t>
      </w:r>
      <w:r w:rsidRPr="0079666F">
        <w:rPr>
          <w:rFonts w:ascii="Book Antiqua" w:eastAsia="SimSun" w:hAnsi="Book Antiqua" w:cs="Times New Roman"/>
          <w:kern w:val="2"/>
          <w:sz w:val="24"/>
          <w:szCs w:val="24"/>
          <w:lang w:val="en-US" w:eastAsia="zh-CN"/>
        </w:rPr>
        <w:t xml:space="preserve"> 2005; </w:t>
      </w:r>
      <w:r w:rsidRPr="0079666F">
        <w:rPr>
          <w:rFonts w:ascii="Book Antiqua" w:eastAsia="SimSun" w:hAnsi="Book Antiqua" w:cs="Times New Roman"/>
          <w:b/>
          <w:kern w:val="2"/>
          <w:sz w:val="24"/>
          <w:szCs w:val="24"/>
          <w:lang w:val="en-US" w:eastAsia="zh-CN"/>
        </w:rPr>
        <w:t>41</w:t>
      </w:r>
      <w:r w:rsidRPr="0079666F">
        <w:rPr>
          <w:rFonts w:ascii="Book Antiqua" w:eastAsia="SimSun" w:hAnsi="Book Antiqua" w:cs="Times New Roman"/>
          <w:kern w:val="2"/>
          <w:sz w:val="24"/>
          <w:szCs w:val="24"/>
          <w:lang w:val="en-US" w:eastAsia="zh-CN"/>
        </w:rPr>
        <w:t>: 1313-1321 [PMID: 15915461 DOI: 10.1002/hep.20701]</w:t>
      </w:r>
    </w:p>
    <w:p w14:paraId="537C3DF7" w14:textId="34B203CF"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32 </w:t>
      </w:r>
      <w:r w:rsidRPr="0079666F">
        <w:rPr>
          <w:rFonts w:ascii="Book Antiqua" w:eastAsia="SimSun" w:hAnsi="Book Antiqua" w:cs="Times New Roman"/>
          <w:b/>
          <w:kern w:val="2"/>
          <w:sz w:val="24"/>
          <w:szCs w:val="24"/>
          <w:lang w:val="en-US" w:eastAsia="zh-CN"/>
        </w:rPr>
        <w:t>Wang XX</w:t>
      </w:r>
      <w:r w:rsidRPr="0079666F">
        <w:rPr>
          <w:rFonts w:ascii="Book Antiqua" w:eastAsia="SimSun" w:hAnsi="Book Antiqua" w:cs="Times New Roman"/>
          <w:kern w:val="2"/>
          <w:sz w:val="24"/>
          <w:szCs w:val="24"/>
          <w:lang w:val="en-US" w:eastAsia="zh-CN"/>
        </w:rPr>
        <w:t xml:space="preserve">, Wang D, Luo Y, Myakala K, Dobrinskikh E, Rosenberg AZ, Levi J, Kopp JB, Field A, Hill A, Lucia S, Qiu L, Jiang T, Peng Y, Orlicky D, Garcia G, Herman-Edelstein M, D'Agati V, Henriksen K, Adorini L, Pruzanski M, Xie C, Krausz KW, Gonzalez FJ, Ranjit S, </w:t>
      </w:r>
      <w:r w:rsidRPr="0079666F">
        <w:rPr>
          <w:rFonts w:ascii="Book Antiqua" w:eastAsia="SimSun" w:hAnsi="Book Antiqua" w:cs="Times New Roman"/>
          <w:kern w:val="2"/>
          <w:sz w:val="24"/>
          <w:szCs w:val="24"/>
          <w:lang w:val="en-US" w:eastAsia="zh-CN"/>
        </w:rPr>
        <w:lastRenderedPageBreak/>
        <w:t xml:space="preserve">Dvornikov A, Gratton E, Levi M. FXR/TGR5 Dual Agonist Prevents Progression of Nephropathy in Diabetes and Obesity. </w:t>
      </w:r>
      <w:r w:rsidRPr="0079666F">
        <w:rPr>
          <w:rFonts w:ascii="Book Antiqua" w:eastAsia="SimSun" w:hAnsi="Book Antiqua" w:cs="Times New Roman"/>
          <w:i/>
          <w:kern w:val="2"/>
          <w:sz w:val="24"/>
          <w:szCs w:val="24"/>
          <w:lang w:val="en-US" w:eastAsia="zh-CN"/>
        </w:rPr>
        <w:t>J Am Soc Nephrol</w:t>
      </w:r>
      <w:r w:rsidRPr="0079666F">
        <w:rPr>
          <w:rFonts w:ascii="Book Antiqua" w:eastAsia="SimSun" w:hAnsi="Book Antiqua" w:cs="Times New Roman"/>
          <w:kern w:val="2"/>
          <w:sz w:val="24"/>
          <w:szCs w:val="24"/>
          <w:lang w:val="en-US" w:eastAsia="zh-CN"/>
        </w:rPr>
        <w:t xml:space="preserve"> 2017;</w:t>
      </w:r>
      <w:r w:rsidR="00367766" w:rsidRPr="00612653">
        <w:rPr>
          <w:rFonts w:ascii="Book Antiqua" w:eastAsia="SimSun" w:hAnsi="Book Antiqua" w:cs="Times New Roman"/>
          <w:kern w:val="2"/>
          <w:sz w:val="24"/>
          <w:szCs w:val="24"/>
          <w:lang w:val="en-US" w:eastAsia="zh-CN"/>
        </w:rPr>
        <w:t xml:space="preserve"> Epub ahead of print </w:t>
      </w:r>
      <w:r w:rsidRPr="0079666F">
        <w:rPr>
          <w:rFonts w:ascii="Book Antiqua" w:eastAsia="SimSun" w:hAnsi="Book Antiqua" w:cs="Times New Roman"/>
          <w:kern w:val="2"/>
          <w:sz w:val="24"/>
          <w:szCs w:val="24"/>
          <w:lang w:val="en-US" w:eastAsia="zh-CN"/>
        </w:rPr>
        <w:t>[PMID: 29089371 DOI: 10.1681/ASN.2017020222]</w:t>
      </w:r>
    </w:p>
    <w:p w14:paraId="606210C2" w14:textId="78AC2398"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33 </w:t>
      </w:r>
      <w:r w:rsidRPr="0079666F">
        <w:rPr>
          <w:rFonts w:ascii="Book Antiqua" w:eastAsia="SimSun" w:hAnsi="Book Antiqua" w:cs="Times New Roman"/>
          <w:b/>
          <w:kern w:val="2"/>
          <w:sz w:val="24"/>
          <w:szCs w:val="24"/>
          <w:lang w:val="en-US" w:eastAsia="zh-CN"/>
        </w:rPr>
        <w:t>Rahman K</w:t>
      </w:r>
      <w:r w:rsidRPr="0079666F">
        <w:rPr>
          <w:rFonts w:ascii="Book Antiqua" w:eastAsia="SimSun" w:hAnsi="Book Antiqua" w:cs="Times New Roman"/>
          <w:kern w:val="2"/>
          <w:sz w:val="24"/>
          <w:szCs w:val="24"/>
          <w:lang w:val="en-US" w:eastAsia="zh-CN"/>
        </w:rPr>
        <w:t>, Liu Y, Kumar P, Smith T, Thorn NE, Farris AB, Anania FA. C/EBP homologous protein modulates liraglutide-mediated attenuation of non-alcoholic steatohepatitis.</w:t>
      </w:r>
      <w:r w:rsidR="004538F9">
        <w:rPr>
          <w:rFonts w:ascii="Book Antiqua" w:eastAsia="SimSun" w:hAnsi="Book Antiqua" w:cs="Times New Roman" w:hint="eastAsia"/>
          <w:kern w:val="2"/>
          <w:sz w:val="24"/>
          <w:szCs w:val="24"/>
          <w:lang w:val="en-US" w:eastAsia="zh-CN"/>
        </w:rPr>
        <w:t xml:space="preserve"> </w:t>
      </w:r>
      <w:r w:rsidRPr="0079666F">
        <w:rPr>
          <w:rFonts w:ascii="Book Antiqua" w:eastAsia="SimSun" w:hAnsi="Book Antiqua" w:cs="Times New Roman"/>
          <w:i/>
          <w:kern w:val="2"/>
          <w:sz w:val="24"/>
          <w:szCs w:val="24"/>
          <w:lang w:val="en-US" w:eastAsia="zh-CN"/>
        </w:rPr>
        <w:t>Lab Invest</w:t>
      </w:r>
      <w:r w:rsidRPr="0079666F">
        <w:rPr>
          <w:rFonts w:ascii="Book Antiqua" w:eastAsia="SimSun" w:hAnsi="Book Antiqua" w:cs="Times New Roman"/>
          <w:kern w:val="2"/>
          <w:sz w:val="24"/>
          <w:szCs w:val="24"/>
          <w:lang w:val="en-US" w:eastAsia="zh-CN"/>
        </w:rPr>
        <w:t xml:space="preserve"> 2016; </w:t>
      </w:r>
      <w:r w:rsidRPr="0079666F">
        <w:rPr>
          <w:rFonts w:ascii="Book Antiqua" w:eastAsia="SimSun" w:hAnsi="Book Antiqua" w:cs="Times New Roman"/>
          <w:b/>
          <w:kern w:val="2"/>
          <w:sz w:val="24"/>
          <w:szCs w:val="24"/>
          <w:lang w:val="en-US" w:eastAsia="zh-CN"/>
        </w:rPr>
        <w:t>96</w:t>
      </w:r>
      <w:r w:rsidRPr="0079666F">
        <w:rPr>
          <w:rFonts w:ascii="Book Antiqua" w:eastAsia="SimSun" w:hAnsi="Book Antiqua" w:cs="Times New Roman"/>
          <w:kern w:val="2"/>
          <w:sz w:val="24"/>
          <w:szCs w:val="24"/>
          <w:lang w:val="en-US" w:eastAsia="zh-CN"/>
        </w:rPr>
        <w:t>: 895-908 [PMID: 27239734 DOI: 10.1038/labinvest.2016.61]</w:t>
      </w:r>
    </w:p>
    <w:p w14:paraId="2D29CF20"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34 </w:t>
      </w:r>
      <w:r w:rsidRPr="0079666F">
        <w:rPr>
          <w:rFonts w:ascii="Book Antiqua" w:eastAsia="SimSun" w:hAnsi="Book Antiqua" w:cs="Times New Roman"/>
          <w:b/>
          <w:kern w:val="2"/>
          <w:sz w:val="24"/>
          <w:szCs w:val="24"/>
          <w:lang w:val="en-US" w:eastAsia="zh-CN"/>
        </w:rPr>
        <w:t>Henderson SJ</w:t>
      </w:r>
      <w:r w:rsidRPr="0079666F">
        <w:rPr>
          <w:rFonts w:ascii="Book Antiqua" w:eastAsia="SimSun" w:hAnsi="Book Antiqua" w:cs="Times New Roman"/>
          <w:kern w:val="2"/>
          <w:sz w:val="24"/>
          <w:szCs w:val="24"/>
          <w:lang w:val="en-US" w:eastAsia="zh-CN"/>
        </w:rPr>
        <w:t xml:space="preserve">, Konkar A, Hornigold DC, Trevaskis JL, Jackson R, Fritsch Fredin M, Jansson-Löfmark R, Naylor J, Rossi A, Bednarek MA, Bhagroo N, Salari H, Will S, Oldham S, Hansen G, Feigh M, Klein T, Grimsby J, Maguire S, Jermutus L, Rondinone CM, Coghlan MP. Robust anti-obesity and metabolic effects of a dual GLP-1/glucagon receptor peptide agonist in rodents and non-human primates. </w:t>
      </w:r>
      <w:r w:rsidRPr="0079666F">
        <w:rPr>
          <w:rFonts w:ascii="Book Antiqua" w:eastAsia="SimSun" w:hAnsi="Book Antiqua" w:cs="Times New Roman"/>
          <w:i/>
          <w:kern w:val="2"/>
          <w:sz w:val="24"/>
          <w:szCs w:val="24"/>
          <w:lang w:val="en-US" w:eastAsia="zh-CN"/>
        </w:rPr>
        <w:t>Diabetes Obes Metab</w:t>
      </w:r>
      <w:r w:rsidRPr="0079666F">
        <w:rPr>
          <w:rFonts w:ascii="Book Antiqua" w:eastAsia="SimSun" w:hAnsi="Book Antiqua" w:cs="Times New Roman"/>
          <w:kern w:val="2"/>
          <w:sz w:val="24"/>
          <w:szCs w:val="24"/>
          <w:lang w:val="en-US" w:eastAsia="zh-CN"/>
        </w:rPr>
        <w:t xml:space="preserve"> 2016; </w:t>
      </w:r>
      <w:r w:rsidRPr="0079666F">
        <w:rPr>
          <w:rFonts w:ascii="Book Antiqua" w:eastAsia="SimSun" w:hAnsi="Book Antiqua" w:cs="Times New Roman"/>
          <w:b/>
          <w:kern w:val="2"/>
          <w:sz w:val="24"/>
          <w:szCs w:val="24"/>
          <w:lang w:val="en-US" w:eastAsia="zh-CN"/>
        </w:rPr>
        <w:t>18</w:t>
      </w:r>
      <w:r w:rsidRPr="0079666F">
        <w:rPr>
          <w:rFonts w:ascii="Book Antiqua" w:eastAsia="SimSun" w:hAnsi="Book Antiqua" w:cs="Times New Roman"/>
          <w:kern w:val="2"/>
          <w:sz w:val="24"/>
          <w:szCs w:val="24"/>
          <w:lang w:val="en-US" w:eastAsia="zh-CN"/>
        </w:rPr>
        <w:t>: 1176-1190 [PMID: 27377054 DOI: 10.1111/dom.12735]</w:t>
      </w:r>
    </w:p>
    <w:p w14:paraId="37FBC0A3"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35 </w:t>
      </w:r>
      <w:r w:rsidRPr="0079666F">
        <w:rPr>
          <w:rFonts w:ascii="Book Antiqua" w:eastAsia="SimSun" w:hAnsi="Book Antiqua" w:cs="Times New Roman"/>
          <w:b/>
          <w:kern w:val="2"/>
          <w:sz w:val="24"/>
          <w:szCs w:val="24"/>
          <w:lang w:val="en-US" w:eastAsia="zh-CN"/>
        </w:rPr>
        <w:t>Hanf R</w:t>
      </w:r>
      <w:r w:rsidRPr="0079666F">
        <w:rPr>
          <w:rFonts w:ascii="Book Antiqua" w:eastAsia="SimSun" w:hAnsi="Book Antiqua" w:cs="Times New Roman"/>
          <w:kern w:val="2"/>
          <w:sz w:val="24"/>
          <w:szCs w:val="24"/>
          <w:lang w:val="en-US" w:eastAsia="zh-CN"/>
        </w:rPr>
        <w:t xml:space="preserve">, Millatt LJ, Cariou B, Noel B, Rigou G, Delataille P, Daix V, Hum DW, Staels B. The dual peroxisome proliferator-activated receptor alpha/delta agonist GFT505 exerts anti-diabetic effects in db/db mice without peroxisome proliferator-activated receptor gamma-associated adverse cardiac effects. </w:t>
      </w:r>
      <w:r w:rsidRPr="0079666F">
        <w:rPr>
          <w:rFonts w:ascii="Book Antiqua" w:eastAsia="SimSun" w:hAnsi="Book Antiqua" w:cs="Times New Roman"/>
          <w:i/>
          <w:kern w:val="2"/>
          <w:sz w:val="24"/>
          <w:szCs w:val="24"/>
          <w:lang w:val="en-US" w:eastAsia="zh-CN"/>
        </w:rPr>
        <w:t>Diab Vasc Dis Res</w:t>
      </w:r>
      <w:r w:rsidRPr="0079666F">
        <w:rPr>
          <w:rFonts w:ascii="Book Antiqua" w:eastAsia="SimSun" w:hAnsi="Book Antiqua" w:cs="Times New Roman"/>
          <w:kern w:val="2"/>
          <w:sz w:val="24"/>
          <w:szCs w:val="24"/>
          <w:lang w:val="en-US" w:eastAsia="zh-CN"/>
        </w:rPr>
        <w:t xml:space="preserve"> 2014; </w:t>
      </w:r>
      <w:r w:rsidRPr="0079666F">
        <w:rPr>
          <w:rFonts w:ascii="Book Antiqua" w:eastAsia="SimSun" w:hAnsi="Book Antiqua" w:cs="Times New Roman"/>
          <w:b/>
          <w:kern w:val="2"/>
          <w:sz w:val="24"/>
          <w:szCs w:val="24"/>
          <w:lang w:val="en-US" w:eastAsia="zh-CN"/>
        </w:rPr>
        <w:t>11</w:t>
      </w:r>
      <w:r w:rsidRPr="0079666F">
        <w:rPr>
          <w:rFonts w:ascii="Book Antiqua" w:eastAsia="SimSun" w:hAnsi="Book Antiqua" w:cs="Times New Roman"/>
          <w:kern w:val="2"/>
          <w:sz w:val="24"/>
          <w:szCs w:val="24"/>
          <w:lang w:val="en-US" w:eastAsia="zh-CN"/>
        </w:rPr>
        <w:t>: 440-447 [PMID: 25212694 DOI: 10.1177/1479164114548027]</w:t>
      </w:r>
    </w:p>
    <w:p w14:paraId="501A0807"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36 </w:t>
      </w:r>
      <w:r w:rsidRPr="0079666F">
        <w:rPr>
          <w:rFonts w:ascii="Book Antiqua" w:eastAsia="SimSun" w:hAnsi="Book Antiqua" w:cs="Times New Roman"/>
          <w:b/>
          <w:kern w:val="2"/>
          <w:sz w:val="24"/>
          <w:szCs w:val="24"/>
          <w:lang w:val="en-US" w:eastAsia="zh-CN"/>
        </w:rPr>
        <w:t>Dobin A</w:t>
      </w:r>
      <w:r w:rsidRPr="0079666F">
        <w:rPr>
          <w:rFonts w:ascii="Book Antiqua" w:eastAsia="SimSun" w:hAnsi="Book Antiqua" w:cs="Times New Roman"/>
          <w:kern w:val="2"/>
          <w:sz w:val="24"/>
          <w:szCs w:val="24"/>
          <w:lang w:val="en-US" w:eastAsia="zh-CN"/>
        </w:rPr>
        <w:t xml:space="preserve">, Davis CA, Schlesinger F, Drenkow J, Zaleski C, Jha S, Batut P, Chaisson M, Gingeras TR. STAR: ultrafast universal RNA-seq aligner. </w:t>
      </w:r>
      <w:r w:rsidRPr="0079666F">
        <w:rPr>
          <w:rFonts w:ascii="Book Antiqua" w:eastAsia="SimSun" w:hAnsi="Book Antiqua" w:cs="Times New Roman"/>
          <w:i/>
          <w:kern w:val="2"/>
          <w:sz w:val="24"/>
          <w:szCs w:val="24"/>
          <w:lang w:val="en-US" w:eastAsia="zh-CN"/>
        </w:rPr>
        <w:t>Bioinformatics</w:t>
      </w:r>
      <w:r w:rsidRPr="0079666F">
        <w:rPr>
          <w:rFonts w:ascii="Book Antiqua" w:eastAsia="SimSun" w:hAnsi="Book Antiqua" w:cs="Times New Roman"/>
          <w:kern w:val="2"/>
          <w:sz w:val="24"/>
          <w:szCs w:val="24"/>
          <w:lang w:val="en-US" w:eastAsia="zh-CN"/>
        </w:rPr>
        <w:t xml:space="preserve"> 2013; </w:t>
      </w:r>
      <w:r w:rsidRPr="0079666F">
        <w:rPr>
          <w:rFonts w:ascii="Book Antiqua" w:eastAsia="SimSun" w:hAnsi="Book Antiqua" w:cs="Times New Roman"/>
          <w:b/>
          <w:kern w:val="2"/>
          <w:sz w:val="24"/>
          <w:szCs w:val="24"/>
          <w:lang w:val="en-US" w:eastAsia="zh-CN"/>
        </w:rPr>
        <w:t>29</w:t>
      </w:r>
      <w:r w:rsidRPr="0079666F">
        <w:rPr>
          <w:rFonts w:ascii="Book Antiqua" w:eastAsia="SimSun" w:hAnsi="Book Antiqua" w:cs="Times New Roman"/>
          <w:kern w:val="2"/>
          <w:sz w:val="24"/>
          <w:szCs w:val="24"/>
          <w:lang w:val="en-US" w:eastAsia="zh-CN"/>
        </w:rPr>
        <w:t>: 15-21 [PMID: 23104886 DOI: 10.1093/bioinformatics/bts635]</w:t>
      </w:r>
    </w:p>
    <w:p w14:paraId="11B2D414" w14:textId="11EEBCBB"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37 </w:t>
      </w:r>
      <w:r w:rsidRPr="0079666F">
        <w:rPr>
          <w:rFonts w:ascii="Book Antiqua" w:eastAsia="SimSun" w:hAnsi="Book Antiqua" w:cs="Times New Roman"/>
          <w:b/>
          <w:kern w:val="2"/>
          <w:sz w:val="24"/>
          <w:szCs w:val="24"/>
          <w:lang w:val="en-US" w:eastAsia="zh-CN"/>
        </w:rPr>
        <w:t>Love MI</w:t>
      </w:r>
      <w:r w:rsidRPr="0079666F">
        <w:rPr>
          <w:rFonts w:ascii="Book Antiqua" w:eastAsia="SimSun" w:hAnsi="Book Antiqua" w:cs="Times New Roman"/>
          <w:kern w:val="2"/>
          <w:sz w:val="24"/>
          <w:szCs w:val="24"/>
          <w:lang w:val="en-US" w:eastAsia="zh-CN"/>
        </w:rPr>
        <w:t>, Huber W, Anders S. Moderated estimation of fold change and</w:t>
      </w:r>
      <w:r w:rsidR="00174BB8" w:rsidRPr="00612653">
        <w:rPr>
          <w:rFonts w:ascii="Book Antiqua" w:eastAsia="SimSun" w:hAnsi="Book Antiqua" w:cs="Times New Roman"/>
          <w:kern w:val="2"/>
          <w:sz w:val="24"/>
          <w:szCs w:val="24"/>
          <w:lang w:val="en-US" w:eastAsia="zh-CN"/>
        </w:rPr>
        <w:t xml:space="preserve"> </w:t>
      </w:r>
      <w:r w:rsidRPr="0079666F">
        <w:rPr>
          <w:rFonts w:ascii="Book Antiqua" w:eastAsia="SimSun" w:hAnsi="Book Antiqua" w:cs="Times New Roman"/>
          <w:kern w:val="2"/>
          <w:sz w:val="24"/>
          <w:szCs w:val="24"/>
          <w:lang w:val="en-US" w:eastAsia="zh-CN"/>
        </w:rPr>
        <w:t xml:space="preserve">dispersion for RNA-seq data with DESeq2. </w:t>
      </w:r>
      <w:r w:rsidRPr="0079666F">
        <w:rPr>
          <w:rFonts w:ascii="Book Antiqua" w:eastAsia="SimSun" w:hAnsi="Book Antiqua" w:cs="Times New Roman"/>
          <w:i/>
          <w:kern w:val="2"/>
          <w:sz w:val="24"/>
          <w:szCs w:val="24"/>
          <w:lang w:val="en-US" w:eastAsia="zh-CN"/>
        </w:rPr>
        <w:t>Genome Biol</w:t>
      </w:r>
      <w:r w:rsidRPr="0079666F">
        <w:rPr>
          <w:rFonts w:ascii="Book Antiqua" w:eastAsia="SimSun" w:hAnsi="Book Antiqua" w:cs="Times New Roman"/>
          <w:kern w:val="2"/>
          <w:sz w:val="24"/>
          <w:szCs w:val="24"/>
          <w:lang w:val="en-US" w:eastAsia="zh-CN"/>
        </w:rPr>
        <w:t xml:space="preserve"> 2014; </w:t>
      </w:r>
      <w:r w:rsidRPr="0079666F">
        <w:rPr>
          <w:rFonts w:ascii="Book Antiqua" w:eastAsia="SimSun" w:hAnsi="Book Antiqua" w:cs="Times New Roman"/>
          <w:b/>
          <w:kern w:val="2"/>
          <w:sz w:val="24"/>
          <w:szCs w:val="24"/>
          <w:lang w:val="en-US" w:eastAsia="zh-CN"/>
        </w:rPr>
        <w:t>15</w:t>
      </w:r>
      <w:r w:rsidRPr="0079666F">
        <w:rPr>
          <w:rFonts w:ascii="Book Antiqua" w:eastAsia="SimSun" w:hAnsi="Book Antiqua" w:cs="Times New Roman"/>
          <w:kern w:val="2"/>
          <w:sz w:val="24"/>
          <w:szCs w:val="24"/>
          <w:lang w:val="en-US" w:eastAsia="zh-CN"/>
        </w:rPr>
        <w:t>: 550 [PMID: 25516281 DOI: 10.1186/s13059-014-0550-8]</w:t>
      </w:r>
    </w:p>
    <w:p w14:paraId="147ECD73"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38 </w:t>
      </w:r>
      <w:r w:rsidRPr="0079666F">
        <w:rPr>
          <w:rFonts w:ascii="Book Antiqua" w:eastAsia="SimSun" w:hAnsi="Book Antiqua" w:cs="Times New Roman"/>
          <w:b/>
          <w:kern w:val="2"/>
          <w:sz w:val="24"/>
          <w:szCs w:val="24"/>
          <w:lang w:val="en-US" w:eastAsia="zh-CN"/>
        </w:rPr>
        <w:t>Yu G</w:t>
      </w:r>
      <w:r w:rsidRPr="0079666F">
        <w:rPr>
          <w:rFonts w:ascii="Book Antiqua" w:eastAsia="SimSun" w:hAnsi="Book Antiqua" w:cs="Times New Roman"/>
          <w:kern w:val="2"/>
          <w:sz w:val="24"/>
          <w:szCs w:val="24"/>
          <w:lang w:val="en-US" w:eastAsia="zh-CN"/>
        </w:rPr>
        <w:t xml:space="preserve">, Wang LG, Han Y, He QY. clusterProfiler: an R package for comparing biological themes among gene clusters. </w:t>
      </w:r>
      <w:r w:rsidRPr="0079666F">
        <w:rPr>
          <w:rFonts w:ascii="Book Antiqua" w:eastAsia="SimSun" w:hAnsi="Book Antiqua" w:cs="Times New Roman"/>
          <w:i/>
          <w:kern w:val="2"/>
          <w:sz w:val="24"/>
          <w:szCs w:val="24"/>
          <w:lang w:val="en-US" w:eastAsia="zh-CN"/>
        </w:rPr>
        <w:t>OMICS</w:t>
      </w:r>
      <w:r w:rsidRPr="0079666F">
        <w:rPr>
          <w:rFonts w:ascii="Book Antiqua" w:eastAsia="SimSun" w:hAnsi="Book Antiqua" w:cs="Times New Roman"/>
          <w:kern w:val="2"/>
          <w:sz w:val="24"/>
          <w:szCs w:val="24"/>
          <w:lang w:val="en-US" w:eastAsia="zh-CN"/>
        </w:rPr>
        <w:t xml:space="preserve"> 2012; </w:t>
      </w:r>
      <w:r w:rsidRPr="0079666F">
        <w:rPr>
          <w:rFonts w:ascii="Book Antiqua" w:eastAsia="SimSun" w:hAnsi="Book Antiqua" w:cs="Times New Roman"/>
          <w:b/>
          <w:kern w:val="2"/>
          <w:sz w:val="24"/>
          <w:szCs w:val="24"/>
          <w:lang w:val="en-US" w:eastAsia="zh-CN"/>
        </w:rPr>
        <w:t>16</w:t>
      </w:r>
      <w:r w:rsidRPr="0079666F">
        <w:rPr>
          <w:rFonts w:ascii="Book Antiqua" w:eastAsia="SimSun" w:hAnsi="Book Antiqua" w:cs="Times New Roman"/>
          <w:kern w:val="2"/>
          <w:sz w:val="24"/>
          <w:szCs w:val="24"/>
          <w:lang w:val="en-US" w:eastAsia="zh-CN"/>
        </w:rPr>
        <w:t>: 284-287 [PMID: 22455463 DOI: 10.1089/omi.2011.0118]</w:t>
      </w:r>
    </w:p>
    <w:p w14:paraId="5F9C6182"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39 </w:t>
      </w:r>
      <w:r w:rsidRPr="0079666F">
        <w:rPr>
          <w:rFonts w:ascii="Book Antiqua" w:eastAsia="SimSun" w:hAnsi="Book Antiqua" w:cs="Times New Roman"/>
          <w:b/>
          <w:kern w:val="2"/>
          <w:sz w:val="24"/>
          <w:szCs w:val="24"/>
          <w:lang w:val="en-US" w:eastAsia="zh-CN"/>
        </w:rPr>
        <w:t>Honda Y</w:t>
      </w:r>
      <w:r w:rsidRPr="0079666F">
        <w:rPr>
          <w:rFonts w:ascii="Book Antiqua" w:eastAsia="SimSun" w:hAnsi="Book Antiqua" w:cs="Times New Roman"/>
          <w:kern w:val="2"/>
          <w:sz w:val="24"/>
          <w:szCs w:val="24"/>
          <w:lang w:val="en-US" w:eastAsia="zh-CN"/>
        </w:rPr>
        <w:t xml:space="preserve">, Imajo K, Kato T, Kessoku T, Ogawa Y, Tomeno W, Kato S, Mawatari H, Fujita K, Yoneda M, Saito S, Nakajima A. The Selective SGLT2 Inhibitor Ipragliflozin Has a Therapeutic Effect on Nonalcoholic Steatohepatitis in Mice. </w:t>
      </w:r>
      <w:r w:rsidRPr="0079666F">
        <w:rPr>
          <w:rFonts w:ascii="Book Antiqua" w:eastAsia="SimSun" w:hAnsi="Book Antiqua" w:cs="Times New Roman"/>
          <w:i/>
          <w:kern w:val="2"/>
          <w:sz w:val="24"/>
          <w:szCs w:val="24"/>
          <w:lang w:val="en-US" w:eastAsia="zh-CN"/>
        </w:rPr>
        <w:t>PLoS One</w:t>
      </w:r>
      <w:r w:rsidRPr="0079666F">
        <w:rPr>
          <w:rFonts w:ascii="Book Antiqua" w:eastAsia="SimSun" w:hAnsi="Book Antiqua" w:cs="Times New Roman"/>
          <w:kern w:val="2"/>
          <w:sz w:val="24"/>
          <w:szCs w:val="24"/>
          <w:lang w:val="en-US" w:eastAsia="zh-CN"/>
        </w:rPr>
        <w:t xml:space="preserve"> 2016; </w:t>
      </w:r>
      <w:r w:rsidRPr="0079666F">
        <w:rPr>
          <w:rFonts w:ascii="Book Antiqua" w:eastAsia="SimSun" w:hAnsi="Book Antiqua" w:cs="Times New Roman"/>
          <w:b/>
          <w:kern w:val="2"/>
          <w:sz w:val="24"/>
          <w:szCs w:val="24"/>
          <w:lang w:val="en-US" w:eastAsia="zh-CN"/>
        </w:rPr>
        <w:t>11</w:t>
      </w:r>
      <w:r w:rsidRPr="0079666F">
        <w:rPr>
          <w:rFonts w:ascii="Book Antiqua" w:eastAsia="SimSun" w:hAnsi="Book Antiqua" w:cs="Times New Roman"/>
          <w:kern w:val="2"/>
          <w:sz w:val="24"/>
          <w:szCs w:val="24"/>
          <w:lang w:val="en-US" w:eastAsia="zh-CN"/>
        </w:rPr>
        <w:t xml:space="preserve">: e0146337 </w:t>
      </w:r>
      <w:r w:rsidRPr="0079666F">
        <w:rPr>
          <w:rFonts w:ascii="Book Antiqua" w:eastAsia="SimSun" w:hAnsi="Book Antiqua" w:cs="Times New Roman"/>
          <w:kern w:val="2"/>
          <w:sz w:val="24"/>
          <w:szCs w:val="24"/>
          <w:lang w:val="en-US" w:eastAsia="zh-CN"/>
        </w:rPr>
        <w:lastRenderedPageBreak/>
        <w:t>[PMID: 26731267 DOI: 10.1371/journal.pone.0146337]</w:t>
      </w:r>
    </w:p>
    <w:p w14:paraId="0D55A2EE" w14:textId="12748EF4"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40 </w:t>
      </w:r>
      <w:r w:rsidRPr="0079666F">
        <w:rPr>
          <w:rFonts w:ascii="Book Antiqua" w:eastAsia="SimSun" w:hAnsi="Book Antiqua" w:cs="Times New Roman"/>
          <w:b/>
          <w:kern w:val="2"/>
          <w:sz w:val="24"/>
          <w:szCs w:val="24"/>
          <w:lang w:val="en-US" w:eastAsia="zh-CN"/>
        </w:rPr>
        <w:t>Henkel J</w:t>
      </w:r>
      <w:r w:rsidRPr="0079666F">
        <w:rPr>
          <w:rFonts w:ascii="Book Antiqua" w:eastAsia="SimSun" w:hAnsi="Book Antiqua" w:cs="Times New Roman"/>
          <w:kern w:val="2"/>
          <w:sz w:val="24"/>
          <w:szCs w:val="24"/>
          <w:lang w:val="en-US" w:eastAsia="zh-CN"/>
        </w:rPr>
        <w:t>, Coleman CD, Schraplau A, J</w:t>
      </w:r>
      <w:r w:rsidRPr="0079666F">
        <w:rPr>
          <w:rFonts w:ascii="Times New Roman" w:eastAsia="SimSun" w:hAnsi="Times New Roman" w:cs="Times New Roman"/>
          <w:kern w:val="2"/>
          <w:sz w:val="24"/>
          <w:szCs w:val="24"/>
          <w:lang w:val="en-US" w:eastAsia="zh-CN"/>
        </w:rPr>
        <w:t>ӧ</w:t>
      </w:r>
      <w:r w:rsidRPr="0079666F">
        <w:rPr>
          <w:rFonts w:ascii="Book Antiqua" w:eastAsia="SimSun" w:hAnsi="Book Antiqua" w:cs="Times New Roman"/>
          <w:kern w:val="2"/>
          <w:sz w:val="24"/>
          <w:szCs w:val="24"/>
          <w:lang w:val="en-US" w:eastAsia="zh-CN"/>
        </w:rPr>
        <w:t>hrens K, Weber D, Castro JP, Hugo M, Schulz TJ, Kr</w:t>
      </w:r>
      <w:r w:rsidRPr="0079666F">
        <w:rPr>
          <w:rFonts w:ascii="Book Antiqua" w:eastAsia="SimSun" w:hAnsi="Book Antiqua" w:cs="Book Antiqua"/>
          <w:kern w:val="2"/>
          <w:sz w:val="24"/>
          <w:szCs w:val="24"/>
          <w:lang w:val="en-US" w:eastAsia="zh-CN"/>
        </w:rPr>
        <w:t>ä</w:t>
      </w:r>
      <w:r w:rsidRPr="0079666F">
        <w:rPr>
          <w:rFonts w:ascii="Book Antiqua" w:eastAsia="SimSun" w:hAnsi="Book Antiqua" w:cs="Times New Roman"/>
          <w:kern w:val="2"/>
          <w:sz w:val="24"/>
          <w:szCs w:val="24"/>
          <w:lang w:val="en-US" w:eastAsia="zh-CN"/>
        </w:rPr>
        <w:t>mer S, Sch</w:t>
      </w:r>
      <w:r w:rsidRPr="0079666F">
        <w:rPr>
          <w:rFonts w:ascii="Book Antiqua" w:eastAsia="SimSun" w:hAnsi="Book Antiqua" w:cs="Book Antiqua"/>
          <w:kern w:val="2"/>
          <w:sz w:val="24"/>
          <w:szCs w:val="24"/>
          <w:lang w:val="en-US" w:eastAsia="zh-CN"/>
        </w:rPr>
        <w:t>ü</w:t>
      </w:r>
      <w:r w:rsidRPr="0079666F">
        <w:rPr>
          <w:rFonts w:ascii="Book Antiqua" w:eastAsia="SimSun" w:hAnsi="Book Antiqua" w:cs="Times New Roman"/>
          <w:kern w:val="2"/>
          <w:sz w:val="24"/>
          <w:szCs w:val="24"/>
          <w:lang w:val="en-US" w:eastAsia="zh-CN"/>
        </w:rPr>
        <w:t>rmann A, P</w:t>
      </w:r>
      <w:r w:rsidRPr="0079666F">
        <w:rPr>
          <w:rFonts w:ascii="Book Antiqua" w:eastAsia="SimSun" w:hAnsi="Book Antiqua" w:cs="Book Antiqua"/>
          <w:kern w:val="2"/>
          <w:sz w:val="24"/>
          <w:szCs w:val="24"/>
          <w:lang w:val="en-US" w:eastAsia="zh-CN"/>
        </w:rPr>
        <w:t>ü</w:t>
      </w:r>
      <w:r w:rsidRPr="0079666F">
        <w:rPr>
          <w:rFonts w:ascii="Book Antiqua" w:eastAsia="SimSun" w:hAnsi="Book Antiqua" w:cs="Times New Roman"/>
          <w:kern w:val="2"/>
          <w:sz w:val="24"/>
          <w:szCs w:val="24"/>
          <w:lang w:val="en-US" w:eastAsia="zh-CN"/>
        </w:rPr>
        <w:t xml:space="preserve">schel GP. Induction of steatohepatitis (NASH) with insulin resistance in wildtype B6 mice by a western-type diet containing soybean oil and cholesterol. </w:t>
      </w:r>
      <w:r w:rsidRPr="0079666F">
        <w:rPr>
          <w:rFonts w:ascii="Book Antiqua" w:eastAsia="SimSun" w:hAnsi="Book Antiqua" w:cs="Times New Roman"/>
          <w:i/>
          <w:kern w:val="2"/>
          <w:sz w:val="24"/>
          <w:szCs w:val="24"/>
          <w:lang w:val="en-US" w:eastAsia="zh-CN"/>
        </w:rPr>
        <w:t>Mol Med</w:t>
      </w:r>
      <w:r w:rsidRPr="0079666F">
        <w:rPr>
          <w:rFonts w:ascii="Book Antiqua" w:eastAsia="SimSun" w:hAnsi="Book Antiqua" w:cs="Times New Roman"/>
          <w:kern w:val="2"/>
          <w:sz w:val="24"/>
          <w:szCs w:val="24"/>
          <w:lang w:val="en-US" w:eastAsia="zh-CN"/>
        </w:rPr>
        <w:t xml:space="preserve"> 2017; </w:t>
      </w:r>
      <w:r w:rsidRPr="0079666F">
        <w:rPr>
          <w:rFonts w:ascii="Book Antiqua" w:eastAsia="SimSun" w:hAnsi="Book Antiqua" w:cs="Times New Roman"/>
          <w:b/>
          <w:kern w:val="2"/>
          <w:sz w:val="24"/>
          <w:szCs w:val="24"/>
          <w:lang w:val="en-US" w:eastAsia="zh-CN"/>
        </w:rPr>
        <w:t>23</w:t>
      </w:r>
      <w:r w:rsidRPr="0079666F">
        <w:rPr>
          <w:rFonts w:ascii="Book Antiqua" w:eastAsia="SimSun" w:hAnsi="Book Antiqua" w:cs="Times New Roman"/>
          <w:kern w:val="2"/>
          <w:sz w:val="24"/>
          <w:szCs w:val="24"/>
          <w:lang w:val="en-US" w:eastAsia="zh-CN"/>
        </w:rPr>
        <w:t>:</w:t>
      </w:r>
      <w:r w:rsidR="00174BB8" w:rsidRPr="00612653">
        <w:rPr>
          <w:rFonts w:ascii="Book Antiqua" w:eastAsia="SimSun" w:hAnsi="Book Antiqua" w:cs="Times New Roman"/>
          <w:kern w:val="2"/>
          <w:sz w:val="24"/>
          <w:szCs w:val="24"/>
          <w:lang w:val="en-US" w:eastAsia="zh-CN"/>
        </w:rPr>
        <w:t xml:space="preserve"> Epub ahead of print </w:t>
      </w:r>
      <w:r w:rsidRPr="0079666F">
        <w:rPr>
          <w:rFonts w:ascii="Book Antiqua" w:eastAsia="SimSun" w:hAnsi="Book Antiqua" w:cs="Times New Roman"/>
          <w:kern w:val="2"/>
          <w:sz w:val="24"/>
          <w:szCs w:val="24"/>
          <w:lang w:val="en-US" w:eastAsia="zh-CN"/>
        </w:rPr>
        <w:t>[PMID: 28332698 DOI: 10.2119/molmed.2016.00203]</w:t>
      </w:r>
    </w:p>
    <w:p w14:paraId="29582AC0"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41 </w:t>
      </w:r>
      <w:r w:rsidRPr="0079666F">
        <w:rPr>
          <w:rFonts w:ascii="Book Antiqua" w:eastAsia="SimSun" w:hAnsi="Book Antiqua" w:cs="Times New Roman"/>
          <w:b/>
          <w:kern w:val="2"/>
          <w:sz w:val="24"/>
          <w:szCs w:val="24"/>
          <w:lang w:val="en-US" w:eastAsia="zh-CN"/>
        </w:rPr>
        <w:t>Mells JE</w:t>
      </w:r>
      <w:r w:rsidRPr="0079666F">
        <w:rPr>
          <w:rFonts w:ascii="Book Antiqua" w:eastAsia="SimSun" w:hAnsi="Book Antiqua" w:cs="Times New Roman"/>
          <w:kern w:val="2"/>
          <w:sz w:val="24"/>
          <w:szCs w:val="24"/>
          <w:lang w:val="en-US" w:eastAsia="zh-CN"/>
        </w:rPr>
        <w:t xml:space="preserve">, Fu PP, Sharma S, Olson D, Cheng L, Handy JA, Saxena NK, Sorescu D, Anania FA. Glp-1 analog, liraglutide, ameliorates hepatic steatosis and cardiac hypertrophy in C57BL/6J mice fed a Western diet. </w:t>
      </w:r>
      <w:r w:rsidRPr="0079666F">
        <w:rPr>
          <w:rFonts w:ascii="Book Antiqua" w:eastAsia="SimSun" w:hAnsi="Book Antiqua" w:cs="Times New Roman"/>
          <w:i/>
          <w:kern w:val="2"/>
          <w:sz w:val="24"/>
          <w:szCs w:val="24"/>
          <w:lang w:val="en-US" w:eastAsia="zh-CN"/>
        </w:rPr>
        <w:t>Am J Physiol Gastrointest Liver Physiol</w:t>
      </w:r>
      <w:r w:rsidRPr="0079666F">
        <w:rPr>
          <w:rFonts w:ascii="Book Antiqua" w:eastAsia="SimSun" w:hAnsi="Book Antiqua" w:cs="Times New Roman"/>
          <w:kern w:val="2"/>
          <w:sz w:val="24"/>
          <w:szCs w:val="24"/>
          <w:lang w:val="en-US" w:eastAsia="zh-CN"/>
        </w:rPr>
        <w:t xml:space="preserve"> 2012; </w:t>
      </w:r>
      <w:r w:rsidRPr="0079666F">
        <w:rPr>
          <w:rFonts w:ascii="Book Antiqua" w:eastAsia="SimSun" w:hAnsi="Book Antiqua" w:cs="Times New Roman"/>
          <w:b/>
          <w:kern w:val="2"/>
          <w:sz w:val="24"/>
          <w:szCs w:val="24"/>
          <w:lang w:val="en-US" w:eastAsia="zh-CN"/>
        </w:rPr>
        <w:t>302</w:t>
      </w:r>
      <w:r w:rsidRPr="0079666F">
        <w:rPr>
          <w:rFonts w:ascii="Book Antiqua" w:eastAsia="SimSun" w:hAnsi="Book Antiqua" w:cs="Times New Roman"/>
          <w:kern w:val="2"/>
          <w:sz w:val="24"/>
          <w:szCs w:val="24"/>
          <w:lang w:val="en-US" w:eastAsia="zh-CN"/>
        </w:rPr>
        <w:t>: G225-G235 [PMID: 22038829 DOI: 10.1152/ajpgi.00274.2011]</w:t>
      </w:r>
    </w:p>
    <w:p w14:paraId="366CDA9F"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42 </w:t>
      </w:r>
      <w:r w:rsidRPr="0079666F">
        <w:rPr>
          <w:rFonts w:ascii="Book Antiqua" w:eastAsia="SimSun" w:hAnsi="Book Antiqua" w:cs="Times New Roman"/>
          <w:b/>
          <w:kern w:val="2"/>
          <w:sz w:val="24"/>
          <w:szCs w:val="24"/>
          <w:lang w:val="en-US" w:eastAsia="zh-CN"/>
        </w:rPr>
        <w:t>Tetri LH</w:t>
      </w:r>
      <w:r w:rsidRPr="0079666F">
        <w:rPr>
          <w:rFonts w:ascii="Book Antiqua" w:eastAsia="SimSun" w:hAnsi="Book Antiqua" w:cs="Times New Roman"/>
          <w:kern w:val="2"/>
          <w:sz w:val="24"/>
          <w:szCs w:val="24"/>
          <w:lang w:val="en-US" w:eastAsia="zh-CN"/>
        </w:rPr>
        <w:t xml:space="preserve">, Basaranoglu M, Brunt EM, Yerian LM, Neuschwander-Tetri BA. Severe NAFLD with hepatic necroinflammatory changes in mice fed trans fats and a high-fructose corn syrup equivalent. </w:t>
      </w:r>
      <w:r w:rsidRPr="0079666F">
        <w:rPr>
          <w:rFonts w:ascii="Book Antiqua" w:eastAsia="SimSun" w:hAnsi="Book Antiqua" w:cs="Times New Roman"/>
          <w:i/>
          <w:kern w:val="2"/>
          <w:sz w:val="24"/>
          <w:szCs w:val="24"/>
          <w:lang w:val="en-US" w:eastAsia="zh-CN"/>
        </w:rPr>
        <w:t>Am J Physiol Gastrointest Liver Physiol</w:t>
      </w:r>
      <w:r w:rsidRPr="0079666F">
        <w:rPr>
          <w:rFonts w:ascii="Book Antiqua" w:eastAsia="SimSun" w:hAnsi="Book Antiqua" w:cs="Times New Roman"/>
          <w:kern w:val="2"/>
          <w:sz w:val="24"/>
          <w:szCs w:val="24"/>
          <w:lang w:val="en-US" w:eastAsia="zh-CN"/>
        </w:rPr>
        <w:t xml:space="preserve"> 2008; </w:t>
      </w:r>
      <w:r w:rsidRPr="0079666F">
        <w:rPr>
          <w:rFonts w:ascii="Book Antiqua" w:eastAsia="SimSun" w:hAnsi="Book Antiqua" w:cs="Times New Roman"/>
          <w:b/>
          <w:kern w:val="2"/>
          <w:sz w:val="24"/>
          <w:szCs w:val="24"/>
          <w:lang w:val="en-US" w:eastAsia="zh-CN"/>
        </w:rPr>
        <w:t>295</w:t>
      </w:r>
      <w:r w:rsidRPr="0079666F">
        <w:rPr>
          <w:rFonts w:ascii="Book Antiqua" w:eastAsia="SimSun" w:hAnsi="Book Antiqua" w:cs="Times New Roman"/>
          <w:kern w:val="2"/>
          <w:sz w:val="24"/>
          <w:szCs w:val="24"/>
          <w:lang w:val="en-US" w:eastAsia="zh-CN"/>
        </w:rPr>
        <w:t>: G987-G995 [PMID: 18772365 DOI: 10.1152/ajpgi.90272.2008]</w:t>
      </w:r>
    </w:p>
    <w:p w14:paraId="090BDB8F"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43 </w:t>
      </w:r>
      <w:r w:rsidRPr="0079666F">
        <w:rPr>
          <w:rFonts w:ascii="Book Antiqua" w:eastAsia="SimSun" w:hAnsi="Book Antiqua" w:cs="Times New Roman"/>
          <w:b/>
          <w:kern w:val="2"/>
          <w:sz w:val="24"/>
          <w:szCs w:val="24"/>
          <w:lang w:val="en-US" w:eastAsia="zh-CN"/>
        </w:rPr>
        <w:t>Ma K</w:t>
      </w:r>
      <w:r w:rsidRPr="0079666F">
        <w:rPr>
          <w:rFonts w:ascii="Book Antiqua" w:eastAsia="SimSun" w:hAnsi="Book Antiqua" w:cs="Times New Roman"/>
          <w:kern w:val="2"/>
          <w:sz w:val="24"/>
          <w:szCs w:val="24"/>
          <w:lang w:val="en-US" w:eastAsia="zh-CN"/>
        </w:rPr>
        <w:t xml:space="preserve">, Malhotra P, Soni V, Hedroug O, Annaba F, Dudeja A, Shen L, Turner JR, Khramtsova EA, Saksena S, Dudeja PK, Gill RK, Alrefai WA. Overactivation of intestinal SREBP2 in mice increases serum cholesterol. </w:t>
      </w:r>
      <w:r w:rsidRPr="0079666F">
        <w:rPr>
          <w:rFonts w:ascii="Book Antiqua" w:eastAsia="SimSun" w:hAnsi="Book Antiqua" w:cs="Times New Roman"/>
          <w:i/>
          <w:kern w:val="2"/>
          <w:sz w:val="24"/>
          <w:szCs w:val="24"/>
          <w:lang w:val="en-US" w:eastAsia="zh-CN"/>
        </w:rPr>
        <w:t>PLoS One</w:t>
      </w:r>
      <w:r w:rsidRPr="0079666F">
        <w:rPr>
          <w:rFonts w:ascii="Book Antiqua" w:eastAsia="SimSun" w:hAnsi="Book Antiqua" w:cs="Times New Roman"/>
          <w:kern w:val="2"/>
          <w:sz w:val="24"/>
          <w:szCs w:val="24"/>
          <w:lang w:val="en-US" w:eastAsia="zh-CN"/>
        </w:rPr>
        <w:t xml:space="preserve"> 2014; </w:t>
      </w:r>
      <w:r w:rsidRPr="0079666F">
        <w:rPr>
          <w:rFonts w:ascii="Book Antiqua" w:eastAsia="SimSun" w:hAnsi="Book Antiqua" w:cs="Times New Roman"/>
          <w:b/>
          <w:kern w:val="2"/>
          <w:sz w:val="24"/>
          <w:szCs w:val="24"/>
          <w:lang w:val="en-US" w:eastAsia="zh-CN"/>
        </w:rPr>
        <w:t>9</w:t>
      </w:r>
      <w:r w:rsidRPr="0079666F">
        <w:rPr>
          <w:rFonts w:ascii="Book Antiqua" w:eastAsia="SimSun" w:hAnsi="Book Antiqua" w:cs="Times New Roman"/>
          <w:kern w:val="2"/>
          <w:sz w:val="24"/>
          <w:szCs w:val="24"/>
          <w:lang w:val="en-US" w:eastAsia="zh-CN"/>
        </w:rPr>
        <w:t>: e84221 [PMID: 24465397 DOI: 10.1371/journal.pone.0084221]</w:t>
      </w:r>
    </w:p>
    <w:p w14:paraId="26F2AF9A"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44 </w:t>
      </w:r>
      <w:r w:rsidRPr="0079666F">
        <w:rPr>
          <w:rFonts w:ascii="Book Antiqua" w:eastAsia="SimSun" w:hAnsi="Book Antiqua" w:cs="Times New Roman"/>
          <w:b/>
          <w:kern w:val="2"/>
          <w:sz w:val="24"/>
          <w:szCs w:val="24"/>
          <w:lang w:val="en-US" w:eastAsia="zh-CN"/>
        </w:rPr>
        <w:t>Rinella ME</w:t>
      </w:r>
      <w:r w:rsidRPr="0079666F">
        <w:rPr>
          <w:rFonts w:ascii="Book Antiqua" w:eastAsia="SimSun" w:hAnsi="Book Antiqua" w:cs="Times New Roman"/>
          <w:kern w:val="2"/>
          <w:sz w:val="24"/>
          <w:szCs w:val="24"/>
          <w:lang w:val="en-US" w:eastAsia="zh-CN"/>
        </w:rPr>
        <w:t xml:space="preserve">. Nonalcoholic fatty liver disease: a systematic review. </w:t>
      </w:r>
      <w:r w:rsidRPr="0079666F">
        <w:rPr>
          <w:rFonts w:ascii="Book Antiqua" w:eastAsia="SimSun" w:hAnsi="Book Antiqua" w:cs="Times New Roman"/>
          <w:i/>
          <w:kern w:val="2"/>
          <w:sz w:val="24"/>
          <w:szCs w:val="24"/>
          <w:lang w:val="en-US" w:eastAsia="zh-CN"/>
        </w:rPr>
        <w:t>JAMA</w:t>
      </w:r>
      <w:r w:rsidRPr="0079666F">
        <w:rPr>
          <w:rFonts w:ascii="Book Antiqua" w:eastAsia="SimSun" w:hAnsi="Book Antiqua" w:cs="Times New Roman"/>
          <w:kern w:val="2"/>
          <w:sz w:val="24"/>
          <w:szCs w:val="24"/>
          <w:lang w:val="en-US" w:eastAsia="zh-CN"/>
        </w:rPr>
        <w:t xml:space="preserve"> 2015; </w:t>
      </w:r>
      <w:r w:rsidRPr="0079666F">
        <w:rPr>
          <w:rFonts w:ascii="Book Antiqua" w:eastAsia="SimSun" w:hAnsi="Book Antiqua" w:cs="Times New Roman"/>
          <w:b/>
          <w:kern w:val="2"/>
          <w:sz w:val="24"/>
          <w:szCs w:val="24"/>
          <w:lang w:val="en-US" w:eastAsia="zh-CN"/>
        </w:rPr>
        <w:t>313</w:t>
      </w:r>
      <w:r w:rsidRPr="0079666F">
        <w:rPr>
          <w:rFonts w:ascii="Book Antiqua" w:eastAsia="SimSun" w:hAnsi="Book Antiqua" w:cs="Times New Roman"/>
          <w:kern w:val="2"/>
          <w:sz w:val="24"/>
          <w:szCs w:val="24"/>
          <w:lang w:val="en-US" w:eastAsia="zh-CN"/>
        </w:rPr>
        <w:t>: 2263-2273 [PMID: 26057287 DOI: 10.1001/jama.2015.5370]</w:t>
      </w:r>
    </w:p>
    <w:p w14:paraId="474778B1"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45 </w:t>
      </w:r>
      <w:r w:rsidRPr="0079666F">
        <w:rPr>
          <w:rFonts w:ascii="Book Antiqua" w:eastAsia="SimSun" w:hAnsi="Book Antiqua" w:cs="Times New Roman"/>
          <w:b/>
          <w:kern w:val="2"/>
          <w:sz w:val="24"/>
          <w:szCs w:val="24"/>
          <w:lang w:val="en-US" w:eastAsia="zh-CN"/>
        </w:rPr>
        <w:t>Reccia I</w:t>
      </w:r>
      <w:r w:rsidRPr="0079666F">
        <w:rPr>
          <w:rFonts w:ascii="Book Antiqua" w:eastAsia="SimSun" w:hAnsi="Book Antiqua" w:cs="Times New Roman"/>
          <w:kern w:val="2"/>
          <w:sz w:val="24"/>
          <w:szCs w:val="24"/>
          <w:lang w:val="en-US" w:eastAsia="zh-CN"/>
        </w:rPr>
        <w:t xml:space="preserve">, Kumar J, Akladios C, Virdis F, Pai M, Habib N, Spalding D. Non-alcoholic fatty liver disease: A sign of systemic disease. </w:t>
      </w:r>
      <w:r w:rsidRPr="0079666F">
        <w:rPr>
          <w:rFonts w:ascii="Book Antiqua" w:eastAsia="SimSun" w:hAnsi="Book Antiqua" w:cs="Times New Roman"/>
          <w:i/>
          <w:kern w:val="2"/>
          <w:sz w:val="24"/>
          <w:szCs w:val="24"/>
          <w:lang w:val="en-US" w:eastAsia="zh-CN"/>
        </w:rPr>
        <w:t>Metabolism</w:t>
      </w:r>
      <w:r w:rsidRPr="0079666F">
        <w:rPr>
          <w:rFonts w:ascii="Book Antiqua" w:eastAsia="SimSun" w:hAnsi="Book Antiqua" w:cs="Times New Roman"/>
          <w:kern w:val="2"/>
          <w:sz w:val="24"/>
          <w:szCs w:val="24"/>
          <w:lang w:val="en-US" w:eastAsia="zh-CN"/>
        </w:rPr>
        <w:t xml:space="preserve"> 2017; </w:t>
      </w:r>
      <w:r w:rsidRPr="0079666F">
        <w:rPr>
          <w:rFonts w:ascii="Book Antiqua" w:eastAsia="SimSun" w:hAnsi="Book Antiqua" w:cs="Times New Roman"/>
          <w:b/>
          <w:kern w:val="2"/>
          <w:sz w:val="24"/>
          <w:szCs w:val="24"/>
          <w:lang w:val="en-US" w:eastAsia="zh-CN"/>
        </w:rPr>
        <w:t>72</w:t>
      </w:r>
      <w:r w:rsidRPr="0079666F">
        <w:rPr>
          <w:rFonts w:ascii="Book Antiqua" w:eastAsia="SimSun" w:hAnsi="Book Antiqua" w:cs="Times New Roman"/>
          <w:kern w:val="2"/>
          <w:sz w:val="24"/>
          <w:szCs w:val="24"/>
          <w:lang w:val="en-US" w:eastAsia="zh-CN"/>
        </w:rPr>
        <w:t>: 94-108 [PMID: 28641788 DOI: 10.1016/j.metabol.2017.04.011]</w:t>
      </w:r>
    </w:p>
    <w:p w14:paraId="1BEDFEA9"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46 </w:t>
      </w:r>
      <w:r w:rsidRPr="0079666F">
        <w:rPr>
          <w:rFonts w:ascii="Book Antiqua" w:eastAsia="SimSun" w:hAnsi="Book Antiqua" w:cs="Times New Roman"/>
          <w:b/>
          <w:kern w:val="2"/>
          <w:sz w:val="24"/>
          <w:szCs w:val="24"/>
          <w:lang w:val="en-US" w:eastAsia="zh-CN"/>
        </w:rPr>
        <w:t>Neuschwander-Tetri BA</w:t>
      </w:r>
      <w:r w:rsidRPr="0079666F">
        <w:rPr>
          <w:rFonts w:ascii="Book Antiqua" w:eastAsia="SimSun" w:hAnsi="Book Antiqua" w:cs="Times New Roman"/>
          <w:kern w:val="2"/>
          <w:sz w:val="24"/>
          <w:szCs w:val="24"/>
          <w:lang w:val="en-US" w:eastAsia="zh-CN"/>
        </w:rPr>
        <w:t xml:space="preserve">. Non-alcoholic fatty liver disease. </w:t>
      </w:r>
      <w:r w:rsidRPr="0079666F">
        <w:rPr>
          <w:rFonts w:ascii="Book Antiqua" w:eastAsia="SimSun" w:hAnsi="Book Antiqua" w:cs="Times New Roman"/>
          <w:i/>
          <w:kern w:val="2"/>
          <w:sz w:val="24"/>
          <w:szCs w:val="24"/>
          <w:lang w:val="en-US" w:eastAsia="zh-CN"/>
        </w:rPr>
        <w:t>BMC Med</w:t>
      </w:r>
      <w:r w:rsidRPr="0079666F">
        <w:rPr>
          <w:rFonts w:ascii="Book Antiqua" w:eastAsia="SimSun" w:hAnsi="Book Antiqua" w:cs="Times New Roman"/>
          <w:kern w:val="2"/>
          <w:sz w:val="24"/>
          <w:szCs w:val="24"/>
          <w:lang w:val="en-US" w:eastAsia="zh-CN"/>
        </w:rPr>
        <w:t xml:space="preserve"> 2017; </w:t>
      </w:r>
      <w:r w:rsidRPr="0079666F">
        <w:rPr>
          <w:rFonts w:ascii="Book Antiqua" w:eastAsia="SimSun" w:hAnsi="Book Antiqua" w:cs="Times New Roman"/>
          <w:b/>
          <w:kern w:val="2"/>
          <w:sz w:val="24"/>
          <w:szCs w:val="24"/>
          <w:lang w:val="en-US" w:eastAsia="zh-CN"/>
        </w:rPr>
        <w:t>15</w:t>
      </w:r>
      <w:r w:rsidRPr="0079666F">
        <w:rPr>
          <w:rFonts w:ascii="Book Antiqua" w:eastAsia="SimSun" w:hAnsi="Book Antiqua" w:cs="Times New Roman"/>
          <w:kern w:val="2"/>
          <w:sz w:val="24"/>
          <w:szCs w:val="24"/>
          <w:lang w:val="en-US" w:eastAsia="zh-CN"/>
        </w:rPr>
        <w:t>: 45 [PMID: 28241825 DOI: 10.1186/s12916-017-0806-8]</w:t>
      </w:r>
    </w:p>
    <w:p w14:paraId="144F6380"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47 </w:t>
      </w:r>
      <w:r w:rsidRPr="0079666F">
        <w:rPr>
          <w:rFonts w:ascii="Book Antiqua" w:eastAsia="SimSun" w:hAnsi="Book Antiqua" w:cs="Times New Roman"/>
          <w:b/>
          <w:kern w:val="2"/>
          <w:sz w:val="24"/>
          <w:szCs w:val="24"/>
          <w:lang w:val="en-US" w:eastAsia="zh-CN"/>
        </w:rPr>
        <w:t>Liang W</w:t>
      </w:r>
      <w:r w:rsidRPr="0079666F">
        <w:rPr>
          <w:rFonts w:ascii="Book Antiqua" w:eastAsia="SimSun" w:hAnsi="Book Antiqua" w:cs="Times New Roman"/>
          <w:kern w:val="2"/>
          <w:sz w:val="24"/>
          <w:szCs w:val="24"/>
          <w:lang w:val="en-US" w:eastAsia="zh-CN"/>
        </w:rPr>
        <w:t xml:space="preserve">, Menke AL, Driessen A, Koek GH, Lindeman JH, Stoop R, Havekes LM, Kleemann R, van den Hoek AM. Establishment of a general NAFLD scoring system for rodent models and comparison to human liver pathology. </w:t>
      </w:r>
      <w:r w:rsidRPr="0079666F">
        <w:rPr>
          <w:rFonts w:ascii="Book Antiqua" w:eastAsia="SimSun" w:hAnsi="Book Antiqua" w:cs="Times New Roman"/>
          <w:i/>
          <w:kern w:val="2"/>
          <w:sz w:val="24"/>
          <w:szCs w:val="24"/>
          <w:lang w:val="en-US" w:eastAsia="zh-CN"/>
        </w:rPr>
        <w:t>PLoS One</w:t>
      </w:r>
      <w:r w:rsidRPr="0079666F">
        <w:rPr>
          <w:rFonts w:ascii="Book Antiqua" w:eastAsia="SimSun" w:hAnsi="Book Antiqua" w:cs="Times New Roman"/>
          <w:kern w:val="2"/>
          <w:sz w:val="24"/>
          <w:szCs w:val="24"/>
          <w:lang w:val="en-US" w:eastAsia="zh-CN"/>
        </w:rPr>
        <w:t xml:space="preserve"> 2014; </w:t>
      </w:r>
      <w:r w:rsidRPr="0079666F">
        <w:rPr>
          <w:rFonts w:ascii="Book Antiqua" w:eastAsia="SimSun" w:hAnsi="Book Antiqua" w:cs="Times New Roman"/>
          <w:b/>
          <w:kern w:val="2"/>
          <w:sz w:val="24"/>
          <w:szCs w:val="24"/>
          <w:lang w:val="en-US" w:eastAsia="zh-CN"/>
        </w:rPr>
        <w:t>9</w:t>
      </w:r>
      <w:r w:rsidRPr="0079666F">
        <w:rPr>
          <w:rFonts w:ascii="Book Antiqua" w:eastAsia="SimSun" w:hAnsi="Book Antiqua" w:cs="Times New Roman"/>
          <w:kern w:val="2"/>
          <w:sz w:val="24"/>
          <w:szCs w:val="24"/>
          <w:lang w:val="en-US" w:eastAsia="zh-CN"/>
        </w:rPr>
        <w:t>: e115922 [PMID: 25535951 DOI: 10.1371/journal.pone.0115922]</w:t>
      </w:r>
    </w:p>
    <w:p w14:paraId="44A8F1A1"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48 </w:t>
      </w:r>
      <w:r w:rsidRPr="0079666F">
        <w:rPr>
          <w:rFonts w:ascii="Book Antiqua" w:eastAsia="SimSun" w:hAnsi="Book Antiqua" w:cs="Times New Roman"/>
          <w:b/>
          <w:kern w:val="2"/>
          <w:sz w:val="24"/>
          <w:szCs w:val="24"/>
          <w:lang w:val="en-US" w:eastAsia="zh-CN"/>
        </w:rPr>
        <w:t>Farrell GC</w:t>
      </w:r>
      <w:r w:rsidRPr="0079666F">
        <w:rPr>
          <w:rFonts w:ascii="Book Antiqua" w:eastAsia="SimSun" w:hAnsi="Book Antiqua" w:cs="Times New Roman"/>
          <w:kern w:val="2"/>
          <w:sz w:val="24"/>
          <w:szCs w:val="24"/>
          <w:lang w:val="en-US" w:eastAsia="zh-CN"/>
        </w:rPr>
        <w:t xml:space="preserve">, Mridha AR, Yeh MM, Arsov T, Van Rooyen DM, Brooling J, Nguyen T, </w:t>
      </w:r>
      <w:r w:rsidRPr="0079666F">
        <w:rPr>
          <w:rFonts w:ascii="Book Antiqua" w:eastAsia="SimSun" w:hAnsi="Book Antiqua" w:cs="Times New Roman"/>
          <w:kern w:val="2"/>
          <w:sz w:val="24"/>
          <w:szCs w:val="24"/>
          <w:lang w:val="en-US" w:eastAsia="zh-CN"/>
        </w:rPr>
        <w:lastRenderedPageBreak/>
        <w:t xml:space="preserve">Heydet D, Delghingaro-Augusto V, Nolan CJ, Shackel NA, McLennan SV, Teoh NC, Larter CZ. Strain dependence of diet-induced NASH and liver fibrosis in obese mice is linked to diabetes and inflammatory phenotype. </w:t>
      </w:r>
      <w:r w:rsidRPr="0079666F">
        <w:rPr>
          <w:rFonts w:ascii="Book Antiqua" w:eastAsia="SimSun" w:hAnsi="Book Antiqua" w:cs="Times New Roman"/>
          <w:i/>
          <w:kern w:val="2"/>
          <w:sz w:val="24"/>
          <w:szCs w:val="24"/>
          <w:lang w:val="en-US" w:eastAsia="zh-CN"/>
        </w:rPr>
        <w:t>Liver Int</w:t>
      </w:r>
      <w:r w:rsidRPr="0079666F">
        <w:rPr>
          <w:rFonts w:ascii="Book Antiqua" w:eastAsia="SimSun" w:hAnsi="Book Antiqua" w:cs="Times New Roman"/>
          <w:kern w:val="2"/>
          <w:sz w:val="24"/>
          <w:szCs w:val="24"/>
          <w:lang w:val="en-US" w:eastAsia="zh-CN"/>
        </w:rPr>
        <w:t xml:space="preserve"> 2014; </w:t>
      </w:r>
      <w:r w:rsidRPr="0079666F">
        <w:rPr>
          <w:rFonts w:ascii="Book Antiqua" w:eastAsia="SimSun" w:hAnsi="Book Antiqua" w:cs="Times New Roman"/>
          <w:b/>
          <w:kern w:val="2"/>
          <w:sz w:val="24"/>
          <w:szCs w:val="24"/>
          <w:lang w:val="en-US" w:eastAsia="zh-CN"/>
        </w:rPr>
        <w:t>34</w:t>
      </w:r>
      <w:r w:rsidRPr="0079666F">
        <w:rPr>
          <w:rFonts w:ascii="Book Antiqua" w:eastAsia="SimSun" w:hAnsi="Book Antiqua" w:cs="Times New Roman"/>
          <w:kern w:val="2"/>
          <w:sz w:val="24"/>
          <w:szCs w:val="24"/>
          <w:lang w:val="en-US" w:eastAsia="zh-CN"/>
        </w:rPr>
        <w:t>: 1084-1093 [PMID: 24107103 DOI: 10.1111/liv.12335]</w:t>
      </w:r>
    </w:p>
    <w:p w14:paraId="204A75F2"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49 </w:t>
      </w:r>
      <w:r w:rsidRPr="0079666F">
        <w:rPr>
          <w:rFonts w:ascii="Book Antiqua" w:eastAsia="SimSun" w:hAnsi="Book Antiqua" w:cs="Times New Roman"/>
          <w:b/>
          <w:kern w:val="2"/>
          <w:sz w:val="24"/>
          <w:szCs w:val="24"/>
          <w:lang w:val="en-US" w:eastAsia="zh-CN"/>
        </w:rPr>
        <w:t>Kanoski SE</w:t>
      </w:r>
      <w:r w:rsidRPr="0079666F">
        <w:rPr>
          <w:rFonts w:ascii="Book Antiqua" w:eastAsia="SimSun" w:hAnsi="Book Antiqua" w:cs="Times New Roman"/>
          <w:kern w:val="2"/>
          <w:sz w:val="24"/>
          <w:szCs w:val="24"/>
          <w:lang w:val="en-US" w:eastAsia="zh-CN"/>
        </w:rPr>
        <w:t xml:space="preserve">, Hayes MR, Skibicka KP. GLP-1 and weight loss: unraveling the diverse neural circuitry. </w:t>
      </w:r>
      <w:r w:rsidRPr="0079666F">
        <w:rPr>
          <w:rFonts w:ascii="Book Antiqua" w:eastAsia="SimSun" w:hAnsi="Book Antiqua" w:cs="Times New Roman"/>
          <w:i/>
          <w:kern w:val="2"/>
          <w:sz w:val="24"/>
          <w:szCs w:val="24"/>
          <w:lang w:val="en-US" w:eastAsia="zh-CN"/>
        </w:rPr>
        <w:t>Am J Physiol Regul Integr Comp Physiol</w:t>
      </w:r>
      <w:r w:rsidRPr="0079666F">
        <w:rPr>
          <w:rFonts w:ascii="Book Antiqua" w:eastAsia="SimSun" w:hAnsi="Book Antiqua" w:cs="Times New Roman"/>
          <w:kern w:val="2"/>
          <w:sz w:val="24"/>
          <w:szCs w:val="24"/>
          <w:lang w:val="en-US" w:eastAsia="zh-CN"/>
        </w:rPr>
        <w:t xml:space="preserve"> 2016; </w:t>
      </w:r>
      <w:r w:rsidRPr="0079666F">
        <w:rPr>
          <w:rFonts w:ascii="Book Antiqua" w:eastAsia="SimSun" w:hAnsi="Book Antiqua" w:cs="Times New Roman"/>
          <w:b/>
          <w:kern w:val="2"/>
          <w:sz w:val="24"/>
          <w:szCs w:val="24"/>
          <w:lang w:val="en-US" w:eastAsia="zh-CN"/>
        </w:rPr>
        <w:t>310</w:t>
      </w:r>
      <w:r w:rsidRPr="0079666F">
        <w:rPr>
          <w:rFonts w:ascii="Book Antiqua" w:eastAsia="SimSun" w:hAnsi="Book Antiqua" w:cs="Times New Roman"/>
          <w:kern w:val="2"/>
          <w:sz w:val="24"/>
          <w:szCs w:val="24"/>
          <w:lang w:val="en-US" w:eastAsia="zh-CN"/>
        </w:rPr>
        <w:t>: R885-R895 [PMID: 27030669 DOI: 10.1152/ajpregu.00520.2015]</w:t>
      </w:r>
    </w:p>
    <w:p w14:paraId="639B9130"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50 </w:t>
      </w:r>
      <w:r w:rsidRPr="0079666F">
        <w:rPr>
          <w:rFonts w:ascii="Book Antiqua" w:eastAsia="SimSun" w:hAnsi="Book Antiqua" w:cs="Times New Roman"/>
          <w:b/>
          <w:kern w:val="2"/>
          <w:sz w:val="24"/>
          <w:szCs w:val="24"/>
          <w:lang w:val="en-US" w:eastAsia="zh-CN"/>
        </w:rPr>
        <w:t>Patel NS</w:t>
      </w:r>
      <w:r w:rsidRPr="0079666F">
        <w:rPr>
          <w:rFonts w:ascii="Book Antiqua" w:eastAsia="SimSun" w:hAnsi="Book Antiqua" w:cs="Times New Roman"/>
          <w:kern w:val="2"/>
          <w:sz w:val="24"/>
          <w:szCs w:val="24"/>
          <w:lang w:val="en-US" w:eastAsia="zh-CN"/>
        </w:rPr>
        <w:t xml:space="preserve">, Doycheva I, Peterson MR, Hooker J, Kisselva T, Schnabl B, Seki E, Sirlin CB, Loomba R. Effect of weight loss on magnetic resonance imaging estimation of liver fat and volume in patients with nonalcoholic steatohepatitis. </w:t>
      </w:r>
      <w:r w:rsidRPr="0079666F">
        <w:rPr>
          <w:rFonts w:ascii="Book Antiqua" w:eastAsia="SimSun" w:hAnsi="Book Antiqua" w:cs="Times New Roman"/>
          <w:i/>
          <w:kern w:val="2"/>
          <w:sz w:val="24"/>
          <w:szCs w:val="24"/>
          <w:lang w:val="en-US" w:eastAsia="zh-CN"/>
        </w:rPr>
        <w:t>Clin Gastroenterol Hepatol</w:t>
      </w:r>
      <w:r w:rsidRPr="0079666F">
        <w:rPr>
          <w:rFonts w:ascii="Book Antiqua" w:eastAsia="SimSun" w:hAnsi="Book Antiqua" w:cs="Times New Roman"/>
          <w:kern w:val="2"/>
          <w:sz w:val="24"/>
          <w:szCs w:val="24"/>
          <w:lang w:val="en-US" w:eastAsia="zh-CN"/>
        </w:rPr>
        <w:t xml:space="preserve"> 2015; </w:t>
      </w:r>
      <w:r w:rsidRPr="0079666F">
        <w:rPr>
          <w:rFonts w:ascii="Book Antiqua" w:eastAsia="SimSun" w:hAnsi="Book Antiqua" w:cs="Times New Roman"/>
          <w:b/>
          <w:kern w:val="2"/>
          <w:sz w:val="24"/>
          <w:szCs w:val="24"/>
          <w:lang w:val="en-US" w:eastAsia="zh-CN"/>
        </w:rPr>
        <w:t>13</w:t>
      </w:r>
      <w:r w:rsidRPr="0079666F">
        <w:rPr>
          <w:rFonts w:ascii="Book Antiqua" w:eastAsia="SimSun" w:hAnsi="Book Antiqua" w:cs="Times New Roman"/>
          <w:kern w:val="2"/>
          <w:sz w:val="24"/>
          <w:szCs w:val="24"/>
          <w:lang w:val="en-US" w:eastAsia="zh-CN"/>
        </w:rPr>
        <w:t>: 561-568.e1 [PMID: 25218667 DOI: 10.1016/j.cgh.2014.08.039]</w:t>
      </w:r>
    </w:p>
    <w:p w14:paraId="621DDB31"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51 </w:t>
      </w:r>
      <w:r w:rsidRPr="0079666F">
        <w:rPr>
          <w:rFonts w:ascii="Book Antiqua" w:eastAsia="SimSun" w:hAnsi="Book Antiqua" w:cs="Times New Roman"/>
          <w:b/>
          <w:kern w:val="2"/>
          <w:sz w:val="24"/>
          <w:szCs w:val="24"/>
          <w:lang w:val="en-US" w:eastAsia="zh-CN"/>
        </w:rPr>
        <w:t>McMahan RH</w:t>
      </w:r>
      <w:r w:rsidRPr="0079666F">
        <w:rPr>
          <w:rFonts w:ascii="Book Antiqua" w:eastAsia="SimSun" w:hAnsi="Book Antiqua" w:cs="Times New Roman"/>
          <w:kern w:val="2"/>
          <w:sz w:val="24"/>
          <w:szCs w:val="24"/>
          <w:lang w:val="en-US" w:eastAsia="zh-CN"/>
        </w:rPr>
        <w:t xml:space="preserve">, Wang XX, Cheng LL, Krisko T, Smith M, El Kasmi K, Pruzanski M, Adorini L, Golden-Mason L, Levi M, Rosen HR. Bile acid receptor activation modulates hepatic monocyte activity and improves nonalcoholic fatty liver disease. </w:t>
      </w:r>
      <w:r w:rsidRPr="0079666F">
        <w:rPr>
          <w:rFonts w:ascii="Book Antiqua" w:eastAsia="SimSun" w:hAnsi="Book Antiqua" w:cs="Times New Roman"/>
          <w:i/>
          <w:kern w:val="2"/>
          <w:sz w:val="24"/>
          <w:szCs w:val="24"/>
          <w:lang w:val="en-US" w:eastAsia="zh-CN"/>
        </w:rPr>
        <w:t>J Biol Chem</w:t>
      </w:r>
      <w:r w:rsidRPr="0079666F">
        <w:rPr>
          <w:rFonts w:ascii="Book Antiqua" w:eastAsia="SimSun" w:hAnsi="Book Antiqua" w:cs="Times New Roman"/>
          <w:kern w:val="2"/>
          <w:sz w:val="24"/>
          <w:szCs w:val="24"/>
          <w:lang w:val="en-US" w:eastAsia="zh-CN"/>
        </w:rPr>
        <w:t xml:space="preserve"> 2013; </w:t>
      </w:r>
      <w:r w:rsidRPr="0079666F">
        <w:rPr>
          <w:rFonts w:ascii="Book Antiqua" w:eastAsia="SimSun" w:hAnsi="Book Antiqua" w:cs="Times New Roman"/>
          <w:b/>
          <w:kern w:val="2"/>
          <w:sz w:val="24"/>
          <w:szCs w:val="24"/>
          <w:lang w:val="en-US" w:eastAsia="zh-CN"/>
        </w:rPr>
        <w:t>288</w:t>
      </w:r>
      <w:r w:rsidRPr="0079666F">
        <w:rPr>
          <w:rFonts w:ascii="Book Antiqua" w:eastAsia="SimSun" w:hAnsi="Book Antiqua" w:cs="Times New Roman"/>
          <w:kern w:val="2"/>
          <w:sz w:val="24"/>
          <w:szCs w:val="24"/>
          <w:lang w:val="en-US" w:eastAsia="zh-CN"/>
        </w:rPr>
        <w:t>: 11761-11770 [PMID: 23460643 DOI: 10.1074/jbc.M112.446575]</w:t>
      </w:r>
    </w:p>
    <w:p w14:paraId="2E6ED133"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52 </w:t>
      </w:r>
      <w:r w:rsidRPr="0079666F">
        <w:rPr>
          <w:rFonts w:ascii="Book Antiqua" w:eastAsia="SimSun" w:hAnsi="Book Antiqua" w:cs="Times New Roman"/>
          <w:b/>
          <w:kern w:val="2"/>
          <w:sz w:val="24"/>
          <w:szCs w:val="24"/>
          <w:lang w:val="en-US" w:eastAsia="zh-CN"/>
        </w:rPr>
        <w:t>Kuipers F</w:t>
      </w:r>
      <w:r w:rsidRPr="0079666F">
        <w:rPr>
          <w:rFonts w:ascii="Book Antiqua" w:eastAsia="SimSun" w:hAnsi="Book Antiqua" w:cs="Times New Roman"/>
          <w:kern w:val="2"/>
          <w:sz w:val="24"/>
          <w:szCs w:val="24"/>
          <w:lang w:val="en-US" w:eastAsia="zh-CN"/>
        </w:rPr>
        <w:t xml:space="preserve">, Bloks VW, Groen AK. Beyond intestinal soap--bile acids in metabolic control. </w:t>
      </w:r>
      <w:r w:rsidRPr="0079666F">
        <w:rPr>
          <w:rFonts w:ascii="Book Antiqua" w:eastAsia="SimSun" w:hAnsi="Book Antiqua" w:cs="Times New Roman"/>
          <w:i/>
          <w:kern w:val="2"/>
          <w:sz w:val="24"/>
          <w:szCs w:val="24"/>
          <w:lang w:val="en-US" w:eastAsia="zh-CN"/>
        </w:rPr>
        <w:t>Nat Rev Endocrinol</w:t>
      </w:r>
      <w:r w:rsidRPr="0079666F">
        <w:rPr>
          <w:rFonts w:ascii="Book Antiqua" w:eastAsia="SimSun" w:hAnsi="Book Antiqua" w:cs="Times New Roman"/>
          <w:kern w:val="2"/>
          <w:sz w:val="24"/>
          <w:szCs w:val="24"/>
          <w:lang w:val="en-US" w:eastAsia="zh-CN"/>
        </w:rPr>
        <w:t xml:space="preserve"> 2014; </w:t>
      </w:r>
      <w:r w:rsidRPr="0079666F">
        <w:rPr>
          <w:rFonts w:ascii="Book Antiqua" w:eastAsia="SimSun" w:hAnsi="Book Antiqua" w:cs="Times New Roman"/>
          <w:b/>
          <w:kern w:val="2"/>
          <w:sz w:val="24"/>
          <w:szCs w:val="24"/>
          <w:lang w:val="en-US" w:eastAsia="zh-CN"/>
        </w:rPr>
        <w:t>10</w:t>
      </w:r>
      <w:r w:rsidRPr="0079666F">
        <w:rPr>
          <w:rFonts w:ascii="Book Antiqua" w:eastAsia="SimSun" w:hAnsi="Book Antiqua" w:cs="Times New Roman"/>
          <w:kern w:val="2"/>
          <w:sz w:val="24"/>
          <w:szCs w:val="24"/>
          <w:lang w:val="en-US" w:eastAsia="zh-CN"/>
        </w:rPr>
        <w:t>: 488-498 [PMID: 24821328 DOI: 10.1038/nrendo.2014.60]</w:t>
      </w:r>
    </w:p>
    <w:p w14:paraId="6C5C68AB"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53 </w:t>
      </w:r>
      <w:r w:rsidRPr="0079666F">
        <w:rPr>
          <w:rFonts w:ascii="Book Antiqua" w:eastAsia="SimSun" w:hAnsi="Book Antiqua" w:cs="Times New Roman"/>
          <w:b/>
          <w:kern w:val="2"/>
          <w:sz w:val="24"/>
          <w:szCs w:val="24"/>
          <w:lang w:val="en-US" w:eastAsia="zh-CN"/>
        </w:rPr>
        <w:t>Fiorucci S</w:t>
      </w:r>
      <w:r w:rsidRPr="0079666F">
        <w:rPr>
          <w:rFonts w:ascii="Book Antiqua" w:eastAsia="SimSun" w:hAnsi="Book Antiqua" w:cs="Times New Roman"/>
          <w:kern w:val="2"/>
          <w:sz w:val="24"/>
          <w:szCs w:val="24"/>
          <w:lang w:val="en-US" w:eastAsia="zh-CN"/>
        </w:rPr>
        <w:t xml:space="preserve">, Mencarelli A, Palladino G, Cipriani S. Bile-acid-activated receptors: targeting TGR5 and farnesoid-X-receptor in lipid and glucose disorders. </w:t>
      </w:r>
      <w:r w:rsidRPr="0079666F">
        <w:rPr>
          <w:rFonts w:ascii="Book Antiqua" w:eastAsia="SimSun" w:hAnsi="Book Antiqua" w:cs="Times New Roman"/>
          <w:i/>
          <w:kern w:val="2"/>
          <w:sz w:val="24"/>
          <w:szCs w:val="24"/>
          <w:lang w:val="en-US" w:eastAsia="zh-CN"/>
        </w:rPr>
        <w:t>Trends Pharmacol Sci</w:t>
      </w:r>
      <w:r w:rsidRPr="0079666F">
        <w:rPr>
          <w:rFonts w:ascii="Book Antiqua" w:eastAsia="SimSun" w:hAnsi="Book Antiqua" w:cs="Times New Roman"/>
          <w:kern w:val="2"/>
          <w:sz w:val="24"/>
          <w:szCs w:val="24"/>
          <w:lang w:val="en-US" w:eastAsia="zh-CN"/>
        </w:rPr>
        <w:t xml:space="preserve"> 2009; </w:t>
      </w:r>
      <w:r w:rsidRPr="0079666F">
        <w:rPr>
          <w:rFonts w:ascii="Book Antiqua" w:eastAsia="SimSun" w:hAnsi="Book Antiqua" w:cs="Times New Roman"/>
          <w:b/>
          <w:kern w:val="2"/>
          <w:sz w:val="24"/>
          <w:szCs w:val="24"/>
          <w:lang w:val="en-US" w:eastAsia="zh-CN"/>
        </w:rPr>
        <w:t>30</w:t>
      </w:r>
      <w:r w:rsidRPr="0079666F">
        <w:rPr>
          <w:rFonts w:ascii="Book Antiqua" w:eastAsia="SimSun" w:hAnsi="Book Antiqua" w:cs="Times New Roman"/>
          <w:kern w:val="2"/>
          <w:sz w:val="24"/>
          <w:szCs w:val="24"/>
          <w:lang w:val="en-US" w:eastAsia="zh-CN"/>
        </w:rPr>
        <w:t>: 570-580 [PMID: 19758712 DOI: 10.1016/j.tips.2009.08.001]</w:t>
      </w:r>
    </w:p>
    <w:p w14:paraId="30284B7A"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54 </w:t>
      </w:r>
      <w:r w:rsidRPr="0079666F">
        <w:rPr>
          <w:rFonts w:ascii="Book Antiqua" w:eastAsia="SimSun" w:hAnsi="Book Antiqua" w:cs="Times New Roman"/>
          <w:b/>
          <w:kern w:val="2"/>
          <w:sz w:val="24"/>
          <w:szCs w:val="24"/>
          <w:lang w:val="en-US" w:eastAsia="zh-CN"/>
        </w:rPr>
        <w:t>Li Y</w:t>
      </w:r>
      <w:r w:rsidRPr="0079666F">
        <w:rPr>
          <w:rFonts w:ascii="Book Antiqua" w:eastAsia="SimSun" w:hAnsi="Book Antiqua" w:cs="Times New Roman"/>
          <w:kern w:val="2"/>
          <w:sz w:val="24"/>
          <w:szCs w:val="24"/>
          <w:lang w:val="en-US" w:eastAsia="zh-CN"/>
        </w:rPr>
        <w:t xml:space="preserve">, Jadhav K, Zhang Y. Bile acid receptors in non-alcoholic fatty liver disease. </w:t>
      </w:r>
      <w:r w:rsidRPr="0079666F">
        <w:rPr>
          <w:rFonts w:ascii="Book Antiqua" w:eastAsia="SimSun" w:hAnsi="Book Antiqua" w:cs="Times New Roman"/>
          <w:i/>
          <w:kern w:val="2"/>
          <w:sz w:val="24"/>
          <w:szCs w:val="24"/>
          <w:lang w:val="en-US" w:eastAsia="zh-CN"/>
        </w:rPr>
        <w:t>Biochem Pharmacol</w:t>
      </w:r>
      <w:r w:rsidRPr="0079666F">
        <w:rPr>
          <w:rFonts w:ascii="Book Antiqua" w:eastAsia="SimSun" w:hAnsi="Book Antiqua" w:cs="Times New Roman"/>
          <w:kern w:val="2"/>
          <w:sz w:val="24"/>
          <w:szCs w:val="24"/>
          <w:lang w:val="en-US" w:eastAsia="zh-CN"/>
        </w:rPr>
        <w:t xml:space="preserve"> 2013; </w:t>
      </w:r>
      <w:r w:rsidRPr="0079666F">
        <w:rPr>
          <w:rFonts w:ascii="Book Antiqua" w:eastAsia="SimSun" w:hAnsi="Book Antiqua" w:cs="Times New Roman"/>
          <w:b/>
          <w:kern w:val="2"/>
          <w:sz w:val="24"/>
          <w:szCs w:val="24"/>
          <w:lang w:val="en-US" w:eastAsia="zh-CN"/>
        </w:rPr>
        <w:t>86</w:t>
      </w:r>
      <w:r w:rsidRPr="0079666F">
        <w:rPr>
          <w:rFonts w:ascii="Book Antiqua" w:eastAsia="SimSun" w:hAnsi="Book Antiqua" w:cs="Times New Roman"/>
          <w:kern w:val="2"/>
          <w:sz w:val="24"/>
          <w:szCs w:val="24"/>
          <w:lang w:val="en-US" w:eastAsia="zh-CN"/>
        </w:rPr>
        <w:t>: 1517-1524 [PMID: 23988487 DOI: 10.1016/j.bcp.2013.08.015]</w:t>
      </w:r>
    </w:p>
    <w:p w14:paraId="14E45BC4"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55 </w:t>
      </w:r>
      <w:r w:rsidRPr="0079666F">
        <w:rPr>
          <w:rFonts w:ascii="Book Antiqua" w:eastAsia="SimSun" w:hAnsi="Book Antiqua" w:cs="Times New Roman"/>
          <w:b/>
          <w:kern w:val="2"/>
          <w:sz w:val="24"/>
          <w:szCs w:val="24"/>
          <w:lang w:val="en-US" w:eastAsia="zh-CN"/>
        </w:rPr>
        <w:t>Ma Y</w:t>
      </w:r>
      <w:r w:rsidRPr="0079666F">
        <w:rPr>
          <w:rFonts w:ascii="Book Antiqua" w:eastAsia="SimSun" w:hAnsi="Book Antiqua" w:cs="Times New Roman"/>
          <w:kern w:val="2"/>
          <w:sz w:val="24"/>
          <w:szCs w:val="24"/>
          <w:lang w:val="en-US" w:eastAsia="zh-CN"/>
        </w:rPr>
        <w:t xml:space="preserve">, Huang Y, Yan L, Gao M, Liu D. Synthetic FXR agonist GW4064 prevents diet-induced hepatic steatosis and insulin resistance. </w:t>
      </w:r>
      <w:r w:rsidRPr="0079666F">
        <w:rPr>
          <w:rFonts w:ascii="Book Antiqua" w:eastAsia="SimSun" w:hAnsi="Book Antiqua" w:cs="Times New Roman"/>
          <w:i/>
          <w:kern w:val="2"/>
          <w:sz w:val="24"/>
          <w:szCs w:val="24"/>
          <w:lang w:val="en-US" w:eastAsia="zh-CN"/>
        </w:rPr>
        <w:t>Pharm Res</w:t>
      </w:r>
      <w:r w:rsidRPr="0079666F">
        <w:rPr>
          <w:rFonts w:ascii="Book Antiqua" w:eastAsia="SimSun" w:hAnsi="Book Antiqua" w:cs="Times New Roman"/>
          <w:kern w:val="2"/>
          <w:sz w:val="24"/>
          <w:szCs w:val="24"/>
          <w:lang w:val="en-US" w:eastAsia="zh-CN"/>
        </w:rPr>
        <w:t xml:space="preserve"> 2013; </w:t>
      </w:r>
      <w:r w:rsidRPr="0079666F">
        <w:rPr>
          <w:rFonts w:ascii="Book Antiqua" w:eastAsia="SimSun" w:hAnsi="Book Antiqua" w:cs="Times New Roman"/>
          <w:b/>
          <w:kern w:val="2"/>
          <w:sz w:val="24"/>
          <w:szCs w:val="24"/>
          <w:lang w:val="en-US" w:eastAsia="zh-CN"/>
        </w:rPr>
        <w:t>30</w:t>
      </w:r>
      <w:r w:rsidRPr="0079666F">
        <w:rPr>
          <w:rFonts w:ascii="Book Antiqua" w:eastAsia="SimSun" w:hAnsi="Book Antiqua" w:cs="Times New Roman"/>
          <w:kern w:val="2"/>
          <w:sz w:val="24"/>
          <w:szCs w:val="24"/>
          <w:lang w:val="en-US" w:eastAsia="zh-CN"/>
        </w:rPr>
        <w:t>: 1447-1457 [PMID: 23371517 DOI: 10.1007/s11095-013-0986-7]</w:t>
      </w:r>
    </w:p>
    <w:p w14:paraId="17A13CE1"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56 </w:t>
      </w:r>
      <w:r w:rsidRPr="0079666F">
        <w:rPr>
          <w:rFonts w:ascii="Book Antiqua" w:eastAsia="SimSun" w:hAnsi="Book Antiqua" w:cs="Times New Roman"/>
          <w:b/>
          <w:kern w:val="2"/>
          <w:sz w:val="24"/>
          <w:szCs w:val="24"/>
          <w:lang w:val="en-US" w:eastAsia="zh-CN"/>
        </w:rPr>
        <w:t>Cipriani S</w:t>
      </w:r>
      <w:r w:rsidRPr="0079666F">
        <w:rPr>
          <w:rFonts w:ascii="Book Antiqua" w:eastAsia="SimSun" w:hAnsi="Book Antiqua" w:cs="Times New Roman"/>
          <w:kern w:val="2"/>
          <w:sz w:val="24"/>
          <w:szCs w:val="24"/>
          <w:lang w:val="en-US" w:eastAsia="zh-CN"/>
        </w:rPr>
        <w:t xml:space="preserve">, Mencarelli A, Palladino G, Fiorucci S. FXR activation reverses insulin resistance and lipid abnormalities and protects against liver steatosis in Zucker (fa/fa) obese rats. </w:t>
      </w:r>
      <w:r w:rsidRPr="0079666F">
        <w:rPr>
          <w:rFonts w:ascii="Book Antiqua" w:eastAsia="SimSun" w:hAnsi="Book Antiqua" w:cs="Times New Roman"/>
          <w:i/>
          <w:kern w:val="2"/>
          <w:sz w:val="24"/>
          <w:szCs w:val="24"/>
          <w:lang w:val="en-US" w:eastAsia="zh-CN"/>
        </w:rPr>
        <w:t>J Lipid Res</w:t>
      </w:r>
      <w:r w:rsidRPr="0079666F">
        <w:rPr>
          <w:rFonts w:ascii="Book Antiqua" w:eastAsia="SimSun" w:hAnsi="Book Antiqua" w:cs="Times New Roman"/>
          <w:kern w:val="2"/>
          <w:sz w:val="24"/>
          <w:szCs w:val="24"/>
          <w:lang w:val="en-US" w:eastAsia="zh-CN"/>
        </w:rPr>
        <w:t xml:space="preserve"> 2010; </w:t>
      </w:r>
      <w:r w:rsidRPr="0079666F">
        <w:rPr>
          <w:rFonts w:ascii="Book Antiqua" w:eastAsia="SimSun" w:hAnsi="Book Antiqua" w:cs="Times New Roman"/>
          <w:b/>
          <w:kern w:val="2"/>
          <w:sz w:val="24"/>
          <w:szCs w:val="24"/>
          <w:lang w:val="en-US" w:eastAsia="zh-CN"/>
        </w:rPr>
        <w:t>51</w:t>
      </w:r>
      <w:r w:rsidRPr="0079666F">
        <w:rPr>
          <w:rFonts w:ascii="Book Antiqua" w:eastAsia="SimSun" w:hAnsi="Book Antiqua" w:cs="Times New Roman"/>
          <w:kern w:val="2"/>
          <w:sz w:val="24"/>
          <w:szCs w:val="24"/>
          <w:lang w:val="en-US" w:eastAsia="zh-CN"/>
        </w:rPr>
        <w:t>: 771-784 [PMID: 19783811 DOI: 10.1194/jlr.M001602]</w:t>
      </w:r>
    </w:p>
    <w:p w14:paraId="1FA952F1"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57 </w:t>
      </w:r>
      <w:r w:rsidRPr="0079666F">
        <w:rPr>
          <w:rFonts w:ascii="Book Antiqua" w:eastAsia="SimSun" w:hAnsi="Book Antiqua" w:cs="Times New Roman"/>
          <w:b/>
          <w:kern w:val="2"/>
          <w:sz w:val="24"/>
          <w:szCs w:val="24"/>
          <w:lang w:val="en-US" w:eastAsia="zh-CN"/>
        </w:rPr>
        <w:t>Kong B</w:t>
      </w:r>
      <w:r w:rsidRPr="0079666F">
        <w:rPr>
          <w:rFonts w:ascii="Book Antiqua" w:eastAsia="SimSun" w:hAnsi="Book Antiqua" w:cs="Times New Roman"/>
          <w:kern w:val="2"/>
          <w:sz w:val="24"/>
          <w:szCs w:val="24"/>
          <w:lang w:val="en-US" w:eastAsia="zh-CN"/>
        </w:rPr>
        <w:t>, Luyendyk JP, Tawfik O, Guo GL. Farnesoid X receptor deficiency induces nonalcoholic steatohepatitis in low-density lipoprotein receptor-knockout mice fed a high-</w:t>
      </w:r>
      <w:r w:rsidRPr="0079666F">
        <w:rPr>
          <w:rFonts w:ascii="Book Antiqua" w:eastAsia="SimSun" w:hAnsi="Book Antiqua" w:cs="Times New Roman"/>
          <w:kern w:val="2"/>
          <w:sz w:val="24"/>
          <w:szCs w:val="24"/>
          <w:lang w:val="en-US" w:eastAsia="zh-CN"/>
        </w:rPr>
        <w:lastRenderedPageBreak/>
        <w:t xml:space="preserve">fat diet. </w:t>
      </w:r>
      <w:r w:rsidRPr="0079666F">
        <w:rPr>
          <w:rFonts w:ascii="Book Antiqua" w:eastAsia="SimSun" w:hAnsi="Book Antiqua" w:cs="Times New Roman"/>
          <w:i/>
          <w:kern w:val="2"/>
          <w:sz w:val="24"/>
          <w:szCs w:val="24"/>
          <w:lang w:val="en-US" w:eastAsia="zh-CN"/>
        </w:rPr>
        <w:t>J Pharmacol Exp Ther</w:t>
      </w:r>
      <w:r w:rsidRPr="0079666F">
        <w:rPr>
          <w:rFonts w:ascii="Book Antiqua" w:eastAsia="SimSun" w:hAnsi="Book Antiqua" w:cs="Times New Roman"/>
          <w:kern w:val="2"/>
          <w:sz w:val="24"/>
          <w:szCs w:val="24"/>
          <w:lang w:val="en-US" w:eastAsia="zh-CN"/>
        </w:rPr>
        <w:t xml:space="preserve"> 2009; </w:t>
      </w:r>
      <w:r w:rsidRPr="0079666F">
        <w:rPr>
          <w:rFonts w:ascii="Book Antiqua" w:eastAsia="SimSun" w:hAnsi="Book Antiqua" w:cs="Times New Roman"/>
          <w:b/>
          <w:kern w:val="2"/>
          <w:sz w:val="24"/>
          <w:szCs w:val="24"/>
          <w:lang w:val="en-US" w:eastAsia="zh-CN"/>
        </w:rPr>
        <w:t>328</w:t>
      </w:r>
      <w:r w:rsidRPr="0079666F">
        <w:rPr>
          <w:rFonts w:ascii="Book Antiqua" w:eastAsia="SimSun" w:hAnsi="Book Antiqua" w:cs="Times New Roman"/>
          <w:kern w:val="2"/>
          <w:sz w:val="24"/>
          <w:szCs w:val="24"/>
          <w:lang w:val="en-US" w:eastAsia="zh-CN"/>
        </w:rPr>
        <w:t>: 116-122 [PMID: 18948497 DOI: 10.1124/jpet.108.144600]</w:t>
      </w:r>
    </w:p>
    <w:p w14:paraId="3DDF9ACD"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58 </w:t>
      </w:r>
      <w:r w:rsidRPr="0079666F">
        <w:rPr>
          <w:rFonts w:ascii="Book Antiqua" w:eastAsia="SimSun" w:hAnsi="Book Antiqua" w:cs="Times New Roman"/>
          <w:b/>
          <w:kern w:val="2"/>
          <w:sz w:val="24"/>
          <w:szCs w:val="24"/>
          <w:lang w:val="en-US" w:eastAsia="zh-CN"/>
        </w:rPr>
        <w:t>Jouihan H</w:t>
      </w:r>
      <w:r w:rsidRPr="0079666F">
        <w:rPr>
          <w:rFonts w:ascii="Book Antiqua" w:eastAsia="SimSun" w:hAnsi="Book Antiqua" w:cs="Times New Roman"/>
          <w:kern w:val="2"/>
          <w:sz w:val="24"/>
          <w:szCs w:val="24"/>
          <w:lang w:val="en-US" w:eastAsia="zh-CN"/>
        </w:rPr>
        <w:t xml:space="preserve">, Will S, Guionaud S, Boland ML, Oldham S, Ravn P, Celeste A, Trevaskis JL. Superior reductions in hepatic steatosis and fibrosis with co-administration of a glucagon-like peptide-1 receptor agonist and obeticholic acid in mice. </w:t>
      </w:r>
      <w:r w:rsidRPr="0079666F">
        <w:rPr>
          <w:rFonts w:ascii="Book Antiqua" w:eastAsia="SimSun" w:hAnsi="Book Antiqua" w:cs="Times New Roman"/>
          <w:i/>
          <w:kern w:val="2"/>
          <w:sz w:val="24"/>
          <w:szCs w:val="24"/>
          <w:lang w:val="en-US" w:eastAsia="zh-CN"/>
        </w:rPr>
        <w:t>Mol Metab</w:t>
      </w:r>
      <w:r w:rsidRPr="0079666F">
        <w:rPr>
          <w:rFonts w:ascii="Book Antiqua" w:eastAsia="SimSun" w:hAnsi="Book Antiqua" w:cs="Times New Roman"/>
          <w:kern w:val="2"/>
          <w:sz w:val="24"/>
          <w:szCs w:val="24"/>
          <w:lang w:val="en-US" w:eastAsia="zh-CN"/>
        </w:rPr>
        <w:t xml:space="preserve"> 2017; </w:t>
      </w:r>
      <w:r w:rsidRPr="0079666F">
        <w:rPr>
          <w:rFonts w:ascii="Book Antiqua" w:eastAsia="SimSun" w:hAnsi="Book Antiqua" w:cs="Times New Roman"/>
          <w:b/>
          <w:kern w:val="2"/>
          <w:sz w:val="24"/>
          <w:szCs w:val="24"/>
          <w:lang w:val="en-US" w:eastAsia="zh-CN"/>
        </w:rPr>
        <w:t>6</w:t>
      </w:r>
      <w:r w:rsidRPr="0079666F">
        <w:rPr>
          <w:rFonts w:ascii="Book Antiqua" w:eastAsia="SimSun" w:hAnsi="Book Antiqua" w:cs="Times New Roman"/>
          <w:kern w:val="2"/>
          <w:sz w:val="24"/>
          <w:szCs w:val="24"/>
          <w:lang w:val="en-US" w:eastAsia="zh-CN"/>
        </w:rPr>
        <w:t>: 1360-1370 [PMID: 29107284 DOI: 10.1016/j.molmet.2017.09.001]</w:t>
      </w:r>
    </w:p>
    <w:p w14:paraId="46428D9A"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59 </w:t>
      </w:r>
      <w:r w:rsidRPr="0079666F">
        <w:rPr>
          <w:rFonts w:ascii="Book Antiqua" w:eastAsia="SimSun" w:hAnsi="Book Antiqua" w:cs="Times New Roman"/>
          <w:b/>
          <w:kern w:val="2"/>
          <w:sz w:val="24"/>
          <w:szCs w:val="24"/>
          <w:lang w:val="en-US" w:eastAsia="zh-CN"/>
        </w:rPr>
        <w:t>Zhang DG</w:t>
      </w:r>
      <w:r w:rsidRPr="0079666F">
        <w:rPr>
          <w:rFonts w:ascii="Book Antiqua" w:eastAsia="SimSun" w:hAnsi="Book Antiqua" w:cs="Times New Roman"/>
          <w:kern w:val="2"/>
          <w:sz w:val="24"/>
          <w:szCs w:val="24"/>
          <w:lang w:val="en-US" w:eastAsia="zh-CN"/>
        </w:rPr>
        <w:t xml:space="preserve">, Zhang C, Wang JX, Wang BW, Wang H, Zhang ZH, Chen YH, Lu Y, Tao L, Wang JQ, Chen X, Xu DX. Obeticholic acid protects against carbon tetrachloride-induced acute liver injury and inflammation. </w:t>
      </w:r>
      <w:r w:rsidRPr="0079666F">
        <w:rPr>
          <w:rFonts w:ascii="Book Antiqua" w:eastAsia="SimSun" w:hAnsi="Book Antiqua" w:cs="Times New Roman"/>
          <w:i/>
          <w:kern w:val="2"/>
          <w:sz w:val="24"/>
          <w:szCs w:val="24"/>
          <w:lang w:val="en-US" w:eastAsia="zh-CN"/>
        </w:rPr>
        <w:t>Toxicol Appl Pharmacol</w:t>
      </w:r>
      <w:r w:rsidRPr="0079666F">
        <w:rPr>
          <w:rFonts w:ascii="Book Antiqua" w:eastAsia="SimSun" w:hAnsi="Book Antiqua" w:cs="Times New Roman"/>
          <w:kern w:val="2"/>
          <w:sz w:val="24"/>
          <w:szCs w:val="24"/>
          <w:lang w:val="en-US" w:eastAsia="zh-CN"/>
        </w:rPr>
        <w:t xml:space="preserve"> 2017; </w:t>
      </w:r>
      <w:r w:rsidRPr="0079666F">
        <w:rPr>
          <w:rFonts w:ascii="Book Antiqua" w:eastAsia="SimSun" w:hAnsi="Book Antiqua" w:cs="Times New Roman"/>
          <w:b/>
          <w:kern w:val="2"/>
          <w:sz w:val="24"/>
          <w:szCs w:val="24"/>
          <w:lang w:val="en-US" w:eastAsia="zh-CN"/>
        </w:rPr>
        <w:t>314</w:t>
      </w:r>
      <w:r w:rsidRPr="0079666F">
        <w:rPr>
          <w:rFonts w:ascii="Book Antiqua" w:eastAsia="SimSun" w:hAnsi="Book Antiqua" w:cs="Times New Roman"/>
          <w:kern w:val="2"/>
          <w:sz w:val="24"/>
          <w:szCs w:val="24"/>
          <w:lang w:val="en-US" w:eastAsia="zh-CN"/>
        </w:rPr>
        <w:t>: 39-47 [PMID: 27865854 DOI: 10.1016/j.taap.2016.11.006]</w:t>
      </w:r>
    </w:p>
    <w:p w14:paraId="023F32B4" w14:textId="382EEC5C"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60 </w:t>
      </w:r>
      <w:r w:rsidRPr="0079666F">
        <w:rPr>
          <w:rFonts w:ascii="Book Antiqua" w:eastAsia="SimSun" w:hAnsi="Book Antiqua" w:cs="Times New Roman"/>
          <w:b/>
          <w:kern w:val="2"/>
          <w:sz w:val="24"/>
          <w:szCs w:val="24"/>
          <w:lang w:val="en-US" w:eastAsia="zh-CN"/>
        </w:rPr>
        <w:t>Chinetti G</w:t>
      </w:r>
      <w:r w:rsidRPr="0079666F">
        <w:rPr>
          <w:rFonts w:ascii="Book Antiqua" w:eastAsia="SimSun" w:hAnsi="Book Antiqua" w:cs="Times New Roman"/>
          <w:kern w:val="2"/>
          <w:sz w:val="24"/>
          <w:szCs w:val="24"/>
          <w:lang w:val="en-US" w:eastAsia="zh-CN"/>
        </w:rPr>
        <w:t xml:space="preserve">, Fruchart JC, Staels B. Peroxisome proliferator-activated receptors: new targets for the pharmacological modulation of macrophage gene expression and function. </w:t>
      </w:r>
      <w:r w:rsidRPr="0079666F">
        <w:rPr>
          <w:rFonts w:ascii="Book Antiqua" w:eastAsia="SimSun" w:hAnsi="Book Antiqua" w:cs="Times New Roman"/>
          <w:i/>
          <w:kern w:val="2"/>
          <w:sz w:val="24"/>
          <w:szCs w:val="24"/>
          <w:lang w:val="en-US" w:eastAsia="zh-CN"/>
        </w:rPr>
        <w:t>Curr Opin Lipidol</w:t>
      </w:r>
      <w:r w:rsidRPr="0079666F">
        <w:rPr>
          <w:rFonts w:ascii="Book Antiqua" w:eastAsia="SimSun" w:hAnsi="Book Antiqua" w:cs="Times New Roman"/>
          <w:kern w:val="2"/>
          <w:sz w:val="24"/>
          <w:szCs w:val="24"/>
          <w:lang w:val="en-US" w:eastAsia="zh-CN"/>
        </w:rPr>
        <w:t xml:space="preserve"> 2003; </w:t>
      </w:r>
      <w:r w:rsidRPr="0079666F">
        <w:rPr>
          <w:rFonts w:ascii="Book Antiqua" w:eastAsia="SimSun" w:hAnsi="Book Antiqua" w:cs="Times New Roman"/>
          <w:b/>
          <w:kern w:val="2"/>
          <w:sz w:val="24"/>
          <w:szCs w:val="24"/>
          <w:lang w:val="en-US" w:eastAsia="zh-CN"/>
        </w:rPr>
        <w:t>14</w:t>
      </w:r>
      <w:r w:rsidRPr="0079666F">
        <w:rPr>
          <w:rFonts w:ascii="Book Antiqua" w:eastAsia="SimSun" w:hAnsi="Book Antiqua" w:cs="Times New Roman"/>
          <w:kern w:val="2"/>
          <w:sz w:val="24"/>
          <w:szCs w:val="24"/>
          <w:lang w:val="en-US" w:eastAsia="zh-CN"/>
        </w:rPr>
        <w:t>:</w:t>
      </w:r>
      <w:r w:rsidR="004538F9">
        <w:rPr>
          <w:rFonts w:ascii="Book Antiqua" w:eastAsia="SimSun" w:hAnsi="Book Antiqua" w:cs="Times New Roman" w:hint="eastAsia"/>
          <w:kern w:val="2"/>
          <w:sz w:val="24"/>
          <w:szCs w:val="24"/>
          <w:lang w:val="en-US" w:eastAsia="zh-CN"/>
        </w:rPr>
        <w:t xml:space="preserve"> </w:t>
      </w:r>
      <w:r w:rsidRPr="0079666F">
        <w:rPr>
          <w:rFonts w:ascii="Book Antiqua" w:eastAsia="SimSun" w:hAnsi="Book Antiqua" w:cs="Times New Roman"/>
          <w:kern w:val="2"/>
          <w:sz w:val="24"/>
          <w:szCs w:val="24"/>
          <w:lang w:val="en-US" w:eastAsia="zh-CN"/>
        </w:rPr>
        <w:t>459-468 [PMID: 14501584 DOI: 10.1097/01.mol.0000092630.86399.00]</w:t>
      </w:r>
    </w:p>
    <w:p w14:paraId="4D88CA21"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61 </w:t>
      </w:r>
      <w:r w:rsidRPr="0079666F">
        <w:rPr>
          <w:rFonts w:ascii="Book Antiqua" w:eastAsia="SimSun" w:hAnsi="Book Antiqua" w:cs="Times New Roman"/>
          <w:b/>
          <w:kern w:val="2"/>
          <w:sz w:val="24"/>
          <w:szCs w:val="24"/>
          <w:lang w:val="en-US" w:eastAsia="zh-CN"/>
        </w:rPr>
        <w:t>Gonzalez FJ</w:t>
      </w:r>
      <w:r w:rsidRPr="0079666F">
        <w:rPr>
          <w:rFonts w:ascii="Book Antiqua" w:eastAsia="SimSun" w:hAnsi="Book Antiqua" w:cs="Times New Roman"/>
          <w:kern w:val="2"/>
          <w:sz w:val="24"/>
          <w:szCs w:val="24"/>
          <w:lang w:val="en-US" w:eastAsia="zh-CN"/>
        </w:rPr>
        <w:t xml:space="preserve">, Shah YM. PPARalpha: mechanism of species differences and hepatocarcinogenesis of peroxisome proliferators. </w:t>
      </w:r>
      <w:r w:rsidRPr="0079666F">
        <w:rPr>
          <w:rFonts w:ascii="Book Antiqua" w:eastAsia="SimSun" w:hAnsi="Book Antiqua" w:cs="Times New Roman"/>
          <w:i/>
          <w:kern w:val="2"/>
          <w:sz w:val="24"/>
          <w:szCs w:val="24"/>
          <w:lang w:val="en-US" w:eastAsia="zh-CN"/>
        </w:rPr>
        <w:t>Toxicology</w:t>
      </w:r>
      <w:r w:rsidRPr="0079666F">
        <w:rPr>
          <w:rFonts w:ascii="Book Antiqua" w:eastAsia="SimSun" w:hAnsi="Book Antiqua" w:cs="Times New Roman"/>
          <w:kern w:val="2"/>
          <w:sz w:val="24"/>
          <w:szCs w:val="24"/>
          <w:lang w:val="en-US" w:eastAsia="zh-CN"/>
        </w:rPr>
        <w:t xml:space="preserve"> 2008; </w:t>
      </w:r>
      <w:r w:rsidRPr="0079666F">
        <w:rPr>
          <w:rFonts w:ascii="Book Antiqua" w:eastAsia="SimSun" w:hAnsi="Book Antiqua" w:cs="Times New Roman"/>
          <w:b/>
          <w:kern w:val="2"/>
          <w:sz w:val="24"/>
          <w:szCs w:val="24"/>
          <w:lang w:val="en-US" w:eastAsia="zh-CN"/>
        </w:rPr>
        <w:t>246</w:t>
      </w:r>
      <w:r w:rsidRPr="0079666F">
        <w:rPr>
          <w:rFonts w:ascii="Book Antiqua" w:eastAsia="SimSun" w:hAnsi="Book Antiqua" w:cs="Times New Roman"/>
          <w:kern w:val="2"/>
          <w:sz w:val="24"/>
          <w:szCs w:val="24"/>
          <w:lang w:val="en-US" w:eastAsia="zh-CN"/>
        </w:rPr>
        <w:t>: 2-8 [PMID: 18006136 DOI: 10.1016/j.tox.2007.09.030]</w:t>
      </w:r>
    </w:p>
    <w:p w14:paraId="13BF2A50"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62 </w:t>
      </w:r>
      <w:r w:rsidRPr="0079666F">
        <w:rPr>
          <w:rFonts w:ascii="Book Antiqua" w:eastAsia="SimSun" w:hAnsi="Book Antiqua" w:cs="Times New Roman"/>
          <w:b/>
          <w:kern w:val="2"/>
          <w:sz w:val="24"/>
          <w:szCs w:val="24"/>
          <w:lang w:val="en-US" w:eastAsia="zh-CN"/>
        </w:rPr>
        <w:t>Nagasawa T</w:t>
      </w:r>
      <w:r w:rsidRPr="0079666F">
        <w:rPr>
          <w:rFonts w:ascii="Book Antiqua" w:eastAsia="SimSun" w:hAnsi="Book Antiqua" w:cs="Times New Roman"/>
          <w:kern w:val="2"/>
          <w:sz w:val="24"/>
          <w:szCs w:val="24"/>
          <w:lang w:val="en-US" w:eastAsia="zh-CN"/>
        </w:rPr>
        <w:t xml:space="preserve">, Inada Y, Nakano S, Tamura T, Takahashi T, Maruyama K, Yamazaki Y, Kuroda J, Shibata N. Effects of bezafibrate, PPAR pan-agonist, and GW501516, PPARdelta agonist, on development of steatohepatitis in mice fed a methionine- and choline-deficient diet. </w:t>
      </w:r>
      <w:r w:rsidRPr="0079666F">
        <w:rPr>
          <w:rFonts w:ascii="Book Antiqua" w:eastAsia="SimSun" w:hAnsi="Book Antiqua" w:cs="Times New Roman"/>
          <w:i/>
          <w:kern w:val="2"/>
          <w:sz w:val="24"/>
          <w:szCs w:val="24"/>
          <w:lang w:val="en-US" w:eastAsia="zh-CN"/>
        </w:rPr>
        <w:t>Eur J Pharmacol</w:t>
      </w:r>
      <w:r w:rsidRPr="0079666F">
        <w:rPr>
          <w:rFonts w:ascii="Book Antiqua" w:eastAsia="SimSun" w:hAnsi="Book Antiqua" w:cs="Times New Roman"/>
          <w:kern w:val="2"/>
          <w:sz w:val="24"/>
          <w:szCs w:val="24"/>
          <w:lang w:val="en-US" w:eastAsia="zh-CN"/>
        </w:rPr>
        <w:t xml:space="preserve"> 2006; </w:t>
      </w:r>
      <w:r w:rsidRPr="0079666F">
        <w:rPr>
          <w:rFonts w:ascii="Book Antiqua" w:eastAsia="SimSun" w:hAnsi="Book Antiqua" w:cs="Times New Roman"/>
          <w:b/>
          <w:kern w:val="2"/>
          <w:sz w:val="24"/>
          <w:szCs w:val="24"/>
          <w:lang w:val="en-US" w:eastAsia="zh-CN"/>
        </w:rPr>
        <w:t>536</w:t>
      </w:r>
      <w:r w:rsidRPr="0079666F">
        <w:rPr>
          <w:rFonts w:ascii="Book Antiqua" w:eastAsia="SimSun" w:hAnsi="Book Antiqua" w:cs="Times New Roman"/>
          <w:kern w:val="2"/>
          <w:sz w:val="24"/>
          <w:szCs w:val="24"/>
          <w:lang w:val="en-US" w:eastAsia="zh-CN"/>
        </w:rPr>
        <w:t>: 182-191 [PMID: 16574099 DOI: 10.1016/j.ejphar.2006.02.028]</w:t>
      </w:r>
    </w:p>
    <w:p w14:paraId="27C6ECC5"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63 </w:t>
      </w:r>
      <w:r w:rsidRPr="0079666F">
        <w:rPr>
          <w:rFonts w:ascii="Book Antiqua" w:eastAsia="SimSun" w:hAnsi="Book Antiqua" w:cs="Times New Roman"/>
          <w:b/>
          <w:kern w:val="2"/>
          <w:sz w:val="24"/>
          <w:szCs w:val="24"/>
          <w:lang w:val="en-US" w:eastAsia="zh-CN"/>
        </w:rPr>
        <w:t>Pawlak M</w:t>
      </w:r>
      <w:r w:rsidRPr="0079666F">
        <w:rPr>
          <w:rFonts w:ascii="Book Antiqua" w:eastAsia="SimSun" w:hAnsi="Book Antiqua" w:cs="Times New Roman"/>
          <w:kern w:val="2"/>
          <w:sz w:val="24"/>
          <w:szCs w:val="24"/>
          <w:lang w:val="en-US" w:eastAsia="zh-CN"/>
        </w:rPr>
        <w:t xml:space="preserve">, Baugé E, Bourguet W, De Bosscher K, Lalloyer F, Tailleux A, Lebherz C, Lefebvre P, Staels B. The transrepressive activity of peroxisome proliferator-activated receptor alpha is necessary and sufficient to prevent liver fibrosis in mice. </w:t>
      </w:r>
      <w:r w:rsidRPr="0079666F">
        <w:rPr>
          <w:rFonts w:ascii="Book Antiqua" w:eastAsia="SimSun" w:hAnsi="Book Antiqua" w:cs="Times New Roman"/>
          <w:i/>
          <w:kern w:val="2"/>
          <w:sz w:val="24"/>
          <w:szCs w:val="24"/>
          <w:lang w:val="en-US" w:eastAsia="zh-CN"/>
        </w:rPr>
        <w:t>Hepatology</w:t>
      </w:r>
      <w:r w:rsidRPr="0079666F">
        <w:rPr>
          <w:rFonts w:ascii="Book Antiqua" w:eastAsia="SimSun" w:hAnsi="Book Antiqua" w:cs="Times New Roman"/>
          <w:kern w:val="2"/>
          <w:sz w:val="24"/>
          <w:szCs w:val="24"/>
          <w:lang w:val="en-US" w:eastAsia="zh-CN"/>
        </w:rPr>
        <w:t xml:space="preserve"> 2014; </w:t>
      </w:r>
      <w:r w:rsidRPr="0079666F">
        <w:rPr>
          <w:rFonts w:ascii="Book Antiqua" w:eastAsia="SimSun" w:hAnsi="Book Antiqua" w:cs="Times New Roman"/>
          <w:b/>
          <w:kern w:val="2"/>
          <w:sz w:val="24"/>
          <w:szCs w:val="24"/>
          <w:lang w:val="en-US" w:eastAsia="zh-CN"/>
        </w:rPr>
        <w:t>60</w:t>
      </w:r>
      <w:r w:rsidRPr="0079666F">
        <w:rPr>
          <w:rFonts w:ascii="Book Antiqua" w:eastAsia="SimSun" w:hAnsi="Book Antiqua" w:cs="Times New Roman"/>
          <w:kern w:val="2"/>
          <w:sz w:val="24"/>
          <w:szCs w:val="24"/>
          <w:lang w:val="en-US" w:eastAsia="zh-CN"/>
        </w:rPr>
        <w:t>: 1593-1606 [PMID: 24995693 DOI: 10.1002/hep.27297]</w:t>
      </w:r>
    </w:p>
    <w:p w14:paraId="157613C4"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64 </w:t>
      </w:r>
      <w:r w:rsidRPr="0079666F">
        <w:rPr>
          <w:rFonts w:ascii="Book Antiqua" w:eastAsia="SimSun" w:hAnsi="Book Antiqua" w:cs="Times New Roman"/>
          <w:b/>
          <w:kern w:val="2"/>
          <w:sz w:val="24"/>
          <w:szCs w:val="24"/>
          <w:lang w:val="en-US" w:eastAsia="zh-CN"/>
        </w:rPr>
        <w:t>Tanaka N</w:t>
      </w:r>
      <w:r w:rsidRPr="0079666F">
        <w:rPr>
          <w:rFonts w:ascii="Book Antiqua" w:eastAsia="SimSun" w:hAnsi="Book Antiqua" w:cs="Times New Roman"/>
          <w:kern w:val="2"/>
          <w:sz w:val="24"/>
          <w:szCs w:val="24"/>
          <w:lang w:val="en-US" w:eastAsia="zh-CN"/>
        </w:rPr>
        <w:t xml:space="preserve">, Aoyama T, Kimura S, Gonzalez FJ. Targeting nuclear receptors for the treatment of fatty liver disease. </w:t>
      </w:r>
      <w:r w:rsidRPr="0079666F">
        <w:rPr>
          <w:rFonts w:ascii="Book Antiqua" w:eastAsia="SimSun" w:hAnsi="Book Antiqua" w:cs="Times New Roman"/>
          <w:i/>
          <w:kern w:val="2"/>
          <w:sz w:val="24"/>
          <w:szCs w:val="24"/>
          <w:lang w:val="en-US" w:eastAsia="zh-CN"/>
        </w:rPr>
        <w:t>Pharmacol Ther</w:t>
      </w:r>
      <w:r w:rsidRPr="0079666F">
        <w:rPr>
          <w:rFonts w:ascii="Book Antiqua" w:eastAsia="SimSun" w:hAnsi="Book Antiqua" w:cs="Times New Roman"/>
          <w:kern w:val="2"/>
          <w:sz w:val="24"/>
          <w:szCs w:val="24"/>
          <w:lang w:val="en-US" w:eastAsia="zh-CN"/>
        </w:rPr>
        <w:t xml:space="preserve"> 2017; </w:t>
      </w:r>
      <w:r w:rsidRPr="0079666F">
        <w:rPr>
          <w:rFonts w:ascii="Book Antiqua" w:eastAsia="SimSun" w:hAnsi="Book Antiqua" w:cs="Times New Roman"/>
          <w:b/>
          <w:kern w:val="2"/>
          <w:sz w:val="24"/>
          <w:szCs w:val="24"/>
          <w:lang w:val="en-US" w:eastAsia="zh-CN"/>
        </w:rPr>
        <w:t>179</w:t>
      </w:r>
      <w:r w:rsidRPr="0079666F">
        <w:rPr>
          <w:rFonts w:ascii="Book Antiqua" w:eastAsia="SimSun" w:hAnsi="Book Antiqua" w:cs="Times New Roman"/>
          <w:kern w:val="2"/>
          <w:sz w:val="24"/>
          <w:szCs w:val="24"/>
          <w:lang w:val="en-US" w:eastAsia="zh-CN"/>
        </w:rPr>
        <w:t>: 142-157 [PMID: 28546081 DOI: 10.1016/j.pharmthera.2017.05.011]</w:t>
      </w:r>
    </w:p>
    <w:p w14:paraId="6DE103A4"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65 </w:t>
      </w:r>
      <w:r w:rsidRPr="0079666F">
        <w:rPr>
          <w:rFonts w:ascii="Book Antiqua" w:eastAsia="SimSun" w:hAnsi="Book Antiqua" w:cs="Times New Roman"/>
          <w:b/>
          <w:kern w:val="2"/>
          <w:sz w:val="24"/>
          <w:szCs w:val="24"/>
          <w:lang w:val="en-US" w:eastAsia="zh-CN"/>
        </w:rPr>
        <w:t>Savkur RS</w:t>
      </w:r>
      <w:r w:rsidRPr="0079666F">
        <w:rPr>
          <w:rFonts w:ascii="Book Antiqua" w:eastAsia="SimSun" w:hAnsi="Book Antiqua" w:cs="Times New Roman"/>
          <w:kern w:val="2"/>
          <w:sz w:val="24"/>
          <w:szCs w:val="24"/>
          <w:lang w:val="en-US" w:eastAsia="zh-CN"/>
        </w:rPr>
        <w:t xml:space="preserve">, Miller AR. Investigational PPAR-gamma agonists for the treatment of Type 2 diabetes. </w:t>
      </w:r>
      <w:r w:rsidRPr="0079666F">
        <w:rPr>
          <w:rFonts w:ascii="Book Antiqua" w:eastAsia="SimSun" w:hAnsi="Book Antiqua" w:cs="Times New Roman"/>
          <w:i/>
          <w:kern w:val="2"/>
          <w:sz w:val="24"/>
          <w:szCs w:val="24"/>
          <w:lang w:val="en-US" w:eastAsia="zh-CN"/>
        </w:rPr>
        <w:t>Expert Opin Investig Drugs</w:t>
      </w:r>
      <w:r w:rsidRPr="0079666F">
        <w:rPr>
          <w:rFonts w:ascii="Book Antiqua" w:eastAsia="SimSun" w:hAnsi="Book Antiqua" w:cs="Times New Roman"/>
          <w:kern w:val="2"/>
          <w:sz w:val="24"/>
          <w:szCs w:val="24"/>
          <w:lang w:val="en-US" w:eastAsia="zh-CN"/>
        </w:rPr>
        <w:t xml:space="preserve"> 2006; </w:t>
      </w:r>
      <w:r w:rsidRPr="0079666F">
        <w:rPr>
          <w:rFonts w:ascii="Book Antiqua" w:eastAsia="SimSun" w:hAnsi="Book Antiqua" w:cs="Times New Roman"/>
          <w:b/>
          <w:kern w:val="2"/>
          <w:sz w:val="24"/>
          <w:szCs w:val="24"/>
          <w:lang w:val="en-US" w:eastAsia="zh-CN"/>
        </w:rPr>
        <w:t>15</w:t>
      </w:r>
      <w:r w:rsidRPr="0079666F">
        <w:rPr>
          <w:rFonts w:ascii="Book Antiqua" w:eastAsia="SimSun" w:hAnsi="Book Antiqua" w:cs="Times New Roman"/>
          <w:kern w:val="2"/>
          <w:sz w:val="24"/>
          <w:szCs w:val="24"/>
          <w:lang w:val="en-US" w:eastAsia="zh-CN"/>
        </w:rPr>
        <w:t xml:space="preserve">: 763-778 [PMID: 16787140 DOI: </w:t>
      </w:r>
      <w:r w:rsidRPr="0079666F">
        <w:rPr>
          <w:rFonts w:ascii="Book Antiqua" w:eastAsia="SimSun" w:hAnsi="Book Antiqua" w:cs="Times New Roman"/>
          <w:kern w:val="2"/>
          <w:sz w:val="24"/>
          <w:szCs w:val="24"/>
          <w:lang w:val="en-US" w:eastAsia="zh-CN"/>
        </w:rPr>
        <w:lastRenderedPageBreak/>
        <w:t>10.1517/13543784.15.7.763]</w:t>
      </w:r>
    </w:p>
    <w:p w14:paraId="6C55A8AE"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66 </w:t>
      </w:r>
      <w:r w:rsidRPr="0079666F">
        <w:rPr>
          <w:rFonts w:ascii="Book Antiqua" w:eastAsia="SimSun" w:hAnsi="Book Antiqua" w:cs="Times New Roman"/>
          <w:b/>
          <w:kern w:val="2"/>
          <w:sz w:val="24"/>
          <w:szCs w:val="24"/>
          <w:lang w:val="en-US" w:eastAsia="zh-CN"/>
        </w:rPr>
        <w:t>Wang YX</w:t>
      </w:r>
      <w:r w:rsidRPr="0079666F">
        <w:rPr>
          <w:rFonts w:ascii="Book Antiqua" w:eastAsia="SimSun" w:hAnsi="Book Antiqua" w:cs="Times New Roman"/>
          <w:kern w:val="2"/>
          <w:sz w:val="24"/>
          <w:szCs w:val="24"/>
          <w:lang w:val="en-US" w:eastAsia="zh-CN"/>
        </w:rPr>
        <w:t xml:space="preserve">, Zhang CL, Yu RT, Cho HK, Nelson MC, Bayuga-Ocampo CR, Ham J, Kang H, Evans RM. Regulation of muscle fiber type and running endurance by PPARdelta. </w:t>
      </w:r>
      <w:r w:rsidRPr="0079666F">
        <w:rPr>
          <w:rFonts w:ascii="Book Antiqua" w:eastAsia="SimSun" w:hAnsi="Book Antiqua" w:cs="Times New Roman"/>
          <w:i/>
          <w:kern w:val="2"/>
          <w:sz w:val="24"/>
          <w:szCs w:val="24"/>
          <w:lang w:val="en-US" w:eastAsia="zh-CN"/>
        </w:rPr>
        <w:t>PLoS Biol</w:t>
      </w:r>
      <w:r w:rsidRPr="0079666F">
        <w:rPr>
          <w:rFonts w:ascii="Book Antiqua" w:eastAsia="SimSun" w:hAnsi="Book Antiqua" w:cs="Times New Roman"/>
          <w:kern w:val="2"/>
          <w:sz w:val="24"/>
          <w:szCs w:val="24"/>
          <w:lang w:val="en-US" w:eastAsia="zh-CN"/>
        </w:rPr>
        <w:t xml:space="preserve"> 2004; </w:t>
      </w:r>
      <w:r w:rsidRPr="0079666F">
        <w:rPr>
          <w:rFonts w:ascii="Book Antiqua" w:eastAsia="SimSun" w:hAnsi="Book Antiqua" w:cs="Times New Roman"/>
          <w:b/>
          <w:kern w:val="2"/>
          <w:sz w:val="24"/>
          <w:szCs w:val="24"/>
          <w:lang w:val="en-US" w:eastAsia="zh-CN"/>
        </w:rPr>
        <w:t>2</w:t>
      </w:r>
      <w:r w:rsidRPr="0079666F">
        <w:rPr>
          <w:rFonts w:ascii="Book Antiqua" w:eastAsia="SimSun" w:hAnsi="Book Antiqua" w:cs="Times New Roman"/>
          <w:kern w:val="2"/>
          <w:sz w:val="24"/>
          <w:szCs w:val="24"/>
          <w:lang w:val="en-US" w:eastAsia="zh-CN"/>
        </w:rPr>
        <w:t>: e294 [PMID: 15328533 DOI: 10.1371/journal.pbio.0020294]</w:t>
      </w:r>
    </w:p>
    <w:p w14:paraId="2D351007"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67 </w:t>
      </w:r>
      <w:r w:rsidRPr="0079666F">
        <w:rPr>
          <w:rFonts w:ascii="Book Antiqua" w:eastAsia="SimSun" w:hAnsi="Book Antiqua" w:cs="Times New Roman"/>
          <w:b/>
          <w:kern w:val="2"/>
          <w:sz w:val="24"/>
          <w:szCs w:val="24"/>
          <w:lang w:val="en-US" w:eastAsia="zh-CN"/>
        </w:rPr>
        <w:t>Harrington WW</w:t>
      </w:r>
      <w:r w:rsidRPr="0079666F">
        <w:rPr>
          <w:rFonts w:ascii="Book Antiqua" w:eastAsia="SimSun" w:hAnsi="Book Antiqua" w:cs="Times New Roman"/>
          <w:kern w:val="2"/>
          <w:sz w:val="24"/>
          <w:szCs w:val="24"/>
          <w:lang w:val="en-US" w:eastAsia="zh-CN"/>
        </w:rPr>
        <w:t xml:space="preserve">, S Britt C, G Wilson J, O Milliken N, G Binz J, C Lobe D, R Oliver W, C Lewis M, M Ignar D. The Effect of PPARalpha, PPARdelta, PPARgamma, and PPARpan Agonists on Body Weight, Body Mass, and Serum Lipid Profiles in Diet-Induced Obese AKR/J Mice. </w:t>
      </w:r>
      <w:r w:rsidRPr="0079666F">
        <w:rPr>
          <w:rFonts w:ascii="Book Antiqua" w:eastAsia="SimSun" w:hAnsi="Book Antiqua" w:cs="Times New Roman"/>
          <w:i/>
          <w:kern w:val="2"/>
          <w:sz w:val="24"/>
          <w:szCs w:val="24"/>
          <w:lang w:val="en-US" w:eastAsia="zh-CN"/>
        </w:rPr>
        <w:t>PPAR Res</w:t>
      </w:r>
      <w:r w:rsidRPr="0079666F">
        <w:rPr>
          <w:rFonts w:ascii="Book Antiqua" w:eastAsia="SimSun" w:hAnsi="Book Antiqua" w:cs="Times New Roman"/>
          <w:kern w:val="2"/>
          <w:sz w:val="24"/>
          <w:szCs w:val="24"/>
          <w:lang w:val="en-US" w:eastAsia="zh-CN"/>
        </w:rPr>
        <w:t xml:space="preserve"> 2007; </w:t>
      </w:r>
      <w:r w:rsidRPr="0079666F">
        <w:rPr>
          <w:rFonts w:ascii="Book Antiqua" w:eastAsia="SimSun" w:hAnsi="Book Antiqua" w:cs="Times New Roman"/>
          <w:b/>
          <w:kern w:val="2"/>
          <w:sz w:val="24"/>
          <w:szCs w:val="24"/>
          <w:lang w:val="en-US" w:eastAsia="zh-CN"/>
        </w:rPr>
        <w:t>2007</w:t>
      </w:r>
      <w:r w:rsidRPr="0079666F">
        <w:rPr>
          <w:rFonts w:ascii="Book Antiqua" w:eastAsia="SimSun" w:hAnsi="Book Antiqua" w:cs="Times New Roman"/>
          <w:kern w:val="2"/>
          <w:sz w:val="24"/>
          <w:szCs w:val="24"/>
          <w:lang w:val="en-US" w:eastAsia="zh-CN"/>
        </w:rPr>
        <w:t>: 97125 [PMID: 17710237 DOI: 10.1155/2007/97125]</w:t>
      </w:r>
    </w:p>
    <w:p w14:paraId="67B496E9" w14:textId="77777777" w:rsidR="0079666F" w:rsidRPr="0079666F" w:rsidRDefault="0079666F" w:rsidP="00082279">
      <w:pPr>
        <w:widowControl w:val="0"/>
        <w:snapToGrid w:val="0"/>
        <w:spacing w:after="0" w:line="360" w:lineRule="auto"/>
        <w:jc w:val="both"/>
        <w:rPr>
          <w:rFonts w:ascii="Book Antiqua" w:eastAsia="SimSun" w:hAnsi="Book Antiqua" w:cs="Times New Roman"/>
          <w:kern w:val="2"/>
          <w:sz w:val="24"/>
          <w:szCs w:val="24"/>
          <w:lang w:val="en-US" w:eastAsia="zh-CN"/>
        </w:rPr>
      </w:pPr>
      <w:r w:rsidRPr="0079666F">
        <w:rPr>
          <w:rFonts w:ascii="Book Antiqua" w:eastAsia="SimSun" w:hAnsi="Book Antiqua" w:cs="Times New Roman"/>
          <w:kern w:val="2"/>
          <w:sz w:val="24"/>
          <w:szCs w:val="24"/>
          <w:lang w:val="en-US" w:eastAsia="zh-CN"/>
        </w:rPr>
        <w:t xml:space="preserve">68 </w:t>
      </w:r>
      <w:r w:rsidRPr="0079666F">
        <w:rPr>
          <w:rFonts w:ascii="Book Antiqua" w:eastAsia="SimSun" w:hAnsi="Book Antiqua" w:cs="Times New Roman"/>
          <w:b/>
          <w:kern w:val="2"/>
          <w:sz w:val="24"/>
          <w:szCs w:val="24"/>
          <w:lang w:val="en-US" w:eastAsia="zh-CN"/>
        </w:rPr>
        <w:t>Rachid TL</w:t>
      </w:r>
      <w:r w:rsidRPr="0079666F">
        <w:rPr>
          <w:rFonts w:ascii="Book Antiqua" w:eastAsia="SimSun" w:hAnsi="Book Antiqua" w:cs="Times New Roman"/>
          <w:kern w:val="2"/>
          <w:sz w:val="24"/>
          <w:szCs w:val="24"/>
          <w:lang w:val="en-US" w:eastAsia="zh-CN"/>
        </w:rPr>
        <w:t xml:space="preserve">, Penna-de-Carvalho A, Bringhenti I, Aguila MB, Mandarim-de-Lacerda CA, Souza-Mello V. Fenofibrate (PPARalpha agonist) induces beige cell formation in subcutaneous white adipose tissue from diet-induced male obese mice. </w:t>
      </w:r>
      <w:r w:rsidRPr="0079666F">
        <w:rPr>
          <w:rFonts w:ascii="Book Antiqua" w:eastAsia="SimSun" w:hAnsi="Book Antiqua" w:cs="Times New Roman"/>
          <w:i/>
          <w:kern w:val="2"/>
          <w:sz w:val="24"/>
          <w:szCs w:val="24"/>
          <w:lang w:val="en-US" w:eastAsia="zh-CN"/>
        </w:rPr>
        <w:t>Mol Cell Endocrinol</w:t>
      </w:r>
      <w:r w:rsidRPr="0079666F">
        <w:rPr>
          <w:rFonts w:ascii="Book Antiqua" w:eastAsia="SimSun" w:hAnsi="Book Antiqua" w:cs="Times New Roman"/>
          <w:kern w:val="2"/>
          <w:sz w:val="24"/>
          <w:szCs w:val="24"/>
          <w:lang w:val="en-US" w:eastAsia="zh-CN"/>
        </w:rPr>
        <w:t xml:space="preserve"> 2015; </w:t>
      </w:r>
      <w:r w:rsidRPr="0079666F">
        <w:rPr>
          <w:rFonts w:ascii="Book Antiqua" w:eastAsia="SimSun" w:hAnsi="Book Antiqua" w:cs="Times New Roman"/>
          <w:b/>
          <w:kern w:val="2"/>
          <w:sz w:val="24"/>
          <w:szCs w:val="24"/>
          <w:lang w:val="en-US" w:eastAsia="zh-CN"/>
        </w:rPr>
        <w:t>402</w:t>
      </w:r>
      <w:r w:rsidRPr="0079666F">
        <w:rPr>
          <w:rFonts w:ascii="Book Antiqua" w:eastAsia="SimSun" w:hAnsi="Book Antiqua" w:cs="Times New Roman"/>
          <w:kern w:val="2"/>
          <w:sz w:val="24"/>
          <w:szCs w:val="24"/>
          <w:lang w:val="en-US" w:eastAsia="zh-CN"/>
        </w:rPr>
        <w:t>: 86-94 [PMID: 25576856 DOI: 10.1016/j.mce.2014.12.027]</w:t>
      </w:r>
    </w:p>
    <w:p w14:paraId="160E5598" w14:textId="77777777" w:rsidR="0079666F" w:rsidRPr="0079666F" w:rsidRDefault="0079666F" w:rsidP="00082279">
      <w:pPr>
        <w:snapToGrid w:val="0"/>
        <w:spacing w:after="0" w:line="360" w:lineRule="auto"/>
        <w:jc w:val="right"/>
        <w:rPr>
          <w:rFonts w:ascii="Book Antiqua" w:eastAsia="SimSun" w:hAnsi="Book Antiqua" w:cs="Times New Roman"/>
          <w:b/>
          <w:bCs/>
          <w:sz w:val="24"/>
          <w:szCs w:val="24"/>
          <w:lang w:val="en-US" w:eastAsia="zh-CN"/>
        </w:rPr>
      </w:pPr>
      <w:bookmarkStart w:id="88" w:name="OLE_LINK51"/>
      <w:bookmarkStart w:id="89" w:name="OLE_LINK52"/>
      <w:bookmarkStart w:id="90" w:name="OLE_LINK120"/>
      <w:bookmarkStart w:id="91" w:name="OLE_LINK148"/>
      <w:bookmarkStart w:id="92" w:name="OLE_LINK72"/>
      <w:bookmarkStart w:id="93" w:name="OLE_LINK112"/>
      <w:bookmarkStart w:id="94" w:name="OLE_LINK320"/>
      <w:bookmarkStart w:id="95" w:name="OLE_LINK387"/>
      <w:bookmarkStart w:id="96" w:name="OLE_LINK183"/>
      <w:bookmarkStart w:id="97" w:name="OLE_LINK254"/>
      <w:bookmarkStart w:id="98" w:name="OLE_LINK149"/>
      <w:bookmarkStart w:id="99" w:name="OLE_LINK225"/>
      <w:bookmarkStart w:id="100" w:name="OLE_LINK207"/>
      <w:bookmarkStart w:id="101" w:name="OLE_LINK226"/>
      <w:bookmarkStart w:id="102" w:name="OLE_LINK212"/>
      <w:bookmarkStart w:id="103" w:name="OLE_LINK250"/>
      <w:bookmarkStart w:id="104" w:name="OLE_LINK281"/>
      <w:bookmarkStart w:id="105" w:name="OLE_LINK282"/>
      <w:bookmarkStart w:id="106" w:name="OLE_LINK313"/>
      <w:bookmarkStart w:id="107" w:name="OLE_LINK304"/>
      <w:bookmarkStart w:id="108" w:name="OLE_LINK321"/>
      <w:bookmarkStart w:id="109" w:name="OLE_LINK385"/>
      <w:bookmarkStart w:id="110" w:name="OLE_LINK400"/>
      <w:bookmarkStart w:id="111" w:name="OLE_LINK346"/>
      <w:bookmarkStart w:id="112" w:name="OLE_LINK371"/>
      <w:bookmarkStart w:id="113" w:name="OLE_LINK334"/>
      <w:bookmarkStart w:id="114" w:name="OLE_LINK1830"/>
      <w:bookmarkStart w:id="115" w:name="OLE_LINK457"/>
      <w:bookmarkStart w:id="116" w:name="OLE_LINK288"/>
      <w:bookmarkStart w:id="117" w:name="OLE_LINK384"/>
      <w:bookmarkStart w:id="118" w:name="OLE_LINK379"/>
      <w:bookmarkStart w:id="119" w:name="OLE_LINK303"/>
      <w:bookmarkStart w:id="120" w:name="OLE_LINK450"/>
      <w:bookmarkStart w:id="121" w:name="OLE_LINK489"/>
      <w:bookmarkStart w:id="122" w:name="OLE_LINK535"/>
      <w:bookmarkStart w:id="123" w:name="OLE_LINK648"/>
      <w:bookmarkStart w:id="124" w:name="OLE_LINK686"/>
      <w:bookmarkStart w:id="125" w:name="OLE_LINK471"/>
      <w:bookmarkStart w:id="126" w:name="OLE_LINK462"/>
      <w:bookmarkStart w:id="127" w:name="OLE_LINK519"/>
      <w:bookmarkStart w:id="128" w:name="OLE_LINK575"/>
      <w:bookmarkStart w:id="129" w:name="OLE_LINK491"/>
      <w:bookmarkStart w:id="130" w:name="OLE_LINK532"/>
      <w:bookmarkStart w:id="131" w:name="OLE_LINK572"/>
      <w:bookmarkStart w:id="132" w:name="OLE_LINK574"/>
      <w:bookmarkStart w:id="133" w:name="OLE_LINK480"/>
      <w:bookmarkStart w:id="134" w:name="OLE_LINK567"/>
      <w:bookmarkStart w:id="135" w:name="OLE_LINK2700"/>
      <w:bookmarkStart w:id="136" w:name="OLE_LINK581"/>
      <w:bookmarkStart w:id="137" w:name="OLE_LINK639"/>
      <w:bookmarkStart w:id="138" w:name="OLE_LINK688"/>
      <w:bookmarkStart w:id="139" w:name="OLE_LINK722"/>
      <w:bookmarkStart w:id="140" w:name="OLE_LINK542"/>
      <w:bookmarkStart w:id="141" w:name="OLE_LINK589"/>
      <w:bookmarkStart w:id="142" w:name="OLE_LINK582"/>
      <w:bookmarkStart w:id="143" w:name="OLE_LINK640"/>
      <w:bookmarkStart w:id="144" w:name="OLE_LINK714"/>
      <w:bookmarkStart w:id="145" w:name="OLE_LINK593"/>
      <w:bookmarkStart w:id="146" w:name="OLE_LINK716"/>
      <w:bookmarkStart w:id="147" w:name="OLE_LINK770"/>
      <w:bookmarkStart w:id="148" w:name="OLE_LINK801"/>
      <w:bookmarkStart w:id="149" w:name="OLE_LINK660"/>
      <w:bookmarkStart w:id="150" w:name="OLE_LINK781"/>
      <w:bookmarkStart w:id="151" w:name="OLE_LINK833"/>
      <w:bookmarkStart w:id="152" w:name="OLE_LINK642"/>
      <w:bookmarkStart w:id="153" w:name="OLE_LINK700"/>
      <w:bookmarkStart w:id="154" w:name="OLE_LINK792"/>
      <w:bookmarkStart w:id="155" w:name="OLE_LINK2882"/>
      <w:bookmarkStart w:id="156" w:name="OLE_LINK836"/>
      <w:bookmarkStart w:id="157" w:name="OLE_LINK889"/>
      <w:bookmarkStart w:id="158" w:name="OLE_LINK782"/>
      <w:bookmarkStart w:id="159" w:name="OLE_LINK826"/>
      <w:bookmarkStart w:id="160" w:name="OLE_LINK865"/>
      <w:bookmarkStart w:id="161" w:name="OLE_LINK856"/>
      <w:bookmarkStart w:id="162" w:name="OLE_LINK908"/>
      <w:bookmarkStart w:id="163" w:name="OLE_LINK980"/>
      <w:bookmarkStart w:id="164" w:name="OLE_LINK1018"/>
      <w:bookmarkStart w:id="165" w:name="OLE_LINK1049"/>
      <w:bookmarkStart w:id="166" w:name="OLE_LINK1076"/>
      <w:bookmarkStart w:id="167" w:name="OLE_LINK1106"/>
      <w:bookmarkStart w:id="168" w:name="OLE_LINK891"/>
      <w:bookmarkStart w:id="169" w:name="OLE_LINK943"/>
      <w:bookmarkStart w:id="170" w:name="OLE_LINK981"/>
      <w:bookmarkStart w:id="171" w:name="OLE_LINK1030"/>
      <w:bookmarkStart w:id="172" w:name="OLE_LINK847"/>
      <w:bookmarkStart w:id="173" w:name="OLE_LINK909"/>
      <w:bookmarkStart w:id="174" w:name="OLE_LINK906"/>
      <w:bookmarkStart w:id="175" w:name="OLE_LINK992"/>
      <w:bookmarkStart w:id="176" w:name="OLE_LINK993"/>
      <w:bookmarkStart w:id="177" w:name="OLE_LINK1052"/>
      <w:bookmarkStart w:id="178" w:name="OLE_LINK946"/>
      <w:bookmarkStart w:id="179" w:name="OLE_LINK911"/>
      <w:bookmarkStart w:id="180" w:name="OLE_LINK930"/>
      <w:bookmarkStart w:id="181" w:name="OLE_LINK1059"/>
      <w:bookmarkStart w:id="182" w:name="OLE_LINK1174"/>
      <w:bookmarkStart w:id="183" w:name="OLE_LINK1137"/>
      <w:bookmarkStart w:id="184" w:name="OLE_LINK1167"/>
      <w:bookmarkStart w:id="185" w:name="OLE_LINK1200"/>
      <w:bookmarkStart w:id="186" w:name="OLE_LINK1241"/>
      <w:bookmarkStart w:id="187" w:name="OLE_LINK1288"/>
      <w:bookmarkStart w:id="188" w:name="OLE_LINK1056"/>
      <w:bookmarkStart w:id="189" w:name="OLE_LINK1158"/>
      <w:bookmarkStart w:id="190" w:name="OLE_LINK1175"/>
      <w:bookmarkStart w:id="191" w:name="OLE_LINK1074"/>
      <w:bookmarkStart w:id="192" w:name="OLE_LINK1169"/>
      <w:bookmarkStart w:id="193" w:name="OLE_LINK1053"/>
      <w:bookmarkStart w:id="194" w:name="OLE_LINK1054"/>
      <w:r w:rsidRPr="0079666F">
        <w:rPr>
          <w:rFonts w:ascii="Book Antiqua" w:eastAsia="SimSun" w:hAnsi="Book Antiqua" w:cs="Times New Roman"/>
          <w:b/>
          <w:bCs/>
          <w:sz w:val="24"/>
          <w:szCs w:val="24"/>
          <w:lang w:val="en-US" w:eastAsia="zh-CN"/>
        </w:rPr>
        <w:t>P-Reviewer:</w:t>
      </w:r>
      <w:r w:rsidRPr="0079666F">
        <w:rPr>
          <w:rFonts w:ascii="Book Antiqua" w:eastAsia="SimSun" w:hAnsi="Book Antiqua" w:cs="Times New Roman"/>
          <w:bCs/>
          <w:sz w:val="24"/>
          <w:szCs w:val="24"/>
          <w:lang w:val="en-US" w:eastAsia="zh-CN"/>
        </w:rPr>
        <w:t xml:space="preserve"> Balaban YH, Murotomi K, Pan Q, Sutti S, Tanaka N</w:t>
      </w:r>
    </w:p>
    <w:p w14:paraId="3EF65FBE" w14:textId="77777777" w:rsidR="0079666F" w:rsidRPr="0079666F" w:rsidRDefault="0079666F" w:rsidP="00082279">
      <w:pPr>
        <w:snapToGrid w:val="0"/>
        <w:spacing w:after="0" w:line="360" w:lineRule="auto"/>
        <w:jc w:val="right"/>
        <w:rPr>
          <w:rFonts w:ascii="Book Antiqua" w:eastAsia="SimSun" w:hAnsi="Book Antiqua" w:cs="Times New Roman"/>
          <w:sz w:val="24"/>
          <w:szCs w:val="24"/>
          <w:lang w:val="en-US" w:eastAsia="zh-CN"/>
        </w:rPr>
      </w:pPr>
      <w:r w:rsidRPr="0079666F">
        <w:rPr>
          <w:rFonts w:ascii="Book Antiqua" w:eastAsia="SimSun" w:hAnsi="Book Antiqua" w:cs="Times New Roman"/>
          <w:b/>
          <w:bCs/>
          <w:sz w:val="24"/>
          <w:szCs w:val="24"/>
          <w:lang w:val="en-US" w:eastAsia="zh-CN"/>
        </w:rPr>
        <w:t>S-Editor:</w:t>
      </w:r>
      <w:r w:rsidRPr="0079666F">
        <w:rPr>
          <w:rFonts w:ascii="Book Antiqua" w:eastAsia="SimSun" w:hAnsi="Book Antiqua" w:cs="Times New Roman"/>
          <w:sz w:val="24"/>
          <w:szCs w:val="24"/>
          <w:lang w:val="en-US" w:eastAsia="zh-CN"/>
        </w:rPr>
        <w:t xml:space="preserve"> Gong ZM </w:t>
      </w:r>
      <w:r w:rsidRPr="0079666F">
        <w:rPr>
          <w:rFonts w:ascii="Book Antiqua" w:eastAsia="SimSun" w:hAnsi="Book Antiqua" w:cs="Times New Roman"/>
          <w:b/>
          <w:bCs/>
          <w:sz w:val="24"/>
          <w:szCs w:val="24"/>
          <w:lang w:val="en-US" w:eastAsia="zh-CN"/>
        </w:rPr>
        <w:t>L-Editor:</w:t>
      </w:r>
      <w:r w:rsidRPr="0079666F">
        <w:rPr>
          <w:rFonts w:ascii="Book Antiqua" w:eastAsia="SimSun" w:hAnsi="Book Antiqua" w:cs="Times New Roman"/>
          <w:sz w:val="24"/>
          <w:szCs w:val="24"/>
          <w:lang w:val="en-US" w:eastAsia="zh-CN"/>
        </w:rPr>
        <w:t xml:space="preserve"> </w:t>
      </w:r>
      <w:r w:rsidRPr="0079666F">
        <w:rPr>
          <w:rFonts w:ascii="Book Antiqua" w:eastAsia="SimSun" w:hAnsi="Book Antiqua" w:cs="Times New Roman"/>
          <w:b/>
          <w:bCs/>
          <w:sz w:val="24"/>
          <w:szCs w:val="24"/>
          <w:lang w:val="en-US" w:eastAsia="zh-CN"/>
        </w:rPr>
        <w:t>E-Editor:</w:t>
      </w:r>
    </w:p>
    <w:p w14:paraId="0CC3C65B" w14:textId="77777777" w:rsidR="0079666F" w:rsidRPr="0079666F" w:rsidRDefault="0079666F" w:rsidP="00082279">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95" w:name="OLE_LINK880"/>
      <w:bookmarkStart w:id="196" w:name="OLE_LINK881"/>
      <w:bookmarkStart w:id="197" w:name="OLE_LINK497"/>
      <w:bookmarkStart w:id="198" w:name="OLE_LINK813"/>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79666F">
        <w:rPr>
          <w:rFonts w:ascii="Book Antiqua" w:eastAsia="SimSun" w:hAnsi="Book Antiqua" w:cs="Helvetica"/>
          <w:b/>
          <w:sz w:val="24"/>
          <w:szCs w:val="24"/>
          <w:lang w:val="en-US" w:eastAsia="zh-CN"/>
        </w:rPr>
        <w:t xml:space="preserve">Specialty type: </w:t>
      </w:r>
      <w:r w:rsidRPr="0079666F">
        <w:rPr>
          <w:rFonts w:ascii="Book Antiqua" w:eastAsia="SimSun" w:hAnsi="Book Antiqua" w:cs="Helvetica"/>
          <w:sz w:val="24"/>
          <w:szCs w:val="24"/>
          <w:lang w:val="en-US" w:eastAsia="zh-CN"/>
        </w:rPr>
        <w:t>Gastroenterology and hepatology</w:t>
      </w:r>
    </w:p>
    <w:p w14:paraId="4D9D4BBA" w14:textId="77777777" w:rsidR="0079666F" w:rsidRPr="0079666F" w:rsidRDefault="0079666F" w:rsidP="00082279">
      <w:pPr>
        <w:shd w:val="clear" w:color="auto" w:fill="FFFFFF"/>
        <w:snapToGrid w:val="0"/>
        <w:spacing w:after="0" w:line="360" w:lineRule="auto"/>
        <w:jc w:val="both"/>
        <w:rPr>
          <w:rFonts w:ascii="Book Antiqua" w:eastAsia="SimSun" w:hAnsi="Book Antiqua" w:cs="Helvetica"/>
          <w:b/>
          <w:sz w:val="24"/>
          <w:szCs w:val="24"/>
          <w:lang w:val="en-US" w:eastAsia="zh-CN"/>
        </w:rPr>
      </w:pPr>
      <w:r w:rsidRPr="0079666F">
        <w:rPr>
          <w:rFonts w:ascii="Book Antiqua" w:eastAsia="SimSun" w:hAnsi="Book Antiqua" w:cs="Helvetica"/>
          <w:b/>
          <w:sz w:val="24"/>
          <w:szCs w:val="24"/>
          <w:lang w:val="en-US" w:eastAsia="zh-CN"/>
        </w:rPr>
        <w:t xml:space="preserve">Country of origin: </w:t>
      </w:r>
      <w:r w:rsidRPr="0079666F">
        <w:rPr>
          <w:rFonts w:ascii="Book Antiqua" w:eastAsia="SimSun" w:hAnsi="Book Antiqua" w:cs="Helvetica"/>
          <w:sz w:val="24"/>
          <w:szCs w:val="24"/>
          <w:lang w:val="en-CA" w:eastAsia="zh-CN"/>
        </w:rPr>
        <w:t>Denmark</w:t>
      </w:r>
    </w:p>
    <w:p w14:paraId="266F0107" w14:textId="77777777" w:rsidR="0079666F" w:rsidRPr="0079666F" w:rsidRDefault="0079666F" w:rsidP="00082279">
      <w:pPr>
        <w:shd w:val="clear" w:color="auto" w:fill="FFFFFF"/>
        <w:snapToGrid w:val="0"/>
        <w:spacing w:after="0" w:line="360" w:lineRule="auto"/>
        <w:jc w:val="both"/>
        <w:rPr>
          <w:rFonts w:ascii="Book Antiqua" w:eastAsia="SimSun" w:hAnsi="Book Antiqua" w:cs="Helvetica"/>
          <w:b/>
          <w:sz w:val="24"/>
          <w:szCs w:val="24"/>
          <w:lang w:val="en-US" w:eastAsia="zh-CN"/>
        </w:rPr>
      </w:pPr>
      <w:r w:rsidRPr="0079666F">
        <w:rPr>
          <w:rFonts w:ascii="Book Antiqua" w:eastAsia="SimSun" w:hAnsi="Book Antiqua" w:cs="Helvetica"/>
          <w:b/>
          <w:sz w:val="24"/>
          <w:szCs w:val="24"/>
          <w:lang w:val="en-US" w:eastAsia="zh-CN"/>
        </w:rPr>
        <w:t>Peer-review report classification</w:t>
      </w:r>
    </w:p>
    <w:p w14:paraId="0B8736F3" w14:textId="77777777" w:rsidR="0079666F" w:rsidRPr="0079666F" w:rsidRDefault="0079666F" w:rsidP="00082279">
      <w:pPr>
        <w:shd w:val="clear" w:color="auto" w:fill="FFFFFF"/>
        <w:snapToGrid w:val="0"/>
        <w:spacing w:after="0" w:line="360" w:lineRule="auto"/>
        <w:jc w:val="both"/>
        <w:rPr>
          <w:rFonts w:ascii="Book Antiqua" w:eastAsia="SimSun" w:hAnsi="Book Antiqua" w:cs="Helvetica"/>
          <w:sz w:val="24"/>
          <w:szCs w:val="24"/>
          <w:lang w:val="en-US" w:eastAsia="zh-CN"/>
        </w:rPr>
      </w:pPr>
      <w:r w:rsidRPr="0079666F">
        <w:rPr>
          <w:rFonts w:ascii="Book Antiqua" w:eastAsia="SimSun" w:hAnsi="Book Antiqua" w:cs="Helvetica"/>
          <w:sz w:val="24"/>
          <w:szCs w:val="24"/>
          <w:lang w:val="en-US" w:eastAsia="zh-CN"/>
        </w:rPr>
        <w:t>Grade A (Excellent): 0</w:t>
      </w:r>
    </w:p>
    <w:p w14:paraId="5D53ADBD" w14:textId="77777777" w:rsidR="0079666F" w:rsidRPr="0079666F" w:rsidRDefault="0079666F" w:rsidP="00082279">
      <w:pPr>
        <w:shd w:val="clear" w:color="auto" w:fill="FFFFFF"/>
        <w:snapToGrid w:val="0"/>
        <w:spacing w:after="0" w:line="360" w:lineRule="auto"/>
        <w:jc w:val="both"/>
        <w:rPr>
          <w:rFonts w:ascii="Book Antiqua" w:eastAsia="SimSun" w:hAnsi="Book Antiqua" w:cs="Helvetica"/>
          <w:sz w:val="24"/>
          <w:szCs w:val="24"/>
          <w:lang w:val="en-US" w:eastAsia="zh-CN"/>
        </w:rPr>
      </w:pPr>
      <w:r w:rsidRPr="0079666F">
        <w:rPr>
          <w:rFonts w:ascii="Book Antiqua" w:eastAsia="SimSun" w:hAnsi="Book Antiqua" w:cs="Helvetica"/>
          <w:sz w:val="24"/>
          <w:szCs w:val="24"/>
          <w:lang w:val="en-US" w:eastAsia="zh-CN"/>
        </w:rPr>
        <w:t xml:space="preserve">Grade B (Very good): </w:t>
      </w:r>
      <w:r w:rsidRPr="0079666F">
        <w:rPr>
          <w:rFonts w:ascii="Book Antiqua" w:eastAsia="SimSun" w:hAnsi="Book Antiqua" w:cs="Helvetica"/>
          <w:caps/>
          <w:sz w:val="24"/>
          <w:szCs w:val="24"/>
          <w:lang w:val="en-US" w:eastAsia="zh-CN"/>
        </w:rPr>
        <w:t>b, b</w:t>
      </w:r>
    </w:p>
    <w:p w14:paraId="6E3D24F7" w14:textId="77777777" w:rsidR="0079666F" w:rsidRPr="0079666F" w:rsidRDefault="0079666F" w:rsidP="00082279">
      <w:pPr>
        <w:shd w:val="clear" w:color="auto" w:fill="FFFFFF"/>
        <w:snapToGrid w:val="0"/>
        <w:spacing w:after="0" w:line="360" w:lineRule="auto"/>
        <w:jc w:val="both"/>
        <w:rPr>
          <w:rFonts w:ascii="Book Antiqua" w:eastAsia="SimSun" w:hAnsi="Book Antiqua" w:cs="Helvetica"/>
          <w:sz w:val="24"/>
          <w:szCs w:val="24"/>
          <w:lang w:val="en-US" w:eastAsia="zh-CN"/>
        </w:rPr>
      </w:pPr>
      <w:r w:rsidRPr="0079666F">
        <w:rPr>
          <w:rFonts w:ascii="Book Antiqua" w:eastAsia="SimSun" w:hAnsi="Book Antiqua" w:cs="Helvetica"/>
          <w:sz w:val="24"/>
          <w:szCs w:val="24"/>
          <w:lang w:val="en-US" w:eastAsia="zh-CN"/>
        </w:rPr>
        <w:t>Grade C (Good): C, C</w:t>
      </w:r>
    </w:p>
    <w:p w14:paraId="3AC01ADB" w14:textId="77777777" w:rsidR="0079666F" w:rsidRPr="0079666F" w:rsidRDefault="0079666F" w:rsidP="00082279">
      <w:pPr>
        <w:shd w:val="clear" w:color="auto" w:fill="FFFFFF"/>
        <w:snapToGrid w:val="0"/>
        <w:spacing w:after="0" w:line="360" w:lineRule="auto"/>
        <w:jc w:val="both"/>
        <w:rPr>
          <w:rFonts w:ascii="Book Antiqua" w:eastAsia="SimSun" w:hAnsi="Book Antiqua" w:cs="Helvetica"/>
          <w:sz w:val="24"/>
          <w:szCs w:val="24"/>
          <w:lang w:val="en-US" w:eastAsia="zh-CN"/>
        </w:rPr>
      </w:pPr>
      <w:r w:rsidRPr="0079666F">
        <w:rPr>
          <w:rFonts w:ascii="Book Antiqua" w:eastAsia="SimSun" w:hAnsi="Book Antiqua" w:cs="Helvetica"/>
          <w:sz w:val="24"/>
          <w:szCs w:val="24"/>
          <w:lang w:val="en-US" w:eastAsia="zh-CN"/>
        </w:rPr>
        <w:t>Grade D (Fair): D</w:t>
      </w:r>
    </w:p>
    <w:p w14:paraId="4688978F" w14:textId="59CA771B" w:rsidR="004A2B2F" w:rsidRPr="00612653" w:rsidRDefault="0079666F" w:rsidP="00082279">
      <w:pPr>
        <w:shd w:val="clear" w:color="auto" w:fill="FFFFFF"/>
        <w:snapToGrid w:val="0"/>
        <w:spacing w:after="0" w:line="360" w:lineRule="auto"/>
        <w:jc w:val="both"/>
        <w:rPr>
          <w:rFonts w:ascii="Book Antiqua" w:eastAsia="SimSun" w:hAnsi="Book Antiqua" w:cs="Helvetica"/>
          <w:sz w:val="24"/>
          <w:szCs w:val="24"/>
          <w:lang w:val="en-US" w:eastAsia="zh-CN"/>
        </w:rPr>
      </w:pPr>
      <w:r w:rsidRPr="0079666F">
        <w:rPr>
          <w:rFonts w:ascii="Book Antiqua" w:eastAsia="SimSun" w:hAnsi="Book Antiqua" w:cs="Helvetica"/>
          <w:sz w:val="24"/>
          <w:szCs w:val="24"/>
          <w:lang w:val="en-US" w:eastAsia="zh-CN"/>
        </w:rPr>
        <w:t>Grade E (Poor): 0</w:t>
      </w:r>
      <w:bookmarkEnd w:id="195"/>
      <w:bookmarkEnd w:id="196"/>
      <w:r w:rsidRPr="0079666F">
        <w:rPr>
          <w:rFonts w:ascii="Book Antiqua" w:eastAsia="SimSun" w:hAnsi="Book Antiqua" w:cs="Helvetica"/>
          <w:sz w:val="24"/>
          <w:szCs w:val="24"/>
          <w:lang w:val="en-US" w:eastAsia="zh-CN"/>
        </w:rPr>
        <w:t xml:space="preserve"> </w:t>
      </w:r>
      <w:bookmarkEnd w:id="193"/>
      <w:bookmarkEnd w:id="194"/>
      <w:bookmarkEnd w:id="197"/>
      <w:bookmarkEnd w:id="198"/>
    </w:p>
    <w:p w14:paraId="73F220E8" w14:textId="1F573401" w:rsidR="004A2B2F" w:rsidRPr="00612653" w:rsidRDefault="005139B3" w:rsidP="00082279">
      <w:pPr>
        <w:snapToGrid w:val="0"/>
        <w:spacing w:after="0" w:line="360" w:lineRule="auto"/>
        <w:jc w:val="both"/>
        <w:rPr>
          <w:rFonts w:ascii="Book Antiqua" w:hAnsi="Book Antiqua"/>
          <w:b/>
          <w:bCs/>
          <w:sz w:val="24"/>
          <w:szCs w:val="24"/>
          <w:lang w:val="en-US" w:eastAsia="zh-CN"/>
        </w:rPr>
      </w:pPr>
      <w:r w:rsidRPr="00612653">
        <w:rPr>
          <w:rFonts w:ascii="Book Antiqua" w:hAnsi="Book Antiqua"/>
          <w:sz w:val="24"/>
          <w:szCs w:val="24"/>
          <w:lang w:val="en-US" w:eastAsia="zh-CN"/>
        </w:rPr>
        <w:br w:type="page"/>
      </w:r>
    </w:p>
    <w:p w14:paraId="23A71E62" w14:textId="77777777" w:rsidR="00D07A82" w:rsidRPr="00612653" w:rsidRDefault="00D07A82" w:rsidP="00082279">
      <w:pPr>
        <w:snapToGrid w:val="0"/>
        <w:spacing w:after="0" w:line="360" w:lineRule="auto"/>
        <w:rPr>
          <w:rFonts w:ascii="Book Antiqua" w:hAnsi="Book Antiqua"/>
          <w:sz w:val="24"/>
          <w:szCs w:val="24"/>
          <w:lang w:val="en-US" w:eastAsia="zh-CN"/>
        </w:rPr>
        <w:sectPr w:rsidR="00D07A82" w:rsidRPr="00612653" w:rsidSect="00CC70D5">
          <w:headerReference w:type="default" r:id="rId14"/>
          <w:footerReference w:type="default" r:id="rId15"/>
          <w:pgSz w:w="11906" w:h="16838"/>
          <w:pgMar w:top="1701" w:right="1134" w:bottom="1701" w:left="1134" w:header="708" w:footer="708" w:gutter="0"/>
          <w:cols w:space="708"/>
          <w:titlePg/>
          <w:docGrid w:linePitch="360"/>
        </w:sectPr>
      </w:pPr>
    </w:p>
    <w:p w14:paraId="3F449361" w14:textId="079BBE36" w:rsidR="005139B3" w:rsidRPr="00612653" w:rsidRDefault="00FF3EEF" w:rsidP="00082279">
      <w:pPr>
        <w:snapToGrid w:val="0"/>
        <w:spacing w:after="0" w:line="360" w:lineRule="auto"/>
        <w:jc w:val="both"/>
        <w:rPr>
          <w:rFonts w:ascii="Book Antiqua" w:hAnsi="Book Antiqua"/>
          <w:sz w:val="24"/>
          <w:szCs w:val="24"/>
          <w:lang w:val="en-US" w:eastAsia="zh-CN"/>
        </w:rPr>
      </w:pPr>
      <w:r w:rsidRPr="00612653">
        <w:rPr>
          <w:rFonts w:ascii="Book Antiqua" w:hAnsi="Book Antiqua"/>
          <w:noProof/>
          <w:sz w:val="24"/>
          <w:szCs w:val="24"/>
          <w:lang w:val="en-US" w:eastAsia="zh-CN"/>
        </w:rPr>
        <w:lastRenderedPageBreak/>
        <w:drawing>
          <wp:inline distT="0" distB="0" distL="0" distR="0" wp14:anchorId="3EBE4580" wp14:editId="3145EEB0">
            <wp:extent cx="6351789" cy="7677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7587" cy="7684158"/>
                    </a:xfrm>
                    <a:prstGeom prst="rect">
                      <a:avLst/>
                    </a:prstGeom>
                    <a:noFill/>
                  </pic:spPr>
                </pic:pic>
              </a:graphicData>
            </a:graphic>
          </wp:inline>
        </w:drawing>
      </w:r>
    </w:p>
    <w:p w14:paraId="22A1FCEC" w14:textId="3A9CB187" w:rsidR="005139B3" w:rsidRPr="00612653" w:rsidRDefault="005139B3" w:rsidP="00082279">
      <w:pPr>
        <w:snapToGrid w:val="0"/>
        <w:spacing w:after="0" w:line="360" w:lineRule="auto"/>
        <w:jc w:val="both"/>
        <w:rPr>
          <w:rFonts w:ascii="Book Antiqua" w:hAnsi="Book Antiqua"/>
          <w:sz w:val="24"/>
          <w:szCs w:val="24"/>
          <w:lang w:val="en-US"/>
        </w:rPr>
      </w:pPr>
      <w:r w:rsidRPr="00612653">
        <w:rPr>
          <w:rFonts w:ascii="Book Antiqua" w:hAnsi="Book Antiqua"/>
          <w:b/>
          <w:bCs/>
          <w:sz w:val="24"/>
          <w:szCs w:val="24"/>
          <w:lang w:val="en-US"/>
        </w:rPr>
        <w:t>Figure 1</w:t>
      </w:r>
      <w:r w:rsidRPr="00612653">
        <w:rPr>
          <w:rFonts w:ascii="Book Antiqua" w:hAnsi="Book Antiqua"/>
          <w:b/>
          <w:bCs/>
          <w:sz w:val="24"/>
          <w:szCs w:val="24"/>
          <w:lang w:val="en-US" w:eastAsia="zh-CN"/>
        </w:rPr>
        <w:t xml:space="preserve"> </w:t>
      </w:r>
      <w:r w:rsidRPr="00612653">
        <w:rPr>
          <w:rFonts w:ascii="Book Antiqua" w:hAnsi="Book Antiqua"/>
          <w:b/>
          <w:bCs/>
          <w:sz w:val="24"/>
          <w:szCs w:val="24"/>
          <w:lang w:val="en-US"/>
        </w:rPr>
        <w:t>Disease progression in DIO-NASH mice.</w:t>
      </w:r>
      <w:r w:rsidRPr="00612653">
        <w:rPr>
          <w:rFonts w:ascii="Book Antiqua" w:hAnsi="Book Antiqua"/>
          <w:sz w:val="24"/>
          <w:szCs w:val="24"/>
          <w:lang w:val="en-US" w:eastAsia="zh-CN"/>
        </w:rPr>
        <w:t xml:space="preserve"> </w:t>
      </w:r>
      <w:r w:rsidRPr="00612653">
        <w:rPr>
          <w:rFonts w:ascii="Book Antiqua" w:hAnsi="Book Antiqua"/>
          <w:sz w:val="24"/>
          <w:szCs w:val="24"/>
          <w:lang w:val="en-US"/>
        </w:rPr>
        <w:t>A-E</w:t>
      </w:r>
      <w:r w:rsidRPr="00612653">
        <w:rPr>
          <w:rFonts w:ascii="Book Antiqua" w:hAnsi="Book Antiqua"/>
          <w:sz w:val="24"/>
          <w:szCs w:val="24"/>
          <w:lang w:val="en-US" w:eastAsia="zh-CN"/>
        </w:rPr>
        <w:t xml:space="preserve">: </w:t>
      </w:r>
      <w:r w:rsidRPr="00612653">
        <w:rPr>
          <w:rFonts w:ascii="Book Antiqua" w:hAnsi="Book Antiqua"/>
          <w:caps/>
          <w:sz w:val="24"/>
          <w:szCs w:val="24"/>
          <w:lang w:val="en-US"/>
        </w:rPr>
        <w:t>i</w:t>
      </w:r>
      <w:r w:rsidRPr="00612653">
        <w:rPr>
          <w:rFonts w:ascii="Book Antiqua" w:hAnsi="Book Antiqua"/>
          <w:sz w:val="24"/>
          <w:szCs w:val="24"/>
          <w:lang w:val="en-US"/>
        </w:rPr>
        <w:t>ndividual and composite NAFLD activity scores (NAS) and fibrosis stage;</w:t>
      </w:r>
      <w:r w:rsidRPr="00612653">
        <w:rPr>
          <w:rFonts w:ascii="Book Antiqua" w:hAnsi="Book Antiqua"/>
          <w:sz w:val="24"/>
          <w:szCs w:val="24"/>
          <w:lang w:val="en-US" w:eastAsia="zh-CN"/>
        </w:rPr>
        <w:t xml:space="preserve"> </w:t>
      </w:r>
      <w:r w:rsidRPr="00612653">
        <w:rPr>
          <w:rFonts w:ascii="Book Antiqua" w:hAnsi="Book Antiqua"/>
          <w:sz w:val="24"/>
          <w:szCs w:val="24"/>
          <w:lang w:val="en-US"/>
        </w:rPr>
        <w:t>F-H</w:t>
      </w:r>
      <w:r w:rsidRPr="00612653">
        <w:rPr>
          <w:rFonts w:ascii="Book Antiqua" w:hAnsi="Book Antiqua"/>
          <w:sz w:val="24"/>
          <w:szCs w:val="24"/>
          <w:lang w:val="en-US" w:eastAsia="zh-CN"/>
        </w:rPr>
        <w:t xml:space="preserve">: </w:t>
      </w:r>
      <w:r w:rsidRPr="00612653">
        <w:rPr>
          <w:rFonts w:ascii="Book Antiqua" w:hAnsi="Book Antiqua"/>
          <w:caps/>
          <w:sz w:val="24"/>
          <w:szCs w:val="24"/>
          <w:lang w:val="en-US"/>
        </w:rPr>
        <w:t>q</w:t>
      </w:r>
      <w:r w:rsidRPr="00612653">
        <w:rPr>
          <w:rFonts w:ascii="Book Antiqua" w:hAnsi="Book Antiqua"/>
          <w:sz w:val="24"/>
          <w:szCs w:val="24"/>
          <w:lang w:val="en-US"/>
        </w:rPr>
        <w:t>uantitative analysis of liver lipid, galectin-3 and</w:t>
      </w:r>
      <w:r w:rsidR="00916BBC" w:rsidRPr="00612653">
        <w:rPr>
          <w:rFonts w:ascii="Book Antiqua" w:hAnsi="Book Antiqua"/>
          <w:sz w:val="24"/>
          <w:szCs w:val="24"/>
          <w:lang w:val="en-US"/>
        </w:rPr>
        <w:t xml:space="preserve"> collagen 1a1 fractional area; </w:t>
      </w:r>
      <w:r w:rsidRPr="00612653">
        <w:rPr>
          <w:rFonts w:ascii="Book Antiqua" w:hAnsi="Book Antiqua"/>
          <w:sz w:val="24"/>
          <w:szCs w:val="24"/>
          <w:lang w:val="en-US"/>
        </w:rPr>
        <w:t>I-K</w:t>
      </w:r>
      <w:r w:rsidR="00916BBC" w:rsidRPr="00612653">
        <w:rPr>
          <w:rFonts w:ascii="Book Antiqua" w:hAnsi="Book Antiqua"/>
          <w:sz w:val="24"/>
          <w:szCs w:val="24"/>
          <w:lang w:val="en-US" w:eastAsia="zh-CN"/>
        </w:rPr>
        <w:t>:</w:t>
      </w:r>
      <w:r w:rsidRPr="00612653">
        <w:rPr>
          <w:rFonts w:ascii="Book Antiqua" w:hAnsi="Book Antiqua"/>
          <w:sz w:val="24"/>
          <w:szCs w:val="24"/>
          <w:lang w:val="en-US"/>
        </w:rPr>
        <w:t xml:space="preserve"> </w:t>
      </w:r>
      <w:r w:rsidRPr="00612653">
        <w:rPr>
          <w:rFonts w:ascii="Book Antiqua" w:hAnsi="Book Antiqua"/>
          <w:caps/>
          <w:sz w:val="24"/>
          <w:szCs w:val="24"/>
          <w:lang w:val="en-US"/>
        </w:rPr>
        <w:t>h</w:t>
      </w:r>
      <w:r w:rsidRPr="00612653">
        <w:rPr>
          <w:rFonts w:ascii="Book Antiqua" w:hAnsi="Book Antiqua"/>
          <w:sz w:val="24"/>
          <w:szCs w:val="24"/>
          <w:lang w:val="en-US"/>
        </w:rPr>
        <w:t xml:space="preserve">eatmap on liver transcriptome changes and expression of selected genes. </w:t>
      </w:r>
      <w:r w:rsidR="00FF3EEF" w:rsidRPr="00612653">
        <w:rPr>
          <w:rFonts w:ascii="Book Antiqua" w:hAnsi="Book Antiqua"/>
          <w:sz w:val="24"/>
          <w:szCs w:val="24"/>
          <w:vertAlign w:val="superscript"/>
          <w:lang w:val="en-US"/>
        </w:rPr>
        <w:t>a</w:t>
      </w:r>
      <w:r w:rsidRPr="00612653">
        <w:rPr>
          <w:rFonts w:ascii="Book Antiqua" w:hAnsi="Book Antiqua"/>
          <w:i/>
          <w:caps/>
          <w:sz w:val="24"/>
          <w:szCs w:val="24"/>
          <w:lang w:val="en-US"/>
        </w:rPr>
        <w:t>p</w:t>
      </w:r>
      <w:r w:rsidRPr="00612653">
        <w:rPr>
          <w:rFonts w:ascii="Book Antiqua" w:hAnsi="Book Antiqua"/>
          <w:i/>
          <w:caps/>
          <w:sz w:val="24"/>
          <w:szCs w:val="24"/>
          <w:lang w:val="en-US" w:eastAsia="zh-CN"/>
        </w:rPr>
        <w:t xml:space="preserve"> </w:t>
      </w:r>
      <w:r w:rsidRPr="00612653">
        <w:rPr>
          <w:rFonts w:ascii="Book Antiqua" w:hAnsi="Book Antiqua"/>
          <w:sz w:val="24"/>
          <w:szCs w:val="24"/>
          <w:lang w:val="en-US"/>
        </w:rPr>
        <w:t>&lt;</w:t>
      </w:r>
      <w:r w:rsidRPr="00612653">
        <w:rPr>
          <w:rFonts w:ascii="Book Antiqua" w:hAnsi="Book Antiqua"/>
          <w:sz w:val="24"/>
          <w:szCs w:val="24"/>
          <w:lang w:val="en-US" w:eastAsia="zh-CN"/>
        </w:rPr>
        <w:t xml:space="preserve"> </w:t>
      </w:r>
      <w:r w:rsidRPr="00612653">
        <w:rPr>
          <w:rFonts w:ascii="Book Antiqua" w:hAnsi="Book Antiqua"/>
          <w:sz w:val="24"/>
          <w:szCs w:val="24"/>
          <w:lang w:val="en-US"/>
        </w:rPr>
        <w:t xml:space="preserve">0.05, </w:t>
      </w:r>
      <w:r w:rsidR="00FF3EEF" w:rsidRPr="00612653">
        <w:rPr>
          <w:rFonts w:ascii="Book Antiqua" w:hAnsi="Book Antiqua"/>
          <w:sz w:val="24"/>
          <w:szCs w:val="24"/>
          <w:vertAlign w:val="superscript"/>
          <w:lang w:val="en-US"/>
        </w:rPr>
        <w:t>c</w:t>
      </w:r>
      <w:r w:rsidRPr="00612653">
        <w:rPr>
          <w:rFonts w:ascii="Book Antiqua" w:hAnsi="Book Antiqua"/>
          <w:i/>
          <w:caps/>
          <w:sz w:val="24"/>
          <w:szCs w:val="24"/>
          <w:lang w:val="en-US"/>
        </w:rPr>
        <w:t>p</w:t>
      </w:r>
      <w:r w:rsidR="0089515B" w:rsidRPr="00612653">
        <w:rPr>
          <w:rFonts w:ascii="Book Antiqua" w:hAnsi="Book Antiqua"/>
          <w:i/>
          <w:caps/>
          <w:sz w:val="24"/>
          <w:szCs w:val="24"/>
          <w:lang w:val="en-US" w:eastAsia="zh-CN"/>
        </w:rPr>
        <w:t xml:space="preserve"> </w:t>
      </w:r>
      <w:r w:rsidRPr="00612653">
        <w:rPr>
          <w:rFonts w:ascii="Book Antiqua" w:hAnsi="Book Antiqua"/>
          <w:sz w:val="24"/>
          <w:szCs w:val="24"/>
          <w:lang w:val="en-US"/>
        </w:rPr>
        <w:t>&lt;</w:t>
      </w:r>
      <w:r w:rsidR="0089515B" w:rsidRPr="00612653">
        <w:rPr>
          <w:rFonts w:ascii="Book Antiqua" w:hAnsi="Book Antiqua"/>
          <w:sz w:val="24"/>
          <w:szCs w:val="24"/>
          <w:lang w:val="en-US" w:eastAsia="zh-CN"/>
        </w:rPr>
        <w:t xml:space="preserve"> </w:t>
      </w:r>
      <w:r w:rsidRPr="00612653">
        <w:rPr>
          <w:rFonts w:ascii="Book Antiqua" w:hAnsi="Book Antiqua"/>
          <w:sz w:val="24"/>
          <w:szCs w:val="24"/>
          <w:lang w:val="en-US"/>
        </w:rPr>
        <w:t>0.001</w:t>
      </w:r>
      <w:r w:rsidRPr="00612653">
        <w:rPr>
          <w:rFonts w:ascii="Book Antiqua" w:hAnsi="Book Antiqua"/>
          <w:sz w:val="24"/>
          <w:szCs w:val="24"/>
          <w:lang w:val="en-US" w:eastAsia="zh-CN"/>
        </w:rPr>
        <w:t xml:space="preserve"> </w:t>
      </w:r>
      <w:r w:rsidRPr="00612653">
        <w:rPr>
          <w:rFonts w:ascii="Book Antiqua" w:hAnsi="Book Antiqua"/>
          <w:i/>
          <w:sz w:val="24"/>
          <w:szCs w:val="24"/>
          <w:lang w:val="en-US"/>
        </w:rPr>
        <w:t>vs</w:t>
      </w:r>
      <w:r w:rsidRPr="00612653">
        <w:rPr>
          <w:rFonts w:ascii="Book Antiqua" w:hAnsi="Book Antiqua"/>
          <w:sz w:val="24"/>
          <w:szCs w:val="24"/>
          <w:lang w:val="en-US" w:eastAsia="zh-CN"/>
        </w:rPr>
        <w:t xml:space="preserve"> </w:t>
      </w:r>
      <w:r w:rsidRPr="00612653">
        <w:rPr>
          <w:rFonts w:ascii="Book Antiqua" w:hAnsi="Book Antiqua"/>
          <w:sz w:val="24"/>
          <w:szCs w:val="24"/>
          <w:lang w:val="en-US"/>
        </w:rPr>
        <w:t>week 0.</w:t>
      </w:r>
    </w:p>
    <w:p w14:paraId="09D1C581" w14:textId="1F977AAA" w:rsidR="008E6497" w:rsidRPr="00612653" w:rsidRDefault="00FF3EEF" w:rsidP="00082279">
      <w:pPr>
        <w:snapToGrid w:val="0"/>
        <w:spacing w:after="0" w:line="360" w:lineRule="auto"/>
        <w:jc w:val="both"/>
        <w:rPr>
          <w:rFonts w:ascii="Book Antiqua" w:hAnsi="Book Antiqua"/>
          <w:sz w:val="24"/>
          <w:szCs w:val="24"/>
          <w:lang w:val="en-US" w:eastAsia="zh-CN"/>
        </w:rPr>
      </w:pPr>
      <w:r w:rsidRPr="00612653">
        <w:rPr>
          <w:rFonts w:ascii="Book Antiqua" w:hAnsi="Book Antiqua"/>
          <w:noProof/>
          <w:sz w:val="24"/>
          <w:szCs w:val="24"/>
          <w:lang w:val="en-US" w:eastAsia="zh-CN"/>
        </w:rPr>
        <w:lastRenderedPageBreak/>
        <w:drawing>
          <wp:inline distT="0" distB="0" distL="0" distR="0" wp14:anchorId="54016CD0" wp14:editId="4A78BED4">
            <wp:extent cx="7279005" cy="6590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79005" cy="6590030"/>
                    </a:xfrm>
                    <a:prstGeom prst="rect">
                      <a:avLst/>
                    </a:prstGeom>
                    <a:noFill/>
                  </pic:spPr>
                </pic:pic>
              </a:graphicData>
            </a:graphic>
          </wp:inline>
        </w:drawing>
      </w:r>
    </w:p>
    <w:p w14:paraId="083877A0" w14:textId="21B6AE96" w:rsidR="0023157D" w:rsidRPr="00612653" w:rsidRDefault="0023157D" w:rsidP="00082279">
      <w:pPr>
        <w:snapToGrid w:val="0"/>
        <w:spacing w:after="0" w:line="360" w:lineRule="auto"/>
        <w:jc w:val="both"/>
        <w:rPr>
          <w:rFonts w:ascii="Book Antiqua" w:hAnsi="Book Antiqua"/>
          <w:b/>
          <w:bCs/>
          <w:sz w:val="24"/>
          <w:szCs w:val="24"/>
          <w:lang w:val="en-US" w:eastAsia="zh-CN"/>
        </w:rPr>
      </w:pPr>
      <w:r w:rsidRPr="00612653">
        <w:rPr>
          <w:rFonts w:ascii="Book Antiqua" w:hAnsi="Book Antiqua"/>
          <w:b/>
          <w:bCs/>
          <w:sz w:val="24"/>
          <w:szCs w:val="24"/>
          <w:lang w:val="en-US"/>
        </w:rPr>
        <w:t>Figure 2</w:t>
      </w:r>
      <w:r w:rsidRPr="00612653">
        <w:rPr>
          <w:rFonts w:ascii="Book Antiqua" w:hAnsi="Book Antiqua"/>
          <w:b/>
          <w:bCs/>
          <w:sz w:val="24"/>
          <w:szCs w:val="24"/>
          <w:lang w:val="en-US" w:eastAsia="zh-CN"/>
        </w:rPr>
        <w:t xml:space="preserve"> </w:t>
      </w:r>
      <w:r w:rsidRPr="00612653">
        <w:rPr>
          <w:rFonts w:ascii="Book Antiqua" w:hAnsi="Book Antiqua"/>
          <w:b/>
          <w:bCs/>
          <w:sz w:val="24"/>
          <w:szCs w:val="24"/>
          <w:lang w:val="en-US"/>
        </w:rPr>
        <w:t xml:space="preserve">Metabolic effects of liraglutide, obeticholic acid, and elafibranor treatment in DIO-NASH mice. </w:t>
      </w:r>
      <w:r w:rsidR="00FF3EEF" w:rsidRPr="00612653">
        <w:rPr>
          <w:rFonts w:ascii="Book Antiqua" w:hAnsi="Book Antiqua"/>
          <w:sz w:val="24"/>
          <w:szCs w:val="24"/>
          <w:vertAlign w:val="superscript"/>
          <w:lang w:val="en-US"/>
        </w:rPr>
        <w:t>a</w:t>
      </w:r>
      <w:r w:rsidR="00FF3EEF" w:rsidRPr="00612653">
        <w:rPr>
          <w:rFonts w:ascii="Book Antiqua" w:hAnsi="Book Antiqua"/>
          <w:i/>
          <w:caps/>
          <w:sz w:val="24"/>
          <w:szCs w:val="24"/>
          <w:lang w:val="en-US"/>
        </w:rPr>
        <w:t>p</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&lt;</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 xml:space="preserve">0.05, </w:t>
      </w:r>
      <w:r w:rsidR="00FF3EEF" w:rsidRPr="00612653">
        <w:rPr>
          <w:rFonts w:ascii="Book Antiqua" w:hAnsi="Book Antiqua"/>
          <w:sz w:val="24"/>
          <w:szCs w:val="24"/>
          <w:vertAlign w:val="superscript"/>
          <w:lang w:val="en-US"/>
        </w:rPr>
        <w:t>b</w:t>
      </w:r>
      <w:r w:rsidR="00FF3EEF" w:rsidRPr="00612653">
        <w:rPr>
          <w:rFonts w:ascii="Book Antiqua" w:hAnsi="Book Antiqua"/>
          <w:i/>
          <w:sz w:val="24"/>
          <w:szCs w:val="24"/>
          <w:lang w:val="en-US"/>
        </w:rPr>
        <w:t>P</w:t>
      </w:r>
      <w:r w:rsidR="0089515B" w:rsidRPr="00612653">
        <w:rPr>
          <w:rFonts w:ascii="Book Antiqua" w:hAnsi="Book Antiqua"/>
          <w:i/>
          <w:sz w:val="24"/>
          <w:szCs w:val="24"/>
          <w:lang w:val="en-US" w:eastAsia="zh-CN"/>
        </w:rPr>
        <w:t xml:space="preserve"> </w:t>
      </w:r>
      <w:r w:rsidR="00FF3EEF" w:rsidRPr="00612653">
        <w:rPr>
          <w:rFonts w:ascii="Book Antiqua" w:hAnsi="Book Antiqua"/>
          <w:sz w:val="24"/>
          <w:szCs w:val="24"/>
          <w:lang w:val="en-US"/>
        </w:rPr>
        <w:t>&lt;</w:t>
      </w:r>
      <w:r w:rsidR="0089515B"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 xml:space="preserve">0.01, </w:t>
      </w:r>
      <w:r w:rsidR="00FF3EEF" w:rsidRPr="00612653">
        <w:rPr>
          <w:rFonts w:ascii="Book Antiqua" w:hAnsi="Book Antiqua"/>
          <w:sz w:val="24"/>
          <w:szCs w:val="24"/>
          <w:vertAlign w:val="superscript"/>
          <w:lang w:val="en-US"/>
        </w:rPr>
        <w:t>c</w:t>
      </w:r>
      <w:r w:rsidR="00FF3EEF" w:rsidRPr="00612653">
        <w:rPr>
          <w:rFonts w:ascii="Book Antiqua" w:hAnsi="Book Antiqua"/>
          <w:i/>
          <w:caps/>
          <w:sz w:val="24"/>
          <w:szCs w:val="24"/>
          <w:lang w:val="en-US"/>
        </w:rPr>
        <w:t>p</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&lt;</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0.001</w:t>
      </w:r>
      <w:r w:rsidR="00FF3EEF" w:rsidRPr="00612653">
        <w:rPr>
          <w:rFonts w:ascii="Book Antiqua" w:hAnsi="Book Antiqua"/>
          <w:sz w:val="24"/>
          <w:szCs w:val="24"/>
          <w:lang w:val="en-US" w:eastAsia="zh-CN"/>
        </w:rPr>
        <w:t xml:space="preserve"> </w:t>
      </w:r>
      <w:r w:rsidRPr="00612653">
        <w:rPr>
          <w:rFonts w:ascii="Book Antiqua" w:hAnsi="Book Antiqua"/>
          <w:i/>
          <w:sz w:val="24"/>
          <w:szCs w:val="24"/>
          <w:lang w:val="en-US"/>
        </w:rPr>
        <w:t>vs</w:t>
      </w:r>
      <w:r w:rsidRPr="00612653">
        <w:rPr>
          <w:rFonts w:ascii="Book Antiqua" w:hAnsi="Book Antiqua"/>
          <w:sz w:val="24"/>
          <w:szCs w:val="24"/>
          <w:lang w:val="en-US" w:eastAsia="zh-CN"/>
        </w:rPr>
        <w:t xml:space="preserve"> </w:t>
      </w:r>
      <w:r w:rsidRPr="00612653">
        <w:rPr>
          <w:rFonts w:ascii="Book Antiqua" w:hAnsi="Book Antiqua"/>
          <w:sz w:val="24"/>
          <w:szCs w:val="24"/>
          <w:lang w:val="en-US"/>
        </w:rPr>
        <w:t xml:space="preserve">vehicle controls. </w:t>
      </w:r>
      <w:r w:rsidRPr="00612653">
        <w:rPr>
          <w:rFonts w:ascii="Book Antiqua" w:hAnsi="Book Antiqua"/>
          <w:bCs/>
          <w:sz w:val="24"/>
          <w:szCs w:val="24"/>
          <w:lang w:val="en-US"/>
        </w:rPr>
        <w:t>OCA</w:t>
      </w:r>
      <w:r w:rsidRPr="00612653">
        <w:rPr>
          <w:rFonts w:ascii="Book Antiqua" w:hAnsi="Book Antiqua"/>
          <w:bCs/>
          <w:sz w:val="24"/>
          <w:szCs w:val="24"/>
          <w:lang w:val="en-US" w:eastAsia="zh-CN"/>
        </w:rPr>
        <w:t xml:space="preserve">: </w:t>
      </w:r>
      <w:r w:rsidRPr="00612653">
        <w:rPr>
          <w:rFonts w:ascii="Book Antiqua" w:hAnsi="Book Antiqua"/>
          <w:bCs/>
          <w:caps/>
          <w:sz w:val="24"/>
          <w:szCs w:val="24"/>
          <w:lang w:val="en-US"/>
        </w:rPr>
        <w:t>o</w:t>
      </w:r>
      <w:r w:rsidRPr="00612653">
        <w:rPr>
          <w:rFonts w:ascii="Book Antiqua" w:hAnsi="Book Antiqua"/>
          <w:bCs/>
          <w:sz w:val="24"/>
          <w:szCs w:val="24"/>
          <w:lang w:val="en-US"/>
        </w:rPr>
        <w:t>beticholic acid</w:t>
      </w:r>
      <w:r w:rsidRPr="00612653">
        <w:rPr>
          <w:rFonts w:ascii="Book Antiqua" w:hAnsi="Book Antiqua"/>
          <w:bCs/>
          <w:sz w:val="24"/>
          <w:szCs w:val="24"/>
          <w:lang w:val="en-US" w:eastAsia="zh-CN"/>
        </w:rPr>
        <w:t>.</w:t>
      </w:r>
    </w:p>
    <w:p w14:paraId="59806CEB" w14:textId="77777777" w:rsidR="0023157D" w:rsidRPr="00612653" w:rsidRDefault="0023157D" w:rsidP="00082279">
      <w:pPr>
        <w:snapToGrid w:val="0"/>
        <w:spacing w:after="0" w:line="360" w:lineRule="auto"/>
        <w:jc w:val="both"/>
        <w:rPr>
          <w:rFonts w:ascii="Book Antiqua" w:hAnsi="Book Antiqua"/>
          <w:b/>
          <w:bCs/>
          <w:sz w:val="24"/>
          <w:szCs w:val="24"/>
          <w:lang w:val="en-US" w:eastAsia="zh-CN"/>
        </w:rPr>
      </w:pPr>
    </w:p>
    <w:p w14:paraId="285034EF" w14:textId="0E291CCB" w:rsidR="00005D46" w:rsidRPr="00612653" w:rsidRDefault="00FF3EEF" w:rsidP="00082279">
      <w:pPr>
        <w:snapToGrid w:val="0"/>
        <w:spacing w:after="0" w:line="360" w:lineRule="auto"/>
        <w:jc w:val="both"/>
        <w:rPr>
          <w:rFonts w:ascii="Book Antiqua" w:hAnsi="Book Antiqua"/>
          <w:sz w:val="24"/>
          <w:szCs w:val="24"/>
          <w:lang w:val="en-US" w:eastAsia="zh-CN"/>
        </w:rPr>
      </w:pPr>
      <w:r w:rsidRPr="00612653">
        <w:rPr>
          <w:rFonts w:ascii="Book Antiqua" w:hAnsi="Book Antiqua"/>
          <w:noProof/>
          <w:sz w:val="24"/>
          <w:szCs w:val="24"/>
          <w:lang w:val="en-US" w:eastAsia="zh-CN"/>
        </w:rPr>
        <w:lastRenderedPageBreak/>
        <w:drawing>
          <wp:inline distT="0" distB="0" distL="0" distR="0" wp14:anchorId="4E22A409" wp14:editId="1FD77E1A">
            <wp:extent cx="6934200" cy="787769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5261" cy="7878896"/>
                    </a:xfrm>
                    <a:prstGeom prst="rect">
                      <a:avLst/>
                    </a:prstGeom>
                    <a:noFill/>
                  </pic:spPr>
                </pic:pic>
              </a:graphicData>
            </a:graphic>
          </wp:inline>
        </w:drawing>
      </w:r>
    </w:p>
    <w:p w14:paraId="367FEB08" w14:textId="5B60522D" w:rsidR="00005D46" w:rsidRPr="00612653" w:rsidRDefault="00005D46" w:rsidP="00082279">
      <w:pPr>
        <w:snapToGrid w:val="0"/>
        <w:spacing w:after="0" w:line="360" w:lineRule="auto"/>
        <w:jc w:val="both"/>
        <w:rPr>
          <w:rFonts w:ascii="Book Antiqua" w:hAnsi="Book Antiqua"/>
          <w:bCs/>
          <w:sz w:val="24"/>
          <w:szCs w:val="24"/>
          <w:lang w:val="en-US" w:eastAsia="zh-CN"/>
        </w:rPr>
      </w:pPr>
      <w:r w:rsidRPr="00612653">
        <w:rPr>
          <w:rFonts w:ascii="Book Antiqua" w:hAnsi="Book Antiqua"/>
          <w:b/>
          <w:bCs/>
          <w:sz w:val="24"/>
          <w:szCs w:val="24"/>
          <w:lang w:val="en-US"/>
        </w:rPr>
        <w:t>Figure 3</w:t>
      </w:r>
      <w:r w:rsidRPr="00612653">
        <w:rPr>
          <w:rFonts w:ascii="Book Antiqua" w:hAnsi="Book Antiqua"/>
          <w:b/>
          <w:bCs/>
          <w:sz w:val="24"/>
          <w:szCs w:val="24"/>
          <w:lang w:val="en-US" w:eastAsia="zh-CN"/>
        </w:rPr>
        <w:t xml:space="preserve"> </w:t>
      </w:r>
      <w:r w:rsidRPr="00612653">
        <w:rPr>
          <w:rFonts w:ascii="Book Antiqua" w:hAnsi="Book Antiqua"/>
          <w:b/>
          <w:bCs/>
          <w:sz w:val="24"/>
          <w:szCs w:val="24"/>
          <w:lang w:val="en-US"/>
        </w:rPr>
        <w:t xml:space="preserve">Histomorphological effects of liraglutide, obeticholic acid, and elafibranor treatment in DIO-NASH mice. </w:t>
      </w:r>
      <w:r w:rsidR="00FF3EEF" w:rsidRPr="00612653">
        <w:rPr>
          <w:rFonts w:ascii="Book Antiqua" w:hAnsi="Book Antiqua"/>
          <w:sz w:val="24"/>
          <w:szCs w:val="24"/>
          <w:vertAlign w:val="superscript"/>
          <w:lang w:val="en-US"/>
        </w:rPr>
        <w:t>a</w:t>
      </w:r>
      <w:r w:rsidR="00FF3EEF" w:rsidRPr="00612653">
        <w:rPr>
          <w:rFonts w:ascii="Book Antiqua" w:hAnsi="Book Antiqua"/>
          <w:i/>
          <w:caps/>
          <w:sz w:val="24"/>
          <w:szCs w:val="24"/>
          <w:lang w:val="en-US"/>
        </w:rPr>
        <w:t>p</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&lt;</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 xml:space="preserve">0.05, </w:t>
      </w:r>
      <w:r w:rsidR="00FF3EEF" w:rsidRPr="00612653">
        <w:rPr>
          <w:rFonts w:ascii="Book Antiqua" w:hAnsi="Book Antiqua"/>
          <w:sz w:val="24"/>
          <w:szCs w:val="24"/>
          <w:vertAlign w:val="superscript"/>
          <w:lang w:val="en-US"/>
        </w:rPr>
        <w:t>b</w:t>
      </w:r>
      <w:r w:rsidR="00FF3EEF" w:rsidRPr="00612653">
        <w:rPr>
          <w:rFonts w:ascii="Book Antiqua" w:hAnsi="Book Antiqua"/>
          <w:i/>
          <w:sz w:val="24"/>
          <w:szCs w:val="24"/>
          <w:lang w:val="en-US"/>
        </w:rPr>
        <w:t>P</w:t>
      </w:r>
      <w:r w:rsidR="0089515B" w:rsidRPr="00612653">
        <w:rPr>
          <w:rFonts w:ascii="Book Antiqua" w:hAnsi="Book Antiqua"/>
          <w:i/>
          <w:sz w:val="24"/>
          <w:szCs w:val="24"/>
          <w:lang w:val="en-US" w:eastAsia="zh-CN"/>
        </w:rPr>
        <w:t xml:space="preserve"> </w:t>
      </w:r>
      <w:r w:rsidR="00FF3EEF" w:rsidRPr="00612653">
        <w:rPr>
          <w:rFonts w:ascii="Book Antiqua" w:hAnsi="Book Antiqua"/>
          <w:sz w:val="24"/>
          <w:szCs w:val="24"/>
          <w:lang w:val="en-US"/>
        </w:rPr>
        <w:t>&lt;</w:t>
      </w:r>
      <w:r w:rsidR="0089515B"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 xml:space="preserve">0.01, </w:t>
      </w:r>
      <w:r w:rsidR="00FF3EEF" w:rsidRPr="00612653">
        <w:rPr>
          <w:rFonts w:ascii="Book Antiqua" w:hAnsi="Book Antiqua"/>
          <w:sz w:val="24"/>
          <w:szCs w:val="24"/>
          <w:vertAlign w:val="superscript"/>
          <w:lang w:val="en-US"/>
        </w:rPr>
        <w:t>c</w:t>
      </w:r>
      <w:r w:rsidR="00FF3EEF" w:rsidRPr="00612653">
        <w:rPr>
          <w:rFonts w:ascii="Book Antiqua" w:hAnsi="Book Antiqua"/>
          <w:i/>
          <w:caps/>
          <w:sz w:val="24"/>
          <w:szCs w:val="24"/>
          <w:lang w:val="en-US"/>
        </w:rPr>
        <w:t>p</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&lt;</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0.001</w:t>
      </w:r>
      <w:r w:rsidR="00FF3EEF" w:rsidRPr="00612653">
        <w:rPr>
          <w:rFonts w:ascii="Book Antiqua" w:hAnsi="Book Antiqua"/>
          <w:sz w:val="24"/>
          <w:szCs w:val="24"/>
          <w:lang w:val="en-US" w:eastAsia="zh-CN"/>
        </w:rPr>
        <w:t xml:space="preserve"> </w:t>
      </w:r>
      <w:r w:rsidRPr="00612653">
        <w:rPr>
          <w:rFonts w:ascii="Book Antiqua" w:hAnsi="Book Antiqua"/>
          <w:i/>
          <w:sz w:val="24"/>
          <w:szCs w:val="24"/>
          <w:lang w:val="en-US"/>
        </w:rPr>
        <w:t>vs</w:t>
      </w:r>
      <w:r w:rsidRPr="00612653">
        <w:rPr>
          <w:rFonts w:ascii="Book Antiqua" w:hAnsi="Book Antiqua"/>
          <w:sz w:val="24"/>
          <w:szCs w:val="24"/>
          <w:lang w:val="en-US" w:eastAsia="zh-CN"/>
        </w:rPr>
        <w:t xml:space="preserve"> </w:t>
      </w:r>
      <w:r w:rsidRPr="00612653">
        <w:rPr>
          <w:rFonts w:ascii="Book Antiqua" w:hAnsi="Book Antiqua"/>
          <w:sz w:val="24"/>
          <w:szCs w:val="24"/>
          <w:lang w:val="en-US"/>
        </w:rPr>
        <w:t xml:space="preserve">vehicle controls. </w:t>
      </w:r>
      <w:r w:rsidRPr="00612653">
        <w:rPr>
          <w:rFonts w:ascii="Book Antiqua" w:hAnsi="Book Antiqua"/>
          <w:bCs/>
          <w:sz w:val="24"/>
          <w:szCs w:val="24"/>
          <w:lang w:val="en-US"/>
        </w:rPr>
        <w:t>OCA</w:t>
      </w:r>
      <w:r w:rsidRPr="00612653">
        <w:rPr>
          <w:rFonts w:ascii="Book Antiqua" w:hAnsi="Book Antiqua"/>
          <w:bCs/>
          <w:sz w:val="24"/>
          <w:szCs w:val="24"/>
          <w:lang w:val="en-US" w:eastAsia="zh-CN"/>
        </w:rPr>
        <w:t xml:space="preserve">: </w:t>
      </w:r>
      <w:r w:rsidRPr="00612653">
        <w:rPr>
          <w:rFonts w:ascii="Book Antiqua" w:hAnsi="Book Antiqua"/>
          <w:bCs/>
          <w:caps/>
          <w:sz w:val="24"/>
          <w:szCs w:val="24"/>
          <w:lang w:val="en-US"/>
        </w:rPr>
        <w:t>o</w:t>
      </w:r>
      <w:r w:rsidRPr="00612653">
        <w:rPr>
          <w:rFonts w:ascii="Book Antiqua" w:hAnsi="Book Antiqua"/>
          <w:bCs/>
          <w:sz w:val="24"/>
          <w:szCs w:val="24"/>
          <w:lang w:val="en-US"/>
        </w:rPr>
        <w:t>beticholic acid</w:t>
      </w:r>
      <w:r w:rsidRPr="00612653">
        <w:rPr>
          <w:rFonts w:ascii="Book Antiqua" w:hAnsi="Book Antiqua"/>
          <w:bCs/>
          <w:sz w:val="24"/>
          <w:szCs w:val="24"/>
          <w:lang w:val="en-US" w:eastAsia="zh-CN"/>
        </w:rPr>
        <w:t>.</w:t>
      </w:r>
    </w:p>
    <w:p w14:paraId="72973DC4" w14:textId="14BA7DEE" w:rsidR="004A2B2F" w:rsidRPr="00612653" w:rsidRDefault="00FF3EEF" w:rsidP="00082279">
      <w:pPr>
        <w:snapToGrid w:val="0"/>
        <w:spacing w:after="0" w:line="360" w:lineRule="auto"/>
        <w:jc w:val="both"/>
        <w:rPr>
          <w:rFonts w:ascii="Book Antiqua" w:hAnsi="Book Antiqua"/>
          <w:sz w:val="24"/>
          <w:szCs w:val="24"/>
          <w:lang w:val="en-US" w:eastAsia="zh-CN"/>
        </w:rPr>
      </w:pPr>
      <w:r w:rsidRPr="00612653">
        <w:rPr>
          <w:rFonts w:ascii="Book Antiqua" w:hAnsi="Book Antiqua"/>
          <w:noProof/>
          <w:sz w:val="24"/>
          <w:szCs w:val="24"/>
          <w:lang w:val="en-US" w:eastAsia="zh-CN"/>
        </w:rPr>
        <w:lastRenderedPageBreak/>
        <w:drawing>
          <wp:inline distT="0" distB="0" distL="0" distR="0" wp14:anchorId="550C2C70" wp14:editId="70A212DC">
            <wp:extent cx="6218555" cy="4334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8555" cy="4334510"/>
                    </a:xfrm>
                    <a:prstGeom prst="rect">
                      <a:avLst/>
                    </a:prstGeom>
                    <a:noFill/>
                  </pic:spPr>
                </pic:pic>
              </a:graphicData>
            </a:graphic>
          </wp:inline>
        </w:drawing>
      </w:r>
    </w:p>
    <w:p w14:paraId="5DD39721" w14:textId="6279A248" w:rsidR="00005D46" w:rsidRPr="00612653" w:rsidRDefault="00005D46" w:rsidP="00082279">
      <w:pPr>
        <w:snapToGrid w:val="0"/>
        <w:spacing w:after="0" w:line="360" w:lineRule="auto"/>
        <w:jc w:val="both"/>
        <w:rPr>
          <w:rFonts w:ascii="Book Antiqua" w:hAnsi="Book Antiqua"/>
          <w:bCs/>
          <w:sz w:val="24"/>
          <w:szCs w:val="24"/>
          <w:lang w:val="en-US" w:eastAsia="zh-CN"/>
        </w:rPr>
      </w:pPr>
      <w:r w:rsidRPr="00612653">
        <w:rPr>
          <w:rFonts w:ascii="Book Antiqua" w:hAnsi="Book Antiqua"/>
          <w:b/>
          <w:bCs/>
          <w:sz w:val="24"/>
          <w:szCs w:val="24"/>
          <w:lang w:val="en-US"/>
        </w:rPr>
        <w:t>Figure 4</w:t>
      </w:r>
      <w:r w:rsidRPr="00612653">
        <w:rPr>
          <w:rFonts w:ascii="Book Antiqua" w:hAnsi="Book Antiqua"/>
          <w:b/>
          <w:bCs/>
          <w:sz w:val="24"/>
          <w:szCs w:val="24"/>
          <w:lang w:val="en-US" w:eastAsia="zh-CN"/>
        </w:rPr>
        <w:t xml:space="preserve"> </w:t>
      </w:r>
      <w:r w:rsidRPr="00612653">
        <w:rPr>
          <w:rFonts w:ascii="Book Antiqua" w:hAnsi="Book Antiqua"/>
          <w:b/>
          <w:bCs/>
          <w:sz w:val="24"/>
          <w:szCs w:val="24"/>
          <w:lang w:val="en-US"/>
        </w:rPr>
        <w:t xml:space="preserve">Quantitative histological assessment of liver lipids, collagen deposition and inflammation in DIO-NASH mice. </w:t>
      </w:r>
      <w:r w:rsidR="00FF3EEF" w:rsidRPr="00612653">
        <w:rPr>
          <w:rFonts w:ascii="Book Antiqua" w:hAnsi="Book Antiqua"/>
          <w:sz w:val="24"/>
          <w:szCs w:val="24"/>
          <w:vertAlign w:val="superscript"/>
          <w:lang w:val="en-US"/>
        </w:rPr>
        <w:t>a</w:t>
      </w:r>
      <w:r w:rsidR="00FF3EEF" w:rsidRPr="00612653">
        <w:rPr>
          <w:rFonts w:ascii="Book Antiqua" w:hAnsi="Book Antiqua"/>
          <w:i/>
          <w:caps/>
          <w:sz w:val="24"/>
          <w:szCs w:val="24"/>
          <w:lang w:val="en-US"/>
        </w:rPr>
        <w:t>p</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&lt;</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 xml:space="preserve">0.05, </w:t>
      </w:r>
      <w:r w:rsidR="00FF3EEF" w:rsidRPr="00612653">
        <w:rPr>
          <w:rFonts w:ascii="Book Antiqua" w:hAnsi="Book Antiqua"/>
          <w:sz w:val="24"/>
          <w:szCs w:val="24"/>
          <w:vertAlign w:val="superscript"/>
          <w:lang w:val="en-US"/>
        </w:rPr>
        <w:t>b</w:t>
      </w:r>
      <w:r w:rsidR="00FF3EEF" w:rsidRPr="00612653">
        <w:rPr>
          <w:rFonts w:ascii="Book Antiqua" w:hAnsi="Book Antiqua"/>
          <w:i/>
          <w:sz w:val="24"/>
          <w:szCs w:val="24"/>
          <w:lang w:val="en-US"/>
        </w:rPr>
        <w:t>P</w:t>
      </w:r>
      <w:r w:rsidR="0089515B" w:rsidRPr="00612653">
        <w:rPr>
          <w:rFonts w:ascii="Book Antiqua" w:hAnsi="Book Antiqua"/>
          <w:i/>
          <w:sz w:val="24"/>
          <w:szCs w:val="24"/>
          <w:lang w:val="en-US" w:eastAsia="zh-CN"/>
        </w:rPr>
        <w:t xml:space="preserve"> </w:t>
      </w:r>
      <w:r w:rsidR="00FF3EEF" w:rsidRPr="00612653">
        <w:rPr>
          <w:rFonts w:ascii="Book Antiqua" w:hAnsi="Book Antiqua"/>
          <w:sz w:val="24"/>
          <w:szCs w:val="24"/>
          <w:lang w:val="en-US"/>
        </w:rPr>
        <w:t>&lt;</w:t>
      </w:r>
      <w:r w:rsidR="0089515B"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 xml:space="preserve">0.01, </w:t>
      </w:r>
      <w:r w:rsidR="00FF3EEF" w:rsidRPr="00612653">
        <w:rPr>
          <w:rFonts w:ascii="Book Antiqua" w:hAnsi="Book Antiqua"/>
          <w:sz w:val="24"/>
          <w:szCs w:val="24"/>
          <w:vertAlign w:val="superscript"/>
          <w:lang w:val="en-US"/>
        </w:rPr>
        <w:t>c</w:t>
      </w:r>
      <w:r w:rsidR="00FF3EEF" w:rsidRPr="00612653">
        <w:rPr>
          <w:rFonts w:ascii="Book Antiqua" w:hAnsi="Book Antiqua"/>
          <w:i/>
          <w:caps/>
          <w:sz w:val="24"/>
          <w:szCs w:val="24"/>
          <w:lang w:val="en-US"/>
        </w:rPr>
        <w:t>p</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&lt;</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0.001</w:t>
      </w:r>
      <w:r w:rsidR="00FF3EEF" w:rsidRPr="00612653">
        <w:rPr>
          <w:rFonts w:ascii="Book Antiqua" w:hAnsi="Book Antiqua"/>
          <w:sz w:val="24"/>
          <w:szCs w:val="24"/>
          <w:lang w:val="en-US" w:eastAsia="zh-CN"/>
        </w:rPr>
        <w:t xml:space="preserve"> </w:t>
      </w:r>
      <w:r w:rsidRPr="00612653">
        <w:rPr>
          <w:rFonts w:ascii="Book Antiqua" w:hAnsi="Book Antiqua"/>
          <w:i/>
          <w:sz w:val="24"/>
          <w:szCs w:val="24"/>
          <w:lang w:val="en-US"/>
        </w:rPr>
        <w:t>vs</w:t>
      </w:r>
      <w:r w:rsidRPr="00612653">
        <w:rPr>
          <w:rFonts w:ascii="Book Antiqua" w:hAnsi="Book Antiqua"/>
          <w:sz w:val="24"/>
          <w:szCs w:val="24"/>
          <w:lang w:val="en-US" w:eastAsia="zh-CN"/>
        </w:rPr>
        <w:t xml:space="preserve"> </w:t>
      </w:r>
      <w:r w:rsidRPr="00612653">
        <w:rPr>
          <w:rFonts w:ascii="Book Antiqua" w:hAnsi="Book Antiqua"/>
          <w:sz w:val="24"/>
          <w:szCs w:val="24"/>
          <w:lang w:val="en-US"/>
        </w:rPr>
        <w:t xml:space="preserve">vehicle controls. </w:t>
      </w:r>
      <w:r w:rsidRPr="00612653">
        <w:rPr>
          <w:rFonts w:ascii="Book Antiqua" w:hAnsi="Book Antiqua"/>
          <w:bCs/>
          <w:sz w:val="24"/>
          <w:szCs w:val="24"/>
          <w:lang w:val="en-US"/>
        </w:rPr>
        <w:t>OCA</w:t>
      </w:r>
      <w:r w:rsidRPr="00612653">
        <w:rPr>
          <w:rFonts w:ascii="Book Antiqua" w:hAnsi="Book Antiqua"/>
          <w:bCs/>
          <w:sz w:val="24"/>
          <w:szCs w:val="24"/>
          <w:lang w:val="en-US" w:eastAsia="zh-CN"/>
        </w:rPr>
        <w:t xml:space="preserve">: </w:t>
      </w:r>
      <w:r w:rsidRPr="00612653">
        <w:rPr>
          <w:rFonts w:ascii="Book Antiqua" w:hAnsi="Book Antiqua"/>
          <w:bCs/>
          <w:caps/>
          <w:sz w:val="24"/>
          <w:szCs w:val="24"/>
          <w:lang w:val="en-US"/>
        </w:rPr>
        <w:t>o</w:t>
      </w:r>
      <w:r w:rsidRPr="00612653">
        <w:rPr>
          <w:rFonts w:ascii="Book Antiqua" w:hAnsi="Book Antiqua"/>
          <w:bCs/>
          <w:sz w:val="24"/>
          <w:szCs w:val="24"/>
          <w:lang w:val="en-US"/>
        </w:rPr>
        <w:t>beticholic acid</w:t>
      </w:r>
      <w:r w:rsidRPr="00612653">
        <w:rPr>
          <w:rFonts w:ascii="Book Antiqua" w:hAnsi="Book Antiqua"/>
          <w:bCs/>
          <w:sz w:val="24"/>
          <w:szCs w:val="24"/>
          <w:lang w:val="en-US" w:eastAsia="zh-CN"/>
        </w:rPr>
        <w:t>.</w:t>
      </w:r>
    </w:p>
    <w:p w14:paraId="0FE8116D" w14:textId="77777777" w:rsidR="004A2B2F" w:rsidRPr="00612653" w:rsidRDefault="004A2B2F" w:rsidP="00082279">
      <w:pPr>
        <w:snapToGrid w:val="0"/>
        <w:spacing w:after="0" w:line="360" w:lineRule="auto"/>
        <w:jc w:val="both"/>
        <w:rPr>
          <w:rFonts w:ascii="Book Antiqua" w:hAnsi="Book Antiqua"/>
          <w:sz w:val="24"/>
          <w:szCs w:val="24"/>
          <w:lang w:val="en-US" w:eastAsia="zh-CN"/>
        </w:rPr>
      </w:pPr>
    </w:p>
    <w:p w14:paraId="036CE1A2" w14:textId="2F298EC7" w:rsidR="008E6497" w:rsidRPr="00612653" w:rsidRDefault="008E6497" w:rsidP="00082279">
      <w:pPr>
        <w:snapToGrid w:val="0"/>
        <w:spacing w:after="0" w:line="360" w:lineRule="auto"/>
        <w:jc w:val="both"/>
        <w:rPr>
          <w:rFonts w:ascii="Book Antiqua" w:hAnsi="Book Antiqua"/>
          <w:sz w:val="24"/>
          <w:szCs w:val="24"/>
          <w:lang w:val="en-US" w:eastAsia="zh-CN"/>
        </w:rPr>
      </w:pPr>
      <w:r w:rsidRPr="00612653">
        <w:rPr>
          <w:rFonts w:ascii="Book Antiqua" w:hAnsi="Book Antiqua"/>
          <w:sz w:val="24"/>
          <w:szCs w:val="24"/>
          <w:lang w:val="en-US"/>
        </w:rPr>
        <w:br w:type="page"/>
      </w:r>
    </w:p>
    <w:p w14:paraId="401524DB" w14:textId="12C29782" w:rsidR="008E6497" w:rsidRPr="00612653" w:rsidRDefault="00FF3EEF" w:rsidP="00082279">
      <w:pPr>
        <w:snapToGrid w:val="0"/>
        <w:spacing w:after="0" w:line="360" w:lineRule="auto"/>
        <w:jc w:val="both"/>
        <w:rPr>
          <w:rFonts w:ascii="Book Antiqua" w:hAnsi="Book Antiqua"/>
          <w:sz w:val="24"/>
          <w:szCs w:val="24"/>
          <w:lang w:val="en-US" w:eastAsia="zh-CN"/>
        </w:rPr>
      </w:pPr>
      <w:r w:rsidRPr="00612653">
        <w:rPr>
          <w:rFonts w:ascii="Book Antiqua" w:hAnsi="Book Antiqua"/>
          <w:noProof/>
          <w:sz w:val="24"/>
          <w:szCs w:val="24"/>
          <w:lang w:val="en-US" w:eastAsia="zh-CN"/>
        </w:rPr>
        <w:lastRenderedPageBreak/>
        <w:drawing>
          <wp:inline distT="0" distB="0" distL="0" distR="0" wp14:anchorId="5E99F34F" wp14:editId="7E1F5310">
            <wp:extent cx="7151370" cy="9559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1370" cy="9559290"/>
                    </a:xfrm>
                    <a:prstGeom prst="rect">
                      <a:avLst/>
                    </a:prstGeom>
                    <a:noFill/>
                  </pic:spPr>
                </pic:pic>
              </a:graphicData>
            </a:graphic>
          </wp:inline>
        </w:drawing>
      </w:r>
      <w:r w:rsidR="008E6497" w:rsidRPr="00612653">
        <w:rPr>
          <w:rFonts w:ascii="Book Antiqua" w:hAnsi="Book Antiqua"/>
          <w:sz w:val="24"/>
          <w:szCs w:val="24"/>
          <w:lang w:val="en-US"/>
        </w:rPr>
        <w:br w:type="page"/>
      </w:r>
    </w:p>
    <w:p w14:paraId="381FF653" w14:textId="6BF0A742" w:rsidR="0087072D" w:rsidRPr="00612653" w:rsidRDefault="0087072D" w:rsidP="00082279">
      <w:pPr>
        <w:snapToGrid w:val="0"/>
        <w:spacing w:after="0" w:line="360" w:lineRule="auto"/>
        <w:jc w:val="both"/>
        <w:rPr>
          <w:rFonts w:ascii="Book Antiqua" w:hAnsi="Book Antiqua"/>
          <w:bCs/>
          <w:sz w:val="24"/>
          <w:szCs w:val="24"/>
          <w:lang w:val="en-US" w:eastAsia="zh-CN"/>
        </w:rPr>
      </w:pPr>
      <w:r w:rsidRPr="00612653">
        <w:rPr>
          <w:rFonts w:ascii="Book Antiqua" w:hAnsi="Book Antiqua"/>
          <w:b/>
          <w:bCs/>
          <w:sz w:val="24"/>
          <w:szCs w:val="24"/>
          <w:lang w:val="en-US"/>
        </w:rPr>
        <w:lastRenderedPageBreak/>
        <w:t>Figure 5</w:t>
      </w:r>
      <w:r w:rsidR="0089515B" w:rsidRPr="00612653">
        <w:rPr>
          <w:rFonts w:ascii="Book Antiqua" w:hAnsi="Book Antiqua"/>
          <w:b/>
          <w:bCs/>
          <w:sz w:val="24"/>
          <w:szCs w:val="24"/>
          <w:lang w:val="en-US" w:eastAsia="zh-CN"/>
        </w:rPr>
        <w:t xml:space="preserve"> </w:t>
      </w:r>
      <w:r w:rsidRPr="00612653">
        <w:rPr>
          <w:rFonts w:ascii="Book Antiqua" w:hAnsi="Book Antiqua"/>
          <w:b/>
          <w:bCs/>
          <w:sz w:val="24"/>
          <w:szCs w:val="24"/>
          <w:lang w:val="en-US"/>
        </w:rPr>
        <w:t>Hepatic global gene expression analysis in DIO-NASH mice</w:t>
      </w:r>
      <w:r w:rsidRPr="00612653">
        <w:rPr>
          <w:rFonts w:ascii="Book Antiqua" w:hAnsi="Book Antiqua"/>
          <w:sz w:val="24"/>
          <w:szCs w:val="24"/>
          <w:lang w:val="en-US"/>
        </w:rPr>
        <w:t>.</w:t>
      </w:r>
      <w:r w:rsidR="006937BD" w:rsidRPr="00612653">
        <w:rPr>
          <w:rFonts w:ascii="Book Antiqua" w:hAnsi="Book Antiqua"/>
          <w:sz w:val="24"/>
          <w:szCs w:val="24"/>
          <w:lang w:val="en-US" w:eastAsia="zh-CN"/>
        </w:rPr>
        <w:t xml:space="preserve"> </w:t>
      </w:r>
      <w:r w:rsidRPr="00612653">
        <w:rPr>
          <w:rFonts w:ascii="Book Antiqua" w:hAnsi="Book Antiqua"/>
          <w:sz w:val="24"/>
          <w:szCs w:val="24"/>
          <w:lang w:val="en-US"/>
        </w:rPr>
        <w:t>A</w:t>
      </w:r>
      <w:r w:rsidR="006937BD" w:rsidRPr="00612653">
        <w:rPr>
          <w:rFonts w:ascii="Book Antiqua" w:hAnsi="Book Antiqua"/>
          <w:sz w:val="24"/>
          <w:szCs w:val="24"/>
          <w:lang w:val="en-US" w:eastAsia="zh-CN"/>
        </w:rPr>
        <w:t xml:space="preserve"> and </w:t>
      </w:r>
      <w:r w:rsidRPr="00612653">
        <w:rPr>
          <w:rFonts w:ascii="Book Antiqua" w:hAnsi="Book Antiqua"/>
          <w:sz w:val="24"/>
          <w:szCs w:val="24"/>
          <w:lang w:val="en-US"/>
        </w:rPr>
        <w:t>B</w:t>
      </w:r>
      <w:r w:rsidR="006937BD" w:rsidRPr="00612653">
        <w:rPr>
          <w:rFonts w:ascii="Book Antiqua" w:hAnsi="Book Antiqua"/>
          <w:sz w:val="24"/>
          <w:szCs w:val="24"/>
          <w:lang w:val="en-US" w:eastAsia="zh-CN"/>
        </w:rPr>
        <w:t xml:space="preserve">: </w:t>
      </w:r>
      <w:r w:rsidRPr="00612653">
        <w:rPr>
          <w:rFonts w:ascii="Book Antiqua" w:hAnsi="Book Antiqua"/>
          <w:sz w:val="24"/>
          <w:szCs w:val="24"/>
          <w:lang w:val="en-US"/>
        </w:rPr>
        <w:t>Principal component analysis; C</w:t>
      </w:r>
      <w:r w:rsidR="006937BD" w:rsidRPr="00612653">
        <w:rPr>
          <w:rFonts w:ascii="Book Antiqua" w:hAnsi="Book Antiqua"/>
          <w:sz w:val="24"/>
          <w:szCs w:val="24"/>
          <w:lang w:val="en-US" w:eastAsia="zh-CN"/>
        </w:rPr>
        <w:t xml:space="preserve">: </w:t>
      </w:r>
      <w:r w:rsidRPr="00612653">
        <w:rPr>
          <w:rFonts w:ascii="Book Antiqua" w:hAnsi="Book Antiqua"/>
          <w:sz w:val="24"/>
          <w:szCs w:val="24"/>
          <w:lang w:val="en-US"/>
        </w:rPr>
        <w:t>Venn diagram of differentially expressed genes, compared to vehicle treatment;</w:t>
      </w:r>
      <w:r w:rsidR="006937BD" w:rsidRPr="00612653">
        <w:rPr>
          <w:rFonts w:ascii="Book Antiqua" w:hAnsi="Book Antiqua"/>
          <w:sz w:val="24"/>
          <w:szCs w:val="24"/>
          <w:lang w:val="en-US" w:eastAsia="zh-CN"/>
        </w:rPr>
        <w:t xml:space="preserve"> </w:t>
      </w:r>
      <w:r w:rsidRPr="00612653">
        <w:rPr>
          <w:rFonts w:ascii="Book Antiqua" w:hAnsi="Book Antiqua"/>
          <w:sz w:val="24"/>
          <w:szCs w:val="24"/>
          <w:lang w:val="en-US"/>
        </w:rPr>
        <w:t>D</w:t>
      </w:r>
      <w:r w:rsidR="006937BD" w:rsidRPr="00612653">
        <w:rPr>
          <w:rFonts w:ascii="Book Antiqua" w:hAnsi="Book Antiqua"/>
          <w:sz w:val="24"/>
          <w:szCs w:val="24"/>
          <w:lang w:val="en-US" w:eastAsia="zh-CN"/>
        </w:rPr>
        <w:t xml:space="preserve">: </w:t>
      </w:r>
      <w:r w:rsidRPr="00612653">
        <w:rPr>
          <w:rFonts w:ascii="Book Antiqua" w:hAnsi="Book Antiqua"/>
          <w:sz w:val="24"/>
          <w:szCs w:val="24"/>
          <w:lang w:val="en-US"/>
        </w:rPr>
        <w:t>Overview of KEGG pathway-enriched gene groups;</w:t>
      </w:r>
      <w:r w:rsidR="006937BD" w:rsidRPr="00612653">
        <w:rPr>
          <w:rFonts w:ascii="Book Antiqua" w:hAnsi="Book Antiqua"/>
          <w:sz w:val="24"/>
          <w:szCs w:val="24"/>
          <w:lang w:val="en-US" w:eastAsia="zh-CN"/>
        </w:rPr>
        <w:t xml:space="preserve"> </w:t>
      </w:r>
      <w:r w:rsidRPr="00612653">
        <w:rPr>
          <w:rFonts w:ascii="Book Antiqua" w:hAnsi="Book Antiqua"/>
          <w:sz w:val="24"/>
          <w:szCs w:val="24"/>
          <w:lang w:val="en-US"/>
        </w:rPr>
        <w:t>E</w:t>
      </w:r>
      <w:r w:rsidR="006937BD" w:rsidRPr="00612653">
        <w:rPr>
          <w:rFonts w:ascii="Book Antiqua" w:hAnsi="Book Antiqua"/>
          <w:sz w:val="24"/>
          <w:szCs w:val="24"/>
          <w:lang w:val="en-US" w:eastAsia="zh-CN"/>
        </w:rPr>
        <w:t xml:space="preserve">: </w:t>
      </w:r>
      <w:r w:rsidRPr="00612653">
        <w:rPr>
          <w:rFonts w:ascii="Book Antiqua" w:hAnsi="Book Antiqua"/>
          <w:sz w:val="24"/>
          <w:szCs w:val="24"/>
          <w:lang w:val="en-US"/>
        </w:rPr>
        <w:t>Relative expression of prototypic NASH genes;</w:t>
      </w:r>
      <w:r w:rsidR="006937BD" w:rsidRPr="00612653">
        <w:rPr>
          <w:rFonts w:ascii="Book Antiqua" w:hAnsi="Book Antiqua"/>
          <w:sz w:val="24"/>
          <w:szCs w:val="24"/>
          <w:lang w:val="en-US" w:eastAsia="zh-CN"/>
        </w:rPr>
        <w:t xml:space="preserve"> </w:t>
      </w:r>
      <w:r w:rsidRPr="00612653">
        <w:rPr>
          <w:rFonts w:ascii="Book Antiqua" w:hAnsi="Book Antiqua"/>
          <w:sz w:val="24"/>
          <w:szCs w:val="24"/>
          <w:lang w:val="en-US"/>
        </w:rPr>
        <w:t>F</w:t>
      </w:r>
      <w:r w:rsidR="006937BD" w:rsidRPr="00612653">
        <w:rPr>
          <w:rFonts w:ascii="Book Antiqua" w:hAnsi="Book Antiqua"/>
          <w:sz w:val="24"/>
          <w:szCs w:val="24"/>
          <w:lang w:val="en-US" w:eastAsia="zh-CN"/>
        </w:rPr>
        <w:t xml:space="preserve">: </w:t>
      </w:r>
      <w:r w:rsidRPr="00612653">
        <w:rPr>
          <w:rFonts w:ascii="Book Antiqua" w:hAnsi="Book Antiqua"/>
          <w:sz w:val="24"/>
          <w:szCs w:val="24"/>
          <w:lang w:val="en-US"/>
        </w:rPr>
        <w:t xml:space="preserve">Relative expression of selected genes. </w:t>
      </w:r>
      <w:r w:rsidR="00FF3EEF" w:rsidRPr="00612653">
        <w:rPr>
          <w:rFonts w:ascii="Book Antiqua" w:hAnsi="Book Antiqua"/>
          <w:sz w:val="24"/>
          <w:szCs w:val="24"/>
          <w:vertAlign w:val="superscript"/>
          <w:lang w:val="en-US"/>
        </w:rPr>
        <w:t>a</w:t>
      </w:r>
      <w:r w:rsidR="00FF3EEF" w:rsidRPr="00612653">
        <w:rPr>
          <w:rFonts w:ascii="Book Antiqua" w:hAnsi="Book Antiqua"/>
          <w:i/>
          <w:caps/>
          <w:sz w:val="24"/>
          <w:szCs w:val="24"/>
          <w:lang w:val="en-US"/>
        </w:rPr>
        <w:t>p</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&lt;</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 xml:space="preserve">0.05, </w:t>
      </w:r>
      <w:r w:rsidR="00FF3EEF" w:rsidRPr="00612653">
        <w:rPr>
          <w:rFonts w:ascii="Book Antiqua" w:hAnsi="Book Antiqua"/>
          <w:sz w:val="24"/>
          <w:szCs w:val="24"/>
          <w:vertAlign w:val="superscript"/>
          <w:lang w:val="en-US"/>
        </w:rPr>
        <w:t>b</w:t>
      </w:r>
      <w:r w:rsidR="00FF3EEF" w:rsidRPr="00612653">
        <w:rPr>
          <w:rFonts w:ascii="Book Antiqua" w:hAnsi="Book Antiqua"/>
          <w:i/>
          <w:sz w:val="24"/>
          <w:szCs w:val="24"/>
          <w:lang w:val="en-US"/>
        </w:rPr>
        <w:t>P</w:t>
      </w:r>
      <w:r w:rsidR="0089515B" w:rsidRPr="00612653">
        <w:rPr>
          <w:rFonts w:ascii="Book Antiqua" w:hAnsi="Book Antiqua"/>
          <w:i/>
          <w:sz w:val="24"/>
          <w:szCs w:val="24"/>
          <w:lang w:val="en-US" w:eastAsia="zh-CN"/>
        </w:rPr>
        <w:t xml:space="preserve"> </w:t>
      </w:r>
      <w:r w:rsidR="00FF3EEF" w:rsidRPr="00612653">
        <w:rPr>
          <w:rFonts w:ascii="Book Antiqua" w:hAnsi="Book Antiqua"/>
          <w:sz w:val="24"/>
          <w:szCs w:val="24"/>
          <w:lang w:val="en-US"/>
        </w:rPr>
        <w:t>&lt;</w:t>
      </w:r>
      <w:r w:rsidR="0089515B"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 xml:space="preserve">0.01, </w:t>
      </w:r>
      <w:r w:rsidR="00FF3EEF" w:rsidRPr="00612653">
        <w:rPr>
          <w:rFonts w:ascii="Book Antiqua" w:hAnsi="Book Antiqua"/>
          <w:sz w:val="24"/>
          <w:szCs w:val="24"/>
          <w:vertAlign w:val="superscript"/>
          <w:lang w:val="en-US"/>
        </w:rPr>
        <w:t>c</w:t>
      </w:r>
      <w:r w:rsidR="00FF3EEF" w:rsidRPr="00612653">
        <w:rPr>
          <w:rFonts w:ascii="Book Antiqua" w:hAnsi="Book Antiqua"/>
          <w:i/>
          <w:caps/>
          <w:sz w:val="24"/>
          <w:szCs w:val="24"/>
          <w:lang w:val="en-US"/>
        </w:rPr>
        <w:t>p</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&lt;</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0.001</w:t>
      </w:r>
      <w:r w:rsidR="00FF3EEF" w:rsidRPr="00612653">
        <w:rPr>
          <w:rFonts w:ascii="Book Antiqua" w:hAnsi="Book Antiqua"/>
          <w:sz w:val="24"/>
          <w:szCs w:val="24"/>
          <w:lang w:val="en-US" w:eastAsia="zh-CN"/>
        </w:rPr>
        <w:t xml:space="preserve"> </w:t>
      </w:r>
      <w:r w:rsidRPr="00612653">
        <w:rPr>
          <w:rFonts w:ascii="Book Antiqua" w:hAnsi="Book Antiqua"/>
          <w:i/>
          <w:sz w:val="24"/>
          <w:szCs w:val="24"/>
          <w:lang w:val="en-US"/>
        </w:rPr>
        <w:t>vs</w:t>
      </w:r>
      <w:r w:rsidRPr="00612653">
        <w:rPr>
          <w:rFonts w:ascii="Book Antiqua" w:hAnsi="Book Antiqua"/>
          <w:sz w:val="24"/>
          <w:szCs w:val="24"/>
          <w:lang w:val="en-US" w:eastAsia="zh-CN"/>
        </w:rPr>
        <w:t xml:space="preserve"> </w:t>
      </w:r>
      <w:r w:rsidRPr="00612653">
        <w:rPr>
          <w:rFonts w:ascii="Book Antiqua" w:hAnsi="Book Antiqua"/>
          <w:sz w:val="24"/>
          <w:szCs w:val="24"/>
          <w:lang w:val="en-US"/>
        </w:rPr>
        <w:t xml:space="preserve">vehicle controls. </w:t>
      </w:r>
      <w:r w:rsidRPr="00612653">
        <w:rPr>
          <w:rFonts w:ascii="Book Antiqua" w:hAnsi="Book Antiqua"/>
          <w:bCs/>
          <w:sz w:val="24"/>
          <w:szCs w:val="24"/>
          <w:lang w:val="en-US"/>
        </w:rPr>
        <w:t>OCA</w:t>
      </w:r>
      <w:r w:rsidRPr="00612653">
        <w:rPr>
          <w:rFonts w:ascii="Book Antiqua" w:hAnsi="Book Antiqua"/>
          <w:bCs/>
          <w:sz w:val="24"/>
          <w:szCs w:val="24"/>
          <w:lang w:val="en-US" w:eastAsia="zh-CN"/>
        </w:rPr>
        <w:t xml:space="preserve">: </w:t>
      </w:r>
      <w:r w:rsidRPr="00612653">
        <w:rPr>
          <w:rFonts w:ascii="Book Antiqua" w:hAnsi="Book Antiqua"/>
          <w:bCs/>
          <w:caps/>
          <w:sz w:val="24"/>
          <w:szCs w:val="24"/>
          <w:lang w:val="en-US"/>
        </w:rPr>
        <w:t>o</w:t>
      </w:r>
      <w:r w:rsidRPr="00612653">
        <w:rPr>
          <w:rFonts w:ascii="Book Antiqua" w:hAnsi="Book Antiqua"/>
          <w:bCs/>
          <w:sz w:val="24"/>
          <w:szCs w:val="24"/>
          <w:lang w:val="en-US"/>
        </w:rPr>
        <w:t>beticholic acid</w:t>
      </w:r>
      <w:r w:rsidRPr="00612653">
        <w:rPr>
          <w:rFonts w:ascii="Book Antiqua" w:hAnsi="Book Antiqua"/>
          <w:bCs/>
          <w:sz w:val="24"/>
          <w:szCs w:val="24"/>
          <w:lang w:val="en-US" w:eastAsia="zh-CN"/>
        </w:rPr>
        <w:t>.</w:t>
      </w:r>
    </w:p>
    <w:p w14:paraId="19B7B824" w14:textId="378DEAD2" w:rsidR="0087072D" w:rsidRPr="00612653" w:rsidRDefault="0087072D" w:rsidP="00082279">
      <w:pPr>
        <w:snapToGrid w:val="0"/>
        <w:spacing w:after="0" w:line="360" w:lineRule="auto"/>
        <w:rPr>
          <w:rFonts w:ascii="Book Antiqua" w:hAnsi="Book Antiqua"/>
          <w:sz w:val="24"/>
          <w:szCs w:val="24"/>
          <w:lang w:val="en-US" w:eastAsia="zh-CN"/>
        </w:rPr>
      </w:pPr>
      <w:r w:rsidRPr="00612653">
        <w:rPr>
          <w:rFonts w:ascii="Book Antiqua" w:hAnsi="Book Antiqua"/>
          <w:sz w:val="24"/>
          <w:szCs w:val="24"/>
          <w:lang w:val="en-US" w:eastAsia="zh-CN"/>
        </w:rPr>
        <w:br w:type="page"/>
      </w:r>
    </w:p>
    <w:p w14:paraId="217F42EF" w14:textId="28EFB1CA" w:rsidR="0087072D" w:rsidRPr="00612653" w:rsidRDefault="00FF3EEF" w:rsidP="00082279">
      <w:pPr>
        <w:snapToGrid w:val="0"/>
        <w:spacing w:after="0" w:line="360" w:lineRule="auto"/>
        <w:jc w:val="both"/>
        <w:rPr>
          <w:rFonts w:ascii="Book Antiqua" w:hAnsi="Book Antiqua"/>
          <w:sz w:val="24"/>
          <w:szCs w:val="24"/>
          <w:lang w:val="en-US" w:eastAsia="zh-CN"/>
        </w:rPr>
      </w:pPr>
      <w:r w:rsidRPr="00612653">
        <w:rPr>
          <w:rFonts w:ascii="Book Antiqua" w:hAnsi="Book Antiqua"/>
          <w:noProof/>
          <w:sz w:val="24"/>
          <w:szCs w:val="24"/>
          <w:lang w:val="en-US" w:eastAsia="zh-CN"/>
        </w:rPr>
        <w:lastRenderedPageBreak/>
        <w:drawing>
          <wp:inline distT="0" distB="0" distL="0" distR="0" wp14:anchorId="5B8D8BEF" wp14:editId="7376A047">
            <wp:extent cx="7261225" cy="6279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61225" cy="6279515"/>
                    </a:xfrm>
                    <a:prstGeom prst="rect">
                      <a:avLst/>
                    </a:prstGeom>
                    <a:noFill/>
                  </pic:spPr>
                </pic:pic>
              </a:graphicData>
            </a:graphic>
          </wp:inline>
        </w:drawing>
      </w:r>
    </w:p>
    <w:p w14:paraId="74BFC303" w14:textId="442DF0EA" w:rsidR="0087072D" w:rsidRPr="00612653" w:rsidRDefault="0087072D" w:rsidP="00082279">
      <w:pPr>
        <w:snapToGrid w:val="0"/>
        <w:spacing w:after="0" w:line="360" w:lineRule="auto"/>
        <w:jc w:val="both"/>
        <w:rPr>
          <w:rFonts w:ascii="Book Antiqua" w:hAnsi="Book Antiqua"/>
          <w:b/>
          <w:bCs/>
          <w:sz w:val="24"/>
          <w:szCs w:val="24"/>
          <w:lang w:val="en-US" w:eastAsia="zh-CN"/>
        </w:rPr>
      </w:pPr>
      <w:r w:rsidRPr="00612653">
        <w:rPr>
          <w:rFonts w:ascii="Book Antiqua" w:hAnsi="Book Antiqua"/>
          <w:b/>
          <w:bCs/>
          <w:sz w:val="24"/>
          <w:szCs w:val="24"/>
          <w:lang w:val="en-US"/>
        </w:rPr>
        <w:t>Figure 6</w:t>
      </w:r>
      <w:r w:rsidR="0089515B" w:rsidRPr="00612653">
        <w:rPr>
          <w:rFonts w:ascii="Book Antiqua" w:hAnsi="Book Antiqua"/>
          <w:b/>
          <w:bCs/>
          <w:sz w:val="24"/>
          <w:szCs w:val="24"/>
          <w:lang w:val="en-US" w:eastAsia="zh-CN"/>
        </w:rPr>
        <w:t xml:space="preserve"> </w:t>
      </w:r>
      <w:r w:rsidRPr="00612653">
        <w:rPr>
          <w:rFonts w:ascii="Book Antiqua" w:hAnsi="Book Antiqua"/>
          <w:b/>
          <w:bCs/>
          <w:sz w:val="24"/>
          <w:szCs w:val="24"/>
          <w:lang w:val="en-US"/>
        </w:rPr>
        <w:t xml:space="preserve">Metabolic effects of liraglutide, obeticholic acid (OCA), and elafibranor treatment in </w:t>
      </w:r>
      <w:r w:rsidRPr="00612653">
        <w:rPr>
          <w:rFonts w:ascii="Book Antiqua" w:hAnsi="Book Antiqua"/>
          <w:b/>
          <w:bCs/>
          <w:i/>
          <w:iCs/>
          <w:sz w:val="24"/>
          <w:szCs w:val="24"/>
          <w:lang w:val="en-US"/>
        </w:rPr>
        <w:t>ob/ob</w:t>
      </w:r>
      <w:r w:rsidRPr="00612653">
        <w:rPr>
          <w:rFonts w:ascii="Book Antiqua" w:hAnsi="Book Antiqua"/>
          <w:b/>
          <w:bCs/>
          <w:sz w:val="24"/>
          <w:szCs w:val="24"/>
          <w:lang w:val="en-US"/>
        </w:rPr>
        <w:t xml:space="preserve">-NASH mice. </w:t>
      </w:r>
      <w:r w:rsidR="00FF3EEF" w:rsidRPr="00612653">
        <w:rPr>
          <w:rFonts w:ascii="Book Antiqua" w:hAnsi="Book Antiqua"/>
          <w:sz w:val="24"/>
          <w:szCs w:val="24"/>
          <w:vertAlign w:val="superscript"/>
          <w:lang w:val="en-US"/>
        </w:rPr>
        <w:t>a</w:t>
      </w:r>
      <w:r w:rsidR="00FF3EEF" w:rsidRPr="00612653">
        <w:rPr>
          <w:rFonts w:ascii="Book Antiqua" w:hAnsi="Book Antiqua"/>
          <w:i/>
          <w:caps/>
          <w:sz w:val="24"/>
          <w:szCs w:val="24"/>
          <w:lang w:val="en-US"/>
        </w:rPr>
        <w:t>p</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&lt;</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 xml:space="preserve">0.05, </w:t>
      </w:r>
      <w:r w:rsidR="00FF3EEF" w:rsidRPr="00612653">
        <w:rPr>
          <w:rFonts w:ascii="Book Antiqua" w:hAnsi="Book Antiqua"/>
          <w:sz w:val="24"/>
          <w:szCs w:val="24"/>
          <w:vertAlign w:val="superscript"/>
          <w:lang w:val="en-US"/>
        </w:rPr>
        <w:t>b</w:t>
      </w:r>
      <w:r w:rsidR="00FF3EEF" w:rsidRPr="00612653">
        <w:rPr>
          <w:rFonts w:ascii="Book Antiqua" w:hAnsi="Book Antiqua"/>
          <w:i/>
          <w:sz w:val="24"/>
          <w:szCs w:val="24"/>
          <w:lang w:val="en-US"/>
        </w:rPr>
        <w:t>P</w:t>
      </w:r>
      <w:r w:rsidR="0089515B" w:rsidRPr="00612653">
        <w:rPr>
          <w:rFonts w:ascii="Book Antiqua" w:hAnsi="Book Antiqua"/>
          <w:i/>
          <w:sz w:val="24"/>
          <w:szCs w:val="24"/>
          <w:lang w:val="en-US" w:eastAsia="zh-CN"/>
        </w:rPr>
        <w:t xml:space="preserve"> </w:t>
      </w:r>
      <w:r w:rsidR="00FF3EEF" w:rsidRPr="00612653">
        <w:rPr>
          <w:rFonts w:ascii="Book Antiqua" w:hAnsi="Book Antiqua"/>
          <w:sz w:val="24"/>
          <w:szCs w:val="24"/>
          <w:lang w:val="en-US"/>
        </w:rPr>
        <w:t>&lt;</w:t>
      </w:r>
      <w:r w:rsidR="0089515B"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 xml:space="preserve">0.01, </w:t>
      </w:r>
      <w:r w:rsidR="00FF3EEF" w:rsidRPr="00612653">
        <w:rPr>
          <w:rFonts w:ascii="Book Antiqua" w:hAnsi="Book Antiqua"/>
          <w:sz w:val="24"/>
          <w:szCs w:val="24"/>
          <w:vertAlign w:val="superscript"/>
          <w:lang w:val="en-US"/>
        </w:rPr>
        <w:t>c</w:t>
      </w:r>
      <w:r w:rsidR="00FF3EEF" w:rsidRPr="00612653">
        <w:rPr>
          <w:rFonts w:ascii="Book Antiqua" w:hAnsi="Book Antiqua"/>
          <w:i/>
          <w:caps/>
          <w:sz w:val="24"/>
          <w:szCs w:val="24"/>
          <w:lang w:val="en-US"/>
        </w:rPr>
        <w:t>p</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&lt;</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0.001</w:t>
      </w:r>
      <w:r w:rsidR="00FF3EEF" w:rsidRPr="00612653">
        <w:rPr>
          <w:rFonts w:ascii="Book Antiqua" w:hAnsi="Book Antiqua"/>
          <w:sz w:val="24"/>
          <w:szCs w:val="24"/>
          <w:lang w:val="en-US" w:eastAsia="zh-CN"/>
        </w:rPr>
        <w:t xml:space="preserve"> </w:t>
      </w:r>
      <w:r w:rsidRPr="00612653">
        <w:rPr>
          <w:rFonts w:ascii="Book Antiqua" w:hAnsi="Book Antiqua"/>
          <w:i/>
          <w:sz w:val="24"/>
          <w:szCs w:val="24"/>
          <w:lang w:val="en-US"/>
        </w:rPr>
        <w:t>vs</w:t>
      </w:r>
      <w:r w:rsidRPr="00612653">
        <w:rPr>
          <w:rFonts w:ascii="Book Antiqua" w:hAnsi="Book Antiqua"/>
          <w:sz w:val="24"/>
          <w:szCs w:val="24"/>
          <w:lang w:val="en-US" w:eastAsia="zh-CN"/>
        </w:rPr>
        <w:t xml:space="preserve"> </w:t>
      </w:r>
      <w:r w:rsidRPr="00612653">
        <w:rPr>
          <w:rFonts w:ascii="Book Antiqua" w:hAnsi="Book Antiqua"/>
          <w:sz w:val="24"/>
          <w:szCs w:val="24"/>
          <w:lang w:val="en-US"/>
        </w:rPr>
        <w:t xml:space="preserve">vehicle controls. </w:t>
      </w:r>
      <w:r w:rsidRPr="00612653">
        <w:rPr>
          <w:rFonts w:ascii="Book Antiqua" w:hAnsi="Book Antiqua"/>
          <w:bCs/>
          <w:sz w:val="24"/>
          <w:szCs w:val="24"/>
          <w:lang w:val="en-US"/>
        </w:rPr>
        <w:t>OCA</w:t>
      </w:r>
      <w:r w:rsidRPr="00612653">
        <w:rPr>
          <w:rFonts w:ascii="Book Antiqua" w:hAnsi="Book Antiqua"/>
          <w:bCs/>
          <w:sz w:val="24"/>
          <w:szCs w:val="24"/>
          <w:lang w:val="en-US" w:eastAsia="zh-CN"/>
        </w:rPr>
        <w:t xml:space="preserve">: </w:t>
      </w:r>
      <w:r w:rsidRPr="00612653">
        <w:rPr>
          <w:rFonts w:ascii="Book Antiqua" w:hAnsi="Book Antiqua"/>
          <w:bCs/>
          <w:caps/>
          <w:sz w:val="24"/>
          <w:szCs w:val="24"/>
          <w:lang w:val="en-US"/>
        </w:rPr>
        <w:t>o</w:t>
      </w:r>
      <w:r w:rsidRPr="00612653">
        <w:rPr>
          <w:rFonts w:ascii="Book Antiqua" w:hAnsi="Book Antiqua"/>
          <w:bCs/>
          <w:sz w:val="24"/>
          <w:szCs w:val="24"/>
          <w:lang w:val="en-US"/>
        </w:rPr>
        <w:t>beticholic acid</w:t>
      </w:r>
      <w:r w:rsidRPr="00612653">
        <w:rPr>
          <w:rFonts w:ascii="Book Antiqua" w:hAnsi="Book Antiqua"/>
          <w:bCs/>
          <w:sz w:val="24"/>
          <w:szCs w:val="24"/>
          <w:lang w:val="en-US" w:eastAsia="zh-CN"/>
        </w:rPr>
        <w:t>.</w:t>
      </w:r>
    </w:p>
    <w:p w14:paraId="034B2DE3" w14:textId="6F12FC69" w:rsidR="008E6497" w:rsidRPr="00612653" w:rsidRDefault="008E6497" w:rsidP="00082279">
      <w:pPr>
        <w:snapToGrid w:val="0"/>
        <w:spacing w:after="0" w:line="360" w:lineRule="auto"/>
        <w:jc w:val="both"/>
        <w:rPr>
          <w:rFonts w:ascii="Book Antiqua" w:hAnsi="Book Antiqua"/>
          <w:sz w:val="24"/>
          <w:szCs w:val="24"/>
          <w:lang w:val="en-US"/>
        </w:rPr>
      </w:pPr>
      <w:r w:rsidRPr="00612653">
        <w:rPr>
          <w:rFonts w:ascii="Book Antiqua" w:hAnsi="Book Antiqua"/>
          <w:sz w:val="24"/>
          <w:szCs w:val="24"/>
          <w:lang w:val="en-US"/>
        </w:rPr>
        <w:br w:type="page"/>
      </w:r>
    </w:p>
    <w:p w14:paraId="42BF48AC" w14:textId="3591CA96" w:rsidR="008F1573" w:rsidRPr="00612653" w:rsidRDefault="00FF3EEF" w:rsidP="00082279">
      <w:pPr>
        <w:snapToGrid w:val="0"/>
        <w:spacing w:after="0" w:line="360" w:lineRule="auto"/>
        <w:jc w:val="both"/>
        <w:rPr>
          <w:rFonts w:ascii="Book Antiqua" w:hAnsi="Book Antiqua"/>
          <w:sz w:val="24"/>
          <w:szCs w:val="24"/>
          <w:lang w:val="en-US" w:eastAsia="zh-CN"/>
        </w:rPr>
      </w:pPr>
      <w:r w:rsidRPr="00612653">
        <w:rPr>
          <w:rFonts w:ascii="Book Antiqua" w:hAnsi="Book Antiqua"/>
          <w:noProof/>
          <w:sz w:val="24"/>
          <w:szCs w:val="24"/>
          <w:lang w:val="en-US" w:eastAsia="zh-CN"/>
        </w:rPr>
        <w:lastRenderedPageBreak/>
        <w:drawing>
          <wp:inline distT="0" distB="0" distL="0" distR="0" wp14:anchorId="4831993F" wp14:editId="4465F6B7">
            <wp:extent cx="7159895" cy="7658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57558" cy="7655600"/>
                    </a:xfrm>
                    <a:prstGeom prst="rect">
                      <a:avLst/>
                    </a:prstGeom>
                    <a:noFill/>
                  </pic:spPr>
                </pic:pic>
              </a:graphicData>
            </a:graphic>
          </wp:inline>
        </w:drawing>
      </w:r>
    </w:p>
    <w:p w14:paraId="333D1605" w14:textId="1818F50F" w:rsidR="0087072D" w:rsidRPr="00612653" w:rsidRDefault="0087072D" w:rsidP="00082279">
      <w:pPr>
        <w:snapToGrid w:val="0"/>
        <w:spacing w:after="0" w:line="360" w:lineRule="auto"/>
        <w:jc w:val="both"/>
        <w:rPr>
          <w:rFonts w:ascii="Book Antiqua" w:hAnsi="Book Antiqua"/>
          <w:sz w:val="24"/>
          <w:szCs w:val="24"/>
          <w:lang w:val="en-US" w:eastAsia="zh-CN"/>
        </w:rPr>
      </w:pPr>
      <w:r w:rsidRPr="00612653">
        <w:rPr>
          <w:rFonts w:ascii="Book Antiqua" w:hAnsi="Book Antiqua"/>
          <w:b/>
          <w:bCs/>
          <w:sz w:val="24"/>
          <w:szCs w:val="24"/>
          <w:lang w:val="en-US"/>
        </w:rPr>
        <w:t>Figure 7</w:t>
      </w:r>
      <w:r w:rsidRPr="00612653">
        <w:rPr>
          <w:rFonts w:ascii="Book Antiqua" w:hAnsi="Book Antiqua"/>
          <w:b/>
          <w:bCs/>
          <w:sz w:val="24"/>
          <w:szCs w:val="24"/>
          <w:lang w:val="en-US" w:eastAsia="zh-CN"/>
        </w:rPr>
        <w:t xml:space="preserve"> </w:t>
      </w:r>
      <w:r w:rsidRPr="00612653">
        <w:rPr>
          <w:rFonts w:ascii="Book Antiqua" w:hAnsi="Book Antiqua"/>
          <w:b/>
          <w:bCs/>
          <w:sz w:val="24"/>
          <w:szCs w:val="24"/>
          <w:lang w:val="en-US"/>
        </w:rPr>
        <w:t xml:space="preserve">Histomorphological effects of liraglutide, obeticholic acid, and elafibranor treatment in </w:t>
      </w:r>
      <w:r w:rsidRPr="00612653">
        <w:rPr>
          <w:rFonts w:ascii="Book Antiqua" w:hAnsi="Book Antiqua"/>
          <w:b/>
          <w:bCs/>
          <w:i/>
          <w:iCs/>
          <w:sz w:val="24"/>
          <w:szCs w:val="24"/>
          <w:lang w:val="en-US"/>
        </w:rPr>
        <w:t>ob/ob</w:t>
      </w:r>
      <w:r w:rsidRPr="00612653">
        <w:rPr>
          <w:rFonts w:ascii="Book Antiqua" w:hAnsi="Book Antiqua"/>
          <w:b/>
          <w:bCs/>
          <w:sz w:val="24"/>
          <w:szCs w:val="24"/>
          <w:lang w:val="en-US"/>
        </w:rPr>
        <w:t xml:space="preserve">-NASH mice. </w:t>
      </w:r>
      <w:r w:rsidR="00FF3EEF" w:rsidRPr="00612653">
        <w:rPr>
          <w:rFonts w:ascii="Book Antiqua" w:hAnsi="Book Antiqua"/>
          <w:sz w:val="24"/>
          <w:szCs w:val="24"/>
          <w:vertAlign w:val="superscript"/>
          <w:lang w:val="en-US"/>
        </w:rPr>
        <w:t>a</w:t>
      </w:r>
      <w:r w:rsidR="00FF3EEF" w:rsidRPr="00612653">
        <w:rPr>
          <w:rFonts w:ascii="Book Antiqua" w:hAnsi="Book Antiqua"/>
          <w:i/>
          <w:caps/>
          <w:sz w:val="24"/>
          <w:szCs w:val="24"/>
          <w:lang w:val="en-US"/>
        </w:rPr>
        <w:t>p</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&lt;</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 xml:space="preserve">0.05, </w:t>
      </w:r>
      <w:r w:rsidR="00FF3EEF" w:rsidRPr="00612653">
        <w:rPr>
          <w:rFonts w:ascii="Book Antiqua" w:hAnsi="Book Antiqua"/>
          <w:sz w:val="24"/>
          <w:szCs w:val="24"/>
          <w:vertAlign w:val="superscript"/>
          <w:lang w:val="en-US"/>
        </w:rPr>
        <w:t>b</w:t>
      </w:r>
      <w:r w:rsidR="00FF3EEF" w:rsidRPr="00612653">
        <w:rPr>
          <w:rFonts w:ascii="Book Antiqua" w:hAnsi="Book Antiqua"/>
          <w:i/>
          <w:sz w:val="24"/>
          <w:szCs w:val="24"/>
          <w:lang w:val="en-US"/>
        </w:rPr>
        <w:t>P</w:t>
      </w:r>
      <w:r w:rsidR="0089515B" w:rsidRPr="00612653">
        <w:rPr>
          <w:rFonts w:ascii="Book Antiqua" w:hAnsi="Book Antiqua"/>
          <w:i/>
          <w:sz w:val="24"/>
          <w:szCs w:val="24"/>
          <w:lang w:val="en-US" w:eastAsia="zh-CN"/>
        </w:rPr>
        <w:t xml:space="preserve"> </w:t>
      </w:r>
      <w:r w:rsidR="00FF3EEF" w:rsidRPr="00612653">
        <w:rPr>
          <w:rFonts w:ascii="Book Antiqua" w:hAnsi="Book Antiqua"/>
          <w:sz w:val="24"/>
          <w:szCs w:val="24"/>
          <w:lang w:val="en-US"/>
        </w:rPr>
        <w:t>&lt;</w:t>
      </w:r>
      <w:r w:rsidR="0089515B"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 xml:space="preserve">0.01, </w:t>
      </w:r>
      <w:r w:rsidR="00FF3EEF" w:rsidRPr="00612653">
        <w:rPr>
          <w:rFonts w:ascii="Book Antiqua" w:hAnsi="Book Antiqua"/>
          <w:sz w:val="24"/>
          <w:szCs w:val="24"/>
          <w:vertAlign w:val="superscript"/>
          <w:lang w:val="en-US"/>
        </w:rPr>
        <w:t>c</w:t>
      </w:r>
      <w:r w:rsidR="00FF3EEF" w:rsidRPr="00612653">
        <w:rPr>
          <w:rFonts w:ascii="Book Antiqua" w:hAnsi="Book Antiqua"/>
          <w:i/>
          <w:caps/>
          <w:sz w:val="24"/>
          <w:szCs w:val="24"/>
          <w:lang w:val="en-US"/>
        </w:rPr>
        <w:t>p</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&lt;</w:t>
      </w:r>
      <w:r w:rsidR="00FF3EEF" w:rsidRPr="00612653">
        <w:rPr>
          <w:rFonts w:ascii="Book Antiqua" w:hAnsi="Book Antiqua"/>
          <w:sz w:val="24"/>
          <w:szCs w:val="24"/>
          <w:lang w:val="en-US" w:eastAsia="zh-CN"/>
        </w:rPr>
        <w:t xml:space="preserve"> </w:t>
      </w:r>
      <w:r w:rsidR="00FF3EEF" w:rsidRPr="00612653">
        <w:rPr>
          <w:rFonts w:ascii="Book Antiqua" w:hAnsi="Book Antiqua"/>
          <w:sz w:val="24"/>
          <w:szCs w:val="24"/>
          <w:lang w:val="en-US"/>
        </w:rPr>
        <w:t>0.001</w:t>
      </w:r>
      <w:r w:rsidR="00FF3EEF" w:rsidRPr="00612653">
        <w:rPr>
          <w:rFonts w:ascii="Book Antiqua" w:hAnsi="Book Antiqua"/>
          <w:sz w:val="24"/>
          <w:szCs w:val="24"/>
          <w:lang w:val="en-US" w:eastAsia="zh-CN"/>
        </w:rPr>
        <w:t xml:space="preserve"> </w:t>
      </w:r>
      <w:r w:rsidRPr="00612653">
        <w:rPr>
          <w:rFonts w:ascii="Book Antiqua" w:hAnsi="Book Antiqua"/>
          <w:i/>
          <w:sz w:val="24"/>
          <w:szCs w:val="24"/>
          <w:lang w:val="en-US"/>
        </w:rPr>
        <w:t>vs</w:t>
      </w:r>
      <w:r w:rsidRPr="00612653">
        <w:rPr>
          <w:rFonts w:ascii="Book Antiqua" w:hAnsi="Book Antiqua"/>
          <w:sz w:val="24"/>
          <w:szCs w:val="24"/>
          <w:lang w:val="en-US" w:eastAsia="zh-CN"/>
        </w:rPr>
        <w:t xml:space="preserve"> </w:t>
      </w:r>
      <w:r w:rsidRPr="00612653">
        <w:rPr>
          <w:rFonts w:ascii="Book Antiqua" w:hAnsi="Book Antiqua"/>
          <w:sz w:val="24"/>
          <w:szCs w:val="24"/>
          <w:lang w:val="en-US"/>
        </w:rPr>
        <w:t xml:space="preserve">vehicle controls. </w:t>
      </w:r>
      <w:r w:rsidRPr="00612653">
        <w:rPr>
          <w:rFonts w:ascii="Book Antiqua" w:hAnsi="Book Antiqua"/>
          <w:bCs/>
          <w:sz w:val="24"/>
          <w:szCs w:val="24"/>
          <w:lang w:val="en-US"/>
        </w:rPr>
        <w:t>OCA</w:t>
      </w:r>
      <w:r w:rsidRPr="00612653">
        <w:rPr>
          <w:rFonts w:ascii="Book Antiqua" w:hAnsi="Book Antiqua"/>
          <w:bCs/>
          <w:sz w:val="24"/>
          <w:szCs w:val="24"/>
          <w:lang w:val="en-US" w:eastAsia="zh-CN"/>
        </w:rPr>
        <w:t xml:space="preserve">: </w:t>
      </w:r>
      <w:r w:rsidRPr="00612653">
        <w:rPr>
          <w:rFonts w:ascii="Book Antiqua" w:hAnsi="Book Antiqua"/>
          <w:bCs/>
          <w:caps/>
          <w:sz w:val="24"/>
          <w:szCs w:val="24"/>
          <w:lang w:val="en-US"/>
        </w:rPr>
        <w:t>o</w:t>
      </w:r>
      <w:r w:rsidRPr="00612653">
        <w:rPr>
          <w:rFonts w:ascii="Book Antiqua" w:hAnsi="Book Antiqua"/>
          <w:bCs/>
          <w:sz w:val="24"/>
          <w:szCs w:val="24"/>
          <w:lang w:val="en-US"/>
        </w:rPr>
        <w:t>beticholic acid</w:t>
      </w:r>
      <w:r w:rsidRPr="00612653">
        <w:rPr>
          <w:rFonts w:ascii="Book Antiqua" w:hAnsi="Book Antiqua"/>
          <w:bCs/>
          <w:sz w:val="24"/>
          <w:szCs w:val="24"/>
          <w:lang w:val="en-US" w:eastAsia="zh-CN"/>
        </w:rPr>
        <w:t>.</w:t>
      </w:r>
    </w:p>
    <w:sectPr w:rsidR="0087072D" w:rsidRPr="00612653" w:rsidSect="004A2B2F">
      <w:pgSz w:w="14175" w:h="16840"/>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D46F0" w14:textId="77777777" w:rsidR="00A04A4C" w:rsidRDefault="00A04A4C" w:rsidP="00536A09">
      <w:pPr>
        <w:spacing w:after="0" w:line="240" w:lineRule="auto"/>
      </w:pPr>
      <w:r>
        <w:separator/>
      </w:r>
    </w:p>
  </w:endnote>
  <w:endnote w:type="continuationSeparator" w:id="0">
    <w:p w14:paraId="0A677D02" w14:textId="77777777" w:rsidR="00A04A4C" w:rsidRDefault="00A04A4C" w:rsidP="00536A09">
      <w:pPr>
        <w:spacing w:after="0" w:line="240" w:lineRule="auto"/>
      </w:pPr>
      <w:r>
        <w:continuationSeparator/>
      </w:r>
    </w:p>
  </w:endnote>
  <w:endnote w:type="continuationNotice" w:id="1">
    <w:p w14:paraId="34EFC3B0" w14:textId="77777777" w:rsidR="00A04A4C" w:rsidRDefault="00A04A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Light">
    <w:altName w:val="宋体"/>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Verdana-Italic">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 New Roman,Arial">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921393"/>
      <w:docPartObj>
        <w:docPartGallery w:val="Page Numbers (Bottom of Page)"/>
        <w:docPartUnique/>
      </w:docPartObj>
    </w:sdtPr>
    <w:sdtEndPr/>
    <w:sdtContent>
      <w:sdt>
        <w:sdtPr>
          <w:id w:val="-1769616900"/>
          <w:docPartObj>
            <w:docPartGallery w:val="Page Numbers (Top of Page)"/>
            <w:docPartUnique/>
          </w:docPartObj>
        </w:sdtPr>
        <w:sdtEndPr/>
        <w:sdtContent>
          <w:p w14:paraId="52D2A5AB" w14:textId="07BFA005" w:rsidR="00742BC2" w:rsidRDefault="00742BC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73DE8">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73DE8">
              <w:rPr>
                <w:b/>
                <w:bCs/>
                <w:noProof/>
              </w:rPr>
              <w:t>39</w:t>
            </w:r>
            <w:r>
              <w:rPr>
                <w:b/>
                <w:bCs/>
                <w:sz w:val="24"/>
                <w:szCs w:val="24"/>
              </w:rPr>
              <w:fldChar w:fldCharType="end"/>
            </w:r>
          </w:p>
        </w:sdtContent>
      </w:sdt>
    </w:sdtContent>
  </w:sdt>
  <w:p w14:paraId="4C166600" w14:textId="77777777" w:rsidR="00742BC2" w:rsidRDefault="00742B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D252B" w14:textId="77777777" w:rsidR="00A04A4C" w:rsidRDefault="00A04A4C" w:rsidP="00536A09">
      <w:pPr>
        <w:spacing w:after="0" w:line="240" w:lineRule="auto"/>
      </w:pPr>
      <w:r>
        <w:separator/>
      </w:r>
    </w:p>
  </w:footnote>
  <w:footnote w:type="continuationSeparator" w:id="0">
    <w:p w14:paraId="6FF87CA5" w14:textId="77777777" w:rsidR="00A04A4C" w:rsidRDefault="00A04A4C" w:rsidP="00536A09">
      <w:pPr>
        <w:spacing w:after="0" w:line="240" w:lineRule="auto"/>
      </w:pPr>
      <w:r>
        <w:continuationSeparator/>
      </w:r>
    </w:p>
  </w:footnote>
  <w:footnote w:type="continuationNotice" w:id="1">
    <w:p w14:paraId="72BD8E8C" w14:textId="77777777" w:rsidR="00A04A4C" w:rsidRDefault="00A04A4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0F883" w14:textId="4D9F3E87" w:rsidR="00742BC2" w:rsidRPr="006458B4" w:rsidRDefault="00742BC2" w:rsidP="003834B7">
    <w:pPr>
      <w:pStyle w:val="Header"/>
      <w:tabs>
        <w:tab w:val="clear" w:pos="4819"/>
        <w:tab w:val="clear" w:pos="9638"/>
        <w:tab w:val="left" w:pos="7995"/>
      </w:tabs>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9050D"/>
    <w:multiLevelType w:val="hybridMultilevel"/>
    <w:tmpl w:val="293077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78300F6"/>
    <w:multiLevelType w:val="hybridMultilevel"/>
    <w:tmpl w:val="B89820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19C421D"/>
    <w:multiLevelType w:val="hybridMultilevel"/>
    <w:tmpl w:val="0C00B17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45D5901"/>
    <w:multiLevelType w:val="hybridMultilevel"/>
    <w:tmpl w:val="7666CA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B400E8B"/>
    <w:multiLevelType w:val="hybridMultilevel"/>
    <w:tmpl w:val="2A10154C"/>
    <w:lvl w:ilvl="0" w:tplc="879E51C4">
      <w:start w:val="1"/>
      <w:numFmt w:val="upp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15:restartNumberingAfterBreak="0">
    <w:nsid w:val="52F66683"/>
    <w:multiLevelType w:val="hybridMultilevel"/>
    <w:tmpl w:val="8C668EB0"/>
    <w:lvl w:ilvl="0" w:tplc="51AED9B4">
      <w:numFmt w:val="bullet"/>
      <w:lvlText w:val="-"/>
      <w:lvlJc w:val="left"/>
      <w:pPr>
        <w:ind w:left="720" w:hanging="360"/>
      </w:pPr>
      <w:rPr>
        <w:rFonts w:ascii="Calibri" w:eastAsiaTheme="minorHAnsi" w:hAnsi="Calibri" w:cs="Calibri"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6" w15:restartNumberingAfterBreak="0">
    <w:nsid w:val="5A7C0271"/>
    <w:multiLevelType w:val="hybridMultilevel"/>
    <w:tmpl w:val="45727BDE"/>
    <w:lvl w:ilvl="0" w:tplc="39E8D55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BB17B79"/>
    <w:multiLevelType w:val="hybridMultilevel"/>
    <w:tmpl w:val="A8BA7656"/>
    <w:lvl w:ilvl="0" w:tplc="BD16731E">
      <w:start w:val="1"/>
      <w:numFmt w:val="upp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0"/>
  </w:num>
  <w:num w:numId="2">
    <w:abstractNumId w:val="3"/>
  </w:num>
  <w:num w:numId="3">
    <w:abstractNumId w:val="7"/>
  </w:num>
  <w:num w:numId="4">
    <w:abstractNumId w:val="4"/>
  </w:num>
  <w:num w:numId="5">
    <w:abstractNumId w:val="2"/>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3BF"/>
    <w:rsid w:val="00000CA3"/>
    <w:rsid w:val="00000F5D"/>
    <w:rsid w:val="0000155B"/>
    <w:rsid w:val="000019CA"/>
    <w:rsid w:val="000023AB"/>
    <w:rsid w:val="000023C9"/>
    <w:rsid w:val="000025C4"/>
    <w:rsid w:val="00002722"/>
    <w:rsid w:val="00003A2F"/>
    <w:rsid w:val="00004801"/>
    <w:rsid w:val="000055F3"/>
    <w:rsid w:val="00005D46"/>
    <w:rsid w:val="000061C6"/>
    <w:rsid w:val="0001060E"/>
    <w:rsid w:val="0001099A"/>
    <w:rsid w:val="0001199A"/>
    <w:rsid w:val="00011ACD"/>
    <w:rsid w:val="00012675"/>
    <w:rsid w:val="000126C6"/>
    <w:rsid w:val="00013713"/>
    <w:rsid w:val="0001396B"/>
    <w:rsid w:val="000139D0"/>
    <w:rsid w:val="000146F7"/>
    <w:rsid w:val="00014823"/>
    <w:rsid w:val="000174D3"/>
    <w:rsid w:val="00020295"/>
    <w:rsid w:val="000204C0"/>
    <w:rsid w:val="0002228A"/>
    <w:rsid w:val="00022E4D"/>
    <w:rsid w:val="0002374B"/>
    <w:rsid w:val="00023D10"/>
    <w:rsid w:val="00024604"/>
    <w:rsid w:val="00025877"/>
    <w:rsid w:val="00025E7E"/>
    <w:rsid w:val="00025F2C"/>
    <w:rsid w:val="0002628D"/>
    <w:rsid w:val="000266A8"/>
    <w:rsid w:val="00026C7D"/>
    <w:rsid w:val="00027046"/>
    <w:rsid w:val="00027C0E"/>
    <w:rsid w:val="00027D0A"/>
    <w:rsid w:val="00030731"/>
    <w:rsid w:val="00030A93"/>
    <w:rsid w:val="00031562"/>
    <w:rsid w:val="0003170F"/>
    <w:rsid w:val="00031CB8"/>
    <w:rsid w:val="00033EDF"/>
    <w:rsid w:val="00034409"/>
    <w:rsid w:val="00034932"/>
    <w:rsid w:val="0003588C"/>
    <w:rsid w:val="00036584"/>
    <w:rsid w:val="00036776"/>
    <w:rsid w:val="00036D04"/>
    <w:rsid w:val="00037EC3"/>
    <w:rsid w:val="00040722"/>
    <w:rsid w:val="00041003"/>
    <w:rsid w:val="0004135D"/>
    <w:rsid w:val="000416FC"/>
    <w:rsid w:val="00041757"/>
    <w:rsid w:val="00041A01"/>
    <w:rsid w:val="000422CD"/>
    <w:rsid w:val="0004288B"/>
    <w:rsid w:val="00042EFD"/>
    <w:rsid w:val="000432D4"/>
    <w:rsid w:val="00043B5D"/>
    <w:rsid w:val="00043B74"/>
    <w:rsid w:val="0004455C"/>
    <w:rsid w:val="000447AA"/>
    <w:rsid w:val="00044E6F"/>
    <w:rsid w:val="00045020"/>
    <w:rsid w:val="0004565A"/>
    <w:rsid w:val="00045C2C"/>
    <w:rsid w:val="00046127"/>
    <w:rsid w:val="00046BFC"/>
    <w:rsid w:val="000473A4"/>
    <w:rsid w:val="0004787E"/>
    <w:rsid w:val="00047ABA"/>
    <w:rsid w:val="0005065A"/>
    <w:rsid w:val="000508D2"/>
    <w:rsid w:val="00050953"/>
    <w:rsid w:val="00050E27"/>
    <w:rsid w:val="000521FB"/>
    <w:rsid w:val="00052498"/>
    <w:rsid w:val="00052B87"/>
    <w:rsid w:val="00053754"/>
    <w:rsid w:val="00053E63"/>
    <w:rsid w:val="000543EB"/>
    <w:rsid w:val="0005460D"/>
    <w:rsid w:val="0005538F"/>
    <w:rsid w:val="00055524"/>
    <w:rsid w:val="0005656D"/>
    <w:rsid w:val="00056645"/>
    <w:rsid w:val="000566AF"/>
    <w:rsid w:val="00056C25"/>
    <w:rsid w:val="00057914"/>
    <w:rsid w:val="000601B7"/>
    <w:rsid w:val="00060987"/>
    <w:rsid w:val="00061DF1"/>
    <w:rsid w:val="00062122"/>
    <w:rsid w:val="0006212B"/>
    <w:rsid w:val="000625FC"/>
    <w:rsid w:val="0006448D"/>
    <w:rsid w:val="000652FC"/>
    <w:rsid w:val="00065845"/>
    <w:rsid w:val="00066D45"/>
    <w:rsid w:val="00067072"/>
    <w:rsid w:val="00070E43"/>
    <w:rsid w:val="00071112"/>
    <w:rsid w:val="00071F5A"/>
    <w:rsid w:val="0007230A"/>
    <w:rsid w:val="000728E5"/>
    <w:rsid w:val="000728F7"/>
    <w:rsid w:val="00072CD9"/>
    <w:rsid w:val="000733F1"/>
    <w:rsid w:val="00073A39"/>
    <w:rsid w:val="00073AB5"/>
    <w:rsid w:val="00073DAD"/>
    <w:rsid w:val="00074341"/>
    <w:rsid w:val="0007478B"/>
    <w:rsid w:val="00074CE0"/>
    <w:rsid w:val="00075314"/>
    <w:rsid w:val="00075A85"/>
    <w:rsid w:val="00075B1A"/>
    <w:rsid w:val="00075C70"/>
    <w:rsid w:val="00076484"/>
    <w:rsid w:val="00077E8C"/>
    <w:rsid w:val="000803DA"/>
    <w:rsid w:val="0008085F"/>
    <w:rsid w:val="00080E37"/>
    <w:rsid w:val="00081404"/>
    <w:rsid w:val="00082279"/>
    <w:rsid w:val="00082853"/>
    <w:rsid w:val="00082B1F"/>
    <w:rsid w:val="00082F13"/>
    <w:rsid w:val="00082FE8"/>
    <w:rsid w:val="00084068"/>
    <w:rsid w:val="0008473D"/>
    <w:rsid w:val="00084B53"/>
    <w:rsid w:val="000859BD"/>
    <w:rsid w:val="000861AB"/>
    <w:rsid w:val="0008669E"/>
    <w:rsid w:val="00087A18"/>
    <w:rsid w:val="00087B34"/>
    <w:rsid w:val="00090668"/>
    <w:rsid w:val="000906C2"/>
    <w:rsid w:val="000906C7"/>
    <w:rsid w:val="000906EA"/>
    <w:rsid w:val="00091480"/>
    <w:rsid w:val="0009235A"/>
    <w:rsid w:val="00092BD9"/>
    <w:rsid w:val="00093839"/>
    <w:rsid w:val="000947BA"/>
    <w:rsid w:val="00094D17"/>
    <w:rsid w:val="00095FD3"/>
    <w:rsid w:val="00095FFB"/>
    <w:rsid w:val="0009648E"/>
    <w:rsid w:val="00096D3C"/>
    <w:rsid w:val="00096F21"/>
    <w:rsid w:val="00096F42"/>
    <w:rsid w:val="00097634"/>
    <w:rsid w:val="00097942"/>
    <w:rsid w:val="00097D61"/>
    <w:rsid w:val="000A056B"/>
    <w:rsid w:val="000A1C14"/>
    <w:rsid w:val="000A2CC3"/>
    <w:rsid w:val="000A2F9E"/>
    <w:rsid w:val="000A30FC"/>
    <w:rsid w:val="000A4196"/>
    <w:rsid w:val="000A41AF"/>
    <w:rsid w:val="000A4BDF"/>
    <w:rsid w:val="000A4CA4"/>
    <w:rsid w:val="000A555B"/>
    <w:rsid w:val="000A56F7"/>
    <w:rsid w:val="000A58F4"/>
    <w:rsid w:val="000A60E4"/>
    <w:rsid w:val="000A6880"/>
    <w:rsid w:val="000A6A7A"/>
    <w:rsid w:val="000B0539"/>
    <w:rsid w:val="000B0FBD"/>
    <w:rsid w:val="000B153D"/>
    <w:rsid w:val="000B1C46"/>
    <w:rsid w:val="000B293A"/>
    <w:rsid w:val="000B2E20"/>
    <w:rsid w:val="000B2FE5"/>
    <w:rsid w:val="000B3A44"/>
    <w:rsid w:val="000B3B7B"/>
    <w:rsid w:val="000B3BDF"/>
    <w:rsid w:val="000B51FA"/>
    <w:rsid w:val="000B53AA"/>
    <w:rsid w:val="000B5634"/>
    <w:rsid w:val="000B56EE"/>
    <w:rsid w:val="000B63F9"/>
    <w:rsid w:val="000B6884"/>
    <w:rsid w:val="000B6933"/>
    <w:rsid w:val="000B69E7"/>
    <w:rsid w:val="000B6E37"/>
    <w:rsid w:val="000B79B1"/>
    <w:rsid w:val="000C1079"/>
    <w:rsid w:val="000C10BF"/>
    <w:rsid w:val="000C1AEA"/>
    <w:rsid w:val="000C1DFB"/>
    <w:rsid w:val="000C2651"/>
    <w:rsid w:val="000C2FD6"/>
    <w:rsid w:val="000C3CE4"/>
    <w:rsid w:val="000C4460"/>
    <w:rsid w:val="000C4B2B"/>
    <w:rsid w:val="000C4EE1"/>
    <w:rsid w:val="000C5265"/>
    <w:rsid w:val="000C53A9"/>
    <w:rsid w:val="000C55C3"/>
    <w:rsid w:val="000C6581"/>
    <w:rsid w:val="000C7CF1"/>
    <w:rsid w:val="000D059E"/>
    <w:rsid w:val="000D0B5B"/>
    <w:rsid w:val="000D2BC4"/>
    <w:rsid w:val="000D2DA5"/>
    <w:rsid w:val="000D3A29"/>
    <w:rsid w:val="000D3D3D"/>
    <w:rsid w:val="000D4083"/>
    <w:rsid w:val="000D4676"/>
    <w:rsid w:val="000D4949"/>
    <w:rsid w:val="000D560C"/>
    <w:rsid w:val="000D5798"/>
    <w:rsid w:val="000D663F"/>
    <w:rsid w:val="000D70F7"/>
    <w:rsid w:val="000D7EBA"/>
    <w:rsid w:val="000D7FAA"/>
    <w:rsid w:val="000E1090"/>
    <w:rsid w:val="000E14D5"/>
    <w:rsid w:val="000E1F18"/>
    <w:rsid w:val="000E22A7"/>
    <w:rsid w:val="000E2BD9"/>
    <w:rsid w:val="000E33F6"/>
    <w:rsid w:val="000E3752"/>
    <w:rsid w:val="000E4000"/>
    <w:rsid w:val="000E4DB4"/>
    <w:rsid w:val="000E5033"/>
    <w:rsid w:val="000E5043"/>
    <w:rsid w:val="000E5F31"/>
    <w:rsid w:val="000E68F6"/>
    <w:rsid w:val="000E77B4"/>
    <w:rsid w:val="000E7BD4"/>
    <w:rsid w:val="000F0764"/>
    <w:rsid w:val="000F0882"/>
    <w:rsid w:val="000F09D5"/>
    <w:rsid w:val="000F2A08"/>
    <w:rsid w:val="000F2D4B"/>
    <w:rsid w:val="000F3239"/>
    <w:rsid w:val="000F3413"/>
    <w:rsid w:val="000F3EDB"/>
    <w:rsid w:val="000F48D5"/>
    <w:rsid w:val="000F4C46"/>
    <w:rsid w:val="000F4CC1"/>
    <w:rsid w:val="000F50F7"/>
    <w:rsid w:val="000F5276"/>
    <w:rsid w:val="000F5C72"/>
    <w:rsid w:val="000F5D42"/>
    <w:rsid w:val="00100B05"/>
    <w:rsid w:val="00100D9E"/>
    <w:rsid w:val="00101611"/>
    <w:rsid w:val="00101DB8"/>
    <w:rsid w:val="001027B3"/>
    <w:rsid w:val="001030DF"/>
    <w:rsid w:val="0010328E"/>
    <w:rsid w:val="00103F4B"/>
    <w:rsid w:val="00105952"/>
    <w:rsid w:val="00106B93"/>
    <w:rsid w:val="00107449"/>
    <w:rsid w:val="00107A4D"/>
    <w:rsid w:val="00107E89"/>
    <w:rsid w:val="0011095F"/>
    <w:rsid w:val="00110BDC"/>
    <w:rsid w:val="0011163E"/>
    <w:rsid w:val="001117B4"/>
    <w:rsid w:val="00111DEE"/>
    <w:rsid w:val="00112C39"/>
    <w:rsid w:val="0011355F"/>
    <w:rsid w:val="00114D17"/>
    <w:rsid w:val="00114E59"/>
    <w:rsid w:val="00115241"/>
    <w:rsid w:val="00115377"/>
    <w:rsid w:val="00116263"/>
    <w:rsid w:val="00116EDC"/>
    <w:rsid w:val="00117464"/>
    <w:rsid w:val="00117ACE"/>
    <w:rsid w:val="00117ECE"/>
    <w:rsid w:val="00120F35"/>
    <w:rsid w:val="001214FD"/>
    <w:rsid w:val="00122269"/>
    <w:rsid w:val="00122523"/>
    <w:rsid w:val="001226C5"/>
    <w:rsid w:val="00122A3B"/>
    <w:rsid w:val="00122CB7"/>
    <w:rsid w:val="001231F7"/>
    <w:rsid w:val="0012436C"/>
    <w:rsid w:val="001243F6"/>
    <w:rsid w:val="001248CA"/>
    <w:rsid w:val="00124B3B"/>
    <w:rsid w:val="00125E67"/>
    <w:rsid w:val="00126225"/>
    <w:rsid w:val="00126595"/>
    <w:rsid w:val="00126596"/>
    <w:rsid w:val="001265F4"/>
    <w:rsid w:val="001269FB"/>
    <w:rsid w:val="00126CDE"/>
    <w:rsid w:val="00127188"/>
    <w:rsid w:val="001274D5"/>
    <w:rsid w:val="00127CD4"/>
    <w:rsid w:val="0013212E"/>
    <w:rsid w:val="001324DD"/>
    <w:rsid w:val="001331E3"/>
    <w:rsid w:val="0013393F"/>
    <w:rsid w:val="00133AF8"/>
    <w:rsid w:val="00133BCC"/>
    <w:rsid w:val="001343C1"/>
    <w:rsid w:val="00134AD7"/>
    <w:rsid w:val="00136720"/>
    <w:rsid w:val="00136A56"/>
    <w:rsid w:val="001375C7"/>
    <w:rsid w:val="001378A4"/>
    <w:rsid w:val="00137B17"/>
    <w:rsid w:val="00140324"/>
    <w:rsid w:val="00140E91"/>
    <w:rsid w:val="00140FC8"/>
    <w:rsid w:val="00141285"/>
    <w:rsid w:val="00141646"/>
    <w:rsid w:val="001424B5"/>
    <w:rsid w:val="001426E3"/>
    <w:rsid w:val="00142A2A"/>
    <w:rsid w:val="0014318E"/>
    <w:rsid w:val="001437B5"/>
    <w:rsid w:val="0014436B"/>
    <w:rsid w:val="00144621"/>
    <w:rsid w:val="00144B05"/>
    <w:rsid w:val="00144C2E"/>
    <w:rsid w:val="001458DA"/>
    <w:rsid w:val="00145F27"/>
    <w:rsid w:val="00146519"/>
    <w:rsid w:val="00146761"/>
    <w:rsid w:val="001479AA"/>
    <w:rsid w:val="00147CC1"/>
    <w:rsid w:val="00147D0A"/>
    <w:rsid w:val="00151462"/>
    <w:rsid w:val="0015149E"/>
    <w:rsid w:val="00152317"/>
    <w:rsid w:val="001532EA"/>
    <w:rsid w:val="00153F4D"/>
    <w:rsid w:val="00153FA9"/>
    <w:rsid w:val="00154B9D"/>
    <w:rsid w:val="00155A1C"/>
    <w:rsid w:val="00155A6C"/>
    <w:rsid w:val="00155EBC"/>
    <w:rsid w:val="00156281"/>
    <w:rsid w:val="001573B9"/>
    <w:rsid w:val="00157771"/>
    <w:rsid w:val="00157B5C"/>
    <w:rsid w:val="0016106A"/>
    <w:rsid w:val="001613AC"/>
    <w:rsid w:val="00161493"/>
    <w:rsid w:val="001634FF"/>
    <w:rsid w:val="001636A7"/>
    <w:rsid w:val="001642BF"/>
    <w:rsid w:val="0016565D"/>
    <w:rsid w:val="00165737"/>
    <w:rsid w:val="00165E88"/>
    <w:rsid w:val="0016726D"/>
    <w:rsid w:val="0016760A"/>
    <w:rsid w:val="00167DE1"/>
    <w:rsid w:val="001703B9"/>
    <w:rsid w:val="00170843"/>
    <w:rsid w:val="00170C32"/>
    <w:rsid w:val="0017165F"/>
    <w:rsid w:val="00171A4D"/>
    <w:rsid w:val="001720AB"/>
    <w:rsid w:val="00172876"/>
    <w:rsid w:val="00172995"/>
    <w:rsid w:val="00172ACD"/>
    <w:rsid w:val="001743A3"/>
    <w:rsid w:val="00174AC1"/>
    <w:rsid w:val="00174BB8"/>
    <w:rsid w:val="00174E11"/>
    <w:rsid w:val="00174EB4"/>
    <w:rsid w:val="00175CDB"/>
    <w:rsid w:val="0017635D"/>
    <w:rsid w:val="00177D10"/>
    <w:rsid w:val="001805CB"/>
    <w:rsid w:val="001811CF"/>
    <w:rsid w:val="00181259"/>
    <w:rsid w:val="001817A9"/>
    <w:rsid w:val="001825C4"/>
    <w:rsid w:val="001838C8"/>
    <w:rsid w:val="0018526D"/>
    <w:rsid w:val="0018546E"/>
    <w:rsid w:val="00190A52"/>
    <w:rsid w:val="0019117B"/>
    <w:rsid w:val="00191EF8"/>
    <w:rsid w:val="00192608"/>
    <w:rsid w:val="00192F5B"/>
    <w:rsid w:val="00193B67"/>
    <w:rsid w:val="00193C0A"/>
    <w:rsid w:val="00193F0F"/>
    <w:rsid w:val="001946DA"/>
    <w:rsid w:val="0019561A"/>
    <w:rsid w:val="00195768"/>
    <w:rsid w:val="0019582E"/>
    <w:rsid w:val="001958C2"/>
    <w:rsid w:val="00195E47"/>
    <w:rsid w:val="00196517"/>
    <w:rsid w:val="00197D2D"/>
    <w:rsid w:val="001A093B"/>
    <w:rsid w:val="001A0ACD"/>
    <w:rsid w:val="001A38E1"/>
    <w:rsid w:val="001A3A5D"/>
    <w:rsid w:val="001A3EE5"/>
    <w:rsid w:val="001A4407"/>
    <w:rsid w:val="001A454A"/>
    <w:rsid w:val="001A4743"/>
    <w:rsid w:val="001A4949"/>
    <w:rsid w:val="001A4D6C"/>
    <w:rsid w:val="001A4FBD"/>
    <w:rsid w:val="001A5A92"/>
    <w:rsid w:val="001A6BF5"/>
    <w:rsid w:val="001A7152"/>
    <w:rsid w:val="001A73B8"/>
    <w:rsid w:val="001A7569"/>
    <w:rsid w:val="001A7B57"/>
    <w:rsid w:val="001B1B34"/>
    <w:rsid w:val="001B2C4B"/>
    <w:rsid w:val="001B2D8E"/>
    <w:rsid w:val="001B2DC6"/>
    <w:rsid w:val="001B2F8F"/>
    <w:rsid w:val="001B3583"/>
    <w:rsid w:val="001B4820"/>
    <w:rsid w:val="001B4847"/>
    <w:rsid w:val="001B496B"/>
    <w:rsid w:val="001B5131"/>
    <w:rsid w:val="001B5C4A"/>
    <w:rsid w:val="001B6252"/>
    <w:rsid w:val="001B69D8"/>
    <w:rsid w:val="001B7320"/>
    <w:rsid w:val="001C181D"/>
    <w:rsid w:val="001C185F"/>
    <w:rsid w:val="001C2C0B"/>
    <w:rsid w:val="001C3746"/>
    <w:rsid w:val="001C4167"/>
    <w:rsid w:val="001C4E29"/>
    <w:rsid w:val="001C4F4B"/>
    <w:rsid w:val="001C53EE"/>
    <w:rsid w:val="001C57E6"/>
    <w:rsid w:val="001C581F"/>
    <w:rsid w:val="001C59C9"/>
    <w:rsid w:val="001C60D4"/>
    <w:rsid w:val="001C60FF"/>
    <w:rsid w:val="001C717D"/>
    <w:rsid w:val="001C767E"/>
    <w:rsid w:val="001D0454"/>
    <w:rsid w:val="001D04D2"/>
    <w:rsid w:val="001D219C"/>
    <w:rsid w:val="001D2635"/>
    <w:rsid w:val="001D28B7"/>
    <w:rsid w:val="001D30BF"/>
    <w:rsid w:val="001D3822"/>
    <w:rsid w:val="001D3C88"/>
    <w:rsid w:val="001D3DBB"/>
    <w:rsid w:val="001D3E15"/>
    <w:rsid w:val="001D4CD6"/>
    <w:rsid w:val="001D5485"/>
    <w:rsid w:val="001D5C91"/>
    <w:rsid w:val="001D6209"/>
    <w:rsid w:val="001D6AA6"/>
    <w:rsid w:val="001D7270"/>
    <w:rsid w:val="001E17EF"/>
    <w:rsid w:val="001E19E5"/>
    <w:rsid w:val="001E2FAC"/>
    <w:rsid w:val="001E3507"/>
    <w:rsid w:val="001E4EEC"/>
    <w:rsid w:val="001E53F2"/>
    <w:rsid w:val="001E6126"/>
    <w:rsid w:val="001E7322"/>
    <w:rsid w:val="001E753A"/>
    <w:rsid w:val="001E77CC"/>
    <w:rsid w:val="001E78A0"/>
    <w:rsid w:val="001E7A01"/>
    <w:rsid w:val="001F0103"/>
    <w:rsid w:val="001F0D07"/>
    <w:rsid w:val="001F117D"/>
    <w:rsid w:val="001F1422"/>
    <w:rsid w:val="001F1D7E"/>
    <w:rsid w:val="001F2D74"/>
    <w:rsid w:val="001F3460"/>
    <w:rsid w:val="001F34D3"/>
    <w:rsid w:val="001F35BA"/>
    <w:rsid w:val="001F35D3"/>
    <w:rsid w:val="001F3A34"/>
    <w:rsid w:val="001F4237"/>
    <w:rsid w:val="001F50F7"/>
    <w:rsid w:val="001F5638"/>
    <w:rsid w:val="001F5698"/>
    <w:rsid w:val="001F5B29"/>
    <w:rsid w:val="001F70A7"/>
    <w:rsid w:val="001F748C"/>
    <w:rsid w:val="001F778C"/>
    <w:rsid w:val="001F7CBE"/>
    <w:rsid w:val="002009E2"/>
    <w:rsid w:val="002020AC"/>
    <w:rsid w:val="0020260E"/>
    <w:rsid w:val="0020282E"/>
    <w:rsid w:val="00202B1D"/>
    <w:rsid w:val="00202C01"/>
    <w:rsid w:val="00203548"/>
    <w:rsid w:val="00203F6D"/>
    <w:rsid w:val="002046C1"/>
    <w:rsid w:val="00204B2B"/>
    <w:rsid w:val="002060D3"/>
    <w:rsid w:val="002066D4"/>
    <w:rsid w:val="00206A8B"/>
    <w:rsid w:val="0020783E"/>
    <w:rsid w:val="0021084F"/>
    <w:rsid w:val="0021093C"/>
    <w:rsid w:val="002109B0"/>
    <w:rsid w:val="002110AA"/>
    <w:rsid w:val="0021230C"/>
    <w:rsid w:val="00213635"/>
    <w:rsid w:val="00213CEB"/>
    <w:rsid w:val="00214675"/>
    <w:rsid w:val="00214CF9"/>
    <w:rsid w:val="00215721"/>
    <w:rsid w:val="00215737"/>
    <w:rsid w:val="0021596A"/>
    <w:rsid w:val="00215CF2"/>
    <w:rsid w:val="00216AB7"/>
    <w:rsid w:val="00217271"/>
    <w:rsid w:val="0021736C"/>
    <w:rsid w:val="00217E5F"/>
    <w:rsid w:val="00217E82"/>
    <w:rsid w:val="0022046F"/>
    <w:rsid w:val="00220B1C"/>
    <w:rsid w:val="0022154F"/>
    <w:rsid w:val="00222286"/>
    <w:rsid w:val="00222341"/>
    <w:rsid w:val="00222498"/>
    <w:rsid w:val="00222A58"/>
    <w:rsid w:val="00224762"/>
    <w:rsid w:val="00225C2D"/>
    <w:rsid w:val="00225D21"/>
    <w:rsid w:val="00226B27"/>
    <w:rsid w:val="0022702D"/>
    <w:rsid w:val="00227396"/>
    <w:rsid w:val="00227566"/>
    <w:rsid w:val="002307A6"/>
    <w:rsid w:val="00230A5F"/>
    <w:rsid w:val="00230B81"/>
    <w:rsid w:val="00230D59"/>
    <w:rsid w:val="00231144"/>
    <w:rsid w:val="0023157D"/>
    <w:rsid w:val="00231AD9"/>
    <w:rsid w:val="0023291C"/>
    <w:rsid w:val="00232A6F"/>
    <w:rsid w:val="002331FF"/>
    <w:rsid w:val="0023375E"/>
    <w:rsid w:val="00234426"/>
    <w:rsid w:val="002344C4"/>
    <w:rsid w:val="00234789"/>
    <w:rsid w:val="0023557A"/>
    <w:rsid w:val="002369D1"/>
    <w:rsid w:val="00236CF8"/>
    <w:rsid w:val="00236D40"/>
    <w:rsid w:val="00237E9B"/>
    <w:rsid w:val="002406BC"/>
    <w:rsid w:val="00242034"/>
    <w:rsid w:val="002447D7"/>
    <w:rsid w:val="002449FD"/>
    <w:rsid w:val="0024568F"/>
    <w:rsid w:val="002467F6"/>
    <w:rsid w:val="00246B9C"/>
    <w:rsid w:val="002473A0"/>
    <w:rsid w:val="0024784A"/>
    <w:rsid w:val="00247AEF"/>
    <w:rsid w:val="00247E98"/>
    <w:rsid w:val="00250BB4"/>
    <w:rsid w:val="00250C50"/>
    <w:rsid w:val="0025131A"/>
    <w:rsid w:val="00251933"/>
    <w:rsid w:val="00251B8B"/>
    <w:rsid w:val="00251CFB"/>
    <w:rsid w:val="00252643"/>
    <w:rsid w:val="00253688"/>
    <w:rsid w:val="00253BD9"/>
    <w:rsid w:val="00253F27"/>
    <w:rsid w:val="0025510F"/>
    <w:rsid w:val="0025515C"/>
    <w:rsid w:val="00255909"/>
    <w:rsid w:val="00255E48"/>
    <w:rsid w:val="00255F69"/>
    <w:rsid w:val="0025653A"/>
    <w:rsid w:val="00256FFC"/>
    <w:rsid w:val="00257038"/>
    <w:rsid w:val="00257738"/>
    <w:rsid w:val="002578AB"/>
    <w:rsid w:val="002604AA"/>
    <w:rsid w:val="002605E5"/>
    <w:rsid w:val="00260682"/>
    <w:rsid w:val="002616C6"/>
    <w:rsid w:val="002617D2"/>
    <w:rsid w:val="00261C33"/>
    <w:rsid w:val="0026247B"/>
    <w:rsid w:val="00263329"/>
    <w:rsid w:val="00264183"/>
    <w:rsid w:val="00264AB5"/>
    <w:rsid w:val="00265F0D"/>
    <w:rsid w:val="002660D0"/>
    <w:rsid w:val="00266437"/>
    <w:rsid w:val="00266D91"/>
    <w:rsid w:val="0026742E"/>
    <w:rsid w:val="0026760E"/>
    <w:rsid w:val="00267B22"/>
    <w:rsid w:val="00267B7B"/>
    <w:rsid w:val="0027031C"/>
    <w:rsid w:val="00270BA4"/>
    <w:rsid w:val="00270FA5"/>
    <w:rsid w:val="00271666"/>
    <w:rsid w:val="00271A61"/>
    <w:rsid w:val="00271C9D"/>
    <w:rsid w:val="0027266A"/>
    <w:rsid w:val="00272926"/>
    <w:rsid w:val="00273122"/>
    <w:rsid w:val="002735EA"/>
    <w:rsid w:val="002747F7"/>
    <w:rsid w:val="002760A3"/>
    <w:rsid w:val="0027662A"/>
    <w:rsid w:val="00276750"/>
    <w:rsid w:val="00276D84"/>
    <w:rsid w:val="00280A4A"/>
    <w:rsid w:val="00282440"/>
    <w:rsid w:val="002829B3"/>
    <w:rsid w:val="00282A7E"/>
    <w:rsid w:val="00286567"/>
    <w:rsid w:val="00286B44"/>
    <w:rsid w:val="00290274"/>
    <w:rsid w:val="0029070A"/>
    <w:rsid w:val="00290A17"/>
    <w:rsid w:val="00290A68"/>
    <w:rsid w:val="00291578"/>
    <w:rsid w:val="00291E55"/>
    <w:rsid w:val="002924FB"/>
    <w:rsid w:val="00292B3C"/>
    <w:rsid w:val="00292C05"/>
    <w:rsid w:val="00292DA8"/>
    <w:rsid w:val="0029330A"/>
    <w:rsid w:val="002940E8"/>
    <w:rsid w:val="00294830"/>
    <w:rsid w:val="00294F63"/>
    <w:rsid w:val="0029675A"/>
    <w:rsid w:val="002971C1"/>
    <w:rsid w:val="00297325"/>
    <w:rsid w:val="00297423"/>
    <w:rsid w:val="00297530"/>
    <w:rsid w:val="002978FC"/>
    <w:rsid w:val="002A2261"/>
    <w:rsid w:val="002A25BC"/>
    <w:rsid w:val="002A2F00"/>
    <w:rsid w:val="002A3289"/>
    <w:rsid w:val="002A3F8D"/>
    <w:rsid w:val="002A4A1C"/>
    <w:rsid w:val="002A5018"/>
    <w:rsid w:val="002A549F"/>
    <w:rsid w:val="002A5587"/>
    <w:rsid w:val="002A6857"/>
    <w:rsid w:val="002B0309"/>
    <w:rsid w:val="002B05CF"/>
    <w:rsid w:val="002B121F"/>
    <w:rsid w:val="002B17BD"/>
    <w:rsid w:val="002B2B08"/>
    <w:rsid w:val="002B2C0E"/>
    <w:rsid w:val="002B2C8F"/>
    <w:rsid w:val="002B2DF7"/>
    <w:rsid w:val="002B3AA6"/>
    <w:rsid w:val="002B6C3C"/>
    <w:rsid w:val="002B733F"/>
    <w:rsid w:val="002B76B8"/>
    <w:rsid w:val="002C0081"/>
    <w:rsid w:val="002C0222"/>
    <w:rsid w:val="002C099F"/>
    <w:rsid w:val="002C0A33"/>
    <w:rsid w:val="002C110C"/>
    <w:rsid w:val="002C1A4D"/>
    <w:rsid w:val="002C23B0"/>
    <w:rsid w:val="002C2C15"/>
    <w:rsid w:val="002C34BA"/>
    <w:rsid w:val="002C4706"/>
    <w:rsid w:val="002C5A9F"/>
    <w:rsid w:val="002C5B8A"/>
    <w:rsid w:val="002C6F7A"/>
    <w:rsid w:val="002C7D9F"/>
    <w:rsid w:val="002D039A"/>
    <w:rsid w:val="002D06A1"/>
    <w:rsid w:val="002D0AED"/>
    <w:rsid w:val="002D12F2"/>
    <w:rsid w:val="002D1335"/>
    <w:rsid w:val="002D13D3"/>
    <w:rsid w:val="002D1A7C"/>
    <w:rsid w:val="002D1EFC"/>
    <w:rsid w:val="002D2289"/>
    <w:rsid w:val="002D243E"/>
    <w:rsid w:val="002D2DD9"/>
    <w:rsid w:val="002D3CB8"/>
    <w:rsid w:val="002D45F9"/>
    <w:rsid w:val="002D49CF"/>
    <w:rsid w:val="002D4B58"/>
    <w:rsid w:val="002D50E5"/>
    <w:rsid w:val="002D5174"/>
    <w:rsid w:val="002D5815"/>
    <w:rsid w:val="002D598E"/>
    <w:rsid w:val="002D5F5A"/>
    <w:rsid w:val="002D7BE9"/>
    <w:rsid w:val="002D7C2A"/>
    <w:rsid w:val="002D7E1C"/>
    <w:rsid w:val="002D7F5C"/>
    <w:rsid w:val="002E17C5"/>
    <w:rsid w:val="002E192A"/>
    <w:rsid w:val="002E3EAE"/>
    <w:rsid w:val="002E4165"/>
    <w:rsid w:val="002E482E"/>
    <w:rsid w:val="002E4BF7"/>
    <w:rsid w:val="002E53B5"/>
    <w:rsid w:val="002E76E2"/>
    <w:rsid w:val="002E7A1C"/>
    <w:rsid w:val="002F0797"/>
    <w:rsid w:val="002F104A"/>
    <w:rsid w:val="002F188F"/>
    <w:rsid w:val="002F280C"/>
    <w:rsid w:val="002F2A9E"/>
    <w:rsid w:val="002F2CF8"/>
    <w:rsid w:val="002F4ED1"/>
    <w:rsid w:val="002F5135"/>
    <w:rsid w:val="002F605D"/>
    <w:rsid w:val="002F6942"/>
    <w:rsid w:val="002F735A"/>
    <w:rsid w:val="002F761E"/>
    <w:rsid w:val="002F7E04"/>
    <w:rsid w:val="00300350"/>
    <w:rsid w:val="00301604"/>
    <w:rsid w:val="003019F4"/>
    <w:rsid w:val="0030232D"/>
    <w:rsid w:val="00302483"/>
    <w:rsid w:val="003029D5"/>
    <w:rsid w:val="0030403E"/>
    <w:rsid w:val="00304A72"/>
    <w:rsid w:val="003050B8"/>
    <w:rsid w:val="00305AEF"/>
    <w:rsid w:val="00306DF9"/>
    <w:rsid w:val="00306E95"/>
    <w:rsid w:val="0030781D"/>
    <w:rsid w:val="00310493"/>
    <w:rsid w:val="00310CF7"/>
    <w:rsid w:val="00311C6E"/>
    <w:rsid w:val="00312D1A"/>
    <w:rsid w:val="00313753"/>
    <w:rsid w:val="0031396A"/>
    <w:rsid w:val="00313CE9"/>
    <w:rsid w:val="0031542A"/>
    <w:rsid w:val="00317015"/>
    <w:rsid w:val="003200B6"/>
    <w:rsid w:val="00320F9E"/>
    <w:rsid w:val="0032156B"/>
    <w:rsid w:val="00321607"/>
    <w:rsid w:val="00321627"/>
    <w:rsid w:val="003217FE"/>
    <w:rsid w:val="003218BB"/>
    <w:rsid w:val="00321D08"/>
    <w:rsid w:val="00321FB0"/>
    <w:rsid w:val="0032242E"/>
    <w:rsid w:val="003232B5"/>
    <w:rsid w:val="003236DC"/>
    <w:rsid w:val="00323C32"/>
    <w:rsid w:val="00323C80"/>
    <w:rsid w:val="00323FE0"/>
    <w:rsid w:val="003243D8"/>
    <w:rsid w:val="003243F2"/>
    <w:rsid w:val="0032446D"/>
    <w:rsid w:val="00324819"/>
    <w:rsid w:val="00324EA5"/>
    <w:rsid w:val="00325547"/>
    <w:rsid w:val="00325B27"/>
    <w:rsid w:val="00326259"/>
    <w:rsid w:val="00327FEF"/>
    <w:rsid w:val="003300B9"/>
    <w:rsid w:val="003312BD"/>
    <w:rsid w:val="003317D8"/>
    <w:rsid w:val="00331E85"/>
    <w:rsid w:val="003321F5"/>
    <w:rsid w:val="0033268F"/>
    <w:rsid w:val="00333578"/>
    <w:rsid w:val="00334A7C"/>
    <w:rsid w:val="00335158"/>
    <w:rsid w:val="0033537F"/>
    <w:rsid w:val="0033597B"/>
    <w:rsid w:val="00335E1D"/>
    <w:rsid w:val="00337982"/>
    <w:rsid w:val="003404A8"/>
    <w:rsid w:val="00340623"/>
    <w:rsid w:val="003407B8"/>
    <w:rsid w:val="003409D8"/>
    <w:rsid w:val="00340B8D"/>
    <w:rsid w:val="00341E9C"/>
    <w:rsid w:val="00342162"/>
    <w:rsid w:val="00343834"/>
    <w:rsid w:val="00343BBE"/>
    <w:rsid w:val="0034469B"/>
    <w:rsid w:val="00345D96"/>
    <w:rsid w:val="00346382"/>
    <w:rsid w:val="00346586"/>
    <w:rsid w:val="00346953"/>
    <w:rsid w:val="00346F50"/>
    <w:rsid w:val="00347717"/>
    <w:rsid w:val="00347D6F"/>
    <w:rsid w:val="0035034A"/>
    <w:rsid w:val="00350F04"/>
    <w:rsid w:val="003525A7"/>
    <w:rsid w:val="00353188"/>
    <w:rsid w:val="00354247"/>
    <w:rsid w:val="00354D67"/>
    <w:rsid w:val="00354E58"/>
    <w:rsid w:val="00355F5B"/>
    <w:rsid w:val="00356896"/>
    <w:rsid w:val="00356AA4"/>
    <w:rsid w:val="00357151"/>
    <w:rsid w:val="00357411"/>
    <w:rsid w:val="00360581"/>
    <w:rsid w:val="00360ACC"/>
    <w:rsid w:val="0036162E"/>
    <w:rsid w:val="00361A4C"/>
    <w:rsid w:val="003629B8"/>
    <w:rsid w:val="00363112"/>
    <w:rsid w:val="0036333D"/>
    <w:rsid w:val="003643FC"/>
    <w:rsid w:val="003646A7"/>
    <w:rsid w:val="00364DAD"/>
    <w:rsid w:val="00365356"/>
    <w:rsid w:val="003656FC"/>
    <w:rsid w:val="00366185"/>
    <w:rsid w:val="0036625B"/>
    <w:rsid w:val="003666D6"/>
    <w:rsid w:val="0036671E"/>
    <w:rsid w:val="003668E6"/>
    <w:rsid w:val="003670EC"/>
    <w:rsid w:val="00367766"/>
    <w:rsid w:val="00370622"/>
    <w:rsid w:val="00371569"/>
    <w:rsid w:val="00372188"/>
    <w:rsid w:val="0037271D"/>
    <w:rsid w:val="003742D8"/>
    <w:rsid w:val="00374744"/>
    <w:rsid w:val="003748DF"/>
    <w:rsid w:val="00374F7E"/>
    <w:rsid w:val="003764D1"/>
    <w:rsid w:val="00376741"/>
    <w:rsid w:val="00377051"/>
    <w:rsid w:val="00381E0D"/>
    <w:rsid w:val="00382B83"/>
    <w:rsid w:val="003834B7"/>
    <w:rsid w:val="00383D52"/>
    <w:rsid w:val="00383F00"/>
    <w:rsid w:val="00384683"/>
    <w:rsid w:val="003848ED"/>
    <w:rsid w:val="00384AB1"/>
    <w:rsid w:val="00385C75"/>
    <w:rsid w:val="00385F3B"/>
    <w:rsid w:val="00386F8E"/>
    <w:rsid w:val="00387619"/>
    <w:rsid w:val="003902B2"/>
    <w:rsid w:val="00390885"/>
    <w:rsid w:val="00391A79"/>
    <w:rsid w:val="0039241E"/>
    <w:rsid w:val="00393B94"/>
    <w:rsid w:val="00393D80"/>
    <w:rsid w:val="00394A8F"/>
    <w:rsid w:val="00395072"/>
    <w:rsid w:val="0039513E"/>
    <w:rsid w:val="003955BA"/>
    <w:rsid w:val="00395A4A"/>
    <w:rsid w:val="00395A89"/>
    <w:rsid w:val="00396C33"/>
    <w:rsid w:val="00396DA2"/>
    <w:rsid w:val="00397942"/>
    <w:rsid w:val="00397B82"/>
    <w:rsid w:val="00397D45"/>
    <w:rsid w:val="003A0478"/>
    <w:rsid w:val="003A0C05"/>
    <w:rsid w:val="003A149B"/>
    <w:rsid w:val="003A29E0"/>
    <w:rsid w:val="003A2E8B"/>
    <w:rsid w:val="003A2FA3"/>
    <w:rsid w:val="003A4EB2"/>
    <w:rsid w:val="003A536A"/>
    <w:rsid w:val="003A5B8C"/>
    <w:rsid w:val="003A61D9"/>
    <w:rsid w:val="003A72B7"/>
    <w:rsid w:val="003A7CCD"/>
    <w:rsid w:val="003B0BC6"/>
    <w:rsid w:val="003B1395"/>
    <w:rsid w:val="003B155A"/>
    <w:rsid w:val="003B3827"/>
    <w:rsid w:val="003B39E6"/>
    <w:rsid w:val="003B3C32"/>
    <w:rsid w:val="003B421A"/>
    <w:rsid w:val="003B4892"/>
    <w:rsid w:val="003B508B"/>
    <w:rsid w:val="003B5D56"/>
    <w:rsid w:val="003B6DD3"/>
    <w:rsid w:val="003B6F1A"/>
    <w:rsid w:val="003B7C5A"/>
    <w:rsid w:val="003C01C0"/>
    <w:rsid w:val="003C03AA"/>
    <w:rsid w:val="003C0D8E"/>
    <w:rsid w:val="003C1060"/>
    <w:rsid w:val="003C1BEF"/>
    <w:rsid w:val="003C1D85"/>
    <w:rsid w:val="003C243B"/>
    <w:rsid w:val="003C353B"/>
    <w:rsid w:val="003C398C"/>
    <w:rsid w:val="003C3EFF"/>
    <w:rsid w:val="003C4414"/>
    <w:rsid w:val="003C46BD"/>
    <w:rsid w:val="003C4C56"/>
    <w:rsid w:val="003C5084"/>
    <w:rsid w:val="003C6179"/>
    <w:rsid w:val="003C6645"/>
    <w:rsid w:val="003C6C22"/>
    <w:rsid w:val="003C6D7E"/>
    <w:rsid w:val="003C77FB"/>
    <w:rsid w:val="003D0F7D"/>
    <w:rsid w:val="003D14BB"/>
    <w:rsid w:val="003D2438"/>
    <w:rsid w:val="003D2572"/>
    <w:rsid w:val="003D31C2"/>
    <w:rsid w:val="003D31C9"/>
    <w:rsid w:val="003D34B9"/>
    <w:rsid w:val="003D3710"/>
    <w:rsid w:val="003D579A"/>
    <w:rsid w:val="003D6E19"/>
    <w:rsid w:val="003D72A4"/>
    <w:rsid w:val="003D7931"/>
    <w:rsid w:val="003E03D6"/>
    <w:rsid w:val="003E0AB8"/>
    <w:rsid w:val="003E0BD5"/>
    <w:rsid w:val="003E10A1"/>
    <w:rsid w:val="003E12C3"/>
    <w:rsid w:val="003E183E"/>
    <w:rsid w:val="003E23AF"/>
    <w:rsid w:val="003E2701"/>
    <w:rsid w:val="003E27B3"/>
    <w:rsid w:val="003E3D95"/>
    <w:rsid w:val="003E45A0"/>
    <w:rsid w:val="003E470A"/>
    <w:rsid w:val="003E4BDE"/>
    <w:rsid w:val="003E4E40"/>
    <w:rsid w:val="003E4E60"/>
    <w:rsid w:val="003E54BB"/>
    <w:rsid w:val="003E5A70"/>
    <w:rsid w:val="003E5B51"/>
    <w:rsid w:val="003E63F5"/>
    <w:rsid w:val="003E75F1"/>
    <w:rsid w:val="003E79B3"/>
    <w:rsid w:val="003F02AB"/>
    <w:rsid w:val="003F08D8"/>
    <w:rsid w:val="003F0CF7"/>
    <w:rsid w:val="003F109B"/>
    <w:rsid w:val="003F110C"/>
    <w:rsid w:val="003F1FC1"/>
    <w:rsid w:val="003F349E"/>
    <w:rsid w:val="003F3BA0"/>
    <w:rsid w:val="003F41E2"/>
    <w:rsid w:val="003F4BA9"/>
    <w:rsid w:val="003F4D0D"/>
    <w:rsid w:val="003F5072"/>
    <w:rsid w:val="003F53FE"/>
    <w:rsid w:val="003F5664"/>
    <w:rsid w:val="003F57E8"/>
    <w:rsid w:val="003F589F"/>
    <w:rsid w:val="003F59BD"/>
    <w:rsid w:val="003F5C02"/>
    <w:rsid w:val="003F6839"/>
    <w:rsid w:val="003F68A1"/>
    <w:rsid w:val="003F6908"/>
    <w:rsid w:val="003F738F"/>
    <w:rsid w:val="004005C4"/>
    <w:rsid w:val="00400E95"/>
    <w:rsid w:val="0040212C"/>
    <w:rsid w:val="00402E37"/>
    <w:rsid w:val="004033C1"/>
    <w:rsid w:val="00404259"/>
    <w:rsid w:val="00404373"/>
    <w:rsid w:val="00404AFF"/>
    <w:rsid w:val="0040559D"/>
    <w:rsid w:val="0040695C"/>
    <w:rsid w:val="00406D91"/>
    <w:rsid w:val="004076B3"/>
    <w:rsid w:val="00407DC1"/>
    <w:rsid w:val="00407E18"/>
    <w:rsid w:val="00407E5F"/>
    <w:rsid w:val="00411214"/>
    <w:rsid w:val="004117EA"/>
    <w:rsid w:val="0041209A"/>
    <w:rsid w:val="00412623"/>
    <w:rsid w:val="00412FD9"/>
    <w:rsid w:val="004146E1"/>
    <w:rsid w:val="004153E7"/>
    <w:rsid w:val="00416CC5"/>
    <w:rsid w:val="00416CF6"/>
    <w:rsid w:val="00416F91"/>
    <w:rsid w:val="004177F0"/>
    <w:rsid w:val="00417B58"/>
    <w:rsid w:val="00417E06"/>
    <w:rsid w:val="00420CAB"/>
    <w:rsid w:val="00421317"/>
    <w:rsid w:val="0042143C"/>
    <w:rsid w:val="004228DB"/>
    <w:rsid w:val="00422D88"/>
    <w:rsid w:val="00423169"/>
    <w:rsid w:val="00423C6D"/>
    <w:rsid w:val="0042492D"/>
    <w:rsid w:val="00424B2B"/>
    <w:rsid w:val="00424D3C"/>
    <w:rsid w:val="004257C3"/>
    <w:rsid w:val="0042594A"/>
    <w:rsid w:val="00425F3D"/>
    <w:rsid w:val="00426A11"/>
    <w:rsid w:val="00427E8D"/>
    <w:rsid w:val="004310F3"/>
    <w:rsid w:val="00431F2D"/>
    <w:rsid w:val="0043224A"/>
    <w:rsid w:val="004352C6"/>
    <w:rsid w:val="004361B0"/>
    <w:rsid w:val="004366F7"/>
    <w:rsid w:val="0044011B"/>
    <w:rsid w:val="00441837"/>
    <w:rsid w:val="00441F40"/>
    <w:rsid w:val="00442526"/>
    <w:rsid w:val="004433FD"/>
    <w:rsid w:val="0044340A"/>
    <w:rsid w:val="00443CCE"/>
    <w:rsid w:val="00444F06"/>
    <w:rsid w:val="0044585B"/>
    <w:rsid w:val="00445AE7"/>
    <w:rsid w:val="00446358"/>
    <w:rsid w:val="00446D01"/>
    <w:rsid w:val="0044724F"/>
    <w:rsid w:val="004475E5"/>
    <w:rsid w:val="00447ADF"/>
    <w:rsid w:val="00447E59"/>
    <w:rsid w:val="004503C6"/>
    <w:rsid w:val="00450701"/>
    <w:rsid w:val="00451308"/>
    <w:rsid w:val="00451884"/>
    <w:rsid w:val="0045230C"/>
    <w:rsid w:val="00452AEF"/>
    <w:rsid w:val="00453636"/>
    <w:rsid w:val="004538F9"/>
    <w:rsid w:val="00454EEA"/>
    <w:rsid w:val="0045534E"/>
    <w:rsid w:val="004554F1"/>
    <w:rsid w:val="00456837"/>
    <w:rsid w:val="00456F64"/>
    <w:rsid w:val="004571EB"/>
    <w:rsid w:val="004572F9"/>
    <w:rsid w:val="004576F3"/>
    <w:rsid w:val="0046020E"/>
    <w:rsid w:val="0046108C"/>
    <w:rsid w:val="004614FD"/>
    <w:rsid w:val="004619C7"/>
    <w:rsid w:val="00462CC4"/>
    <w:rsid w:val="00462E6C"/>
    <w:rsid w:val="00463EEC"/>
    <w:rsid w:val="00463F83"/>
    <w:rsid w:val="00464551"/>
    <w:rsid w:val="00464C95"/>
    <w:rsid w:val="00465990"/>
    <w:rsid w:val="004659B5"/>
    <w:rsid w:val="00466209"/>
    <w:rsid w:val="00470147"/>
    <w:rsid w:val="0047068D"/>
    <w:rsid w:val="004709C3"/>
    <w:rsid w:val="00471124"/>
    <w:rsid w:val="0047115B"/>
    <w:rsid w:val="004720B0"/>
    <w:rsid w:val="004720F3"/>
    <w:rsid w:val="0047230B"/>
    <w:rsid w:val="0047337B"/>
    <w:rsid w:val="0047408E"/>
    <w:rsid w:val="00474730"/>
    <w:rsid w:val="00474F83"/>
    <w:rsid w:val="004757DD"/>
    <w:rsid w:val="004758D5"/>
    <w:rsid w:val="00475A10"/>
    <w:rsid w:val="0047625E"/>
    <w:rsid w:val="004770F6"/>
    <w:rsid w:val="00477578"/>
    <w:rsid w:val="00477C41"/>
    <w:rsid w:val="004802C5"/>
    <w:rsid w:val="004818DD"/>
    <w:rsid w:val="00481A42"/>
    <w:rsid w:val="00481FCA"/>
    <w:rsid w:val="004825EF"/>
    <w:rsid w:val="00482617"/>
    <w:rsid w:val="00484981"/>
    <w:rsid w:val="00484CAF"/>
    <w:rsid w:val="0048533D"/>
    <w:rsid w:val="004861EB"/>
    <w:rsid w:val="00486D0F"/>
    <w:rsid w:val="00486D33"/>
    <w:rsid w:val="00487541"/>
    <w:rsid w:val="004901B0"/>
    <w:rsid w:val="0049036A"/>
    <w:rsid w:val="00490B7C"/>
    <w:rsid w:val="00491320"/>
    <w:rsid w:val="00491811"/>
    <w:rsid w:val="00492123"/>
    <w:rsid w:val="00493059"/>
    <w:rsid w:val="00493ABA"/>
    <w:rsid w:val="00493B0E"/>
    <w:rsid w:val="004949D8"/>
    <w:rsid w:val="00494AD2"/>
    <w:rsid w:val="004959D0"/>
    <w:rsid w:val="004A003E"/>
    <w:rsid w:val="004A025B"/>
    <w:rsid w:val="004A0341"/>
    <w:rsid w:val="004A074A"/>
    <w:rsid w:val="004A16A2"/>
    <w:rsid w:val="004A1939"/>
    <w:rsid w:val="004A1A60"/>
    <w:rsid w:val="004A1E0A"/>
    <w:rsid w:val="004A2B2F"/>
    <w:rsid w:val="004A316C"/>
    <w:rsid w:val="004A324C"/>
    <w:rsid w:val="004A35F6"/>
    <w:rsid w:val="004A5737"/>
    <w:rsid w:val="004A5C45"/>
    <w:rsid w:val="004A5E9A"/>
    <w:rsid w:val="004A6172"/>
    <w:rsid w:val="004A61B3"/>
    <w:rsid w:val="004A6605"/>
    <w:rsid w:val="004A69E7"/>
    <w:rsid w:val="004A6F51"/>
    <w:rsid w:val="004A781B"/>
    <w:rsid w:val="004B03A1"/>
    <w:rsid w:val="004B0D0C"/>
    <w:rsid w:val="004B2133"/>
    <w:rsid w:val="004B2D13"/>
    <w:rsid w:val="004B4823"/>
    <w:rsid w:val="004B4A55"/>
    <w:rsid w:val="004B4D69"/>
    <w:rsid w:val="004B63CA"/>
    <w:rsid w:val="004B6AC9"/>
    <w:rsid w:val="004B6DCB"/>
    <w:rsid w:val="004C009D"/>
    <w:rsid w:val="004C0303"/>
    <w:rsid w:val="004C0486"/>
    <w:rsid w:val="004C05AA"/>
    <w:rsid w:val="004C0904"/>
    <w:rsid w:val="004C17B5"/>
    <w:rsid w:val="004C2655"/>
    <w:rsid w:val="004C2814"/>
    <w:rsid w:val="004C4136"/>
    <w:rsid w:val="004C4A42"/>
    <w:rsid w:val="004C5131"/>
    <w:rsid w:val="004D00CE"/>
    <w:rsid w:val="004D05C7"/>
    <w:rsid w:val="004D0DB5"/>
    <w:rsid w:val="004D0E9F"/>
    <w:rsid w:val="004D19FD"/>
    <w:rsid w:val="004D1D89"/>
    <w:rsid w:val="004D206C"/>
    <w:rsid w:val="004D3706"/>
    <w:rsid w:val="004D3971"/>
    <w:rsid w:val="004D5191"/>
    <w:rsid w:val="004D5757"/>
    <w:rsid w:val="004D59F6"/>
    <w:rsid w:val="004D7622"/>
    <w:rsid w:val="004D7C0B"/>
    <w:rsid w:val="004D7C17"/>
    <w:rsid w:val="004E0652"/>
    <w:rsid w:val="004E0C17"/>
    <w:rsid w:val="004E112A"/>
    <w:rsid w:val="004E179C"/>
    <w:rsid w:val="004E187F"/>
    <w:rsid w:val="004E2AAF"/>
    <w:rsid w:val="004E334C"/>
    <w:rsid w:val="004E43F7"/>
    <w:rsid w:val="004E49C0"/>
    <w:rsid w:val="004E5FC9"/>
    <w:rsid w:val="004E6401"/>
    <w:rsid w:val="004E659F"/>
    <w:rsid w:val="004E70BF"/>
    <w:rsid w:val="004E73EB"/>
    <w:rsid w:val="004E7895"/>
    <w:rsid w:val="004F0BEC"/>
    <w:rsid w:val="004F11AE"/>
    <w:rsid w:val="004F22D9"/>
    <w:rsid w:val="004F349F"/>
    <w:rsid w:val="004F50E3"/>
    <w:rsid w:val="004F5FDE"/>
    <w:rsid w:val="004F6289"/>
    <w:rsid w:val="004F7554"/>
    <w:rsid w:val="004F776E"/>
    <w:rsid w:val="0050015D"/>
    <w:rsid w:val="00500289"/>
    <w:rsid w:val="00500BA9"/>
    <w:rsid w:val="0050240D"/>
    <w:rsid w:val="00502604"/>
    <w:rsid w:val="0050263B"/>
    <w:rsid w:val="00502CAC"/>
    <w:rsid w:val="00502E7A"/>
    <w:rsid w:val="0050342B"/>
    <w:rsid w:val="00503E9D"/>
    <w:rsid w:val="00504002"/>
    <w:rsid w:val="0050613F"/>
    <w:rsid w:val="00506DC4"/>
    <w:rsid w:val="00507A56"/>
    <w:rsid w:val="005100D7"/>
    <w:rsid w:val="005109D8"/>
    <w:rsid w:val="00510BC0"/>
    <w:rsid w:val="00511264"/>
    <w:rsid w:val="00512849"/>
    <w:rsid w:val="00512D6F"/>
    <w:rsid w:val="005139B3"/>
    <w:rsid w:val="00514477"/>
    <w:rsid w:val="00516246"/>
    <w:rsid w:val="005168FB"/>
    <w:rsid w:val="00516D1A"/>
    <w:rsid w:val="0051736F"/>
    <w:rsid w:val="005174A0"/>
    <w:rsid w:val="00517654"/>
    <w:rsid w:val="005211B2"/>
    <w:rsid w:val="00521316"/>
    <w:rsid w:val="005213EF"/>
    <w:rsid w:val="00521FB8"/>
    <w:rsid w:val="0052248B"/>
    <w:rsid w:val="00522DD3"/>
    <w:rsid w:val="00523EA8"/>
    <w:rsid w:val="00525B16"/>
    <w:rsid w:val="00525DF8"/>
    <w:rsid w:val="005260CE"/>
    <w:rsid w:val="0052683C"/>
    <w:rsid w:val="00526874"/>
    <w:rsid w:val="00527A99"/>
    <w:rsid w:val="005315FF"/>
    <w:rsid w:val="0053201F"/>
    <w:rsid w:val="005329D5"/>
    <w:rsid w:val="00533F88"/>
    <w:rsid w:val="00534079"/>
    <w:rsid w:val="005346A5"/>
    <w:rsid w:val="00535959"/>
    <w:rsid w:val="00536615"/>
    <w:rsid w:val="00536A09"/>
    <w:rsid w:val="00536AD6"/>
    <w:rsid w:val="00537A5A"/>
    <w:rsid w:val="00537E25"/>
    <w:rsid w:val="005402F2"/>
    <w:rsid w:val="00540D2A"/>
    <w:rsid w:val="00540DF3"/>
    <w:rsid w:val="0054103A"/>
    <w:rsid w:val="005411A5"/>
    <w:rsid w:val="00541DE1"/>
    <w:rsid w:val="0054218E"/>
    <w:rsid w:val="00542C1F"/>
    <w:rsid w:val="00542E03"/>
    <w:rsid w:val="00543ED3"/>
    <w:rsid w:val="00544A07"/>
    <w:rsid w:val="00545AC7"/>
    <w:rsid w:val="0054643B"/>
    <w:rsid w:val="005467C8"/>
    <w:rsid w:val="005469BC"/>
    <w:rsid w:val="005469E1"/>
    <w:rsid w:val="00546F4D"/>
    <w:rsid w:val="00551383"/>
    <w:rsid w:val="00551E7D"/>
    <w:rsid w:val="005520D7"/>
    <w:rsid w:val="00552165"/>
    <w:rsid w:val="00552F88"/>
    <w:rsid w:val="005531B3"/>
    <w:rsid w:val="005531C3"/>
    <w:rsid w:val="00553D65"/>
    <w:rsid w:val="00554A7A"/>
    <w:rsid w:val="005555C6"/>
    <w:rsid w:val="0055564A"/>
    <w:rsid w:val="00555C17"/>
    <w:rsid w:val="00555EA3"/>
    <w:rsid w:val="00556C5A"/>
    <w:rsid w:val="00556FED"/>
    <w:rsid w:val="00557542"/>
    <w:rsid w:val="00557F87"/>
    <w:rsid w:val="00560DAD"/>
    <w:rsid w:val="00560E4F"/>
    <w:rsid w:val="0056163E"/>
    <w:rsid w:val="005623A5"/>
    <w:rsid w:val="0056295A"/>
    <w:rsid w:val="00563B51"/>
    <w:rsid w:val="005644ED"/>
    <w:rsid w:val="00564557"/>
    <w:rsid w:val="0056476D"/>
    <w:rsid w:val="00565297"/>
    <w:rsid w:val="005653EB"/>
    <w:rsid w:val="00565431"/>
    <w:rsid w:val="005656FD"/>
    <w:rsid w:val="00566773"/>
    <w:rsid w:val="00566FAC"/>
    <w:rsid w:val="00567582"/>
    <w:rsid w:val="00567E6A"/>
    <w:rsid w:val="00570526"/>
    <w:rsid w:val="00571085"/>
    <w:rsid w:val="00571B78"/>
    <w:rsid w:val="00572139"/>
    <w:rsid w:val="005722A5"/>
    <w:rsid w:val="005725AC"/>
    <w:rsid w:val="005728BC"/>
    <w:rsid w:val="00572A09"/>
    <w:rsid w:val="00572D4A"/>
    <w:rsid w:val="005731E5"/>
    <w:rsid w:val="00573332"/>
    <w:rsid w:val="005733DA"/>
    <w:rsid w:val="005736C0"/>
    <w:rsid w:val="00574F93"/>
    <w:rsid w:val="00575186"/>
    <w:rsid w:val="005764AD"/>
    <w:rsid w:val="00576DCF"/>
    <w:rsid w:val="00576E80"/>
    <w:rsid w:val="00577049"/>
    <w:rsid w:val="00577412"/>
    <w:rsid w:val="005801E4"/>
    <w:rsid w:val="00580BF2"/>
    <w:rsid w:val="00580D05"/>
    <w:rsid w:val="00583D2C"/>
    <w:rsid w:val="005842A7"/>
    <w:rsid w:val="0058481D"/>
    <w:rsid w:val="00585034"/>
    <w:rsid w:val="00585A6E"/>
    <w:rsid w:val="00585D65"/>
    <w:rsid w:val="00585E88"/>
    <w:rsid w:val="0058674A"/>
    <w:rsid w:val="0058703C"/>
    <w:rsid w:val="00587361"/>
    <w:rsid w:val="005873D7"/>
    <w:rsid w:val="00590149"/>
    <w:rsid w:val="005906F8"/>
    <w:rsid w:val="00590F41"/>
    <w:rsid w:val="00591027"/>
    <w:rsid w:val="00591F8E"/>
    <w:rsid w:val="00592419"/>
    <w:rsid w:val="005924E5"/>
    <w:rsid w:val="00592EA1"/>
    <w:rsid w:val="0059395F"/>
    <w:rsid w:val="00594A0E"/>
    <w:rsid w:val="00594AE6"/>
    <w:rsid w:val="00594C0F"/>
    <w:rsid w:val="00594C7C"/>
    <w:rsid w:val="00595205"/>
    <w:rsid w:val="005968AA"/>
    <w:rsid w:val="00596E66"/>
    <w:rsid w:val="00597018"/>
    <w:rsid w:val="005A03A0"/>
    <w:rsid w:val="005A0827"/>
    <w:rsid w:val="005A192C"/>
    <w:rsid w:val="005A1A24"/>
    <w:rsid w:val="005A1E3E"/>
    <w:rsid w:val="005A20D1"/>
    <w:rsid w:val="005A2660"/>
    <w:rsid w:val="005A374E"/>
    <w:rsid w:val="005A37A7"/>
    <w:rsid w:val="005A3F56"/>
    <w:rsid w:val="005A4509"/>
    <w:rsid w:val="005A4D94"/>
    <w:rsid w:val="005A549A"/>
    <w:rsid w:val="005A58D5"/>
    <w:rsid w:val="005A7A90"/>
    <w:rsid w:val="005B08C5"/>
    <w:rsid w:val="005B1776"/>
    <w:rsid w:val="005B1A0C"/>
    <w:rsid w:val="005B1E16"/>
    <w:rsid w:val="005B219A"/>
    <w:rsid w:val="005B2FBB"/>
    <w:rsid w:val="005B3C38"/>
    <w:rsid w:val="005B5552"/>
    <w:rsid w:val="005B5F75"/>
    <w:rsid w:val="005B6282"/>
    <w:rsid w:val="005B660C"/>
    <w:rsid w:val="005B7117"/>
    <w:rsid w:val="005B71F2"/>
    <w:rsid w:val="005C0370"/>
    <w:rsid w:val="005C0F10"/>
    <w:rsid w:val="005C177D"/>
    <w:rsid w:val="005C26DF"/>
    <w:rsid w:val="005C26F7"/>
    <w:rsid w:val="005C3ECE"/>
    <w:rsid w:val="005C3FC4"/>
    <w:rsid w:val="005C4450"/>
    <w:rsid w:val="005C4471"/>
    <w:rsid w:val="005C4499"/>
    <w:rsid w:val="005C4C3E"/>
    <w:rsid w:val="005C53BA"/>
    <w:rsid w:val="005C54A3"/>
    <w:rsid w:val="005C57C1"/>
    <w:rsid w:val="005C5A0D"/>
    <w:rsid w:val="005C685E"/>
    <w:rsid w:val="005C6A1C"/>
    <w:rsid w:val="005C6E15"/>
    <w:rsid w:val="005C6FE4"/>
    <w:rsid w:val="005C7FE6"/>
    <w:rsid w:val="005D1260"/>
    <w:rsid w:val="005D17AB"/>
    <w:rsid w:val="005D1A74"/>
    <w:rsid w:val="005D20D8"/>
    <w:rsid w:val="005D2619"/>
    <w:rsid w:val="005D33A4"/>
    <w:rsid w:val="005D4782"/>
    <w:rsid w:val="005D69E8"/>
    <w:rsid w:val="005D6CAD"/>
    <w:rsid w:val="005D6CDA"/>
    <w:rsid w:val="005D73CA"/>
    <w:rsid w:val="005D7489"/>
    <w:rsid w:val="005D75A9"/>
    <w:rsid w:val="005D7CF6"/>
    <w:rsid w:val="005E03BE"/>
    <w:rsid w:val="005E0486"/>
    <w:rsid w:val="005E131E"/>
    <w:rsid w:val="005E1DE7"/>
    <w:rsid w:val="005E24D5"/>
    <w:rsid w:val="005E2B6D"/>
    <w:rsid w:val="005E4671"/>
    <w:rsid w:val="005E5FB9"/>
    <w:rsid w:val="005E667C"/>
    <w:rsid w:val="005E6869"/>
    <w:rsid w:val="005E6F55"/>
    <w:rsid w:val="005E7049"/>
    <w:rsid w:val="005F1179"/>
    <w:rsid w:val="005F2B6B"/>
    <w:rsid w:val="005F45C7"/>
    <w:rsid w:val="005F46EA"/>
    <w:rsid w:val="005F5068"/>
    <w:rsid w:val="005F6700"/>
    <w:rsid w:val="005F6AB5"/>
    <w:rsid w:val="005F75A5"/>
    <w:rsid w:val="005F78C9"/>
    <w:rsid w:val="005F7A4D"/>
    <w:rsid w:val="005F7B82"/>
    <w:rsid w:val="006003A6"/>
    <w:rsid w:val="0060125D"/>
    <w:rsid w:val="00601830"/>
    <w:rsid w:val="00601B84"/>
    <w:rsid w:val="00601EE7"/>
    <w:rsid w:val="00602EE4"/>
    <w:rsid w:val="006044C2"/>
    <w:rsid w:val="006046F8"/>
    <w:rsid w:val="00605855"/>
    <w:rsid w:val="006073A6"/>
    <w:rsid w:val="0060756A"/>
    <w:rsid w:val="00607833"/>
    <w:rsid w:val="00607C3E"/>
    <w:rsid w:val="0061038E"/>
    <w:rsid w:val="00610737"/>
    <w:rsid w:val="00612046"/>
    <w:rsid w:val="00612313"/>
    <w:rsid w:val="00612653"/>
    <w:rsid w:val="00612934"/>
    <w:rsid w:val="00613152"/>
    <w:rsid w:val="006135A4"/>
    <w:rsid w:val="0061387F"/>
    <w:rsid w:val="00613A26"/>
    <w:rsid w:val="006142BA"/>
    <w:rsid w:val="00614A35"/>
    <w:rsid w:val="00614C35"/>
    <w:rsid w:val="00614C7D"/>
    <w:rsid w:val="00615106"/>
    <w:rsid w:val="00615A50"/>
    <w:rsid w:val="00616350"/>
    <w:rsid w:val="00617A45"/>
    <w:rsid w:val="006205FF"/>
    <w:rsid w:val="00620CE9"/>
    <w:rsid w:val="00621311"/>
    <w:rsid w:val="006217DA"/>
    <w:rsid w:val="00622A8B"/>
    <w:rsid w:val="006233F1"/>
    <w:rsid w:val="00623BE9"/>
    <w:rsid w:val="00623C4C"/>
    <w:rsid w:val="0062416A"/>
    <w:rsid w:val="00624CE9"/>
    <w:rsid w:val="00624EC5"/>
    <w:rsid w:val="0062502B"/>
    <w:rsid w:val="00625712"/>
    <w:rsid w:val="00625800"/>
    <w:rsid w:val="006263A1"/>
    <w:rsid w:val="00626711"/>
    <w:rsid w:val="00626899"/>
    <w:rsid w:val="00627711"/>
    <w:rsid w:val="00627C0F"/>
    <w:rsid w:val="00627C5D"/>
    <w:rsid w:val="00630120"/>
    <w:rsid w:val="006310AC"/>
    <w:rsid w:val="0063179A"/>
    <w:rsid w:val="00631966"/>
    <w:rsid w:val="00631AB4"/>
    <w:rsid w:val="00632F22"/>
    <w:rsid w:val="0063312B"/>
    <w:rsid w:val="0063312D"/>
    <w:rsid w:val="0063471E"/>
    <w:rsid w:val="00635242"/>
    <w:rsid w:val="0063529D"/>
    <w:rsid w:val="0063624E"/>
    <w:rsid w:val="006364A1"/>
    <w:rsid w:val="00636AFF"/>
    <w:rsid w:val="00636B43"/>
    <w:rsid w:val="0063768B"/>
    <w:rsid w:val="006377F4"/>
    <w:rsid w:val="00637C44"/>
    <w:rsid w:val="00637DB9"/>
    <w:rsid w:val="00637F2D"/>
    <w:rsid w:val="00640ECF"/>
    <w:rsid w:val="006412D7"/>
    <w:rsid w:val="006418E4"/>
    <w:rsid w:val="00641DE4"/>
    <w:rsid w:val="00641F74"/>
    <w:rsid w:val="006424C7"/>
    <w:rsid w:val="006426C1"/>
    <w:rsid w:val="00642CA6"/>
    <w:rsid w:val="0064306C"/>
    <w:rsid w:val="00643276"/>
    <w:rsid w:val="00643C4F"/>
    <w:rsid w:val="00643F2C"/>
    <w:rsid w:val="0064402B"/>
    <w:rsid w:val="00644661"/>
    <w:rsid w:val="00644674"/>
    <w:rsid w:val="0064565B"/>
    <w:rsid w:val="006456CC"/>
    <w:rsid w:val="006458B4"/>
    <w:rsid w:val="006508AB"/>
    <w:rsid w:val="00650CD0"/>
    <w:rsid w:val="00650EE8"/>
    <w:rsid w:val="0065275E"/>
    <w:rsid w:val="006527C0"/>
    <w:rsid w:val="00652FF8"/>
    <w:rsid w:val="00654722"/>
    <w:rsid w:val="00656DCC"/>
    <w:rsid w:val="006570CD"/>
    <w:rsid w:val="006577D7"/>
    <w:rsid w:val="00657BFB"/>
    <w:rsid w:val="00657E80"/>
    <w:rsid w:val="00661846"/>
    <w:rsid w:val="00661A8E"/>
    <w:rsid w:val="00662DE6"/>
    <w:rsid w:val="00665CD9"/>
    <w:rsid w:val="00665E8A"/>
    <w:rsid w:val="006664CF"/>
    <w:rsid w:val="006679A5"/>
    <w:rsid w:val="00667E9B"/>
    <w:rsid w:val="00670067"/>
    <w:rsid w:val="00670B39"/>
    <w:rsid w:val="00670F15"/>
    <w:rsid w:val="00671FD1"/>
    <w:rsid w:val="00673724"/>
    <w:rsid w:val="00673B2E"/>
    <w:rsid w:val="00673E7C"/>
    <w:rsid w:val="006747A0"/>
    <w:rsid w:val="00675028"/>
    <w:rsid w:val="00675950"/>
    <w:rsid w:val="00675C89"/>
    <w:rsid w:val="006767B4"/>
    <w:rsid w:val="00676E0E"/>
    <w:rsid w:val="00676F50"/>
    <w:rsid w:val="006775BE"/>
    <w:rsid w:val="00677E50"/>
    <w:rsid w:val="00677ECC"/>
    <w:rsid w:val="006808AB"/>
    <w:rsid w:val="00681607"/>
    <w:rsid w:val="00682002"/>
    <w:rsid w:val="0068252B"/>
    <w:rsid w:val="006831F1"/>
    <w:rsid w:val="006843E9"/>
    <w:rsid w:val="00684573"/>
    <w:rsid w:val="0068485D"/>
    <w:rsid w:val="00685A97"/>
    <w:rsid w:val="0068644D"/>
    <w:rsid w:val="0068762C"/>
    <w:rsid w:val="00687C8E"/>
    <w:rsid w:val="00687E5F"/>
    <w:rsid w:val="00690E0B"/>
    <w:rsid w:val="00690E40"/>
    <w:rsid w:val="00691CFB"/>
    <w:rsid w:val="0069263C"/>
    <w:rsid w:val="006937BD"/>
    <w:rsid w:val="00693E10"/>
    <w:rsid w:val="0069401D"/>
    <w:rsid w:val="00694622"/>
    <w:rsid w:val="0069491F"/>
    <w:rsid w:val="00694F21"/>
    <w:rsid w:val="00696E1A"/>
    <w:rsid w:val="0069768C"/>
    <w:rsid w:val="00697715"/>
    <w:rsid w:val="006A11B7"/>
    <w:rsid w:val="006A11FA"/>
    <w:rsid w:val="006A13CF"/>
    <w:rsid w:val="006A1640"/>
    <w:rsid w:val="006A19CF"/>
    <w:rsid w:val="006A2F05"/>
    <w:rsid w:val="006A32CE"/>
    <w:rsid w:val="006A3800"/>
    <w:rsid w:val="006A3950"/>
    <w:rsid w:val="006A4004"/>
    <w:rsid w:val="006A41AE"/>
    <w:rsid w:val="006A5BFE"/>
    <w:rsid w:val="006A6F6A"/>
    <w:rsid w:val="006A6F72"/>
    <w:rsid w:val="006A79D2"/>
    <w:rsid w:val="006B1ADD"/>
    <w:rsid w:val="006B2EDD"/>
    <w:rsid w:val="006B3845"/>
    <w:rsid w:val="006B495A"/>
    <w:rsid w:val="006B5ADF"/>
    <w:rsid w:val="006B64A2"/>
    <w:rsid w:val="006B7249"/>
    <w:rsid w:val="006B7B4B"/>
    <w:rsid w:val="006B7DE3"/>
    <w:rsid w:val="006C1E05"/>
    <w:rsid w:val="006C1FAC"/>
    <w:rsid w:val="006C2049"/>
    <w:rsid w:val="006C2352"/>
    <w:rsid w:val="006C24B6"/>
    <w:rsid w:val="006C25AC"/>
    <w:rsid w:val="006C29B6"/>
    <w:rsid w:val="006C3040"/>
    <w:rsid w:val="006C3588"/>
    <w:rsid w:val="006C360A"/>
    <w:rsid w:val="006C3999"/>
    <w:rsid w:val="006C3CE1"/>
    <w:rsid w:val="006C47EA"/>
    <w:rsid w:val="006C5F5C"/>
    <w:rsid w:val="006C5F81"/>
    <w:rsid w:val="006C7C7B"/>
    <w:rsid w:val="006D06EC"/>
    <w:rsid w:val="006D081E"/>
    <w:rsid w:val="006D0C16"/>
    <w:rsid w:val="006D0E42"/>
    <w:rsid w:val="006D1130"/>
    <w:rsid w:val="006D119D"/>
    <w:rsid w:val="006D1207"/>
    <w:rsid w:val="006D1A6A"/>
    <w:rsid w:val="006D2956"/>
    <w:rsid w:val="006D2995"/>
    <w:rsid w:val="006D358A"/>
    <w:rsid w:val="006D36AD"/>
    <w:rsid w:val="006D39F3"/>
    <w:rsid w:val="006D4648"/>
    <w:rsid w:val="006D471D"/>
    <w:rsid w:val="006D5027"/>
    <w:rsid w:val="006D57A1"/>
    <w:rsid w:val="006D65D6"/>
    <w:rsid w:val="006D7197"/>
    <w:rsid w:val="006D7361"/>
    <w:rsid w:val="006D7F17"/>
    <w:rsid w:val="006D7FC7"/>
    <w:rsid w:val="006E049D"/>
    <w:rsid w:val="006E092E"/>
    <w:rsid w:val="006E0F76"/>
    <w:rsid w:val="006E1D38"/>
    <w:rsid w:val="006E1E6B"/>
    <w:rsid w:val="006E2ABC"/>
    <w:rsid w:val="006E2C9B"/>
    <w:rsid w:val="006E3D38"/>
    <w:rsid w:val="006E45FC"/>
    <w:rsid w:val="006E4B7C"/>
    <w:rsid w:val="006E4B9C"/>
    <w:rsid w:val="006E5E05"/>
    <w:rsid w:val="006E647B"/>
    <w:rsid w:val="006E6609"/>
    <w:rsid w:val="006E6C3C"/>
    <w:rsid w:val="006E70F1"/>
    <w:rsid w:val="006F0329"/>
    <w:rsid w:val="006F0B50"/>
    <w:rsid w:val="006F1CA2"/>
    <w:rsid w:val="006F223A"/>
    <w:rsid w:val="006F27DE"/>
    <w:rsid w:val="006F29AA"/>
    <w:rsid w:val="006F324D"/>
    <w:rsid w:val="006F375C"/>
    <w:rsid w:val="006F3763"/>
    <w:rsid w:val="006F3F0C"/>
    <w:rsid w:val="006F40F7"/>
    <w:rsid w:val="006F4A52"/>
    <w:rsid w:val="006F51A3"/>
    <w:rsid w:val="006F5878"/>
    <w:rsid w:val="006F6883"/>
    <w:rsid w:val="006F6C92"/>
    <w:rsid w:val="006F6E88"/>
    <w:rsid w:val="006F7841"/>
    <w:rsid w:val="0070060E"/>
    <w:rsid w:val="00701798"/>
    <w:rsid w:val="00701CBE"/>
    <w:rsid w:val="00702047"/>
    <w:rsid w:val="00702D11"/>
    <w:rsid w:val="0070332B"/>
    <w:rsid w:val="00703B41"/>
    <w:rsid w:val="007043AC"/>
    <w:rsid w:val="00704F14"/>
    <w:rsid w:val="0070547F"/>
    <w:rsid w:val="00705485"/>
    <w:rsid w:val="00706A98"/>
    <w:rsid w:val="00706B23"/>
    <w:rsid w:val="00707C57"/>
    <w:rsid w:val="00707D3E"/>
    <w:rsid w:val="00710009"/>
    <w:rsid w:val="0071002C"/>
    <w:rsid w:val="00711965"/>
    <w:rsid w:val="00712478"/>
    <w:rsid w:val="00712780"/>
    <w:rsid w:val="00712827"/>
    <w:rsid w:val="00712EA0"/>
    <w:rsid w:val="00713F00"/>
    <w:rsid w:val="00715339"/>
    <w:rsid w:val="00715380"/>
    <w:rsid w:val="00715427"/>
    <w:rsid w:val="007157B1"/>
    <w:rsid w:val="007163B5"/>
    <w:rsid w:val="007164AD"/>
    <w:rsid w:val="0071761D"/>
    <w:rsid w:val="00720226"/>
    <w:rsid w:val="007205B1"/>
    <w:rsid w:val="007207E9"/>
    <w:rsid w:val="0072083E"/>
    <w:rsid w:val="00721DBA"/>
    <w:rsid w:val="00722061"/>
    <w:rsid w:val="007220D8"/>
    <w:rsid w:val="007229D6"/>
    <w:rsid w:val="00722A48"/>
    <w:rsid w:val="007231A1"/>
    <w:rsid w:val="00723A15"/>
    <w:rsid w:val="00723AF7"/>
    <w:rsid w:val="00724212"/>
    <w:rsid w:val="00724399"/>
    <w:rsid w:val="0072491E"/>
    <w:rsid w:val="00724BA0"/>
    <w:rsid w:val="00725B70"/>
    <w:rsid w:val="00727296"/>
    <w:rsid w:val="00727843"/>
    <w:rsid w:val="00732466"/>
    <w:rsid w:val="00732E42"/>
    <w:rsid w:val="00732F7C"/>
    <w:rsid w:val="007330FA"/>
    <w:rsid w:val="007332FF"/>
    <w:rsid w:val="0073539F"/>
    <w:rsid w:val="00735E9B"/>
    <w:rsid w:val="00735F96"/>
    <w:rsid w:val="00737A54"/>
    <w:rsid w:val="00737FFC"/>
    <w:rsid w:val="00740941"/>
    <w:rsid w:val="00740CDF"/>
    <w:rsid w:val="00741093"/>
    <w:rsid w:val="007420B7"/>
    <w:rsid w:val="007427A0"/>
    <w:rsid w:val="007428FF"/>
    <w:rsid w:val="00742BC2"/>
    <w:rsid w:val="00743B55"/>
    <w:rsid w:val="0074428F"/>
    <w:rsid w:val="00745C5F"/>
    <w:rsid w:val="00745D46"/>
    <w:rsid w:val="00746F8C"/>
    <w:rsid w:val="007479BB"/>
    <w:rsid w:val="00747F18"/>
    <w:rsid w:val="007506BA"/>
    <w:rsid w:val="00750CF1"/>
    <w:rsid w:val="00751125"/>
    <w:rsid w:val="007515FB"/>
    <w:rsid w:val="00751FF6"/>
    <w:rsid w:val="00752B35"/>
    <w:rsid w:val="00753C1E"/>
    <w:rsid w:val="00753E3F"/>
    <w:rsid w:val="00754142"/>
    <w:rsid w:val="00754413"/>
    <w:rsid w:val="00754A98"/>
    <w:rsid w:val="0075514D"/>
    <w:rsid w:val="00755E13"/>
    <w:rsid w:val="007561C7"/>
    <w:rsid w:val="00756A33"/>
    <w:rsid w:val="00756C82"/>
    <w:rsid w:val="00756FA6"/>
    <w:rsid w:val="00756FD6"/>
    <w:rsid w:val="00757401"/>
    <w:rsid w:val="00757646"/>
    <w:rsid w:val="00760456"/>
    <w:rsid w:val="0076065C"/>
    <w:rsid w:val="007607BD"/>
    <w:rsid w:val="00761C74"/>
    <w:rsid w:val="00762CED"/>
    <w:rsid w:val="00763C64"/>
    <w:rsid w:val="007643A2"/>
    <w:rsid w:val="00765A23"/>
    <w:rsid w:val="00767234"/>
    <w:rsid w:val="00767C19"/>
    <w:rsid w:val="007705EF"/>
    <w:rsid w:val="00770CEA"/>
    <w:rsid w:val="00771047"/>
    <w:rsid w:val="0077140A"/>
    <w:rsid w:val="00771554"/>
    <w:rsid w:val="0077163B"/>
    <w:rsid w:val="0077205A"/>
    <w:rsid w:val="00772CAE"/>
    <w:rsid w:val="00772CCE"/>
    <w:rsid w:val="00772F5F"/>
    <w:rsid w:val="00773A8B"/>
    <w:rsid w:val="00773C1C"/>
    <w:rsid w:val="007741F6"/>
    <w:rsid w:val="007742AA"/>
    <w:rsid w:val="007773EA"/>
    <w:rsid w:val="00777E87"/>
    <w:rsid w:val="00780102"/>
    <w:rsid w:val="0078040D"/>
    <w:rsid w:val="007828F6"/>
    <w:rsid w:val="007834AE"/>
    <w:rsid w:val="00783B3B"/>
    <w:rsid w:val="007842B7"/>
    <w:rsid w:val="00784495"/>
    <w:rsid w:val="00784758"/>
    <w:rsid w:val="0078477E"/>
    <w:rsid w:val="00784C9A"/>
    <w:rsid w:val="00785286"/>
    <w:rsid w:val="007862EF"/>
    <w:rsid w:val="0078662E"/>
    <w:rsid w:val="00786A27"/>
    <w:rsid w:val="00786AF8"/>
    <w:rsid w:val="00786F7C"/>
    <w:rsid w:val="0078704C"/>
    <w:rsid w:val="00787EA8"/>
    <w:rsid w:val="00790048"/>
    <w:rsid w:val="0079073C"/>
    <w:rsid w:val="00790A5C"/>
    <w:rsid w:val="00790B26"/>
    <w:rsid w:val="00791F52"/>
    <w:rsid w:val="007921CF"/>
    <w:rsid w:val="0079242C"/>
    <w:rsid w:val="007926F5"/>
    <w:rsid w:val="00792AA3"/>
    <w:rsid w:val="00792D92"/>
    <w:rsid w:val="00793169"/>
    <w:rsid w:val="00793645"/>
    <w:rsid w:val="00793749"/>
    <w:rsid w:val="00794FB2"/>
    <w:rsid w:val="00795710"/>
    <w:rsid w:val="00795FB5"/>
    <w:rsid w:val="0079655A"/>
    <w:rsid w:val="0079666F"/>
    <w:rsid w:val="00797440"/>
    <w:rsid w:val="007A24CF"/>
    <w:rsid w:val="007A2660"/>
    <w:rsid w:val="007A2F22"/>
    <w:rsid w:val="007A36E5"/>
    <w:rsid w:val="007A3CD4"/>
    <w:rsid w:val="007A3E5D"/>
    <w:rsid w:val="007A4471"/>
    <w:rsid w:val="007A59D1"/>
    <w:rsid w:val="007A5F32"/>
    <w:rsid w:val="007A60C0"/>
    <w:rsid w:val="007A650B"/>
    <w:rsid w:val="007A79CD"/>
    <w:rsid w:val="007A7AC3"/>
    <w:rsid w:val="007B08B1"/>
    <w:rsid w:val="007B0AEB"/>
    <w:rsid w:val="007B0B18"/>
    <w:rsid w:val="007B0CD8"/>
    <w:rsid w:val="007B0DC5"/>
    <w:rsid w:val="007B1D34"/>
    <w:rsid w:val="007B283D"/>
    <w:rsid w:val="007B309C"/>
    <w:rsid w:val="007B488C"/>
    <w:rsid w:val="007B54C4"/>
    <w:rsid w:val="007B5C3D"/>
    <w:rsid w:val="007B5FC1"/>
    <w:rsid w:val="007B6478"/>
    <w:rsid w:val="007B677E"/>
    <w:rsid w:val="007C0A2C"/>
    <w:rsid w:val="007C0EC7"/>
    <w:rsid w:val="007C11D0"/>
    <w:rsid w:val="007C25AF"/>
    <w:rsid w:val="007C29B6"/>
    <w:rsid w:val="007C2A99"/>
    <w:rsid w:val="007C39CA"/>
    <w:rsid w:val="007C4401"/>
    <w:rsid w:val="007C4528"/>
    <w:rsid w:val="007C47B3"/>
    <w:rsid w:val="007C5055"/>
    <w:rsid w:val="007C5239"/>
    <w:rsid w:val="007C5756"/>
    <w:rsid w:val="007C6312"/>
    <w:rsid w:val="007C6424"/>
    <w:rsid w:val="007C645B"/>
    <w:rsid w:val="007C74EC"/>
    <w:rsid w:val="007C7AED"/>
    <w:rsid w:val="007D07C7"/>
    <w:rsid w:val="007D0968"/>
    <w:rsid w:val="007D13D5"/>
    <w:rsid w:val="007D1BD5"/>
    <w:rsid w:val="007D262D"/>
    <w:rsid w:val="007D2A5F"/>
    <w:rsid w:val="007D2DEA"/>
    <w:rsid w:val="007D32BB"/>
    <w:rsid w:val="007D3EF2"/>
    <w:rsid w:val="007D47E5"/>
    <w:rsid w:val="007D4AF9"/>
    <w:rsid w:val="007D5B81"/>
    <w:rsid w:val="007D5ECE"/>
    <w:rsid w:val="007D685A"/>
    <w:rsid w:val="007D6E61"/>
    <w:rsid w:val="007D6E64"/>
    <w:rsid w:val="007D6FFC"/>
    <w:rsid w:val="007D7DD9"/>
    <w:rsid w:val="007E085E"/>
    <w:rsid w:val="007E20A9"/>
    <w:rsid w:val="007E300C"/>
    <w:rsid w:val="007E359A"/>
    <w:rsid w:val="007E413B"/>
    <w:rsid w:val="007E42A3"/>
    <w:rsid w:val="007E52DE"/>
    <w:rsid w:val="007E5495"/>
    <w:rsid w:val="007E66C7"/>
    <w:rsid w:val="007E7631"/>
    <w:rsid w:val="007E7717"/>
    <w:rsid w:val="007E7958"/>
    <w:rsid w:val="007E7B56"/>
    <w:rsid w:val="007E7F22"/>
    <w:rsid w:val="007F0CEA"/>
    <w:rsid w:val="007F1103"/>
    <w:rsid w:val="007F133A"/>
    <w:rsid w:val="007F18EE"/>
    <w:rsid w:val="007F2823"/>
    <w:rsid w:val="007F29C0"/>
    <w:rsid w:val="007F34B8"/>
    <w:rsid w:val="007F46B2"/>
    <w:rsid w:val="007F472E"/>
    <w:rsid w:val="007F48D9"/>
    <w:rsid w:val="007F495F"/>
    <w:rsid w:val="007F4C50"/>
    <w:rsid w:val="007F6AEC"/>
    <w:rsid w:val="007F6C2E"/>
    <w:rsid w:val="007F6DA3"/>
    <w:rsid w:val="007F6FA9"/>
    <w:rsid w:val="007F702C"/>
    <w:rsid w:val="007F7755"/>
    <w:rsid w:val="007F776D"/>
    <w:rsid w:val="00800406"/>
    <w:rsid w:val="008005DB"/>
    <w:rsid w:val="00800C4C"/>
    <w:rsid w:val="008015C8"/>
    <w:rsid w:val="00801A28"/>
    <w:rsid w:val="00803E21"/>
    <w:rsid w:val="008044A4"/>
    <w:rsid w:val="008049A4"/>
    <w:rsid w:val="00805853"/>
    <w:rsid w:val="00805CC8"/>
    <w:rsid w:val="00805E1F"/>
    <w:rsid w:val="00806000"/>
    <w:rsid w:val="00806434"/>
    <w:rsid w:val="00806B71"/>
    <w:rsid w:val="0080715F"/>
    <w:rsid w:val="0080719C"/>
    <w:rsid w:val="00810396"/>
    <w:rsid w:val="0081053E"/>
    <w:rsid w:val="00810E31"/>
    <w:rsid w:val="008115A0"/>
    <w:rsid w:val="008117E2"/>
    <w:rsid w:val="00811F4E"/>
    <w:rsid w:val="00812DF0"/>
    <w:rsid w:val="00813337"/>
    <w:rsid w:val="00813561"/>
    <w:rsid w:val="00813869"/>
    <w:rsid w:val="008139CE"/>
    <w:rsid w:val="00814299"/>
    <w:rsid w:val="00814ABE"/>
    <w:rsid w:val="00815540"/>
    <w:rsid w:val="00815A23"/>
    <w:rsid w:val="00815AB5"/>
    <w:rsid w:val="00816BE1"/>
    <w:rsid w:val="00820AD3"/>
    <w:rsid w:val="00821E03"/>
    <w:rsid w:val="00822947"/>
    <w:rsid w:val="00823410"/>
    <w:rsid w:val="008237B7"/>
    <w:rsid w:val="00825495"/>
    <w:rsid w:val="008256AC"/>
    <w:rsid w:val="008261C5"/>
    <w:rsid w:val="00826B98"/>
    <w:rsid w:val="00826E3C"/>
    <w:rsid w:val="008270AD"/>
    <w:rsid w:val="0082783B"/>
    <w:rsid w:val="00827917"/>
    <w:rsid w:val="00827EEB"/>
    <w:rsid w:val="0083038C"/>
    <w:rsid w:val="00830F02"/>
    <w:rsid w:val="008313EE"/>
    <w:rsid w:val="00831477"/>
    <w:rsid w:val="008314F3"/>
    <w:rsid w:val="008317D4"/>
    <w:rsid w:val="00831C30"/>
    <w:rsid w:val="0083251E"/>
    <w:rsid w:val="00832950"/>
    <w:rsid w:val="00833B6A"/>
    <w:rsid w:val="00833D6F"/>
    <w:rsid w:val="00834811"/>
    <w:rsid w:val="008353CA"/>
    <w:rsid w:val="008373CC"/>
    <w:rsid w:val="00837534"/>
    <w:rsid w:val="00837691"/>
    <w:rsid w:val="00837E97"/>
    <w:rsid w:val="00840131"/>
    <w:rsid w:val="00841057"/>
    <w:rsid w:val="00841DE8"/>
    <w:rsid w:val="00842370"/>
    <w:rsid w:val="008433AD"/>
    <w:rsid w:val="00844B27"/>
    <w:rsid w:val="00844C0B"/>
    <w:rsid w:val="00844FBE"/>
    <w:rsid w:val="008451D2"/>
    <w:rsid w:val="00846E11"/>
    <w:rsid w:val="00847130"/>
    <w:rsid w:val="008473D8"/>
    <w:rsid w:val="00847403"/>
    <w:rsid w:val="008508CF"/>
    <w:rsid w:val="00850BCF"/>
    <w:rsid w:val="008511F7"/>
    <w:rsid w:val="0085182D"/>
    <w:rsid w:val="00851893"/>
    <w:rsid w:val="008518C9"/>
    <w:rsid w:val="00851A86"/>
    <w:rsid w:val="00851EC9"/>
    <w:rsid w:val="00852E97"/>
    <w:rsid w:val="008534E9"/>
    <w:rsid w:val="00853791"/>
    <w:rsid w:val="008544E1"/>
    <w:rsid w:val="008552B4"/>
    <w:rsid w:val="00856BAE"/>
    <w:rsid w:val="0085759F"/>
    <w:rsid w:val="008578D7"/>
    <w:rsid w:val="00860837"/>
    <w:rsid w:val="00861198"/>
    <w:rsid w:val="0086162F"/>
    <w:rsid w:val="00861E9E"/>
    <w:rsid w:val="00862BFC"/>
    <w:rsid w:val="00863643"/>
    <w:rsid w:val="00863751"/>
    <w:rsid w:val="00863DCC"/>
    <w:rsid w:val="0086466F"/>
    <w:rsid w:val="00864D73"/>
    <w:rsid w:val="00864FD3"/>
    <w:rsid w:val="00865370"/>
    <w:rsid w:val="00866816"/>
    <w:rsid w:val="0086689E"/>
    <w:rsid w:val="00867591"/>
    <w:rsid w:val="00867D02"/>
    <w:rsid w:val="0087072D"/>
    <w:rsid w:val="008710F3"/>
    <w:rsid w:val="008713A5"/>
    <w:rsid w:val="008728D9"/>
    <w:rsid w:val="00872AFA"/>
    <w:rsid w:val="00872F14"/>
    <w:rsid w:val="00873379"/>
    <w:rsid w:val="00874951"/>
    <w:rsid w:val="00874C36"/>
    <w:rsid w:val="00875DEC"/>
    <w:rsid w:val="0087616A"/>
    <w:rsid w:val="008765BE"/>
    <w:rsid w:val="0087663A"/>
    <w:rsid w:val="00876CBE"/>
    <w:rsid w:val="00876D0E"/>
    <w:rsid w:val="008774F8"/>
    <w:rsid w:val="0088058E"/>
    <w:rsid w:val="00880762"/>
    <w:rsid w:val="008816A4"/>
    <w:rsid w:val="0088172A"/>
    <w:rsid w:val="00881913"/>
    <w:rsid w:val="00882546"/>
    <w:rsid w:val="00882940"/>
    <w:rsid w:val="00883B0E"/>
    <w:rsid w:val="00885B67"/>
    <w:rsid w:val="00885EA1"/>
    <w:rsid w:val="00885F95"/>
    <w:rsid w:val="00886352"/>
    <w:rsid w:val="008867BC"/>
    <w:rsid w:val="00886812"/>
    <w:rsid w:val="0088718D"/>
    <w:rsid w:val="0088720E"/>
    <w:rsid w:val="0088745A"/>
    <w:rsid w:val="00887A8B"/>
    <w:rsid w:val="00887CA6"/>
    <w:rsid w:val="00890011"/>
    <w:rsid w:val="0089012A"/>
    <w:rsid w:val="0089137F"/>
    <w:rsid w:val="00891C75"/>
    <w:rsid w:val="0089217F"/>
    <w:rsid w:val="0089369A"/>
    <w:rsid w:val="00893CB2"/>
    <w:rsid w:val="008940DE"/>
    <w:rsid w:val="0089428C"/>
    <w:rsid w:val="00894790"/>
    <w:rsid w:val="0089515B"/>
    <w:rsid w:val="0089549F"/>
    <w:rsid w:val="00895C58"/>
    <w:rsid w:val="00897AC4"/>
    <w:rsid w:val="00897CE1"/>
    <w:rsid w:val="008A01F4"/>
    <w:rsid w:val="008A0EBD"/>
    <w:rsid w:val="008A0FEE"/>
    <w:rsid w:val="008A1B5D"/>
    <w:rsid w:val="008A1BC1"/>
    <w:rsid w:val="008A227D"/>
    <w:rsid w:val="008A2465"/>
    <w:rsid w:val="008A3FBB"/>
    <w:rsid w:val="008A4266"/>
    <w:rsid w:val="008A4364"/>
    <w:rsid w:val="008A4A19"/>
    <w:rsid w:val="008A4EC9"/>
    <w:rsid w:val="008A4F04"/>
    <w:rsid w:val="008A52B2"/>
    <w:rsid w:val="008A55BD"/>
    <w:rsid w:val="008A5665"/>
    <w:rsid w:val="008A75FC"/>
    <w:rsid w:val="008A7D5E"/>
    <w:rsid w:val="008A7E45"/>
    <w:rsid w:val="008B07A3"/>
    <w:rsid w:val="008B0863"/>
    <w:rsid w:val="008B0F53"/>
    <w:rsid w:val="008B12E0"/>
    <w:rsid w:val="008B20FF"/>
    <w:rsid w:val="008B22A5"/>
    <w:rsid w:val="008B281E"/>
    <w:rsid w:val="008B3342"/>
    <w:rsid w:val="008B3719"/>
    <w:rsid w:val="008B4410"/>
    <w:rsid w:val="008B44FD"/>
    <w:rsid w:val="008B45C7"/>
    <w:rsid w:val="008B4958"/>
    <w:rsid w:val="008B665C"/>
    <w:rsid w:val="008B6AA0"/>
    <w:rsid w:val="008B735B"/>
    <w:rsid w:val="008C1000"/>
    <w:rsid w:val="008C14BA"/>
    <w:rsid w:val="008C1589"/>
    <w:rsid w:val="008C1A25"/>
    <w:rsid w:val="008C1B9A"/>
    <w:rsid w:val="008C1F0D"/>
    <w:rsid w:val="008C25EE"/>
    <w:rsid w:val="008C45A2"/>
    <w:rsid w:val="008C4A89"/>
    <w:rsid w:val="008C54EA"/>
    <w:rsid w:val="008C771D"/>
    <w:rsid w:val="008D05AD"/>
    <w:rsid w:val="008D13C3"/>
    <w:rsid w:val="008D1829"/>
    <w:rsid w:val="008D1B0B"/>
    <w:rsid w:val="008D2140"/>
    <w:rsid w:val="008D287F"/>
    <w:rsid w:val="008D2C34"/>
    <w:rsid w:val="008D3E5D"/>
    <w:rsid w:val="008D49DC"/>
    <w:rsid w:val="008D5113"/>
    <w:rsid w:val="008D56FE"/>
    <w:rsid w:val="008D60D3"/>
    <w:rsid w:val="008D6116"/>
    <w:rsid w:val="008D6165"/>
    <w:rsid w:val="008D64DA"/>
    <w:rsid w:val="008D6661"/>
    <w:rsid w:val="008D7032"/>
    <w:rsid w:val="008D7BDA"/>
    <w:rsid w:val="008E0599"/>
    <w:rsid w:val="008E06C0"/>
    <w:rsid w:val="008E091E"/>
    <w:rsid w:val="008E09D9"/>
    <w:rsid w:val="008E1419"/>
    <w:rsid w:val="008E21D7"/>
    <w:rsid w:val="008E3FAD"/>
    <w:rsid w:val="008E47AA"/>
    <w:rsid w:val="008E54A0"/>
    <w:rsid w:val="008E6091"/>
    <w:rsid w:val="008E6461"/>
    <w:rsid w:val="008E6497"/>
    <w:rsid w:val="008E71CC"/>
    <w:rsid w:val="008F027F"/>
    <w:rsid w:val="008F0974"/>
    <w:rsid w:val="008F1573"/>
    <w:rsid w:val="008F183E"/>
    <w:rsid w:val="008F19A6"/>
    <w:rsid w:val="008F267C"/>
    <w:rsid w:val="008F4A5D"/>
    <w:rsid w:val="008F53D7"/>
    <w:rsid w:val="008F5A8D"/>
    <w:rsid w:val="008F5B36"/>
    <w:rsid w:val="008F5E0E"/>
    <w:rsid w:val="008F750F"/>
    <w:rsid w:val="008F7BB8"/>
    <w:rsid w:val="0090042A"/>
    <w:rsid w:val="00901D25"/>
    <w:rsid w:val="009020E2"/>
    <w:rsid w:val="00902E26"/>
    <w:rsid w:val="009036E2"/>
    <w:rsid w:val="00903897"/>
    <w:rsid w:val="00903D99"/>
    <w:rsid w:val="00904876"/>
    <w:rsid w:val="0090519F"/>
    <w:rsid w:val="009051F9"/>
    <w:rsid w:val="0090566A"/>
    <w:rsid w:val="009061C8"/>
    <w:rsid w:val="00906620"/>
    <w:rsid w:val="00910131"/>
    <w:rsid w:val="00911B4C"/>
    <w:rsid w:val="00912952"/>
    <w:rsid w:val="00912955"/>
    <w:rsid w:val="00912A16"/>
    <w:rsid w:val="00912B88"/>
    <w:rsid w:val="00912CE2"/>
    <w:rsid w:val="00912F71"/>
    <w:rsid w:val="009139EC"/>
    <w:rsid w:val="00913C38"/>
    <w:rsid w:val="00913F79"/>
    <w:rsid w:val="00914DAD"/>
    <w:rsid w:val="00914EF6"/>
    <w:rsid w:val="00915827"/>
    <w:rsid w:val="00916213"/>
    <w:rsid w:val="00916A5C"/>
    <w:rsid w:val="00916BBC"/>
    <w:rsid w:val="00916E21"/>
    <w:rsid w:val="00917266"/>
    <w:rsid w:val="00917658"/>
    <w:rsid w:val="00917E78"/>
    <w:rsid w:val="00917EAC"/>
    <w:rsid w:val="00920AAE"/>
    <w:rsid w:val="00920D4C"/>
    <w:rsid w:val="00920F8A"/>
    <w:rsid w:val="00921970"/>
    <w:rsid w:val="009222CF"/>
    <w:rsid w:val="0092293A"/>
    <w:rsid w:val="00922C47"/>
    <w:rsid w:val="00922ED1"/>
    <w:rsid w:val="00923D83"/>
    <w:rsid w:val="00924485"/>
    <w:rsid w:val="009251B8"/>
    <w:rsid w:val="00925656"/>
    <w:rsid w:val="00925E26"/>
    <w:rsid w:val="00925F43"/>
    <w:rsid w:val="00927065"/>
    <w:rsid w:val="00927B4E"/>
    <w:rsid w:val="00927C77"/>
    <w:rsid w:val="00927DFF"/>
    <w:rsid w:val="0093129F"/>
    <w:rsid w:val="009320B4"/>
    <w:rsid w:val="00932475"/>
    <w:rsid w:val="009324A0"/>
    <w:rsid w:val="0093547A"/>
    <w:rsid w:val="0093672C"/>
    <w:rsid w:val="00940700"/>
    <w:rsid w:val="00940830"/>
    <w:rsid w:val="00940897"/>
    <w:rsid w:val="00940E1A"/>
    <w:rsid w:val="00941218"/>
    <w:rsid w:val="00941312"/>
    <w:rsid w:val="0094181B"/>
    <w:rsid w:val="0094256B"/>
    <w:rsid w:val="00944449"/>
    <w:rsid w:val="00946BB8"/>
    <w:rsid w:val="00947376"/>
    <w:rsid w:val="00947630"/>
    <w:rsid w:val="00947953"/>
    <w:rsid w:val="0095006A"/>
    <w:rsid w:val="009501BC"/>
    <w:rsid w:val="00950813"/>
    <w:rsid w:val="009513D1"/>
    <w:rsid w:val="00951D56"/>
    <w:rsid w:val="0095204B"/>
    <w:rsid w:val="00952059"/>
    <w:rsid w:val="009521E8"/>
    <w:rsid w:val="0095253A"/>
    <w:rsid w:val="009526C5"/>
    <w:rsid w:val="00952853"/>
    <w:rsid w:val="00952A4C"/>
    <w:rsid w:val="00952BCC"/>
    <w:rsid w:val="00953B34"/>
    <w:rsid w:val="00954331"/>
    <w:rsid w:val="00954D8F"/>
    <w:rsid w:val="009554B1"/>
    <w:rsid w:val="0095606B"/>
    <w:rsid w:val="009562BD"/>
    <w:rsid w:val="00956359"/>
    <w:rsid w:val="00956620"/>
    <w:rsid w:val="0095676E"/>
    <w:rsid w:val="0095722A"/>
    <w:rsid w:val="009575FE"/>
    <w:rsid w:val="00957C0C"/>
    <w:rsid w:val="00957EF8"/>
    <w:rsid w:val="0096229B"/>
    <w:rsid w:val="00962621"/>
    <w:rsid w:val="00962B91"/>
    <w:rsid w:val="009644DA"/>
    <w:rsid w:val="009645D4"/>
    <w:rsid w:val="00965F05"/>
    <w:rsid w:val="009663DE"/>
    <w:rsid w:val="009678E8"/>
    <w:rsid w:val="0097036F"/>
    <w:rsid w:val="0097073C"/>
    <w:rsid w:val="009708FE"/>
    <w:rsid w:val="00970E52"/>
    <w:rsid w:val="00971490"/>
    <w:rsid w:val="009719D9"/>
    <w:rsid w:val="009721B3"/>
    <w:rsid w:val="00972D3A"/>
    <w:rsid w:val="00973EEA"/>
    <w:rsid w:val="009749BB"/>
    <w:rsid w:val="00975123"/>
    <w:rsid w:val="00975903"/>
    <w:rsid w:val="00976574"/>
    <w:rsid w:val="0097742F"/>
    <w:rsid w:val="009775FF"/>
    <w:rsid w:val="00980521"/>
    <w:rsid w:val="0098082E"/>
    <w:rsid w:val="00980D9A"/>
    <w:rsid w:val="0098192B"/>
    <w:rsid w:val="00981A19"/>
    <w:rsid w:val="00982322"/>
    <w:rsid w:val="009825EE"/>
    <w:rsid w:val="0098481A"/>
    <w:rsid w:val="0098540E"/>
    <w:rsid w:val="0098557B"/>
    <w:rsid w:val="00985959"/>
    <w:rsid w:val="0098620D"/>
    <w:rsid w:val="009865E1"/>
    <w:rsid w:val="009869FD"/>
    <w:rsid w:val="00987716"/>
    <w:rsid w:val="00990AE6"/>
    <w:rsid w:val="00990F48"/>
    <w:rsid w:val="00991590"/>
    <w:rsid w:val="009918BB"/>
    <w:rsid w:val="00991920"/>
    <w:rsid w:val="009919AA"/>
    <w:rsid w:val="009922F6"/>
    <w:rsid w:val="00992944"/>
    <w:rsid w:val="00992F26"/>
    <w:rsid w:val="00992FB8"/>
    <w:rsid w:val="009930B7"/>
    <w:rsid w:val="00993AFE"/>
    <w:rsid w:val="009945FA"/>
    <w:rsid w:val="00994735"/>
    <w:rsid w:val="00994F40"/>
    <w:rsid w:val="00995377"/>
    <w:rsid w:val="009954E4"/>
    <w:rsid w:val="00995862"/>
    <w:rsid w:val="009958C9"/>
    <w:rsid w:val="00996B8A"/>
    <w:rsid w:val="009975E1"/>
    <w:rsid w:val="00997C4C"/>
    <w:rsid w:val="00997DDA"/>
    <w:rsid w:val="00997FC5"/>
    <w:rsid w:val="009A0900"/>
    <w:rsid w:val="009A0A86"/>
    <w:rsid w:val="009A0E3F"/>
    <w:rsid w:val="009A13C3"/>
    <w:rsid w:val="009A1929"/>
    <w:rsid w:val="009A1A18"/>
    <w:rsid w:val="009A1AF2"/>
    <w:rsid w:val="009A2F08"/>
    <w:rsid w:val="009A3066"/>
    <w:rsid w:val="009A37AA"/>
    <w:rsid w:val="009A4B3C"/>
    <w:rsid w:val="009A4F61"/>
    <w:rsid w:val="009A5824"/>
    <w:rsid w:val="009A6415"/>
    <w:rsid w:val="009A6461"/>
    <w:rsid w:val="009A6B8C"/>
    <w:rsid w:val="009B0356"/>
    <w:rsid w:val="009B1757"/>
    <w:rsid w:val="009B186F"/>
    <w:rsid w:val="009B1E91"/>
    <w:rsid w:val="009B26BB"/>
    <w:rsid w:val="009B27E2"/>
    <w:rsid w:val="009B32DC"/>
    <w:rsid w:val="009B3302"/>
    <w:rsid w:val="009B39AA"/>
    <w:rsid w:val="009B3B95"/>
    <w:rsid w:val="009B4309"/>
    <w:rsid w:val="009B4B54"/>
    <w:rsid w:val="009B4D6F"/>
    <w:rsid w:val="009B6FCC"/>
    <w:rsid w:val="009B7BD0"/>
    <w:rsid w:val="009C0356"/>
    <w:rsid w:val="009C181E"/>
    <w:rsid w:val="009C1AD0"/>
    <w:rsid w:val="009C319A"/>
    <w:rsid w:val="009C3E8F"/>
    <w:rsid w:val="009C4775"/>
    <w:rsid w:val="009C4970"/>
    <w:rsid w:val="009C4BA5"/>
    <w:rsid w:val="009C4C23"/>
    <w:rsid w:val="009C4E65"/>
    <w:rsid w:val="009C4F14"/>
    <w:rsid w:val="009C5743"/>
    <w:rsid w:val="009C5CE8"/>
    <w:rsid w:val="009C61E3"/>
    <w:rsid w:val="009C64CF"/>
    <w:rsid w:val="009C68D1"/>
    <w:rsid w:val="009C7585"/>
    <w:rsid w:val="009D1563"/>
    <w:rsid w:val="009D34E5"/>
    <w:rsid w:val="009D366B"/>
    <w:rsid w:val="009D3736"/>
    <w:rsid w:val="009D3A5C"/>
    <w:rsid w:val="009D45F6"/>
    <w:rsid w:val="009D5EB4"/>
    <w:rsid w:val="009D6C4E"/>
    <w:rsid w:val="009D6CEF"/>
    <w:rsid w:val="009D7489"/>
    <w:rsid w:val="009D79D7"/>
    <w:rsid w:val="009D7D0C"/>
    <w:rsid w:val="009E0DBB"/>
    <w:rsid w:val="009E0E10"/>
    <w:rsid w:val="009E1859"/>
    <w:rsid w:val="009E1FFF"/>
    <w:rsid w:val="009E28C4"/>
    <w:rsid w:val="009E3CA2"/>
    <w:rsid w:val="009E440A"/>
    <w:rsid w:val="009E4A08"/>
    <w:rsid w:val="009E53AE"/>
    <w:rsid w:val="009E56C7"/>
    <w:rsid w:val="009E618E"/>
    <w:rsid w:val="009E6D17"/>
    <w:rsid w:val="009E71E8"/>
    <w:rsid w:val="009E7FEE"/>
    <w:rsid w:val="009F1525"/>
    <w:rsid w:val="009F1673"/>
    <w:rsid w:val="009F2562"/>
    <w:rsid w:val="009F259C"/>
    <w:rsid w:val="009F2853"/>
    <w:rsid w:val="009F2BA0"/>
    <w:rsid w:val="009F3FDE"/>
    <w:rsid w:val="009F40E3"/>
    <w:rsid w:val="009F4340"/>
    <w:rsid w:val="009F4E5B"/>
    <w:rsid w:val="009F4FB1"/>
    <w:rsid w:val="009F540C"/>
    <w:rsid w:val="009F62EB"/>
    <w:rsid w:val="009F6856"/>
    <w:rsid w:val="009F6F34"/>
    <w:rsid w:val="009F7218"/>
    <w:rsid w:val="009F7327"/>
    <w:rsid w:val="009F7503"/>
    <w:rsid w:val="00A0002A"/>
    <w:rsid w:val="00A004CA"/>
    <w:rsid w:val="00A00EDC"/>
    <w:rsid w:val="00A01A5C"/>
    <w:rsid w:val="00A01D76"/>
    <w:rsid w:val="00A025BC"/>
    <w:rsid w:val="00A03A72"/>
    <w:rsid w:val="00A03BFB"/>
    <w:rsid w:val="00A04608"/>
    <w:rsid w:val="00A04A4C"/>
    <w:rsid w:val="00A05079"/>
    <w:rsid w:val="00A053E7"/>
    <w:rsid w:val="00A05477"/>
    <w:rsid w:val="00A05820"/>
    <w:rsid w:val="00A07231"/>
    <w:rsid w:val="00A07CA6"/>
    <w:rsid w:val="00A103FC"/>
    <w:rsid w:val="00A105A0"/>
    <w:rsid w:val="00A1110E"/>
    <w:rsid w:val="00A1129F"/>
    <w:rsid w:val="00A12E92"/>
    <w:rsid w:val="00A138B4"/>
    <w:rsid w:val="00A14CB0"/>
    <w:rsid w:val="00A15B6D"/>
    <w:rsid w:val="00A15EF0"/>
    <w:rsid w:val="00A162E5"/>
    <w:rsid w:val="00A16F65"/>
    <w:rsid w:val="00A1758C"/>
    <w:rsid w:val="00A207B0"/>
    <w:rsid w:val="00A221E1"/>
    <w:rsid w:val="00A22E91"/>
    <w:rsid w:val="00A232ED"/>
    <w:rsid w:val="00A23BAE"/>
    <w:rsid w:val="00A23FF2"/>
    <w:rsid w:val="00A24F18"/>
    <w:rsid w:val="00A2587C"/>
    <w:rsid w:val="00A25A75"/>
    <w:rsid w:val="00A25A96"/>
    <w:rsid w:val="00A25B09"/>
    <w:rsid w:val="00A25F85"/>
    <w:rsid w:val="00A267A0"/>
    <w:rsid w:val="00A26884"/>
    <w:rsid w:val="00A26FA6"/>
    <w:rsid w:val="00A271C0"/>
    <w:rsid w:val="00A27F5A"/>
    <w:rsid w:val="00A30174"/>
    <w:rsid w:val="00A30398"/>
    <w:rsid w:val="00A30644"/>
    <w:rsid w:val="00A30E8A"/>
    <w:rsid w:val="00A30EAE"/>
    <w:rsid w:val="00A313DD"/>
    <w:rsid w:val="00A317EB"/>
    <w:rsid w:val="00A31D9A"/>
    <w:rsid w:val="00A332DE"/>
    <w:rsid w:val="00A340E2"/>
    <w:rsid w:val="00A341CE"/>
    <w:rsid w:val="00A34A24"/>
    <w:rsid w:val="00A34AFC"/>
    <w:rsid w:val="00A34B85"/>
    <w:rsid w:val="00A34D09"/>
    <w:rsid w:val="00A34E01"/>
    <w:rsid w:val="00A353CD"/>
    <w:rsid w:val="00A36653"/>
    <w:rsid w:val="00A36CE9"/>
    <w:rsid w:val="00A37798"/>
    <w:rsid w:val="00A400FA"/>
    <w:rsid w:val="00A40116"/>
    <w:rsid w:val="00A40B35"/>
    <w:rsid w:val="00A41016"/>
    <w:rsid w:val="00A4140A"/>
    <w:rsid w:val="00A41D5D"/>
    <w:rsid w:val="00A41EF4"/>
    <w:rsid w:val="00A44F4E"/>
    <w:rsid w:val="00A45807"/>
    <w:rsid w:val="00A45DC7"/>
    <w:rsid w:val="00A46B3D"/>
    <w:rsid w:val="00A475D7"/>
    <w:rsid w:val="00A47A47"/>
    <w:rsid w:val="00A5069B"/>
    <w:rsid w:val="00A50B9F"/>
    <w:rsid w:val="00A51059"/>
    <w:rsid w:val="00A510F0"/>
    <w:rsid w:val="00A52046"/>
    <w:rsid w:val="00A528CF"/>
    <w:rsid w:val="00A5296F"/>
    <w:rsid w:val="00A53263"/>
    <w:rsid w:val="00A5350E"/>
    <w:rsid w:val="00A53F15"/>
    <w:rsid w:val="00A54918"/>
    <w:rsid w:val="00A54D17"/>
    <w:rsid w:val="00A54E17"/>
    <w:rsid w:val="00A5569B"/>
    <w:rsid w:val="00A55EE9"/>
    <w:rsid w:val="00A55FA0"/>
    <w:rsid w:val="00A56088"/>
    <w:rsid w:val="00A56B84"/>
    <w:rsid w:val="00A60A44"/>
    <w:rsid w:val="00A60B93"/>
    <w:rsid w:val="00A61090"/>
    <w:rsid w:val="00A62B7C"/>
    <w:rsid w:val="00A63123"/>
    <w:rsid w:val="00A641BF"/>
    <w:rsid w:val="00A64391"/>
    <w:rsid w:val="00A65C29"/>
    <w:rsid w:val="00A66AA2"/>
    <w:rsid w:val="00A66D37"/>
    <w:rsid w:val="00A6738F"/>
    <w:rsid w:val="00A677D7"/>
    <w:rsid w:val="00A67900"/>
    <w:rsid w:val="00A67EC0"/>
    <w:rsid w:val="00A70536"/>
    <w:rsid w:val="00A70E30"/>
    <w:rsid w:val="00A70ED8"/>
    <w:rsid w:val="00A71386"/>
    <w:rsid w:val="00A717E2"/>
    <w:rsid w:val="00A71944"/>
    <w:rsid w:val="00A71C1A"/>
    <w:rsid w:val="00A723DF"/>
    <w:rsid w:val="00A726E4"/>
    <w:rsid w:val="00A72E68"/>
    <w:rsid w:val="00A72FC4"/>
    <w:rsid w:val="00A73223"/>
    <w:rsid w:val="00A7333F"/>
    <w:rsid w:val="00A745AA"/>
    <w:rsid w:val="00A75012"/>
    <w:rsid w:val="00A7542F"/>
    <w:rsid w:val="00A7611F"/>
    <w:rsid w:val="00A764A4"/>
    <w:rsid w:val="00A767B7"/>
    <w:rsid w:val="00A77CA3"/>
    <w:rsid w:val="00A77D33"/>
    <w:rsid w:val="00A77E6B"/>
    <w:rsid w:val="00A8062A"/>
    <w:rsid w:val="00A8070A"/>
    <w:rsid w:val="00A814B2"/>
    <w:rsid w:val="00A81BAA"/>
    <w:rsid w:val="00A81E7A"/>
    <w:rsid w:val="00A82D09"/>
    <w:rsid w:val="00A82EB7"/>
    <w:rsid w:val="00A837D0"/>
    <w:rsid w:val="00A8412D"/>
    <w:rsid w:val="00A846DD"/>
    <w:rsid w:val="00A846E7"/>
    <w:rsid w:val="00A85323"/>
    <w:rsid w:val="00A85C58"/>
    <w:rsid w:val="00A85DEC"/>
    <w:rsid w:val="00A8645A"/>
    <w:rsid w:val="00A8655B"/>
    <w:rsid w:val="00A869BE"/>
    <w:rsid w:val="00A86F0C"/>
    <w:rsid w:val="00A8760E"/>
    <w:rsid w:val="00A876E3"/>
    <w:rsid w:val="00A91E04"/>
    <w:rsid w:val="00A920FE"/>
    <w:rsid w:val="00A928AA"/>
    <w:rsid w:val="00A92ABA"/>
    <w:rsid w:val="00A9450D"/>
    <w:rsid w:val="00A94548"/>
    <w:rsid w:val="00A945E9"/>
    <w:rsid w:val="00A94748"/>
    <w:rsid w:val="00A947E0"/>
    <w:rsid w:val="00A94C2F"/>
    <w:rsid w:val="00A9557C"/>
    <w:rsid w:val="00A95C61"/>
    <w:rsid w:val="00A96480"/>
    <w:rsid w:val="00A97B06"/>
    <w:rsid w:val="00AA0969"/>
    <w:rsid w:val="00AA136E"/>
    <w:rsid w:val="00AA137A"/>
    <w:rsid w:val="00AA19C6"/>
    <w:rsid w:val="00AA1E96"/>
    <w:rsid w:val="00AA2304"/>
    <w:rsid w:val="00AA2390"/>
    <w:rsid w:val="00AA30F6"/>
    <w:rsid w:val="00AA4073"/>
    <w:rsid w:val="00AA5419"/>
    <w:rsid w:val="00AA55D6"/>
    <w:rsid w:val="00AA5D83"/>
    <w:rsid w:val="00AA760B"/>
    <w:rsid w:val="00AA7B86"/>
    <w:rsid w:val="00AA7DD3"/>
    <w:rsid w:val="00AB1C7C"/>
    <w:rsid w:val="00AB1CE0"/>
    <w:rsid w:val="00AB22BE"/>
    <w:rsid w:val="00AB266E"/>
    <w:rsid w:val="00AB2796"/>
    <w:rsid w:val="00AB27E9"/>
    <w:rsid w:val="00AB28BD"/>
    <w:rsid w:val="00AB30A8"/>
    <w:rsid w:val="00AB32CB"/>
    <w:rsid w:val="00AB3A60"/>
    <w:rsid w:val="00AB3E70"/>
    <w:rsid w:val="00AB3E7D"/>
    <w:rsid w:val="00AB49DB"/>
    <w:rsid w:val="00AB588C"/>
    <w:rsid w:val="00AB6565"/>
    <w:rsid w:val="00AB6F7A"/>
    <w:rsid w:val="00AB7981"/>
    <w:rsid w:val="00AC09BB"/>
    <w:rsid w:val="00AC105A"/>
    <w:rsid w:val="00AC1527"/>
    <w:rsid w:val="00AC1D14"/>
    <w:rsid w:val="00AC1E1D"/>
    <w:rsid w:val="00AC21F1"/>
    <w:rsid w:val="00AC379A"/>
    <w:rsid w:val="00AC52AF"/>
    <w:rsid w:val="00AC55C8"/>
    <w:rsid w:val="00AC5C95"/>
    <w:rsid w:val="00AC5FF7"/>
    <w:rsid w:val="00AC76FE"/>
    <w:rsid w:val="00AC7B19"/>
    <w:rsid w:val="00AC7BA9"/>
    <w:rsid w:val="00AD080C"/>
    <w:rsid w:val="00AD0F92"/>
    <w:rsid w:val="00AD1289"/>
    <w:rsid w:val="00AD2293"/>
    <w:rsid w:val="00AD2309"/>
    <w:rsid w:val="00AD2F90"/>
    <w:rsid w:val="00AD30C8"/>
    <w:rsid w:val="00AD5438"/>
    <w:rsid w:val="00AD5D17"/>
    <w:rsid w:val="00AD65D3"/>
    <w:rsid w:val="00AD72A0"/>
    <w:rsid w:val="00AD75A0"/>
    <w:rsid w:val="00AD7F3A"/>
    <w:rsid w:val="00AE02F1"/>
    <w:rsid w:val="00AE048F"/>
    <w:rsid w:val="00AE0555"/>
    <w:rsid w:val="00AE14A6"/>
    <w:rsid w:val="00AE1B98"/>
    <w:rsid w:val="00AE1D26"/>
    <w:rsid w:val="00AE3899"/>
    <w:rsid w:val="00AE3BFE"/>
    <w:rsid w:val="00AE3CE0"/>
    <w:rsid w:val="00AE3F52"/>
    <w:rsid w:val="00AE4C48"/>
    <w:rsid w:val="00AE4D11"/>
    <w:rsid w:val="00AE5308"/>
    <w:rsid w:val="00AE5499"/>
    <w:rsid w:val="00AE5640"/>
    <w:rsid w:val="00AE6158"/>
    <w:rsid w:val="00AE6922"/>
    <w:rsid w:val="00AE76F3"/>
    <w:rsid w:val="00AE78E7"/>
    <w:rsid w:val="00AF0911"/>
    <w:rsid w:val="00AF0BEF"/>
    <w:rsid w:val="00AF0DF3"/>
    <w:rsid w:val="00AF1DBA"/>
    <w:rsid w:val="00AF2CCE"/>
    <w:rsid w:val="00AF2D76"/>
    <w:rsid w:val="00AF309A"/>
    <w:rsid w:val="00AF469C"/>
    <w:rsid w:val="00AF48D5"/>
    <w:rsid w:val="00AF627F"/>
    <w:rsid w:val="00AF6762"/>
    <w:rsid w:val="00AF6A9D"/>
    <w:rsid w:val="00B00D1C"/>
    <w:rsid w:val="00B00EED"/>
    <w:rsid w:val="00B01443"/>
    <w:rsid w:val="00B01722"/>
    <w:rsid w:val="00B01942"/>
    <w:rsid w:val="00B02A8E"/>
    <w:rsid w:val="00B03A70"/>
    <w:rsid w:val="00B03DD0"/>
    <w:rsid w:val="00B04ED4"/>
    <w:rsid w:val="00B05BF9"/>
    <w:rsid w:val="00B06346"/>
    <w:rsid w:val="00B06B88"/>
    <w:rsid w:val="00B06E14"/>
    <w:rsid w:val="00B101C9"/>
    <w:rsid w:val="00B105A8"/>
    <w:rsid w:val="00B1129D"/>
    <w:rsid w:val="00B11574"/>
    <w:rsid w:val="00B121C1"/>
    <w:rsid w:val="00B12BC5"/>
    <w:rsid w:val="00B12EA9"/>
    <w:rsid w:val="00B13218"/>
    <w:rsid w:val="00B13EFC"/>
    <w:rsid w:val="00B14111"/>
    <w:rsid w:val="00B14ECB"/>
    <w:rsid w:val="00B15D0A"/>
    <w:rsid w:val="00B161C7"/>
    <w:rsid w:val="00B16228"/>
    <w:rsid w:val="00B17734"/>
    <w:rsid w:val="00B177AE"/>
    <w:rsid w:val="00B200D8"/>
    <w:rsid w:val="00B2054A"/>
    <w:rsid w:val="00B20A11"/>
    <w:rsid w:val="00B210BD"/>
    <w:rsid w:val="00B210ED"/>
    <w:rsid w:val="00B21FB0"/>
    <w:rsid w:val="00B2289C"/>
    <w:rsid w:val="00B22E1E"/>
    <w:rsid w:val="00B23210"/>
    <w:rsid w:val="00B2451D"/>
    <w:rsid w:val="00B24A32"/>
    <w:rsid w:val="00B2503F"/>
    <w:rsid w:val="00B253D8"/>
    <w:rsid w:val="00B2592E"/>
    <w:rsid w:val="00B25CE0"/>
    <w:rsid w:val="00B26855"/>
    <w:rsid w:val="00B26C94"/>
    <w:rsid w:val="00B274B4"/>
    <w:rsid w:val="00B274D4"/>
    <w:rsid w:val="00B277ED"/>
    <w:rsid w:val="00B27B59"/>
    <w:rsid w:val="00B308D3"/>
    <w:rsid w:val="00B30A1E"/>
    <w:rsid w:val="00B30C98"/>
    <w:rsid w:val="00B313C3"/>
    <w:rsid w:val="00B31ABF"/>
    <w:rsid w:val="00B32EA6"/>
    <w:rsid w:val="00B3332E"/>
    <w:rsid w:val="00B342F6"/>
    <w:rsid w:val="00B3496B"/>
    <w:rsid w:val="00B349BC"/>
    <w:rsid w:val="00B34A59"/>
    <w:rsid w:val="00B34C8D"/>
    <w:rsid w:val="00B357F8"/>
    <w:rsid w:val="00B35859"/>
    <w:rsid w:val="00B359C8"/>
    <w:rsid w:val="00B367A5"/>
    <w:rsid w:val="00B36CF5"/>
    <w:rsid w:val="00B36DEC"/>
    <w:rsid w:val="00B377C6"/>
    <w:rsid w:val="00B37BB0"/>
    <w:rsid w:val="00B40ECC"/>
    <w:rsid w:val="00B41614"/>
    <w:rsid w:val="00B41C61"/>
    <w:rsid w:val="00B42815"/>
    <w:rsid w:val="00B42DB5"/>
    <w:rsid w:val="00B43755"/>
    <w:rsid w:val="00B439CD"/>
    <w:rsid w:val="00B43C84"/>
    <w:rsid w:val="00B43CE7"/>
    <w:rsid w:val="00B43D4D"/>
    <w:rsid w:val="00B442C6"/>
    <w:rsid w:val="00B44DFC"/>
    <w:rsid w:val="00B44F77"/>
    <w:rsid w:val="00B45A04"/>
    <w:rsid w:val="00B45E86"/>
    <w:rsid w:val="00B4626D"/>
    <w:rsid w:val="00B463AD"/>
    <w:rsid w:val="00B468AF"/>
    <w:rsid w:val="00B47FB4"/>
    <w:rsid w:val="00B50289"/>
    <w:rsid w:val="00B5067E"/>
    <w:rsid w:val="00B50E3C"/>
    <w:rsid w:val="00B51197"/>
    <w:rsid w:val="00B51410"/>
    <w:rsid w:val="00B517B9"/>
    <w:rsid w:val="00B517C1"/>
    <w:rsid w:val="00B52C6B"/>
    <w:rsid w:val="00B53FFC"/>
    <w:rsid w:val="00B5404C"/>
    <w:rsid w:val="00B556F2"/>
    <w:rsid w:val="00B56977"/>
    <w:rsid w:val="00B56AD7"/>
    <w:rsid w:val="00B5795D"/>
    <w:rsid w:val="00B57ED7"/>
    <w:rsid w:val="00B602E3"/>
    <w:rsid w:val="00B603E0"/>
    <w:rsid w:val="00B619C2"/>
    <w:rsid w:val="00B620F0"/>
    <w:rsid w:val="00B62191"/>
    <w:rsid w:val="00B62207"/>
    <w:rsid w:val="00B62CFD"/>
    <w:rsid w:val="00B6307C"/>
    <w:rsid w:val="00B641F4"/>
    <w:rsid w:val="00B642A4"/>
    <w:rsid w:val="00B64506"/>
    <w:rsid w:val="00B64986"/>
    <w:rsid w:val="00B64A0C"/>
    <w:rsid w:val="00B650C1"/>
    <w:rsid w:val="00B65159"/>
    <w:rsid w:val="00B65924"/>
    <w:rsid w:val="00B660C1"/>
    <w:rsid w:val="00B66ABB"/>
    <w:rsid w:val="00B66CF5"/>
    <w:rsid w:val="00B671C5"/>
    <w:rsid w:val="00B676B8"/>
    <w:rsid w:val="00B6773B"/>
    <w:rsid w:val="00B7085F"/>
    <w:rsid w:val="00B712E0"/>
    <w:rsid w:val="00B71B4B"/>
    <w:rsid w:val="00B71BCD"/>
    <w:rsid w:val="00B72FFE"/>
    <w:rsid w:val="00B73557"/>
    <w:rsid w:val="00B738FC"/>
    <w:rsid w:val="00B741D7"/>
    <w:rsid w:val="00B74C7E"/>
    <w:rsid w:val="00B763BB"/>
    <w:rsid w:val="00B76637"/>
    <w:rsid w:val="00B77849"/>
    <w:rsid w:val="00B80158"/>
    <w:rsid w:val="00B8049F"/>
    <w:rsid w:val="00B80801"/>
    <w:rsid w:val="00B80EC4"/>
    <w:rsid w:val="00B80FFC"/>
    <w:rsid w:val="00B82043"/>
    <w:rsid w:val="00B822AD"/>
    <w:rsid w:val="00B825EF"/>
    <w:rsid w:val="00B82DB4"/>
    <w:rsid w:val="00B82EC3"/>
    <w:rsid w:val="00B83565"/>
    <w:rsid w:val="00B8429A"/>
    <w:rsid w:val="00B84B30"/>
    <w:rsid w:val="00B851F8"/>
    <w:rsid w:val="00B8593A"/>
    <w:rsid w:val="00B85C95"/>
    <w:rsid w:val="00B86D78"/>
    <w:rsid w:val="00B90F13"/>
    <w:rsid w:val="00B910D4"/>
    <w:rsid w:val="00B911AF"/>
    <w:rsid w:val="00B9163F"/>
    <w:rsid w:val="00B91868"/>
    <w:rsid w:val="00B91D49"/>
    <w:rsid w:val="00B92578"/>
    <w:rsid w:val="00B9306F"/>
    <w:rsid w:val="00B930D5"/>
    <w:rsid w:val="00B93B57"/>
    <w:rsid w:val="00B94128"/>
    <w:rsid w:val="00B952A7"/>
    <w:rsid w:val="00B956C3"/>
    <w:rsid w:val="00B96026"/>
    <w:rsid w:val="00B962CB"/>
    <w:rsid w:val="00B96FA5"/>
    <w:rsid w:val="00B97C38"/>
    <w:rsid w:val="00B97F44"/>
    <w:rsid w:val="00BA0070"/>
    <w:rsid w:val="00BA0225"/>
    <w:rsid w:val="00BA0D6E"/>
    <w:rsid w:val="00BA1523"/>
    <w:rsid w:val="00BA2CDA"/>
    <w:rsid w:val="00BA30CF"/>
    <w:rsid w:val="00BA33D2"/>
    <w:rsid w:val="00BA33F8"/>
    <w:rsid w:val="00BA4053"/>
    <w:rsid w:val="00BA5726"/>
    <w:rsid w:val="00BA5AC9"/>
    <w:rsid w:val="00BA5C7E"/>
    <w:rsid w:val="00BA6628"/>
    <w:rsid w:val="00BA7A52"/>
    <w:rsid w:val="00BB02F8"/>
    <w:rsid w:val="00BB1C4E"/>
    <w:rsid w:val="00BB1D33"/>
    <w:rsid w:val="00BB25E5"/>
    <w:rsid w:val="00BB2F53"/>
    <w:rsid w:val="00BB4165"/>
    <w:rsid w:val="00BB4301"/>
    <w:rsid w:val="00BB4409"/>
    <w:rsid w:val="00BB5AD9"/>
    <w:rsid w:val="00BB66C3"/>
    <w:rsid w:val="00BB6C80"/>
    <w:rsid w:val="00BB7567"/>
    <w:rsid w:val="00BC004D"/>
    <w:rsid w:val="00BC013E"/>
    <w:rsid w:val="00BC0A37"/>
    <w:rsid w:val="00BC1944"/>
    <w:rsid w:val="00BC23BC"/>
    <w:rsid w:val="00BC2E8F"/>
    <w:rsid w:val="00BC2EAF"/>
    <w:rsid w:val="00BC3C1E"/>
    <w:rsid w:val="00BC3D86"/>
    <w:rsid w:val="00BC514D"/>
    <w:rsid w:val="00BC6C63"/>
    <w:rsid w:val="00BD00C1"/>
    <w:rsid w:val="00BD0DA6"/>
    <w:rsid w:val="00BD101F"/>
    <w:rsid w:val="00BD1701"/>
    <w:rsid w:val="00BD1AC5"/>
    <w:rsid w:val="00BD1CBD"/>
    <w:rsid w:val="00BD2712"/>
    <w:rsid w:val="00BD2B3F"/>
    <w:rsid w:val="00BD43BF"/>
    <w:rsid w:val="00BD499A"/>
    <w:rsid w:val="00BD538E"/>
    <w:rsid w:val="00BD63F7"/>
    <w:rsid w:val="00BD6CF1"/>
    <w:rsid w:val="00BD7099"/>
    <w:rsid w:val="00BD775F"/>
    <w:rsid w:val="00BD78E8"/>
    <w:rsid w:val="00BD7A7C"/>
    <w:rsid w:val="00BD7DAA"/>
    <w:rsid w:val="00BE0001"/>
    <w:rsid w:val="00BE0B0C"/>
    <w:rsid w:val="00BE27AF"/>
    <w:rsid w:val="00BE2FCF"/>
    <w:rsid w:val="00BE3289"/>
    <w:rsid w:val="00BE4527"/>
    <w:rsid w:val="00BE4EC5"/>
    <w:rsid w:val="00BE56F2"/>
    <w:rsid w:val="00BE5AC4"/>
    <w:rsid w:val="00BE6229"/>
    <w:rsid w:val="00BE6722"/>
    <w:rsid w:val="00BE735F"/>
    <w:rsid w:val="00BE7F48"/>
    <w:rsid w:val="00BF0062"/>
    <w:rsid w:val="00BF03C1"/>
    <w:rsid w:val="00BF05AF"/>
    <w:rsid w:val="00BF09F9"/>
    <w:rsid w:val="00BF0A16"/>
    <w:rsid w:val="00BF0CE6"/>
    <w:rsid w:val="00BF17A9"/>
    <w:rsid w:val="00BF1C34"/>
    <w:rsid w:val="00BF233B"/>
    <w:rsid w:val="00BF2624"/>
    <w:rsid w:val="00BF2BAD"/>
    <w:rsid w:val="00BF3A31"/>
    <w:rsid w:val="00BF3EF2"/>
    <w:rsid w:val="00BF48E1"/>
    <w:rsid w:val="00BF64A7"/>
    <w:rsid w:val="00BF7FBE"/>
    <w:rsid w:val="00C0009C"/>
    <w:rsid w:val="00C02399"/>
    <w:rsid w:val="00C0348A"/>
    <w:rsid w:val="00C04CFF"/>
    <w:rsid w:val="00C05100"/>
    <w:rsid w:val="00C05EBF"/>
    <w:rsid w:val="00C06115"/>
    <w:rsid w:val="00C061BD"/>
    <w:rsid w:val="00C065FC"/>
    <w:rsid w:val="00C0770E"/>
    <w:rsid w:val="00C10082"/>
    <w:rsid w:val="00C103D5"/>
    <w:rsid w:val="00C10634"/>
    <w:rsid w:val="00C10AC8"/>
    <w:rsid w:val="00C10B9E"/>
    <w:rsid w:val="00C11354"/>
    <w:rsid w:val="00C12499"/>
    <w:rsid w:val="00C125F1"/>
    <w:rsid w:val="00C12A66"/>
    <w:rsid w:val="00C13118"/>
    <w:rsid w:val="00C133A3"/>
    <w:rsid w:val="00C134F5"/>
    <w:rsid w:val="00C1389E"/>
    <w:rsid w:val="00C141B9"/>
    <w:rsid w:val="00C1477C"/>
    <w:rsid w:val="00C15B7B"/>
    <w:rsid w:val="00C16908"/>
    <w:rsid w:val="00C16D76"/>
    <w:rsid w:val="00C173DD"/>
    <w:rsid w:val="00C17D19"/>
    <w:rsid w:val="00C20D9E"/>
    <w:rsid w:val="00C211FC"/>
    <w:rsid w:val="00C21235"/>
    <w:rsid w:val="00C21329"/>
    <w:rsid w:val="00C21C29"/>
    <w:rsid w:val="00C22A21"/>
    <w:rsid w:val="00C23ADE"/>
    <w:rsid w:val="00C247B8"/>
    <w:rsid w:val="00C258F2"/>
    <w:rsid w:val="00C2593C"/>
    <w:rsid w:val="00C26D9D"/>
    <w:rsid w:val="00C270B3"/>
    <w:rsid w:val="00C2756E"/>
    <w:rsid w:val="00C275C3"/>
    <w:rsid w:val="00C27D15"/>
    <w:rsid w:val="00C27F86"/>
    <w:rsid w:val="00C30EAF"/>
    <w:rsid w:val="00C31202"/>
    <w:rsid w:val="00C31596"/>
    <w:rsid w:val="00C32861"/>
    <w:rsid w:val="00C32874"/>
    <w:rsid w:val="00C32B0D"/>
    <w:rsid w:val="00C32CCD"/>
    <w:rsid w:val="00C32F97"/>
    <w:rsid w:val="00C33E00"/>
    <w:rsid w:val="00C3529A"/>
    <w:rsid w:val="00C352D6"/>
    <w:rsid w:val="00C36512"/>
    <w:rsid w:val="00C36B22"/>
    <w:rsid w:val="00C36B55"/>
    <w:rsid w:val="00C400EE"/>
    <w:rsid w:val="00C41336"/>
    <w:rsid w:val="00C41B80"/>
    <w:rsid w:val="00C42046"/>
    <w:rsid w:val="00C42451"/>
    <w:rsid w:val="00C427E4"/>
    <w:rsid w:val="00C42961"/>
    <w:rsid w:val="00C437C9"/>
    <w:rsid w:val="00C4381B"/>
    <w:rsid w:val="00C43DEF"/>
    <w:rsid w:val="00C43F9F"/>
    <w:rsid w:val="00C44266"/>
    <w:rsid w:val="00C447A7"/>
    <w:rsid w:val="00C44904"/>
    <w:rsid w:val="00C44CB6"/>
    <w:rsid w:val="00C44E14"/>
    <w:rsid w:val="00C45219"/>
    <w:rsid w:val="00C45B02"/>
    <w:rsid w:val="00C45B36"/>
    <w:rsid w:val="00C45F97"/>
    <w:rsid w:val="00C467FE"/>
    <w:rsid w:val="00C46915"/>
    <w:rsid w:val="00C47DB2"/>
    <w:rsid w:val="00C50077"/>
    <w:rsid w:val="00C50A59"/>
    <w:rsid w:val="00C51550"/>
    <w:rsid w:val="00C51733"/>
    <w:rsid w:val="00C520D3"/>
    <w:rsid w:val="00C52C83"/>
    <w:rsid w:val="00C5337D"/>
    <w:rsid w:val="00C53781"/>
    <w:rsid w:val="00C54BED"/>
    <w:rsid w:val="00C55E6A"/>
    <w:rsid w:val="00C56AEC"/>
    <w:rsid w:val="00C57908"/>
    <w:rsid w:val="00C579EF"/>
    <w:rsid w:val="00C57DC4"/>
    <w:rsid w:val="00C6075F"/>
    <w:rsid w:val="00C60793"/>
    <w:rsid w:val="00C60BC4"/>
    <w:rsid w:val="00C61074"/>
    <w:rsid w:val="00C61B60"/>
    <w:rsid w:val="00C62C02"/>
    <w:rsid w:val="00C6413C"/>
    <w:rsid w:val="00C65563"/>
    <w:rsid w:val="00C65F0E"/>
    <w:rsid w:val="00C6674D"/>
    <w:rsid w:val="00C674B4"/>
    <w:rsid w:val="00C679A9"/>
    <w:rsid w:val="00C67C5E"/>
    <w:rsid w:val="00C67FBF"/>
    <w:rsid w:val="00C70047"/>
    <w:rsid w:val="00C701A1"/>
    <w:rsid w:val="00C70294"/>
    <w:rsid w:val="00C70E05"/>
    <w:rsid w:val="00C723C0"/>
    <w:rsid w:val="00C72B02"/>
    <w:rsid w:val="00C731EE"/>
    <w:rsid w:val="00C73DE8"/>
    <w:rsid w:val="00C7460C"/>
    <w:rsid w:val="00C76575"/>
    <w:rsid w:val="00C76B07"/>
    <w:rsid w:val="00C76CCD"/>
    <w:rsid w:val="00C7740D"/>
    <w:rsid w:val="00C7749B"/>
    <w:rsid w:val="00C8165B"/>
    <w:rsid w:val="00C81A15"/>
    <w:rsid w:val="00C823CE"/>
    <w:rsid w:val="00C82A53"/>
    <w:rsid w:val="00C833F6"/>
    <w:rsid w:val="00C83B0D"/>
    <w:rsid w:val="00C83F1C"/>
    <w:rsid w:val="00C84349"/>
    <w:rsid w:val="00C84646"/>
    <w:rsid w:val="00C84C48"/>
    <w:rsid w:val="00C861BA"/>
    <w:rsid w:val="00C86CA1"/>
    <w:rsid w:val="00C90477"/>
    <w:rsid w:val="00C90868"/>
    <w:rsid w:val="00C90C84"/>
    <w:rsid w:val="00C91621"/>
    <w:rsid w:val="00C919ED"/>
    <w:rsid w:val="00C919F6"/>
    <w:rsid w:val="00C91A5B"/>
    <w:rsid w:val="00C92B74"/>
    <w:rsid w:val="00C9352A"/>
    <w:rsid w:val="00C93DCF"/>
    <w:rsid w:val="00C94958"/>
    <w:rsid w:val="00C94B5A"/>
    <w:rsid w:val="00C95378"/>
    <w:rsid w:val="00C96751"/>
    <w:rsid w:val="00C9679D"/>
    <w:rsid w:val="00C96947"/>
    <w:rsid w:val="00C97272"/>
    <w:rsid w:val="00C9731D"/>
    <w:rsid w:val="00C97410"/>
    <w:rsid w:val="00C97CC5"/>
    <w:rsid w:val="00CA05CC"/>
    <w:rsid w:val="00CA13F8"/>
    <w:rsid w:val="00CA1D7E"/>
    <w:rsid w:val="00CA5197"/>
    <w:rsid w:val="00CA5489"/>
    <w:rsid w:val="00CA625E"/>
    <w:rsid w:val="00CA6FFE"/>
    <w:rsid w:val="00CA7109"/>
    <w:rsid w:val="00CA75F8"/>
    <w:rsid w:val="00CA7FB8"/>
    <w:rsid w:val="00CB056F"/>
    <w:rsid w:val="00CB08AE"/>
    <w:rsid w:val="00CB0DF7"/>
    <w:rsid w:val="00CB0EBA"/>
    <w:rsid w:val="00CB1433"/>
    <w:rsid w:val="00CB14C3"/>
    <w:rsid w:val="00CB2586"/>
    <w:rsid w:val="00CB28C2"/>
    <w:rsid w:val="00CB2B22"/>
    <w:rsid w:val="00CB2D09"/>
    <w:rsid w:val="00CB36E2"/>
    <w:rsid w:val="00CB5800"/>
    <w:rsid w:val="00CB721A"/>
    <w:rsid w:val="00CB7417"/>
    <w:rsid w:val="00CC0010"/>
    <w:rsid w:val="00CC145E"/>
    <w:rsid w:val="00CC1B98"/>
    <w:rsid w:val="00CC1E4B"/>
    <w:rsid w:val="00CC1F4B"/>
    <w:rsid w:val="00CC2066"/>
    <w:rsid w:val="00CC20D3"/>
    <w:rsid w:val="00CC238A"/>
    <w:rsid w:val="00CC2F5E"/>
    <w:rsid w:val="00CC3012"/>
    <w:rsid w:val="00CC41E1"/>
    <w:rsid w:val="00CC65C0"/>
    <w:rsid w:val="00CC70D5"/>
    <w:rsid w:val="00CD002B"/>
    <w:rsid w:val="00CD0247"/>
    <w:rsid w:val="00CD1239"/>
    <w:rsid w:val="00CD1C55"/>
    <w:rsid w:val="00CD2DE6"/>
    <w:rsid w:val="00CD310E"/>
    <w:rsid w:val="00CD328D"/>
    <w:rsid w:val="00CD3687"/>
    <w:rsid w:val="00CD37BF"/>
    <w:rsid w:val="00CD3A81"/>
    <w:rsid w:val="00CD40FC"/>
    <w:rsid w:val="00CD48F3"/>
    <w:rsid w:val="00CD4FD3"/>
    <w:rsid w:val="00CD555A"/>
    <w:rsid w:val="00CD5B8B"/>
    <w:rsid w:val="00CD62DA"/>
    <w:rsid w:val="00CD649F"/>
    <w:rsid w:val="00CD667A"/>
    <w:rsid w:val="00CD6701"/>
    <w:rsid w:val="00CD68C1"/>
    <w:rsid w:val="00CE09EA"/>
    <w:rsid w:val="00CE11A6"/>
    <w:rsid w:val="00CE19C5"/>
    <w:rsid w:val="00CE27EE"/>
    <w:rsid w:val="00CE2B91"/>
    <w:rsid w:val="00CE2E13"/>
    <w:rsid w:val="00CE2FB8"/>
    <w:rsid w:val="00CE31AE"/>
    <w:rsid w:val="00CE3458"/>
    <w:rsid w:val="00CE393A"/>
    <w:rsid w:val="00CE3969"/>
    <w:rsid w:val="00CE5639"/>
    <w:rsid w:val="00CE72AB"/>
    <w:rsid w:val="00CF02D7"/>
    <w:rsid w:val="00CF045D"/>
    <w:rsid w:val="00CF254A"/>
    <w:rsid w:val="00CF2F11"/>
    <w:rsid w:val="00CF4463"/>
    <w:rsid w:val="00CF4D37"/>
    <w:rsid w:val="00CF5F58"/>
    <w:rsid w:val="00CF649D"/>
    <w:rsid w:val="00CF7015"/>
    <w:rsid w:val="00D001F7"/>
    <w:rsid w:val="00D00DFE"/>
    <w:rsid w:val="00D01049"/>
    <w:rsid w:val="00D017E6"/>
    <w:rsid w:val="00D02721"/>
    <w:rsid w:val="00D029CF"/>
    <w:rsid w:val="00D02D95"/>
    <w:rsid w:val="00D038A4"/>
    <w:rsid w:val="00D04DD1"/>
    <w:rsid w:val="00D057AF"/>
    <w:rsid w:val="00D058BE"/>
    <w:rsid w:val="00D05BBE"/>
    <w:rsid w:val="00D05DC8"/>
    <w:rsid w:val="00D0652F"/>
    <w:rsid w:val="00D06997"/>
    <w:rsid w:val="00D06C6F"/>
    <w:rsid w:val="00D07A82"/>
    <w:rsid w:val="00D10784"/>
    <w:rsid w:val="00D10A86"/>
    <w:rsid w:val="00D10E1B"/>
    <w:rsid w:val="00D12079"/>
    <w:rsid w:val="00D12509"/>
    <w:rsid w:val="00D12BB0"/>
    <w:rsid w:val="00D13691"/>
    <w:rsid w:val="00D14D84"/>
    <w:rsid w:val="00D14F12"/>
    <w:rsid w:val="00D14FF9"/>
    <w:rsid w:val="00D1504B"/>
    <w:rsid w:val="00D15D8C"/>
    <w:rsid w:val="00D15ECC"/>
    <w:rsid w:val="00D16021"/>
    <w:rsid w:val="00D16026"/>
    <w:rsid w:val="00D175B1"/>
    <w:rsid w:val="00D17A4F"/>
    <w:rsid w:val="00D17DA8"/>
    <w:rsid w:val="00D20BBE"/>
    <w:rsid w:val="00D2137B"/>
    <w:rsid w:val="00D21B07"/>
    <w:rsid w:val="00D21C74"/>
    <w:rsid w:val="00D21E5C"/>
    <w:rsid w:val="00D24551"/>
    <w:rsid w:val="00D24A8B"/>
    <w:rsid w:val="00D25711"/>
    <w:rsid w:val="00D25E07"/>
    <w:rsid w:val="00D26324"/>
    <w:rsid w:val="00D2670F"/>
    <w:rsid w:val="00D27064"/>
    <w:rsid w:val="00D27423"/>
    <w:rsid w:val="00D30106"/>
    <w:rsid w:val="00D307EB"/>
    <w:rsid w:val="00D30E6F"/>
    <w:rsid w:val="00D31B9B"/>
    <w:rsid w:val="00D3243A"/>
    <w:rsid w:val="00D32E81"/>
    <w:rsid w:val="00D33AFE"/>
    <w:rsid w:val="00D34349"/>
    <w:rsid w:val="00D34B9A"/>
    <w:rsid w:val="00D34E8B"/>
    <w:rsid w:val="00D35216"/>
    <w:rsid w:val="00D37F6E"/>
    <w:rsid w:val="00D419CE"/>
    <w:rsid w:val="00D42CF8"/>
    <w:rsid w:val="00D435D0"/>
    <w:rsid w:val="00D43CBD"/>
    <w:rsid w:val="00D44143"/>
    <w:rsid w:val="00D44289"/>
    <w:rsid w:val="00D4431B"/>
    <w:rsid w:val="00D4491F"/>
    <w:rsid w:val="00D44A81"/>
    <w:rsid w:val="00D45B3E"/>
    <w:rsid w:val="00D46910"/>
    <w:rsid w:val="00D46A82"/>
    <w:rsid w:val="00D47A31"/>
    <w:rsid w:val="00D50B24"/>
    <w:rsid w:val="00D50B28"/>
    <w:rsid w:val="00D50BE5"/>
    <w:rsid w:val="00D513BF"/>
    <w:rsid w:val="00D522C5"/>
    <w:rsid w:val="00D52932"/>
    <w:rsid w:val="00D53294"/>
    <w:rsid w:val="00D53615"/>
    <w:rsid w:val="00D5371A"/>
    <w:rsid w:val="00D53BF9"/>
    <w:rsid w:val="00D544A8"/>
    <w:rsid w:val="00D55814"/>
    <w:rsid w:val="00D55861"/>
    <w:rsid w:val="00D55A65"/>
    <w:rsid w:val="00D56120"/>
    <w:rsid w:val="00D574D0"/>
    <w:rsid w:val="00D57632"/>
    <w:rsid w:val="00D5768C"/>
    <w:rsid w:val="00D579D3"/>
    <w:rsid w:val="00D60F05"/>
    <w:rsid w:val="00D60FA6"/>
    <w:rsid w:val="00D61243"/>
    <w:rsid w:val="00D61413"/>
    <w:rsid w:val="00D61B83"/>
    <w:rsid w:val="00D635E0"/>
    <w:rsid w:val="00D64265"/>
    <w:rsid w:val="00D6435B"/>
    <w:rsid w:val="00D6463C"/>
    <w:rsid w:val="00D647A4"/>
    <w:rsid w:val="00D656F1"/>
    <w:rsid w:val="00D662F0"/>
    <w:rsid w:val="00D6639E"/>
    <w:rsid w:val="00D7007B"/>
    <w:rsid w:val="00D702FB"/>
    <w:rsid w:val="00D70F6D"/>
    <w:rsid w:val="00D711CE"/>
    <w:rsid w:val="00D72687"/>
    <w:rsid w:val="00D727E3"/>
    <w:rsid w:val="00D72A24"/>
    <w:rsid w:val="00D74346"/>
    <w:rsid w:val="00D745F9"/>
    <w:rsid w:val="00D74877"/>
    <w:rsid w:val="00D74AED"/>
    <w:rsid w:val="00D750B9"/>
    <w:rsid w:val="00D7640B"/>
    <w:rsid w:val="00D770EB"/>
    <w:rsid w:val="00D7733F"/>
    <w:rsid w:val="00D77457"/>
    <w:rsid w:val="00D7775D"/>
    <w:rsid w:val="00D77823"/>
    <w:rsid w:val="00D77AA9"/>
    <w:rsid w:val="00D77E5B"/>
    <w:rsid w:val="00D80074"/>
    <w:rsid w:val="00D80D12"/>
    <w:rsid w:val="00D8106E"/>
    <w:rsid w:val="00D813E7"/>
    <w:rsid w:val="00D8166A"/>
    <w:rsid w:val="00D81C77"/>
    <w:rsid w:val="00D829C6"/>
    <w:rsid w:val="00D829E9"/>
    <w:rsid w:val="00D83CD1"/>
    <w:rsid w:val="00D848E5"/>
    <w:rsid w:val="00D8553D"/>
    <w:rsid w:val="00D860B1"/>
    <w:rsid w:val="00D865D3"/>
    <w:rsid w:val="00D86D96"/>
    <w:rsid w:val="00D8713C"/>
    <w:rsid w:val="00D87662"/>
    <w:rsid w:val="00D876E4"/>
    <w:rsid w:val="00D90141"/>
    <w:rsid w:val="00D903FF"/>
    <w:rsid w:val="00D90B13"/>
    <w:rsid w:val="00D90E4C"/>
    <w:rsid w:val="00D92392"/>
    <w:rsid w:val="00D92C7F"/>
    <w:rsid w:val="00D93801"/>
    <w:rsid w:val="00D93AD6"/>
    <w:rsid w:val="00D94772"/>
    <w:rsid w:val="00D96A98"/>
    <w:rsid w:val="00D97955"/>
    <w:rsid w:val="00DA0734"/>
    <w:rsid w:val="00DA0E20"/>
    <w:rsid w:val="00DA0F13"/>
    <w:rsid w:val="00DA0F31"/>
    <w:rsid w:val="00DA20F4"/>
    <w:rsid w:val="00DA289E"/>
    <w:rsid w:val="00DA2E82"/>
    <w:rsid w:val="00DA317B"/>
    <w:rsid w:val="00DA3CA5"/>
    <w:rsid w:val="00DA3E71"/>
    <w:rsid w:val="00DA4084"/>
    <w:rsid w:val="00DA439A"/>
    <w:rsid w:val="00DA4E38"/>
    <w:rsid w:val="00DA4EC9"/>
    <w:rsid w:val="00DA53D6"/>
    <w:rsid w:val="00DA6283"/>
    <w:rsid w:val="00DA7308"/>
    <w:rsid w:val="00DA73B0"/>
    <w:rsid w:val="00DB0756"/>
    <w:rsid w:val="00DB0AE7"/>
    <w:rsid w:val="00DB3E14"/>
    <w:rsid w:val="00DB4248"/>
    <w:rsid w:val="00DB528E"/>
    <w:rsid w:val="00DB5ABF"/>
    <w:rsid w:val="00DB69F7"/>
    <w:rsid w:val="00DB74A8"/>
    <w:rsid w:val="00DC00BF"/>
    <w:rsid w:val="00DC0564"/>
    <w:rsid w:val="00DC0771"/>
    <w:rsid w:val="00DC07DD"/>
    <w:rsid w:val="00DC14A9"/>
    <w:rsid w:val="00DC1CA4"/>
    <w:rsid w:val="00DC1D56"/>
    <w:rsid w:val="00DC1F3E"/>
    <w:rsid w:val="00DC2673"/>
    <w:rsid w:val="00DC2969"/>
    <w:rsid w:val="00DC386D"/>
    <w:rsid w:val="00DC417A"/>
    <w:rsid w:val="00DC4355"/>
    <w:rsid w:val="00DC4483"/>
    <w:rsid w:val="00DC58D1"/>
    <w:rsid w:val="00DC5908"/>
    <w:rsid w:val="00DC5C89"/>
    <w:rsid w:val="00DC6818"/>
    <w:rsid w:val="00DC7174"/>
    <w:rsid w:val="00DC78DC"/>
    <w:rsid w:val="00DD0DA5"/>
    <w:rsid w:val="00DD0DA8"/>
    <w:rsid w:val="00DD0ECB"/>
    <w:rsid w:val="00DD1667"/>
    <w:rsid w:val="00DD1CB2"/>
    <w:rsid w:val="00DD2334"/>
    <w:rsid w:val="00DD262A"/>
    <w:rsid w:val="00DD2C50"/>
    <w:rsid w:val="00DD30E4"/>
    <w:rsid w:val="00DD3377"/>
    <w:rsid w:val="00DD3540"/>
    <w:rsid w:val="00DD505B"/>
    <w:rsid w:val="00DD55BB"/>
    <w:rsid w:val="00DD5EF4"/>
    <w:rsid w:val="00DD61CC"/>
    <w:rsid w:val="00DD6E3D"/>
    <w:rsid w:val="00DD7718"/>
    <w:rsid w:val="00DD7970"/>
    <w:rsid w:val="00DE0EF5"/>
    <w:rsid w:val="00DE1970"/>
    <w:rsid w:val="00DE1BA5"/>
    <w:rsid w:val="00DE2FA5"/>
    <w:rsid w:val="00DE3172"/>
    <w:rsid w:val="00DE3A5D"/>
    <w:rsid w:val="00DE3F54"/>
    <w:rsid w:val="00DE479D"/>
    <w:rsid w:val="00DE49F0"/>
    <w:rsid w:val="00DE4F2F"/>
    <w:rsid w:val="00DE59DD"/>
    <w:rsid w:val="00DE5D96"/>
    <w:rsid w:val="00DE5FEA"/>
    <w:rsid w:val="00DE60C8"/>
    <w:rsid w:val="00DE67A7"/>
    <w:rsid w:val="00DE6C72"/>
    <w:rsid w:val="00DF03C6"/>
    <w:rsid w:val="00DF0982"/>
    <w:rsid w:val="00DF1F7D"/>
    <w:rsid w:val="00DF2B2F"/>
    <w:rsid w:val="00DF4807"/>
    <w:rsid w:val="00DF4FD0"/>
    <w:rsid w:val="00DF5369"/>
    <w:rsid w:val="00DF5A99"/>
    <w:rsid w:val="00DF5AE6"/>
    <w:rsid w:val="00DF5F77"/>
    <w:rsid w:val="00DF64B5"/>
    <w:rsid w:val="00DF663F"/>
    <w:rsid w:val="00E008AE"/>
    <w:rsid w:val="00E00DDC"/>
    <w:rsid w:val="00E017D8"/>
    <w:rsid w:val="00E0272E"/>
    <w:rsid w:val="00E031E9"/>
    <w:rsid w:val="00E03AC3"/>
    <w:rsid w:val="00E041FD"/>
    <w:rsid w:val="00E0468D"/>
    <w:rsid w:val="00E04A69"/>
    <w:rsid w:val="00E05E6D"/>
    <w:rsid w:val="00E0685D"/>
    <w:rsid w:val="00E06F83"/>
    <w:rsid w:val="00E07E5F"/>
    <w:rsid w:val="00E1002A"/>
    <w:rsid w:val="00E1132E"/>
    <w:rsid w:val="00E11FAC"/>
    <w:rsid w:val="00E12051"/>
    <w:rsid w:val="00E12288"/>
    <w:rsid w:val="00E12ACC"/>
    <w:rsid w:val="00E1386D"/>
    <w:rsid w:val="00E1465D"/>
    <w:rsid w:val="00E14BEF"/>
    <w:rsid w:val="00E153A0"/>
    <w:rsid w:val="00E1588E"/>
    <w:rsid w:val="00E17694"/>
    <w:rsid w:val="00E17765"/>
    <w:rsid w:val="00E17951"/>
    <w:rsid w:val="00E17C18"/>
    <w:rsid w:val="00E20973"/>
    <w:rsid w:val="00E20A13"/>
    <w:rsid w:val="00E20D9F"/>
    <w:rsid w:val="00E20DF6"/>
    <w:rsid w:val="00E21157"/>
    <w:rsid w:val="00E223A1"/>
    <w:rsid w:val="00E22A55"/>
    <w:rsid w:val="00E22CD1"/>
    <w:rsid w:val="00E233B3"/>
    <w:rsid w:val="00E238C4"/>
    <w:rsid w:val="00E24500"/>
    <w:rsid w:val="00E24B17"/>
    <w:rsid w:val="00E25207"/>
    <w:rsid w:val="00E25BE6"/>
    <w:rsid w:val="00E26914"/>
    <w:rsid w:val="00E27AF7"/>
    <w:rsid w:val="00E300A4"/>
    <w:rsid w:val="00E3216A"/>
    <w:rsid w:val="00E322DD"/>
    <w:rsid w:val="00E33471"/>
    <w:rsid w:val="00E347D8"/>
    <w:rsid w:val="00E34D09"/>
    <w:rsid w:val="00E3569F"/>
    <w:rsid w:val="00E356CA"/>
    <w:rsid w:val="00E35EFD"/>
    <w:rsid w:val="00E364F9"/>
    <w:rsid w:val="00E36573"/>
    <w:rsid w:val="00E371F1"/>
    <w:rsid w:val="00E37C5F"/>
    <w:rsid w:val="00E37C79"/>
    <w:rsid w:val="00E37EF1"/>
    <w:rsid w:val="00E37F2C"/>
    <w:rsid w:val="00E37F47"/>
    <w:rsid w:val="00E400B8"/>
    <w:rsid w:val="00E40AFF"/>
    <w:rsid w:val="00E40D13"/>
    <w:rsid w:val="00E40D6D"/>
    <w:rsid w:val="00E41111"/>
    <w:rsid w:val="00E417FE"/>
    <w:rsid w:val="00E41A95"/>
    <w:rsid w:val="00E4249F"/>
    <w:rsid w:val="00E441C6"/>
    <w:rsid w:val="00E442E0"/>
    <w:rsid w:val="00E44733"/>
    <w:rsid w:val="00E449BD"/>
    <w:rsid w:val="00E44BB2"/>
    <w:rsid w:val="00E44F13"/>
    <w:rsid w:val="00E45B65"/>
    <w:rsid w:val="00E46CE9"/>
    <w:rsid w:val="00E474AF"/>
    <w:rsid w:val="00E478ED"/>
    <w:rsid w:val="00E504D2"/>
    <w:rsid w:val="00E5122E"/>
    <w:rsid w:val="00E514AE"/>
    <w:rsid w:val="00E51F13"/>
    <w:rsid w:val="00E53B2F"/>
    <w:rsid w:val="00E5409E"/>
    <w:rsid w:val="00E541EE"/>
    <w:rsid w:val="00E54860"/>
    <w:rsid w:val="00E54D43"/>
    <w:rsid w:val="00E54F12"/>
    <w:rsid w:val="00E55CB7"/>
    <w:rsid w:val="00E563F2"/>
    <w:rsid w:val="00E601D0"/>
    <w:rsid w:val="00E601F8"/>
    <w:rsid w:val="00E60890"/>
    <w:rsid w:val="00E6363E"/>
    <w:rsid w:val="00E63FAE"/>
    <w:rsid w:val="00E6418D"/>
    <w:rsid w:val="00E6488C"/>
    <w:rsid w:val="00E64CFA"/>
    <w:rsid w:val="00E64D71"/>
    <w:rsid w:val="00E652A0"/>
    <w:rsid w:val="00E6652A"/>
    <w:rsid w:val="00E66FF3"/>
    <w:rsid w:val="00E6777F"/>
    <w:rsid w:val="00E67F86"/>
    <w:rsid w:val="00E71402"/>
    <w:rsid w:val="00E714B3"/>
    <w:rsid w:val="00E71640"/>
    <w:rsid w:val="00E722B2"/>
    <w:rsid w:val="00E72F01"/>
    <w:rsid w:val="00E73175"/>
    <w:rsid w:val="00E737FD"/>
    <w:rsid w:val="00E73A76"/>
    <w:rsid w:val="00E73CA3"/>
    <w:rsid w:val="00E73CE9"/>
    <w:rsid w:val="00E742EA"/>
    <w:rsid w:val="00E74C5F"/>
    <w:rsid w:val="00E74C8B"/>
    <w:rsid w:val="00E74F1F"/>
    <w:rsid w:val="00E75EF2"/>
    <w:rsid w:val="00E75FA8"/>
    <w:rsid w:val="00E777B6"/>
    <w:rsid w:val="00E80A04"/>
    <w:rsid w:val="00E80F97"/>
    <w:rsid w:val="00E81689"/>
    <w:rsid w:val="00E82234"/>
    <w:rsid w:val="00E82D09"/>
    <w:rsid w:val="00E8302E"/>
    <w:rsid w:val="00E836D3"/>
    <w:rsid w:val="00E83AA7"/>
    <w:rsid w:val="00E84ABC"/>
    <w:rsid w:val="00E8601A"/>
    <w:rsid w:val="00E8634A"/>
    <w:rsid w:val="00E8685A"/>
    <w:rsid w:val="00E86D04"/>
    <w:rsid w:val="00E8781A"/>
    <w:rsid w:val="00E87825"/>
    <w:rsid w:val="00E8799A"/>
    <w:rsid w:val="00E904B2"/>
    <w:rsid w:val="00E90AD4"/>
    <w:rsid w:val="00E91B7D"/>
    <w:rsid w:val="00E9216D"/>
    <w:rsid w:val="00E926CD"/>
    <w:rsid w:val="00E926ED"/>
    <w:rsid w:val="00E931AF"/>
    <w:rsid w:val="00E933E7"/>
    <w:rsid w:val="00E937DD"/>
    <w:rsid w:val="00E93F04"/>
    <w:rsid w:val="00E94855"/>
    <w:rsid w:val="00E955F9"/>
    <w:rsid w:val="00E963BB"/>
    <w:rsid w:val="00E966AC"/>
    <w:rsid w:val="00E96914"/>
    <w:rsid w:val="00E96E64"/>
    <w:rsid w:val="00E96E8A"/>
    <w:rsid w:val="00E9755E"/>
    <w:rsid w:val="00E977E6"/>
    <w:rsid w:val="00E97FD2"/>
    <w:rsid w:val="00EA059F"/>
    <w:rsid w:val="00EA06DE"/>
    <w:rsid w:val="00EA0792"/>
    <w:rsid w:val="00EA099C"/>
    <w:rsid w:val="00EA0C07"/>
    <w:rsid w:val="00EA228A"/>
    <w:rsid w:val="00EA2B50"/>
    <w:rsid w:val="00EA3009"/>
    <w:rsid w:val="00EA397F"/>
    <w:rsid w:val="00EA4297"/>
    <w:rsid w:val="00EA4434"/>
    <w:rsid w:val="00EA47C6"/>
    <w:rsid w:val="00EA489F"/>
    <w:rsid w:val="00EA59E9"/>
    <w:rsid w:val="00EA59F3"/>
    <w:rsid w:val="00EA5D7D"/>
    <w:rsid w:val="00EA5EFB"/>
    <w:rsid w:val="00EA61A3"/>
    <w:rsid w:val="00EA6C07"/>
    <w:rsid w:val="00EA75D8"/>
    <w:rsid w:val="00EB01AE"/>
    <w:rsid w:val="00EB08EC"/>
    <w:rsid w:val="00EB09D8"/>
    <w:rsid w:val="00EB131F"/>
    <w:rsid w:val="00EB1F65"/>
    <w:rsid w:val="00EB2FB8"/>
    <w:rsid w:val="00EB3513"/>
    <w:rsid w:val="00EB41E1"/>
    <w:rsid w:val="00EB4D40"/>
    <w:rsid w:val="00EB5834"/>
    <w:rsid w:val="00EB625E"/>
    <w:rsid w:val="00EB639D"/>
    <w:rsid w:val="00EB64D1"/>
    <w:rsid w:val="00EB6630"/>
    <w:rsid w:val="00EB7A6C"/>
    <w:rsid w:val="00EB7BF9"/>
    <w:rsid w:val="00EB7C61"/>
    <w:rsid w:val="00EB7E06"/>
    <w:rsid w:val="00EC042D"/>
    <w:rsid w:val="00EC04E0"/>
    <w:rsid w:val="00EC07BC"/>
    <w:rsid w:val="00EC0FC8"/>
    <w:rsid w:val="00EC1298"/>
    <w:rsid w:val="00EC1609"/>
    <w:rsid w:val="00EC1B55"/>
    <w:rsid w:val="00EC2024"/>
    <w:rsid w:val="00EC2697"/>
    <w:rsid w:val="00EC2EAD"/>
    <w:rsid w:val="00EC3657"/>
    <w:rsid w:val="00EC44C4"/>
    <w:rsid w:val="00EC456A"/>
    <w:rsid w:val="00EC4B03"/>
    <w:rsid w:val="00EC4E32"/>
    <w:rsid w:val="00EC6D1C"/>
    <w:rsid w:val="00EC7B03"/>
    <w:rsid w:val="00ED0039"/>
    <w:rsid w:val="00ED11FA"/>
    <w:rsid w:val="00ED18EF"/>
    <w:rsid w:val="00ED1B3F"/>
    <w:rsid w:val="00ED1C22"/>
    <w:rsid w:val="00ED3005"/>
    <w:rsid w:val="00ED3D15"/>
    <w:rsid w:val="00ED49C6"/>
    <w:rsid w:val="00ED4C01"/>
    <w:rsid w:val="00ED4C39"/>
    <w:rsid w:val="00ED543A"/>
    <w:rsid w:val="00ED55C5"/>
    <w:rsid w:val="00ED60CF"/>
    <w:rsid w:val="00ED7C7E"/>
    <w:rsid w:val="00EE0345"/>
    <w:rsid w:val="00EE1315"/>
    <w:rsid w:val="00EE2F89"/>
    <w:rsid w:val="00EE3109"/>
    <w:rsid w:val="00EE348A"/>
    <w:rsid w:val="00EE5420"/>
    <w:rsid w:val="00EE5C20"/>
    <w:rsid w:val="00EF057B"/>
    <w:rsid w:val="00EF0EE1"/>
    <w:rsid w:val="00EF2AE1"/>
    <w:rsid w:val="00EF2CAB"/>
    <w:rsid w:val="00EF4EAB"/>
    <w:rsid w:val="00EF539F"/>
    <w:rsid w:val="00EF5406"/>
    <w:rsid w:val="00EF6619"/>
    <w:rsid w:val="00EF6B07"/>
    <w:rsid w:val="00EF714A"/>
    <w:rsid w:val="00EF734B"/>
    <w:rsid w:val="00EF7742"/>
    <w:rsid w:val="00EF7D0D"/>
    <w:rsid w:val="00F0129E"/>
    <w:rsid w:val="00F013F8"/>
    <w:rsid w:val="00F01893"/>
    <w:rsid w:val="00F01C27"/>
    <w:rsid w:val="00F01FF1"/>
    <w:rsid w:val="00F02426"/>
    <w:rsid w:val="00F02F0F"/>
    <w:rsid w:val="00F04446"/>
    <w:rsid w:val="00F04603"/>
    <w:rsid w:val="00F04705"/>
    <w:rsid w:val="00F050B8"/>
    <w:rsid w:val="00F06066"/>
    <w:rsid w:val="00F0684A"/>
    <w:rsid w:val="00F06858"/>
    <w:rsid w:val="00F06C53"/>
    <w:rsid w:val="00F07572"/>
    <w:rsid w:val="00F07955"/>
    <w:rsid w:val="00F07AFF"/>
    <w:rsid w:val="00F1061F"/>
    <w:rsid w:val="00F10D1C"/>
    <w:rsid w:val="00F119C8"/>
    <w:rsid w:val="00F11C9E"/>
    <w:rsid w:val="00F12504"/>
    <w:rsid w:val="00F1260F"/>
    <w:rsid w:val="00F127FA"/>
    <w:rsid w:val="00F12C8F"/>
    <w:rsid w:val="00F131AB"/>
    <w:rsid w:val="00F13E45"/>
    <w:rsid w:val="00F14A5D"/>
    <w:rsid w:val="00F14EC6"/>
    <w:rsid w:val="00F1542E"/>
    <w:rsid w:val="00F15486"/>
    <w:rsid w:val="00F1641C"/>
    <w:rsid w:val="00F165D9"/>
    <w:rsid w:val="00F169AD"/>
    <w:rsid w:val="00F179B7"/>
    <w:rsid w:val="00F17DA9"/>
    <w:rsid w:val="00F2100B"/>
    <w:rsid w:val="00F22084"/>
    <w:rsid w:val="00F22F5C"/>
    <w:rsid w:val="00F23314"/>
    <w:rsid w:val="00F233C9"/>
    <w:rsid w:val="00F23589"/>
    <w:rsid w:val="00F23CAB"/>
    <w:rsid w:val="00F25FF3"/>
    <w:rsid w:val="00F26BFA"/>
    <w:rsid w:val="00F27AC1"/>
    <w:rsid w:val="00F27B24"/>
    <w:rsid w:val="00F27DC4"/>
    <w:rsid w:val="00F303C8"/>
    <w:rsid w:val="00F31A94"/>
    <w:rsid w:val="00F32BD1"/>
    <w:rsid w:val="00F33427"/>
    <w:rsid w:val="00F3345A"/>
    <w:rsid w:val="00F33E75"/>
    <w:rsid w:val="00F34224"/>
    <w:rsid w:val="00F346A3"/>
    <w:rsid w:val="00F34EFC"/>
    <w:rsid w:val="00F3530B"/>
    <w:rsid w:val="00F3532B"/>
    <w:rsid w:val="00F35F5B"/>
    <w:rsid w:val="00F37E10"/>
    <w:rsid w:val="00F40588"/>
    <w:rsid w:val="00F40D23"/>
    <w:rsid w:val="00F412D1"/>
    <w:rsid w:val="00F41610"/>
    <w:rsid w:val="00F41795"/>
    <w:rsid w:val="00F41929"/>
    <w:rsid w:val="00F419A0"/>
    <w:rsid w:val="00F42081"/>
    <w:rsid w:val="00F42284"/>
    <w:rsid w:val="00F4322F"/>
    <w:rsid w:val="00F4357B"/>
    <w:rsid w:val="00F4377A"/>
    <w:rsid w:val="00F43C2A"/>
    <w:rsid w:val="00F43D72"/>
    <w:rsid w:val="00F442B3"/>
    <w:rsid w:val="00F44B70"/>
    <w:rsid w:val="00F47C98"/>
    <w:rsid w:val="00F47DFA"/>
    <w:rsid w:val="00F47EFE"/>
    <w:rsid w:val="00F50880"/>
    <w:rsid w:val="00F50EF0"/>
    <w:rsid w:val="00F513B2"/>
    <w:rsid w:val="00F524BB"/>
    <w:rsid w:val="00F5280F"/>
    <w:rsid w:val="00F52A2C"/>
    <w:rsid w:val="00F53524"/>
    <w:rsid w:val="00F537BF"/>
    <w:rsid w:val="00F5438C"/>
    <w:rsid w:val="00F549D5"/>
    <w:rsid w:val="00F56649"/>
    <w:rsid w:val="00F56765"/>
    <w:rsid w:val="00F56F28"/>
    <w:rsid w:val="00F5725E"/>
    <w:rsid w:val="00F6012C"/>
    <w:rsid w:val="00F60923"/>
    <w:rsid w:val="00F61039"/>
    <w:rsid w:val="00F61D7E"/>
    <w:rsid w:val="00F626BE"/>
    <w:rsid w:val="00F62742"/>
    <w:rsid w:val="00F62BDE"/>
    <w:rsid w:val="00F62DC9"/>
    <w:rsid w:val="00F63179"/>
    <w:rsid w:val="00F64500"/>
    <w:rsid w:val="00F65B10"/>
    <w:rsid w:val="00F65B7B"/>
    <w:rsid w:val="00F65F92"/>
    <w:rsid w:val="00F666E3"/>
    <w:rsid w:val="00F671F6"/>
    <w:rsid w:val="00F672C8"/>
    <w:rsid w:val="00F6732A"/>
    <w:rsid w:val="00F67339"/>
    <w:rsid w:val="00F67408"/>
    <w:rsid w:val="00F70544"/>
    <w:rsid w:val="00F70A1C"/>
    <w:rsid w:val="00F70E9F"/>
    <w:rsid w:val="00F7136F"/>
    <w:rsid w:val="00F71D1F"/>
    <w:rsid w:val="00F72BD1"/>
    <w:rsid w:val="00F733D8"/>
    <w:rsid w:val="00F7419A"/>
    <w:rsid w:val="00F747B4"/>
    <w:rsid w:val="00F74D92"/>
    <w:rsid w:val="00F755AE"/>
    <w:rsid w:val="00F75B0B"/>
    <w:rsid w:val="00F76321"/>
    <w:rsid w:val="00F76E76"/>
    <w:rsid w:val="00F80784"/>
    <w:rsid w:val="00F80F14"/>
    <w:rsid w:val="00F812C8"/>
    <w:rsid w:val="00F81B00"/>
    <w:rsid w:val="00F82E1F"/>
    <w:rsid w:val="00F83F73"/>
    <w:rsid w:val="00F851E0"/>
    <w:rsid w:val="00F86037"/>
    <w:rsid w:val="00F860A5"/>
    <w:rsid w:val="00F86BEE"/>
    <w:rsid w:val="00F874ED"/>
    <w:rsid w:val="00F87DCD"/>
    <w:rsid w:val="00F90A87"/>
    <w:rsid w:val="00F90D0A"/>
    <w:rsid w:val="00F91815"/>
    <w:rsid w:val="00F9190E"/>
    <w:rsid w:val="00F92A6D"/>
    <w:rsid w:val="00F92E8A"/>
    <w:rsid w:val="00F93823"/>
    <w:rsid w:val="00F93EEA"/>
    <w:rsid w:val="00F94187"/>
    <w:rsid w:val="00F94311"/>
    <w:rsid w:val="00F94FBD"/>
    <w:rsid w:val="00F9534B"/>
    <w:rsid w:val="00F956AC"/>
    <w:rsid w:val="00F957AF"/>
    <w:rsid w:val="00F96AC9"/>
    <w:rsid w:val="00F96AF6"/>
    <w:rsid w:val="00F96F3C"/>
    <w:rsid w:val="00F97276"/>
    <w:rsid w:val="00FA006A"/>
    <w:rsid w:val="00FA0224"/>
    <w:rsid w:val="00FA1789"/>
    <w:rsid w:val="00FA1D8A"/>
    <w:rsid w:val="00FA1E9F"/>
    <w:rsid w:val="00FA2D6B"/>
    <w:rsid w:val="00FA3CEF"/>
    <w:rsid w:val="00FA3E28"/>
    <w:rsid w:val="00FA494F"/>
    <w:rsid w:val="00FA4A7F"/>
    <w:rsid w:val="00FA526B"/>
    <w:rsid w:val="00FA56EB"/>
    <w:rsid w:val="00FA5B37"/>
    <w:rsid w:val="00FA669C"/>
    <w:rsid w:val="00FA6E69"/>
    <w:rsid w:val="00FA7133"/>
    <w:rsid w:val="00FB192B"/>
    <w:rsid w:val="00FB2307"/>
    <w:rsid w:val="00FB2A24"/>
    <w:rsid w:val="00FB34DB"/>
    <w:rsid w:val="00FB3BAE"/>
    <w:rsid w:val="00FB3E10"/>
    <w:rsid w:val="00FB482C"/>
    <w:rsid w:val="00FB543B"/>
    <w:rsid w:val="00FB5965"/>
    <w:rsid w:val="00FB739C"/>
    <w:rsid w:val="00FB76A7"/>
    <w:rsid w:val="00FB76FF"/>
    <w:rsid w:val="00FB7AAB"/>
    <w:rsid w:val="00FB7BB8"/>
    <w:rsid w:val="00FC15BC"/>
    <w:rsid w:val="00FC1937"/>
    <w:rsid w:val="00FC1D8E"/>
    <w:rsid w:val="00FC256C"/>
    <w:rsid w:val="00FC2B51"/>
    <w:rsid w:val="00FC44BF"/>
    <w:rsid w:val="00FC4FD6"/>
    <w:rsid w:val="00FC6140"/>
    <w:rsid w:val="00FC65BE"/>
    <w:rsid w:val="00FC66A4"/>
    <w:rsid w:val="00FC6B6C"/>
    <w:rsid w:val="00FC6C30"/>
    <w:rsid w:val="00FC7847"/>
    <w:rsid w:val="00FC7EAF"/>
    <w:rsid w:val="00FD0B1B"/>
    <w:rsid w:val="00FD118C"/>
    <w:rsid w:val="00FD14D4"/>
    <w:rsid w:val="00FD2512"/>
    <w:rsid w:val="00FD2B06"/>
    <w:rsid w:val="00FD31F7"/>
    <w:rsid w:val="00FD32BD"/>
    <w:rsid w:val="00FD36AE"/>
    <w:rsid w:val="00FD446D"/>
    <w:rsid w:val="00FD54A8"/>
    <w:rsid w:val="00FD66FC"/>
    <w:rsid w:val="00FD7060"/>
    <w:rsid w:val="00FD7166"/>
    <w:rsid w:val="00FD7FFE"/>
    <w:rsid w:val="00FE08F1"/>
    <w:rsid w:val="00FE185C"/>
    <w:rsid w:val="00FE1BA8"/>
    <w:rsid w:val="00FE1F7B"/>
    <w:rsid w:val="00FE266F"/>
    <w:rsid w:val="00FE27F4"/>
    <w:rsid w:val="00FE2AED"/>
    <w:rsid w:val="00FE2EAC"/>
    <w:rsid w:val="00FE3200"/>
    <w:rsid w:val="00FE4407"/>
    <w:rsid w:val="00FE4F00"/>
    <w:rsid w:val="00FE5FF2"/>
    <w:rsid w:val="00FE697D"/>
    <w:rsid w:val="00FE73D2"/>
    <w:rsid w:val="00FE7610"/>
    <w:rsid w:val="00FE794A"/>
    <w:rsid w:val="00FE7A2B"/>
    <w:rsid w:val="00FF0413"/>
    <w:rsid w:val="00FF1ACF"/>
    <w:rsid w:val="00FF1B0F"/>
    <w:rsid w:val="00FF1D42"/>
    <w:rsid w:val="00FF2B0D"/>
    <w:rsid w:val="00FF3799"/>
    <w:rsid w:val="00FF3EEF"/>
    <w:rsid w:val="00FF4414"/>
    <w:rsid w:val="00FF48E3"/>
    <w:rsid w:val="00FF4CBD"/>
    <w:rsid w:val="00FF4DB5"/>
    <w:rsid w:val="00FF56F4"/>
    <w:rsid w:val="00FF5A71"/>
    <w:rsid w:val="00FF63CB"/>
    <w:rsid w:val="00FF64A9"/>
    <w:rsid w:val="00FF707A"/>
    <w:rsid w:val="00FF7624"/>
    <w:rsid w:val="0D3CA2EC"/>
    <w:rsid w:val="0F9EA20F"/>
    <w:rsid w:val="149C6CD5"/>
    <w:rsid w:val="1FA2A294"/>
    <w:rsid w:val="506A8B6D"/>
    <w:rsid w:val="6C8C7024"/>
    <w:rsid w:val="7B7C5168"/>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B84F24"/>
  <w15:docId w15:val="{01620C49-59B4-4849-8587-1003112E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1F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636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B41C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BA9"/>
    <w:pPr>
      <w:ind w:left="720"/>
      <w:contextualSpacing/>
    </w:pPr>
  </w:style>
  <w:style w:type="character" w:customStyle="1" w:styleId="apple-converted-space">
    <w:name w:val="apple-converted-space"/>
    <w:basedOn w:val="DefaultParagraphFont"/>
    <w:rsid w:val="009F6856"/>
  </w:style>
  <w:style w:type="character" w:styleId="Emphasis">
    <w:name w:val="Emphasis"/>
    <w:basedOn w:val="DefaultParagraphFont"/>
    <w:uiPriority w:val="20"/>
    <w:qFormat/>
    <w:rsid w:val="009F6856"/>
    <w:rPr>
      <w:i/>
      <w:iCs/>
    </w:rPr>
  </w:style>
  <w:style w:type="character" w:styleId="CommentReference">
    <w:name w:val="annotation reference"/>
    <w:basedOn w:val="DefaultParagraphFont"/>
    <w:uiPriority w:val="99"/>
    <w:semiHidden/>
    <w:unhideWhenUsed/>
    <w:rsid w:val="009F6856"/>
    <w:rPr>
      <w:sz w:val="16"/>
      <w:szCs w:val="16"/>
    </w:rPr>
  </w:style>
  <w:style w:type="paragraph" w:styleId="CommentText">
    <w:name w:val="annotation text"/>
    <w:basedOn w:val="Normal"/>
    <w:link w:val="CommentTextChar"/>
    <w:uiPriority w:val="99"/>
    <w:unhideWhenUsed/>
    <w:rsid w:val="009F6856"/>
    <w:pPr>
      <w:spacing w:line="240" w:lineRule="auto"/>
    </w:pPr>
    <w:rPr>
      <w:sz w:val="20"/>
      <w:szCs w:val="20"/>
    </w:rPr>
  </w:style>
  <w:style w:type="character" w:customStyle="1" w:styleId="CommentTextChar">
    <w:name w:val="Comment Text Char"/>
    <w:basedOn w:val="DefaultParagraphFont"/>
    <w:link w:val="CommentText"/>
    <w:uiPriority w:val="99"/>
    <w:rsid w:val="009F6856"/>
    <w:rPr>
      <w:sz w:val="20"/>
      <w:szCs w:val="20"/>
    </w:rPr>
  </w:style>
  <w:style w:type="paragraph" w:styleId="BalloonText">
    <w:name w:val="Balloon Text"/>
    <w:basedOn w:val="Normal"/>
    <w:link w:val="BalloonTextChar"/>
    <w:uiPriority w:val="99"/>
    <w:semiHidden/>
    <w:unhideWhenUsed/>
    <w:rsid w:val="009F68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85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43CBD"/>
    <w:rPr>
      <w:b/>
      <w:bCs/>
    </w:rPr>
  </w:style>
  <w:style w:type="character" w:customStyle="1" w:styleId="CommentSubjectChar">
    <w:name w:val="Comment Subject Char"/>
    <w:basedOn w:val="CommentTextChar"/>
    <w:link w:val="CommentSubject"/>
    <w:uiPriority w:val="99"/>
    <w:semiHidden/>
    <w:rsid w:val="00D43CBD"/>
    <w:rPr>
      <w:b/>
      <w:bCs/>
      <w:sz w:val="20"/>
      <w:szCs w:val="20"/>
    </w:rPr>
  </w:style>
  <w:style w:type="paragraph" w:styleId="Header">
    <w:name w:val="header"/>
    <w:basedOn w:val="Normal"/>
    <w:link w:val="HeaderChar"/>
    <w:uiPriority w:val="99"/>
    <w:unhideWhenUsed/>
    <w:rsid w:val="00536A09"/>
    <w:pPr>
      <w:tabs>
        <w:tab w:val="center" w:pos="4819"/>
        <w:tab w:val="right" w:pos="9638"/>
      </w:tabs>
      <w:spacing w:after="0" w:line="240" w:lineRule="auto"/>
    </w:pPr>
  </w:style>
  <w:style w:type="character" w:customStyle="1" w:styleId="HeaderChar">
    <w:name w:val="Header Char"/>
    <w:basedOn w:val="DefaultParagraphFont"/>
    <w:link w:val="Header"/>
    <w:uiPriority w:val="99"/>
    <w:rsid w:val="00536A09"/>
  </w:style>
  <w:style w:type="paragraph" w:styleId="Footer">
    <w:name w:val="footer"/>
    <w:basedOn w:val="Normal"/>
    <w:link w:val="FooterChar"/>
    <w:uiPriority w:val="99"/>
    <w:unhideWhenUsed/>
    <w:rsid w:val="00536A09"/>
    <w:pPr>
      <w:tabs>
        <w:tab w:val="center" w:pos="4819"/>
        <w:tab w:val="right" w:pos="9638"/>
      </w:tabs>
      <w:spacing w:after="0" w:line="240" w:lineRule="auto"/>
    </w:pPr>
  </w:style>
  <w:style w:type="character" w:customStyle="1" w:styleId="FooterChar">
    <w:name w:val="Footer Char"/>
    <w:basedOn w:val="DefaultParagraphFont"/>
    <w:link w:val="Footer"/>
    <w:uiPriority w:val="99"/>
    <w:rsid w:val="00536A09"/>
  </w:style>
  <w:style w:type="paragraph" w:styleId="Revision">
    <w:name w:val="Revision"/>
    <w:hidden/>
    <w:uiPriority w:val="99"/>
    <w:semiHidden/>
    <w:rsid w:val="00CE72AB"/>
    <w:pPr>
      <w:spacing w:after="0" w:line="240" w:lineRule="auto"/>
    </w:pPr>
  </w:style>
  <w:style w:type="character" w:styleId="Hyperlink">
    <w:name w:val="Hyperlink"/>
    <w:basedOn w:val="DefaultParagraphFont"/>
    <w:uiPriority w:val="99"/>
    <w:unhideWhenUsed/>
    <w:rsid w:val="001B496B"/>
    <w:rPr>
      <w:color w:val="0563C1" w:themeColor="hyperlink"/>
      <w:u w:val="single"/>
    </w:rPr>
  </w:style>
  <w:style w:type="character" w:customStyle="1" w:styleId="fontstyle01">
    <w:name w:val="fontstyle01"/>
    <w:basedOn w:val="DefaultParagraphFont"/>
    <w:rsid w:val="00B517B9"/>
    <w:rPr>
      <w:rFonts w:ascii="Verdana" w:hAnsi="Verdana" w:hint="default"/>
      <w:b w:val="0"/>
      <w:bCs w:val="0"/>
      <w:i w:val="0"/>
      <w:iCs w:val="0"/>
      <w:color w:val="000000"/>
      <w:sz w:val="18"/>
      <w:szCs w:val="18"/>
    </w:rPr>
  </w:style>
  <w:style w:type="character" w:customStyle="1" w:styleId="fontstyle21">
    <w:name w:val="fontstyle21"/>
    <w:basedOn w:val="DefaultParagraphFont"/>
    <w:rsid w:val="00B517B9"/>
    <w:rPr>
      <w:rFonts w:ascii="Verdana-Italic" w:hAnsi="Verdana-Italic" w:hint="default"/>
      <w:b w:val="0"/>
      <w:bCs w:val="0"/>
      <w:i/>
      <w:iCs/>
      <w:color w:val="000000"/>
      <w:sz w:val="18"/>
      <w:szCs w:val="18"/>
    </w:rPr>
  </w:style>
  <w:style w:type="character" w:customStyle="1" w:styleId="Heading1Char">
    <w:name w:val="Heading 1 Char"/>
    <w:basedOn w:val="DefaultParagraphFont"/>
    <w:link w:val="Heading1"/>
    <w:uiPriority w:val="9"/>
    <w:rsid w:val="00441F40"/>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F07572"/>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B0309"/>
    <w:rPr>
      <w:color w:val="954F72" w:themeColor="followedHyperlink"/>
      <w:u w:val="single"/>
    </w:rPr>
  </w:style>
  <w:style w:type="character" w:customStyle="1" w:styleId="Mention1">
    <w:name w:val="Mention1"/>
    <w:basedOn w:val="DefaultParagraphFont"/>
    <w:uiPriority w:val="99"/>
    <w:semiHidden/>
    <w:unhideWhenUsed/>
    <w:rsid w:val="00CA5197"/>
    <w:rPr>
      <w:color w:val="2B579A"/>
      <w:shd w:val="clear" w:color="auto" w:fill="E6E6E6"/>
    </w:rPr>
  </w:style>
  <w:style w:type="character" w:customStyle="1" w:styleId="Heading2Char">
    <w:name w:val="Heading 2 Char"/>
    <w:basedOn w:val="DefaultParagraphFont"/>
    <w:link w:val="Heading2"/>
    <w:uiPriority w:val="9"/>
    <w:semiHidden/>
    <w:rsid w:val="001636A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B41C61"/>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354D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4D67"/>
    <w:rPr>
      <w:sz w:val="20"/>
      <w:szCs w:val="20"/>
    </w:rPr>
  </w:style>
  <w:style w:type="character" w:styleId="FootnoteReference">
    <w:name w:val="footnote reference"/>
    <w:basedOn w:val="DefaultParagraphFont"/>
    <w:uiPriority w:val="99"/>
    <w:semiHidden/>
    <w:unhideWhenUsed/>
    <w:rsid w:val="00354D67"/>
    <w:rPr>
      <w:vertAlign w:val="superscript"/>
    </w:rPr>
  </w:style>
  <w:style w:type="paragraph" w:customStyle="1" w:styleId="1">
    <w:name w:val="正文1"/>
    <w:uiPriority w:val="99"/>
    <w:rsid w:val="00082FE8"/>
    <w:pPr>
      <w:spacing w:after="0" w:line="276" w:lineRule="auto"/>
    </w:pPr>
    <w:rPr>
      <w:rFonts w:ascii="Arial" w:eastAsia="SimSun" w:hAnsi="Arial" w:cs="Arial"/>
      <w:color w:val="000000"/>
      <w:szCs w:val="20"/>
      <w:lang w:val="pl-PL" w:eastAsia="pl-PL"/>
    </w:rPr>
  </w:style>
  <w:style w:type="character" w:customStyle="1" w:styleId="UnresolvedMention">
    <w:name w:val="Unresolved Mention"/>
    <w:basedOn w:val="DefaultParagraphFont"/>
    <w:uiPriority w:val="99"/>
    <w:semiHidden/>
    <w:unhideWhenUsed/>
    <w:rsid w:val="00A105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73059">
      <w:bodyDiv w:val="1"/>
      <w:marLeft w:val="0"/>
      <w:marRight w:val="0"/>
      <w:marTop w:val="0"/>
      <w:marBottom w:val="0"/>
      <w:divBdr>
        <w:top w:val="none" w:sz="0" w:space="0" w:color="auto"/>
        <w:left w:val="none" w:sz="0" w:space="0" w:color="auto"/>
        <w:bottom w:val="none" w:sz="0" w:space="0" w:color="auto"/>
        <w:right w:val="none" w:sz="0" w:space="0" w:color="auto"/>
      </w:divBdr>
    </w:div>
    <w:div w:id="211116405">
      <w:bodyDiv w:val="1"/>
      <w:marLeft w:val="0"/>
      <w:marRight w:val="0"/>
      <w:marTop w:val="0"/>
      <w:marBottom w:val="0"/>
      <w:divBdr>
        <w:top w:val="none" w:sz="0" w:space="0" w:color="auto"/>
        <w:left w:val="none" w:sz="0" w:space="0" w:color="auto"/>
        <w:bottom w:val="none" w:sz="0" w:space="0" w:color="auto"/>
        <w:right w:val="none" w:sz="0" w:space="0" w:color="auto"/>
      </w:divBdr>
    </w:div>
    <w:div w:id="239338040">
      <w:bodyDiv w:val="1"/>
      <w:marLeft w:val="0"/>
      <w:marRight w:val="0"/>
      <w:marTop w:val="0"/>
      <w:marBottom w:val="0"/>
      <w:divBdr>
        <w:top w:val="none" w:sz="0" w:space="0" w:color="auto"/>
        <w:left w:val="none" w:sz="0" w:space="0" w:color="auto"/>
        <w:bottom w:val="none" w:sz="0" w:space="0" w:color="auto"/>
        <w:right w:val="none" w:sz="0" w:space="0" w:color="auto"/>
      </w:divBdr>
    </w:div>
    <w:div w:id="270286488">
      <w:bodyDiv w:val="1"/>
      <w:marLeft w:val="0"/>
      <w:marRight w:val="0"/>
      <w:marTop w:val="0"/>
      <w:marBottom w:val="0"/>
      <w:divBdr>
        <w:top w:val="none" w:sz="0" w:space="0" w:color="auto"/>
        <w:left w:val="none" w:sz="0" w:space="0" w:color="auto"/>
        <w:bottom w:val="none" w:sz="0" w:space="0" w:color="auto"/>
        <w:right w:val="none" w:sz="0" w:space="0" w:color="auto"/>
      </w:divBdr>
    </w:div>
    <w:div w:id="272325676">
      <w:bodyDiv w:val="1"/>
      <w:marLeft w:val="0"/>
      <w:marRight w:val="0"/>
      <w:marTop w:val="0"/>
      <w:marBottom w:val="0"/>
      <w:divBdr>
        <w:top w:val="none" w:sz="0" w:space="0" w:color="auto"/>
        <w:left w:val="none" w:sz="0" w:space="0" w:color="auto"/>
        <w:bottom w:val="none" w:sz="0" w:space="0" w:color="auto"/>
        <w:right w:val="none" w:sz="0" w:space="0" w:color="auto"/>
      </w:divBdr>
    </w:div>
    <w:div w:id="304432369">
      <w:bodyDiv w:val="1"/>
      <w:marLeft w:val="0"/>
      <w:marRight w:val="0"/>
      <w:marTop w:val="0"/>
      <w:marBottom w:val="0"/>
      <w:divBdr>
        <w:top w:val="none" w:sz="0" w:space="0" w:color="auto"/>
        <w:left w:val="none" w:sz="0" w:space="0" w:color="auto"/>
        <w:bottom w:val="none" w:sz="0" w:space="0" w:color="auto"/>
        <w:right w:val="none" w:sz="0" w:space="0" w:color="auto"/>
      </w:divBdr>
      <w:divsChild>
        <w:div w:id="974798344">
          <w:marLeft w:val="0"/>
          <w:marRight w:val="0"/>
          <w:marTop w:val="0"/>
          <w:marBottom w:val="0"/>
          <w:divBdr>
            <w:top w:val="none" w:sz="0" w:space="0" w:color="auto"/>
            <w:left w:val="none" w:sz="0" w:space="0" w:color="auto"/>
            <w:bottom w:val="none" w:sz="0" w:space="0" w:color="auto"/>
            <w:right w:val="none" w:sz="0" w:space="0" w:color="auto"/>
          </w:divBdr>
        </w:div>
        <w:div w:id="1275094813">
          <w:marLeft w:val="0"/>
          <w:marRight w:val="0"/>
          <w:marTop w:val="0"/>
          <w:marBottom w:val="0"/>
          <w:divBdr>
            <w:top w:val="none" w:sz="0" w:space="0" w:color="auto"/>
            <w:left w:val="none" w:sz="0" w:space="0" w:color="auto"/>
            <w:bottom w:val="none" w:sz="0" w:space="0" w:color="auto"/>
            <w:right w:val="none" w:sz="0" w:space="0" w:color="auto"/>
          </w:divBdr>
        </w:div>
        <w:div w:id="1286696575">
          <w:marLeft w:val="0"/>
          <w:marRight w:val="0"/>
          <w:marTop w:val="0"/>
          <w:marBottom w:val="0"/>
          <w:divBdr>
            <w:top w:val="none" w:sz="0" w:space="0" w:color="auto"/>
            <w:left w:val="none" w:sz="0" w:space="0" w:color="auto"/>
            <w:bottom w:val="none" w:sz="0" w:space="0" w:color="auto"/>
            <w:right w:val="none" w:sz="0" w:space="0" w:color="auto"/>
          </w:divBdr>
        </w:div>
        <w:div w:id="1862205540">
          <w:marLeft w:val="0"/>
          <w:marRight w:val="0"/>
          <w:marTop w:val="0"/>
          <w:marBottom w:val="0"/>
          <w:divBdr>
            <w:top w:val="none" w:sz="0" w:space="0" w:color="auto"/>
            <w:left w:val="none" w:sz="0" w:space="0" w:color="auto"/>
            <w:bottom w:val="none" w:sz="0" w:space="0" w:color="auto"/>
            <w:right w:val="none" w:sz="0" w:space="0" w:color="auto"/>
          </w:divBdr>
        </w:div>
        <w:div w:id="1915704016">
          <w:marLeft w:val="0"/>
          <w:marRight w:val="0"/>
          <w:marTop w:val="0"/>
          <w:marBottom w:val="0"/>
          <w:divBdr>
            <w:top w:val="none" w:sz="0" w:space="0" w:color="auto"/>
            <w:left w:val="none" w:sz="0" w:space="0" w:color="auto"/>
            <w:bottom w:val="none" w:sz="0" w:space="0" w:color="auto"/>
            <w:right w:val="none" w:sz="0" w:space="0" w:color="auto"/>
          </w:divBdr>
        </w:div>
      </w:divsChild>
    </w:div>
    <w:div w:id="329672807">
      <w:bodyDiv w:val="1"/>
      <w:marLeft w:val="0"/>
      <w:marRight w:val="0"/>
      <w:marTop w:val="0"/>
      <w:marBottom w:val="0"/>
      <w:divBdr>
        <w:top w:val="none" w:sz="0" w:space="0" w:color="auto"/>
        <w:left w:val="none" w:sz="0" w:space="0" w:color="auto"/>
        <w:bottom w:val="none" w:sz="0" w:space="0" w:color="auto"/>
        <w:right w:val="none" w:sz="0" w:space="0" w:color="auto"/>
      </w:divBdr>
    </w:div>
    <w:div w:id="608507525">
      <w:bodyDiv w:val="1"/>
      <w:marLeft w:val="0"/>
      <w:marRight w:val="0"/>
      <w:marTop w:val="0"/>
      <w:marBottom w:val="0"/>
      <w:divBdr>
        <w:top w:val="none" w:sz="0" w:space="0" w:color="auto"/>
        <w:left w:val="none" w:sz="0" w:space="0" w:color="auto"/>
        <w:bottom w:val="none" w:sz="0" w:space="0" w:color="auto"/>
        <w:right w:val="none" w:sz="0" w:space="0" w:color="auto"/>
      </w:divBdr>
    </w:div>
    <w:div w:id="752355227">
      <w:bodyDiv w:val="1"/>
      <w:marLeft w:val="0"/>
      <w:marRight w:val="0"/>
      <w:marTop w:val="0"/>
      <w:marBottom w:val="0"/>
      <w:divBdr>
        <w:top w:val="none" w:sz="0" w:space="0" w:color="auto"/>
        <w:left w:val="none" w:sz="0" w:space="0" w:color="auto"/>
        <w:bottom w:val="none" w:sz="0" w:space="0" w:color="auto"/>
        <w:right w:val="none" w:sz="0" w:space="0" w:color="auto"/>
      </w:divBdr>
      <w:divsChild>
        <w:div w:id="1328441922">
          <w:marLeft w:val="0"/>
          <w:marRight w:val="0"/>
          <w:marTop w:val="0"/>
          <w:marBottom w:val="0"/>
          <w:divBdr>
            <w:top w:val="none" w:sz="0" w:space="0" w:color="auto"/>
            <w:left w:val="none" w:sz="0" w:space="0" w:color="auto"/>
            <w:bottom w:val="none" w:sz="0" w:space="0" w:color="auto"/>
            <w:right w:val="none" w:sz="0" w:space="0" w:color="auto"/>
          </w:divBdr>
        </w:div>
        <w:div w:id="2071078986">
          <w:marLeft w:val="0"/>
          <w:marRight w:val="0"/>
          <w:marTop w:val="0"/>
          <w:marBottom w:val="0"/>
          <w:divBdr>
            <w:top w:val="none" w:sz="0" w:space="0" w:color="auto"/>
            <w:left w:val="none" w:sz="0" w:space="0" w:color="auto"/>
            <w:bottom w:val="none" w:sz="0" w:space="0" w:color="auto"/>
            <w:right w:val="none" w:sz="0" w:space="0" w:color="auto"/>
          </w:divBdr>
        </w:div>
      </w:divsChild>
    </w:div>
    <w:div w:id="769273536">
      <w:bodyDiv w:val="1"/>
      <w:marLeft w:val="0"/>
      <w:marRight w:val="0"/>
      <w:marTop w:val="0"/>
      <w:marBottom w:val="0"/>
      <w:divBdr>
        <w:top w:val="none" w:sz="0" w:space="0" w:color="auto"/>
        <w:left w:val="none" w:sz="0" w:space="0" w:color="auto"/>
        <w:bottom w:val="none" w:sz="0" w:space="0" w:color="auto"/>
        <w:right w:val="none" w:sz="0" w:space="0" w:color="auto"/>
      </w:divBdr>
    </w:div>
    <w:div w:id="849951826">
      <w:bodyDiv w:val="1"/>
      <w:marLeft w:val="0"/>
      <w:marRight w:val="0"/>
      <w:marTop w:val="0"/>
      <w:marBottom w:val="0"/>
      <w:divBdr>
        <w:top w:val="none" w:sz="0" w:space="0" w:color="auto"/>
        <w:left w:val="none" w:sz="0" w:space="0" w:color="auto"/>
        <w:bottom w:val="none" w:sz="0" w:space="0" w:color="auto"/>
        <w:right w:val="none" w:sz="0" w:space="0" w:color="auto"/>
      </w:divBdr>
    </w:div>
    <w:div w:id="945621143">
      <w:bodyDiv w:val="1"/>
      <w:marLeft w:val="0"/>
      <w:marRight w:val="0"/>
      <w:marTop w:val="0"/>
      <w:marBottom w:val="0"/>
      <w:divBdr>
        <w:top w:val="none" w:sz="0" w:space="0" w:color="auto"/>
        <w:left w:val="none" w:sz="0" w:space="0" w:color="auto"/>
        <w:bottom w:val="none" w:sz="0" w:space="0" w:color="auto"/>
        <w:right w:val="none" w:sz="0" w:space="0" w:color="auto"/>
      </w:divBdr>
    </w:div>
    <w:div w:id="994533044">
      <w:bodyDiv w:val="1"/>
      <w:marLeft w:val="0"/>
      <w:marRight w:val="0"/>
      <w:marTop w:val="0"/>
      <w:marBottom w:val="0"/>
      <w:divBdr>
        <w:top w:val="none" w:sz="0" w:space="0" w:color="auto"/>
        <w:left w:val="none" w:sz="0" w:space="0" w:color="auto"/>
        <w:bottom w:val="none" w:sz="0" w:space="0" w:color="auto"/>
        <w:right w:val="none" w:sz="0" w:space="0" w:color="auto"/>
      </w:divBdr>
    </w:div>
    <w:div w:id="1010912101">
      <w:bodyDiv w:val="1"/>
      <w:marLeft w:val="0"/>
      <w:marRight w:val="0"/>
      <w:marTop w:val="0"/>
      <w:marBottom w:val="0"/>
      <w:divBdr>
        <w:top w:val="none" w:sz="0" w:space="0" w:color="auto"/>
        <w:left w:val="none" w:sz="0" w:space="0" w:color="auto"/>
        <w:bottom w:val="none" w:sz="0" w:space="0" w:color="auto"/>
        <w:right w:val="none" w:sz="0" w:space="0" w:color="auto"/>
      </w:divBdr>
      <w:divsChild>
        <w:div w:id="190343800">
          <w:marLeft w:val="0"/>
          <w:marRight w:val="0"/>
          <w:marTop w:val="0"/>
          <w:marBottom w:val="0"/>
          <w:divBdr>
            <w:top w:val="none" w:sz="0" w:space="0" w:color="auto"/>
            <w:left w:val="none" w:sz="0" w:space="0" w:color="auto"/>
            <w:bottom w:val="none" w:sz="0" w:space="0" w:color="auto"/>
            <w:right w:val="none" w:sz="0" w:space="0" w:color="auto"/>
          </w:divBdr>
        </w:div>
        <w:div w:id="499272507">
          <w:marLeft w:val="0"/>
          <w:marRight w:val="0"/>
          <w:marTop w:val="0"/>
          <w:marBottom w:val="0"/>
          <w:divBdr>
            <w:top w:val="none" w:sz="0" w:space="0" w:color="auto"/>
            <w:left w:val="none" w:sz="0" w:space="0" w:color="auto"/>
            <w:bottom w:val="none" w:sz="0" w:space="0" w:color="auto"/>
            <w:right w:val="none" w:sz="0" w:space="0" w:color="auto"/>
          </w:divBdr>
        </w:div>
        <w:div w:id="792136212">
          <w:marLeft w:val="0"/>
          <w:marRight w:val="0"/>
          <w:marTop w:val="0"/>
          <w:marBottom w:val="0"/>
          <w:divBdr>
            <w:top w:val="none" w:sz="0" w:space="0" w:color="auto"/>
            <w:left w:val="none" w:sz="0" w:space="0" w:color="auto"/>
            <w:bottom w:val="none" w:sz="0" w:space="0" w:color="auto"/>
            <w:right w:val="none" w:sz="0" w:space="0" w:color="auto"/>
          </w:divBdr>
        </w:div>
        <w:div w:id="816412265">
          <w:marLeft w:val="0"/>
          <w:marRight w:val="0"/>
          <w:marTop w:val="0"/>
          <w:marBottom w:val="0"/>
          <w:divBdr>
            <w:top w:val="none" w:sz="0" w:space="0" w:color="auto"/>
            <w:left w:val="none" w:sz="0" w:space="0" w:color="auto"/>
            <w:bottom w:val="none" w:sz="0" w:space="0" w:color="auto"/>
            <w:right w:val="none" w:sz="0" w:space="0" w:color="auto"/>
          </w:divBdr>
        </w:div>
        <w:div w:id="953366233">
          <w:marLeft w:val="0"/>
          <w:marRight w:val="0"/>
          <w:marTop w:val="0"/>
          <w:marBottom w:val="0"/>
          <w:divBdr>
            <w:top w:val="none" w:sz="0" w:space="0" w:color="auto"/>
            <w:left w:val="none" w:sz="0" w:space="0" w:color="auto"/>
            <w:bottom w:val="none" w:sz="0" w:space="0" w:color="auto"/>
            <w:right w:val="none" w:sz="0" w:space="0" w:color="auto"/>
          </w:divBdr>
        </w:div>
        <w:div w:id="1835954261">
          <w:marLeft w:val="0"/>
          <w:marRight w:val="0"/>
          <w:marTop w:val="0"/>
          <w:marBottom w:val="0"/>
          <w:divBdr>
            <w:top w:val="none" w:sz="0" w:space="0" w:color="auto"/>
            <w:left w:val="none" w:sz="0" w:space="0" w:color="auto"/>
            <w:bottom w:val="none" w:sz="0" w:space="0" w:color="auto"/>
            <w:right w:val="none" w:sz="0" w:space="0" w:color="auto"/>
          </w:divBdr>
        </w:div>
      </w:divsChild>
    </w:div>
    <w:div w:id="1038628681">
      <w:bodyDiv w:val="1"/>
      <w:marLeft w:val="0"/>
      <w:marRight w:val="0"/>
      <w:marTop w:val="0"/>
      <w:marBottom w:val="0"/>
      <w:divBdr>
        <w:top w:val="none" w:sz="0" w:space="0" w:color="auto"/>
        <w:left w:val="none" w:sz="0" w:space="0" w:color="auto"/>
        <w:bottom w:val="none" w:sz="0" w:space="0" w:color="auto"/>
        <w:right w:val="none" w:sz="0" w:space="0" w:color="auto"/>
      </w:divBdr>
    </w:div>
    <w:div w:id="1072852856">
      <w:bodyDiv w:val="1"/>
      <w:marLeft w:val="0"/>
      <w:marRight w:val="0"/>
      <w:marTop w:val="0"/>
      <w:marBottom w:val="0"/>
      <w:divBdr>
        <w:top w:val="none" w:sz="0" w:space="0" w:color="auto"/>
        <w:left w:val="none" w:sz="0" w:space="0" w:color="auto"/>
        <w:bottom w:val="none" w:sz="0" w:space="0" w:color="auto"/>
        <w:right w:val="none" w:sz="0" w:space="0" w:color="auto"/>
      </w:divBdr>
    </w:div>
    <w:div w:id="1274630104">
      <w:bodyDiv w:val="1"/>
      <w:marLeft w:val="0"/>
      <w:marRight w:val="0"/>
      <w:marTop w:val="0"/>
      <w:marBottom w:val="0"/>
      <w:divBdr>
        <w:top w:val="none" w:sz="0" w:space="0" w:color="auto"/>
        <w:left w:val="none" w:sz="0" w:space="0" w:color="auto"/>
        <w:bottom w:val="none" w:sz="0" w:space="0" w:color="auto"/>
        <w:right w:val="none" w:sz="0" w:space="0" w:color="auto"/>
      </w:divBdr>
    </w:div>
    <w:div w:id="1381858129">
      <w:bodyDiv w:val="1"/>
      <w:marLeft w:val="0"/>
      <w:marRight w:val="0"/>
      <w:marTop w:val="0"/>
      <w:marBottom w:val="0"/>
      <w:divBdr>
        <w:top w:val="none" w:sz="0" w:space="0" w:color="auto"/>
        <w:left w:val="none" w:sz="0" w:space="0" w:color="auto"/>
        <w:bottom w:val="none" w:sz="0" w:space="0" w:color="auto"/>
        <w:right w:val="none" w:sz="0" w:space="0" w:color="auto"/>
      </w:divBdr>
    </w:div>
    <w:div w:id="1417433948">
      <w:bodyDiv w:val="1"/>
      <w:marLeft w:val="0"/>
      <w:marRight w:val="0"/>
      <w:marTop w:val="0"/>
      <w:marBottom w:val="0"/>
      <w:divBdr>
        <w:top w:val="none" w:sz="0" w:space="0" w:color="auto"/>
        <w:left w:val="none" w:sz="0" w:space="0" w:color="auto"/>
        <w:bottom w:val="none" w:sz="0" w:space="0" w:color="auto"/>
        <w:right w:val="none" w:sz="0" w:space="0" w:color="auto"/>
      </w:divBdr>
    </w:div>
    <w:div w:id="1465274756">
      <w:bodyDiv w:val="1"/>
      <w:marLeft w:val="0"/>
      <w:marRight w:val="0"/>
      <w:marTop w:val="0"/>
      <w:marBottom w:val="0"/>
      <w:divBdr>
        <w:top w:val="none" w:sz="0" w:space="0" w:color="auto"/>
        <w:left w:val="none" w:sz="0" w:space="0" w:color="auto"/>
        <w:bottom w:val="none" w:sz="0" w:space="0" w:color="auto"/>
        <w:right w:val="none" w:sz="0" w:space="0" w:color="auto"/>
      </w:divBdr>
      <w:divsChild>
        <w:div w:id="53937435">
          <w:marLeft w:val="0"/>
          <w:marRight w:val="0"/>
          <w:marTop w:val="0"/>
          <w:marBottom w:val="0"/>
          <w:divBdr>
            <w:top w:val="none" w:sz="0" w:space="0" w:color="auto"/>
            <w:left w:val="none" w:sz="0" w:space="0" w:color="auto"/>
            <w:bottom w:val="none" w:sz="0" w:space="0" w:color="auto"/>
            <w:right w:val="none" w:sz="0" w:space="0" w:color="auto"/>
          </w:divBdr>
        </w:div>
        <w:div w:id="678001565">
          <w:marLeft w:val="0"/>
          <w:marRight w:val="0"/>
          <w:marTop w:val="0"/>
          <w:marBottom w:val="0"/>
          <w:divBdr>
            <w:top w:val="none" w:sz="0" w:space="0" w:color="auto"/>
            <w:left w:val="none" w:sz="0" w:space="0" w:color="auto"/>
            <w:bottom w:val="none" w:sz="0" w:space="0" w:color="auto"/>
            <w:right w:val="none" w:sz="0" w:space="0" w:color="auto"/>
          </w:divBdr>
        </w:div>
        <w:div w:id="1368749551">
          <w:marLeft w:val="0"/>
          <w:marRight w:val="0"/>
          <w:marTop w:val="0"/>
          <w:marBottom w:val="0"/>
          <w:divBdr>
            <w:top w:val="none" w:sz="0" w:space="0" w:color="auto"/>
            <w:left w:val="none" w:sz="0" w:space="0" w:color="auto"/>
            <w:bottom w:val="none" w:sz="0" w:space="0" w:color="auto"/>
            <w:right w:val="none" w:sz="0" w:space="0" w:color="auto"/>
          </w:divBdr>
        </w:div>
        <w:div w:id="1493906174">
          <w:marLeft w:val="0"/>
          <w:marRight w:val="0"/>
          <w:marTop w:val="0"/>
          <w:marBottom w:val="0"/>
          <w:divBdr>
            <w:top w:val="none" w:sz="0" w:space="0" w:color="auto"/>
            <w:left w:val="none" w:sz="0" w:space="0" w:color="auto"/>
            <w:bottom w:val="none" w:sz="0" w:space="0" w:color="auto"/>
            <w:right w:val="none" w:sz="0" w:space="0" w:color="auto"/>
          </w:divBdr>
        </w:div>
        <w:div w:id="1898936825">
          <w:marLeft w:val="0"/>
          <w:marRight w:val="0"/>
          <w:marTop w:val="0"/>
          <w:marBottom w:val="0"/>
          <w:divBdr>
            <w:top w:val="none" w:sz="0" w:space="0" w:color="auto"/>
            <w:left w:val="none" w:sz="0" w:space="0" w:color="auto"/>
            <w:bottom w:val="none" w:sz="0" w:space="0" w:color="auto"/>
            <w:right w:val="none" w:sz="0" w:space="0" w:color="auto"/>
          </w:divBdr>
        </w:div>
        <w:div w:id="2059353028">
          <w:marLeft w:val="0"/>
          <w:marRight w:val="0"/>
          <w:marTop w:val="0"/>
          <w:marBottom w:val="0"/>
          <w:divBdr>
            <w:top w:val="none" w:sz="0" w:space="0" w:color="auto"/>
            <w:left w:val="none" w:sz="0" w:space="0" w:color="auto"/>
            <w:bottom w:val="none" w:sz="0" w:space="0" w:color="auto"/>
            <w:right w:val="none" w:sz="0" w:space="0" w:color="auto"/>
          </w:divBdr>
        </w:div>
        <w:div w:id="2121100977">
          <w:marLeft w:val="0"/>
          <w:marRight w:val="0"/>
          <w:marTop w:val="0"/>
          <w:marBottom w:val="0"/>
          <w:divBdr>
            <w:top w:val="none" w:sz="0" w:space="0" w:color="auto"/>
            <w:left w:val="none" w:sz="0" w:space="0" w:color="auto"/>
            <w:bottom w:val="none" w:sz="0" w:space="0" w:color="auto"/>
            <w:right w:val="none" w:sz="0" w:space="0" w:color="auto"/>
          </w:divBdr>
        </w:div>
      </w:divsChild>
    </w:div>
    <w:div w:id="1484587284">
      <w:bodyDiv w:val="1"/>
      <w:marLeft w:val="0"/>
      <w:marRight w:val="0"/>
      <w:marTop w:val="0"/>
      <w:marBottom w:val="0"/>
      <w:divBdr>
        <w:top w:val="none" w:sz="0" w:space="0" w:color="auto"/>
        <w:left w:val="none" w:sz="0" w:space="0" w:color="auto"/>
        <w:bottom w:val="none" w:sz="0" w:space="0" w:color="auto"/>
        <w:right w:val="none" w:sz="0" w:space="0" w:color="auto"/>
      </w:divBdr>
    </w:div>
    <w:div w:id="1504587839">
      <w:bodyDiv w:val="1"/>
      <w:marLeft w:val="0"/>
      <w:marRight w:val="0"/>
      <w:marTop w:val="0"/>
      <w:marBottom w:val="0"/>
      <w:divBdr>
        <w:top w:val="none" w:sz="0" w:space="0" w:color="auto"/>
        <w:left w:val="none" w:sz="0" w:space="0" w:color="auto"/>
        <w:bottom w:val="none" w:sz="0" w:space="0" w:color="auto"/>
        <w:right w:val="none" w:sz="0" w:space="0" w:color="auto"/>
      </w:divBdr>
    </w:div>
    <w:div w:id="1538086058">
      <w:bodyDiv w:val="1"/>
      <w:marLeft w:val="0"/>
      <w:marRight w:val="0"/>
      <w:marTop w:val="0"/>
      <w:marBottom w:val="0"/>
      <w:divBdr>
        <w:top w:val="none" w:sz="0" w:space="0" w:color="auto"/>
        <w:left w:val="none" w:sz="0" w:space="0" w:color="auto"/>
        <w:bottom w:val="none" w:sz="0" w:space="0" w:color="auto"/>
        <w:right w:val="none" w:sz="0" w:space="0" w:color="auto"/>
      </w:divBdr>
    </w:div>
    <w:div w:id="1563980024">
      <w:bodyDiv w:val="1"/>
      <w:marLeft w:val="0"/>
      <w:marRight w:val="0"/>
      <w:marTop w:val="0"/>
      <w:marBottom w:val="0"/>
      <w:divBdr>
        <w:top w:val="none" w:sz="0" w:space="0" w:color="auto"/>
        <w:left w:val="none" w:sz="0" w:space="0" w:color="auto"/>
        <w:bottom w:val="none" w:sz="0" w:space="0" w:color="auto"/>
        <w:right w:val="none" w:sz="0" w:space="0" w:color="auto"/>
      </w:divBdr>
      <w:divsChild>
        <w:div w:id="128130579">
          <w:marLeft w:val="0"/>
          <w:marRight w:val="0"/>
          <w:marTop w:val="0"/>
          <w:marBottom w:val="0"/>
          <w:divBdr>
            <w:top w:val="none" w:sz="0" w:space="0" w:color="auto"/>
            <w:left w:val="none" w:sz="0" w:space="0" w:color="auto"/>
            <w:bottom w:val="none" w:sz="0" w:space="0" w:color="auto"/>
            <w:right w:val="none" w:sz="0" w:space="0" w:color="auto"/>
          </w:divBdr>
        </w:div>
        <w:div w:id="505824162">
          <w:marLeft w:val="0"/>
          <w:marRight w:val="0"/>
          <w:marTop w:val="0"/>
          <w:marBottom w:val="0"/>
          <w:divBdr>
            <w:top w:val="none" w:sz="0" w:space="0" w:color="auto"/>
            <w:left w:val="none" w:sz="0" w:space="0" w:color="auto"/>
            <w:bottom w:val="none" w:sz="0" w:space="0" w:color="auto"/>
            <w:right w:val="none" w:sz="0" w:space="0" w:color="auto"/>
          </w:divBdr>
        </w:div>
        <w:div w:id="936869747">
          <w:marLeft w:val="0"/>
          <w:marRight w:val="0"/>
          <w:marTop w:val="0"/>
          <w:marBottom w:val="0"/>
          <w:divBdr>
            <w:top w:val="none" w:sz="0" w:space="0" w:color="auto"/>
            <w:left w:val="none" w:sz="0" w:space="0" w:color="auto"/>
            <w:bottom w:val="none" w:sz="0" w:space="0" w:color="auto"/>
            <w:right w:val="none" w:sz="0" w:space="0" w:color="auto"/>
          </w:divBdr>
        </w:div>
        <w:div w:id="1166172573">
          <w:marLeft w:val="0"/>
          <w:marRight w:val="0"/>
          <w:marTop w:val="0"/>
          <w:marBottom w:val="0"/>
          <w:divBdr>
            <w:top w:val="none" w:sz="0" w:space="0" w:color="auto"/>
            <w:left w:val="none" w:sz="0" w:space="0" w:color="auto"/>
            <w:bottom w:val="none" w:sz="0" w:space="0" w:color="auto"/>
            <w:right w:val="none" w:sz="0" w:space="0" w:color="auto"/>
          </w:divBdr>
        </w:div>
        <w:div w:id="1176726339">
          <w:marLeft w:val="0"/>
          <w:marRight w:val="0"/>
          <w:marTop w:val="0"/>
          <w:marBottom w:val="0"/>
          <w:divBdr>
            <w:top w:val="none" w:sz="0" w:space="0" w:color="auto"/>
            <w:left w:val="none" w:sz="0" w:space="0" w:color="auto"/>
            <w:bottom w:val="none" w:sz="0" w:space="0" w:color="auto"/>
            <w:right w:val="none" w:sz="0" w:space="0" w:color="auto"/>
          </w:divBdr>
        </w:div>
        <w:div w:id="2052726831">
          <w:marLeft w:val="0"/>
          <w:marRight w:val="0"/>
          <w:marTop w:val="0"/>
          <w:marBottom w:val="0"/>
          <w:divBdr>
            <w:top w:val="none" w:sz="0" w:space="0" w:color="auto"/>
            <w:left w:val="none" w:sz="0" w:space="0" w:color="auto"/>
            <w:bottom w:val="none" w:sz="0" w:space="0" w:color="auto"/>
            <w:right w:val="none" w:sz="0" w:space="0" w:color="auto"/>
          </w:divBdr>
        </w:div>
        <w:div w:id="2134251492">
          <w:marLeft w:val="0"/>
          <w:marRight w:val="0"/>
          <w:marTop w:val="0"/>
          <w:marBottom w:val="0"/>
          <w:divBdr>
            <w:top w:val="none" w:sz="0" w:space="0" w:color="auto"/>
            <w:left w:val="none" w:sz="0" w:space="0" w:color="auto"/>
            <w:bottom w:val="none" w:sz="0" w:space="0" w:color="auto"/>
            <w:right w:val="none" w:sz="0" w:space="0" w:color="auto"/>
          </w:divBdr>
        </w:div>
      </w:divsChild>
    </w:div>
    <w:div w:id="1682589878">
      <w:bodyDiv w:val="1"/>
      <w:marLeft w:val="0"/>
      <w:marRight w:val="0"/>
      <w:marTop w:val="0"/>
      <w:marBottom w:val="0"/>
      <w:divBdr>
        <w:top w:val="none" w:sz="0" w:space="0" w:color="auto"/>
        <w:left w:val="none" w:sz="0" w:space="0" w:color="auto"/>
        <w:bottom w:val="none" w:sz="0" w:space="0" w:color="auto"/>
        <w:right w:val="none" w:sz="0" w:space="0" w:color="auto"/>
      </w:divBdr>
    </w:div>
    <w:div w:id="1834025595">
      <w:bodyDiv w:val="1"/>
      <w:marLeft w:val="0"/>
      <w:marRight w:val="0"/>
      <w:marTop w:val="0"/>
      <w:marBottom w:val="0"/>
      <w:divBdr>
        <w:top w:val="none" w:sz="0" w:space="0" w:color="auto"/>
        <w:left w:val="none" w:sz="0" w:space="0" w:color="auto"/>
        <w:bottom w:val="none" w:sz="0" w:space="0" w:color="auto"/>
        <w:right w:val="none" w:sz="0" w:space="0" w:color="auto"/>
      </w:divBdr>
    </w:div>
    <w:div w:id="1867020047">
      <w:bodyDiv w:val="1"/>
      <w:marLeft w:val="0"/>
      <w:marRight w:val="0"/>
      <w:marTop w:val="0"/>
      <w:marBottom w:val="0"/>
      <w:divBdr>
        <w:top w:val="none" w:sz="0" w:space="0" w:color="auto"/>
        <w:left w:val="none" w:sz="0" w:space="0" w:color="auto"/>
        <w:bottom w:val="none" w:sz="0" w:space="0" w:color="auto"/>
        <w:right w:val="none" w:sz="0" w:space="0" w:color="auto"/>
      </w:divBdr>
      <w:divsChild>
        <w:div w:id="1033113116">
          <w:marLeft w:val="0"/>
          <w:marRight w:val="0"/>
          <w:marTop w:val="0"/>
          <w:marBottom w:val="0"/>
          <w:divBdr>
            <w:top w:val="none" w:sz="0" w:space="0" w:color="auto"/>
            <w:left w:val="none" w:sz="0" w:space="0" w:color="auto"/>
            <w:bottom w:val="none" w:sz="0" w:space="0" w:color="auto"/>
            <w:right w:val="none" w:sz="0" w:space="0" w:color="auto"/>
          </w:divBdr>
        </w:div>
        <w:div w:id="1624731645">
          <w:marLeft w:val="0"/>
          <w:marRight w:val="0"/>
          <w:marTop w:val="0"/>
          <w:marBottom w:val="0"/>
          <w:divBdr>
            <w:top w:val="none" w:sz="0" w:space="0" w:color="auto"/>
            <w:left w:val="none" w:sz="0" w:space="0" w:color="auto"/>
            <w:bottom w:val="none" w:sz="0" w:space="0" w:color="auto"/>
            <w:right w:val="none" w:sz="0" w:space="0" w:color="auto"/>
          </w:divBdr>
        </w:div>
      </w:divsChild>
    </w:div>
    <w:div w:id="1964264781">
      <w:bodyDiv w:val="1"/>
      <w:marLeft w:val="0"/>
      <w:marRight w:val="0"/>
      <w:marTop w:val="0"/>
      <w:marBottom w:val="0"/>
      <w:divBdr>
        <w:top w:val="none" w:sz="0" w:space="0" w:color="auto"/>
        <w:left w:val="none" w:sz="0" w:space="0" w:color="auto"/>
        <w:bottom w:val="none" w:sz="0" w:space="0" w:color="auto"/>
        <w:right w:val="none" w:sz="0" w:space="0" w:color="auto"/>
      </w:divBdr>
    </w:div>
    <w:div w:id="1977567951">
      <w:bodyDiv w:val="1"/>
      <w:marLeft w:val="0"/>
      <w:marRight w:val="0"/>
      <w:marTop w:val="0"/>
      <w:marBottom w:val="0"/>
      <w:divBdr>
        <w:top w:val="none" w:sz="0" w:space="0" w:color="auto"/>
        <w:left w:val="none" w:sz="0" w:space="0" w:color="auto"/>
        <w:bottom w:val="none" w:sz="0" w:space="0" w:color="auto"/>
        <w:right w:val="none" w:sz="0" w:space="0" w:color="auto"/>
      </w:divBdr>
    </w:div>
    <w:div w:id="1988823672">
      <w:bodyDiv w:val="1"/>
      <w:marLeft w:val="0"/>
      <w:marRight w:val="0"/>
      <w:marTop w:val="0"/>
      <w:marBottom w:val="0"/>
      <w:divBdr>
        <w:top w:val="none" w:sz="0" w:space="0" w:color="auto"/>
        <w:left w:val="none" w:sz="0" w:space="0" w:color="auto"/>
        <w:bottom w:val="none" w:sz="0" w:space="0" w:color="auto"/>
        <w:right w:val="none" w:sz="0" w:space="0" w:color="auto"/>
      </w:divBdr>
    </w:div>
    <w:div w:id="2045129497">
      <w:bodyDiv w:val="1"/>
      <w:marLeft w:val="0"/>
      <w:marRight w:val="0"/>
      <w:marTop w:val="0"/>
      <w:marBottom w:val="0"/>
      <w:divBdr>
        <w:top w:val="none" w:sz="0" w:space="0" w:color="auto"/>
        <w:left w:val="none" w:sz="0" w:space="0" w:color="auto"/>
        <w:bottom w:val="none" w:sz="0" w:space="0" w:color="auto"/>
        <w:right w:val="none" w:sz="0" w:space="0" w:color="auto"/>
      </w:divBdr>
      <w:divsChild>
        <w:div w:id="49426185">
          <w:marLeft w:val="0"/>
          <w:marRight w:val="0"/>
          <w:marTop w:val="0"/>
          <w:marBottom w:val="0"/>
          <w:divBdr>
            <w:top w:val="none" w:sz="0" w:space="0" w:color="auto"/>
            <w:left w:val="none" w:sz="0" w:space="0" w:color="auto"/>
            <w:bottom w:val="none" w:sz="0" w:space="0" w:color="auto"/>
            <w:right w:val="none" w:sz="0" w:space="0" w:color="auto"/>
          </w:divBdr>
        </w:div>
        <w:div w:id="59989063">
          <w:marLeft w:val="0"/>
          <w:marRight w:val="0"/>
          <w:marTop w:val="0"/>
          <w:marBottom w:val="0"/>
          <w:divBdr>
            <w:top w:val="none" w:sz="0" w:space="0" w:color="auto"/>
            <w:left w:val="none" w:sz="0" w:space="0" w:color="auto"/>
            <w:bottom w:val="none" w:sz="0" w:space="0" w:color="auto"/>
            <w:right w:val="none" w:sz="0" w:space="0" w:color="auto"/>
          </w:divBdr>
        </w:div>
        <w:div w:id="155609466">
          <w:marLeft w:val="0"/>
          <w:marRight w:val="0"/>
          <w:marTop w:val="0"/>
          <w:marBottom w:val="0"/>
          <w:divBdr>
            <w:top w:val="none" w:sz="0" w:space="0" w:color="auto"/>
            <w:left w:val="none" w:sz="0" w:space="0" w:color="auto"/>
            <w:bottom w:val="none" w:sz="0" w:space="0" w:color="auto"/>
            <w:right w:val="none" w:sz="0" w:space="0" w:color="auto"/>
          </w:divBdr>
        </w:div>
        <w:div w:id="712655456">
          <w:marLeft w:val="0"/>
          <w:marRight w:val="0"/>
          <w:marTop w:val="0"/>
          <w:marBottom w:val="0"/>
          <w:divBdr>
            <w:top w:val="none" w:sz="0" w:space="0" w:color="auto"/>
            <w:left w:val="none" w:sz="0" w:space="0" w:color="auto"/>
            <w:bottom w:val="none" w:sz="0" w:space="0" w:color="auto"/>
            <w:right w:val="none" w:sz="0" w:space="0" w:color="auto"/>
          </w:divBdr>
        </w:div>
        <w:div w:id="910390671">
          <w:marLeft w:val="0"/>
          <w:marRight w:val="0"/>
          <w:marTop w:val="0"/>
          <w:marBottom w:val="0"/>
          <w:divBdr>
            <w:top w:val="none" w:sz="0" w:space="0" w:color="auto"/>
            <w:left w:val="none" w:sz="0" w:space="0" w:color="auto"/>
            <w:bottom w:val="none" w:sz="0" w:space="0" w:color="auto"/>
            <w:right w:val="none" w:sz="0" w:space="0" w:color="auto"/>
          </w:divBdr>
        </w:div>
        <w:div w:id="964964909">
          <w:marLeft w:val="0"/>
          <w:marRight w:val="0"/>
          <w:marTop w:val="0"/>
          <w:marBottom w:val="0"/>
          <w:divBdr>
            <w:top w:val="none" w:sz="0" w:space="0" w:color="auto"/>
            <w:left w:val="none" w:sz="0" w:space="0" w:color="auto"/>
            <w:bottom w:val="none" w:sz="0" w:space="0" w:color="auto"/>
            <w:right w:val="none" w:sz="0" w:space="0" w:color="auto"/>
          </w:divBdr>
        </w:div>
        <w:div w:id="1747454121">
          <w:marLeft w:val="0"/>
          <w:marRight w:val="0"/>
          <w:marTop w:val="0"/>
          <w:marBottom w:val="0"/>
          <w:divBdr>
            <w:top w:val="none" w:sz="0" w:space="0" w:color="auto"/>
            <w:left w:val="none" w:sz="0" w:space="0" w:color="auto"/>
            <w:bottom w:val="none" w:sz="0" w:space="0" w:color="auto"/>
            <w:right w:val="none" w:sz="0" w:space="0" w:color="auto"/>
          </w:divBdr>
        </w:div>
        <w:div w:id="2144351637">
          <w:marLeft w:val="0"/>
          <w:marRight w:val="0"/>
          <w:marTop w:val="0"/>
          <w:marBottom w:val="0"/>
          <w:divBdr>
            <w:top w:val="none" w:sz="0" w:space="0" w:color="auto"/>
            <w:left w:val="none" w:sz="0" w:space="0" w:color="auto"/>
            <w:bottom w:val="none" w:sz="0" w:space="0" w:color="auto"/>
            <w:right w:val="none" w:sz="0" w:space="0" w:color="auto"/>
          </w:divBdr>
        </w:div>
      </w:divsChild>
    </w:div>
    <w:div w:id="2070103951">
      <w:bodyDiv w:val="1"/>
      <w:marLeft w:val="0"/>
      <w:marRight w:val="0"/>
      <w:marTop w:val="0"/>
      <w:marBottom w:val="0"/>
      <w:divBdr>
        <w:top w:val="none" w:sz="0" w:space="0" w:color="auto"/>
        <w:left w:val="none" w:sz="0" w:space="0" w:color="auto"/>
        <w:bottom w:val="none" w:sz="0" w:space="0" w:color="auto"/>
        <w:right w:val="none" w:sz="0" w:space="0" w:color="auto"/>
      </w:divBdr>
    </w:div>
    <w:div w:id="2074766676">
      <w:bodyDiv w:val="1"/>
      <w:marLeft w:val="0"/>
      <w:marRight w:val="0"/>
      <w:marTop w:val="0"/>
      <w:marBottom w:val="0"/>
      <w:divBdr>
        <w:top w:val="none" w:sz="0" w:space="0" w:color="auto"/>
        <w:left w:val="none" w:sz="0" w:space="0" w:color="auto"/>
        <w:bottom w:val="none" w:sz="0" w:space="0" w:color="auto"/>
        <w:right w:val="none" w:sz="0" w:space="0" w:color="auto"/>
      </w:divBdr>
    </w:div>
    <w:div w:id="210437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dk/search?q=dgubra&amp;rlz=1C1GGRV_enDK751DK751&amp;oq=dgubra&amp;aqs=chrome..69i57j0l5.1552j0j7&amp;sourceid=chrome&amp;ie=UTF-8"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kst@gubra.dk"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ses/by-nc/4.0/"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sApprovalWorkflow xmlns="F8512C20-3CF9-4524-BEF7-4CF5370D23DC">
      <Url xsi:nil="true"/>
      <Description xsi:nil="true"/>
    </DocumentsApprovalWorkflow>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D03603348170499B56C67EF81769B1" ma:contentTypeVersion="" ma:contentTypeDescription="Create a new document." ma:contentTypeScope="" ma:versionID="61d3acc24ba1374bf2bacd6944d13a21">
  <xsd:schema xmlns:xsd="http://www.w3.org/2001/XMLSchema" xmlns:xs="http://www.w3.org/2001/XMLSchema" xmlns:p="http://schemas.microsoft.com/office/2006/metadata/properties" xmlns:ns1="http://schemas.microsoft.com/sharepoint/v3" xmlns:ns2="F8512C20-3CF9-4524-BEF7-4CF5370D23DC" xmlns:ns3="6f01854a-4de3-41e4-ae0c-1a351a3abb96" xmlns:ns4="b08890b5-8223-4537-ad8e-ab6672411225" xmlns:ns5="f8512c20-3cf9-4524-bef7-4cf5370d23dc" targetNamespace="http://schemas.microsoft.com/office/2006/metadata/properties" ma:root="true" ma:fieldsID="3edaf1c9aaa84d2d996008b37fee1654" ns1:_="" ns2:_="" ns3:_="" ns4:_="" ns5:_="">
    <xsd:import namespace="http://schemas.microsoft.com/sharepoint/v3"/>
    <xsd:import namespace="F8512C20-3CF9-4524-BEF7-4CF5370D23DC"/>
    <xsd:import namespace="6f01854a-4de3-41e4-ae0c-1a351a3abb96"/>
    <xsd:import namespace="b08890b5-8223-4537-ad8e-ab6672411225"/>
    <xsd:import namespace="f8512c20-3cf9-4524-bef7-4cf5370d23dc"/>
    <xsd:element name="properties">
      <xsd:complexType>
        <xsd:sequence>
          <xsd:element name="documentManagement">
            <xsd:complexType>
              <xsd:all>
                <xsd:element ref="ns1:PublishingStartDate" minOccurs="0"/>
                <xsd:element ref="ns1:PublishingExpirationDate" minOccurs="0"/>
                <xsd:element ref="ns2:DocumentsApprovalWorkflow" minOccurs="0"/>
                <xsd:element ref="ns3:SharedWithUsers" minOccurs="0"/>
                <xsd:element ref="ns3:SharedWithDetails" minOccurs="0"/>
                <xsd:element ref="ns4:LastSharedByTime" minOccurs="0"/>
                <xsd:element ref="ns4:LastSharedByUser" minOccurs="0"/>
                <xsd:element ref="ns5:MediaServiceMetadata" minOccurs="0"/>
                <xsd:element ref="ns5:MediaServiceFastMetadata" minOccurs="0"/>
                <xsd:element ref="ns5:MediaServiceDateTaken" minOccurs="0"/>
                <xsd:element ref="ns5: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DocumentsApprovalWorkflow" ma:index="10" nillable="true" ma:displayName="DocumentsApprovalWorkflow" ma:internalName="DocumentsApproval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01854a-4de3-41e4-ae0c-1a351a3abb96"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8890b5-8223-4537-ad8e-ab6672411225" elementFormDefault="qualified">
    <xsd:import namespace="http://schemas.microsoft.com/office/2006/documentManagement/types"/>
    <xsd:import namespace="http://schemas.microsoft.com/office/infopath/2007/PartnerControls"/>
    <xsd:element name="LastSharedByTime" ma:index="13" nillable="true" ma:displayName="Last Shared By Time" ma:description="" ma:internalName="LastSharedByTime" ma:readOnly="true">
      <xsd:simpleType>
        <xsd:restriction base="dms:DateTime"/>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F8E1D-78C3-40B1-B5F0-21EA880A8E3D}">
  <ds:schemaRefs>
    <ds:schemaRef ds:uri="http://schemas.microsoft.com/office/2006/metadata/properties"/>
    <ds:schemaRef ds:uri="http://schemas.microsoft.com/office/infopath/2007/PartnerControls"/>
    <ds:schemaRef ds:uri="http://schemas.microsoft.com/sharepoint/v3"/>
    <ds:schemaRef ds:uri="F8512C20-3CF9-4524-BEF7-4CF5370D23DC"/>
  </ds:schemaRefs>
</ds:datastoreItem>
</file>

<file path=customXml/itemProps2.xml><?xml version="1.0" encoding="utf-8"?>
<ds:datastoreItem xmlns:ds="http://schemas.openxmlformats.org/officeDocument/2006/customXml" ds:itemID="{51EA4F50-AE98-47D7-800F-A15DA09C838A}">
  <ds:schemaRefs>
    <ds:schemaRef ds:uri="http://schemas.microsoft.com/sharepoint/v3/contenttype/forms"/>
  </ds:schemaRefs>
</ds:datastoreItem>
</file>

<file path=customXml/itemProps3.xml><?xml version="1.0" encoding="utf-8"?>
<ds:datastoreItem xmlns:ds="http://schemas.openxmlformats.org/officeDocument/2006/customXml" ds:itemID="{8AC69D4B-801F-4B4A-9747-8020822F2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512C20-3CF9-4524-BEF7-4CF5370D23DC"/>
    <ds:schemaRef ds:uri="6f01854a-4de3-41e4-ae0c-1a351a3abb96"/>
    <ds:schemaRef ds:uri="b08890b5-8223-4537-ad8e-ab6672411225"/>
    <ds:schemaRef ds:uri="f8512c20-3cf9-4524-bef7-4cf5370d2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CA3873-0736-4CDC-972C-C7E3C8FA5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93459</Words>
  <Characters>532722</Characters>
  <Application>Microsoft Office Word</Application>
  <DocSecurity>0</DocSecurity>
  <Lines>4439</Lines>
  <Paragraphs>1249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624932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Kirstine Sloth Tølbøl</dc:creator>
  <cp:keywords/>
  <dc:description/>
  <cp:lastModifiedBy>Na Ma</cp:lastModifiedBy>
  <cp:revision>2</cp:revision>
  <cp:lastPrinted>2017-08-14T13:54:00Z</cp:lastPrinted>
  <dcterms:created xsi:type="dcterms:W3CDTF">2017-12-04T18:27:00Z</dcterms:created>
  <dcterms:modified xsi:type="dcterms:W3CDTF">2017-12-04T18:27:00Z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3d08301d-a054-3b42-a19c-110b5720e800</vt:lpwstr>
  </property>
  <property fmtid="{D5CDD505-2E9C-101B-9397-08002B2CF9AE}" pid="4" name="Mendeley Recent Style Id 0_1">
    <vt:lpwstr>http://csl.mendeley.com/styles/483199841/american-physiological-society-HBH</vt:lpwstr>
  </property>
  <property fmtid="{D5CDD505-2E9C-101B-9397-08002B2CF9AE}" pid="5" name="Mendeley Recent Style Name 0_1">
    <vt:lpwstr>American Physiological Society - Henrik Hansen</vt:lpwstr>
  </property>
  <property fmtid="{D5CDD505-2E9C-101B-9397-08002B2CF9AE}" pid="6" name="Mendeley Recent Style Id 1_1">
    <vt:lpwstr>http://www.zotero.org/styles/brain-research</vt:lpwstr>
  </property>
  <property fmtid="{D5CDD505-2E9C-101B-9397-08002B2CF9AE}" pid="7" name="Mendeley Recent Style Name 1_1">
    <vt:lpwstr>Brain Research</vt:lpwstr>
  </property>
  <property fmtid="{D5CDD505-2E9C-101B-9397-08002B2CF9AE}" pid="8" name="Mendeley Recent Style Id 2_1">
    <vt:lpwstr>http://www.zotero.org/styles/diabetes-and-metabolism</vt:lpwstr>
  </property>
  <property fmtid="{D5CDD505-2E9C-101B-9397-08002B2CF9AE}" pid="9" name="Mendeley Recent Style Name 2_1">
    <vt:lpwstr>Diabetes and Metabolism</vt:lpwstr>
  </property>
  <property fmtid="{D5CDD505-2E9C-101B-9397-08002B2CF9AE}" pid="10" name="Mendeley Recent Style Id 3_1">
    <vt:lpwstr>http://csl.mendeley.com/styles/483199841/elsevier-vancouver-2</vt:lpwstr>
  </property>
  <property fmtid="{D5CDD505-2E9C-101B-9397-08002B2CF9AE}" pid="11" name="Mendeley Recent Style Name 3_1">
    <vt:lpwstr>Drug Discovery Today_new- Henrik Hansen</vt:lpwstr>
  </property>
  <property fmtid="{D5CDD505-2E9C-101B-9397-08002B2CF9AE}" pid="12" name="Mendeley Recent Style Id 4_1">
    <vt:lpwstr>http://csl.mendeley.com/styles/483199841/DDTnew</vt:lpwstr>
  </property>
  <property fmtid="{D5CDD505-2E9C-101B-9397-08002B2CF9AE}" pid="13" name="Mendeley Recent Style Name 4_1">
    <vt:lpwstr>Elsevier - Harvard (with titles) - Henrik Hansen</vt:lpwstr>
  </property>
  <property fmtid="{D5CDD505-2E9C-101B-9397-08002B2CF9AE}" pid="14" name="Mendeley Recent Style Id 5_1">
    <vt:lpwstr>http://csl.mendeley.com/styles/483199841/elsevier-vancouver</vt:lpwstr>
  </property>
  <property fmtid="{D5CDD505-2E9C-101B-9397-08002B2CF9AE}" pid="15" name="Mendeley Recent Style Name 5_1">
    <vt:lpwstr>Journal of Hepatology HBH</vt:lpwstr>
  </property>
  <property fmtid="{D5CDD505-2E9C-101B-9397-08002B2CF9AE}" pid="16" name="Mendeley Recent Style Id 6_1">
    <vt:lpwstr>http://www.zotero.org/styles/plos-one</vt:lpwstr>
  </property>
  <property fmtid="{D5CDD505-2E9C-101B-9397-08002B2CF9AE}" pid="17" name="Mendeley Recent Style Name 6_1">
    <vt:lpwstr>PLOS ONE</vt:lpwstr>
  </property>
  <property fmtid="{D5CDD505-2E9C-101B-9397-08002B2CF9AE}" pid="18" name="Mendeley Recent Style Id 7_1">
    <vt:lpwstr>http://www.zotero.org/styles/vancouver</vt:lpwstr>
  </property>
  <property fmtid="{D5CDD505-2E9C-101B-9397-08002B2CF9AE}" pid="19" name="Mendeley Recent Style Name 7_1">
    <vt:lpwstr>Vancouver</vt:lpwstr>
  </property>
  <property fmtid="{D5CDD505-2E9C-101B-9397-08002B2CF9AE}" pid="20" name="Mendeley Recent Style Id 8_1">
    <vt:lpwstr>http://www.zotero.org/styles/world-journal-of-gastroenterology</vt:lpwstr>
  </property>
  <property fmtid="{D5CDD505-2E9C-101B-9397-08002B2CF9AE}" pid="21" name="Mendeley Recent Style Name 8_1">
    <vt:lpwstr>World Journal of Gastroenterology</vt:lpwstr>
  </property>
  <property fmtid="{D5CDD505-2E9C-101B-9397-08002B2CF9AE}" pid="22" name="Mendeley Recent Style Id 9_1">
    <vt:lpwstr>http://csl.mendeley.com/styles/483199841/world-journal-of-gastroenterology-2</vt:lpwstr>
  </property>
  <property fmtid="{D5CDD505-2E9C-101B-9397-08002B2CF9AE}" pid="23" name="Mendeley Recent Style Name 9_1">
    <vt:lpwstr>World Journal of Gastroenterology - Henrik Hansen</vt:lpwstr>
  </property>
  <property fmtid="{D5CDD505-2E9C-101B-9397-08002B2CF9AE}" pid="24" name="ContentTypeId">
    <vt:lpwstr>0x0101001BD03603348170499B56C67EF81769B1</vt:lpwstr>
  </property>
  <property fmtid="{D5CDD505-2E9C-101B-9397-08002B2CF9AE}" pid="25" name="Mendeley Citation Style_1">
    <vt:lpwstr>http://csl.mendeley.com/styles/483199841/world-journal-of-gastroenterology-2</vt:lpwstr>
  </property>
</Properties>
</file>