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C70" w:rsidRPr="00F96C0C" w:rsidRDefault="007C2C70" w:rsidP="006C2448">
      <w:pPr>
        <w:jc w:val="both"/>
        <w:rPr>
          <w:rFonts w:ascii="Book Antiqua" w:eastAsia="BatangChe" w:hAnsi="Book Antiqua"/>
          <w:b/>
        </w:rPr>
      </w:pPr>
      <w:r w:rsidRPr="00F96C0C">
        <w:rPr>
          <w:rFonts w:ascii="Book Antiqua" w:eastAsia="BatangChe" w:hAnsi="Book Antiqua"/>
          <w:b/>
        </w:rPr>
        <w:t xml:space="preserve">Name of journal: </w:t>
      </w:r>
      <w:r w:rsidRPr="00F96C0C">
        <w:rPr>
          <w:rFonts w:ascii="Book Antiqua" w:eastAsia="BatangChe" w:hAnsi="Book Antiqua"/>
          <w:b/>
          <w:i/>
        </w:rPr>
        <w:t>World Journal of Gastroenterology</w:t>
      </w:r>
    </w:p>
    <w:p w:rsidR="007C2C70" w:rsidRPr="00F96C0C" w:rsidRDefault="007C2C70" w:rsidP="006C2448">
      <w:pPr>
        <w:jc w:val="both"/>
        <w:rPr>
          <w:rFonts w:ascii="Book Antiqua" w:eastAsia="Times New Roman" w:hAnsi="Book Antiqua"/>
          <w:b/>
        </w:rPr>
      </w:pPr>
      <w:r w:rsidRPr="00F96C0C">
        <w:rPr>
          <w:rFonts w:ascii="Book Antiqua" w:eastAsia="BatangChe" w:hAnsi="Book Antiqua"/>
          <w:b/>
        </w:rPr>
        <w:t>ESPS Manuscript NO:</w:t>
      </w:r>
      <w:r w:rsidRPr="00F96C0C">
        <w:rPr>
          <w:rFonts w:ascii="Book Antiqua" w:eastAsia="Times New Roman" w:hAnsi="Book Antiqua"/>
          <w:b/>
        </w:rPr>
        <w:t xml:space="preserve"> 3</w:t>
      </w:r>
      <w:r w:rsidRPr="00F96C0C">
        <w:rPr>
          <w:rFonts w:ascii="Book Antiqua" w:hAnsi="Book Antiqua"/>
          <w:b/>
          <w:lang w:eastAsia="zh-CN"/>
        </w:rPr>
        <w:t>639</w:t>
      </w:r>
    </w:p>
    <w:p w:rsidR="007C2C70" w:rsidRPr="00F96C0C" w:rsidRDefault="007C2C70" w:rsidP="006C2448">
      <w:pPr>
        <w:jc w:val="both"/>
        <w:rPr>
          <w:rFonts w:ascii="Book Antiqua" w:hAnsi="Book Antiqua"/>
          <w:b/>
          <w:lang w:eastAsia="zh-CN"/>
        </w:rPr>
      </w:pPr>
      <w:r w:rsidRPr="00F96C0C">
        <w:rPr>
          <w:rFonts w:ascii="Book Antiqua" w:eastAsia="BatangChe" w:hAnsi="Book Antiqua"/>
          <w:b/>
        </w:rPr>
        <w:t>Columns:</w:t>
      </w:r>
      <w:r w:rsidRPr="00F96C0C">
        <w:rPr>
          <w:rFonts w:ascii="Book Antiqua" w:eastAsia="Times New Roman" w:hAnsi="Book Antiqua"/>
        </w:rPr>
        <w:t xml:space="preserve"> </w:t>
      </w:r>
      <w:r w:rsidRPr="00F96C0C">
        <w:rPr>
          <w:rFonts w:ascii="Book Antiqua" w:eastAsia="Times New Roman" w:hAnsi="Book Antiqua"/>
          <w:b/>
        </w:rPr>
        <w:t>BRIEF ARTICLE</w:t>
      </w:r>
    </w:p>
    <w:p w:rsidR="007C2C70" w:rsidRPr="00F96C0C" w:rsidRDefault="007C2C70" w:rsidP="006C2448">
      <w:pPr>
        <w:jc w:val="both"/>
        <w:rPr>
          <w:rFonts w:ascii="Book Antiqua" w:hAnsi="Book Antiqua"/>
          <w:b/>
          <w:lang w:eastAsia="zh-CN"/>
        </w:rPr>
      </w:pPr>
    </w:p>
    <w:p w:rsidR="007C2C70" w:rsidRPr="00F96C0C" w:rsidRDefault="007C2C70" w:rsidP="006C2448">
      <w:pPr>
        <w:jc w:val="both"/>
        <w:rPr>
          <w:rFonts w:ascii="Book Antiqua" w:hAnsi="Book Antiqua"/>
          <w:b/>
          <w:lang w:eastAsia="zh-CN"/>
        </w:rPr>
      </w:pPr>
      <w:r w:rsidRPr="00F96C0C">
        <w:rPr>
          <w:rFonts w:ascii="Book Antiqua" w:eastAsia="Times New Roman" w:hAnsi="Book Antiqua"/>
          <w:b/>
        </w:rPr>
        <w:t>Quality of compounded topical 2% diltiazem hydrochloride formulations for anal fissure</w:t>
      </w:r>
    </w:p>
    <w:p w:rsidR="007C2C70" w:rsidRPr="00F96C0C" w:rsidRDefault="00A31343" w:rsidP="006C2448">
      <w:pPr>
        <w:jc w:val="both"/>
        <w:rPr>
          <w:rFonts w:ascii="Book Antiqua" w:eastAsia="Times New Roman" w:hAnsi="Book Antiqua"/>
        </w:rPr>
      </w:pPr>
      <w:r>
        <w:rPr>
          <w:noProof/>
          <w:lang w:eastAsia="zh-CN"/>
        </w:rPr>
        <mc:AlternateContent>
          <mc:Choice Requires="wps">
            <w:drawing>
              <wp:anchor distT="4294967295" distB="4294967295" distL="114300" distR="114300" simplePos="0" relativeHeight="251657728" behindDoc="0" locked="0" layoutInCell="1" allowOverlap="1">
                <wp:simplePos x="0" y="0"/>
                <wp:positionH relativeFrom="column">
                  <wp:posOffset>1080135</wp:posOffset>
                </wp:positionH>
                <wp:positionV relativeFrom="paragraph">
                  <wp:posOffset>7810499</wp:posOffset>
                </wp:positionV>
                <wp:extent cx="5196840" cy="0"/>
                <wp:effectExtent l="0" t="19050" r="3810" b="19050"/>
                <wp:wrapNone/>
                <wp:docPr id="7"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615pt" to="49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" strokecolor="gray" strokeweight="3pt"/>
            </w:pict>
          </mc:Fallback>
        </mc:AlternateContent>
      </w:r>
      <w:r>
        <w:rPr>
          <w:noProof/>
          <w:lang w:eastAsia="zh-CN"/>
        </w:rPr>
        <mc:AlternateContent>
          <mc:Choice Requires="wps">
            <w:drawing>
              <wp:anchor distT="4294967295" distB="4294967295" distL="114300" distR="114300" simplePos="0" relativeHeight="251656704" behindDoc="0" locked="0" layoutInCell="1" allowOverlap="1">
                <wp:simplePos x="0" y="0"/>
                <wp:positionH relativeFrom="column">
                  <wp:posOffset>1080135</wp:posOffset>
                </wp:positionH>
                <wp:positionV relativeFrom="paragraph">
                  <wp:posOffset>7810499</wp:posOffset>
                </wp:positionV>
                <wp:extent cx="5196840" cy="0"/>
                <wp:effectExtent l="0" t="19050" r="3810" b="19050"/>
                <wp:wrapNone/>
                <wp:docPr id="6"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615pt" to="49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" strokecolor="gray" strokeweight="3pt"/>
            </w:pict>
          </mc:Fallback>
        </mc:AlternateContent>
      </w:r>
    </w:p>
    <w:p w:rsidR="007C2C70" w:rsidRPr="004D5984" w:rsidRDefault="007C2C70" w:rsidP="006C2448">
      <w:pPr>
        <w:jc w:val="both"/>
        <w:rPr>
          <w:rFonts w:ascii="Book Antiqua" w:hAnsi="Book Antiqua"/>
          <w:lang w:eastAsia="zh-CN"/>
        </w:rPr>
      </w:pPr>
      <w:r w:rsidRPr="004D5984">
        <w:rPr>
          <w:rFonts w:ascii="Book Antiqua" w:eastAsia="Times New Roman" w:hAnsi="Book Antiqua"/>
        </w:rPr>
        <w:t xml:space="preserve">Shah M </w:t>
      </w:r>
      <w:r w:rsidRPr="004D5984">
        <w:rPr>
          <w:rFonts w:ascii="Book Antiqua" w:eastAsia="Times New Roman" w:hAnsi="Book Antiqua"/>
          <w:i/>
        </w:rPr>
        <w:t>et al.</w:t>
      </w:r>
      <w:r w:rsidRPr="004D5984">
        <w:rPr>
          <w:rFonts w:ascii="Book Antiqua" w:eastAsia="Times New Roman" w:hAnsi="Book Antiqua"/>
        </w:rPr>
        <w:t xml:space="preserve"> Compounded 2% diltiazem for anal fissure</w:t>
      </w:r>
    </w:p>
    <w:p w:rsidR="007C2C70" w:rsidRPr="00F96C0C" w:rsidRDefault="007C2C70" w:rsidP="006C2448">
      <w:pPr>
        <w:jc w:val="both"/>
        <w:rPr>
          <w:rFonts w:ascii="Book Antiqua" w:hAnsi="Book Antiqua"/>
          <w:lang w:eastAsia="zh-CN"/>
        </w:rPr>
      </w:pPr>
    </w:p>
    <w:p w:rsidR="007C2C70" w:rsidRPr="00F96C0C" w:rsidRDefault="007C2C70" w:rsidP="006C2448">
      <w:pPr>
        <w:jc w:val="both"/>
        <w:rPr>
          <w:rFonts w:ascii="Book Antiqua" w:eastAsia="Times New Roman" w:hAnsi="Book Antiqua"/>
          <w:b/>
        </w:rPr>
      </w:pPr>
      <w:r w:rsidRPr="00F96C0C">
        <w:rPr>
          <w:rFonts w:ascii="Book Antiqua" w:eastAsia="Times New Roman" w:hAnsi="Book Antiqua"/>
        </w:rPr>
        <w:t>Monil Shah, Laura Sandler, Vishwas Rai, Charu Sharma, Lakshmi Raghavan</w:t>
      </w:r>
      <w:r w:rsidR="00A31343">
        <w:rPr>
          <w:rFonts w:ascii="Book Antiqua" w:eastAsia="Times New Roman" w:hAnsi="Book Antiqua"/>
          <w:noProof/>
          <w:lang w:eastAsia="zh-CN"/>
        </w:rPr>
        <w:drawing>
          <wp:inline distT="0" distB="0" distL="0" distR="0">
            <wp:extent cx="6049645" cy="66040"/>
            <wp:effectExtent l="0" t="0" r="8255"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645" cy="66040"/>
                    </a:xfrm>
                    <a:prstGeom prst="rect">
                      <a:avLst/>
                    </a:prstGeom>
                    <a:noFill/>
                    <a:ln>
                      <a:noFill/>
                    </a:ln>
                  </pic:spPr>
                </pic:pic>
              </a:graphicData>
            </a:graphic>
          </wp:inline>
        </w:drawing>
      </w:r>
      <w:r w:rsidR="00A31343">
        <w:rPr>
          <w:noProof/>
          <w:lang w:eastAsia="zh-CN"/>
        </w:rPr>
        <mc:AlternateContent>
          <mc:Choice Requires="wps">
            <w:drawing>
              <wp:anchor distT="4294967295" distB="4294967295" distL="114300" distR="114300" simplePos="0" relativeHeight="251655680" behindDoc="0" locked="0" layoutInCell="1" allowOverlap="1">
                <wp:simplePos x="0" y="0"/>
                <wp:positionH relativeFrom="column">
                  <wp:posOffset>1080135</wp:posOffset>
                </wp:positionH>
                <wp:positionV relativeFrom="paragraph">
                  <wp:posOffset>7810499</wp:posOffset>
                </wp:positionV>
                <wp:extent cx="5196840" cy="0"/>
                <wp:effectExtent l="0" t="19050" r="3810" b="19050"/>
                <wp:wrapNone/>
                <wp:docPr id="5"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615pt" to="49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" strokecolor="gray" strokeweight="3pt"/>
            </w:pict>
          </mc:Fallback>
        </mc:AlternateContent>
      </w:r>
    </w:p>
    <w:p w:rsidR="007C2C70" w:rsidRDefault="007C2C70" w:rsidP="006C2448">
      <w:pPr>
        <w:jc w:val="both"/>
        <w:rPr>
          <w:rFonts w:ascii="Book Antiqua" w:hAnsi="Book Antiqua"/>
          <w:lang w:eastAsia="zh-CN"/>
        </w:rPr>
      </w:pPr>
      <w:r w:rsidRPr="00F96C0C">
        <w:rPr>
          <w:rFonts w:ascii="Book Antiqua" w:eastAsia="Times New Roman" w:hAnsi="Book Antiqua"/>
          <w:b/>
        </w:rPr>
        <w:t>Monil Shah, Laura Sandler,</w:t>
      </w:r>
      <w:r w:rsidRPr="00F96C0C">
        <w:rPr>
          <w:rFonts w:ascii="Book Antiqua" w:eastAsia="Times New Roman" w:hAnsi="Book Antiqua"/>
        </w:rPr>
        <w:t xml:space="preserve"> Ventrus Biosciences, Inc., </w:t>
      </w:r>
      <w:smartTag w:uri="urn:schemas-microsoft-com:office:smarttags" w:element="place">
        <w:smartTag w:uri="urn:schemas-microsoft-com:office:smarttags" w:element="City">
          <w:r w:rsidRPr="00F96C0C">
            <w:rPr>
              <w:rFonts w:ascii="Book Antiqua" w:eastAsia="Times New Roman" w:hAnsi="Book Antiqua"/>
            </w:rPr>
            <w:t>New York</w:t>
          </w:r>
        </w:smartTag>
        <w:r w:rsidRPr="00F96C0C">
          <w:rPr>
            <w:rFonts w:ascii="Book Antiqua" w:eastAsia="Times New Roman" w:hAnsi="Book Antiqua"/>
          </w:rPr>
          <w:t xml:space="preserve">, </w:t>
        </w:r>
        <w:smartTag w:uri="urn:schemas-microsoft-com:office:smarttags" w:element="State">
          <w:r w:rsidRPr="00F96C0C">
            <w:rPr>
              <w:rFonts w:ascii="Book Antiqua" w:eastAsia="Times New Roman" w:hAnsi="Book Antiqua"/>
            </w:rPr>
            <w:t>NY</w:t>
          </w:r>
        </w:smartTag>
        <w:r>
          <w:rPr>
            <w:rFonts w:ascii="Book Antiqua" w:hAnsi="Book Antiqua"/>
            <w:lang w:eastAsia="zh-CN"/>
          </w:rPr>
          <w:t xml:space="preserve"> </w:t>
        </w:r>
        <w:smartTag w:uri="urn:schemas-microsoft-com:office:smarttags" w:element="PostalCode">
          <w:r w:rsidRPr="00F96C0C">
            <w:rPr>
              <w:rFonts w:ascii="Book Antiqua" w:eastAsia="Times New Roman" w:hAnsi="Book Antiqua"/>
            </w:rPr>
            <w:t>10013</w:t>
          </w:r>
        </w:smartTag>
        <w:r w:rsidRPr="00F96C0C">
          <w:rPr>
            <w:rFonts w:ascii="Book Antiqua" w:eastAsia="Times New Roman" w:hAnsi="Book Antiqua"/>
          </w:rPr>
          <w:t xml:space="preserve">, </w:t>
        </w:r>
        <w:smartTag w:uri="urn:schemas-microsoft-com:office:smarttags" w:element="country-region">
          <w:r w:rsidRPr="00F96C0C">
            <w:rPr>
              <w:rFonts w:ascii="Book Antiqua" w:eastAsia="Times New Roman" w:hAnsi="Book Antiqua"/>
            </w:rPr>
            <w:t>United States</w:t>
          </w:r>
        </w:smartTag>
      </w:smartTag>
    </w:p>
    <w:p w:rsidR="007C2C70" w:rsidRPr="0065052E" w:rsidRDefault="007C2C70" w:rsidP="006C2448">
      <w:pPr>
        <w:jc w:val="both"/>
        <w:rPr>
          <w:rFonts w:ascii="Book Antiqua" w:hAnsi="Book Antiqua"/>
          <w:lang w:eastAsia="zh-CN"/>
        </w:rPr>
      </w:pPr>
    </w:p>
    <w:p w:rsidR="007C2C70" w:rsidRPr="00F96C0C" w:rsidRDefault="007C2C70" w:rsidP="006C2448">
      <w:pPr>
        <w:jc w:val="both"/>
        <w:rPr>
          <w:rFonts w:ascii="Book Antiqua" w:eastAsia="Times New Roman" w:hAnsi="Book Antiqua"/>
        </w:rPr>
      </w:pPr>
      <w:r w:rsidRPr="00F96C0C">
        <w:rPr>
          <w:rFonts w:ascii="Book Antiqua" w:eastAsia="Times New Roman" w:hAnsi="Book Antiqua"/>
          <w:b/>
        </w:rPr>
        <w:t>Vishwas Rai, Charu Sharma, Lakshmi Raghavan,</w:t>
      </w:r>
      <w:r w:rsidRPr="00F96C0C">
        <w:rPr>
          <w:rFonts w:ascii="Book Antiqua" w:eastAsia="Times New Roman" w:hAnsi="Book Antiqua"/>
        </w:rPr>
        <w:t xml:space="preserve"> DermPathe Pharmaceuticals, </w:t>
      </w:r>
      <w:smartTag w:uri="urn:schemas-microsoft-com:office:smarttags" w:element="City">
        <w:smartTag w:uri="urn:schemas-microsoft-com:office:smarttags" w:element="place">
          <w:r w:rsidRPr="00F96C0C">
            <w:rPr>
              <w:rFonts w:ascii="Book Antiqua" w:eastAsia="Times New Roman" w:hAnsi="Book Antiqua"/>
            </w:rPr>
            <w:t>Branchburg</w:t>
          </w:r>
        </w:smartTag>
        <w:r w:rsidRPr="00F96C0C">
          <w:rPr>
            <w:rFonts w:ascii="Book Antiqua" w:eastAsia="Times New Roman" w:hAnsi="Book Antiqua"/>
          </w:rPr>
          <w:t xml:space="preserve">, </w:t>
        </w:r>
        <w:smartTag w:uri="urn:schemas-microsoft-com:office:smarttags" w:element="State">
          <w:r w:rsidRPr="00F96C0C">
            <w:rPr>
              <w:rFonts w:ascii="Book Antiqua" w:eastAsia="Times New Roman" w:hAnsi="Book Antiqua"/>
            </w:rPr>
            <w:t>NJ</w:t>
          </w:r>
        </w:smartTag>
        <w:r w:rsidRPr="00F96C0C">
          <w:rPr>
            <w:rFonts w:ascii="Book Antiqua" w:eastAsia="Times New Roman" w:hAnsi="Book Antiqua"/>
          </w:rPr>
          <w:t xml:space="preserve"> </w:t>
        </w:r>
        <w:smartTag w:uri="urn:schemas-microsoft-com:office:smarttags" w:element="PostalCode">
          <w:r w:rsidRPr="00F96C0C">
            <w:rPr>
              <w:rFonts w:ascii="Book Antiqua" w:eastAsia="Times New Roman" w:hAnsi="Book Antiqua"/>
            </w:rPr>
            <w:t>08876</w:t>
          </w:r>
        </w:smartTag>
        <w:r w:rsidRPr="00F96C0C">
          <w:rPr>
            <w:rFonts w:ascii="Book Antiqua" w:eastAsia="Times New Roman" w:hAnsi="Book Antiqua"/>
          </w:rPr>
          <w:t xml:space="preserve">, </w:t>
        </w:r>
        <w:smartTag w:uri="urn:schemas-microsoft-com:office:smarttags" w:element="country-region">
          <w:r w:rsidRPr="00F96C0C">
            <w:rPr>
              <w:rFonts w:ascii="Book Antiqua" w:eastAsia="Times New Roman" w:hAnsi="Book Antiqua"/>
            </w:rPr>
            <w:t>United States</w:t>
          </w:r>
        </w:smartTag>
      </w:smartTag>
    </w:p>
    <w:p w:rsidR="007C2C70" w:rsidRPr="00F96C0C" w:rsidRDefault="007C2C70" w:rsidP="006C2448">
      <w:pPr>
        <w:jc w:val="both"/>
        <w:rPr>
          <w:rFonts w:ascii="Book Antiqua" w:eastAsia="Times New Roman" w:hAnsi="Book Antiqua"/>
        </w:rPr>
      </w:pPr>
    </w:p>
    <w:p w:rsidR="007C2C70" w:rsidRDefault="007C2C70" w:rsidP="00026467">
      <w:pPr>
        <w:jc w:val="both"/>
        <w:rPr>
          <w:rFonts w:ascii="Book Antiqua" w:hAnsi="Book Antiqua"/>
          <w:lang w:eastAsia="zh-CN"/>
        </w:rPr>
      </w:pPr>
      <w:r w:rsidRPr="00F96C0C">
        <w:rPr>
          <w:rFonts w:ascii="Book Antiqua" w:eastAsia="Times New Roman" w:hAnsi="Book Antiqua"/>
          <w:b/>
        </w:rPr>
        <w:t>Author contributions:</w:t>
      </w:r>
      <w:r w:rsidRPr="00F96C0C">
        <w:rPr>
          <w:rFonts w:ascii="Book Antiqua" w:eastAsia="Times New Roman" w:hAnsi="Book Antiqua"/>
        </w:rPr>
        <w:t xml:space="preserve"> Shah M, Sandler L, Rai V, Sharma C and Raghavan L contributed to conception, design, acquisition of data, analysis and interpretation of data, drafting the manuscript, revising it critically for important intellectual content, and final approval of the version to be published</w:t>
      </w:r>
      <w:r w:rsidRPr="00F96C0C">
        <w:rPr>
          <w:rFonts w:ascii="Book Antiqua" w:hAnsi="Book Antiqua"/>
          <w:lang w:eastAsia="zh-CN"/>
        </w:rPr>
        <w:t xml:space="preserve">. </w:t>
      </w:r>
    </w:p>
    <w:p w:rsidR="007C2C70" w:rsidRDefault="007C2C70" w:rsidP="00026467">
      <w:pPr>
        <w:jc w:val="both"/>
        <w:rPr>
          <w:rFonts w:ascii="Book Antiqua" w:hAnsi="Book Antiqua"/>
          <w:lang w:eastAsia="zh-CN"/>
        </w:rPr>
      </w:pPr>
    </w:p>
    <w:p w:rsidR="007C2C70" w:rsidRPr="00F96C0C" w:rsidRDefault="007C2C70" w:rsidP="00026467">
      <w:pPr>
        <w:jc w:val="both"/>
        <w:rPr>
          <w:rFonts w:ascii="Book Antiqua" w:eastAsia="Times New Roman" w:hAnsi="Book Antiqua"/>
        </w:rPr>
      </w:pPr>
      <w:r w:rsidRPr="00F96C0C">
        <w:rPr>
          <w:rFonts w:ascii="Book Antiqua" w:eastAsia="Times New Roman" w:hAnsi="Book Antiqua"/>
          <w:b/>
        </w:rPr>
        <w:lastRenderedPageBreak/>
        <w:t>Supported by</w:t>
      </w:r>
      <w:r w:rsidRPr="00F96C0C">
        <w:rPr>
          <w:rFonts w:ascii="Book Antiqua" w:eastAsia="Times New Roman" w:hAnsi="Book Antiqua"/>
        </w:rPr>
        <w:t xml:space="preserve"> Ventrus Biosciences, Inc., </w:t>
      </w:r>
      <w:smartTag w:uri="urn:schemas-microsoft-com:office:smarttags" w:element="place">
        <w:smartTag w:uri="urn:schemas-microsoft-com:office:smarttags" w:element="City">
          <w:r w:rsidRPr="00F96C0C">
            <w:rPr>
              <w:rFonts w:ascii="Book Antiqua" w:eastAsia="Times New Roman" w:hAnsi="Book Antiqua"/>
            </w:rPr>
            <w:t>New York</w:t>
          </w:r>
        </w:smartTag>
        <w:r w:rsidRPr="00F96C0C">
          <w:rPr>
            <w:rFonts w:ascii="Book Antiqua" w:eastAsia="Times New Roman" w:hAnsi="Book Antiqua"/>
          </w:rPr>
          <w:t xml:space="preserve">, </w:t>
        </w:r>
        <w:smartTag w:uri="urn:schemas-microsoft-com:office:smarttags" w:element="State">
          <w:r w:rsidRPr="00F96C0C">
            <w:rPr>
              <w:rFonts w:ascii="Book Antiqua" w:eastAsia="Times New Roman" w:hAnsi="Book Antiqua"/>
            </w:rPr>
            <w:t>N</w:t>
          </w:r>
          <w:r w:rsidRPr="00F96C0C">
            <w:rPr>
              <w:rFonts w:ascii="Book Antiqua" w:hAnsi="Book Antiqua"/>
              <w:lang w:eastAsia="zh-CN"/>
            </w:rPr>
            <w:t>J</w:t>
          </w:r>
        </w:smartTag>
        <w:r>
          <w:rPr>
            <w:rFonts w:ascii="Book Antiqua" w:hAnsi="Book Antiqua"/>
            <w:lang w:eastAsia="zh-CN"/>
          </w:rPr>
          <w:t>,</w:t>
        </w:r>
        <w:r w:rsidRPr="00F96C0C">
          <w:rPr>
            <w:rFonts w:ascii="Book Antiqua" w:eastAsia="Times New Roman" w:hAnsi="Book Antiqua"/>
          </w:rPr>
          <w:t xml:space="preserve"> </w:t>
        </w:r>
        <w:smartTag w:uri="urn:schemas-microsoft-com:office:smarttags" w:element="country-region">
          <w:r w:rsidRPr="00F96C0C">
            <w:rPr>
              <w:rFonts w:ascii="Book Antiqua" w:eastAsia="Times New Roman" w:hAnsi="Book Antiqua"/>
            </w:rPr>
            <w:t>United States</w:t>
          </w:r>
        </w:smartTag>
      </w:smartTag>
    </w:p>
    <w:p w:rsidR="007C2C70" w:rsidRPr="00F96C0C" w:rsidRDefault="007C2C70" w:rsidP="006C2448">
      <w:pPr>
        <w:jc w:val="both"/>
        <w:rPr>
          <w:rFonts w:ascii="Book Antiqua" w:eastAsia="Times New Roman" w:hAnsi="Book Antiqua"/>
        </w:rPr>
      </w:pPr>
      <w:r w:rsidRPr="00F96C0C">
        <w:rPr>
          <w:rFonts w:ascii="Book Antiqua" w:eastAsia="Times New Roman" w:hAnsi="Book Antiqua"/>
        </w:rPr>
        <w:t xml:space="preserve"> </w:t>
      </w:r>
    </w:p>
    <w:p w:rsidR="007C2C70" w:rsidRPr="00F96C0C" w:rsidRDefault="007C2C70" w:rsidP="006C2448">
      <w:pPr>
        <w:jc w:val="both"/>
        <w:rPr>
          <w:rFonts w:ascii="Book Antiqua" w:hAnsi="Book Antiqua"/>
          <w:lang w:eastAsia="zh-CN"/>
        </w:rPr>
      </w:pPr>
      <w:r w:rsidRPr="00F96C0C">
        <w:rPr>
          <w:rFonts w:ascii="Book Antiqua" w:eastAsia="Times New Roman" w:hAnsi="Book Antiqua"/>
          <w:b/>
        </w:rPr>
        <w:t>Correspondence to: Monil Shah,</w:t>
      </w:r>
      <w:r w:rsidRPr="00F96C0C">
        <w:rPr>
          <w:rFonts w:ascii="Book Antiqua" w:eastAsia="Times New Roman" w:hAnsi="Book Antiqua"/>
        </w:rPr>
        <w:t xml:space="preserve"> </w:t>
      </w:r>
      <w:r w:rsidRPr="0003515D">
        <w:rPr>
          <w:rFonts w:ascii="Book Antiqua" w:eastAsia="Times New Roman" w:hAnsi="Book Antiqua"/>
          <w:b/>
        </w:rPr>
        <w:t>PhD,</w:t>
      </w:r>
      <w:r w:rsidRPr="00F96C0C">
        <w:rPr>
          <w:rFonts w:ascii="Book Antiqua" w:eastAsia="Times New Roman" w:hAnsi="Book Antiqua"/>
        </w:rPr>
        <w:t xml:space="preserve"> Ventrus Biosciences, Inc., </w:t>
      </w:r>
      <w:smartTag w:uri="urn:schemas-microsoft-com:office:smarttags" w:element="address">
        <w:smartTag w:uri="urn:schemas-microsoft-com:office:smarttags" w:element="Street">
          <w:r w:rsidRPr="00F96C0C">
            <w:rPr>
              <w:rFonts w:ascii="Book Antiqua" w:eastAsia="Times New Roman" w:hAnsi="Book Antiqua"/>
            </w:rPr>
            <w:t>99 Hudson Street</w:t>
          </w:r>
        </w:smartTag>
      </w:smartTag>
      <w:r w:rsidRPr="00F96C0C">
        <w:rPr>
          <w:rFonts w:ascii="Book Antiqua" w:eastAsia="Times New Roman" w:hAnsi="Book Antiqua"/>
        </w:rPr>
        <w:t xml:space="preserve">, 5th Floor, </w:t>
      </w:r>
      <w:smartTag w:uri="urn:schemas-microsoft-com:office:smarttags" w:element="place">
        <w:smartTag w:uri="urn:schemas-microsoft-com:office:smarttags" w:element="City">
          <w:r w:rsidRPr="00F96C0C">
            <w:rPr>
              <w:rFonts w:ascii="Book Antiqua" w:eastAsia="Times New Roman" w:hAnsi="Book Antiqua"/>
            </w:rPr>
            <w:t>New York</w:t>
          </w:r>
        </w:smartTag>
        <w:r w:rsidRPr="00F96C0C">
          <w:rPr>
            <w:rFonts w:ascii="Book Antiqua" w:eastAsia="Times New Roman" w:hAnsi="Book Antiqua"/>
          </w:rPr>
          <w:t xml:space="preserve">, </w:t>
        </w:r>
        <w:smartTag w:uri="urn:schemas-microsoft-com:office:smarttags" w:element="State">
          <w:r w:rsidRPr="00F96C0C">
            <w:rPr>
              <w:rFonts w:ascii="Book Antiqua" w:eastAsia="Times New Roman" w:hAnsi="Book Antiqua"/>
            </w:rPr>
            <w:t>NY</w:t>
          </w:r>
        </w:smartTag>
        <w:r>
          <w:rPr>
            <w:rFonts w:ascii="Book Antiqua" w:hAnsi="Book Antiqua"/>
            <w:lang w:eastAsia="zh-CN"/>
          </w:rPr>
          <w:t xml:space="preserve"> </w:t>
        </w:r>
        <w:smartTag w:uri="urn:schemas-microsoft-com:office:smarttags" w:element="PostalCode">
          <w:r w:rsidRPr="00F96C0C">
            <w:rPr>
              <w:rFonts w:ascii="Book Antiqua" w:eastAsia="Times New Roman" w:hAnsi="Book Antiqua"/>
            </w:rPr>
            <w:t>10013</w:t>
          </w:r>
        </w:smartTag>
        <w:r w:rsidRPr="00F96C0C">
          <w:rPr>
            <w:rFonts w:ascii="Book Antiqua" w:eastAsia="Times New Roman" w:hAnsi="Book Antiqua"/>
          </w:rPr>
          <w:t xml:space="preserve">, </w:t>
        </w:r>
        <w:smartTag w:uri="urn:schemas-microsoft-com:office:smarttags" w:element="country-region">
          <w:r w:rsidRPr="00F96C0C">
            <w:rPr>
              <w:rFonts w:ascii="Book Antiqua" w:eastAsia="Times New Roman" w:hAnsi="Book Antiqua"/>
            </w:rPr>
            <w:t>United States</w:t>
          </w:r>
        </w:smartTag>
      </w:smartTag>
      <w:r w:rsidRPr="00F96C0C">
        <w:rPr>
          <w:rFonts w:ascii="Book Antiqua" w:eastAsia="Times New Roman" w:hAnsi="Book Antiqua"/>
        </w:rPr>
        <w:t xml:space="preserve">. </w:t>
      </w:r>
      <w:hyperlink r:id="rId9" w:history="1">
        <w:r w:rsidRPr="00F96C0C">
          <w:rPr>
            <w:rStyle w:val="a8"/>
            <w:rFonts w:ascii="Book Antiqua" w:eastAsia="Times New Roman" w:hAnsi="Book Antiqua"/>
          </w:rPr>
          <w:t>mshah@ventrusbio.com</w:t>
        </w:r>
      </w:hyperlink>
      <w:r w:rsidRPr="00F96C0C">
        <w:rPr>
          <w:rFonts w:ascii="Book Antiqua" w:eastAsia="Times New Roman" w:hAnsi="Book Antiqua"/>
        </w:rPr>
        <w:t xml:space="preserve"> </w:t>
      </w:r>
    </w:p>
    <w:p w:rsidR="007C2C70" w:rsidRPr="00F96C0C" w:rsidRDefault="007C2C70" w:rsidP="006C2448">
      <w:pPr>
        <w:jc w:val="both"/>
        <w:rPr>
          <w:rFonts w:ascii="Book Antiqua" w:hAnsi="Book Antiqua"/>
          <w:lang w:eastAsia="zh-CN"/>
        </w:rPr>
      </w:pPr>
    </w:p>
    <w:p w:rsidR="007C2C70" w:rsidRPr="00F96C0C" w:rsidRDefault="007C2C70" w:rsidP="006C2448">
      <w:pPr>
        <w:jc w:val="both"/>
        <w:rPr>
          <w:rFonts w:ascii="Book Antiqua" w:eastAsia="Times New Roman" w:hAnsi="Book Antiqua"/>
        </w:rPr>
      </w:pPr>
      <w:r w:rsidRPr="00F96C0C">
        <w:rPr>
          <w:rFonts w:ascii="Book Antiqua" w:eastAsia="Times New Roman" w:hAnsi="Book Antiqua"/>
          <w:b/>
        </w:rPr>
        <w:t>Telephone:</w:t>
      </w:r>
      <w:r w:rsidRPr="00F96C0C">
        <w:rPr>
          <w:rFonts w:ascii="Book Antiqua" w:hAnsi="Book Antiqua"/>
          <w:lang w:eastAsia="zh-CN"/>
        </w:rPr>
        <w:t xml:space="preserve"> +1-</w:t>
      </w:r>
      <w:r w:rsidRPr="00F96C0C">
        <w:rPr>
          <w:rFonts w:ascii="Book Antiqua" w:eastAsia="Times New Roman" w:hAnsi="Book Antiqua"/>
        </w:rPr>
        <w:t xml:space="preserve">646-7065208  </w:t>
      </w:r>
      <w:r w:rsidRPr="00F96C0C">
        <w:rPr>
          <w:rFonts w:ascii="Book Antiqua" w:hAnsi="Book Antiqua"/>
          <w:lang w:eastAsia="zh-CN"/>
        </w:rPr>
        <w:t xml:space="preserve">         </w:t>
      </w:r>
      <w:r w:rsidRPr="00F96C0C">
        <w:rPr>
          <w:rFonts w:ascii="Book Antiqua" w:eastAsia="Times New Roman" w:hAnsi="Book Antiqua"/>
          <w:b/>
        </w:rPr>
        <w:t>Fax:</w:t>
      </w:r>
      <w:r w:rsidRPr="00F96C0C">
        <w:rPr>
          <w:rFonts w:ascii="Book Antiqua" w:eastAsia="Times New Roman" w:hAnsi="Book Antiqua"/>
        </w:rPr>
        <w:t xml:space="preserve"> </w:t>
      </w:r>
      <w:r w:rsidRPr="00F96C0C">
        <w:rPr>
          <w:rFonts w:ascii="Book Antiqua" w:hAnsi="Book Antiqua"/>
          <w:lang w:eastAsia="zh-CN"/>
        </w:rPr>
        <w:t>+1-</w:t>
      </w:r>
      <w:r w:rsidRPr="00F96C0C">
        <w:rPr>
          <w:rFonts w:ascii="Book Antiqua" w:eastAsia="Times New Roman" w:hAnsi="Book Antiqua"/>
        </w:rPr>
        <w:t>646-7065101</w:t>
      </w:r>
    </w:p>
    <w:p w:rsidR="007C2C70" w:rsidRPr="00F96C0C" w:rsidRDefault="007C2C70" w:rsidP="006C2448">
      <w:pPr>
        <w:jc w:val="both"/>
        <w:rPr>
          <w:rFonts w:ascii="Book Antiqua" w:eastAsia="Times New Roman" w:hAnsi="Book Antiqua"/>
        </w:rPr>
      </w:pPr>
    </w:p>
    <w:p w:rsidR="007C2C70" w:rsidRPr="00F96C0C" w:rsidRDefault="007C2C70" w:rsidP="006C2448">
      <w:pPr>
        <w:jc w:val="both"/>
        <w:rPr>
          <w:rFonts w:ascii="Book Antiqua" w:hAnsi="Book Antiqua"/>
          <w:b/>
          <w:lang w:eastAsia="zh-CN"/>
        </w:rPr>
      </w:pPr>
      <w:r w:rsidRPr="00F96C0C">
        <w:rPr>
          <w:rFonts w:ascii="Book Antiqua" w:eastAsia="Times New Roman" w:hAnsi="Book Antiqua"/>
          <w:b/>
        </w:rPr>
        <w:t>Received:</w:t>
      </w:r>
      <w:r w:rsidRPr="00F96C0C">
        <w:rPr>
          <w:rFonts w:ascii="Book Antiqua" w:eastAsia="Times New Roman" w:hAnsi="Book Antiqua"/>
        </w:rPr>
        <w:t xml:space="preserve"> </w:t>
      </w:r>
      <w:r w:rsidRPr="00F96C0C">
        <w:rPr>
          <w:rFonts w:ascii="Book Antiqua" w:hAnsi="Book Antiqua"/>
          <w:lang w:eastAsia="zh-CN"/>
        </w:rPr>
        <w:t>June 9, 2013</w:t>
      </w:r>
      <w:r w:rsidRPr="00F96C0C">
        <w:rPr>
          <w:rFonts w:ascii="Book Antiqua" w:eastAsia="Times New Roman" w:hAnsi="Book Antiqua"/>
          <w:b/>
        </w:rPr>
        <w:t xml:space="preserve"> </w:t>
      </w:r>
      <w:r w:rsidRPr="00F96C0C">
        <w:rPr>
          <w:rFonts w:ascii="Book Antiqua" w:hAnsi="Book Antiqua"/>
          <w:b/>
          <w:lang w:eastAsia="zh-CN"/>
        </w:rPr>
        <w:t xml:space="preserve">                </w:t>
      </w:r>
      <w:r w:rsidRPr="00F96C0C">
        <w:rPr>
          <w:rFonts w:ascii="Book Antiqua" w:eastAsia="Times New Roman" w:hAnsi="Book Antiqua"/>
          <w:b/>
        </w:rPr>
        <w:t xml:space="preserve">Revised: </w:t>
      </w:r>
      <w:r w:rsidRPr="00F96C0C">
        <w:rPr>
          <w:rFonts w:ascii="Book Antiqua" w:hAnsi="Book Antiqua"/>
          <w:lang w:eastAsia="zh-CN"/>
        </w:rPr>
        <w:t>June 29, 2013</w:t>
      </w:r>
    </w:p>
    <w:p w:rsidR="00DF6241" w:rsidRDefault="007C2C70" w:rsidP="00DF6241">
      <w:r w:rsidRPr="00F96C0C">
        <w:rPr>
          <w:rFonts w:ascii="Book Antiqua" w:eastAsia="Times New Roman" w:hAnsi="Book Antiqua"/>
          <w:b/>
        </w:rPr>
        <w:t xml:space="preserve">Accepted:  </w:t>
      </w:r>
      <w:r w:rsidR="00DF6241">
        <w:t>August 4, 2013</w:t>
      </w:r>
    </w:p>
    <w:p w:rsidR="007C2C70" w:rsidRPr="00F96C0C" w:rsidRDefault="007C2C70" w:rsidP="006C2448">
      <w:pPr>
        <w:jc w:val="both"/>
        <w:rPr>
          <w:rFonts w:ascii="Book Antiqua" w:eastAsia="Times New Roman" w:hAnsi="Book Antiqua"/>
          <w:b/>
        </w:rPr>
      </w:pPr>
    </w:p>
    <w:p w:rsidR="007C2C70" w:rsidRPr="00F96C0C" w:rsidRDefault="007C2C70" w:rsidP="006C2448">
      <w:pPr>
        <w:jc w:val="both"/>
        <w:rPr>
          <w:rFonts w:ascii="Book Antiqua" w:eastAsia="Times New Roman" w:hAnsi="Book Antiqua"/>
          <w:b/>
        </w:rPr>
      </w:pPr>
      <w:r w:rsidRPr="00F96C0C">
        <w:rPr>
          <w:rFonts w:ascii="Book Antiqua" w:eastAsia="Times New Roman" w:hAnsi="Book Antiqua"/>
          <w:b/>
        </w:rPr>
        <w:t xml:space="preserve">Published online: </w:t>
      </w:r>
    </w:p>
    <w:p w:rsidR="007C2C70" w:rsidRPr="00F96C0C" w:rsidRDefault="007C2C70" w:rsidP="006C2448">
      <w:pPr>
        <w:jc w:val="both"/>
        <w:rPr>
          <w:rFonts w:ascii="Book Antiqua" w:eastAsia="Times New Roman" w:hAnsi="Book Antiqua"/>
        </w:rPr>
      </w:pPr>
    </w:p>
    <w:p w:rsidR="007C2C70" w:rsidRPr="00F96C0C" w:rsidRDefault="007C2C70" w:rsidP="006C2448">
      <w:pPr>
        <w:jc w:val="both"/>
        <w:rPr>
          <w:rFonts w:ascii="Book Antiqua" w:eastAsia="Times New Roman" w:hAnsi="Book Antiqua"/>
        </w:rPr>
      </w:pPr>
    </w:p>
    <w:p w:rsidR="007C2C70" w:rsidRPr="00F96C0C" w:rsidRDefault="007C2C70" w:rsidP="006C2448">
      <w:pPr>
        <w:jc w:val="both"/>
        <w:rPr>
          <w:rFonts w:ascii="Book Antiqua" w:eastAsia="Times New Roman" w:hAnsi="Book Antiqua"/>
          <w:b/>
          <w:bCs/>
          <w:i/>
          <w:iCs/>
        </w:rPr>
      </w:pPr>
      <w:r w:rsidRPr="00F96C0C">
        <w:rPr>
          <w:rFonts w:ascii="Book Antiqua" w:eastAsia="Times New Roman" w:hAnsi="Book Antiqua"/>
          <w:b/>
          <w:bCs/>
          <w:i/>
          <w:iCs/>
        </w:rPr>
        <w:br w:type="page"/>
      </w:r>
    </w:p>
    <w:p w:rsidR="007C2C70" w:rsidRPr="00F96C0C" w:rsidRDefault="007C2C70" w:rsidP="006C2448">
      <w:pPr>
        <w:jc w:val="both"/>
        <w:rPr>
          <w:rFonts w:ascii="Book Antiqua" w:eastAsia="Times New Roman" w:hAnsi="Book Antiqua"/>
          <w:b/>
        </w:rPr>
      </w:pPr>
      <w:r w:rsidRPr="00F96C0C">
        <w:rPr>
          <w:rFonts w:ascii="Book Antiqua" w:eastAsia="Times New Roman" w:hAnsi="Book Antiqua"/>
          <w:b/>
        </w:rPr>
        <w:lastRenderedPageBreak/>
        <w:t>Abstract</w:t>
      </w:r>
    </w:p>
    <w:p w:rsidR="007C2C70" w:rsidRPr="00F96C0C" w:rsidRDefault="007C2C70" w:rsidP="006C2448">
      <w:pPr>
        <w:jc w:val="both"/>
        <w:rPr>
          <w:rFonts w:ascii="Book Antiqua" w:hAnsi="Book Antiqua"/>
          <w:bCs/>
          <w:lang w:eastAsia="zh-CN"/>
        </w:rPr>
      </w:pPr>
      <w:r w:rsidRPr="00F96C0C">
        <w:rPr>
          <w:rFonts w:ascii="Book Antiqua" w:eastAsia="Times New Roman" w:hAnsi="Book Antiqua"/>
          <w:b/>
          <w:bCs/>
          <w:iCs/>
        </w:rPr>
        <w:t>AIM:</w:t>
      </w:r>
      <w:r w:rsidRPr="00F96C0C">
        <w:rPr>
          <w:rFonts w:ascii="Book Antiqua" w:eastAsia="Times New Roman" w:hAnsi="Book Antiqua"/>
          <w:b/>
          <w:bCs/>
        </w:rPr>
        <w:t xml:space="preserve"> </w:t>
      </w:r>
      <w:r w:rsidRPr="00F96C0C">
        <w:rPr>
          <w:rFonts w:ascii="Book Antiqua" w:eastAsia="Times New Roman" w:hAnsi="Book Antiqua"/>
          <w:bCs/>
        </w:rPr>
        <w:t>To investigate the quality of topical 2% diltiazem formulations extemporaneously compounded by retail pharmacies openly offering drug-compounding services.</w:t>
      </w:r>
    </w:p>
    <w:p w:rsidR="007C2C70" w:rsidRPr="00F96C0C" w:rsidRDefault="007C2C70" w:rsidP="006C2448">
      <w:pPr>
        <w:jc w:val="both"/>
        <w:rPr>
          <w:rFonts w:ascii="Book Antiqua" w:hAnsi="Book Antiqua"/>
          <w:bCs/>
          <w:lang w:eastAsia="zh-CN"/>
        </w:rPr>
      </w:pPr>
    </w:p>
    <w:p w:rsidR="007C2C70" w:rsidRPr="00F96C0C" w:rsidRDefault="007C2C70" w:rsidP="006C2448">
      <w:pPr>
        <w:jc w:val="both"/>
        <w:rPr>
          <w:rFonts w:ascii="Book Antiqua" w:hAnsi="Book Antiqua"/>
          <w:lang w:eastAsia="zh-CN"/>
        </w:rPr>
      </w:pPr>
      <w:r w:rsidRPr="00F96C0C">
        <w:rPr>
          <w:rFonts w:ascii="Book Antiqua" w:eastAsia="Times New Roman" w:hAnsi="Book Antiqua"/>
          <w:b/>
          <w:bCs/>
          <w:iCs/>
          <w:caps/>
        </w:rPr>
        <w:t>METHODS:</w:t>
      </w:r>
      <w:r w:rsidRPr="00F96C0C">
        <w:rPr>
          <w:rFonts w:ascii="Book Antiqua" w:eastAsia="Times New Roman" w:hAnsi="Book Antiqua"/>
          <w:b/>
          <w:bCs/>
        </w:rPr>
        <w:t xml:space="preserve"> </w:t>
      </w:r>
      <w:r w:rsidRPr="00F96C0C">
        <w:rPr>
          <w:rFonts w:ascii="Book Antiqua" w:eastAsia="Times New Roman" w:hAnsi="Book Antiqua"/>
        </w:rPr>
        <w:t>A participating healthcare professional wrote 12 prescriptions for compounded 2% diltiazem cream, with 2 refills allowed per prescription. The 12 sets of prescriptions were filled, at intervals of 1</w:t>
      </w:r>
      <w:r w:rsidRPr="00F96C0C">
        <w:rPr>
          <w:rFonts w:ascii="Book Antiqua" w:hAnsi="Book Antiqua"/>
          <w:lang w:eastAsia="zh-CN"/>
        </w:rPr>
        <w:t>-</w:t>
      </w:r>
      <w:r w:rsidRPr="00F96C0C">
        <w:rPr>
          <w:rFonts w:ascii="Book Antiqua" w:eastAsia="Times New Roman" w:hAnsi="Book Antiqua"/>
        </w:rPr>
        <w:t>2 wk between refills, at 12 different independent retail pharmacies that openly offer drug-compounding services in a major metropolitan region. The 36 resultant preparations, provided as jars or tubes, were shipped, as soon as each was filled, at ambient temperature to the study core laboratory for high-performance liquid chromatography (HPLC) analysis, within 10 d</w:t>
      </w:r>
      <w:r w:rsidRPr="00F96C0C">
        <w:rPr>
          <w:rFonts w:ascii="Book Antiqua" w:hAnsi="Book Antiqua"/>
          <w:lang w:eastAsia="zh-CN"/>
        </w:rPr>
        <w:t xml:space="preserve"> </w:t>
      </w:r>
      <w:r w:rsidRPr="00F96C0C">
        <w:rPr>
          <w:rFonts w:ascii="Book Antiqua" w:eastAsia="Times New Roman" w:hAnsi="Book Antiqua"/>
        </w:rPr>
        <w:t xml:space="preserve">of receipt. For the HPLC analysis, 8 different samples of the topical diltiazem, each approximately </w:t>
      </w:r>
      <w:smartTag w:uri="urn:schemas-microsoft-com:office:smarttags" w:element="City">
        <w:r w:rsidRPr="00F96C0C">
          <w:rPr>
            <w:rFonts w:ascii="Book Antiqua" w:eastAsia="Times New Roman" w:hAnsi="Book Antiqua"/>
          </w:rPr>
          <w:t>1 g</w:t>
        </w:r>
      </w:smartTag>
      <w:r w:rsidRPr="00F96C0C">
        <w:rPr>
          <w:rFonts w:ascii="Book Antiqua" w:eastAsia="Times New Roman" w:hAnsi="Book Antiqua"/>
        </w:rPr>
        <w:t xml:space="preserve"> in weight, were taken from prespecified locations within each container. To initiate the HPLC analysis, each sample was transferred to a 100 mL volumetric flask, to which methanol was added. The HPLC analysis was conducted in accordance with the laboratory-validated method for diltiazem in cream, ointment, and gel formulations. The main outcome measures were potency (percentage of label claim) and content uniformity of the compounded topical 2% diltiazem formulations.</w:t>
      </w:r>
    </w:p>
    <w:p w:rsidR="007C2C70" w:rsidRPr="00F96C0C" w:rsidRDefault="007C2C70" w:rsidP="006C2448">
      <w:pPr>
        <w:jc w:val="both"/>
        <w:rPr>
          <w:rFonts w:ascii="Book Antiqua" w:hAnsi="Book Antiqua"/>
          <w:lang w:eastAsia="zh-CN"/>
        </w:rPr>
      </w:pPr>
    </w:p>
    <w:p w:rsidR="007C2C70" w:rsidRPr="00F96C0C" w:rsidRDefault="007C2C70" w:rsidP="006C2448">
      <w:pPr>
        <w:jc w:val="both"/>
        <w:rPr>
          <w:rFonts w:ascii="Book Antiqua" w:hAnsi="Book Antiqua"/>
          <w:lang w:eastAsia="zh-CN"/>
        </w:rPr>
      </w:pPr>
      <w:r w:rsidRPr="00F96C0C">
        <w:rPr>
          <w:rFonts w:ascii="Book Antiqua" w:eastAsia="Times New Roman" w:hAnsi="Book Antiqua"/>
          <w:b/>
          <w:bCs/>
          <w:iCs/>
          <w:caps/>
        </w:rPr>
        <w:t>Results:</w:t>
      </w:r>
      <w:r w:rsidRPr="00F96C0C">
        <w:rPr>
          <w:rFonts w:ascii="Book Antiqua" w:eastAsia="Times New Roman" w:hAnsi="Book Antiqua"/>
          <w:b/>
          <w:bCs/>
        </w:rPr>
        <w:t xml:space="preserve"> </w:t>
      </w:r>
      <w:r w:rsidRPr="00F96C0C">
        <w:rPr>
          <w:rFonts w:ascii="Book Antiqua" w:eastAsia="Times New Roman" w:hAnsi="Book Antiqua"/>
          <w:bCs/>
        </w:rPr>
        <w:t xml:space="preserve">Of the 36 prescriptions filled, 30 were packaged in jars and 6 were packaged as tubes. The prescriptions were specifically for </w:t>
      </w:r>
      <w:r w:rsidRPr="00F96C0C">
        <w:rPr>
          <w:rFonts w:ascii="Book Antiqua" w:eastAsia="Times New Roman" w:hAnsi="Book Antiqua"/>
          <w:bCs/>
          <w:i/>
        </w:rPr>
        <w:t>cream</w:t>
      </w:r>
      <w:r w:rsidRPr="00F96C0C">
        <w:rPr>
          <w:rFonts w:ascii="Book Antiqua" w:eastAsia="Times New Roman" w:hAnsi="Book Antiqua"/>
          <w:bCs/>
        </w:rPr>
        <w:t xml:space="preserve"> formulations, but 6 of the 12 pharmacies compounded 2% diltiazem as an ointment; for another pharmacy, which </w:t>
      </w:r>
      <w:r w:rsidRPr="00F96C0C">
        <w:rPr>
          <w:rFonts w:ascii="Book Antiqua" w:eastAsia="Times New Roman" w:hAnsi="Book Antiqua"/>
          <w:bCs/>
        </w:rPr>
        <w:lastRenderedPageBreak/>
        <w:t xml:space="preserve">had inadequate labeling, the dosage form was unknown. </w:t>
      </w:r>
      <w:r w:rsidRPr="00F96C0C">
        <w:rPr>
          <w:rFonts w:ascii="Book Antiqua" w:eastAsia="Times New Roman" w:hAnsi="Book Antiqua"/>
        </w:rPr>
        <w:t>The United States Pharmacopoeia (USP) standard for potency is 90%</w:t>
      </w:r>
      <w:r w:rsidRPr="00F96C0C">
        <w:rPr>
          <w:rFonts w:ascii="Book Antiqua" w:hAnsi="Book Antiqua"/>
          <w:lang w:eastAsia="zh-CN"/>
        </w:rPr>
        <w:t>-</w:t>
      </w:r>
      <w:r w:rsidRPr="00F96C0C">
        <w:rPr>
          <w:rFonts w:ascii="Book Antiqua" w:eastAsia="Times New Roman" w:hAnsi="Book Antiqua"/>
        </w:rPr>
        <w:t>115% of label claim. Of the 36 preparations, 5 (13.89%) were suprapotent and 13 (36.11%) were subpotent. The suprapotent prescriptions ranged in potency from 117.2%</w:t>
      </w:r>
      <w:r w:rsidRPr="00F96C0C">
        <w:rPr>
          <w:rFonts w:ascii="Book Antiqua" w:hAnsi="Book Antiqua"/>
          <w:lang w:eastAsia="zh-CN"/>
        </w:rPr>
        <w:t xml:space="preserve"> to</w:t>
      </w:r>
      <w:r w:rsidRPr="00F96C0C">
        <w:rPr>
          <w:rFonts w:ascii="Book Antiqua" w:eastAsia="Times New Roman" w:hAnsi="Book Antiqua"/>
        </w:rPr>
        <w:t>128.5% of label claim, and the subpotent prescriptions ranged in potency from 34.8%</w:t>
      </w:r>
      <w:r w:rsidRPr="00F96C0C">
        <w:rPr>
          <w:rFonts w:ascii="Book Antiqua" w:hAnsi="Book Antiqua"/>
          <w:lang w:eastAsia="zh-CN"/>
        </w:rPr>
        <w:t xml:space="preserve"> to </w:t>
      </w:r>
      <w:r w:rsidRPr="00F96C0C">
        <w:rPr>
          <w:rFonts w:ascii="Book Antiqua" w:eastAsia="Times New Roman" w:hAnsi="Book Antiqua"/>
        </w:rPr>
        <w:t>89.8% of label claim. Fourteen (38.9%) preparations lacked content uniformity according to the USP standard of 90%</w:t>
      </w:r>
      <w:r w:rsidRPr="00F96C0C">
        <w:rPr>
          <w:rFonts w:ascii="Book Antiqua" w:hAnsi="Book Antiqua"/>
          <w:lang w:eastAsia="zh-CN"/>
        </w:rPr>
        <w:t>-</w:t>
      </w:r>
      <w:r w:rsidRPr="00F96C0C">
        <w:rPr>
          <w:rFonts w:ascii="Book Antiqua" w:eastAsia="Times New Roman" w:hAnsi="Book Antiqua"/>
        </w:rPr>
        <w:t>110% potency and &lt;</w:t>
      </w:r>
      <w:r w:rsidRPr="00F96C0C">
        <w:rPr>
          <w:rFonts w:ascii="Book Antiqua" w:hAnsi="Book Antiqua"/>
          <w:lang w:eastAsia="zh-CN"/>
        </w:rPr>
        <w:t xml:space="preserve"> </w:t>
      </w:r>
      <w:r w:rsidRPr="00F96C0C">
        <w:rPr>
          <w:rFonts w:ascii="Book Antiqua" w:eastAsia="Times New Roman" w:hAnsi="Book Antiqua"/>
        </w:rPr>
        <w:t>6% relative standard deviation. Of the 30 formulations packaged in jars, 12 (40%) lacked content uniformity, while of the 6 formulations packaged in tubes, 2 (33.3%) lacked content uniformity. Nine of the 12 pharmacies (75%) failed USP potency or content-uniformity specifications for at least 1 of the 3 prescription fills. For 5 of the 12 pharmacies (41.7%), the mean potency across all three prescription fills was &lt;</w:t>
      </w:r>
      <w:r w:rsidRPr="00F96C0C">
        <w:rPr>
          <w:rFonts w:ascii="Book Antiqua" w:hAnsi="Book Antiqua"/>
          <w:lang w:eastAsia="zh-CN"/>
        </w:rPr>
        <w:t xml:space="preserve"> </w:t>
      </w:r>
      <w:r w:rsidRPr="00F96C0C">
        <w:rPr>
          <w:rFonts w:ascii="Book Antiqua" w:eastAsia="Times New Roman" w:hAnsi="Book Antiqua"/>
        </w:rPr>
        <w:t>90% of label claim.</w:t>
      </w:r>
    </w:p>
    <w:p w:rsidR="007C2C70" w:rsidRPr="00F96C0C" w:rsidRDefault="007C2C70" w:rsidP="006C2448">
      <w:pPr>
        <w:jc w:val="both"/>
        <w:rPr>
          <w:rFonts w:ascii="Book Antiqua" w:hAnsi="Book Antiqua"/>
          <w:lang w:eastAsia="zh-CN"/>
        </w:rPr>
      </w:pPr>
    </w:p>
    <w:p w:rsidR="007C2C70" w:rsidRPr="00F96C0C" w:rsidRDefault="007C2C70" w:rsidP="006C2448">
      <w:pPr>
        <w:jc w:val="both"/>
        <w:rPr>
          <w:rFonts w:ascii="Book Antiqua" w:hAnsi="Book Antiqua"/>
          <w:lang w:eastAsia="zh-CN"/>
        </w:rPr>
      </w:pPr>
      <w:r w:rsidRPr="00F96C0C">
        <w:rPr>
          <w:rFonts w:ascii="Book Antiqua" w:eastAsia="Times New Roman" w:hAnsi="Book Antiqua"/>
          <w:b/>
          <w:bCs/>
          <w:iCs/>
          <w:caps/>
        </w:rPr>
        <w:t>Conclusion:</w:t>
      </w:r>
      <w:r w:rsidRPr="00F96C0C">
        <w:rPr>
          <w:rFonts w:ascii="Book Antiqua" w:eastAsia="Times New Roman" w:hAnsi="Book Antiqua"/>
          <w:b/>
          <w:bCs/>
          <w:i/>
          <w:iCs/>
        </w:rPr>
        <w:t xml:space="preserve"> </w:t>
      </w:r>
      <w:r w:rsidRPr="00F96C0C">
        <w:rPr>
          <w:rFonts w:ascii="Book Antiqua" w:eastAsia="Times New Roman" w:hAnsi="Book Antiqua"/>
        </w:rPr>
        <w:t>Patients prescribed topical 2% diltiazem for treatment of anal fissure frequently receive compounded formulations that are misbranded with respect to potency and that lack content uniformity.</w:t>
      </w:r>
    </w:p>
    <w:p w:rsidR="007C2C70" w:rsidRPr="00F96C0C" w:rsidRDefault="007C2C70" w:rsidP="006C2448">
      <w:pPr>
        <w:jc w:val="both"/>
        <w:rPr>
          <w:rFonts w:ascii="Book Antiqua" w:hAnsi="Book Antiqua"/>
          <w:lang w:eastAsia="zh-CN"/>
        </w:rPr>
      </w:pPr>
    </w:p>
    <w:p w:rsidR="007C2C70" w:rsidRPr="00F96C0C" w:rsidRDefault="007C2C70" w:rsidP="003D71D6">
      <w:pPr>
        <w:spacing w:line="360" w:lineRule="auto"/>
        <w:rPr>
          <w:rFonts w:ascii="Book Antiqua" w:eastAsia="Times New Roman" w:hAnsi="Book Antiqua"/>
        </w:rPr>
      </w:pPr>
      <w:r w:rsidRPr="00F96C0C">
        <w:rPr>
          <w:rFonts w:ascii="Book Antiqua" w:eastAsia="Times New Roman" w:hAnsi="Book Antiqua"/>
        </w:rPr>
        <w:t>© 2013 Baishideng. All rights reserved.</w:t>
      </w:r>
    </w:p>
    <w:p w:rsidR="007C2C70" w:rsidRPr="00F96C0C" w:rsidRDefault="007C2C70" w:rsidP="006C2448">
      <w:pPr>
        <w:jc w:val="both"/>
        <w:rPr>
          <w:rFonts w:ascii="Book Antiqua" w:eastAsia="Times New Roman" w:hAnsi="Book Antiqua"/>
        </w:rPr>
      </w:pPr>
    </w:p>
    <w:p w:rsidR="007C2C70" w:rsidRPr="00F96C0C" w:rsidRDefault="007C2C70" w:rsidP="006C2448">
      <w:pPr>
        <w:jc w:val="both"/>
        <w:rPr>
          <w:rFonts w:ascii="Book Antiqua" w:eastAsia="Times New Roman" w:hAnsi="Book Antiqua"/>
        </w:rPr>
      </w:pPr>
      <w:r w:rsidRPr="00F96C0C">
        <w:rPr>
          <w:rFonts w:ascii="Book Antiqua" w:eastAsia="Times New Roman" w:hAnsi="Book Antiqua"/>
          <w:b/>
        </w:rPr>
        <w:t>Key words:</w:t>
      </w:r>
      <w:r w:rsidRPr="00F96C0C">
        <w:rPr>
          <w:rFonts w:ascii="Book Antiqua" w:eastAsia="Times New Roman" w:hAnsi="Book Antiqua"/>
        </w:rPr>
        <w:t xml:space="preserve"> Anal fissure; Pharmacy compounding;</w:t>
      </w:r>
      <w:r w:rsidRPr="00F96C0C">
        <w:rPr>
          <w:rFonts w:ascii="Book Antiqua" w:hAnsi="Book Antiqua"/>
          <w:lang w:eastAsia="zh-CN"/>
        </w:rPr>
        <w:t xml:space="preserve"> </w:t>
      </w:r>
      <w:r w:rsidRPr="00F96C0C">
        <w:rPr>
          <w:rFonts w:ascii="Book Antiqua" w:eastAsia="Times New Roman" w:hAnsi="Book Antiqua"/>
        </w:rPr>
        <w:t>Topical diltiazem; Formulation potency; Content uniformity</w:t>
      </w:r>
    </w:p>
    <w:p w:rsidR="007C2C70" w:rsidRPr="00F96C0C" w:rsidRDefault="007C2C70" w:rsidP="006C2448">
      <w:pPr>
        <w:jc w:val="both"/>
        <w:rPr>
          <w:rFonts w:ascii="Book Antiqua" w:hAnsi="Book Antiqua"/>
          <w:lang w:eastAsia="zh-CN"/>
        </w:rPr>
      </w:pPr>
    </w:p>
    <w:p w:rsidR="007C2C70" w:rsidRPr="00F96C0C" w:rsidRDefault="007C2C70" w:rsidP="006C2448">
      <w:pPr>
        <w:jc w:val="both"/>
        <w:rPr>
          <w:rFonts w:ascii="Book Antiqua" w:hAnsi="Book Antiqua"/>
          <w:lang w:eastAsia="zh-CN"/>
        </w:rPr>
      </w:pPr>
      <w:r w:rsidRPr="00F96C0C">
        <w:rPr>
          <w:rFonts w:ascii="Book Antiqua" w:eastAsia="Times New Roman" w:hAnsi="Book Antiqua"/>
          <w:b/>
        </w:rPr>
        <w:lastRenderedPageBreak/>
        <w:t>Core tip:</w:t>
      </w:r>
      <w:r w:rsidRPr="00F96C0C">
        <w:rPr>
          <w:rFonts w:ascii="Book Antiqua" w:eastAsia="Times New Roman" w:hAnsi="Book Antiqua"/>
        </w:rPr>
        <w:t xml:space="preserve"> The use of topical 2% diltiazem hydrochloride for treating anal fissures is supported by multiple clinical trials and is recommended in published practice parameters. As no commercially manufactured formulation of topical 2% diltiazem has been approved yet by the Food and Drug Administration for the treatment of anal fissure, prescriptions for the medication need to be extemporaneously compounded by retail pharmacies. Employing high-performance liquid chromatography analysis of topical 2% diltiazem formulations compounded by a sampling of pharmacies, we found a notable trend toward lack of content uniformity and misbranding of potency, suggesting that many patients might not receive the anticipated relief of anal-fissure pain.</w:t>
      </w:r>
    </w:p>
    <w:p w:rsidR="007C2C70" w:rsidRPr="00F96C0C" w:rsidRDefault="007C2C70" w:rsidP="006C2448">
      <w:pPr>
        <w:jc w:val="both"/>
        <w:rPr>
          <w:rFonts w:ascii="Book Antiqua" w:hAnsi="Book Antiqua"/>
          <w:lang w:eastAsia="zh-CN"/>
        </w:rPr>
      </w:pPr>
    </w:p>
    <w:p w:rsidR="007C2C70" w:rsidRPr="00F96C0C" w:rsidRDefault="007C2C70" w:rsidP="003D71D6">
      <w:pPr>
        <w:jc w:val="both"/>
        <w:rPr>
          <w:rFonts w:ascii="Book Antiqua" w:hAnsi="Book Antiqua"/>
          <w:lang w:eastAsia="zh-CN"/>
        </w:rPr>
      </w:pPr>
      <w:r w:rsidRPr="00F96C0C">
        <w:rPr>
          <w:rFonts w:ascii="Book Antiqua" w:eastAsia="Times New Roman" w:hAnsi="Book Antiqua"/>
        </w:rPr>
        <w:t>Shah</w:t>
      </w:r>
      <w:r w:rsidRPr="00F96C0C">
        <w:rPr>
          <w:rFonts w:ascii="Book Antiqua" w:eastAsia="Times New Roman" w:hAnsi="Book Antiqua"/>
          <w:noProof/>
          <w:lang w:eastAsia="zh-CN"/>
        </w:rPr>
        <w:t xml:space="preserve"> </w:t>
      </w:r>
      <w:r w:rsidR="00A31343">
        <w:rPr>
          <w:noProof/>
          <w:lang w:eastAsia="zh-CN"/>
        </w:rPr>
        <mc:AlternateContent>
          <mc:Choice Requires="wps">
            <w:drawing>
              <wp:anchor distT="4294967295" distB="4294967295" distL="114300" distR="114300" simplePos="0" relativeHeight="251659776" behindDoc="0" locked="0" layoutInCell="1" allowOverlap="1">
                <wp:simplePos x="0" y="0"/>
                <wp:positionH relativeFrom="column">
                  <wp:posOffset>1080135</wp:posOffset>
                </wp:positionH>
                <wp:positionV relativeFrom="paragraph">
                  <wp:posOffset>7810499</wp:posOffset>
                </wp:positionV>
                <wp:extent cx="5196840" cy="0"/>
                <wp:effectExtent l="0" t="19050" r="381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615pt" to="49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" strokecolor="gray" strokeweight="3pt"/>
            </w:pict>
          </mc:Fallback>
        </mc:AlternateContent>
      </w:r>
      <w:r w:rsidR="00A31343">
        <w:rPr>
          <w:noProof/>
          <w:lang w:eastAsia="zh-CN"/>
        </w:rPr>
        <mc:AlternateContent>
          <mc:Choice Requires="wps">
            <w:drawing>
              <wp:anchor distT="4294967295" distB="4294967295" distL="114300" distR="114300" simplePos="0" relativeHeight="251658752" behindDoc="0" locked="0" layoutInCell="1" allowOverlap="1">
                <wp:simplePos x="0" y="0"/>
                <wp:positionH relativeFrom="column">
                  <wp:posOffset>1080135</wp:posOffset>
                </wp:positionH>
                <wp:positionV relativeFrom="paragraph">
                  <wp:posOffset>7810499</wp:posOffset>
                </wp:positionV>
                <wp:extent cx="5196840" cy="0"/>
                <wp:effectExtent l="0" t="19050" r="3810" b="190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05pt,615pt" to="49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" strokecolor="gray" strokeweight="3pt"/>
            </w:pict>
          </mc:Fallback>
        </mc:AlternateContent>
      </w:r>
      <w:r w:rsidRPr="00F96C0C">
        <w:rPr>
          <w:rFonts w:ascii="Book Antiqua" w:hAnsi="Book Antiqua"/>
          <w:noProof/>
          <w:lang w:eastAsia="zh-CN"/>
        </w:rPr>
        <w:t xml:space="preserve">M, </w:t>
      </w:r>
      <w:r w:rsidRPr="00F96C0C">
        <w:rPr>
          <w:rFonts w:ascii="Book Antiqua" w:eastAsia="Times New Roman" w:hAnsi="Book Antiqua"/>
        </w:rPr>
        <w:t>Sandler</w:t>
      </w:r>
      <w:r w:rsidRPr="00F96C0C">
        <w:rPr>
          <w:rFonts w:ascii="Book Antiqua" w:hAnsi="Book Antiqua"/>
          <w:lang w:eastAsia="zh-CN"/>
        </w:rPr>
        <w:t xml:space="preserve"> L, </w:t>
      </w:r>
      <w:r w:rsidRPr="00F96C0C">
        <w:rPr>
          <w:rFonts w:ascii="Book Antiqua" w:eastAsia="Times New Roman" w:hAnsi="Book Antiqua"/>
        </w:rPr>
        <w:t>Rai</w:t>
      </w:r>
      <w:r w:rsidRPr="00F96C0C">
        <w:rPr>
          <w:rFonts w:ascii="Book Antiqua" w:hAnsi="Book Antiqua"/>
          <w:lang w:eastAsia="zh-CN"/>
        </w:rPr>
        <w:t xml:space="preserve"> V,</w:t>
      </w:r>
      <w:r w:rsidRPr="00F96C0C">
        <w:rPr>
          <w:rFonts w:ascii="Book Antiqua" w:eastAsia="Times New Roman" w:hAnsi="Book Antiqua"/>
        </w:rPr>
        <w:t xml:space="preserve"> Sharma</w:t>
      </w:r>
      <w:r w:rsidRPr="00F96C0C">
        <w:rPr>
          <w:rFonts w:ascii="Book Antiqua" w:hAnsi="Book Antiqua"/>
          <w:lang w:eastAsia="zh-CN"/>
        </w:rPr>
        <w:t xml:space="preserve"> C,</w:t>
      </w:r>
      <w:r w:rsidRPr="00F96C0C">
        <w:rPr>
          <w:rFonts w:ascii="Book Antiqua" w:eastAsia="Times New Roman" w:hAnsi="Book Antiqua"/>
        </w:rPr>
        <w:t xml:space="preserve"> Raghavan</w:t>
      </w:r>
      <w:r w:rsidRPr="00F96C0C">
        <w:rPr>
          <w:rFonts w:ascii="Book Antiqua" w:hAnsi="Book Antiqua"/>
          <w:lang w:eastAsia="zh-CN"/>
        </w:rPr>
        <w:t xml:space="preserve"> L.</w:t>
      </w:r>
      <w:r w:rsidRPr="00F96C0C">
        <w:rPr>
          <w:rFonts w:ascii="Book Antiqua" w:eastAsia="Times New Roman" w:hAnsi="Book Antiqua"/>
          <w:b/>
        </w:rPr>
        <w:t xml:space="preserve"> </w:t>
      </w:r>
      <w:r w:rsidRPr="00F96C0C">
        <w:rPr>
          <w:rFonts w:ascii="Book Antiqua" w:eastAsia="Times New Roman" w:hAnsi="Book Antiqua"/>
        </w:rPr>
        <w:t>Quality of compounded topical 2% diltiazem hydrochloride formulations for anal fissure</w:t>
      </w:r>
      <w:r w:rsidRPr="00F96C0C">
        <w:rPr>
          <w:rFonts w:ascii="Book Antiqua" w:hAnsi="Book Antiqua"/>
          <w:lang w:eastAsia="zh-CN"/>
        </w:rPr>
        <w:t>.</w:t>
      </w:r>
    </w:p>
    <w:p w:rsidR="007C2C70" w:rsidRPr="00F96C0C" w:rsidRDefault="007C2C70" w:rsidP="003D71D6">
      <w:pPr>
        <w:jc w:val="both"/>
        <w:rPr>
          <w:rFonts w:ascii="Book Antiqua" w:hAnsi="Book Antiqua"/>
          <w:lang w:eastAsia="zh-CN"/>
        </w:rPr>
      </w:pPr>
    </w:p>
    <w:p w:rsidR="007C2C70" w:rsidRPr="00F96C0C" w:rsidRDefault="007C2C70" w:rsidP="003D71D6">
      <w:pPr>
        <w:pStyle w:val="p0"/>
        <w:adjustRightInd w:val="0"/>
        <w:snapToGrid w:val="0"/>
        <w:spacing w:line="360" w:lineRule="auto"/>
        <w:jc w:val="both"/>
        <w:rPr>
          <w:rFonts w:ascii="Book Antiqua" w:hAnsi="Book Antiqua"/>
          <w:sz w:val="24"/>
          <w:szCs w:val="24"/>
        </w:rPr>
      </w:pPr>
      <w:r w:rsidRPr="00F96C0C">
        <w:rPr>
          <w:rFonts w:ascii="Book Antiqua" w:hAnsi="Book Antiqua"/>
          <w:b/>
          <w:bCs/>
          <w:sz w:val="24"/>
          <w:szCs w:val="24"/>
        </w:rPr>
        <w:t>Available from:</w:t>
      </w:r>
    </w:p>
    <w:p w:rsidR="007C2C70" w:rsidRPr="00F96C0C" w:rsidRDefault="007C2C70" w:rsidP="003D71D6">
      <w:pPr>
        <w:pStyle w:val="p0"/>
        <w:adjustRightInd w:val="0"/>
        <w:snapToGrid w:val="0"/>
        <w:spacing w:line="360" w:lineRule="auto"/>
        <w:jc w:val="both"/>
        <w:rPr>
          <w:rFonts w:ascii="Book Antiqua" w:hAnsi="Book Antiqua"/>
          <w:kern w:val="2"/>
          <w:sz w:val="24"/>
          <w:szCs w:val="24"/>
        </w:rPr>
      </w:pPr>
      <w:r w:rsidRPr="00F96C0C">
        <w:rPr>
          <w:rFonts w:ascii="Book Antiqua" w:hAnsi="Book Antiqua"/>
          <w:b/>
          <w:kern w:val="2"/>
          <w:sz w:val="24"/>
          <w:szCs w:val="24"/>
        </w:rPr>
        <w:t>DOI:</w:t>
      </w:r>
      <w:r w:rsidRPr="00F96C0C">
        <w:rPr>
          <w:rFonts w:ascii="Book Antiqua" w:hAnsi="Book Antiqua"/>
          <w:kern w:val="2"/>
          <w:sz w:val="24"/>
          <w:szCs w:val="24"/>
        </w:rPr>
        <w:t xml:space="preserve"> </w:t>
      </w:r>
    </w:p>
    <w:p w:rsidR="007C2C70" w:rsidRPr="00F96C0C" w:rsidRDefault="007C2C70" w:rsidP="006C2448">
      <w:pPr>
        <w:jc w:val="both"/>
        <w:rPr>
          <w:rFonts w:ascii="Book Antiqua" w:hAnsi="Book Antiqua"/>
        </w:rPr>
      </w:pPr>
    </w:p>
    <w:p w:rsidR="007C2C70" w:rsidRPr="00F96C0C" w:rsidRDefault="007C2C70" w:rsidP="006C2448">
      <w:pPr>
        <w:jc w:val="both"/>
        <w:rPr>
          <w:rFonts w:ascii="Book Antiqua" w:hAnsi="Book Antiqua"/>
          <w:lang w:eastAsia="zh-CN"/>
        </w:rPr>
      </w:pPr>
      <w:r w:rsidRPr="00F96C0C">
        <w:rPr>
          <w:rFonts w:ascii="Book Antiqua" w:hAnsi="Book Antiqua"/>
        </w:rPr>
        <w:br w:type="page"/>
      </w:r>
    </w:p>
    <w:p w:rsidR="007C2C70" w:rsidRPr="00F96C0C" w:rsidRDefault="007C2C70" w:rsidP="006C2448">
      <w:pPr>
        <w:jc w:val="both"/>
        <w:rPr>
          <w:rFonts w:ascii="Book Antiqua" w:hAnsi="Book Antiqua"/>
          <w:b/>
        </w:rPr>
      </w:pPr>
      <w:r w:rsidRPr="00F96C0C">
        <w:rPr>
          <w:rFonts w:ascii="Book Antiqua" w:hAnsi="Book Antiqua"/>
          <w:b/>
        </w:rPr>
        <w:lastRenderedPageBreak/>
        <w:t>INTRODUCTION</w:t>
      </w:r>
    </w:p>
    <w:p w:rsidR="007C2C70" w:rsidRPr="00F96C0C" w:rsidRDefault="007C2C70" w:rsidP="006C2448">
      <w:pPr>
        <w:jc w:val="both"/>
        <w:rPr>
          <w:rFonts w:ascii="Book Antiqua" w:hAnsi="Book Antiqua"/>
        </w:rPr>
      </w:pPr>
      <w:r w:rsidRPr="00F96C0C">
        <w:rPr>
          <w:rFonts w:ascii="Book Antiqua" w:hAnsi="Book Antiqua"/>
        </w:rPr>
        <w:t>The use of topical 2% diltiazem hydrochloride for treating anal fissures by lowering anal sphincter pressure has been explored in multiple clinical trials since 2000</w:t>
      </w:r>
      <w:r w:rsidRPr="00F96C0C">
        <w:rPr>
          <w:rFonts w:ascii="Book Antiqua" w:hAnsi="Book Antiqua"/>
          <w:noProof/>
          <w:vertAlign w:val="superscript"/>
        </w:rPr>
        <w:t>[1-5]</w:t>
      </w:r>
      <w:r w:rsidRPr="00F96C0C">
        <w:rPr>
          <w:rFonts w:ascii="Book Antiqua" w:hAnsi="Book Antiqua"/>
        </w:rPr>
        <w:t>. Diltiazem hydrochloride, a calcium channel blocker, is well known as an oral treatment for hypertension and angina</w:t>
      </w:r>
      <w:r w:rsidRPr="00F96C0C">
        <w:rPr>
          <w:rFonts w:ascii="Book Antiqua" w:hAnsi="Book Antiqua"/>
          <w:vertAlign w:val="superscript"/>
        </w:rPr>
        <w:t>[6]</w:t>
      </w:r>
      <w:r w:rsidRPr="00F96C0C">
        <w:rPr>
          <w:rFonts w:ascii="Book Antiqua" w:hAnsi="Book Antiqua"/>
        </w:rPr>
        <w:t>. In 2010, the Standard Practice Task Force of the American Society of Colon and Rectal Surgeons (ASCRS) published revised practice parameters for managing anal fissure, assigning to each practice parameter a grade of recommendation and a class of evidence</w:t>
      </w:r>
      <w:r w:rsidRPr="00F96C0C">
        <w:rPr>
          <w:rFonts w:ascii="Book Antiqua" w:hAnsi="Book Antiqua"/>
          <w:noProof/>
          <w:vertAlign w:val="superscript"/>
        </w:rPr>
        <w:t>[7]</w:t>
      </w:r>
      <w:r w:rsidRPr="00F96C0C">
        <w:rPr>
          <w:rFonts w:ascii="Book Antiqua" w:hAnsi="Book Antiqua"/>
        </w:rPr>
        <w:t>. Noting that conservative (nonsurgical) therapy is safe and should be the first step for managing anal fissure</w:t>
      </w:r>
      <w:r w:rsidRPr="00F96C0C">
        <w:rPr>
          <w:rFonts w:ascii="Book Antiqua" w:hAnsi="Book Antiqua"/>
          <w:vertAlign w:val="superscript"/>
        </w:rPr>
        <w:t>[8-10]</w:t>
      </w:r>
      <w:r w:rsidRPr="00F96C0C">
        <w:rPr>
          <w:rFonts w:ascii="Book Antiqua" w:hAnsi="Book Antiqua"/>
        </w:rPr>
        <w:t>, the ASCRS task force stated that topical formulations of calcium channel blockers may be appropriately used to treat anal fissure and that these drugs seemed to have a lower incidence of adverse effects than topical nitrates, such as nitroglycerin. This practice parameter was accorded the highest grade of recommendation and the second highest class of evidence by the task force</w:t>
      </w:r>
      <w:r w:rsidRPr="00F96C0C">
        <w:rPr>
          <w:rFonts w:ascii="Book Antiqua" w:hAnsi="Book Antiqua"/>
          <w:noProof/>
          <w:vertAlign w:val="superscript"/>
        </w:rPr>
        <w:t>[7]</w:t>
      </w:r>
      <w:r w:rsidRPr="00F96C0C">
        <w:rPr>
          <w:rFonts w:ascii="Book Antiqua" w:hAnsi="Book Antiqua"/>
        </w:rPr>
        <w:t>.</w:t>
      </w:r>
    </w:p>
    <w:p w:rsidR="007C2C70" w:rsidRPr="00F96C0C" w:rsidRDefault="007C2C70" w:rsidP="003D71D6">
      <w:pPr>
        <w:ind w:firstLineChars="200" w:firstLine="480"/>
        <w:jc w:val="both"/>
        <w:rPr>
          <w:rFonts w:ascii="Book Antiqua" w:hAnsi="Book Antiqua"/>
        </w:rPr>
      </w:pPr>
      <w:r w:rsidRPr="00F96C0C">
        <w:rPr>
          <w:rFonts w:ascii="Book Antiqua" w:hAnsi="Book Antiqua"/>
        </w:rPr>
        <w:t xml:space="preserve">No commercially manufactured formulation of topical 2% diltiazem has been approved by the United States Food and Drug Administration (FDA) for the treatment of anal fissure. Consequently, colon and rectal surgeons, gastroenterologists, and other physicians who want to follow ASCRS practice parameters and prescribe a topical calcium channel blocker for treatment of anal fissure have to write prescriptions for a product that will be extemporaneously compounded by retail pharmacies. Directions for compounding 2% diltiazem as a topical formulation are readily available in published literature. For example, propylene glycol, hydroxyethyl cellulose, and heated </w:t>
      </w:r>
      <w:r w:rsidRPr="00F96C0C">
        <w:rPr>
          <w:rFonts w:ascii="Book Antiqua" w:hAnsi="Book Antiqua"/>
        </w:rPr>
        <w:lastRenderedPageBreak/>
        <w:t>purified water are mixed with diltiazem, and the resulting formulation is packaged in a tight, light-resistant container, usually a tube or jar</w:t>
      </w:r>
      <w:r w:rsidRPr="00F96C0C">
        <w:rPr>
          <w:rFonts w:ascii="Book Antiqua" w:hAnsi="Book Antiqua"/>
          <w:noProof/>
          <w:vertAlign w:val="superscript"/>
        </w:rPr>
        <w:t>[11]</w:t>
      </w:r>
      <w:r w:rsidRPr="00F96C0C">
        <w:rPr>
          <w:rFonts w:ascii="Book Antiqua" w:hAnsi="Book Antiqua"/>
        </w:rPr>
        <w:t xml:space="preserve">. A few pharmacies that specialize in compounding services advertise the availability of compounded topical 2% diltiazem on the internet. However, many nonspecialized retail pharmacies also fulfill prescriptions by compounding the product. </w:t>
      </w:r>
    </w:p>
    <w:p w:rsidR="007C2C70" w:rsidRPr="00F96C0C" w:rsidRDefault="007C2C70" w:rsidP="003D71D6">
      <w:pPr>
        <w:ind w:firstLineChars="200" w:firstLine="480"/>
        <w:jc w:val="both"/>
        <w:rPr>
          <w:rFonts w:ascii="Book Antiqua" w:hAnsi="Book Antiqua"/>
        </w:rPr>
      </w:pPr>
      <w:r w:rsidRPr="00F96C0C">
        <w:rPr>
          <w:rFonts w:ascii="Book Antiqua" w:hAnsi="Book Antiqua"/>
        </w:rPr>
        <w:t>In 2006, the FDA investigated the quality of compounded products, collecting active pharmaceutical ingredients (API) and finished compounded drug samples during unannounced visits to compounding pharmacies throughout the country. All API samples passed analysis, but a third of the 36 compounded samples that were collected failed analysis by being either subpotent or suprapotent or by lacking content uniformity. The United States Pharmacopoeia (USP) standard for potency is 90%</w:t>
      </w:r>
      <w:r w:rsidRPr="00F96C0C">
        <w:rPr>
          <w:rFonts w:ascii="Book Antiqua" w:hAnsi="Book Antiqua"/>
          <w:lang w:eastAsia="zh-CN"/>
        </w:rPr>
        <w:t>-</w:t>
      </w:r>
      <w:r w:rsidRPr="00F96C0C">
        <w:rPr>
          <w:rFonts w:ascii="Book Antiqua" w:hAnsi="Book Antiqua"/>
        </w:rPr>
        <w:t>115% of label claim</w:t>
      </w:r>
      <w:r w:rsidRPr="00F96C0C">
        <w:rPr>
          <w:rFonts w:ascii="Book Antiqua" w:hAnsi="Book Antiqua"/>
          <w:noProof/>
          <w:vertAlign w:val="superscript"/>
        </w:rPr>
        <w:t>[12]</w:t>
      </w:r>
      <w:r w:rsidRPr="00F96C0C">
        <w:rPr>
          <w:rFonts w:ascii="Book Antiqua" w:hAnsi="Book Antiqua"/>
        </w:rPr>
        <w:t>. Because the API samples passed analysis, the FDA observed that the failures of the samples in the analysis were directly related to faulty compounding processes at the pharmacies, including the lack of proper in-process controls and end-product testing</w:t>
      </w:r>
      <w:r w:rsidRPr="00F96C0C">
        <w:rPr>
          <w:rFonts w:ascii="Book Antiqua" w:hAnsi="Book Antiqua"/>
          <w:noProof/>
          <w:vertAlign w:val="superscript"/>
        </w:rPr>
        <w:t>[13]</w:t>
      </w:r>
      <w:r w:rsidRPr="00F96C0C">
        <w:rPr>
          <w:rFonts w:ascii="Book Antiqua" w:hAnsi="Book Antiqua"/>
        </w:rPr>
        <w:t>.</w:t>
      </w:r>
    </w:p>
    <w:p w:rsidR="007C2C70" w:rsidRPr="00F96C0C" w:rsidRDefault="007C2C70" w:rsidP="003D71D6">
      <w:pPr>
        <w:ind w:firstLineChars="200" w:firstLine="480"/>
        <w:jc w:val="both"/>
        <w:rPr>
          <w:rFonts w:ascii="Book Antiqua" w:hAnsi="Book Antiqua"/>
        </w:rPr>
      </w:pPr>
      <w:r w:rsidRPr="00F96C0C">
        <w:rPr>
          <w:rFonts w:ascii="Book Antiqua" w:hAnsi="Book Antiqua"/>
        </w:rPr>
        <w:t>To examine the quality of compounded formulations of topical 2% diltiazem, we undertook a high-performance liquid chromatography (HPLC) analysis of preparations gathered from retail pharmacies in a major metropolitan region.</w:t>
      </w:r>
    </w:p>
    <w:p w:rsidR="007C2C70" w:rsidRPr="00F96C0C" w:rsidRDefault="007C2C70" w:rsidP="006C2448">
      <w:pPr>
        <w:jc w:val="both"/>
        <w:rPr>
          <w:rFonts w:ascii="Book Antiqua" w:hAnsi="Book Antiqua"/>
        </w:rPr>
      </w:pPr>
      <w:r w:rsidRPr="00F96C0C">
        <w:rPr>
          <w:rFonts w:ascii="Book Antiqua" w:hAnsi="Book Antiqua"/>
        </w:rPr>
        <w:br w:type="page"/>
      </w:r>
    </w:p>
    <w:p w:rsidR="007C2C70" w:rsidRPr="00F96C0C" w:rsidRDefault="007C2C70" w:rsidP="003D71D6">
      <w:pPr>
        <w:spacing w:line="360" w:lineRule="auto"/>
        <w:rPr>
          <w:rFonts w:ascii="Book Antiqua" w:hAnsi="Book Antiqua"/>
          <w:b/>
        </w:rPr>
      </w:pPr>
      <w:r w:rsidRPr="00F96C0C">
        <w:rPr>
          <w:rFonts w:ascii="Book Antiqua" w:hAnsi="Book Antiqua"/>
          <w:b/>
        </w:rPr>
        <w:lastRenderedPageBreak/>
        <w:t>MATERIALS AND METHODS</w:t>
      </w:r>
    </w:p>
    <w:p w:rsidR="007C2C70" w:rsidRPr="00F96C0C" w:rsidRDefault="007C2C70" w:rsidP="006C2448">
      <w:pPr>
        <w:jc w:val="both"/>
        <w:rPr>
          <w:rFonts w:ascii="Book Antiqua" w:hAnsi="Book Antiqua"/>
          <w:b/>
          <w:i/>
        </w:rPr>
      </w:pPr>
      <w:r w:rsidRPr="00F96C0C">
        <w:rPr>
          <w:rFonts w:ascii="Book Antiqua" w:hAnsi="Book Antiqua"/>
          <w:b/>
          <w:i/>
        </w:rPr>
        <w:t>Data source</w:t>
      </w:r>
    </w:p>
    <w:p w:rsidR="007C2C70" w:rsidRPr="00F96C0C" w:rsidRDefault="007C2C70" w:rsidP="006C2448">
      <w:pPr>
        <w:jc w:val="both"/>
        <w:rPr>
          <w:rFonts w:ascii="Book Antiqua" w:hAnsi="Book Antiqua"/>
          <w:b/>
          <w:bCs/>
          <w:lang w:eastAsia="zh-CN"/>
        </w:rPr>
      </w:pPr>
      <w:r w:rsidRPr="00F96C0C">
        <w:rPr>
          <w:rFonts w:ascii="Book Antiqua" w:hAnsi="Book Antiqua"/>
        </w:rPr>
        <w:t>A healthcare professional was asked to write prescriptions for extemporaneously compounded 2% diltiazem cream for fulfillment by retail pharmacies in the greater New York metropolitan region. The selection criteria, intended to locate retail pharmacies that might have experienced pharmacists on staff with competency at compounding, included stipulations that the pharmacies be independent, not parts of retail pharmacy chains, and that they openly offer drug-compounding services by means of online or other advertising. A total of 12 qualifying retail pharmacies were selected from different parts of the metropolitan region.</w:t>
      </w:r>
    </w:p>
    <w:p w:rsidR="007C2C70" w:rsidRPr="00F96C0C" w:rsidRDefault="007C2C70" w:rsidP="003D71D6">
      <w:pPr>
        <w:ind w:firstLineChars="196" w:firstLine="470"/>
        <w:jc w:val="both"/>
        <w:rPr>
          <w:rFonts w:ascii="Book Antiqua" w:hAnsi="Book Antiqua"/>
          <w:b/>
          <w:bCs/>
        </w:rPr>
      </w:pPr>
      <w:r w:rsidRPr="00F96C0C">
        <w:rPr>
          <w:rFonts w:ascii="Book Antiqua" w:hAnsi="Book Antiqua"/>
        </w:rPr>
        <w:t xml:space="preserve">The participating healthcare professional wrote 12 prescriptions, with 2 refills allowed per prescription, so that 3 prescriptions could be filled at each of the 12 pharmacies (36 total fills) for compounded 2% diltiazem cream. The prescriptions were filled at each of the 12 pharmacies during May </w:t>
      </w:r>
      <w:r w:rsidRPr="00F96C0C">
        <w:rPr>
          <w:rFonts w:ascii="Book Antiqua" w:hAnsi="Book Antiqua"/>
          <w:lang w:eastAsia="zh-CN"/>
        </w:rPr>
        <w:t xml:space="preserve">2012 </w:t>
      </w:r>
      <w:r w:rsidRPr="00F96C0C">
        <w:rPr>
          <w:rFonts w:ascii="Book Antiqua" w:hAnsi="Book Antiqua"/>
        </w:rPr>
        <w:t>and June 2012, at intervals of 1</w:t>
      </w:r>
      <w:r w:rsidRPr="00F96C0C">
        <w:rPr>
          <w:rFonts w:ascii="Book Antiqua" w:hAnsi="Book Antiqua"/>
          <w:lang w:eastAsia="zh-CN"/>
        </w:rPr>
        <w:t>-</w:t>
      </w:r>
      <w:r w:rsidRPr="00F96C0C">
        <w:rPr>
          <w:rFonts w:ascii="Book Antiqua" w:hAnsi="Book Antiqua"/>
        </w:rPr>
        <w:t>2 wk in between refills. As soon as any prescription was filled by a retail pharmacy, it was collected and shipped at ambient temperature in a prepared bubble-wrap mailer to DermPathe Pharmaceuticals (Branchberg, New Jersey), the laboratory engaged for the HPLC analysis. The compounded formulations of topical 2% diltiazem were provided by the retail pharmacies as either jars or tubes.</w:t>
      </w:r>
    </w:p>
    <w:p w:rsidR="007C2C70" w:rsidRPr="00F96C0C" w:rsidRDefault="007C2C70" w:rsidP="003D71D6">
      <w:pPr>
        <w:ind w:firstLineChars="200" w:firstLine="480"/>
        <w:jc w:val="both"/>
        <w:rPr>
          <w:rFonts w:ascii="Book Antiqua" w:hAnsi="Book Antiqua"/>
        </w:rPr>
      </w:pPr>
      <w:r w:rsidRPr="00F96C0C">
        <w:rPr>
          <w:rFonts w:ascii="Book Antiqua" w:hAnsi="Book Antiqua"/>
        </w:rPr>
        <w:t xml:space="preserve">Upon receipt of each package, DermPathe logged the time and date and stored the compounded formulation at ambient temperature. HPLC analysis was conducted in accordance with the DermPathe-validated method for diltiazem in cream, ointment, </w:t>
      </w:r>
      <w:r w:rsidRPr="00F96C0C">
        <w:rPr>
          <w:rFonts w:ascii="Book Antiqua" w:hAnsi="Book Antiqua"/>
        </w:rPr>
        <w:lastRenderedPageBreak/>
        <w:t>and gel formulations. The analysis included an assessment of potency (percentage of label claim) and content uniformity for each of the compounded formulations. For the analysis of each formulation, 8 different samples of the topical diltiazem, each approximately 1 g in weight, were taken from pre-specified locations within the compounded formulation container. If the compounded formulation was provided in a jar, 4 samples were taken from the top of the jar: 1 at the top front, 1 at the top center, 1 at the top right back corner, and 1 at the top left back corner. In the middle layer of the jar, 1 sample was taken from the center and 1 from the middle right corner. At the bottom of the jar, 1 sample was taken from the center and 1 from the bottom left corner. If the compounded formulation was provided in a tube, the tube was sectioned horizontally and opened up. Then 2 samples were drawn from the top left and top right of the tube, 2 more from the middle left and middle right of the tube, 2 from the bottom left and bottom right of the tube, and the final 2 randomly on the left and on the right between the middle and the bottom of the tube.</w:t>
      </w:r>
    </w:p>
    <w:p w:rsidR="007C2C70" w:rsidRPr="00F96C0C" w:rsidRDefault="007C2C70" w:rsidP="002A0A2F">
      <w:pPr>
        <w:ind w:firstLineChars="200" w:firstLine="480"/>
        <w:jc w:val="both"/>
        <w:rPr>
          <w:rFonts w:ascii="Book Antiqua" w:hAnsi="Book Antiqua"/>
          <w:lang w:eastAsia="zh-CN"/>
        </w:rPr>
      </w:pPr>
      <w:r w:rsidRPr="00F96C0C">
        <w:rPr>
          <w:rFonts w:ascii="Book Antiqua" w:hAnsi="Book Antiqua"/>
        </w:rPr>
        <w:t>Each sample was transferred to a 100 mL volumetric flask, to which methanol was added to fill approximately 80% of the flask volume. The solution was sonicated for 1 h, and the flask was then filled to volume with methanol and mixed thoroughly by shaking. Filtered through a 0.45-micron filter, the solution was then transferred into HPLC vials for analysis using a Waters 2695 HPLC system with a 2487 dual wavelength detector (Waters Corporation, Milford, MA, United States). A Luna C8 150</w:t>
      </w:r>
      <w:r w:rsidRPr="00F96C0C">
        <w:rPr>
          <w:rFonts w:ascii="Book Antiqua" w:hAnsi="Book Antiqua"/>
          <w:lang w:eastAsia="zh-CN"/>
        </w:rPr>
        <w:t xml:space="preserve"> </w:t>
      </w:r>
      <w:r w:rsidRPr="00F96C0C">
        <w:rPr>
          <w:rFonts w:ascii="Book Antiqua" w:hAnsi="Book Antiqua"/>
        </w:rPr>
        <w:t xml:space="preserve">mm </w:t>
      </w:r>
      <w:r w:rsidRPr="00F96C0C">
        <w:rPr>
          <w:rFonts w:ascii="Book Antiqua" w:hAnsi="Book Antiqua"/>
        </w:rPr>
        <w:sym w:font="Symbol" w:char="F0B4"/>
      </w:r>
      <w:r w:rsidRPr="00F96C0C">
        <w:rPr>
          <w:rFonts w:ascii="Book Antiqua" w:hAnsi="Book Antiqua"/>
          <w:lang w:eastAsia="zh-CN"/>
        </w:rPr>
        <w:t xml:space="preserve"> </w:t>
      </w:r>
      <w:r w:rsidRPr="00F96C0C">
        <w:rPr>
          <w:rFonts w:ascii="Book Antiqua" w:hAnsi="Book Antiqua"/>
        </w:rPr>
        <w:t xml:space="preserve">4.6 mm, 5 mm column with a C8 Security Guard column (Phenomenex, Torrance, CA, United States) was used as the stationary phase. The mobile phase consisted of an </w:t>
      </w:r>
      <w:r w:rsidRPr="00F96C0C">
        <w:rPr>
          <w:rFonts w:ascii="Book Antiqua" w:hAnsi="Book Antiqua"/>
        </w:rPr>
        <w:lastRenderedPageBreak/>
        <w:t xml:space="preserve">acetate buffer, acetonitrile, and methanol, in a 50:25:25 ratio. The acetate buffer contained 8.2 g of anhydrous sodium acetate and 1.16 g of </w:t>
      </w:r>
      <w:r w:rsidRPr="00F96C0C">
        <w:rPr>
          <w:rFonts w:ascii="Book Antiqua" w:hAnsi="Book Antiqua"/>
          <w:i/>
        </w:rPr>
        <w:t>D</w:t>
      </w:r>
      <w:r w:rsidRPr="00F96C0C">
        <w:rPr>
          <w:rFonts w:ascii="Book Antiqua" w:hAnsi="Book Antiqua"/>
        </w:rPr>
        <w:t xml:space="preserve">-10-camphorsulphonic acid in 1000 mL of water, with pH adjusted to 6.2 with 1 </w:t>
      </w:r>
      <w:r w:rsidRPr="00F96C0C">
        <w:rPr>
          <w:rFonts w:ascii="Book Antiqua" w:hAnsi="Book Antiqua"/>
          <w:lang w:eastAsia="zh-CN"/>
        </w:rPr>
        <w:t>mol/L</w:t>
      </w:r>
      <w:r w:rsidRPr="00F96C0C">
        <w:rPr>
          <w:rFonts w:ascii="Book Antiqua" w:hAnsi="Book Antiqua"/>
        </w:rPr>
        <w:t xml:space="preserve"> sodium hydroxide. The flow rate was set at 2 mL per min</w:t>
      </w:r>
      <w:r w:rsidRPr="00F96C0C">
        <w:rPr>
          <w:rFonts w:ascii="Book Antiqua" w:hAnsi="Book Antiqua"/>
          <w:lang w:eastAsia="zh-CN"/>
        </w:rPr>
        <w:t>ute</w:t>
      </w:r>
      <w:r w:rsidRPr="00F96C0C">
        <w:rPr>
          <w:rFonts w:ascii="Book Antiqua" w:hAnsi="Book Antiqua"/>
        </w:rPr>
        <w:t>, the detector wavelength was set at 240 nm, and the column temperature was set to 30</w:t>
      </w:r>
      <w:r w:rsidRPr="00F96C0C">
        <w:rPr>
          <w:rFonts w:ascii="Book Antiqua" w:hAnsi="Book Antiqua"/>
          <w:lang w:eastAsia="zh-CN"/>
        </w:rPr>
        <w:t xml:space="preserve"> </w:t>
      </w:r>
      <w:r w:rsidRPr="00F96C0C">
        <w:rPr>
          <w:rFonts w:ascii="宋体" w:hAnsi="宋体" w:cs="宋体" w:hint="eastAsia"/>
        </w:rPr>
        <w:t>℃</w:t>
      </w:r>
      <w:r w:rsidRPr="00F96C0C">
        <w:rPr>
          <w:rFonts w:ascii="Book Antiqua" w:hAnsi="Book Antiqua"/>
        </w:rPr>
        <w:t>.</w:t>
      </w:r>
    </w:p>
    <w:p w:rsidR="007C2C70" w:rsidRPr="00F96C0C" w:rsidRDefault="007C2C70" w:rsidP="002A0A2F">
      <w:pPr>
        <w:ind w:firstLineChars="200" w:firstLine="480"/>
        <w:jc w:val="both"/>
        <w:rPr>
          <w:rFonts w:ascii="Book Antiqua" w:hAnsi="Book Antiqua"/>
          <w:lang w:eastAsia="zh-CN"/>
        </w:rPr>
      </w:pPr>
    </w:p>
    <w:p w:rsidR="007C2C70" w:rsidRPr="00F96C0C" w:rsidRDefault="007C2C70" w:rsidP="006C2448">
      <w:pPr>
        <w:jc w:val="both"/>
        <w:rPr>
          <w:rFonts w:ascii="Book Antiqua" w:hAnsi="Book Antiqua"/>
          <w:lang w:eastAsia="zh-CN"/>
        </w:rPr>
      </w:pPr>
      <w:r w:rsidRPr="00F96C0C">
        <w:rPr>
          <w:rFonts w:ascii="Book Antiqua" w:hAnsi="Book Antiqua"/>
          <w:b/>
          <w:i/>
        </w:rPr>
        <w:t>Statistical analysis</w:t>
      </w:r>
      <w:r w:rsidRPr="00F96C0C">
        <w:rPr>
          <w:rFonts w:ascii="Book Antiqua" w:hAnsi="Book Antiqua"/>
        </w:rPr>
        <w:t xml:space="preserve"> </w:t>
      </w:r>
    </w:p>
    <w:p w:rsidR="007C2C70" w:rsidRPr="00F96C0C" w:rsidRDefault="007C2C70" w:rsidP="006C2448">
      <w:pPr>
        <w:jc w:val="both"/>
        <w:rPr>
          <w:rFonts w:ascii="Book Antiqua" w:hAnsi="Book Antiqua"/>
        </w:rPr>
      </w:pPr>
      <w:r w:rsidRPr="00F96C0C">
        <w:rPr>
          <w:rFonts w:ascii="Book Antiqua" w:hAnsi="Book Antiqua"/>
        </w:rPr>
        <w:t>Descriptive statistics were used in this study. For categorical variables, frequencies and percentages are reported. For continuous variables, the number of observations, mean</w:t>
      </w:r>
      <w:r w:rsidRPr="00F96C0C">
        <w:rPr>
          <w:rFonts w:ascii="Book Antiqua" w:hAnsi="Book Antiqua"/>
          <w:lang w:eastAsia="zh-CN"/>
        </w:rPr>
        <w:t xml:space="preserve"> ± SD</w:t>
      </w:r>
      <w:r w:rsidRPr="00F96C0C">
        <w:rPr>
          <w:rFonts w:ascii="Book Antiqua" w:hAnsi="Book Antiqua"/>
        </w:rPr>
        <w:t>, and relative standard deviation are reported. Statistical analyses were performed using Excel 2010 (Microsoft, Redmond, WA, United States).</w:t>
      </w:r>
    </w:p>
    <w:p w:rsidR="007C2C70" w:rsidRPr="00F96C0C" w:rsidRDefault="007C2C70" w:rsidP="006C2448">
      <w:pPr>
        <w:jc w:val="both"/>
        <w:rPr>
          <w:rFonts w:ascii="Book Antiqua" w:hAnsi="Book Antiqua"/>
        </w:rPr>
      </w:pPr>
      <w:r w:rsidRPr="00F96C0C">
        <w:rPr>
          <w:rFonts w:ascii="Book Antiqua" w:hAnsi="Book Antiqua"/>
        </w:rPr>
        <w:br w:type="page"/>
      </w:r>
    </w:p>
    <w:p w:rsidR="007C2C70" w:rsidRPr="00F96C0C" w:rsidRDefault="007C2C70" w:rsidP="006C2448">
      <w:pPr>
        <w:jc w:val="both"/>
        <w:rPr>
          <w:rFonts w:ascii="Book Antiqua" w:hAnsi="Book Antiqua"/>
          <w:b/>
          <w:i/>
        </w:rPr>
      </w:pPr>
      <w:r w:rsidRPr="00F96C0C">
        <w:rPr>
          <w:rFonts w:ascii="Book Antiqua" w:hAnsi="Book Antiqua"/>
          <w:b/>
        </w:rPr>
        <w:lastRenderedPageBreak/>
        <w:t>RESULTS</w:t>
      </w:r>
    </w:p>
    <w:p w:rsidR="007C2C70" w:rsidRPr="00F96C0C" w:rsidRDefault="007C2C70" w:rsidP="006C2448">
      <w:pPr>
        <w:jc w:val="both"/>
        <w:rPr>
          <w:rFonts w:ascii="Book Antiqua" w:hAnsi="Book Antiqua"/>
        </w:rPr>
      </w:pPr>
      <w:r w:rsidRPr="00F96C0C">
        <w:rPr>
          <w:rFonts w:ascii="Book Antiqua" w:hAnsi="Book Antiqua"/>
        </w:rPr>
        <w:t>Thirty-six prescriptions for compounded topical 2% diltiazem were written, filled, and shipped to DermPathe for analysis. Of these preparations, 30 were packaged in jars and 6 were packaged as tubes (only 2 of the 12 retail pharmacies used tubes for packing). One of the 12 retail pharmacies failed to label each of the 3 filled prescriptions of topical 2% diltiazem with the drug name; the label on each of the 3 formulations from this pharmacy simply read “compound.”</w:t>
      </w:r>
    </w:p>
    <w:p w:rsidR="007C2C70" w:rsidRPr="00F96C0C" w:rsidRDefault="007C2C70" w:rsidP="002A0A2F">
      <w:pPr>
        <w:ind w:firstLineChars="200" w:firstLine="480"/>
        <w:jc w:val="both"/>
        <w:rPr>
          <w:rFonts w:ascii="Book Antiqua" w:hAnsi="Book Antiqua"/>
        </w:rPr>
      </w:pPr>
      <w:r w:rsidRPr="00F96C0C">
        <w:rPr>
          <w:rFonts w:ascii="Book Antiqua" w:hAnsi="Book Antiqua"/>
        </w:rPr>
        <w:t xml:space="preserve">The prescriptions were specifically for </w:t>
      </w:r>
      <w:r w:rsidRPr="00F96C0C">
        <w:rPr>
          <w:rFonts w:ascii="Book Antiqua" w:hAnsi="Book Antiqua"/>
          <w:i/>
        </w:rPr>
        <w:t>cream</w:t>
      </w:r>
      <w:r w:rsidRPr="00F96C0C">
        <w:rPr>
          <w:rFonts w:ascii="Book Antiqua" w:hAnsi="Book Antiqua"/>
        </w:rPr>
        <w:t xml:space="preserve"> formulations. Five of the 12 pharmacies compounded 2% diltiazem as a cream, using lipoderm, but </w:t>
      </w:r>
      <w:r w:rsidRPr="00F96C0C">
        <w:rPr>
          <w:rFonts w:ascii="Book Antiqua" w:hAnsi="Book Antiqua"/>
          <w:lang w:eastAsia="zh-CN"/>
        </w:rPr>
        <w:t>6</w:t>
      </w:r>
      <w:r w:rsidRPr="00F96C0C">
        <w:rPr>
          <w:rFonts w:ascii="Book Antiqua" w:hAnsi="Book Antiqua"/>
        </w:rPr>
        <w:t xml:space="preserve"> of the 12 pharmacies compounded 2% diltiazem as an ointment, using petrolatum</w:t>
      </w:r>
      <w:r w:rsidRPr="00F96C0C">
        <w:rPr>
          <w:rFonts w:ascii="Book Antiqua" w:hAnsi="Book Antiqua"/>
          <w:b/>
          <w:bCs/>
        </w:rPr>
        <w:t xml:space="preserve">. </w:t>
      </w:r>
      <w:r w:rsidRPr="00F96C0C">
        <w:rPr>
          <w:rFonts w:ascii="Book Antiqua" w:hAnsi="Book Antiqua"/>
        </w:rPr>
        <w:t>For 1 pharmacy, the same that had the inadequate labeling, the dosage form was unknown.</w:t>
      </w:r>
    </w:p>
    <w:p w:rsidR="007C2C70" w:rsidRPr="00F96C0C" w:rsidRDefault="007C2C70" w:rsidP="002A0A2F">
      <w:pPr>
        <w:ind w:firstLineChars="200" w:firstLine="480"/>
        <w:jc w:val="both"/>
        <w:rPr>
          <w:rFonts w:ascii="Book Antiqua" w:hAnsi="Book Antiqua"/>
          <w:b/>
          <w:bCs/>
        </w:rPr>
      </w:pPr>
      <w:r w:rsidRPr="00F96C0C">
        <w:rPr>
          <w:rFonts w:ascii="Book Antiqua" w:hAnsi="Book Antiqua"/>
        </w:rPr>
        <w:t>The preparations were analyzed by DermPathe within 10 d</w:t>
      </w:r>
      <w:r w:rsidRPr="00F96C0C">
        <w:rPr>
          <w:rFonts w:ascii="Book Antiqua" w:hAnsi="Book Antiqua"/>
          <w:lang w:eastAsia="zh-CN"/>
        </w:rPr>
        <w:t>-</w:t>
      </w:r>
      <w:r w:rsidRPr="00F96C0C">
        <w:rPr>
          <w:rFonts w:ascii="Book Antiqua" w:hAnsi="Book Antiqua"/>
        </w:rPr>
        <w:t xml:space="preserve"> receipt. Prior to being analyzed, the products were stored at room temperature. In the published directions for preparing topical 2% diltiazem, the shelf life of the preparation is given as 30 dwhen stored at room temperature</w:t>
      </w:r>
      <w:r w:rsidRPr="00F96C0C">
        <w:rPr>
          <w:rFonts w:ascii="Book Antiqua" w:hAnsi="Book Antiqua"/>
          <w:noProof/>
          <w:vertAlign w:val="superscript"/>
        </w:rPr>
        <w:t>[11]</w:t>
      </w:r>
      <w:r w:rsidRPr="00F96C0C">
        <w:rPr>
          <w:rFonts w:ascii="Book Antiqua" w:hAnsi="Book Antiqua"/>
        </w:rPr>
        <w:t>. At the time of HPLC analysis, there were no visible signs of product degradation in any of the jars or tubes.</w:t>
      </w:r>
    </w:p>
    <w:p w:rsidR="007C2C70" w:rsidRPr="00F96C0C" w:rsidRDefault="007C2C70" w:rsidP="006C2448">
      <w:pPr>
        <w:jc w:val="both"/>
        <w:rPr>
          <w:rFonts w:ascii="Book Antiqua" w:hAnsi="Book Antiqua"/>
        </w:rPr>
      </w:pPr>
    </w:p>
    <w:p w:rsidR="007C2C70" w:rsidRPr="00F96C0C" w:rsidRDefault="007C2C70" w:rsidP="006C2448">
      <w:pPr>
        <w:jc w:val="both"/>
        <w:rPr>
          <w:rFonts w:ascii="Book Antiqua" w:hAnsi="Book Antiqua"/>
          <w:b/>
          <w:i/>
        </w:rPr>
      </w:pPr>
      <w:r w:rsidRPr="00F96C0C">
        <w:rPr>
          <w:rFonts w:ascii="Book Antiqua" w:hAnsi="Book Antiqua"/>
          <w:b/>
          <w:i/>
        </w:rPr>
        <w:t>Potency results</w:t>
      </w:r>
    </w:p>
    <w:p w:rsidR="007C2C70" w:rsidRPr="00F96C0C" w:rsidRDefault="007C2C70" w:rsidP="006C2448">
      <w:pPr>
        <w:jc w:val="both"/>
        <w:rPr>
          <w:rFonts w:ascii="Book Antiqua" w:hAnsi="Book Antiqua"/>
        </w:rPr>
      </w:pPr>
      <w:r w:rsidRPr="00F96C0C">
        <w:rPr>
          <w:rFonts w:ascii="Book Antiqua" w:hAnsi="Book Antiqua"/>
        </w:rPr>
        <w:t>Of the 36 prescriptions, 18 (50.0%) were misbranded for potency according to the USP standard. Five (13.9%) of the prescriptions were suprapotent (that is, the measured drug activity was &gt; 115% of label claim) (</w:t>
      </w:r>
      <w:r w:rsidRPr="00F96C0C">
        <w:rPr>
          <w:rFonts w:ascii="Book Antiqua" w:hAnsi="Book Antiqua"/>
          <w:bCs/>
        </w:rPr>
        <w:t>Figure 1</w:t>
      </w:r>
      <w:r w:rsidRPr="00F96C0C">
        <w:rPr>
          <w:rFonts w:ascii="Book Antiqua" w:hAnsi="Book Antiqua"/>
        </w:rPr>
        <w:t>). The suprapotent prescriptions ranged in potency from 117.2%</w:t>
      </w:r>
      <w:r w:rsidRPr="00F96C0C">
        <w:rPr>
          <w:rFonts w:ascii="Book Antiqua" w:hAnsi="Book Antiqua"/>
          <w:lang w:eastAsia="zh-CN"/>
        </w:rPr>
        <w:t xml:space="preserve"> to </w:t>
      </w:r>
      <w:r w:rsidRPr="00F96C0C">
        <w:rPr>
          <w:rFonts w:ascii="Book Antiqua" w:hAnsi="Book Antiqua"/>
        </w:rPr>
        <w:t xml:space="preserve">128.5% of label claim. No retail pharmacy produced more than </w:t>
      </w:r>
      <w:r w:rsidRPr="00F96C0C">
        <w:rPr>
          <w:rFonts w:ascii="Book Antiqua" w:hAnsi="Book Antiqua"/>
        </w:rPr>
        <w:lastRenderedPageBreak/>
        <w:t>1 suprapotent formulation. Thirteen (36.1%) of the prescriptions were subpotent (that is, the measured drug activity was &lt; 90% of label claim) (</w:t>
      </w:r>
      <w:r w:rsidRPr="00F96C0C">
        <w:rPr>
          <w:rFonts w:ascii="Book Antiqua" w:hAnsi="Book Antiqua"/>
          <w:bCs/>
        </w:rPr>
        <w:t>Figure 1</w:t>
      </w:r>
      <w:r w:rsidRPr="00F96C0C">
        <w:rPr>
          <w:rFonts w:ascii="Book Antiqua" w:hAnsi="Book Antiqua"/>
        </w:rPr>
        <w:t>). The subpotent prescriptions ranged in potency from 34.8% to 89.8% of label claim. Only 3 of the 12 pharmacies compounded each of the 3 prescriptions they filled without misbranding potency. For 3 of the 12 pharmacies, all 3 of the filled prescriptions were subpotent.</w:t>
      </w:r>
    </w:p>
    <w:p w:rsidR="007C2C70" w:rsidRPr="00F96C0C" w:rsidRDefault="007C2C70" w:rsidP="006C2448">
      <w:pPr>
        <w:jc w:val="both"/>
        <w:rPr>
          <w:rFonts w:ascii="Book Antiqua" w:hAnsi="Book Antiqua"/>
          <w:b/>
          <w:i/>
        </w:rPr>
      </w:pPr>
    </w:p>
    <w:p w:rsidR="007C2C70" w:rsidRPr="00F96C0C" w:rsidRDefault="007C2C70" w:rsidP="006C2448">
      <w:pPr>
        <w:jc w:val="both"/>
        <w:rPr>
          <w:rFonts w:ascii="Book Antiqua" w:hAnsi="Book Antiqua"/>
          <w:b/>
          <w:i/>
        </w:rPr>
      </w:pPr>
      <w:r w:rsidRPr="00F96C0C">
        <w:rPr>
          <w:rFonts w:ascii="Book Antiqua" w:hAnsi="Book Antiqua"/>
          <w:b/>
          <w:i/>
        </w:rPr>
        <w:t>Content uniformity results</w:t>
      </w:r>
    </w:p>
    <w:p w:rsidR="007C2C70" w:rsidRPr="00F96C0C" w:rsidRDefault="007C2C70" w:rsidP="006C2448">
      <w:pPr>
        <w:jc w:val="both"/>
        <w:rPr>
          <w:rFonts w:ascii="Book Antiqua" w:hAnsi="Book Antiqua"/>
        </w:rPr>
      </w:pPr>
      <w:r w:rsidRPr="00F96C0C">
        <w:rPr>
          <w:rFonts w:ascii="Book Antiqua" w:hAnsi="Book Antiqua"/>
        </w:rPr>
        <w:t>Of the 36 preparations, 14 (38.9%) lacked content uniformity according to the USP requirement of 90% to 110% potency and &lt;</w:t>
      </w:r>
      <w:r w:rsidRPr="00F96C0C">
        <w:rPr>
          <w:rFonts w:ascii="Book Antiqua" w:hAnsi="Book Antiqua"/>
          <w:lang w:eastAsia="zh-CN"/>
        </w:rPr>
        <w:t xml:space="preserve"> </w:t>
      </w:r>
      <w:r w:rsidRPr="00F96C0C">
        <w:rPr>
          <w:rFonts w:ascii="Book Antiqua" w:hAnsi="Book Antiqua"/>
        </w:rPr>
        <w:t>6% relative standard deviation</w:t>
      </w:r>
      <w:r w:rsidRPr="00F96C0C">
        <w:rPr>
          <w:rFonts w:ascii="Book Antiqua" w:hAnsi="Book Antiqua"/>
          <w:noProof/>
          <w:vertAlign w:val="superscript"/>
        </w:rPr>
        <w:t>[12]</w:t>
      </w:r>
      <w:r w:rsidRPr="00F96C0C">
        <w:rPr>
          <w:rFonts w:ascii="Book Antiqua" w:hAnsi="Book Antiqua"/>
        </w:rPr>
        <w:t xml:space="preserve">. </w:t>
      </w:r>
      <w:r w:rsidRPr="00F96C0C">
        <w:rPr>
          <w:rFonts w:ascii="Book Antiqua" w:hAnsi="Book Antiqua"/>
          <w:bCs/>
        </w:rPr>
        <w:t>Table 1</w:t>
      </w:r>
      <w:r w:rsidRPr="00F96C0C">
        <w:rPr>
          <w:rFonts w:ascii="Book Antiqua" w:hAnsi="Book Antiqua"/>
        </w:rPr>
        <w:t xml:space="preserve"> shows the potency variations at the different sample locations of these 14 preparations. Of the 30 formulations packaged in jars, 12 (40%) lacked content uniformity; of the 6 formulations packaged in tubes, 2 (33.3%) lacked content uniformity. In some of the jars the potency varied by more than 100%. In batch 4, provided in a jar, the potency at the top center of the jar was 99.8% while the potency at the bottom center of the jar was 231.7%. In batch 14, also provided as a jar, the potency at the top center of the jar was 72.4% while the potency at the bottom of the jar was 220.8%. Batch 32, provided as a tube, was overall subpotent and also lacked content uniformity: at the middle left of the tube, potency was 16.8%; at the bottom left of the tube, potency was 42.0%.</w:t>
      </w:r>
    </w:p>
    <w:p w:rsidR="007C2C70" w:rsidRPr="00F96C0C" w:rsidRDefault="007C2C70" w:rsidP="006C2448">
      <w:pPr>
        <w:jc w:val="both"/>
        <w:rPr>
          <w:rFonts w:ascii="Book Antiqua" w:hAnsi="Book Antiqua"/>
        </w:rPr>
      </w:pPr>
    </w:p>
    <w:p w:rsidR="007C2C70" w:rsidRPr="00F96C0C" w:rsidRDefault="007C2C70" w:rsidP="006C2448">
      <w:pPr>
        <w:jc w:val="both"/>
        <w:rPr>
          <w:rFonts w:ascii="Book Antiqua" w:hAnsi="Book Antiqua"/>
          <w:b/>
          <w:i/>
        </w:rPr>
      </w:pPr>
      <w:r w:rsidRPr="00F96C0C">
        <w:rPr>
          <w:rFonts w:ascii="Book Antiqua" w:hAnsi="Book Antiqua"/>
          <w:b/>
          <w:i/>
        </w:rPr>
        <w:t>Pharmacy performance</w:t>
      </w:r>
    </w:p>
    <w:p w:rsidR="007C2C70" w:rsidRPr="00F96C0C" w:rsidRDefault="007C2C70" w:rsidP="006C2448">
      <w:pPr>
        <w:jc w:val="both"/>
        <w:rPr>
          <w:rFonts w:ascii="Book Antiqua" w:hAnsi="Book Antiqua"/>
        </w:rPr>
      </w:pPr>
      <w:r w:rsidRPr="00F96C0C">
        <w:rPr>
          <w:rFonts w:ascii="Book Antiqua" w:hAnsi="Book Antiqua"/>
        </w:rPr>
        <w:t xml:space="preserve">Nine of the 12 pharmacies failed USP potency or content-uniformity specifications for at least 1 of their 3 prescriptions. Three of the 12 pharmacies failed USP potency or </w:t>
      </w:r>
      <w:r w:rsidRPr="00F96C0C">
        <w:rPr>
          <w:rFonts w:ascii="Book Antiqua" w:hAnsi="Book Antiqua"/>
        </w:rPr>
        <w:lastRenderedPageBreak/>
        <w:t>content-uniformity specifications for all 3 of their prescriptions. When the potencies of the 3 time-separated prescriptions were averaged together for each of the 12 pharmacies, the mean potency was &lt; 90% of label claim for five of the 12 pharmacies (</w:t>
      </w:r>
      <w:r w:rsidRPr="00F96C0C">
        <w:rPr>
          <w:rFonts w:ascii="Book Antiqua" w:hAnsi="Book Antiqua"/>
          <w:bCs/>
        </w:rPr>
        <w:t>Table 2</w:t>
      </w:r>
      <w:r w:rsidRPr="00F96C0C">
        <w:rPr>
          <w:rFonts w:ascii="Book Antiqua" w:hAnsi="Book Antiqua"/>
        </w:rPr>
        <w:t xml:space="preserve">). </w:t>
      </w:r>
    </w:p>
    <w:p w:rsidR="007C2C70" w:rsidRDefault="007C2C70" w:rsidP="006C2448">
      <w:pPr>
        <w:jc w:val="both"/>
        <w:rPr>
          <w:rFonts w:ascii="Book Antiqua" w:hAnsi="Book Antiqua"/>
          <w:lang w:eastAsia="zh-CN"/>
        </w:rPr>
      </w:pPr>
    </w:p>
    <w:p w:rsidR="007C2C70" w:rsidRPr="00195E07" w:rsidRDefault="007C2C70" w:rsidP="006C2448">
      <w:pPr>
        <w:jc w:val="both"/>
        <w:rPr>
          <w:rFonts w:ascii="Book Antiqua" w:hAnsi="Book Antiqua"/>
          <w:b/>
          <w:bCs/>
          <w:i/>
          <w:iCs/>
          <w:caps/>
        </w:rPr>
      </w:pPr>
      <w:r w:rsidRPr="00F96C0C">
        <w:rPr>
          <w:rFonts w:ascii="Book Antiqua" w:hAnsi="Book Antiqua"/>
          <w:b/>
        </w:rPr>
        <w:t>DISCUSSION</w:t>
      </w:r>
    </w:p>
    <w:p w:rsidR="007C2C70" w:rsidRPr="00F96C0C" w:rsidRDefault="007C2C70" w:rsidP="006C2448">
      <w:pPr>
        <w:jc w:val="both"/>
        <w:rPr>
          <w:rFonts w:ascii="Book Antiqua" w:hAnsi="Book Antiqua"/>
        </w:rPr>
      </w:pPr>
      <w:r w:rsidRPr="00F96C0C">
        <w:rPr>
          <w:rFonts w:ascii="Book Antiqua" w:hAnsi="Book Antiqua"/>
        </w:rPr>
        <w:t>In this HPLC analysis of 36 preparations of compounded topical 2% diltiazem from 12 retail pharmacies, half of the preparations did not meet USP specifications for potency and almost 40% of the preparations did not meet USP specifications for content uniformity. Of the 12 retail pharmacies, only three were able to fill all three of the time-separated prescriptions consistently within USP specifications.</w:t>
      </w:r>
    </w:p>
    <w:p w:rsidR="007C2C70" w:rsidRPr="00F96C0C" w:rsidRDefault="007C2C70" w:rsidP="002A0A2F">
      <w:pPr>
        <w:ind w:firstLineChars="200" w:firstLine="480"/>
        <w:jc w:val="both"/>
        <w:rPr>
          <w:rFonts w:ascii="Book Antiqua" w:hAnsi="Book Antiqua"/>
        </w:rPr>
      </w:pPr>
      <w:r w:rsidRPr="00F96C0C">
        <w:rPr>
          <w:rFonts w:ascii="Book Antiqua" w:hAnsi="Book Antiqua"/>
        </w:rPr>
        <w:t>When compounded preparations of topical 2% diltiazem fall outside USP specifications for potency, they are more likely to be subpotent (36.1% of the prescriptions) than suprapotent (13.9% of prescriptions). With more than a third of the prescriptions of compounded 2% diltiazem being subpotent, such prescriptions might not routinely relieve anal fissure pain to the extent or with the speed established in clinical trials of topical 2% diltiazem</w:t>
      </w:r>
      <w:r w:rsidRPr="00F96C0C">
        <w:rPr>
          <w:rFonts w:ascii="Book Antiqua" w:hAnsi="Book Antiqua"/>
          <w:noProof/>
          <w:vertAlign w:val="superscript"/>
        </w:rPr>
        <w:t>[1,4,14-16]</w:t>
      </w:r>
      <w:r w:rsidRPr="00F96C0C">
        <w:rPr>
          <w:rFonts w:ascii="Book Antiqua" w:hAnsi="Book Antiqua"/>
        </w:rPr>
        <w:t xml:space="preserve">. In one of those trials, Carapeti </w:t>
      </w:r>
      <w:r w:rsidRPr="00F96C0C">
        <w:rPr>
          <w:rFonts w:ascii="Book Antiqua" w:hAnsi="Book Antiqua"/>
          <w:i/>
        </w:rPr>
        <w:t>et al</w:t>
      </w:r>
      <w:r w:rsidRPr="00F96C0C">
        <w:rPr>
          <w:rFonts w:ascii="Book Antiqua" w:hAnsi="Book Antiqua"/>
          <w:vertAlign w:val="superscript"/>
          <w:lang w:eastAsia="zh-CN"/>
        </w:rPr>
        <w:t>[1]</w:t>
      </w:r>
      <w:r w:rsidRPr="00F96C0C">
        <w:rPr>
          <w:rFonts w:ascii="Book Antiqua" w:hAnsi="Book Antiqua"/>
        </w:rPr>
        <w:t xml:space="preserve"> compared different diltiazem gel concentrations (0.1%, 0.5%, 1%, 2%, 5% and 10% weight per volume) and found a dose-dependent effect on maximum resting anal sphincter pressure (MRP), with the maximal effect (28% reduction compared with pretreatment, </w:t>
      </w:r>
      <w:r w:rsidRPr="00F96C0C">
        <w:rPr>
          <w:rFonts w:ascii="Book Antiqua" w:hAnsi="Book Antiqua"/>
          <w:i/>
        </w:rPr>
        <w:t>P</w:t>
      </w:r>
      <w:r w:rsidRPr="00F96C0C">
        <w:rPr>
          <w:rFonts w:ascii="Book Antiqua" w:hAnsi="Book Antiqua"/>
        </w:rPr>
        <w:t xml:space="preserve"> &lt; 0.0001) achieved with the 2% formulation</w:t>
      </w:r>
      <w:r w:rsidRPr="00F96C0C">
        <w:rPr>
          <w:rFonts w:ascii="Book Antiqua" w:hAnsi="Book Antiqua"/>
          <w:noProof/>
          <w:vertAlign w:val="superscript"/>
        </w:rPr>
        <w:t>[1]</w:t>
      </w:r>
      <w:r w:rsidRPr="00F96C0C">
        <w:rPr>
          <w:rFonts w:ascii="Book Antiqua" w:hAnsi="Book Antiqua"/>
        </w:rPr>
        <w:t xml:space="preserve">. The MRP was not </w:t>
      </w:r>
      <w:r w:rsidRPr="00F96C0C">
        <w:rPr>
          <w:rFonts w:ascii="Book Antiqua" w:hAnsi="Book Antiqua"/>
        </w:rPr>
        <w:lastRenderedPageBreak/>
        <w:t>lowered as effectively with the 1% concentration, while concentrations higher than the 2% produced no additional effect.</w:t>
      </w:r>
    </w:p>
    <w:p w:rsidR="007C2C70" w:rsidRPr="00F96C0C" w:rsidRDefault="007C2C70" w:rsidP="008504A9">
      <w:pPr>
        <w:ind w:firstLineChars="200" w:firstLine="480"/>
        <w:jc w:val="both"/>
        <w:rPr>
          <w:rFonts w:ascii="Book Antiqua" w:hAnsi="Book Antiqua"/>
        </w:rPr>
      </w:pPr>
      <w:r w:rsidRPr="00F96C0C">
        <w:rPr>
          <w:rFonts w:ascii="Book Antiqua" w:hAnsi="Book Antiqua"/>
        </w:rPr>
        <w:t>The potency of the 5 suprapotent preparations of topical 2% diltiazem did not exceed 128.5% of label claim. However, owing to a lack of content uniformity in some preparations, especially when packaged in jars, compounded diltiazem could be more than twice as potent as the label claim in some sections of a container. The level of suprapotency in these sections</w:t>
      </w:r>
      <w:r w:rsidRPr="00F96C0C">
        <w:rPr>
          <w:rFonts w:ascii="Book Antiqua" w:hAnsi="Book Antiqua"/>
          <w:lang w:eastAsia="zh-CN"/>
        </w:rPr>
        <w:t xml:space="preserve"> </w:t>
      </w:r>
      <w:r w:rsidRPr="00F96C0C">
        <w:rPr>
          <w:rFonts w:ascii="Book Antiqua" w:hAnsi="Book Antiqua"/>
        </w:rPr>
        <w:t>as high as 231.7% of label claim in a section of one jar—could put patients at potential risk for drug-related side effects. Because diltiazem is also used as a hypertensive agent, the largest risk associated with suprapotent topical 2% diltiazem might be dizziness or postural hypotension. In studies that have evaluated topical 2% diltiazem for treatment of anal fissure, the side effect profile has been mild, and the most frequent side effects have been headache or anal pruritus</w:t>
      </w:r>
      <w:r w:rsidRPr="00F96C0C">
        <w:rPr>
          <w:rFonts w:ascii="Book Antiqua" w:hAnsi="Book Antiqua"/>
          <w:noProof/>
          <w:vertAlign w:val="superscript"/>
        </w:rPr>
        <w:t>[5,17-20]</w:t>
      </w:r>
      <w:r w:rsidRPr="00F96C0C">
        <w:rPr>
          <w:rFonts w:ascii="Book Antiqua" w:hAnsi="Book Antiqua"/>
        </w:rPr>
        <w:t>. However, there have been reports of postural hypotension associated with the use of topical diltiazem</w:t>
      </w:r>
      <w:r w:rsidRPr="00F96C0C">
        <w:rPr>
          <w:rFonts w:ascii="Book Antiqua" w:hAnsi="Book Antiqua"/>
          <w:noProof/>
          <w:vertAlign w:val="superscript"/>
        </w:rPr>
        <w:t>[21]</w:t>
      </w:r>
      <w:r w:rsidRPr="00F96C0C">
        <w:rPr>
          <w:rFonts w:ascii="Book Antiqua" w:hAnsi="Book Antiqua"/>
        </w:rPr>
        <w:t>.</w:t>
      </w:r>
    </w:p>
    <w:p w:rsidR="007C2C70" w:rsidRPr="00F96C0C" w:rsidRDefault="007C2C70" w:rsidP="006F2468">
      <w:pPr>
        <w:ind w:firstLineChars="200" w:firstLine="480"/>
        <w:jc w:val="both"/>
        <w:rPr>
          <w:rFonts w:ascii="Book Antiqua" w:hAnsi="Book Antiqua"/>
        </w:rPr>
      </w:pPr>
      <w:r w:rsidRPr="00F96C0C">
        <w:rPr>
          <w:rFonts w:ascii="Book Antiqua" w:hAnsi="Book Antiqua"/>
        </w:rPr>
        <w:t xml:space="preserve">Azarnoff </w:t>
      </w:r>
      <w:r w:rsidRPr="00F96C0C">
        <w:rPr>
          <w:rFonts w:ascii="Book Antiqua" w:hAnsi="Book Antiqua"/>
          <w:i/>
        </w:rPr>
        <w:t>et al</w:t>
      </w:r>
      <w:r w:rsidRPr="00F96C0C">
        <w:rPr>
          <w:rFonts w:ascii="Book Antiqua" w:hAnsi="Book Antiqua"/>
          <w:vertAlign w:val="superscript"/>
          <w:lang w:eastAsia="zh-CN"/>
        </w:rPr>
        <w:t>[12]</w:t>
      </w:r>
      <w:r w:rsidRPr="00F96C0C">
        <w:rPr>
          <w:rFonts w:ascii="Book Antiqua" w:hAnsi="Book Antiqua"/>
        </w:rPr>
        <w:t xml:space="preserve"> conducted a similar HPLC analysis of compounded formulations of topical 0.3% nitroglycerin ointment for anal fissure</w:t>
      </w:r>
      <w:r w:rsidRPr="00F96C0C">
        <w:rPr>
          <w:rFonts w:ascii="Book Antiqua" w:hAnsi="Book Antiqua"/>
          <w:noProof/>
          <w:vertAlign w:val="superscript"/>
        </w:rPr>
        <w:t>[12]</w:t>
      </w:r>
      <w:r w:rsidRPr="00F96C0C">
        <w:rPr>
          <w:rFonts w:ascii="Book Antiqua" w:hAnsi="Book Antiqua"/>
        </w:rPr>
        <w:t xml:space="preserve">. The investigators acquired 24 filled compounded prescriptions from 24 retail pharmacies across different geographic regions. They found that 7 (29.2%) of the 24 compounded formulations were subpotent and that 1 (4.8%) was suprapotent. Moreover, 5 (20.8%) of the 24 samples lacked content uniformity. In comparison, in the current study, in which 36 compounded preparations were acquired from 12 different pharmacies, 13 (36.11%) of the preparations were subpotent, 5 (13.9%) were suprapotent, and 14 (38.9%) lacked content uniformity. The </w:t>
      </w:r>
      <w:r w:rsidRPr="00F96C0C">
        <w:rPr>
          <w:rFonts w:ascii="Book Antiqua" w:hAnsi="Book Antiqua"/>
        </w:rPr>
        <w:lastRenderedPageBreak/>
        <w:t>relatively worse analytic performance of compounded topical 2% diltiazem formulations in the current study might be an artifact of study design. Another explanation might be that it is more difficult to prepare compounded diltiazem formulations rather than compounded nitroglycerin formulations in accordance with USP standards, although it is unclear why this might be the case.</w:t>
      </w:r>
    </w:p>
    <w:p w:rsidR="007C2C70" w:rsidRPr="00F96C0C" w:rsidRDefault="007C2C70" w:rsidP="006F2468">
      <w:pPr>
        <w:ind w:firstLineChars="200" w:firstLine="480"/>
        <w:jc w:val="both"/>
        <w:rPr>
          <w:rFonts w:ascii="Book Antiqua" w:hAnsi="Book Antiqua"/>
        </w:rPr>
      </w:pPr>
      <w:r w:rsidRPr="00F96C0C">
        <w:rPr>
          <w:rFonts w:ascii="Book Antiqua" w:hAnsi="Book Antiqua"/>
        </w:rPr>
        <w:t>In October 2012, an FDA report of an outbreak of fungal meningitis related to contaminated products produced by the New England Compounding Center (Framingham, MA, United States) brought to public awareness the practice and business of pharmacy compounding</w:t>
      </w:r>
      <w:r w:rsidRPr="00F96C0C">
        <w:rPr>
          <w:rFonts w:ascii="Book Antiqua" w:hAnsi="Book Antiqua"/>
          <w:noProof/>
          <w:vertAlign w:val="superscript"/>
        </w:rPr>
        <w:t>[22,23]</w:t>
      </w:r>
      <w:r w:rsidRPr="00F96C0C">
        <w:rPr>
          <w:rFonts w:ascii="Book Antiqua" w:hAnsi="Book Antiqua"/>
        </w:rPr>
        <w:t>. There are legitimate reasons for physicians to prescribe extemporaneously compounded drugs: for example, to provide patients with products like topical 2% diltiazem, currently recommended in the ASCR practice parameters for anal fissure but not approved by the FDA, or to create unique medications for specific patients, such as those who have documented allergies to certain drug ingredients or who require dosage forms different from those of FDA-approved drugs</w:t>
      </w:r>
      <w:r w:rsidRPr="00F96C0C">
        <w:rPr>
          <w:rFonts w:ascii="Book Antiqua" w:hAnsi="Book Antiqua"/>
          <w:noProof/>
          <w:vertAlign w:val="superscript"/>
        </w:rPr>
        <w:t>[24-26]</w:t>
      </w:r>
      <w:r w:rsidRPr="00F96C0C">
        <w:rPr>
          <w:rFonts w:ascii="Book Antiqua" w:hAnsi="Book Antiqua"/>
        </w:rPr>
        <w:t>. However, not only have both branded and generic drugs undergone FDA approval for safety and efficacy, they are also required by law to be produced under federal Good Manufacturing Practice (GMP) regulations in order to ensure their identity, quantity, potency, and purity</w:t>
      </w:r>
      <w:r w:rsidRPr="00F96C0C">
        <w:rPr>
          <w:rFonts w:ascii="Book Antiqua" w:hAnsi="Book Antiqua"/>
          <w:noProof/>
          <w:vertAlign w:val="superscript"/>
        </w:rPr>
        <w:t>[24]</w:t>
      </w:r>
      <w:r w:rsidRPr="00F96C0C">
        <w:rPr>
          <w:rFonts w:ascii="Book Antiqua" w:hAnsi="Book Antiqua"/>
        </w:rPr>
        <w:t>. In contrast, although extemporaneously compounded drugs might be formulated under professional pharmacy standards, these standards are inherently less rigorous than federal GMP quality standards. Because there is no federal surveillance of compounded drugs, the extent of quality and safety problems with compound drugs is unknown</w:t>
      </w:r>
      <w:r w:rsidRPr="00F96C0C">
        <w:rPr>
          <w:rFonts w:ascii="Book Antiqua" w:hAnsi="Book Antiqua"/>
          <w:noProof/>
          <w:vertAlign w:val="superscript"/>
        </w:rPr>
        <w:t>[24]</w:t>
      </w:r>
      <w:r w:rsidRPr="00F96C0C">
        <w:rPr>
          <w:rFonts w:ascii="Book Antiqua" w:hAnsi="Book Antiqua"/>
        </w:rPr>
        <w:t xml:space="preserve">. Clearly, a </w:t>
      </w:r>
      <w:r w:rsidRPr="00F96C0C">
        <w:rPr>
          <w:rFonts w:ascii="Book Antiqua" w:hAnsi="Book Antiqua"/>
        </w:rPr>
        <w:lastRenderedPageBreak/>
        <w:t>topical 2% diltiazem cream produced under GMP regulations is needed to avoid the large percentage of substandard compounded formulations of a drug specifically recommended by the practice parameters of a medical society.</w:t>
      </w:r>
    </w:p>
    <w:p w:rsidR="007C2C70" w:rsidRPr="00F96C0C" w:rsidRDefault="007C2C70" w:rsidP="007476AC">
      <w:pPr>
        <w:ind w:firstLineChars="250" w:firstLine="600"/>
        <w:jc w:val="both"/>
        <w:rPr>
          <w:rFonts w:ascii="Book Antiqua" w:hAnsi="Book Antiqua"/>
          <w:b/>
          <w:i/>
        </w:rPr>
      </w:pPr>
      <w:r w:rsidRPr="00F96C0C">
        <w:rPr>
          <w:rFonts w:ascii="Book Antiqua" w:hAnsi="Book Antiqua"/>
        </w:rPr>
        <w:t>There were limitations to this study. The sample size was small, and the collection of samples was restricted to a single major metropolitan area. None of the compounded formulations were analyzed for microbiologic content when received by the laboratory. Upon routine inspection of the formulations after 8 months of refrigerated storage at 5° centigrade, the laboratory discovered mold on some of them, and all samples were discarded. A future study of compounded formulations of topical 2% diltiazem will need to include analyses of microbiologic content, of possible drug degradation, and of the release of diltiazem from the formulations.</w:t>
      </w:r>
    </w:p>
    <w:p w:rsidR="007C2C70" w:rsidRPr="00F96C0C" w:rsidRDefault="007C2C70" w:rsidP="007476AC">
      <w:pPr>
        <w:ind w:firstLineChars="200" w:firstLine="480"/>
        <w:jc w:val="both"/>
        <w:rPr>
          <w:rFonts w:ascii="Book Antiqua" w:hAnsi="Book Antiqua"/>
        </w:rPr>
      </w:pPr>
      <w:r w:rsidRPr="00F96C0C">
        <w:rPr>
          <w:rFonts w:ascii="Book Antiqua" w:hAnsi="Book Antiqua"/>
        </w:rPr>
        <w:t xml:space="preserve">In conclusion, this study shows that when patients are prescribed topical 2% diltiazem cream for treatment of anal fissure in a major metropolitan region, they receive compounded formulations from retail pharmacies that are misbranded in respect to potency approximately 50% of the time and that lack content uniformity approximately 40% of the time. Because approximately one third of the compounded preparations were subpotent, patients treated with compounded formulations of topical 2% diltiazem might not receive the anticipated relief of pain associated with anal fissure. </w:t>
      </w:r>
    </w:p>
    <w:p w:rsidR="007C2C70" w:rsidRPr="00F96C0C" w:rsidRDefault="007C2C70" w:rsidP="006C2448">
      <w:pPr>
        <w:jc w:val="both"/>
        <w:rPr>
          <w:rFonts w:ascii="Book Antiqua" w:hAnsi="Book Antiqua"/>
        </w:rPr>
      </w:pPr>
    </w:p>
    <w:p w:rsidR="007C2C70" w:rsidRPr="00195E07" w:rsidRDefault="007C2C70" w:rsidP="006C2448">
      <w:pPr>
        <w:jc w:val="both"/>
        <w:rPr>
          <w:rFonts w:ascii="Book Antiqua" w:hAnsi="Book Antiqua"/>
          <w:lang w:eastAsia="zh-CN"/>
        </w:rPr>
      </w:pPr>
      <w:r w:rsidRPr="00F96C0C">
        <w:rPr>
          <w:rFonts w:ascii="Book Antiqua" w:hAnsi="Book Antiqua"/>
          <w:b/>
          <w:color w:val="000000"/>
        </w:rPr>
        <w:t>COMMENTS</w:t>
      </w:r>
    </w:p>
    <w:p w:rsidR="007C2C70" w:rsidRPr="00F96C0C" w:rsidRDefault="007C2C70" w:rsidP="006C2448">
      <w:pPr>
        <w:jc w:val="both"/>
        <w:rPr>
          <w:rFonts w:ascii="Book Antiqua" w:hAnsi="Book Antiqua"/>
          <w:b/>
          <w:bCs/>
          <w:i/>
          <w:color w:val="000000"/>
        </w:rPr>
      </w:pPr>
      <w:r w:rsidRPr="00F96C0C">
        <w:rPr>
          <w:rFonts w:ascii="Book Antiqua" w:hAnsi="Book Antiqua"/>
          <w:b/>
          <w:bCs/>
          <w:i/>
          <w:color w:val="000000"/>
        </w:rPr>
        <w:t>Background</w:t>
      </w:r>
    </w:p>
    <w:p w:rsidR="007C2C70" w:rsidRPr="00F96C0C" w:rsidRDefault="007C2C70" w:rsidP="006C2448">
      <w:pPr>
        <w:jc w:val="both"/>
        <w:rPr>
          <w:rFonts w:ascii="Book Antiqua" w:hAnsi="Book Antiqua"/>
          <w:color w:val="000000"/>
        </w:rPr>
      </w:pPr>
      <w:r w:rsidRPr="00F96C0C">
        <w:rPr>
          <w:rFonts w:ascii="Book Antiqua" w:hAnsi="Book Antiqua"/>
          <w:color w:val="000000"/>
        </w:rPr>
        <w:lastRenderedPageBreak/>
        <w:t>The use of topical 2% diltiazem hydrochloride for treating anal fissures is supported by multiple clinical trials and is recommended in published medical society practice parameters. In countries where no commercially manufactured formulation of topical 2% diltiazem is available, prescriptions for the medication need to be extemporaneously compounded by retail pharmacies. Up to now, the quality of these compounded diltiazem formulations has not been evaluated.</w:t>
      </w:r>
    </w:p>
    <w:p w:rsidR="007C2C70" w:rsidRPr="00F96C0C" w:rsidRDefault="007C2C70" w:rsidP="006C2448">
      <w:pPr>
        <w:jc w:val="both"/>
        <w:rPr>
          <w:rFonts w:ascii="Book Antiqua" w:hAnsi="Book Antiqua"/>
          <w:b/>
          <w:bCs/>
          <w:i/>
          <w:color w:val="000000"/>
        </w:rPr>
      </w:pPr>
    </w:p>
    <w:p w:rsidR="007C2C70" w:rsidRPr="00F96C0C" w:rsidRDefault="007C2C70" w:rsidP="006C2448">
      <w:pPr>
        <w:jc w:val="both"/>
        <w:rPr>
          <w:rFonts w:ascii="Book Antiqua" w:hAnsi="Book Antiqua"/>
          <w:b/>
          <w:bCs/>
          <w:i/>
          <w:color w:val="000000"/>
        </w:rPr>
      </w:pPr>
      <w:r w:rsidRPr="00F96C0C">
        <w:rPr>
          <w:rFonts w:ascii="Book Antiqua" w:hAnsi="Book Antiqua"/>
          <w:b/>
          <w:bCs/>
          <w:i/>
          <w:color w:val="000000"/>
        </w:rPr>
        <w:t>Research frontiers</w:t>
      </w:r>
    </w:p>
    <w:p w:rsidR="007C2C70" w:rsidRPr="00F96C0C" w:rsidRDefault="007C2C70" w:rsidP="006C2448">
      <w:pPr>
        <w:jc w:val="both"/>
        <w:rPr>
          <w:rFonts w:ascii="Book Antiqua" w:hAnsi="Book Antiqua"/>
          <w:color w:val="000000"/>
        </w:rPr>
      </w:pPr>
      <w:r w:rsidRPr="00F96C0C">
        <w:rPr>
          <w:rFonts w:ascii="Book Antiqua" w:hAnsi="Book Antiqua"/>
          <w:color w:val="000000"/>
        </w:rPr>
        <w:t xml:space="preserve">High-performance liquid chromatography (HPLC) analysis was undertaken with 36 preparations of compounded 2% topical diltiazem that were gathered from 12 different independent retail pharmacies in a major metropolitan area. </w:t>
      </w:r>
    </w:p>
    <w:p w:rsidR="007C2C70" w:rsidRPr="00F96C0C" w:rsidRDefault="007C2C70" w:rsidP="006C2448">
      <w:pPr>
        <w:jc w:val="both"/>
        <w:rPr>
          <w:rFonts w:ascii="Book Antiqua" w:hAnsi="Book Antiqua"/>
          <w:color w:val="000000"/>
        </w:rPr>
      </w:pPr>
    </w:p>
    <w:p w:rsidR="007C2C70" w:rsidRPr="00F96C0C" w:rsidRDefault="007C2C70" w:rsidP="006C2448">
      <w:pPr>
        <w:jc w:val="both"/>
        <w:rPr>
          <w:rFonts w:ascii="Book Antiqua" w:hAnsi="Book Antiqua"/>
          <w:i/>
          <w:color w:val="000000"/>
        </w:rPr>
      </w:pPr>
      <w:r w:rsidRPr="00F96C0C">
        <w:rPr>
          <w:rFonts w:ascii="Book Antiqua" w:hAnsi="Book Antiqua"/>
          <w:b/>
          <w:bCs/>
          <w:i/>
          <w:color w:val="000000"/>
        </w:rPr>
        <w:t>Innovations and breakthroughs</w:t>
      </w:r>
    </w:p>
    <w:p w:rsidR="007C2C70" w:rsidRPr="00F96C0C" w:rsidRDefault="007C2C70" w:rsidP="006C2448">
      <w:pPr>
        <w:jc w:val="both"/>
        <w:rPr>
          <w:rFonts w:ascii="Book Antiqua" w:hAnsi="Book Antiqua"/>
          <w:color w:val="000000"/>
        </w:rPr>
      </w:pPr>
      <w:r w:rsidRPr="00F96C0C">
        <w:rPr>
          <w:rFonts w:ascii="Book Antiqua" w:hAnsi="Book Antiqua"/>
          <w:color w:val="000000"/>
        </w:rPr>
        <w:t>This is the first study to show that when patients are prescribed topical 2% diltiazem cream for treatment of anal fissure, they receive compounded formulations from retail pharmacies that are misbranded in respect to potency approximately 50% of the time and that lack content uniformity approximately 40% of the time. Because over one third of the compounded preparations were subpotent, patients treated with compounded formulations of topical 2% diltiazem might not receive the anticipated relief of anal-fissure pain.</w:t>
      </w:r>
    </w:p>
    <w:p w:rsidR="007C2C70" w:rsidRPr="00F96C0C" w:rsidRDefault="007C2C70" w:rsidP="006C2448">
      <w:pPr>
        <w:jc w:val="both"/>
        <w:rPr>
          <w:rFonts w:ascii="Book Antiqua" w:hAnsi="Book Antiqua"/>
          <w:color w:val="000000"/>
        </w:rPr>
      </w:pPr>
    </w:p>
    <w:p w:rsidR="007C2C70" w:rsidRPr="00F96C0C" w:rsidRDefault="007C2C70" w:rsidP="006C2448">
      <w:pPr>
        <w:jc w:val="both"/>
        <w:rPr>
          <w:rFonts w:ascii="Book Antiqua" w:hAnsi="Book Antiqua"/>
          <w:b/>
          <w:bCs/>
          <w:i/>
          <w:color w:val="000000"/>
        </w:rPr>
      </w:pPr>
      <w:r w:rsidRPr="00F96C0C">
        <w:rPr>
          <w:rFonts w:ascii="Book Antiqua" w:hAnsi="Book Antiqua"/>
          <w:b/>
          <w:bCs/>
          <w:i/>
          <w:color w:val="000000"/>
        </w:rPr>
        <w:t>Applications</w:t>
      </w:r>
    </w:p>
    <w:p w:rsidR="007C2C70" w:rsidRPr="00F96C0C" w:rsidRDefault="007C2C70" w:rsidP="006C2448">
      <w:pPr>
        <w:jc w:val="both"/>
        <w:rPr>
          <w:rFonts w:ascii="Book Antiqua" w:hAnsi="Book Antiqua"/>
          <w:color w:val="000000"/>
        </w:rPr>
      </w:pPr>
      <w:r w:rsidRPr="00F96C0C">
        <w:rPr>
          <w:rFonts w:ascii="Book Antiqua" w:hAnsi="Book Antiqua"/>
          <w:color w:val="000000"/>
        </w:rPr>
        <w:lastRenderedPageBreak/>
        <w:t>By demonstrating that a sample of retail pharmacies compound a large percentage of substandard formulations of topical 2% diltiazem, the study underscores that this drug, recommended for use by medical society practice parameters, should be produced under Good Manufacturing Practice regulations to ensure its identity, quantity, potency, and purity.</w:t>
      </w:r>
    </w:p>
    <w:p w:rsidR="007C2C70" w:rsidRPr="00F96C0C" w:rsidRDefault="007C2C70" w:rsidP="006C2448">
      <w:pPr>
        <w:jc w:val="both"/>
        <w:rPr>
          <w:rFonts w:ascii="Book Antiqua" w:hAnsi="Book Antiqua"/>
          <w:color w:val="000000"/>
          <w:lang w:eastAsia="zh-CN"/>
        </w:rPr>
      </w:pPr>
    </w:p>
    <w:p w:rsidR="007C2C70" w:rsidRPr="00F96C0C" w:rsidRDefault="007C2C70" w:rsidP="006C2448">
      <w:pPr>
        <w:jc w:val="both"/>
        <w:rPr>
          <w:rFonts w:ascii="Book Antiqua" w:hAnsi="Book Antiqua"/>
          <w:b/>
          <w:bCs/>
          <w:i/>
          <w:color w:val="000000"/>
        </w:rPr>
      </w:pPr>
      <w:r w:rsidRPr="00F96C0C">
        <w:rPr>
          <w:rFonts w:ascii="Book Antiqua" w:hAnsi="Book Antiqua"/>
          <w:b/>
          <w:bCs/>
          <w:i/>
          <w:color w:val="000000"/>
        </w:rPr>
        <w:t>Peer review</w:t>
      </w:r>
    </w:p>
    <w:p w:rsidR="007C2C70" w:rsidRPr="00F96C0C" w:rsidRDefault="007C2C70" w:rsidP="006C2448">
      <w:pPr>
        <w:jc w:val="both"/>
        <w:rPr>
          <w:rFonts w:ascii="Book Antiqua" w:hAnsi="Book Antiqua"/>
          <w:color w:val="000000"/>
        </w:rPr>
      </w:pPr>
      <w:r w:rsidRPr="00F96C0C">
        <w:rPr>
          <w:rFonts w:ascii="Book Antiqua" w:hAnsi="Book Antiqua"/>
          <w:color w:val="000000"/>
        </w:rPr>
        <w:t>Local absorption of diltiazem depends on skin thickness and local inflammation. It is also proportional to the medication amount. This study is similar to a 2007 study concerning compounded formulations of nitroglycerin ointment for anal fissure. The authors noticed a problem that is presumably unknown to gastroenterologists and surgeons — that compounded formulations of topical 2% diltiazem, recommended by the American Society of Colon and Rectal Surgeons for anal fissure therapy but not approved by the United States Food and Drug Administration, may be subpotent or suprapotent. Of 36 compounded preparations examined in the study, 38.9% lacked content uniformity, and 50% did not meet United States Pharmacopoeia specifications for potency.</w:t>
      </w:r>
    </w:p>
    <w:p w:rsidR="007C2C70" w:rsidRPr="00F96C0C" w:rsidRDefault="007C2C70" w:rsidP="006C2448">
      <w:pPr>
        <w:jc w:val="both"/>
        <w:rPr>
          <w:rFonts w:ascii="Book Antiqua" w:hAnsi="Book Antiqua"/>
          <w:color w:val="000000"/>
        </w:rPr>
      </w:pPr>
    </w:p>
    <w:p w:rsidR="007C2C70" w:rsidRPr="00F96C0C" w:rsidRDefault="007C2C70" w:rsidP="006C2448">
      <w:pPr>
        <w:jc w:val="both"/>
        <w:rPr>
          <w:rFonts w:ascii="Book Antiqua" w:hAnsi="Book Antiqua"/>
        </w:rPr>
      </w:pPr>
      <w:r w:rsidRPr="00F96C0C">
        <w:rPr>
          <w:rFonts w:ascii="Book Antiqua" w:hAnsi="Book Antiqua"/>
        </w:rPr>
        <w:br w:type="page"/>
      </w:r>
    </w:p>
    <w:p w:rsidR="007C2C70" w:rsidRPr="00F96C0C" w:rsidRDefault="007C2C70" w:rsidP="007476AC">
      <w:pPr>
        <w:spacing w:after="200" w:line="276" w:lineRule="auto"/>
        <w:rPr>
          <w:rFonts w:ascii="Book Antiqua" w:hAnsi="Book Antiqua"/>
        </w:rPr>
      </w:pPr>
      <w:r w:rsidRPr="00F96C0C">
        <w:rPr>
          <w:rFonts w:ascii="Book Antiqua" w:hAnsi="Book Antiqua"/>
          <w:b/>
        </w:rPr>
        <w:lastRenderedPageBreak/>
        <w:t>REFERENCES</w:t>
      </w:r>
    </w:p>
    <w:p w:rsidR="007C2C70" w:rsidRPr="00F96C0C" w:rsidRDefault="007C2C70" w:rsidP="005231B6">
      <w:pPr>
        <w:spacing w:line="360" w:lineRule="auto"/>
        <w:jc w:val="both"/>
        <w:rPr>
          <w:rFonts w:ascii="Book Antiqua" w:hAnsi="Book Antiqua"/>
        </w:rPr>
      </w:pPr>
      <w:r w:rsidRPr="00F96C0C">
        <w:rPr>
          <w:rFonts w:ascii="Book Antiqua" w:hAnsi="Book Antiqua"/>
        </w:rPr>
        <w:t>1 </w:t>
      </w:r>
      <w:r w:rsidRPr="00F96C0C">
        <w:rPr>
          <w:rFonts w:ascii="Book Antiqua" w:hAnsi="Book Antiqua"/>
          <w:b/>
          <w:bCs/>
        </w:rPr>
        <w:t>Carapeti EA</w:t>
      </w:r>
      <w:r w:rsidRPr="00F96C0C">
        <w:rPr>
          <w:rFonts w:ascii="Book Antiqua" w:hAnsi="Book Antiqua"/>
        </w:rPr>
        <w:t>, Kamm MA, Phillips RK. Topical diltiazem and bethanechol decrease anal sphincter pressure and heal anal fissures without side effects. </w:t>
      </w:r>
      <w:r w:rsidRPr="00F96C0C">
        <w:rPr>
          <w:rFonts w:ascii="Book Antiqua" w:hAnsi="Book Antiqua"/>
          <w:i/>
          <w:iCs/>
        </w:rPr>
        <w:t>Dis Colon Rectum</w:t>
      </w:r>
      <w:r w:rsidRPr="00F96C0C">
        <w:rPr>
          <w:rFonts w:ascii="Book Antiqua" w:hAnsi="Book Antiqua"/>
        </w:rPr>
        <w:t> 2000; </w:t>
      </w:r>
      <w:r w:rsidRPr="00F96C0C">
        <w:rPr>
          <w:rFonts w:ascii="Book Antiqua" w:hAnsi="Book Antiqua"/>
          <w:b/>
          <w:bCs/>
        </w:rPr>
        <w:t>43</w:t>
      </w:r>
      <w:r w:rsidRPr="00F96C0C">
        <w:rPr>
          <w:rFonts w:ascii="Book Antiqua" w:hAnsi="Book Antiqua"/>
        </w:rPr>
        <w:t>: 1359-1362 [PMID: 11052511]</w:t>
      </w:r>
    </w:p>
    <w:p w:rsidR="007C2C70" w:rsidRPr="00F96C0C" w:rsidRDefault="007C2C70" w:rsidP="005231B6">
      <w:pPr>
        <w:spacing w:line="360" w:lineRule="auto"/>
        <w:jc w:val="both"/>
        <w:rPr>
          <w:rFonts w:ascii="Book Antiqua" w:hAnsi="Book Antiqua"/>
        </w:rPr>
      </w:pPr>
      <w:r w:rsidRPr="00F96C0C">
        <w:rPr>
          <w:rFonts w:ascii="Book Antiqua" w:hAnsi="Book Antiqua"/>
        </w:rPr>
        <w:t>2 </w:t>
      </w:r>
      <w:r w:rsidRPr="00F96C0C">
        <w:rPr>
          <w:rFonts w:ascii="Book Antiqua" w:hAnsi="Book Antiqua"/>
          <w:b/>
          <w:bCs/>
        </w:rPr>
        <w:t>DasGupta R</w:t>
      </w:r>
      <w:r w:rsidRPr="00F96C0C">
        <w:rPr>
          <w:rFonts w:ascii="Book Antiqua" w:hAnsi="Book Antiqua"/>
        </w:rPr>
        <w:t>, Franklin I, Pitt J, Dawson PM. Successful treatment of chronic anal fissure with diltiazem gel. </w:t>
      </w:r>
      <w:r w:rsidRPr="00F96C0C">
        <w:rPr>
          <w:rFonts w:ascii="Book Antiqua" w:hAnsi="Book Antiqua"/>
          <w:i/>
          <w:iCs/>
        </w:rPr>
        <w:t>Colorectal Dis</w:t>
      </w:r>
      <w:r w:rsidRPr="00F96C0C">
        <w:rPr>
          <w:rFonts w:ascii="Book Antiqua" w:hAnsi="Book Antiqua"/>
        </w:rPr>
        <w:t> 2002; </w:t>
      </w:r>
      <w:r w:rsidRPr="00F96C0C">
        <w:rPr>
          <w:rFonts w:ascii="Book Antiqua" w:hAnsi="Book Antiqua"/>
          <w:b/>
          <w:bCs/>
        </w:rPr>
        <w:t>4</w:t>
      </w:r>
      <w:r w:rsidRPr="00F96C0C">
        <w:rPr>
          <w:rFonts w:ascii="Book Antiqua" w:hAnsi="Book Antiqua"/>
        </w:rPr>
        <w:t>: 20-22 [PMID: 12780649]</w:t>
      </w:r>
    </w:p>
    <w:p w:rsidR="007C2C70" w:rsidRPr="00F96C0C" w:rsidRDefault="007C2C70" w:rsidP="005231B6">
      <w:pPr>
        <w:spacing w:line="360" w:lineRule="auto"/>
        <w:jc w:val="both"/>
        <w:rPr>
          <w:rFonts w:ascii="Book Antiqua" w:hAnsi="Book Antiqua"/>
        </w:rPr>
      </w:pPr>
      <w:r w:rsidRPr="00F96C0C">
        <w:rPr>
          <w:rFonts w:ascii="Book Antiqua" w:hAnsi="Book Antiqua"/>
        </w:rPr>
        <w:t>3 </w:t>
      </w:r>
      <w:r w:rsidRPr="00F96C0C">
        <w:rPr>
          <w:rFonts w:ascii="Book Antiqua" w:hAnsi="Book Antiqua"/>
          <w:b/>
          <w:bCs/>
        </w:rPr>
        <w:t>Knight JS</w:t>
      </w:r>
      <w:r w:rsidRPr="00F96C0C">
        <w:rPr>
          <w:rFonts w:ascii="Book Antiqua" w:hAnsi="Book Antiqua"/>
        </w:rPr>
        <w:t>, Birks M, Farouk R. Topical diltiazem ointment in the treatment of chronic anal fissure. </w:t>
      </w:r>
      <w:r w:rsidRPr="00F96C0C">
        <w:rPr>
          <w:rFonts w:ascii="Book Antiqua" w:hAnsi="Book Antiqua"/>
          <w:i/>
          <w:iCs/>
        </w:rPr>
        <w:t>Br J Surg</w:t>
      </w:r>
      <w:r w:rsidRPr="00F96C0C">
        <w:rPr>
          <w:rFonts w:ascii="Book Antiqua" w:hAnsi="Book Antiqua"/>
        </w:rPr>
        <w:t> 2001; </w:t>
      </w:r>
      <w:r w:rsidRPr="00F96C0C">
        <w:rPr>
          <w:rFonts w:ascii="Book Antiqua" w:hAnsi="Book Antiqua"/>
          <w:b/>
          <w:bCs/>
        </w:rPr>
        <w:t>88</w:t>
      </w:r>
      <w:r w:rsidRPr="00F96C0C">
        <w:rPr>
          <w:rFonts w:ascii="Book Antiqua" w:hAnsi="Book Antiqua"/>
        </w:rPr>
        <w:t>: 553-556 [PMID: 11298624]</w:t>
      </w:r>
    </w:p>
    <w:p w:rsidR="007C2C70" w:rsidRPr="00F96C0C" w:rsidRDefault="007C2C70" w:rsidP="005231B6">
      <w:pPr>
        <w:spacing w:line="360" w:lineRule="auto"/>
        <w:jc w:val="both"/>
        <w:rPr>
          <w:rFonts w:ascii="Book Antiqua" w:hAnsi="Book Antiqua"/>
        </w:rPr>
      </w:pPr>
      <w:r w:rsidRPr="00F96C0C">
        <w:rPr>
          <w:rFonts w:ascii="Book Antiqua" w:hAnsi="Book Antiqua"/>
        </w:rPr>
        <w:t>4 </w:t>
      </w:r>
      <w:r w:rsidRPr="00F96C0C">
        <w:rPr>
          <w:rFonts w:ascii="Book Antiqua" w:hAnsi="Book Antiqua"/>
          <w:b/>
          <w:bCs/>
        </w:rPr>
        <w:t>Kocher HM</w:t>
      </w:r>
      <w:r w:rsidRPr="00F96C0C">
        <w:rPr>
          <w:rFonts w:ascii="Book Antiqua" w:hAnsi="Book Antiqua"/>
        </w:rPr>
        <w:t>, Steward M, Leather AJ, Cullen PT. Randomized clinical trial assessing the side-effects of glyceryl trinitrate and diltiazem hydrochloride in the treatment of chronic anal fissure. </w:t>
      </w:r>
      <w:r w:rsidRPr="00F96C0C">
        <w:rPr>
          <w:rFonts w:ascii="Book Antiqua" w:hAnsi="Book Antiqua"/>
          <w:i/>
          <w:iCs/>
        </w:rPr>
        <w:t>Br J Surg</w:t>
      </w:r>
      <w:r w:rsidRPr="00F96C0C">
        <w:rPr>
          <w:rFonts w:ascii="Book Antiqua" w:hAnsi="Book Antiqua"/>
        </w:rPr>
        <w:t> 2002; </w:t>
      </w:r>
      <w:r w:rsidRPr="00F96C0C">
        <w:rPr>
          <w:rFonts w:ascii="Book Antiqua" w:hAnsi="Book Antiqua"/>
          <w:b/>
          <w:bCs/>
        </w:rPr>
        <w:t>89</w:t>
      </w:r>
      <w:r w:rsidRPr="00F96C0C">
        <w:rPr>
          <w:rFonts w:ascii="Book Antiqua" w:hAnsi="Book Antiqua"/>
        </w:rPr>
        <w:t>: 413-417 [PMID: 11952579]</w:t>
      </w:r>
    </w:p>
    <w:p w:rsidR="007C2C70" w:rsidRPr="00F96C0C" w:rsidRDefault="007C2C70" w:rsidP="005231B6">
      <w:pPr>
        <w:spacing w:line="360" w:lineRule="auto"/>
        <w:jc w:val="both"/>
        <w:rPr>
          <w:rFonts w:ascii="Book Antiqua" w:hAnsi="Book Antiqua"/>
        </w:rPr>
      </w:pPr>
      <w:r w:rsidRPr="00F96C0C">
        <w:rPr>
          <w:rFonts w:ascii="Book Antiqua" w:hAnsi="Book Antiqua"/>
        </w:rPr>
        <w:t>5 </w:t>
      </w:r>
      <w:r w:rsidRPr="00F96C0C">
        <w:rPr>
          <w:rFonts w:ascii="Book Antiqua" w:hAnsi="Book Antiqua"/>
          <w:b/>
          <w:bCs/>
        </w:rPr>
        <w:t>Bielecki K</w:t>
      </w:r>
      <w:r w:rsidRPr="00F96C0C">
        <w:rPr>
          <w:rFonts w:ascii="Book Antiqua" w:hAnsi="Book Antiqua"/>
        </w:rPr>
        <w:t>, Kolodziejczak M. A prospective randomized trial of diltiazem and glyceryltrinitrate ointment in the treatment of chronic anal fissure. </w:t>
      </w:r>
      <w:r w:rsidRPr="00F96C0C">
        <w:rPr>
          <w:rFonts w:ascii="Book Antiqua" w:hAnsi="Book Antiqua"/>
          <w:i/>
          <w:iCs/>
        </w:rPr>
        <w:t>Colorectal Dis</w:t>
      </w:r>
      <w:r w:rsidRPr="00F96C0C">
        <w:rPr>
          <w:rFonts w:ascii="Book Antiqua" w:hAnsi="Book Antiqua"/>
        </w:rPr>
        <w:t> 2003; </w:t>
      </w:r>
      <w:r w:rsidRPr="00F96C0C">
        <w:rPr>
          <w:rFonts w:ascii="Book Antiqua" w:hAnsi="Book Antiqua"/>
          <w:b/>
          <w:bCs/>
        </w:rPr>
        <w:t>5</w:t>
      </w:r>
      <w:r w:rsidRPr="00F96C0C">
        <w:rPr>
          <w:rFonts w:ascii="Book Antiqua" w:hAnsi="Book Antiqua"/>
        </w:rPr>
        <w:t>: 256-257 [PMID: 12780888]</w:t>
      </w:r>
    </w:p>
    <w:p w:rsidR="007C2C70" w:rsidRPr="00F96C0C" w:rsidRDefault="007C2C70" w:rsidP="005231B6">
      <w:pPr>
        <w:spacing w:line="360" w:lineRule="auto"/>
        <w:jc w:val="both"/>
        <w:rPr>
          <w:rFonts w:ascii="Book Antiqua" w:hAnsi="Book Antiqua"/>
        </w:rPr>
      </w:pPr>
      <w:r w:rsidRPr="00F96C0C">
        <w:rPr>
          <w:rFonts w:ascii="Book Antiqua" w:hAnsi="Book Antiqua"/>
        </w:rPr>
        <w:t>6 </w:t>
      </w:r>
      <w:r w:rsidRPr="00F96C0C">
        <w:rPr>
          <w:rFonts w:ascii="Book Antiqua" w:hAnsi="Book Antiqua"/>
          <w:b/>
          <w:bCs/>
        </w:rPr>
        <w:t>Elliott WJ</w:t>
      </w:r>
      <w:r w:rsidRPr="00F96C0C">
        <w:rPr>
          <w:rFonts w:ascii="Book Antiqua" w:hAnsi="Book Antiqua"/>
        </w:rPr>
        <w:t>, Ram CV. Calcium channel blockers. </w:t>
      </w:r>
      <w:r w:rsidRPr="00F96C0C">
        <w:rPr>
          <w:rFonts w:ascii="Book Antiqua" w:hAnsi="Book Antiqua"/>
          <w:i/>
          <w:iCs/>
        </w:rPr>
        <w:t>J Clin Hypertens (Greenwich)</w:t>
      </w:r>
      <w:r w:rsidRPr="00F96C0C">
        <w:rPr>
          <w:rFonts w:ascii="Book Antiqua" w:hAnsi="Book Antiqua"/>
        </w:rPr>
        <w:t> 2011; </w:t>
      </w:r>
      <w:r w:rsidRPr="00F96C0C">
        <w:rPr>
          <w:rFonts w:ascii="Book Antiqua" w:hAnsi="Book Antiqua"/>
          <w:b/>
          <w:bCs/>
        </w:rPr>
        <w:t>13</w:t>
      </w:r>
      <w:r w:rsidRPr="00F96C0C">
        <w:rPr>
          <w:rFonts w:ascii="Book Antiqua" w:hAnsi="Book Antiqua"/>
        </w:rPr>
        <w:t>: 687-689 [PMID: 21896151 DOI: 10.1111/j.1751-7176.2011.00513.x]</w:t>
      </w:r>
    </w:p>
    <w:p w:rsidR="007C2C70" w:rsidRPr="00F96C0C" w:rsidRDefault="007C2C70" w:rsidP="005231B6">
      <w:pPr>
        <w:spacing w:line="360" w:lineRule="auto"/>
        <w:jc w:val="both"/>
        <w:rPr>
          <w:rFonts w:ascii="Book Antiqua" w:hAnsi="Book Antiqua"/>
        </w:rPr>
      </w:pPr>
      <w:r w:rsidRPr="00F96C0C">
        <w:rPr>
          <w:rFonts w:ascii="Book Antiqua" w:hAnsi="Book Antiqua"/>
        </w:rPr>
        <w:t>7 </w:t>
      </w:r>
      <w:r w:rsidRPr="00F96C0C">
        <w:rPr>
          <w:rFonts w:ascii="Book Antiqua" w:hAnsi="Book Antiqua"/>
          <w:b/>
          <w:bCs/>
        </w:rPr>
        <w:t>Monson JR</w:t>
      </w:r>
      <w:r w:rsidRPr="00F96C0C">
        <w:rPr>
          <w:rFonts w:ascii="Book Antiqua" w:hAnsi="Book Antiqua"/>
        </w:rPr>
        <w:t>, Weiser MR, Buie WD, Chang GJ, Rafferty JF, Buie WD, Rafferty J. Practice parameters for the management of rectal cancer (revised). </w:t>
      </w:r>
      <w:r w:rsidRPr="00F96C0C">
        <w:rPr>
          <w:rFonts w:ascii="Book Antiqua" w:hAnsi="Book Antiqua"/>
          <w:i/>
          <w:iCs/>
        </w:rPr>
        <w:t>Dis Colon Rectum</w:t>
      </w:r>
      <w:r w:rsidRPr="00F96C0C">
        <w:rPr>
          <w:rFonts w:ascii="Book Antiqua" w:hAnsi="Book Antiqua"/>
        </w:rPr>
        <w:t> 2013; </w:t>
      </w:r>
      <w:r w:rsidRPr="00F96C0C">
        <w:rPr>
          <w:rFonts w:ascii="Book Antiqua" w:hAnsi="Book Antiqua"/>
          <w:b/>
          <w:bCs/>
        </w:rPr>
        <w:t>56</w:t>
      </w:r>
      <w:r w:rsidRPr="00F96C0C">
        <w:rPr>
          <w:rFonts w:ascii="Book Antiqua" w:hAnsi="Book Antiqua"/>
        </w:rPr>
        <w:t>: 535-550 [PMID: 23575392 DOI: 10.1097/DCR.0b013e31828cb66c]</w:t>
      </w:r>
    </w:p>
    <w:p w:rsidR="007C2C70" w:rsidRPr="0065052E" w:rsidRDefault="007C2C70" w:rsidP="005231B6">
      <w:pPr>
        <w:spacing w:line="360" w:lineRule="auto"/>
        <w:jc w:val="both"/>
        <w:rPr>
          <w:rFonts w:ascii="Book Antiqua" w:hAnsi="Book Antiqua"/>
          <w:lang w:val="es-ES"/>
        </w:rPr>
      </w:pPr>
      <w:r w:rsidRPr="00F96C0C">
        <w:rPr>
          <w:rFonts w:ascii="Book Antiqua" w:hAnsi="Book Antiqua"/>
        </w:rPr>
        <w:t>8 </w:t>
      </w:r>
      <w:r w:rsidRPr="00F96C0C">
        <w:rPr>
          <w:rFonts w:ascii="Book Antiqua" w:hAnsi="Book Antiqua"/>
          <w:b/>
          <w:bCs/>
        </w:rPr>
        <w:t>Gough MJ</w:t>
      </w:r>
      <w:r w:rsidRPr="00F96C0C">
        <w:rPr>
          <w:rFonts w:ascii="Book Antiqua" w:hAnsi="Book Antiqua"/>
        </w:rPr>
        <w:t>, Lewis A. The conservative treatment of fissure-in-ano. </w:t>
      </w:r>
      <w:r w:rsidRPr="0065052E">
        <w:rPr>
          <w:rFonts w:ascii="Book Antiqua" w:hAnsi="Book Antiqua"/>
          <w:i/>
          <w:iCs/>
          <w:lang w:val="es-ES"/>
        </w:rPr>
        <w:t>Br J Surg</w:t>
      </w:r>
      <w:r w:rsidRPr="0065052E">
        <w:rPr>
          <w:rFonts w:ascii="Book Antiqua" w:hAnsi="Book Antiqua"/>
          <w:lang w:val="es-ES"/>
        </w:rPr>
        <w:t> 1983; </w:t>
      </w:r>
      <w:r w:rsidRPr="0065052E">
        <w:rPr>
          <w:rFonts w:ascii="Book Antiqua" w:hAnsi="Book Antiqua"/>
          <w:b/>
          <w:bCs/>
          <w:lang w:val="es-ES"/>
        </w:rPr>
        <w:t>70</w:t>
      </w:r>
      <w:r w:rsidRPr="0065052E">
        <w:rPr>
          <w:rFonts w:ascii="Book Antiqua" w:hAnsi="Book Antiqua"/>
          <w:lang w:val="es-ES"/>
        </w:rPr>
        <w:t>: 175-176 [PMID: 6338993]</w:t>
      </w:r>
    </w:p>
    <w:p w:rsidR="007C2C70" w:rsidRPr="00F96C0C" w:rsidRDefault="007C2C70" w:rsidP="005231B6">
      <w:pPr>
        <w:spacing w:line="360" w:lineRule="auto"/>
        <w:jc w:val="both"/>
        <w:rPr>
          <w:rFonts w:ascii="Book Antiqua" w:hAnsi="Book Antiqua"/>
        </w:rPr>
      </w:pPr>
      <w:r w:rsidRPr="0065052E">
        <w:rPr>
          <w:rFonts w:ascii="Book Antiqua" w:hAnsi="Book Antiqua"/>
          <w:lang w:val="es-ES"/>
        </w:rPr>
        <w:t>9 </w:t>
      </w:r>
      <w:r w:rsidRPr="0065052E">
        <w:rPr>
          <w:rFonts w:ascii="Book Antiqua" w:hAnsi="Book Antiqua"/>
          <w:b/>
          <w:bCs/>
          <w:lang w:val="es-ES"/>
        </w:rPr>
        <w:t>Shub HA</w:t>
      </w:r>
      <w:r w:rsidRPr="0065052E">
        <w:rPr>
          <w:rFonts w:ascii="Book Antiqua" w:hAnsi="Book Antiqua"/>
          <w:lang w:val="es-ES"/>
        </w:rPr>
        <w:t xml:space="preserve">, Salvati EP, Rubin RJ. </w:t>
      </w:r>
      <w:r w:rsidRPr="00F96C0C">
        <w:rPr>
          <w:rFonts w:ascii="Book Antiqua" w:hAnsi="Book Antiqua"/>
        </w:rPr>
        <w:t>Conservative treatment of anal fissure: an unselected, retrospective and continuous study. </w:t>
      </w:r>
      <w:r w:rsidRPr="00F96C0C">
        <w:rPr>
          <w:rFonts w:ascii="Book Antiqua" w:hAnsi="Book Antiqua"/>
          <w:i/>
          <w:iCs/>
        </w:rPr>
        <w:t>Dis Colon Rectum</w:t>
      </w:r>
      <w:r w:rsidRPr="00F96C0C">
        <w:rPr>
          <w:rFonts w:ascii="Book Antiqua" w:hAnsi="Book Antiqua"/>
        </w:rPr>
        <w:t> </w:t>
      </w:r>
      <w:r w:rsidRPr="00F96C0C">
        <w:rPr>
          <w:rFonts w:ascii="Book Antiqua" w:hAnsi="Book Antiqua"/>
          <w:lang w:eastAsia="zh-CN"/>
        </w:rPr>
        <w:t>1978</w:t>
      </w:r>
      <w:r w:rsidRPr="00F96C0C">
        <w:rPr>
          <w:rFonts w:ascii="Book Antiqua" w:hAnsi="Book Antiqua"/>
        </w:rPr>
        <w:t>; </w:t>
      </w:r>
      <w:r w:rsidRPr="00F96C0C">
        <w:rPr>
          <w:rFonts w:ascii="Book Antiqua" w:hAnsi="Book Antiqua"/>
          <w:b/>
          <w:bCs/>
        </w:rPr>
        <w:t>21</w:t>
      </w:r>
      <w:r w:rsidRPr="00F96C0C">
        <w:rPr>
          <w:rFonts w:ascii="Book Antiqua" w:hAnsi="Book Antiqua"/>
        </w:rPr>
        <w:t>: 582-583 [PMID: 738173]</w:t>
      </w:r>
    </w:p>
    <w:p w:rsidR="007C2C70" w:rsidRPr="00F96C0C" w:rsidRDefault="007C2C70" w:rsidP="005231B6">
      <w:pPr>
        <w:spacing w:line="360" w:lineRule="auto"/>
        <w:jc w:val="both"/>
        <w:rPr>
          <w:rFonts w:ascii="Book Antiqua" w:hAnsi="Book Antiqua"/>
        </w:rPr>
      </w:pPr>
      <w:r w:rsidRPr="00F96C0C">
        <w:rPr>
          <w:rFonts w:ascii="Book Antiqua" w:hAnsi="Book Antiqua"/>
        </w:rPr>
        <w:t>10 </w:t>
      </w:r>
      <w:r w:rsidRPr="00F96C0C">
        <w:rPr>
          <w:rFonts w:ascii="Book Antiqua" w:hAnsi="Book Antiqua"/>
          <w:b/>
          <w:bCs/>
        </w:rPr>
        <w:t>Hananel N</w:t>
      </w:r>
      <w:r w:rsidRPr="00F96C0C">
        <w:rPr>
          <w:rFonts w:ascii="Book Antiqua" w:hAnsi="Book Antiqua"/>
        </w:rPr>
        <w:t>, Gordon PH. Re-examination of clinical manifestations and response to therapy of fissure-in-ano. </w:t>
      </w:r>
      <w:r w:rsidRPr="00F96C0C">
        <w:rPr>
          <w:rFonts w:ascii="Book Antiqua" w:hAnsi="Book Antiqua"/>
          <w:i/>
          <w:iCs/>
        </w:rPr>
        <w:t>Dis Colon Rectum</w:t>
      </w:r>
      <w:r w:rsidRPr="00F96C0C">
        <w:rPr>
          <w:rFonts w:ascii="Book Antiqua" w:hAnsi="Book Antiqua"/>
        </w:rPr>
        <w:t> 1997; </w:t>
      </w:r>
      <w:r w:rsidRPr="00F96C0C">
        <w:rPr>
          <w:rFonts w:ascii="Book Antiqua" w:hAnsi="Book Antiqua"/>
          <w:b/>
          <w:bCs/>
        </w:rPr>
        <w:t>40</w:t>
      </w:r>
      <w:r w:rsidRPr="00F96C0C">
        <w:rPr>
          <w:rFonts w:ascii="Book Antiqua" w:hAnsi="Book Antiqua"/>
        </w:rPr>
        <w:t>: 229-233 [PMID: 9075762]</w:t>
      </w:r>
    </w:p>
    <w:p w:rsidR="007C2C70" w:rsidRPr="00F96C0C" w:rsidRDefault="007C2C70" w:rsidP="005231B6">
      <w:pPr>
        <w:spacing w:line="360" w:lineRule="auto"/>
        <w:jc w:val="both"/>
        <w:rPr>
          <w:rFonts w:ascii="Book Antiqua" w:hAnsi="Book Antiqua"/>
        </w:rPr>
      </w:pPr>
      <w:r w:rsidRPr="00F96C0C">
        <w:rPr>
          <w:rFonts w:ascii="Book Antiqua" w:hAnsi="Book Antiqua"/>
        </w:rPr>
        <w:t xml:space="preserve">11 </w:t>
      </w:r>
      <w:r w:rsidRPr="00F96C0C">
        <w:rPr>
          <w:rFonts w:ascii="Book Antiqua" w:hAnsi="Book Antiqua"/>
          <w:b/>
        </w:rPr>
        <w:t>Allen LV Jr</w:t>
      </w:r>
      <w:r w:rsidRPr="00F96C0C">
        <w:rPr>
          <w:rFonts w:ascii="Book Antiqua" w:hAnsi="Book Antiqua"/>
        </w:rPr>
        <w:t xml:space="preserve">. Diltiazem hydrochloride 2% topical gel. </w:t>
      </w:r>
      <w:r w:rsidRPr="00F96C0C">
        <w:rPr>
          <w:rFonts w:ascii="Book Antiqua" w:hAnsi="Book Antiqua"/>
          <w:i/>
        </w:rPr>
        <w:t>Int J Pharm Compd</w:t>
      </w:r>
      <w:r w:rsidRPr="00F96C0C">
        <w:rPr>
          <w:rFonts w:ascii="Book Antiqua" w:hAnsi="Book Antiqua"/>
        </w:rPr>
        <w:t xml:space="preserve"> 2002; </w:t>
      </w:r>
      <w:r w:rsidRPr="00F96C0C">
        <w:rPr>
          <w:rFonts w:ascii="Book Antiqua" w:hAnsi="Book Antiqua"/>
          <w:b/>
        </w:rPr>
        <w:t>6</w:t>
      </w:r>
      <w:r w:rsidRPr="00F96C0C">
        <w:rPr>
          <w:rFonts w:ascii="Book Antiqua" w:hAnsi="Book Antiqua"/>
        </w:rPr>
        <w:t>: 43</w:t>
      </w:r>
    </w:p>
    <w:p w:rsidR="007C2C70" w:rsidRPr="00F96C0C" w:rsidRDefault="007C2C70" w:rsidP="005231B6">
      <w:pPr>
        <w:spacing w:line="360" w:lineRule="auto"/>
        <w:jc w:val="both"/>
        <w:rPr>
          <w:rFonts w:ascii="Book Antiqua" w:hAnsi="Book Antiqua"/>
        </w:rPr>
      </w:pPr>
      <w:r w:rsidRPr="00F96C0C">
        <w:rPr>
          <w:rFonts w:ascii="Book Antiqua" w:hAnsi="Book Antiqua"/>
        </w:rPr>
        <w:t>12 </w:t>
      </w:r>
      <w:r w:rsidRPr="00F96C0C">
        <w:rPr>
          <w:rFonts w:ascii="Book Antiqua" w:hAnsi="Book Antiqua"/>
          <w:b/>
          <w:bCs/>
        </w:rPr>
        <w:t>Azarnoff DL</w:t>
      </w:r>
      <w:r w:rsidRPr="00F96C0C">
        <w:rPr>
          <w:rFonts w:ascii="Book Antiqua" w:hAnsi="Book Antiqua"/>
        </w:rPr>
        <w:t>, Lee JC, Lee C, Chandler J, Karlin D. Quality of extemporaneously compounded nitroglycerin ointment. </w:t>
      </w:r>
      <w:r w:rsidRPr="00F96C0C">
        <w:rPr>
          <w:rFonts w:ascii="Book Antiqua" w:hAnsi="Book Antiqua"/>
          <w:i/>
          <w:iCs/>
        </w:rPr>
        <w:t>Dis Colon Rectum</w:t>
      </w:r>
      <w:r w:rsidRPr="00F96C0C">
        <w:rPr>
          <w:rFonts w:ascii="Book Antiqua" w:hAnsi="Book Antiqua"/>
        </w:rPr>
        <w:t> 2007; </w:t>
      </w:r>
      <w:r w:rsidRPr="00F96C0C">
        <w:rPr>
          <w:rFonts w:ascii="Book Antiqua" w:hAnsi="Book Antiqua"/>
          <w:b/>
          <w:bCs/>
        </w:rPr>
        <w:t>50</w:t>
      </w:r>
      <w:r w:rsidRPr="00F96C0C">
        <w:rPr>
          <w:rFonts w:ascii="Book Antiqua" w:hAnsi="Book Antiqua"/>
        </w:rPr>
        <w:t>: 509-516 [PMID: 17476559]</w:t>
      </w:r>
    </w:p>
    <w:p w:rsidR="007C2C70" w:rsidRPr="00F96C0C" w:rsidRDefault="007C2C70" w:rsidP="005231B6">
      <w:pPr>
        <w:spacing w:line="360" w:lineRule="auto"/>
        <w:jc w:val="both"/>
        <w:rPr>
          <w:rFonts w:ascii="Book Antiqua" w:hAnsi="Book Antiqua"/>
        </w:rPr>
      </w:pPr>
      <w:r w:rsidRPr="00F96C0C">
        <w:rPr>
          <w:rFonts w:ascii="Book Antiqua" w:hAnsi="Book Antiqua"/>
        </w:rPr>
        <w:lastRenderedPageBreak/>
        <w:t xml:space="preserve">13 </w:t>
      </w:r>
      <w:r w:rsidRPr="0003515D">
        <w:rPr>
          <w:rFonts w:ascii="Book Antiqua" w:hAnsi="Book Antiqua"/>
          <w:b/>
        </w:rPr>
        <w:t xml:space="preserve">Food and Drug Administration. </w:t>
      </w:r>
      <w:r w:rsidRPr="00F96C0C">
        <w:rPr>
          <w:rFonts w:ascii="Book Antiqua" w:hAnsi="Book Antiqua"/>
        </w:rPr>
        <w:t>2006 Limited FDA survey of compounded drug products. Updated March 22, 2010. Available from: URL: http: //www.fda.gov/Drugs/GuidanceComplianceRegulatoryInformation/PharmacyCompounding/ucm204237.htm</w:t>
      </w:r>
    </w:p>
    <w:p w:rsidR="007C2C70" w:rsidRPr="00F96C0C" w:rsidRDefault="007C2C70" w:rsidP="005231B6">
      <w:pPr>
        <w:spacing w:line="360" w:lineRule="auto"/>
        <w:jc w:val="both"/>
        <w:rPr>
          <w:rFonts w:ascii="Book Antiqua" w:hAnsi="Book Antiqua"/>
        </w:rPr>
      </w:pPr>
      <w:r w:rsidRPr="00F96C0C">
        <w:rPr>
          <w:rFonts w:ascii="Book Antiqua" w:hAnsi="Book Antiqua"/>
        </w:rPr>
        <w:t>14 </w:t>
      </w:r>
      <w:r w:rsidRPr="00F96C0C">
        <w:rPr>
          <w:rFonts w:ascii="Book Antiqua" w:hAnsi="Book Antiqua"/>
          <w:b/>
          <w:bCs/>
        </w:rPr>
        <w:t>Shrivastava UK</w:t>
      </w:r>
      <w:r w:rsidRPr="00F96C0C">
        <w:rPr>
          <w:rFonts w:ascii="Book Antiqua" w:hAnsi="Book Antiqua"/>
        </w:rPr>
        <w:t>, Jain BK, Kumar P, Saifee Y. A comparison of the effects of diltiazem and glyceryl trinitrate ointment in the treatment of chronic anal fissure: a randomized clinical trial. </w:t>
      </w:r>
      <w:r w:rsidRPr="00F96C0C">
        <w:rPr>
          <w:rFonts w:ascii="Book Antiqua" w:hAnsi="Book Antiqua"/>
          <w:i/>
          <w:iCs/>
        </w:rPr>
        <w:t>Surg Today</w:t>
      </w:r>
      <w:r w:rsidRPr="00F96C0C">
        <w:rPr>
          <w:rFonts w:ascii="Book Antiqua" w:hAnsi="Book Antiqua"/>
        </w:rPr>
        <w:t> 2007; </w:t>
      </w:r>
      <w:r w:rsidRPr="00F96C0C">
        <w:rPr>
          <w:rFonts w:ascii="Book Antiqua" w:hAnsi="Book Antiqua"/>
          <w:b/>
          <w:bCs/>
        </w:rPr>
        <w:t>37</w:t>
      </w:r>
      <w:r w:rsidRPr="00F96C0C">
        <w:rPr>
          <w:rFonts w:ascii="Book Antiqua" w:hAnsi="Book Antiqua"/>
        </w:rPr>
        <w:t>: 482-485 [PMID: 17522765]</w:t>
      </w:r>
    </w:p>
    <w:p w:rsidR="007C2C70" w:rsidRPr="00F96C0C" w:rsidRDefault="007C2C70" w:rsidP="005231B6">
      <w:pPr>
        <w:spacing w:line="360" w:lineRule="auto"/>
        <w:jc w:val="both"/>
        <w:rPr>
          <w:rFonts w:ascii="Book Antiqua" w:hAnsi="Book Antiqua"/>
        </w:rPr>
      </w:pPr>
      <w:r w:rsidRPr="00F96C0C">
        <w:rPr>
          <w:rFonts w:ascii="Book Antiqua" w:hAnsi="Book Antiqua"/>
        </w:rPr>
        <w:t>15 </w:t>
      </w:r>
      <w:r w:rsidRPr="00F96C0C">
        <w:rPr>
          <w:rFonts w:ascii="Book Antiqua" w:hAnsi="Book Antiqua"/>
          <w:b/>
          <w:bCs/>
        </w:rPr>
        <w:t>Sanei B</w:t>
      </w:r>
      <w:r w:rsidRPr="00F96C0C">
        <w:rPr>
          <w:rFonts w:ascii="Book Antiqua" w:hAnsi="Book Antiqua"/>
        </w:rPr>
        <w:t>, Mahmoodieh M, Masoudpour H. Comparison of topical glyceryl trinitrate with diltiazem ointment for the treatment of chronic anal fissure: a randomized clinical trial. </w:t>
      </w:r>
      <w:r w:rsidRPr="00F96C0C">
        <w:rPr>
          <w:rFonts w:ascii="Book Antiqua" w:hAnsi="Book Antiqua"/>
          <w:i/>
          <w:iCs/>
        </w:rPr>
        <w:t>Acta Chir Belg</w:t>
      </w:r>
      <w:r w:rsidRPr="00F96C0C">
        <w:rPr>
          <w:rFonts w:ascii="Book Antiqua" w:hAnsi="Book Antiqua"/>
        </w:rPr>
        <w:t> </w:t>
      </w:r>
      <w:r w:rsidRPr="00F96C0C">
        <w:rPr>
          <w:rFonts w:ascii="Book Antiqua" w:hAnsi="Book Antiqua"/>
          <w:lang w:eastAsia="zh-CN"/>
        </w:rPr>
        <w:t>2009</w:t>
      </w:r>
      <w:r w:rsidRPr="00F96C0C">
        <w:rPr>
          <w:rFonts w:ascii="Book Antiqua" w:hAnsi="Book Antiqua"/>
        </w:rPr>
        <w:t>; </w:t>
      </w:r>
      <w:r w:rsidRPr="00F96C0C">
        <w:rPr>
          <w:rFonts w:ascii="Book Antiqua" w:hAnsi="Book Antiqua"/>
          <w:b/>
          <w:bCs/>
        </w:rPr>
        <w:t>109</w:t>
      </w:r>
      <w:r w:rsidRPr="00F96C0C">
        <w:rPr>
          <w:rFonts w:ascii="Book Antiqua" w:hAnsi="Book Antiqua"/>
        </w:rPr>
        <w:t>: 727-730 [PMID: 20184056]</w:t>
      </w:r>
    </w:p>
    <w:p w:rsidR="007C2C70" w:rsidRPr="00F96C0C" w:rsidRDefault="007C2C70" w:rsidP="005231B6">
      <w:pPr>
        <w:spacing w:line="360" w:lineRule="auto"/>
        <w:jc w:val="both"/>
        <w:rPr>
          <w:rFonts w:ascii="Book Antiqua" w:hAnsi="Book Antiqua"/>
        </w:rPr>
      </w:pPr>
      <w:r w:rsidRPr="00F96C0C">
        <w:rPr>
          <w:rFonts w:ascii="Book Antiqua" w:hAnsi="Book Antiqua"/>
        </w:rPr>
        <w:t>16 </w:t>
      </w:r>
      <w:r w:rsidRPr="00F96C0C">
        <w:rPr>
          <w:rFonts w:ascii="Book Antiqua" w:hAnsi="Book Antiqua"/>
          <w:b/>
          <w:bCs/>
        </w:rPr>
        <w:t>Ala S</w:t>
      </w:r>
      <w:r w:rsidRPr="00F96C0C">
        <w:rPr>
          <w:rFonts w:ascii="Book Antiqua" w:hAnsi="Book Antiqua"/>
        </w:rPr>
        <w:t>, Saeedi M, Hadianamrei R, Ghorbanian A. Topical diltiazem vs. topical glyceril trinitrate in the treatment of chronic anal fissure: a prospective, randomized, double-blind trial. </w:t>
      </w:r>
      <w:r w:rsidRPr="00F96C0C">
        <w:rPr>
          <w:rFonts w:ascii="Book Antiqua" w:hAnsi="Book Antiqua"/>
          <w:i/>
          <w:iCs/>
        </w:rPr>
        <w:t>Acta Gastroenterol Belg</w:t>
      </w:r>
      <w:r w:rsidRPr="00F96C0C">
        <w:rPr>
          <w:rFonts w:ascii="Book Antiqua" w:hAnsi="Book Antiqua"/>
        </w:rPr>
        <w:t> 2012; </w:t>
      </w:r>
      <w:r w:rsidRPr="00F96C0C">
        <w:rPr>
          <w:rFonts w:ascii="Book Antiqua" w:hAnsi="Book Antiqua"/>
          <w:b/>
          <w:bCs/>
        </w:rPr>
        <w:t>75</w:t>
      </w:r>
      <w:r w:rsidRPr="00F96C0C">
        <w:rPr>
          <w:rFonts w:ascii="Book Antiqua" w:hAnsi="Book Antiqua"/>
        </w:rPr>
        <w:t>: 438-442 [PMID: 23402088]</w:t>
      </w:r>
    </w:p>
    <w:p w:rsidR="007C2C70" w:rsidRPr="00F96C0C" w:rsidRDefault="007C2C70" w:rsidP="005231B6">
      <w:pPr>
        <w:spacing w:line="360" w:lineRule="auto"/>
        <w:jc w:val="both"/>
        <w:rPr>
          <w:rFonts w:ascii="Book Antiqua" w:hAnsi="Book Antiqua"/>
        </w:rPr>
      </w:pPr>
      <w:r w:rsidRPr="00F96C0C">
        <w:rPr>
          <w:rFonts w:ascii="Book Antiqua" w:hAnsi="Book Antiqua"/>
        </w:rPr>
        <w:t>17 </w:t>
      </w:r>
      <w:r w:rsidRPr="00F96C0C">
        <w:rPr>
          <w:rFonts w:ascii="Book Antiqua" w:hAnsi="Book Antiqua"/>
          <w:b/>
          <w:bCs/>
        </w:rPr>
        <w:t>Nash GF</w:t>
      </w:r>
      <w:r w:rsidRPr="00F96C0C">
        <w:rPr>
          <w:rFonts w:ascii="Book Antiqua" w:hAnsi="Book Antiqua"/>
        </w:rPr>
        <w:t>, Kapoor K, Saeb-Parsy K, Kunanadam T, Dawson PM. The long-term results of diltiazem treatment for anal fissure. </w:t>
      </w:r>
      <w:r w:rsidRPr="00F96C0C">
        <w:rPr>
          <w:rFonts w:ascii="Book Antiqua" w:hAnsi="Book Antiqua"/>
          <w:i/>
          <w:iCs/>
        </w:rPr>
        <w:t>Int J Clin Pract</w:t>
      </w:r>
      <w:r w:rsidRPr="00F96C0C">
        <w:rPr>
          <w:rFonts w:ascii="Book Antiqua" w:hAnsi="Book Antiqua"/>
        </w:rPr>
        <w:t> 2006; </w:t>
      </w:r>
      <w:r w:rsidRPr="00F96C0C">
        <w:rPr>
          <w:rFonts w:ascii="Book Antiqua" w:hAnsi="Book Antiqua"/>
          <w:b/>
          <w:bCs/>
        </w:rPr>
        <w:t>60</w:t>
      </w:r>
      <w:r w:rsidRPr="00F96C0C">
        <w:rPr>
          <w:rFonts w:ascii="Book Antiqua" w:hAnsi="Book Antiqua"/>
        </w:rPr>
        <w:t>: 1411-1413 [PMID: 16911570]</w:t>
      </w:r>
    </w:p>
    <w:p w:rsidR="007C2C70" w:rsidRPr="00F96C0C" w:rsidRDefault="007C2C70" w:rsidP="005231B6">
      <w:pPr>
        <w:spacing w:line="360" w:lineRule="auto"/>
        <w:jc w:val="both"/>
        <w:rPr>
          <w:rFonts w:ascii="Book Antiqua" w:hAnsi="Book Antiqua"/>
        </w:rPr>
      </w:pPr>
      <w:r w:rsidRPr="00F96C0C">
        <w:rPr>
          <w:rFonts w:ascii="Book Antiqua" w:hAnsi="Book Antiqua"/>
        </w:rPr>
        <w:t>18 </w:t>
      </w:r>
      <w:r w:rsidRPr="00F96C0C">
        <w:rPr>
          <w:rFonts w:ascii="Book Antiqua" w:hAnsi="Book Antiqua"/>
          <w:b/>
          <w:bCs/>
        </w:rPr>
        <w:t>Jawaid M</w:t>
      </w:r>
      <w:r w:rsidRPr="00F96C0C">
        <w:rPr>
          <w:rFonts w:ascii="Book Antiqua" w:hAnsi="Book Antiqua"/>
        </w:rPr>
        <w:t>, Masood Z, Salim M. Topical diltiazem hydrochloride and glyceryl trinitrate in the treatment of chronic anal fissure. </w:t>
      </w:r>
      <w:r w:rsidRPr="00F96C0C">
        <w:rPr>
          <w:rFonts w:ascii="Book Antiqua" w:hAnsi="Book Antiqua"/>
          <w:i/>
          <w:iCs/>
        </w:rPr>
        <w:t>J Coll Physicians Surg Pak</w:t>
      </w:r>
      <w:r w:rsidRPr="00F96C0C">
        <w:rPr>
          <w:rFonts w:ascii="Book Antiqua" w:hAnsi="Book Antiqua"/>
        </w:rPr>
        <w:t> 2009; </w:t>
      </w:r>
      <w:r w:rsidRPr="00F96C0C">
        <w:rPr>
          <w:rFonts w:ascii="Book Antiqua" w:hAnsi="Book Antiqua"/>
          <w:b/>
          <w:bCs/>
        </w:rPr>
        <w:t>19</w:t>
      </w:r>
      <w:r w:rsidRPr="00F96C0C">
        <w:rPr>
          <w:rFonts w:ascii="Book Antiqua" w:hAnsi="Book Antiqua"/>
        </w:rPr>
        <w:t>: 614-617 [PMID: 19811710 DOI: 10.2009/JCPSP.614617]</w:t>
      </w:r>
    </w:p>
    <w:p w:rsidR="007C2C70" w:rsidRPr="00F96C0C" w:rsidRDefault="007C2C70" w:rsidP="005231B6">
      <w:pPr>
        <w:spacing w:line="360" w:lineRule="auto"/>
        <w:jc w:val="both"/>
        <w:rPr>
          <w:rFonts w:ascii="Book Antiqua" w:hAnsi="Book Antiqua"/>
        </w:rPr>
      </w:pPr>
      <w:r w:rsidRPr="00F96C0C">
        <w:rPr>
          <w:rFonts w:ascii="Book Antiqua" w:hAnsi="Book Antiqua"/>
        </w:rPr>
        <w:t>19 </w:t>
      </w:r>
      <w:r w:rsidRPr="00F96C0C">
        <w:rPr>
          <w:rFonts w:ascii="Book Antiqua" w:hAnsi="Book Antiqua"/>
          <w:b/>
          <w:bCs/>
        </w:rPr>
        <w:t>Tsunoda A</w:t>
      </w:r>
      <w:r w:rsidRPr="00F96C0C">
        <w:rPr>
          <w:rFonts w:ascii="Book Antiqua" w:hAnsi="Book Antiqua"/>
        </w:rPr>
        <w:t>, Kashiwagura Y, Hirose K, Sasaki T, Kano N. Quality of life in patients with chronic anal fissure after topical treatment with diltiazem. </w:t>
      </w:r>
      <w:r w:rsidRPr="00F96C0C">
        <w:rPr>
          <w:rFonts w:ascii="Book Antiqua" w:hAnsi="Book Antiqua"/>
          <w:i/>
          <w:iCs/>
        </w:rPr>
        <w:t>World J Gastrointest Surg</w:t>
      </w:r>
      <w:r w:rsidRPr="00F96C0C">
        <w:rPr>
          <w:rFonts w:ascii="Book Antiqua" w:hAnsi="Book Antiqua"/>
        </w:rPr>
        <w:t> 2012; </w:t>
      </w:r>
      <w:r w:rsidRPr="00F96C0C">
        <w:rPr>
          <w:rFonts w:ascii="Book Antiqua" w:hAnsi="Book Antiqua"/>
          <w:b/>
          <w:bCs/>
        </w:rPr>
        <w:t>4</w:t>
      </w:r>
      <w:r w:rsidRPr="00F96C0C">
        <w:rPr>
          <w:rFonts w:ascii="Book Antiqua" w:hAnsi="Book Antiqua"/>
        </w:rPr>
        <w:t>: 251-255 [PMID: 23494072 DOI: 10.4240/wjgs.v4.i11.251]</w:t>
      </w:r>
    </w:p>
    <w:p w:rsidR="007C2C70" w:rsidRPr="00F96C0C" w:rsidRDefault="007C2C70" w:rsidP="005231B6">
      <w:pPr>
        <w:spacing w:line="360" w:lineRule="auto"/>
        <w:jc w:val="both"/>
        <w:rPr>
          <w:rFonts w:ascii="Book Antiqua" w:hAnsi="Book Antiqua"/>
        </w:rPr>
      </w:pPr>
      <w:r w:rsidRPr="00F96C0C">
        <w:rPr>
          <w:rFonts w:ascii="Book Antiqua" w:hAnsi="Book Antiqua"/>
        </w:rPr>
        <w:t>20 </w:t>
      </w:r>
      <w:r w:rsidRPr="00F96C0C">
        <w:rPr>
          <w:rFonts w:ascii="Book Antiqua" w:hAnsi="Book Antiqua"/>
          <w:b/>
          <w:bCs/>
        </w:rPr>
        <w:t>Sajid MS</w:t>
      </w:r>
      <w:r w:rsidRPr="00F96C0C">
        <w:rPr>
          <w:rFonts w:ascii="Book Antiqua" w:hAnsi="Book Antiqua"/>
        </w:rPr>
        <w:t>, Whitehouse PA, Sains P, Baig MK. Systematic review of the use of topical diltiazem compared with glyceryltrinitrate for the nonoperative management of chronic anal fissure. </w:t>
      </w:r>
      <w:r w:rsidRPr="00F96C0C">
        <w:rPr>
          <w:rFonts w:ascii="Book Antiqua" w:hAnsi="Book Antiqua"/>
          <w:i/>
          <w:iCs/>
        </w:rPr>
        <w:t>Colorectal Dis</w:t>
      </w:r>
      <w:r w:rsidRPr="00F96C0C">
        <w:rPr>
          <w:rFonts w:ascii="Book Antiqua" w:hAnsi="Book Antiqua"/>
        </w:rPr>
        <w:t> 2013; </w:t>
      </w:r>
      <w:r w:rsidRPr="00F96C0C">
        <w:rPr>
          <w:rFonts w:ascii="Book Antiqua" w:hAnsi="Book Antiqua"/>
          <w:b/>
          <w:bCs/>
        </w:rPr>
        <w:t>15</w:t>
      </w:r>
      <w:r w:rsidRPr="00F96C0C">
        <w:rPr>
          <w:rFonts w:ascii="Book Antiqua" w:hAnsi="Book Antiqua"/>
        </w:rPr>
        <w:t>: 19-26 [PMID: 22487078 DOI: 10.1111/j.1463-1318.2012.03042.x]</w:t>
      </w:r>
    </w:p>
    <w:p w:rsidR="007C2C70" w:rsidRPr="00F96C0C" w:rsidRDefault="007C2C70" w:rsidP="005231B6">
      <w:pPr>
        <w:spacing w:line="360" w:lineRule="auto"/>
        <w:jc w:val="both"/>
        <w:rPr>
          <w:rFonts w:ascii="Book Antiqua" w:hAnsi="Book Antiqua"/>
        </w:rPr>
      </w:pPr>
      <w:r w:rsidRPr="00F96C0C">
        <w:rPr>
          <w:rFonts w:ascii="Book Antiqua" w:hAnsi="Book Antiqua"/>
        </w:rPr>
        <w:t>21 </w:t>
      </w:r>
      <w:r w:rsidRPr="00F96C0C">
        <w:rPr>
          <w:rFonts w:ascii="Book Antiqua" w:hAnsi="Book Antiqua"/>
          <w:b/>
          <w:bCs/>
        </w:rPr>
        <w:t>Hashmi F</w:t>
      </w:r>
      <w:r w:rsidRPr="00F96C0C">
        <w:rPr>
          <w:rFonts w:ascii="Book Antiqua" w:hAnsi="Book Antiqua"/>
        </w:rPr>
        <w:t>, Siddiqui FG. Diltiazem (2%) versus glyceryl trinitrate cream (0.2%) in the management of chronic anal fissure. </w:t>
      </w:r>
      <w:r w:rsidRPr="00F96C0C">
        <w:rPr>
          <w:rFonts w:ascii="Book Antiqua" w:hAnsi="Book Antiqua"/>
          <w:i/>
          <w:iCs/>
        </w:rPr>
        <w:t>J Coll Physicians Surg Pak</w:t>
      </w:r>
      <w:r w:rsidRPr="00F96C0C">
        <w:rPr>
          <w:rFonts w:ascii="Book Antiqua" w:hAnsi="Book Antiqua"/>
        </w:rPr>
        <w:t> 2009; </w:t>
      </w:r>
      <w:r w:rsidRPr="00F96C0C">
        <w:rPr>
          <w:rFonts w:ascii="Book Antiqua" w:hAnsi="Book Antiqua"/>
          <w:b/>
          <w:bCs/>
        </w:rPr>
        <w:t>19</w:t>
      </w:r>
      <w:r w:rsidRPr="00F96C0C">
        <w:rPr>
          <w:rFonts w:ascii="Book Antiqua" w:hAnsi="Book Antiqua"/>
        </w:rPr>
        <w:t>: 750-753 [PMID: 20042150]</w:t>
      </w:r>
    </w:p>
    <w:p w:rsidR="007C2C70" w:rsidRPr="00F96C0C" w:rsidRDefault="007C2C70" w:rsidP="005231B6">
      <w:pPr>
        <w:spacing w:line="360" w:lineRule="auto"/>
        <w:jc w:val="both"/>
        <w:rPr>
          <w:rFonts w:ascii="Book Antiqua" w:hAnsi="Book Antiqua"/>
        </w:rPr>
      </w:pPr>
      <w:r w:rsidRPr="00F96C0C">
        <w:rPr>
          <w:rFonts w:ascii="Book Antiqua" w:hAnsi="Book Antiqua"/>
        </w:rPr>
        <w:lastRenderedPageBreak/>
        <w:t xml:space="preserve">22 </w:t>
      </w:r>
      <w:r w:rsidRPr="0003515D">
        <w:rPr>
          <w:rFonts w:ascii="Book Antiqua" w:hAnsi="Book Antiqua"/>
          <w:b/>
        </w:rPr>
        <w:t>Food and Drug Administration.</w:t>
      </w:r>
      <w:r w:rsidRPr="00F96C0C">
        <w:rPr>
          <w:rFonts w:ascii="Book Antiqua" w:hAnsi="Book Antiqua"/>
        </w:rPr>
        <w:t xml:space="preserve"> New England Compounding Center (NECC) potentially contaminated medication: Fungal meningitis outbreak. October 6, 2012. Available from: URL: http: //www.fda.gov/safety/medwatch/safetyinformation/safetyalertsforhumanmedicalproducts/ucm322849.htm</w:t>
      </w:r>
    </w:p>
    <w:p w:rsidR="007C2C70" w:rsidRPr="00F96C0C" w:rsidRDefault="007C2C70" w:rsidP="005231B6">
      <w:pPr>
        <w:spacing w:line="360" w:lineRule="auto"/>
        <w:jc w:val="both"/>
        <w:rPr>
          <w:rFonts w:ascii="Book Antiqua" w:hAnsi="Book Antiqua"/>
        </w:rPr>
      </w:pPr>
      <w:r w:rsidRPr="00F96C0C">
        <w:rPr>
          <w:rFonts w:ascii="Book Antiqua" w:hAnsi="Book Antiqua"/>
        </w:rPr>
        <w:t xml:space="preserve">23 </w:t>
      </w:r>
      <w:r w:rsidRPr="0003515D">
        <w:rPr>
          <w:rFonts w:ascii="Book Antiqua" w:hAnsi="Book Antiqua"/>
          <w:b/>
        </w:rPr>
        <w:t xml:space="preserve">Centers for Disease Control and Prevention. </w:t>
      </w:r>
      <w:r w:rsidRPr="00F96C0C">
        <w:rPr>
          <w:rFonts w:ascii="Book Antiqua" w:hAnsi="Book Antiqua"/>
        </w:rPr>
        <w:t>Multistate outbreak of fungal infection associated with injection of methylprednisolone acetate solution from a single compounding pharmacy-United States, 2012. </w:t>
      </w:r>
      <w:r w:rsidRPr="00F96C0C">
        <w:rPr>
          <w:rFonts w:ascii="Book Antiqua" w:hAnsi="Book Antiqua"/>
          <w:i/>
          <w:iCs/>
        </w:rPr>
        <w:t>MMWR Morb Mortal Wkly Rep</w:t>
      </w:r>
      <w:r w:rsidRPr="00F96C0C">
        <w:rPr>
          <w:rFonts w:ascii="Book Antiqua" w:hAnsi="Book Antiqua"/>
        </w:rPr>
        <w:t> 2012; </w:t>
      </w:r>
      <w:r w:rsidRPr="00F96C0C">
        <w:rPr>
          <w:rFonts w:ascii="Book Antiqua" w:hAnsi="Book Antiqua"/>
          <w:b/>
          <w:bCs/>
        </w:rPr>
        <w:t>61</w:t>
      </w:r>
      <w:r w:rsidRPr="00F96C0C">
        <w:rPr>
          <w:rFonts w:ascii="Book Antiqua" w:hAnsi="Book Antiqua"/>
        </w:rPr>
        <w:t>: 839-842 [PMID: 23076093]</w:t>
      </w:r>
    </w:p>
    <w:p w:rsidR="007C2C70" w:rsidRPr="00F96C0C" w:rsidRDefault="007C2C70" w:rsidP="005231B6">
      <w:pPr>
        <w:spacing w:line="360" w:lineRule="auto"/>
        <w:jc w:val="both"/>
        <w:rPr>
          <w:rFonts w:ascii="Book Antiqua" w:hAnsi="Book Antiqua"/>
        </w:rPr>
      </w:pPr>
      <w:r w:rsidRPr="00F96C0C">
        <w:rPr>
          <w:rFonts w:ascii="Book Antiqua" w:hAnsi="Book Antiqua"/>
        </w:rPr>
        <w:t>24 </w:t>
      </w:r>
      <w:r w:rsidRPr="00F96C0C">
        <w:rPr>
          <w:rFonts w:ascii="Book Antiqua" w:hAnsi="Book Antiqua"/>
          <w:b/>
          <w:bCs/>
        </w:rPr>
        <w:t>Sellers S</w:t>
      </w:r>
      <w:r w:rsidRPr="00F96C0C">
        <w:rPr>
          <w:rFonts w:ascii="Book Antiqua" w:hAnsi="Book Antiqua"/>
        </w:rPr>
        <w:t>, Utian WH. Pharmacy compounding primer for physicians: prescriber beware. </w:t>
      </w:r>
      <w:r w:rsidRPr="00F96C0C">
        <w:rPr>
          <w:rFonts w:ascii="Book Antiqua" w:hAnsi="Book Antiqua"/>
          <w:i/>
          <w:iCs/>
        </w:rPr>
        <w:t>Drugs</w:t>
      </w:r>
      <w:r w:rsidRPr="00F96C0C">
        <w:rPr>
          <w:rFonts w:ascii="Book Antiqua" w:hAnsi="Book Antiqua"/>
        </w:rPr>
        <w:t> 2012; </w:t>
      </w:r>
      <w:r w:rsidRPr="00F96C0C">
        <w:rPr>
          <w:rFonts w:ascii="Book Antiqua" w:hAnsi="Book Antiqua"/>
          <w:b/>
          <w:bCs/>
        </w:rPr>
        <w:t>72</w:t>
      </w:r>
      <w:r w:rsidRPr="00F96C0C">
        <w:rPr>
          <w:rFonts w:ascii="Book Antiqua" w:hAnsi="Book Antiqua"/>
        </w:rPr>
        <w:t>: 2043-2050 [PMID: 23039281]</w:t>
      </w:r>
    </w:p>
    <w:p w:rsidR="007C2C70" w:rsidRPr="00F96C0C" w:rsidRDefault="007C2C70" w:rsidP="005231B6">
      <w:pPr>
        <w:spacing w:line="360" w:lineRule="auto"/>
        <w:jc w:val="both"/>
        <w:rPr>
          <w:rFonts w:ascii="Book Antiqua" w:hAnsi="Book Antiqua"/>
        </w:rPr>
      </w:pPr>
      <w:r w:rsidRPr="00F96C0C">
        <w:rPr>
          <w:rFonts w:ascii="Book Antiqua" w:hAnsi="Book Antiqua"/>
        </w:rPr>
        <w:t>25 </w:t>
      </w:r>
      <w:r w:rsidRPr="00F96C0C">
        <w:rPr>
          <w:rFonts w:ascii="Book Antiqua" w:hAnsi="Book Antiqua"/>
          <w:b/>
          <w:bCs/>
        </w:rPr>
        <w:t>Gudeman J</w:t>
      </w:r>
      <w:r w:rsidRPr="00F96C0C">
        <w:rPr>
          <w:rFonts w:ascii="Book Antiqua" w:hAnsi="Book Antiqua"/>
        </w:rPr>
        <w:t>, Jozwiakowski M, Chollet J, Randell M. Potential risks of pharmacy compounding. </w:t>
      </w:r>
      <w:r w:rsidRPr="00F96C0C">
        <w:rPr>
          <w:rFonts w:ascii="Book Antiqua" w:hAnsi="Book Antiqua"/>
          <w:i/>
          <w:iCs/>
        </w:rPr>
        <w:t>Drugs R D</w:t>
      </w:r>
      <w:r w:rsidRPr="00F96C0C">
        <w:rPr>
          <w:rFonts w:ascii="Book Antiqua" w:hAnsi="Book Antiqua"/>
        </w:rPr>
        <w:t> 2013; </w:t>
      </w:r>
      <w:r w:rsidRPr="00F96C0C">
        <w:rPr>
          <w:rFonts w:ascii="Book Antiqua" w:hAnsi="Book Antiqua"/>
          <w:b/>
          <w:bCs/>
        </w:rPr>
        <w:t>13</w:t>
      </w:r>
      <w:r w:rsidRPr="00F96C0C">
        <w:rPr>
          <w:rFonts w:ascii="Book Antiqua" w:hAnsi="Book Antiqua"/>
        </w:rPr>
        <w:t>: 1-8 [PMID: 23526368 DOI: 10.1007/s40268-013-0005-9]</w:t>
      </w:r>
    </w:p>
    <w:p w:rsidR="007C2C70" w:rsidRPr="00F96C0C" w:rsidRDefault="007C2C70" w:rsidP="005231B6">
      <w:pPr>
        <w:spacing w:line="360" w:lineRule="auto"/>
        <w:jc w:val="both"/>
        <w:rPr>
          <w:rFonts w:ascii="Book Antiqua" w:hAnsi="Book Antiqua"/>
        </w:rPr>
      </w:pPr>
      <w:r w:rsidRPr="00F96C0C">
        <w:rPr>
          <w:rFonts w:ascii="Book Antiqua" w:hAnsi="Book Antiqua"/>
        </w:rPr>
        <w:t>26 </w:t>
      </w:r>
      <w:r w:rsidRPr="00F96C0C">
        <w:rPr>
          <w:rFonts w:ascii="Book Antiqua" w:hAnsi="Book Antiqua"/>
          <w:b/>
          <w:bCs/>
        </w:rPr>
        <w:t>Pergolizzi JV</w:t>
      </w:r>
      <w:r w:rsidRPr="00F96C0C">
        <w:rPr>
          <w:rFonts w:ascii="Book Antiqua" w:hAnsi="Book Antiqua"/>
        </w:rPr>
        <w:t>, Labhsetwar S, LeQuang JA. Compounding pharmacies: who is in charge? </w:t>
      </w:r>
      <w:r w:rsidRPr="00F96C0C">
        <w:rPr>
          <w:rFonts w:ascii="Book Antiqua" w:hAnsi="Book Antiqua"/>
          <w:i/>
          <w:iCs/>
        </w:rPr>
        <w:t>Pain Pract</w:t>
      </w:r>
      <w:r w:rsidRPr="00F96C0C">
        <w:rPr>
          <w:rFonts w:ascii="Book Antiqua" w:hAnsi="Book Antiqua"/>
        </w:rPr>
        <w:t> 2013; </w:t>
      </w:r>
      <w:r w:rsidRPr="00F96C0C">
        <w:rPr>
          <w:rFonts w:ascii="Book Antiqua" w:hAnsi="Book Antiqua"/>
          <w:b/>
          <w:bCs/>
        </w:rPr>
        <w:t>13</w:t>
      </w:r>
      <w:r w:rsidRPr="00F96C0C">
        <w:rPr>
          <w:rFonts w:ascii="Book Antiqua" w:hAnsi="Book Antiqua"/>
        </w:rPr>
        <w:t>: 253-257 [PMID: 23350709 DOI: 10.1111/papr.12033]</w:t>
      </w:r>
    </w:p>
    <w:p w:rsidR="007C2C70" w:rsidRPr="00F96C0C" w:rsidRDefault="007C2C70" w:rsidP="0057535B">
      <w:pPr>
        <w:wordWrap w:val="0"/>
        <w:jc w:val="right"/>
        <w:rPr>
          <w:rFonts w:ascii="Book Antiqua" w:hAnsi="Book Antiqua"/>
          <w:b/>
          <w:bCs/>
          <w:lang w:eastAsia="zh-CN"/>
        </w:rPr>
      </w:pPr>
      <w:bookmarkStart w:id="0" w:name="OLE_LINK12"/>
      <w:r w:rsidRPr="00F96C0C">
        <w:rPr>
          <w:rStyle w:val="af0"/>
          <w:rFonts w:ascii="Book Antiqua" w:hAnsi="Book Antiqua" w:cs="Arial"/>
          <w:noProof/>
        </w:rPr>
        <w:t>P-Reviewer</w:t>
      </w:r>
      <w:bookmarkEnd w:id="0"/>
      <w:r w:rsidRPr="00F96C0C">
        <w:rPr>
          <w:rStyle w:val="af0"/>
          <w:rFonts w:ascii="Book Antiqua" w:hAnsi="Book Antiqua" w:cs="Arial"/>
          <w:noProof/>
        </w:rPr>
        <w:t>s</w:t>
      </w:r>
      <w:r w:rsidRPr="00F96C0C">
        <w:rPr>
          <w:rStyle w:val="af0"/>
          <w:rFonts w:ascii="Book Antiqua" w:hAnsi="Book Antiqua" w:cs="Arial"/>
          <w:noProof/>
          <w:lang w:eastAsia="zh-CN"/>
        </w:rPr>
        <w:t xml:space="preserve"> </w:t>
      </w:r>
      <w:r w:rsidRPr="0003515D">
        <w:rPr>
          <w:rStyle w:val="af0"/>
          <w:rFonts w:ascii="Book Antiqua" w:hAnsi="Book Antiqua" w:cs="Arial"/>
          <w:b w:val="0"/>
          <w:noProof/>
        </w:rPr>
        <w:t>Kim YJ</w:t>
      </w:r>
      <w:r w:rsidRPr="0003515D">
        <w:rPr>
          <w:rFonts w:ascii="Book Antiqua" w:hAnsi="Book Antiqua"/>
          <w:b/>
          <w:bCs/>
          <w:lang w:eastAsia="zh-CN"/>
        </w:rPr>
        <w:t xml:space="preserve">, </w:t>
      </w:r>
      <w:r w:rsidRPr="00F96C0C">
        <w:rPr>
          <w:rFonts w:ascii="Book Antiqua" w:hAnsi="Book Antiqua"/>
          <w:bCs/>
          <w:lang w:eastAsia="zh-CN"/>
        </w:rPr>
        <w:t xml:space="preserve">Madalinski M </w:t>
      </w:r>
      <w:r w:rsidRPr="00F96C0C">
        <w:rPr>
          <w:rFonts w:ascii="Book Antiqua" w:hAnsi="Book Antiqua"/>
          <w:b/>
          <w:bCs/>
        </w:rPr>
        <w:t>S-Editor</w:t>
      </w:r>
      <w:r w:rsidRPr="00F96C0C">
        <w:rPr>
          <w:rFonts w:ascii="Book Antiqua" w:hAnsi="Book Antiqua"/>
          <w:b/>
          <w:bCs/>
          <w:lang w:eastAsia="zh-CN"/>
        </w:rPr>
        <w:t xml:space="preserve"> </w:t>
      </w:r>
      <w:r w:rsidRPr="00F96C0C">
        <w:rPr>
          <w:rFonts w:ascii="Book Antiqua" w:hAnsi="Book Antiqua"/>
          <w:bCs/>
          <w:lang w:eastAsia="zh-CN"/>
        </w:rPr>
        <w:t>Zhai HH</w:t>
      </w:r>
    </w:p>
    <w:p w:rsidR="007C2C70" w:rsidRPr="00F96C0C" w:rsidRDefault="007C2C70" w:rsidP="0057535B">
      <w:pPr>
        <w:jc w:val="right"/>
        <w:rPr>
          <w:rFonts w:ascii="Book Antiqua" w:hAnsi="Book Antiqua"/>
          <w:noProof/>
          <w:lang w:val="en-CA" w:eastAsia="zh-CN"/>
        </w:rPr>
      </w:pPr>
      <w:r w:rsidRPr="00F96C0C">
        <w:rPr>
          <w:rFonts w:ascii="Book Antiqua" w:hAnsi="Book Antiqua"/>
          <w:b/>
          <w:bCs/>
        </w:rPr>
        <w:t>L-Editor   E-Editor</w:t>
      </w:r>
    </w:p>
    <w:p w:rsidR="007C2C70" w:rsidRPr="00F96C0C" w:rsidRDefault="007C2C70" w:rsidP="005231B6">
      <w:pPr>
        <w:spacing w:line="360" w:lineRule="auto"/>
        <w:jc w:val="both"/>
        <w:rPr>
          <w:rFonts w:ascii="Book Antiqua" w:hAnsi="Book Antiqua"/>
        </w:rPr>
      </w:pPr>
    </w:p>
    <w:p w:rsidR="007C2C70" w:rsidRPr="00F96C0C" w:rsidRDefault="007C2C70" w:rsidP="006C2448">
      <w:pPr>
        <w:jc w:val="both"/>
        <w:rPr>
          <w:rFonts w:ascii="Book Antiqua" w:hAnsi="Book Antiqua"/>
        </w:rPr>
      </w:pPr>
    </w:p>
    <w:p w:rsidR="007C2C70" w:rsidRPr="00F96C0C" w:rsidRDefault="007C2C70" w:rsidP="002676AA">
      <w:pPr>
        <w:jc w:val="both"/>
        <w:rPr>
          <w:rFonts w:ascii="Book Antiqua" w:hAnsi="Book Antiqua"/>
          <w:b/>
        </w:rPr>
      </w:pPr>
      <w:r w:rsidRPr="00F96C0C">
        <w:rPr>
          <w:rFonts w:ascii="Book Antiqua" w:hAnsi="Book Antiqua"/>
          <w:b/>
        </w:rPr>
        <w:t>Figure 1 Mean potency of diltiazem content  in each of the 3 samples from each of the 12 different retail pharmacies</w:t>
      </w:r>
      <w:r w:rsidRPr="00F96C0C">
        <w:rPr>
          <w:rFonts w:ascii="Book Antiqua" w:hAnsi="Book Antiqua"/>
          <w:b/>
          <w:lang w:eastAsia="zh-CN"/>
        </w:rPr>
        <w:t xml:space="preserve"> </w:t>
      </w:r>
      <w:r w:rsidRPr="0003515D">
        <w:rPr>
          <w:rFonts w:ascii="Book Antiqua" w:hAnsi="Book Antiqua"/>
          <w:b/>
          <w:lang w:eastAsia="zh-CN"/>
        </w:rPr>
        <w:t>(</w:t>
      </w:r>
      <w:r w:rsidRPr="0003515D">
        <w:rPr>
          <w:rFonts w:ascii="Book Antiqua" w:hAnsi="Book Antiqua"/>
          <w:b/>
        </w:rPr>
        <w:t>mean</w:t>
      </w:r>
      <w:r w:rsidRPr="0003515D">
        <w:rPr>
          <w:rFonts w:ascii="Book Antiqua" w:hAnsi="Book Antiqua"/>
          <w:b/>
          <w:lang w:eastAsia="zh-CN"/>
        </w:rPr>
        <w:t xml:space="preserve"> </w:t>
      </w:r>
      <w:r w:rsidRPr="0003515D">
        <w:rPr>
          <w:rFonts w:ascii="Book Antiqua" w:hAnsi="Book Antiqua"/>
          <w:b/>
        </w:rPr>
        <w:t>± SD</w:t>
      </w:r>
      <w:r w:rsidRPr="0003515D">
        <w:rPr>
          <w:rFonts w:ascii="Book Antiqua" w:hAnsi="Book Antiqua"/>
          <w:b/>
          <w:lang w:eastAsia="zh-CN"/>
        </w:rPr>
        <w:t>)</w:t>
      </w:r>
      <w:r w:rsidRPr="00F96C0C">
        <w:rPr>
          <w:rFonts w:ascii="Book Antiqua" w:hAnsi="Book Antiqua"/>
          <w:b/>
        </w:rPr>
        <w:t>.</w:t>
      </w:r>
    </w:p>
    <w:p w:rsidR="007C2C70" w:rsidRPr="00F96C0C" w:rsidRDefault="007C2C70" w:rsidP="002676AA">
      <w:pPr>
        <w:jc w:val="both"/>
        <w:rPr>
          <w:rFonts w:ascii="Book Antiqua" w:hAnsi="Book Antiqua"/>
        </w:rPr>
      </w:pPr>
    </w:p>
    <w:p w:rsidR="007C2C70" w:rsidRPr="00F96C0C" w:rsidRDefault="00A31343" w:rsidP="002676AA">
      <w:pPr>
        <w:jc w:val="both"/>
        <w:rPr>
          <w:rFonts w:ascii="Book Antiqua" w:hAnsi="Book Antiqua"/>
          <w:noProof/>
        </w:rPr>
      </w:pPr>
      <w:r>
        <w:rPr>
          <w:rFonts w:ascii="Book Antiqua" w:hAnsi="Book Antiqua"/>
          <w:noProof/>
          <w:lang w:eastAsia="zh-CN"/>
        </w:rPr>
        <w:lastRenderedPageBreak/>
        <w:drawing>
          <wp:inline distT="0" distB="0" distL="0" distR="0">
            <wp:extent cx="5932805" cy="34747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3474720"/>
                    </a:xfrm>
                    <a:prstGeom prst="rect">
                      <a:avLst/>
                    </a:prstGeom>
                    <a:noFill/>
                    <a:ln>
                      <a:noFill/>
                    </a:ln>
                  </pic:spPr>
                </pic:pic>
              </a:graphicData>
            </a:graphic>
          </wp:inline>
        </w:drawing>
      </w:r>
    </w:p>
    <w:p w:rsidR="007C2C70" w:rsidRPr="00F96C0C" w:rsidRDefault="007C2C70" w:rsidP="002676AA">
      <w:pPr>
        <w:jc w:val="both"/>
        <w:rPr>
          <w:rFonts w:ascii="Book Antiqua" w:hAnsi="Book Antiqua"/>
        </w:rPr>
      </w:pPr>
    </w:p>
    <w:p w:rsidR="007C2C70" w:rsidRPr="00F96C0C" w:rsidRDefault="007C2C70" w:rsidP="002676AA">
      <w:pPr>
        <w:jc w:val="both"/>
        <w:rPr>
          <w:rFonts w:ascii="Book Antiqua" w:hAnsi="Book Antiqua"/>
        </w:rPr>
      </w:pPr>
    </w:p>
    <w:p w:rsidR="007C2C70" w:rsidRPr="00F96C0C" w:rsidRDefault="007C2C70" w:rsidP="006C2448">
      <w:pPr>
        <w:jc w:val="both"/>
        <w:rPr>
          <w:rFonts w:ascii="Book Antiqua" w:hAnsi="Book Antiqua"/>
        </w:rPr>
        <w:sectPr w:rsidR="007C2C70" w:rsidRPr="00F96C0C">
          <w:headerReference w:type="default" r:id="rId11"/>
          <w:pgSz w:w="12240" w:h="15840"/>
          <w:pgMar w:top="1440" w:right="1440" w:bottom="1440" w:left="1440" w:header="720" w:footer="720" w:gutter="0"/>
          <w:cols w:space="720"/>
          <w:docGrid w:linePitch="360"/>
        </w:sectPr>
      </w:pPr>
    </w:p>
    <w:p w:rsidR="007C2C70" w:rsidRPr="00F96C0C" w:rsidRDefault="007C2C70" w:rsidP="006C2448">
      <w:pPr>
        <w:jc w:val="both"/>
        <w:rPr>
          <w:rFonts w:ascii="Book Antiqua" w:hAnsi="Book Antiqua"/>
          <w:lang w:eastAsia="zh-CN"/>
        </w:rPr>
      </w:pPr>
      <w:r w:rsidRPr="00F96C0C">
        <w:rPr>
          <w:rFonts w:ascii="Book Antiqua" w:hAnsi="Book Antiqua"/>
          <w:b/>
        </w:rPr>
        <w:lastRenderedPageBreak/>
        <w:t>Table 1 Potency at prespecified locations of compounded preparati</w:t>
      </w:r>
      <w:bookmarkStart w:id="1" w:name="_GoBack"/>
      <w:bookmarkEnd w:id="1"/>
      <w:r w:rsidRPr="00F96C0C">
        <w:rPr>
          <w:rFonts w:ascii="Book Antiqua" w:hAnsi="Book Antiqua"/>
          <w:b/>
        </w:rPr>
        <w:t>ons of topical 2% diltiazem that lacked content uniformity</w:t>
      </w:r>
    </w:p>
    <w:tbl>
      <w:tblPr>
        <w:tblW w:w="5000" w:type="pct"/>
        <w:tblInd w:w="-106" w:type="dxa"/>
        <w:tblBorders>
          <w:top w:val="single" w:sz="4" w:space="0" w:color="auto"/>
          <w:bottom w:val="single" w:sz="4" w:space="0" w:color="auto"/>
          <w:insideH w:val="single" w:sz="4" w:space="0" w:color="auto"/>
        </w:tblBorders>
        <w:tblLook w:val="0000" w:firstRow="0" w:lastRow="0" w:firstColumn="0" w:lastColumn="0" w:noHBand="0" w:noVBand="0"/>
      </w:tblPr>
      <w:tblGrid>
        <w:gridCol w:w="1531"/>
        <w:gridCol w:w="914"/>
        <w:gridCol w:w="804"/>
        <w:gridCol w:w="914"/>
        <w:gridCol w:w="817"/>
        <w:gridCol w:w="817"/>
        <w:gridCol w:w="817"/>
        <w:gridCol w:w="817"/>
        <w:gridCol w:w="817"/>
        <w:gridCol w:w="817"/>
        <w:gridCol w:w="838"/>
        <w:gridCol w:w="838"/>
        <w:gridCol w:w="838"/>
        <w:gridCol w:w="796"/>
        <w:gridCol w:w="801"/>
      </w:tblGrid>
      <w:tr w:rsidR="007C2C70" w:rsidRPr="00F96C0C" w:rsidTr="004B5267">
        <w:trPr>
          <w:cantSplit/>
          <w:trHeight w:val="1203"/>
        </w:trPr>
        <w:tc>
          <w:tcPr>
            <w:tcW w:w="581" w:type="pct"/>
            <w:vMerge w:val="restart"/>
            <w:tcBorders>
              <w:bottom w:val="nil"/>
            </w:tcBorders>
          </w:tcPr>
          <w:p w:rsidR="007C2C70" w:rsidRPr="00F96C0C" w:rsidRDefault="007C2C70" w:rsidP="006C2448">
            <w:pPr>
              <w:jc w:val="both"/>
              <w:rPr>
                <w:rFonts w:ascii="Book Antiqua" w:hAnsi="Book Antiqua"/>
              </w:rPr>
            </w:pPr>
          </w:p>
          <w:p w:rsidR="007C2C70" w:rsidRPr="00F96C0C" w:rsidRDefault="007C2C70" w:rsidP="006C2448">
            <w:pPr>
              <w:jc w:val="both"/>
              <w:rPr>
                <w:rFonts w:ascii="Book Antiqua" w:hAnsi="Book Antiqua"/>
              </w:rPr>
            </w:pPr>
          </w:p>
          <w:p w:rsidR="007C2C70" w:rsidRPr="00F96C0C" w:rsidRDefault="007C2C70" w:rsidP="005231B6">
            <w:pPr>
              <w:jc w:val="both"/>
              <w:rPr>
                <w:rFonts w:ascii="Book Antiqua" w:hAnsi="Book Antiqua"/>
                <w:vertAlign w:val="superscript"/>
                <w:lang w:eastAsia="zh-CN"/>
              </w:rPr>
            </w:pPr>
            <w:r w:rsidRPr="00F96C0C">
              <w:rPr>
                <w:rFonts w:ascii="Book Antiqua" w:hAnsi="Book Antiqua"/>
              </w:rPr>
              <w:t>Sample location</w:t>
            </w:r>
            <w:r w:rsidRPr="00F96C0C">
              <w:rPr>
                <w:rFonts w:ascii="Book Antiqua" w:hAnsi="Book Antiqua"/>
                <w:vertAlign w:val="superscript"/>
                <w:lang w:eastAsia="zh-CN"/>
              </w:rPr>
              <w:t>1</w:t>
            </w:r>
          </w:p>
        </w:tc>
        <w:tc>
          <w:tcPr>
            <w:tcW w:w="4419" w:type="pct"/>
            <w:gridSpan w:val="14"/>
          </w:tcPr>
          <w:p w:rsidR="007C2C70" w:rsidRPr="0003515D" w:rsidRDefault="007C2C70" w:rsidP="00561A89">
            <w:pPr>
              <w:jc w:val="both"/>
              <w:rPr>
                <w:rFonts w:ascii="Book Antiqua" w:hAnsi="Book Antiqua"/>
                <w:lang w:eastAsia="zh-CN"/>
              </w:rPr>
            </w:pPr>
            <w:r w:rsidRPr="00F96C0C">
              <w:rPr>
                <w:rFonts w:ascii="Book Antiqua" w:hAnsi="Book Antiqua"/>
              </w:rPr>
              <w:t>Percentage of label claim</w:t>
            </w:r>
            <w:r w:rsidRPr="00F96C0C">
              <w:rPr>
                <w:rFonts w:ascii="Book Antiqua" w:hAnsi="Book Antiqua"/>
                <w:lang w:eastAsia="zh-CN"/>
              </w:rPr>
              <w:t xml:space="preserve"> (</w:t>
            </w:r>
            <w:r w:rsidRPr="00F96C0C">
              <w:rPr>
                <w:rFonts w:ascii="Book Antiqua" w:hAnsi="Book Antiqua"/>
              </w:rPr>
              <w:t>prescription number, type of packaging</w:t>
            </w:r>
            <w:r w:rsidRPr="00F96C0C">
              <w:rPr>
                <w:rFonts w:ascii="Book Antiqua" w:hAnsi="Book Antiqua"/>
                <w:lang w:eastAsia="zh-CN"/>
              </w:rPr>
              <w:t>) (%)</w:t>
            </w:r>
          </w:p>
        </w:tc>
      </w:tr>
      <w:tr w:rsidR="007C2C70" w:rsidRPr="00F96C0C" w:rsidTr="00561A89">
        <w:trPr>
          <w:cantSplit/>
          <w:trHeight w:val="210"/>
        </w:trPr>
        <w:tc>
          <w:tcPr>
            <w:tcW w:w="581" w:type="pct"/>
            <w:vMerge/>
            <w:tcBorders>
              <w:top w:val="nil"/>
              <w:bottom w:val="nil"/>
            </w:tcBorders>
          </w:tcPr>
          <w:p w:rsidR="007C2C70" w:rsidRPr="00F96C0C" w:rsidRDefault="007C2C70" w:rsidP="006C2448">
            <w:pPr>
              <w:jc w:val="both"/>
              <w:rPr>
                <w:rFonts w:ascii="Book Antiqua" w:hAnsi="Book Antiqua"/>
              </w:rPr>
            </w:pPr>
          </w:p>
        </w:tc>
        <w:tc>
          <w:tcPr>
            <w:tcW w:w="4419" w:type="pct"/>
            <w:gridSpan w:val="14"/>
            <w:tcBorders>
              <w:bottom w:val="nil"/>
            </w:tcBorders>
          </w:tcPr>
          <w:p w:rsidR="007C2C70" w:rsidRPr="00F96C0C" w:rsidRDefault="007C2C70" w:rsidP="006C2448">
            <w:pPr>
              <w:jc w:val="both"/>
              <w:rPr>
                <w:rFonts w:ascii="Book Antiqua" w:hAnsi="Book Antiqua"/>
              </w:rPr>
            </w:pPr>
          </w:p>
        </w:tc>
      </w:tr>
      <w:tr w:rsidR="007C2C70" w:rsidRPr="00F96C0C" w:rsidTr="005231B6">
        <w:trPr>
          <w:cantSplit/>
        </w:trPr>
        <w:tc>
          <w:tcPr>
            <w:tcW w:w="581" w:type="pct"/>
            <w:vMerge/>
            <w:tcBorders>
              <w:top w:val="nil"/>
            </w:tcBorders>
          </w:tcPr>
          <w:p w:rsidR="007C2C70" w:rsidRPr="00F96C0C" w:rsidRDefault="007C2C70" w:rsidP="006C2448">
            <w:pPr>
              <w:jc w:val="both"/>
              <w:rPr>
                <w:rFonts w:ascii="Book Antiqua" w:hAnsi="Book Antiqua"/>
              </w:rPr>
            </w:pPr>
          </w:p>
        </w:tc>
        <w:tc>
          <w:tcPr>
            <w:tcW w:w="347"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 jar</w:t>
            </w:r>
          </w:p>
        </w:tc>
        <w:tc>
          <w:tcPr>
            <w:tcW w:w="305"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 jar</w:t>
            </w:r>
          </w:p>
        </w:tc>
        <w:tc>
          <w:tcPr>
            <w:tcW w:w="347"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4, jar</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10, jar</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11, jar</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14, jar</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19, jar</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20, jar</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25, jar</w:t>
            </w:r>
          </w:p>
        </w:tc>
        <w:tc>
          <w:tcPr>
            <w:tcW w:w="318"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26, jar</w:t>
            </w:r>
          </w:p>
        </w:tc>
        <w:tc>
          <w:tcPr>
            <w:tcW w:w="318"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27, jar</w:t>
            </w:r>
          </w:p>
        </w:tc>
        <w:tc>
          <w:tcPr>
            <w:tcW w:w="318"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28, jar</w:t>
            </w:r>
          </w:p>
        </w:tc>
        <w:tc>
          <w:tcPr>
            <w:tcW w:w="302"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32, tube</w:t>
            </w:r>
          </w:p>
        </w:tc>
        <w:tc>
          <w:tcPr>
            <w:tcW w:w="304"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33, tube</w:t>
            </w:r>
          </w:p>
        </w:tc>
      </w:tr>
      <w:tr w:rsidR="007C2C70" w:rsidRPr="00F96C0C" w:rsidTr="0034601F">
        <w:tc>
          <w:tcPr>
            <w:tcW w:w="581"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Location 1</w:t>
            </w:r>
          </w:p>
        </w:tc>
        <w:tc>
          <w:tcPr>
            <w:tcW w:w="347"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111.9</w:t>
            </w:r>
          </w:p>
        </w:tc>
        <w:tc>
          <w:tcPr>
            <w:tcW w:w="305"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110.8</w:t>
            </w:r>
          </w:p>
        </w:tc>
        <w:tc>
          <w:tcPr>
            <w:tcW w:w="347"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102.9</w:t>
            </w:r>
          </w:p>
        </w:tc>
        <w:tc>
          <w:tcPr>
            <w:tcW w:w="310"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97.5</w:t>
            </w:r>
          </w:p>
        </w:tc>
        <w:tc>
          <w:tcPr>
            <w:tcW w:w="310"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126.0</w:t>
            </w:r>
          </w:p>
        </w:tc>
        <w:tc>
          <w:tcPr>
            <w:tcW w:w="310"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83.3</w:t>
            </w:r>
          </w:p>
        </w:tc>
        <w:tc>
          <w:tcPr>
            <w:tcW w:w="310"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100.2</w:t>
            </w:r>
          </w:p>
        </w:tc>
        <w:tc>
          <w:tcPr>
            <w:tcW w:w="310"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71.4</w:t>
            </w:r>
          </w:p>
        </w:tc>
        <w:tc>
          <w:tcPr>
            <w:tcW w:w="310"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73.0</w:t>
            </w:r>
          </w:p>
        </w:tc>
        <w:tc>
          <w:tcPr>
            <w:tcW w:w="318"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39.9</w:t>
            </w:r>
          </w:p>
        </w:tc>
        <w:tc>
          <w:tcPr>
            <w:tcW w:w="318"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94.8</w:t>
            </w:r>
          </w:p>
        </w:tc>
        <w:tc>
          <w:tcPr>
            <w:tcW w:w="318"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83.8</w:t>
            </w:r>
          </w:p>
        </w:tc>
        <w:tc>
          <w:tcPr>
            <w:tcW w:w="302"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44.3</w:t>
            </w:r>
          </w:p>
        </w:tc>
        <w:tc>
          <w:tcPr>
            <w:tcW w:w="304" w:type="pct"/>
            <w:tcBorders>
              <w:bottom w:val="nil"/>
            </w:tcBorders>
          </w:tcPr>
          <w:p w:rsidR="007C2C70" w:rsidRPr="00F96C0C" w:rsidRDefault="007C2C70" w:rsidP="006C2448">
            <w:pPr>
              <w:jc w:val="both"/>
              <w:rPr>
                <w:rFonts w:ascii="Book Antiqua" w:hAnsi="Book Antiqua"/>
              </w:rPr>
            </w:pPr>
            <w:r w:rsidRPr="00F96C0C">
              <w:rPr>
                <w:rFonts w:ascii="Book Antiqua" w:hAnsi="Book Antiqua"/>
              </w:rPr>
              <w:t>67.4</w:t>
            </w:r>
          </w:p>
        </w:tc>
      </w:tr>
      <w:tr w:rsidR="007C2C70" w:rsidRPr="00F96C0C" w:rsidTr="0034601F">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Location 2</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108.7</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114.2</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95.7</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98.0</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117.8</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73.1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99.3</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20.9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58.7</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74.2</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68.9</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66.5</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15.1</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83.4</w:t>
            </w:r>
          </w:p>
        </w:tc>
      </w:tr>
      <w:tr w:rsidR="007C2C70" w:rsidRPr="00F96C0C" w:rsidTr="0034601F">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Location 3</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142.1</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112.0</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100.6</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101.1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144.9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93.4</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91.2</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82.3</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67.3</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52.1</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63.4</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81.1</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16.8</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80.7</w:t>
            </w:r>
          </w:p>
        </w:tc>
      </w:tr>
      <w:tr w:rsidR="007C2C70" w:rsidRPr="00F96C0C" w:rsidTr="0034601F">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Location 4</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149.1</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145.5</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99.8</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100.9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117.1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72.4</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99.9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81.8</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64.9</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76.1</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57.7</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82.9</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33.8</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87.9</w:t>
            </w:r>
          </w:p>
        </w:tc>
      </w:tr>
      <w:tr w:rsidR="007C2C70" w:rsidRPr="00F96C0C" w:rsidTr="0034601F">
        <w:trPr>
          <w:trHeight w:val="440"/>
        </w:trPr>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Location 5</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110.6</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106.5</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109.0</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92.9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107.4</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112.4</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95.9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69.2</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63.2</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67.9</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54.3</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71.5</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67.7</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81.5</w:t>
            </w:r>
          </w:p>
        </w:tc>
      </w:tr>
      <w:tr w:rsidR="007C2C70" w:rsidRPr="00F96C0C" w:rsidTr="0034601F">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Location 6</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106.7</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99.9</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97.1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90.9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116.1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161.1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97.3</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81.3</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59.5</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65.8</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51.5</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65.4</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29.4</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79.3</w:t>
            </w:r>
          </w:p>
        </w:tc>
      </w:tr>
      <w:tr w:rsidR="007C2C70" w:rsidRPr="00F96C0C" w:rsidTr="0034601F">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Location 7</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110.8</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103.8</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100.8</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85.9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121.2</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211.2</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77.8</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79.9</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55.2</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72.0</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56.1</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65.6</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42.0</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83.0</w:t>
            </w:r>
          </w:p>
        </w:tc>
      </w:tr>
      <w:tr w:rsidR="007C2C70" w:rsidRPr="00F96C0C" w:rsidTr="0034601F">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Location 8</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111.7</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107.8</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231.7</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89.2</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120.6</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220.8</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91.0</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82.1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57.6</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70.6</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52.8</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65.6</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29.4</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90.7</w:t>
            </w:r>
          </w:p>
        </w:tc>
      </w:tr>
      <w:tr w:rsidR="007C2C70" w:rsidRPr="00F96C0C" w:rsidTr="0034601F">
        <w:tc>
          <w:tcPr>
            <w:tcW w:w="581"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lastRenderedPageBreak/>
              <w:t>Average</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119.0</w:t>
            </w:r>
          </w:p>
        </w:tc>
        <w:tc>
          <w:tcPr>
            <w:tcW w:w="305"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112.6</w:t>
            </w:r>
          </w:p>
        </w:tc>
        <w:tc>
          <w:tcPr>
            <w:tcW w:w="347"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117.2</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94.6</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121.4</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128.5</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94.1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71.1</w:t>
            </w:r>
          </w:p>
        </w:tc>
        <w:tc>
          <w:tcPr>
            <w:tcW w:w="310"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62.4</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64.8</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62.4</w:t>
            </w:r>
          </w:p>
        </w:tc>
        <w:tc>
          <w:tcPr>
            <w:tcW w:w="318"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72.8</w:t>
            </w:r>
          </w:p>
        </w:tc>
        <w:tc>
          <w:tcPr>
            <w:tcW w:w="302"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34.8</w:t>
            </w:r>
          </w:p>
        </w:tc>
        <w:tc>
          <w:tcPr>
            <w:tcW w:w="304" w:type="pct"/>
            <w:tcBorders>
              <w:top w:val="nil"/>
              <w:bottom w:val="nil"/>
            </w:tcBorders>
          </w:tcPr>
          <w:p w:rsidR="007C2C70" w:rsidRPr="00F96C0C" w:rsidRDefault="007C2C70" w:rsidP="006C2448">
            <w:pPr>
              <w:jc w:val="both"/>
              <w:rPr>
                <w:rFonts w:ascii="Book Antiqua" w:hAnsi="Book Antiqua"/>
              </w:rPr>
            </w:pPr>
            <w:r w:rsidRPr="00F96C0C">
              <w:rPr>
                <w:rFonts w:ascii="Book Antiqua" w:hAnsi="Book Antiqua"/>
              </w:rPr>
              <w:t>81.7</w:t>
            </w:r>
          </w:p>
        </w:tc>
      </w:tr>
      <w:tr w:rsidR="007C2C70" w:rsidRPr="00F96C0C" w:rsidTr="0034601F">
        <w:tc>
          <w:tcPr>
            <w:tcW w:w="581" w:type="pct"/>
            <w:tcBorders>
              <w:top w:val="nil"/>
            </w:tcBorders>
          </w:tcPr>
          <w:p w:rsidR="007C2C70" w:rsidRPr="00F96C0C" w:rsidRDefault="007C2C70" w:rsidP="008504A9">
            <w:pPr>
              <w:jc w:val="both"/>
              <w:rPr>
                <w:rFonts w:ascii="Book Antiqua" w:hAnsi="Book Antiqua"/>
                <w:lang w:eastAsia="zh-CN"/>
              </w:rPr>
            </w:pPr>
            <w:r w:rsidRPr="00F96C0C">
              <w:rPr>
                <w:rFonts w:ascii="Book Antiqua" w:hAnsi="Book Antiqua"/>
              </w:rPr>
              <w:t>Relative SD</w:t>
            </w:r>
          </w:p>
        </w:tc>
        <w:tc>
          <w:tcPr>
            <w:tcW w:w="347"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14.0</w:t>
            </w:r>
          </w:p>
        </w:tc>
        <w:tc>
          <w:tcPr>
            <w:tcW w:w="305"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12.5</w:t>
            </w:r>
          </w:p>
        </w:tc>
        <w:tc>
          <w:tcPr>
            <w:tcW w:w="347"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39.6</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6.0</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9.0</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46.9</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8.0</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29.4</w:t>
            </w:r>
          </w:p>
        </w:tc>
        <w:tc>
          <w:tcPr>
            <w:tcW w:w="310"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9.4</w:t>
            </w:r>
          </w:p>
        </w:tc>
        <w:tc>
          <w:tcPr>
            <w:tcW w:w="318"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19.2</w:t>
            </w:r>
          </w:p>
        </w:tc>
        <w:tc>
          <w:tcPr>
            <w:tcW w:w="318"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22.9</w:t>
            </w:r>
          </w:p>
        </w:tc>
        <w:tc>
          <w:tcPr>
            <w:tcW w:w="318"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11.5</w:t>
            </w:r>
          </w:p>
        </w:tc>
        <w:tc>
          <w:tcPr>
            <w:tcW w:w="302"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48.5</w:t>
            </w:r>
          </w:p>
        </w:tc>
        <w:tc>
          <w:tcPr>
            <w:tcW w:w="304" w:type="pct"/>
            <w:tcBorders>
              <w:top w:val="nil"/>
            </w:tcBorders>
          </w:tcPr>
          <w:p w:rsidR="007C2C70" w:rsidRPr="00F96C0C" w:rsidRDefault="007C2C70" w:rsidP="006C2448">
            <w:pPr>
              <w:jc w:val="both"/>
              <w:rPr>
                <w:rFonts w:ascii="Book Antiqua" w:hAnsi="Book Antiqua"/>
              </w:rPr>
            </w:pPr>
            <w:r w:rsidRPr="00F96C0C">
              <w:rPr>
                <w:rFonts w:ascii="Book Antiqua" w:hAnsi="Book Antiqua"/>
              </w:rPr>
              <w:t>8.5</w:t>
            </w:r>
          </w:p>
        </w:tc>
      </w:tr>
    </w:tbl>
    <w:p w:rsidR="007C2C70" w:rsidRDefault="007C2C70" w:rsidP="006C2448">
      <w:pPr>
        <w:jc w:val="both"/>
        <w:rPr>
          <w:rFonts w:ascii="Book Antiqua" w:hAnsi="Book Antiqua"/>
          <w:lang w:eastAsia="zh-CN"/>
        </w:rPr>
      </w:pPr>
      <w:r w:rsidRPr="0081154C">
        <w:rPr>
          <w:rFonts w:ascii="Book Antiqua" w:hAnsi="Book Antiqua"/>
          <w:vertAlign w:val="superscript"/>
          <w:lang w:eastAsia="zh-CN"/>
        </w:rPr>
        <w:t>1</w:t>
      </w:r>
      <w:r w:rsidRPr="00F96C0C">
        <w:rPr>
          <w:rFonts w:ascii="Book Antiqua" w:hAnsi="Book Antiqua"/>
        </w:rPr>
        <w:t>Jars</w:t>
      </w:r>
      <w:r w:rsidRPr="00F96C0C">
        <w:rPr>
          <w:rFonts w:ascii="Book Antiqua" w:hAnsi="Book Antiqua"/>
          <w:lang w:eastAsia="zh-CN"/>
        </w:rPr>
        <w:t xml:space="preserve">: </w:t>
      </w:r>
      <w:r w:rsidRPr="00F96C0C">
        <w:rPr>
          <w:rFonts w:ascii="Book Antiqua" w:hAnsi="Book Antiqua"/>
        </w:rPr>
        <w:t>1</w:t>
      </w:r>
      <w:r w:rsidRPr="00F96C0C">
        <w:rPr>
          <w:rFonts w:ascii="Book Antiqua" w:hAnsi="Book Antiqua"/>
          <w:lang w:eastAsia="zh-CN"/>
        </w:rPr>
        <w:t xml:space="preserve">: </w:t>
      </w:r>
      <w:r w:rsidRPr="00F96C0C">
        <w:rPr>
          <w:rFonts w:ascii="Book Antiqua" w:hAnsi="Book Antiqua"/>
        </w:rPr>
        <w:t>top front</w:t>
      </w:r>
      <w:r>
        <w:rPr>
          <w:rFonts w:ascii="Book Antiqua" w:hAnsi="Book Antiqua"/>
          <w:lang w:eastAsia="zh-CN"/>
        </w:rPr>
        <w:t>;</w:t>
      </w:r>
      <w:r w:rsidRPr="00F96C0C">
        <w:rPr>
          <w:rFonts w:ascii="Book Antiqua" w:hAnsi="Book Antiqua"/>
        </w:rPr>
        <w:t xml:space="preserve"> 2</w:t>
      </w:r>
      <w:r w:rsidRPr="00F96C0C">
        <w:rPr>
          <w:rFonts w:ascii="Book Antiqua" w:hAnsi="Book Antiqua"/>
          <w:lang w:eastAsia="zh-CN"/>
        </w:rPr>
        <w:t>:</w:t>
      </w:r>
      <w:r w:rsidRPr="00F96C0C">
        <w:rPr>
          <w:rFonts w:ascii="Book Antiqua" w:hAnsi="Book Antiqua"/>
        </w:rPr>
        <w:t xml:space="preserve"> top left back corner</w:t>
      </w:r>
      <w:r>
        <w:rPr>
          <w:rFonts w:ascii="Book Antiqua" w:hAnsi="Book Antiqua"/>
          <w:lang w:eastAsia="zh-CN"/>
        </w:rPr>
        <w:t>;</w:t>
      </w:r>
      <w:r w:rsidRPr="00F96C0C">
        <w:rPr>
          <w:rFonts w:ascii="Book Antiqua" w:hAnsi="Book Antiqua"/>
        </w:rPr>
        <w:t xml:space="preserve"> 3</w:t>
      </w:r>
      <w:r w:rsidRPr="00F96C0C">
        <w:rPr>
          <w:rFonts w:ascii="Book Antiqua" w:hAnsi="Book Antiqua"/>
          <w:lang w:eastAsia="zh-CN"/>
        </w:rPr>
        <w:t>:</w:t>
      </w:r>
      <w:r w:rsidRPr="00F96C0C">
        <w:rPr>
          <w:rFonts w:ascii="Book Antiqua" w:hAnsi="Book Antiqua"/>
        </w:rPr>
        <w:t xml:space="preserve"> top right back corner</w:t>
      </w:r>
      <w:r>
        <w:rPr>
          <w:rFonts w:ascii="Book Antiqua" w:hAnsi="Book Antiqua"/>
          <w:lang w:eastAsia="zh-CN"/>
        </w:rPr>
        <w:t>;</w:t>
      </w:r>
      <w:r w:rsidRPr="00F96C0C">
        <w:rPr>
          <w:rFonts w:ascii="Book Antiqua" w:hAnsi="Book Antiqua"/>
        </w:rPr>
        <w:t xml:space="preserve"> 4</w:t>
      </w:r>
      <w:r w:rsidRPr="00F96C0C">
        <w:rPr>
          <w:rFonts w:ascii="Book Antiqua" w:hAnsi="Book Antiqua"/>
          <w:lang w:eastAsia="zh-CN"/>
        </w:rPr>
        <w:t>:</w:t>
      </w:r>
      <w:r w:rsidRPr="00F96C0C">
        <w:rPr>
          <w:rFonts w:ascii="Book Antiqua" w:hAnsi="Book Antiqua"/>
        </w:rPr>
        <w:t xml:space="preserve"> top center</w:t>
      </w:r>
      <w:r>
        <w:rPr>
          <w:rFonts w:ascii="Book Antiqua" w:hAnsi="Book Antiqua"/>
          <w:lang w:eastAsia="zh-CN"/>
        </w:rPr>
        <w:t>;</w:t>
      </w:r>
      <w:r w:rsidRPr="00F96C0C">
        <w:rPr>
          <w:rFonts w:ascii="Book Antiqua" w:hAnsi="Book Antiqua"/>
        </w:rPr>
        <w:t xml:space="preserve"> 5</w:t>
      </w:r>
      <w:r w:rsidRPr="00F96C0C">
        <w:rPr>
          <w:rFonts w:ascii="Book Antiqua" w:hAnsi="Book Antiqua"/>
          <w:lang w:eastAsia="zh-CN"/>
        </w:rPr>
        <w:t>:</w:t>
      </w:r>
      <w:r w:rsidRPr="00F96C0C">
        <w:rPr>
          <w:rFonts w:ascii="Book Antiqua" w:hAnsi="Book Antiqua"/>
        </w:rPr>
        <w:t xml:space="preserve"> center of jar</w:t>
      </w:r>
      <w:r>
        <w:rPr>
          <w:rFonts w:ascii="Book Antiqua" w:hAnsi="Book Antiqua"/>
          <w:lang w:eastAsia="zh-CN"/>
        </w:rPr>
        <w:t>;</w:t>
      </w:r>
      <w:r w:rsidRPr="00F96C0C">
        <w:rPr>
          <w:rFonts w:ascii="Book Antiqua" w:hAnsi="Book Antiqua"/>
        </w:rPr>
        <w:t xml:space="preserve"> 6</w:t>
      </w:r>
      <w:r w:rsidRPr="00F96C0C">
        <w:rPr>
          <w:rFonts w:ascii="Book Antiqua" w:hAnsi="Book Antiqua"/>
          <w:lang w:eastAsia="zh-CN"/>
        </w:rPr>
        <w:t xml:space="preserve">: </w:t>
      </w:r>
      <w:r w:rsidRPr="00F96C0C">
        <w:rPr>
          <w:rFonts w:ascii="Book Antiqua" w:hAnsi="Book Antiqua"/>
        </w:rPr>
        <w:t>middle right corner</w:t>
      </w:r>
      <w:r>
        <w:rPr>
          <w:rFonts w:ascii="Book Antiqua" w:hAnsi="Book Antiqua"/>
          <w:lang w:eastAsia="zh-CN"/>
        </w:rPr>
        <w:t>;</w:t>
      </w:r>
      <w:r w:rsidRPr="00F96C0C">
        <w:rPr>
          <w:rFonts w:ascii="Book Antiqua" w:hAnsi="Book Antiqua"/>
        </w:rPr>
        <w:t xml:space="preserve"> 7</w:t>
      </w:r>
      <w:r w:rsidRPr="00F96C0C">
        <w:rPr>
          <w:rFonts w:ascii="Book Antiqua" w:hAnsi="Book Antiqua"/>
          <w:lang w:eastAsia="zh-CN"/>
        </w:rPr>
        <w:t>:</w:t>
      </w:r>
      <w:r w:rsidRPr="00F96C0C">
        <w:rPr>
          <w:rFonts w:ascii="Book Antiqua" w:hAnsi="Book Antiqua"/>
        </w:rPr>
        <w:t xml:space="preserve"> bottom left corner</w:t>
      </w:r>
      <w:r>
        <w:rPr>
          <w:rFonts w:ascii="Book Antiqua" w:hAnsi="Book Antiqua"/>
          <w:lang w:eastAsia="zh-CN"/>
        </w:rPr>
        <w:t>;</w:t>
      </w:r>
      <w:r w:rsidRPr="00F96C0C">
        <w:rPr>
          <w:rFonts w:ascii="Book Antiqua" w:hAnsi="Book Antiqua"/>
        </w:rPr>
        <w:t xml:space="preserve"> 8</w:t>
      </w:r>
      <w:r w:rsidRPr="00F96C0C">
        <w:rPr>
          <w:rFonts w:ascii="Book Antiqua" w:hAnsi="Book Antiqua"/>
          <w:lang w:eastAsia="zh-CN"/>
        </w:rPr>
        <w:t>:</w:t>
      </w:r>
      <w:r w:rsidRPr="00F96C0C">
        <w:rPr>
          <w:rFonts w:ascii="Book Antiqua" w:hAnsi="Book Antiqua"/>
        </w:rPr>
        <w:t xml:space="preserve"> bottom center</w:t>
      </w:r>
      <w:r w:rsidRPr="00F96C0C">
        <w:rPr>
          <w:rFonts w:ascii="Book Antiqua" w:hAnsi="Book Antiqua"/>
          <w:lang w:eastAsia="zh-CN"/>
        </w:rPr>
        <w:t xml:space="preserve">; </w:t>
      </w:r>
      <w:r w:rsidRPr="00F96C0C">
        <w:rPr>
          <w:rFonts w:ascii="Book Antiqua" w:hAnsi="Book Antiqua"/>
        </w:rPr>
        <w:t>Tubes: 1</w:t>
      </w:r>
      <w:r w:rsidRPr="00F96C0C">
        <w:rPr>
          <w:rFonts w:ascii="Book Antiqua" w:hAnsi="Book Antiqua"/>
          <w:lang w:eastAsia="zh-CN"/>
        </w:rPr>
        <w:t>:</w:t>
      </w:r>
      <w:r w:rsidRPr="00F96C0C">
        <w:rPr>
          <w:rFonts w:ascii="Book Antiqua" w:hAnsi="Book Antiqua"/>
        </w:rPr>
        <w:t xml:space="preserve"> top left</w:t>
      </w:r>
      <w:r>
        <w:rPr>
          <w:rFonts w:ascii="Book Antiqua" w:hAnsi="Book Antiqua"/>
          <w:lang w:eastAsia="zh-CN"/>
        </w:rPr>
        <w:t>;</w:t>
      </w:r>
      <w:r w:rsidRPr="00F96C0C">
        <w:rPr>
          <w:rFonts w:ascii="Book Antiqua" w:hAnsi="Book Antiqua"/>
        </w:rPr>
        <w:t xml:space="preserve"> 2</w:t>
      </w:r>
      <w:r w:rsidRPr="00F96C0C">
        <w:rPr>
          <w:rFonts w:ascii="Book Antiqua" w:hAnsi="Book Antiqua"/>
          <w:lang w:eastAsia="zh-CN"/>
        </w:rPr>
        <w:t>:</w:t>
      </w:r>
      <w:r w:rsidRPr="00F96C0C">
        <w:rPr>
          <w:rFonts w:ascii="Book Antiqua" w:hAnsi="Book Antiqua"/>
        </w:rPr>
        <w:t xml:space="preserve"> top right</w:t>
      </w:r>
      <w:r>
        <w:rPr>
          <w:rFonts w:ascii="Book Antiqua" w:hAnsi="Book Antiqua"/>
          <w:lang w:eastAsia="zh-CN"/>
        </w:rPr>
        <w:t>;</w:t>
      </w:r>
      <w:r w:rsidRPr="00F96C0C">
        <w:rPr>
          <w:rFonts w:ascii="Book Antiqua" w:hAnsi="Book Antiqua"/>
        </w:rPr>
        <w:t xml:space="preserve"> 3</w:t>
      </w:r>
      <w:r w:rsidRPr="00F96C0C">
        <w:rPr>
          <w:rFonts w:ascii="Book Antiqua" w:hAnsi="Book Antiqua"/>
          <w:lang w:eastAsia="zh-CN"/>
        </w:rPr>
        <w:t>:</w:t>
      </w:r>
      <w:r w:rsidRPr="00F96C0C">
        <w:rPr>
          <w:rFonts w:ascii="Book Antiqua" w:hAnsi="Book Antiqua"/>
        </w:rPr>
        <w:t xml:space="preserve"> middle left</w:t>
      </w:r>
      <w:r>
        <w:rPr>
          <w:rFonts w:ascii="Book Antiqua" w:hAnsi="Book Antiqua"/>
          <w:lang w:eastAsia="zh-CN"/>
        </w:rPr>
        <w:t>;</w:t>
      </w:r>
      <w:r w:rsidRPr="00F96C0C">
        <w:rPr>
          <w:rFonts w:ascii="Book Antiqua" w:hAnsi="Book Antiqua"/>
        </w:rPr>
        <w:t xml:space="preserve"> 4</w:t>
      </w:r>
      <w:r w:rsidRPr="00F96C0C">
        <w:rPr>
          <w:rFonts w:ascii="Book Antiqua" w:hAnsi="Book Antiqua"/>
          <w:lang w:eastAsia="zh-CN"/>
        </w:rPr>
        <w:t>:</w:t>
      </w:r>
      <w:r w:rsidRPr="00F96C0C">
        <w:rPr>
          <w:rFonts w:ascii="Book Antiqua" w:hAnsi="Book Antiqua"/>
        </w:rPr>
        <w:t xml:space="preserve"> middle right</w:t>
      </w:r>
      <w:r>
        <w:rPr>
          <w:rFonts w:ascii="Book Antiqua" w:hAnsi="Book Antiqua"/>
          <w:lang w:eastAsia="zh-CN"/>
        </w:rPr>
        <w:t>;</w:t>
      </w:r>
      <w:r w:rsidRPr="00F96C0C">
        <w:rPr>
          <w:rFonts w:ascii="Book Antiqua" w:hAnsi="Book Antiqua"/>
        </w:rPr>
        <w:t xml:space="preserve"> 5</w:t>
      </w:r>
      <w:r w:rsidRPr="00F96C0C">
        <w:rPr>
          <w:rFonts w:ascii="Book Antiqua" w:hAnsi="Book Antiqua"/>
          <w:lang w:eastAsia="zh-CN"/>
        </w:rPr>
        <w:t>:</w:t>
      </w:r>
      <w:r w:rsidRPr="00F96C0C">
        <w:rPr>
          <w:rFonts w:ascii="Book Antiqua" w:hAnsi="Book Antiqua"/>
        </w:rPr>
        <w:t xml:space="preserve"> random left</w:t>
      </w:r>
      <w:r>
        <w:rPr>
          <w:rFonts w:ascii="Book Antiqua" w:hAnsi="Book Antiqua"/>
          <w:lang w:eastAsia="zh-CN"/>
        </w:rPr>
        <w:t>;</w:t>
      </w:r>
      <w:r w:rsidRPr="00F96C0C">
        <w:rPr>
          <w:rFonts w:ascii="Book Antiqua" w:hAnsi="Book Antiqua"/>
        </w:rPr>
        <w:t xml:space="preserve"> 6</w:t>
      </w:r>
      <w:r w:rsidRPr="00F96C0C">
        <w:rPr>
          <w:rFonts w:ascii="Book Antiqua" w:hAnsi="Book Antiqua"/>
          <w:lang w:eastAsia="zh-CN"/>
        </w:rPr>
        <w:t>:</w:t>
      </w:r>
      <w:r w:rsidRPr="00F96C0C">
        <w:rPr>
          <w:rFonts w:ascii="Book Antiqua" w:hAnsi="Book Antiqua"/>
        </w:rPr>
        <w:t xml:space="preserve"> random right</w:t>
      </w:r>
      <w:r>
        <w:rPr>
          <w:rFonts w:ascii="Book Antiqua" w:hAnsi="Book Antiqua"/>
          <w:lang w:eastAsia="zh-CN"/>
        </w:rPr>
        <w:t>;</w:t>
      </w:r>
      <w:r w:rsidRPr="00F96C0C">
        <w:rPr>
          <w:rFonts w:ascii="Book Antiqua" w:hAnsi="Book Antiqua"/>
        </w:rPr>
        <w:t xml:space="preserve"> 7</w:t>
      </w:r>
      <w:r w:rsidRPr="00F96C0C">
        <w:rPr>
          <w:rFonts w:ascii="Book Antiqua" w:hAnsi="Book Antiqua"/>
          <w:lang w:eastAsia="zh-CN"/>
        </w:rPr>
        <w:t xml:space="preserve">: </w:t>
      </w:r>
      <w:r w:rsidRPr="00F96C0C">
        <w:rPr>
          <w:rFonts w:ascii="Book Antiqua" w:hAnsi="Book Antiqua"/>
        </w:rPr>
        <w:t>bottom left</w:t>
      </w:r>
      <w:r>
        <w:rPr>
          <w:rFonts w:ascii="Book Antiqua" w:hAnsi="Book Antiqua"/>
          <w:lang w:eastAsia="zh-CN"/>
        </w:rPr>
        <w:t>;</w:t>
      </w:r>
      <w:r w:rsidRPr="00F96C0C">
        <w:rPr>
          <w:rFonts w:ascii="Book Antiqua" w:hAnsi="Book Antiqua"/>
        </w:rPr>
        <w:t xml:space="preserve"> 8</w:t>
      </w:r>
      <w:r w:rsidRPr="00F96C0C">
        <w:rPr>
          <w:rFonts w:ascii="Book Antiqua" w:hAnsi="Book Antiqua"/>
          <w:lang w:eastAsia="zh-CN"/>
        </w:rPr>
        <w:t xml:space="preserve">: </w:t>
      </w:r>
      <w:r w:rsidRPr="00F96C0C">
        <w:rPr>
          <w:rFonts w:ascii="Book Antiqua" w:hAnsi="Book Antiqua"/>
        </w:rPr>
        <w:t>bottom right</w:t>
      </w:r>
      <w:r w:rsidRPr="00F96C0C">
        <w:rPr>
          <w:rFonts w:ascii="Book Antiqua" w:hAnsi="Book Antiqua"/>
          <w:lang w:eastAsia="zh-CN"/>
        </w:rPr>
        <w:t>.</w:t>
      </w:r>
    </w:p>
    <w:p w:rsidR="007C2C70" w:rsidRPr="00C23893" w:rsidRDefault="007C2C70" w:rsidP="006C2448">
      <w:pPr>
        <w:jc w:val="both"/>
        <w:rPr>
          <w:rFonts w:ascii="Book Antiqua" w:hAnsi="Book Antiqua"/>
          <w:lang w:eastAsia="zh-CN"/>
        </w:rPr>
        <w:sectPr w:rsidR="007C2C70" w:rsidRPr="00C23893">
          <w:pgSz w:w="15840" w:h="12240" w:orient="landscape"/>
          <w:pgMar w:top="1440" w:right="1440" w:bottom="1440" w:left="1440" w:header="720" w:footer="720" w:gutter="0"/>
          <w:cols w:space="720"/>
          <w:docGrid w:linePitch="360"/>
        </w:sectPr>
      </w:pPr>
    </w:p>
    <w:p w:rsidR="007C2C70" w:rsidRPr="00F96C0C" w:rsidRDefault="007C2C70" w:rsidP="006C2448">
      <w:pPr>
        <w:jc w:val="both"/>
        <w:rPr>
          <w:rFonts w:ascii="Book Antiqua" w:hAnsi="Book Antiqua"/>
        </w:rPr>
      </w:pPr>
    </w:p>
    <w:p w:rsidR="007C2C70" w:rsidRPr="00F96C0C" w:rsidRDefault="007C2C70" w:rsidP="006C2448">
      <w:pPr>
        <w:jc w:val="both"/>
        <w:rPr>
          <w:rFonts w:ascii="Book Antiqua" w:hAnsi="Book Antiqua"/>
          <w:b/>
        </w:rPr>
      </w:pPr>
      <w:r w:rsidRPr="00F96C0C">
        <w:rPr>
          <w:rFonts w:ascii="Book Antiqua" w:hAnsi="Book Antiqua"/>
          <w:b/>
        </w:rPr>
        <w:t>Table 2 Mean potency for 3 prescriptions of compounded topical 2% diltiazem filled by 12 retail pharmacies</w:t>
      </w:r>
    </w:p>
    <w:tbl>
      <w:tblPr>
        <w:tblW w:w="0" w:type="auto"/>
        <w:tblInd w:w="108" w:type="dxa"/>
        <w:tblBorders>
          <w:top w:val="single" w:sz="4" w:space="0" w:color="auto"/>
          <w:bottom w:val="single" w:sz="4" w:space="0" w:color="auto"/>
          <w:insideH w:val="single" w:sz="4" w:space="0" w:color="auto"/>
        </w:tblBorders>
        <w:tblLook w:val="0000" w:firstRow="0" w:lastRow="0" w:firstColumn="0" w:lastColumn="0" w:noHBand="0" w:noVBand="0"/>
      </w:tblPr>
      <w:tblGrid>
        <w:gridCol w:w="2187"/>
        <w:gridCol w:w="3130"/>
        <w:gridCol w:w="1452"/>
      </w:tblGrid>
      <w:tr w:rsidR="007C2C70" w:rsidRPr="0003515D" w:rsidTr="003B188A">
        <w:tc>
          <w:tcPr>
            <w:tcW w:w="0" w:type="auto"/>
          </w:tcPr>
          <w:p w:rsidR="007C2C70" w:rsidRPr="0003515D" w:rsidRDefault="007C2C70" w:rsidP="006C2448">
            <w:pPr>
              <w:jc w:val="both"/>
              <w:rPr>
                <w:rFonts w:ascii="Book Antiqua" w:hAnsi="Book Antiqua"/>
              </w:rPr>
            </w:pPr>
            <w:r w:rsidRPr="0003515D">
              <w:rPr>
                <w:rFonts w:ascii="Book Antiqua" w:hAnsi="Book Antiqua"/>
              </w:rPr>
              <w:t>Pharmacy number</w:t>
            </w:r>
          </w:p>
        </w:tc>
        <w:tc>
          <w:tcPr>
            <w:tcW w:w="0" w:type="auto"/>
          </w:tcPr>
          <w:p w:rsidR="007C2C70" w:rsidRPr="0003515D" w:rsidRDefault="007C2C70" w:rsidP="00561A89">
            <w:pPr>
              <w:jc w:val="both"/>
              <w:rPr>
                <w:rFonts w:ascii="Book Antiqua" w:hAnsi="Book Antiqua"/>
              </w:rPr>
            </w:pPr>
            <w:r w:rsidRPr="0003515D">
              <w:rPr>
                <w:rFonts w:ascii="Book Antiqua" w:hAnsi="Book Antiqua"/>
              </w:rPr>
              <w:t xml:space="preserve">Label claim </w:t>
            </w:r>
            <w:r w:rsidRPr="00F96C0C">
              <w:rPr>
                <w:rFonts w:ascii="Book Antiqua" w:hAnsi="Book Antiqua"/>
                <w:lang w:eastAsia="zh-CN"/>
              </w:rPr>
              <w:t>(</w:t>
            </w:r>
            <w:r w:rsidRPr="0003515D">
              <w:rPr>
                <w:rFonts w:ascii="Book Antiqua" w:hAnsi="Book Antiqua"/>
              </w:rPr>
              <w:t>mean</w:t>
            </w:r>
            <w:r w:rsidRPr="0003515D">
              <w:rPr>
                <w:rFonts w:ascii="Book Antiqua" w:hAnsi="Book Antiqua"/>
                <w:lang w:eastAsia="zh-CN"/>
              </w:rPr>
              <w:t xml:space="preserve"> </w:t>
            </w:r>
            <w:r w:rsidRPr="0003515D">
              <w:rPr>
                <w:rFonts w:ascii="Book Antiqua" w:hAnsi="Book Antiqua"/>
              </w:rPr>
              <w:t>± SD</w:t>
            </w:r>
            <w:r w:rsidRPr="00F96C0C">
              <w:rPr>
                <w:rFonts w:ascii="Book Antiqua" w:hAnsi="Book Antiqua"/>
                <w:lang w:eastAsia="zh-CN"/>
              </w:rPr>
              <w:t>,</w:t>
            </w:r>
            <w:r w:rsidRPr="0003515D">
              <w:rPr>
                <w:rFonts w:ascii="Book Antiqua" w:hAnsi="Book Antiqua"/>
                <w:lang w:eastAsia="zh-CN"/>
              </w:rPr>
              <w:t xml:space="preserve"> %)</w:t>
            </w:r>
          </w:p>
        </w:tc>
        <w:tc>
          <w:tcPr>
            <w:tcW w:w="0" w:type="auto"/>
          </w:tcPr>
          <w:p w:rsidR="007C2C70" w:rsidRPr="0003515D" w:rsidRDefault="007C2C70" w:rsidP="006C2448">
            <w:pPr>
              <w:jc w:val="both"/>
              <w:rPr>
                <w:rFonts w:ascii="Book Antiqua" w:hAnsi="Book Antiqua"/>
              </w:rPr>
            </w:pPr>
            <w:r w:rsidRPr="0003515D">
              <w:rPr>
                <w:rFonts w:ascii="Book Antiqua" w:hAnsi="Book Antiqua"/>
              </w:rPr>
              <w:t>Relative SD</w:t>
            </w:r>
          </w:p>
        </w:tc>
      </w:tr>
      <w:tr w:rsidR="007C2C70" w:rsidRPr="0003515D" w:rsidTr="003B188A">
        <w:tc>
          <w:tcPr>
            <w:tcW w:w="0" w:type="auto"/>
            <w:tcBorders>
              <w:bottom w:val="nil"/>
              <w:right w:val="nil"/>
            </w:tcBorders>
          </w:tcPr>
          <w:p w:rsidR="007C2C70" w:rsidRPr="0003515D" w:rsidRDefault="007C2C70" w:rsidP="006C2448">
            <w:pPr>
              <w:jc w:val="both"/>
              <w:rPr>
                <w:rFonts w:ascii="Book Antiqua" w:hAnsi="Book Antiqua"/>
              </w:rPr>
            </w:pPr>
            <w:r w:rsidRPr="00F96C0C">
              <w:rPr>
                <w:rFonts w:ascii="Book Antiqua" w:hAnsi="Book Antiqua"/>
              </w:rPr>
              <w:t>1</w:t>
            </w:r>
          </w:p>
        </w:tc>
        <w:tc>
          <w:tcPr>
            <w:tcW w:w="0" w:type="auto"/>
            <w:tcBorders>
              <w:left w:val="nil"/>
              <w:bottom w:val="nil"/>
              <w:right w:val="nil"/>
            </w:tcBorders>
          </w:tcPr>
          <w:p w:rsidR="007C2C70" w:rsidRPr="0003515D" w:rsidRDefault="007C2C70" w:rsidP="006C2448">
            <w:pPr>
              <w:jc w:val="both"/>
              <w:rPr>
                <w:rStyle w:val="a9"/>
                <w:rFonts w:ascii="Book Antiqua" w:hAnsi="Book Antiqua"/>
              </w:rPr>
            </w:pPr>
            <w:r w:rsidRPr="0003515D">
              <w:rPr>
                <w:rStyle w:val="a9"/>
                <w:rFonts w:ascii="Book Antiqua" w:hAnsi="Book Antiqua"/>
              </w:rPr>
              <w:t>95.9 ± 9.8</w:t>
            </w:r>
          </w:p>
        </w:tc>
        <w:tc>
          <w:tcPr>
            <w:tcW w:w="0" w:type="auto"/>
            <w:tcBorders>
              <w:left w:val="nil"/>
              <w:bottom w:val="nil"/>
            </w:tcBorders>
          </w:tcPr>
          <w:p w:rsidR="007C2C70" w:rsidRPr="0003515D" w:rsidRDefault="007C2C70" w:rsidP="006C2448">
            <w:pPr>
              <w:jc w:val="both"/>
              <w:rPr>
                <w:rFonts w:ascii="Book Antiqua" w:hAnsi="Book Antiqua"/>
              </w:rPr>
            </w:pPr>
            <w:r w:rsidRPr="0003515D">
              <w:rPr>
                <w:rFonts w:ascii="Book Antiqua" w:hAnsi="Book Antiqua"/>
              </w:rPr>
              <w:t>8.7</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2</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107.3 ± 16.5</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15.4</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3</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95.9 ± 2.2</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2.2</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4</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103.3 ± 5.1</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4.9</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5</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86.5 ± 20.1</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23.2</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6</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106.2 ± 1.8</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1.7</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7</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81.6 ± 6.5</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8.0</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8</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100.1 ± 2.0</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1.9</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9</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63.2 ± 3.8</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6.0</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10</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70.4 ± 3.2</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4.5</w:t>
            </w:r>
            <w:r w:rsidRPr="0003515D">
              <w:rPr>
                <w:rFonts w:ascii="Book Antiqua" w:hAnsi="Book Antiqua"/>
                <w:lang w:eastAsia="zh-CN"/>
              </w:rPr>
              <w:t>%</w:t>
            </w:r>
          </w:p>
        </w:tc>
      </w:tr>
      <w:tr w:rsidR="007C2C70" w:rsidRPr="0003515D" w:rsidTr="003B188A">
        <w:tc>
          <w:tcPr>
            <w:tcW w:w="0" w:type="auto"/>
            <w:tcBorders>
              <w:top w:val="nil"/>
              <w:bottom w:val="nil"/>
              <w:right w:val="nil"/>
            </w:tcBorders>
          </w:tcPr>
          <w:p w:rsidR="007C2C70" w:rsidRPr="0003515D" w:rsidRDefault="007C2C70" w:rsidP="006C2448">
            <w:pPr>
              <w:jc w:val="both"/>
              <w:rPr>
                <w:rFonts w:ascii="Book Antiqua" w:hAnsi="Book Antiqua"/>
              </w:rPr>
            </w:pPr>
            <w:r w:rsidRPr="00F96C0C">
              <w:rPr>
                <w:rFonts w:ascii="Book Antiqua" w:hAnsi="Book Antiqua"/>
              </w:rPr>
              <w:t>11</w:t>
            </w:r>
          </w:p>
        </w:tc>
        <w:tc>
          <w:tcPr>
            <w:tcW w:w="0" w:type="auto"/>
            <w:tcBorders>
              <w:top w:val="nil"/>
              <w:left w:val="nil"/>
              <w:bottom w:val="nil"/>
              <w:right w:val="nil"/>
            </w:tcBorders>
          </w:tcPr>
          <w:p w:rsidR="007C2C70" w:rsidRPr="0003515D" w:rsidRDefault="007C2C70" w:rsidP="006C2448">
            <w:pPr>
              <w:jc w:val="both"/>
              <w:rPr>
                <w:rFonts w:ascii="Book Antiqua" w:hAnsi="Book Antiqua"/>
              </w:rPr>
            </w:pPr>
            <w:r w:rsidRPr="0003515D">
              <w:rPr>
                <w:rFonts w:ascii="Book Antiqua" w:hAnsi="Book Antiqua"/>
              </w:rPr>
              <w:t>68.8 ± 6.5</w:t>
            </w:r>
          </w:p>
        </w:tc>
        <w:tc>
          <w:tcPr>
            <w:tcW w:w="0" w:type="auto"/>
            <w:tcBorders>
              <w:top w:val="nil"/>
              <w:left w:val="nil"/>
              <w:bottom w:val="nil"/>
            </w:tcBorders>
          </w:tcPr>
          <w:p w:rsidR="007C2C70" w:rsidRPr="0003515D" w:rsidRDefault="007C2C70" w:rsidP="006C2448">
            <w:pPr>
              <w:jc w:val="both"/>
              <w:rPr>
                <w:rFonts w:ascii="Book Antiqua" w:hAnsi="Book Antiqua"/>
              </w:rPr>
            </w:pPr>
            <w:r w:rsidRPr="0003515D">
              <w:rPr>
                <w:rFonts w:ascii="Book Antiqua" w:hAnsi="Book Antiqua"/>
              </w:rPr>
              <w:t>9.4</w:t>
            </w:r>
            <w:r w:rsidRPr="0003515D">
              <w:rPr>
                <w:rFonts w:ascii="Book Antiqua" w:hAnsi="Book Antiqua"/>
                <w:lang w:eastAsia="zh-CN"/>
              </w:rPr>
              <w:t>%</w:t>
            </w:r>
          </w:p>
        </w:tc>
      </w:tr>
      <w:tr w:rsidR="007C2C70" w:rsidRPr="0003515D" w:rsidTr="003B188A">
        <w:tc>
          <w:tcPr>
            <w:tcW w:w="0" w:type="auto"/>
            <w:tcBorders>
              <w:top w:val="nil"/>
            </w:tcBorders>
          </w:tcPr>
          <w:p w:rsidR="007C2C70" w:rsidRPr="0003515D" w:rsidRDefault="007C2C70" w:rsidP="006C2448">
            <w:pPr>
              <w:jc w:val="both"/>
              <w:rPr>
                <w:rFonts w:ascii="Book Antiqua" w:hAnsi="Book Antiqua"/>
              </w:rPr>
            </w:pPr>
            <w:r w:rsidRPr="00F96C0C">
              <w:rPr>
                <w:rFonts w:ascii="Book Antiqua" w:hAnsi="Book Antiqua"/>
              </w:rPr>
              <w:t>12</w:t>
            </w:r>
          </w:p>
        </w:tc>
        <w:tc>
          <w:tcPr>
            <w:tcW w:w="0" w:type="auto"/>
            <w:tcBorders>
              <w:top w:val="nil"/>
            </w:tcBorders>
          </w:tcPr>
          <w:p w:rsidR="007C2C70" w:rsidRPr="0003515D" w:rsidRDefault="007C2C70" w:rsidP="006C2448">
            <w:pPr>
              <w:jc w:val="both"/>
              <w:rPr>
                <w:rFonts w:ascii="Book Antiqua" w:hAnsi="Book Antiqua"/>
              </w:rPr>
            </w:pPr>
            <w:r w:rsidRPr="0003515D">
              <w:rPr>
                <w:rFonts w:ascii="Book Antiqua" w:hAnsi="Book Antiqua"/>
              </w:rPr>
              <w:t>102.9 ± 0.8</w:t>
            </w:r>
          </w:p>
        </w:tc>
        <w:tc>
          <w:tcPr>
            <w:tcW w:w="0" w:type="auto"/>
            <w:tcBorders>
              <w:top w:val="nil"/>
            </w:tcBorders>
          </w:tcPr>
          <w:p w:rsidR="007C2C70" w:rsidRPr="0003515D" w:rsidRDefault="007C2C70" w:rsidP="006C2448">
            <w:pPr>
              <w:jc w:val="both"/>
              <w:rPr>
                <w:rFonts w:ascii="Book Antiqua" w:hAnsi="Book Antiqua"/>
              </w:rPr>
            </w:pPr>
            <w:r w:rsidRPr="0003515D">
              <w:rPr>
                <w:rFonts w:ascii="Book Antiqua" w:hAnsi="Book Antiqua"/>
              </w:rPr>
              <w:t>0.8</w:t>
            </w:r>
            <w:r w:rsidRPr="0003515D">
              <w:rPr>
                <w:rFonts w:ascii="Book Antiqua" w:hAnsi="Book Antiqua"/>
                <w:lang w:eastAsia="zh-CN"/>
              </w:rPr>
              <w:t>%</w:t>
            </w:r>
          </w:p>
        </w:tc>
      </w:tr>
    </w:tbl>
    <w:p w:rsidR="007C2C70" w:rsidRPr="00F96C0C" w:rsidRDefault="007C2C70" w:rsidP="006C2448">
      <w:pPr>
        <w:jc w:val="both"/>
        <w:rPr>
          <w:rFonts w:ascii="Book Antiqua" w:hAnsi="Book Antiqua"/>
        </w:rPr>
      </w:pPr>
    </w:p>
    <w:p w:rsidR="007C2C70" w:rsidRPr="00F96C0C" w:rsidRDefault="007C2C70" w:rsidP="006C2448">
      <w:pPr>
        <w:jc w:val="both"/>
        <w:rPr>
          <w:rFonts w:ascii="Book Antiqua" w:hAnsi="Book Antiqua"/>
        </w:rPr>
      </w:pPr>
      <w:r w:rsidRPr="00F96C0C">
        <w:rPr>
          <w:rFonts w:ascii="Book Antiqua" w:hAnsi="Book Antiqua"/>
        </w:rPr>
        <w:br w:type="page"/>
      </w:r>
    </w:p>
    <w:p w:rsidR="007C2C70" w:rsidRPr="00F96C0C" w:rsidRDefault="007C2C70" w:rsidP="006C2448">
      <w:pPr>
        <w:jc w:val="both"/>
        <w:rPr>
          <w:rFonts w:ascii="Book Antiqua" w:hAnsi="Book Antiqua"/>
          <w:lang w:eastAsia="zh-CN"/>
        </w:rPr>
      </w:pPr>
    </w:p>
    <w:p w:rsidR="007C2C70" w:rsidRPr="00F96C0C" w:rsidRDefault="007C2C70" w:rsidP="006C2448">
      <w:pPr>
        <w:jc w:val="both"/>
        <w:rPr>
          <w:rFonts w:ascii="Book Antiqua" w:hAnsi="Book Antiqua"/>
          <w:lang w:eastAsia="zh-CN"/>
        </w:rPr>
      </w:pPr>
    </w:p>
    <w:p w:rsidR="007C2C70" w:rsidRPr="00F96C0C" w:rsidRDefault="007C2C70">
      <w:pPr>
        <w:jc w:val="both"/>
        <w:rPr>
          <w:rFonts w:ascii="Book Antiqua" w:hAnsi="Book Antiqua"/>
        </w:rPr>
      </w:pPr>
    </w:p>
    <w:sectPr w:rsidR="007C2C70" w:rsidRPr="00F96C0C" w:rsidSect="00620F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6BE" w:rsidRDefault="004A36BE">
      <w:pPr>
        <w:spacing w:line="240" w:lineRule="auto"/>
      </w:pPr>
      <w:r>
        <w:separator/>
      </w:r>
    </w:p>
  </w:endnote>
  <w:endnote w:type="continuationSeparator" w:id="0">
    <w:p w:rsidR="004A36BE" w:rsidRDefault="004A36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6BE" w:rsidRDefault="004A36BE">
      <w:pPr>
        <w:spacing w:line="240" w:lineRule="auto"/>
      </w:pPr>
      <w:r>
        <w:separator/>
      </w:r>
    </w:p>
  </w:footnote>
  <w:footnote w:type="continuationSeparator" w:id="0">
    <w:p w:rsidR="004A36BE" w:rsidRDefault="004A36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C70" w:rsidRPr="00BE31FA" w:rsidRDefault="007C2C70" w:rsidP="00620FB2">
    <w:pPr>
      <w:pStyle w:val="aa"/>
      <w:jc w:val="right"/>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9CD"/>
    <w:multiLevelType w:val="hybridMultilevel"/>
    <w:tmpl w:val="E83614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F93868"/>
    <w:multiLevelType w:val="hybridMultilevel"/>
    <w:tmpl w:val="CA944CF2"/>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nsid w:val="19557D42"/>
    <w:multiLevelType w:val="hybridMultilevel"/>
    <w:tmpl w:val="44ACF02E"/>
    <w:lvl w:ilvl="0" w:tplc="C37A94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6A866D8"/>
    <w:multiLevelType w:val="multilevel"/>
    <w:tmpl w:val="8126361A"/>
    <w:lvl w:ilvl="0">
      <w:start w:val="7"/>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2880"/>
        </w:tabs>
        <w:ind w:left="2880" w:hanging="720"/>
      </w:pPr>
      <w:rPr>
        <w:rFonts w:ascii="Times New Roman" w:hAnsi="Times New Roman" w:cs="Times New Roman" w:hint="default"/>
      </w:rPr>
    </w:lvl>
    <w:lvl w:ilvl="4">
      <w:start w:val="1"/>
      <w:numFmt w:val="decimal"/>
      <w:lvlText w:val="%1.%2.%3.%4.%5"/>
      <w:lvlJc w:val="left"/>
      <w:pPr>
        <w:tabs>
          <w:tab w:val="num" w:pos="3960"/>
        </w:tabs>
        <w:ind w:left="3960" w:hanging="1080"/>
      </w:pPr>
      <w:rPr>
        <w:rFonts w:ascii="Times New Roman" w:hAnsi="Times New Roman" w:cs="Times New Roman" w:hint="default"/>
      </w:rPr>
    </w:lvl>
    <w:lvl w:ilvl="5">
      <w:start w:val="1"/>
      <w:numFmt w:val="decimal"/>
      <w:lvlText w:val="%1.%2.%3.%4.%5.%6"/>
      <w:lvlJc w:val="left"/>
      <w:pPr>
        <w:tabs>
          <w:tab w:val="num" w:pos="4680"/>
        </w:tabs>
        <w:ind w:left="4680" w:hanging="1080"/>
      </w:pPr>
      <w:rPr>
        <w:rFonts w:ascii="Times New Roman" w:hAnsi="Times New Roman" w:cs="Times New Roman" w:hint="default"/>
      </w:rPr>
    </w:lvl>
    <w:lvl w:ilvl="6">
      <w:start w:val="1"/>
      <w:numFmt w:val="decimal"/>
      <w:lvlText w:val="%1.%2.%3.%4.%5.%6.%7"/>
      <w:lvlJc w:val="left"/>
      <w:pPr>
        <w:tabs>
          <w:tab w:val="num" w:pos="5760"/>
        </w:tabs>
        <w:ind w:left="5760" w:hanging="1440"/>
      </w:pPr>
      <w:rPr>
        <w:rFonts w:ascii="Times New Roman" w:hAnsi="Times New Roman" w:cs="Times New Roman" w:hint="default"/>
      </w:rPr>
    </w:lvl>
    <w:lvl w:ilvl="7">
      <w:start w:val="1"/>
      <w:numFmt w:val="decimal"/>
      <w:lvlText w:val="%1.%2.%3.%4.%5.%6.%7.%8"/>
      <w:lvlJc w:val="left"/>
      <w:pPr>
        <w:tabs>
          <w:tab w:val="num" w:pos="6480"/>
        </w:tabs>
        <w:ind w:left="6480" w:hanging="1440"/>
      </w:pPr>
      <w:rPr>
        <w:rFonts w:ascii="Times New Roman" w:hAnsi="Times New Roman" w:cs="Times New Roman" w:hint="default"/>
      </w:rPr>
    </w:lvl>
    <w:lvl w:ilvl="8">
      <w:start w:val="1"/>
      <w:numFmt w:val="decimal"/>
      <w:lvlText w:val="%1.%2.%3.%4.%5.%6.%7.%8.%9"/>
      <w:lvlJc w:val="left"/>
      <w:pPr>
        <w:tabs>
          <w:tab w:val="num" w:pos="7200"/>
        </w:tabs>
        <w:ind w:left="7200" w:hanging="1440"/>
      </w:pPr>
      <w:rPr>
        <w:rFonts w:ascii="Times New Roman" w:hAnsi="Times New Roman" w:cs="Times New Roman" w:hint="default"/>
      </w:rPr>
    </w:lvl>
  </w:abstractNum>
  <w:abstractNum w:abstractNumId="4">
    <w:nsid w:val="4BC46B44"/>
    <w:multiLevelType w:val="hybridMultilevel"/>
    <w:tmpl w:val="9D7285B2"/>
    <w:lvl w:ilvl="0" w:tplc="C37A94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30C63"/>
    <w:rsid w:val="00003EA7"/>
    <w:rsid w:val="000162E8"/>
    <w:rsid w:val="00026467"/>
    <w:rsid w:val="0003515D"/>
    <w:rsid w:val="000363E8"/>
    <w:rsid w:val="000910FC"/>
    <w:rsid w:val="000926ED"/>
    <w:rsid w:val="00092ED2"/>
    <w:rsid w:val="00095F72"/>
    <w:rsid w:val="000A647F"/>
    <w:rsid w:val="000B149B"/>
    <w:rsid w:val="000B5FD0"/>
    <w:rsid w:val="000B6218"/>
    <w:rsid w:val="000B6471"/>
    <w:rsid w:val="000D5B4A"/>
    <w:rsid w:val="000E1276"/>
    <w:rsid w:val="000F5798"/>
    <w:rsid w:val="000F6664"/>
    <w:rsid w:val="00101A59"/>
    <w:rsid w:val="00116154"/>
    <w:rsid w:val="00124641"/>
    <w:rsid w:val="001304F7"/>
    <w:rsid w:val="00135794"/>
    <w:rsid w:val="0016063D"/>
    <w:rsid w:val="00171635"/>
    <w:rsid w:val="0017554B"/>
    <w:rsid w:val="00181982"/>
    <w:rsid w:val="00190950"/>
    <w:rsid w:val="00193155"/>
    <w:rsid w:val="00195E07"/>
    <w:rsid w:val="001B24F6"/>
    <w:rsid w:val="001B43DF"/>
    <w:rsid w:val="001E09C5"/>
    <w:rsid w:val="001E263D"/>
    <w:rsid w:val="0020134D"/>
    <w:rsid w:val="002020BE"/>
    <w:rsid w:val="00214ACF"/>
    <w:rsid w:val="00261E24"/>
    <w:rsid w:val="002676AA"/>
    <w:rsid w:val="00284D22"/>
    <w:rsid w:val="002A0A2F"/>
    <w:rsid w:val="002C7C28"/>
    <w:rsid w:val="002F6F62"/>
    <w:rsid w:val="003030C7"/>
    <w:rsid w:val="00314DE2"/>
    <w:rsid w:val="00330B93"/>
    <w:rsid w:val="00336A92"/>
    <w:rsid w:val="0034601F"/>
    <w:rsid w:val="00346291"/>
    <w:rsid w:val="003520B8"/>
    <w:rsid w:val="003544E1"/>
    <w:rsid w:val="00367511"/>
    <w:rsid w:val="003B188A"/>
    <w:rsid w:val="003B3866"/>
    <w:rsid w:val="003C11A3"/>
    <w:rsid w:val="003C5A90"/>
    <w:rsid w:val="003C698F"/>
    <w:rsid w:val="003D3D68"/>
    <w:rsid w:val="003D71D6"/>
    <w:rsid w:val="00404322"/>
    <w:rsid w:val="004148E7"/>
    <w:rsid w:val="004207AA"/>
    <w:rsid w:val="00423981"/>
    <w:rsid w:val="00431939"/>
    <w:rsid w:val="00436F0C"/>
    <w:rsid w:val="00443B19"/>
    <w:rsid w:val="00444F03"/>
    <w:rsid w:val="00444F19"/>
    <w:rsid w:val="00456E34"/>
    <w:rsid w:val="004A36BE"/>
    <w:rsid w:val="004B5267"/>
    <w:rsid w:val="004B6A16"/>
    <w:rsid w:val="004C28F2"/>
    <w:rsid w:val="004D16CB"/>
    <w:rsid w:val="004D5984"/>
    <w:rsid w:val="005125BB"/>
    <w:rsid w:val="00516610"/>
    <w:rsid w:val="00517B2E"/>
    <w:rsid w:val="005231B6"/>
    <w:rsid w:val="005274D8"/>
    <w:rsid w:val="00530C63"/>
    <w:rsid w:val="00561A89"/>
    <w:rsid w:val="0057535B"/>
    <w:rsid w:val="00591B80"/>
    <w:rsid w:val="005C348D"/>
    <w:rsid w:val="005E094D"/>
    <w:rsid w:val="005E0F8D"/>
    <w:rsid w:val="005E4BCE"/>
    <w:rsid w:val="005E61ED"/>
    <w:rsid w:val="006007A1"/>
    <w:rsid w:val="00620FB2"/>
    <w:rsid w:val="00624728"/>
    <w:rsid w:val="00633C99"/>
    <w:rsid w:val="0065052E"/>
    <w:rsid w:val="0065648E"/>
    <w:rsid w:val="0066522E"/>
    <w:rsid w:val="0068792C"/>
    <w:rsid w:val="00690E3C"/>
    <w:rsid w:val="006A7D57"/>
    <w:rsid w:val="006C2448"/>
    <w:rsid w:val="006C7A15"/>
    <w:rsid w:val="006D3086"/>
    <w:rsid w:val="006F2468"/>
    <w:rsid w:val="0070270D"/>
    <w:rsid w:val="00716489"/>
    <w:rsid w:val="00731584"/>
    <w:rsid w:val="00731C18"/>
    <w:rsid w:val="007476AC"/>
    <w:rsid w:val="007935BB"/>
    <w:rsid w:val="007A5228"/>
    <w:rsid w:val="007C1D11"/>
    <w:rsid w:val="007C29CB"/>
    <w:rsid w:val="007C2C70"/>
    <w:rsid w:val="007F7A2D"/>
    <w:rsid w:val="0081154C"/>
    <w:rsid w:val="0081402E"/>
    <w:rsid w:val="00815313"/>
    <w:rsid w:val="00833B9D"/>
    <w:rsid w:val="008504A9"/>
    <w:rsid w:val="00856AC9"/>
    <w:rsid w:val="008644BE"/>
    <w:rsid w:val="0087278C"/>
    <w:rsid w:val="00876E8F"/>
    <w:rsid w:val="00884D6E"/>
    <w:rsid w:val="008D40C3"/>
    <w:rsid w:val="008D4C43"/>
    <w:rsid w:val="00926FBC"/>
    <w:rsid w:val="009455DA"/>
    <w:rsid w:val="00952583"/>
    <w:rsid w:val="009C157A"/>
    <w:rsid w:val="009C3F2E"/>
    <w:rsid w:val="009F2EC8"/>
    <w:rsid w:val="00A064B6"/>
    <w:rsid w:val="00A066C6"/>
    <w:rsid w:val="00A31343"/>
    <w:rsid w:val="00A37F64"/>
    <w:rsid w:val="00A413C1"/>
    <w:rsid w:val="00A54449"/>
    <w:rsid w:val="00A82101"/>
    <w:rsid w:val="00A838BC"/>
    <w:rsid w:val="00A87FB5"/>
    <w:rsid w:val="00A950CB"/>
    <w:rsid w:val="00AA3E49"/>
    <w:rsid w:val="00AD583D"/>
    <w:rsid w:val="00B03F51"/>
    <w:rsid w:val="00B22160"/>
    <w:rsid w:val="00B5484B"/>
    <w:rsid w:val="00B85E75"/>
    <w:rsid w:val="00BA6EB5"/>
    <w:rsid w:val="00BE31FA"/>
    <w:rsid w:val="00C23893"/>
    <w:rsid w:val="00C30C3E"/>
    <w:rsid w:val="00C51529"/>
    <w:rsid w:val="00C5286A"/>
    <w:rsid w:val="00C62671"/>
    <w:rsid w:val="00C83357"/>
    <w:rsid w:val="00C96ABA"/>
    <w:rsid w:val="00C96BCD"/>
    <w:rsid w:val="00CB5F99"/>
    <w:rsid w:val="00CE4CFB"/>
    <w:rsid w:val="00CE6A48"/>
    <w:rsid w:val="00CE6B13"/>
    <w:rsid w:val="00CE6F3D"/>
    <w:rsid w:val="00CF7C8A"/>
    <w:rsid w:val="00D24B34"/>
    <w:rsid w:val="00D533BA"/>
    <w:rsid w:val="00D61055"/>
    <w:rsid w:val="00D740C7"/>
    <w:rsid w:val="00D76226"/>
    <w:rsid w:val="00D84A66"/>
    <w:rsid w:val="00DA30CE"/>
    <w:rsid w:val="00DD1188"/>
    <w:rsid w:val="00DE1BAB"/>
    <w:rsid w:val="00DE571B"/>
    <w:rsid w:val="00DF6241"/>
    <w:rsid w:val="00E022E3"/>
    <w:rsid w:val="00E41F0F"/>
    <w:rsid w:val="00E6109D"/>
    <w:rsid w:val="00E73954"/>
    <w:rsid w:val="00E808AF"/>
    <w:rsid w:val="00E941C4"/>
    <w:rsid w:val="00EA1DA7"/>
    <w:rsid w:val="00EA637D"/>
    <w:rsid w:val="00ED0E0F"/>
    <w:rsid w:val="00ED20F8"/>
    <w:rsid w:val="00F02C43"/>
    <w:rsid w:val="00F031F5"/>
    <w:rsid w:val="00F2306C"/>
    <w:rsid w:val="00F33F9E"/>
    <w:rsid w:val="00F36953"/>
    <w:rsid w:val="00F36F45"/>
    <w:rsid w:val="00F67DC6"/>
    <w:rsid w:val="00F82926"/>
    <w:rsid w:val="00F915EC"/>
    <w:rsid w:val="00F96C0C"/>
    <w:rsid w:val="00FA7EAD"/>
    <w:rsid w:val="00FB37D7"/>
    <w:rsid w:val="00FB5D1B"/>
    <w:rsid w:val="00FB6585"/>
    <w:rsid w:val="00FF1C3F"/>
    <w:rsid w:val="00FF5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PostalCode"/>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63"/>
    <w:pPr>
      <w:spacing w:line="480" w:lineRule="auto"/>
    </w:pPr>
    <w:rPr>
      <w:rFonts w:ascii="Times New Roman" w:hAnsi="Times New Roman"/>
      <w:kern w:val="0"/>
      <w:sz w:val="24"/>
      <w:szCs w:val="24"/>
      <w:lang w:eastAsia="en-US"/>
    </w:rPr>
  </w:style>
  <w:style w:type="paragraph" w:styleId="1">
    <w:name w:val="heading 1"/>
    <w:basedOn w:val="a"/>
    <w:next w:val="a"/>
    <w:link w:val="1Char"/>
    <w:uiPriority w:val="99"/>
    <w:qFormat/>
    <w:rsid w:val="00530C63"/>
    <w:pPr>
      <w:outlineLvl w:val="0"/>
    </w:pPr>
    <w:rPr>
      <w:b/>
      <w:bCs/>
      <w:i/>
      <w:iCs/>
      <w:caps/>
    </w:rPr>
  </w:style>
  <w:style w:type="paragraph" w:styleId="2">
    <w:name w:val="heading 2"/>
    <w:basedOn w:val="a"/>
    <w:next w:val="a"/>
    <w:link w:val="2Char"/>
    <w:uiPriority w:val="99"/>
    <w:qFormat/>
    <w:rsid w:val="00530C63"/>
    <w:pPr>
      <w:outlineLvl w:val="1"/>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30C63"/>
    <w:rPr>
      <w:rFonts w:ascii="Times New Roman" w:hAnsi="Times New Roman" w:cs="Times New Roman"/>
      <w:b/>
      <w:bCs/>
      <w:i/>
      <w:iCs/>
      <w:caps/>
      <w:sz w:val="24"/>
      <w:szCs w:val="24"/>
    </w:rPr>
  </w:style>
  <w:style w:type="character" w:customStyle="1" w:styleId="2Char">
    <w:name w:val="标题 2 Char"/>
    <w:basedOn w:val="a0"/>
    <w:link w:val="2"/>
    <w:uiPriority w:val="99"/>
    <w:locked/>
    <w:rsid w:val="00530C63"/>
    <w:rPr>
      <w:rFonts w:ascii="Times New Roman" w:hAnsi="Times New Roman" w:cs="Times New Roman"/>
      <w:b/>
      <w:bCs/>
      <w:i/>
      <w:iCs/>
      <w:sz w:val="24"/>
      <w:szCs w:val="24"/>
    </w:rPr>
  </w:style>
  <w:style w:type="character" w:styleId="a3">
    <w:name w:val="footnote reference"/>
    <w:basedOn w:val="a0"/>
    <w:uiPriority w:val="99"/>
    <w:rsid w:val="00530C63"/>
    <w:rPr>
      <w:rFonts w:ascii="Times New Roman" w:hAnsi="Times New Roman" w:cs="Times New Roman"/>
      <w:vertAlign w:val="superscript"/>
    </w:rPr>
  </w:style>
  <w:style w:type="paragraph" w:styleId="a4">
    <w:name w:val="Balloon Text"/>
    <w:basedOn w:val="a"/>
    <w:link w:val="Char"/>
    <w:uiPriority w:val="99"/>
    <w:rsid w:val="00530C63"/>
    <w:rPr>
      <w:rFonts w:ascii="Tahoma" w:hAnsi="Tahoma" w:cs="Tahoma"/>
      <w:sz w:val="16"/>
      <w:szCs w:val="16"/>
    </w:rPr>
  </w:style>
  <w:style w:type="character" w:customStyle="1" w:styleId="Char">
    <w:name w:val="批注框文本 Char"/>
    <w:basedOn w:val="a0"/>
    <w:link w:val="a4"/>
    <w:uiPriority w:val="99"/>
    <w:locked/>
    <w:rsid w:val="00530C63"/>
    <w:rPr>
      <w:rFonts w:ascii="Tahoma" w:hAnsi="Tahoma" w:cs="Tahoma"/>
      <w:sz w:val="16"/>
      <w:szCs w:val="16"/>
    </w:rPr>
  </w:style>
  <w:style w:type="character" w:styleId="a5">
    <w:name w:val="annotation reference"/>
    <w:basedOn w:val="a0"/>
    <w:uiPriority w:val="99"/>
    <w:rsid w:val="00530C63"/>
    <w:rPr>
      <w:rFonts w:ascii="Times New Roman" w:hAnsi="Times New Roman" w:cs="Times New Roman"/>
      <w:sz w:val="16"/>
      <w:szCs w:val="16"/>
    </w:rPr>
  </w:style>
  <w:style w:type="paragraph" w:styleId="a6">
    <w:name w:val="annotation text"/>
    <w:basedOn w:val="a"/>
    <w:link w:val="Char0"/>
    <w:uiPriority w:val="99"/>
    <w:rsid w:val="00530C63"/>
    <w:rPr>
      <w:sz w:val="20"/>
      <w:szCs w:val="20"/>
    </w:rPr>
  </w:style>
  <w:style w:type="character" w:customStyle="1" w:styleId="Char0">
    <w:name w:val="批注文字 Char"/>
    <w:basedOn w:val="a0"/>
    <w:link w:val="a6"/>
    <w:uiPriority w:val="99"/>
    <w:locked/>
    <w:rsid w:val="00530C63"/>
    <w:rPr>
      <w:rFonts w:ascii="Times New Roman" w:hAnsi="Times New Roman" w:cs="Times New Roman"/>
      <w:sz w:val="20"/>
      <w:szCs w:val="20"/>
    </w:rPr>
  </w:style>
  <w:style w:type="paragraph" w:styleId="a7">
    <w:name w:val="annotation subject"/>
    <w:basedOn w:val="a6"/>
    <w:next w:val="a6"/>
    <w:link w:val="Char1"/>
    <w:uiPriority w:val="99"/>
    <w:rsid w:val="00530C63"/>
    <w:rPr>
      <w:b/>
      <w:bCs/>
    </w:rPr>
  </w:style>
  <w:style w:type="character" w:customStyle="1" w:styleId="Char1">
    <w:name w:val="批注主题 Char"/>
    <w:basedOn w:val="Char0"/>
    <w:link w:val="a7"/>
    <w:uiPriority w:val="99"/>
    <w:locked/>
    <w:rsid w:val="00530C63"/>
    <w:rPr>
      <w:rFonts w:ascii="Times New Roman" w:hAnsi="Times New Roman" w:cs="Times New Roman"/>
      <w:b/>
      <w:bCs/>
      <w:sz w:val="20"/>
      <w:szCs w:val="20"/>
    </w:rPr>
  </w:style>
  <w:style w:type="character" w:styleId="a8">
    <w:name w:val="Hyperlink"/>
    <w:basedOn w:val="a0"/>
    <w:uiPriority w:val="99"/>
    <w:rsid w:val="00530C63"/>
    <w:rPr>
      <w:rFonts w:ascii="Times New Roman" w:hAnsi="Times New Roman" w:cs="Times New Roman"/>
      <w:color w:val="0000FF"/>
      <w:u w:val="single"/>
    </w:rPr>
  </w:style>
  <w:style w:type="character" w:styleId="a9">
    <w:name w:val="Intense Emphasis"/>
    <w:aliases w:val="Table text"/>
    <w:basedOn w:val="a0"/>
    <w:uiPriority w:val="99"/>
    <w:qFormat/>
    <w:rsid w:val="00530C63"/>
    <w:rPr>
      <w:rFonts w:cs="Times New Roman"/>
    </w:rPr>
  </w:style>
  <w:style w:type="paragraph" w:styleId="aa">
    <w:name w:val="header"/>
    <w:basedOn w:val="a"/>
    <w:link w:val="Char2"/>
    <w:uiPriority w:val="99"/>
    <w:rsid w:val="00530C63"/>
    <w:pPr>
      <w:tabs>
        <w:tab w:val="center" w:pos="4680"/>
        <w:tab w:val="right" w:pos="9360"/>
      </w:tabs>
      <w:spacing w:line="240" w:lineRule="auto"/>
    </w:pPr>
  </w:style>
  <w:style w:type="character" w:customStyle="1" w:styleId="Char2">
    <w:name w:val="页眉 Char"/>
    <w:basedOn w:val="a0"/>
    <w:link w:val="aa"/>
    <w:uiPriority w:val="99"/>
    <w:locked/>
    <w:rsid w:val="00530C63"/>
    <w:rPr>
      <w:rFonts w:ascii="Times New Roman" w:hAnsi="Times New Roman" w:cs="Times New Roman"/>
      <w:sz w:val="24"/>
      <w:szCs w:val="24"/>
    </w:rPr>
  </w:style>
  <w:style w:type="paragraph" w:styleId="ab">
    <w:name w:val="footer"/>
    <w:basedOn w:val="a"/>
    <w:link w:val="Char3"/>
    <w:uiPriority w:val="99"/>
    <w:rsid w:val="00530C63"/>
    <w:pPr>
      <w:tabs>
        <w:tab w:val="center" w:pos="4680"/>
        <w:tab w:val="right" w:pos="9360"/>
      </w:tabs>
      <w:spacing w:line="240" w:lineRule="auto"/>
    </w:pPr>
  </w:style>
  <w:style w:type="character" w:customStyle="1" w:styleId="Char3">
    <w:name w:val="页脚 Char"/>
    <w:basedOn w:val="a0"/>
    <w:link w:val="ab"/>
    <w:uiPriority w:val="99"/>
    <w:locked/>
    <w:rsid w:val="00530C63"/>
    <w:rPr>
      <w:rFonts w:ascii="Times New Roman" w:hAnsi="Times New Roman" w:cs="Times New Roman"/>
      <w:sz w:val="24"/>
      <w:szCs w:val="24"/>
    </w:rPr>
  </w:style>
  <w:style w:type="character" w:styleId="ac">
    <w:name w:val="FollowedHyperlink"/>
    <w:basedOn w:val="a0"/>
    <w:uiPriority w:val="99"/>
    <w:rsid w:val="00530C63"/>
    <w:rPr>
      <w:rFonts w:ascii="Times New Roman" w:hAnsi="Times New Roman" w:cs="Times New Roman"/>
      <w:color w:val="800080"/>
      <w:u w:val="single"/>
    </w:rPr>
  </w:style>
  <w:style w:type="table" w:styleId="ad">
    <w:name w:val="Table Grid"/>
    <w:basedOn w:val="a1"/>
    <w:uiPriority w:val="99"/>
    <w:rsid w:val="00530C6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Intense Quote"/>
    <w:basedOn w:val="a"/>
    <w:next w:val="a"/>
    <w:link w:val="Char4"/>
    <w:uiPriority w:val="99"/>
    <w:qFormat/>
    <w:rsid w:val="00530C63"/>
    <w:pPr>
      <w:spacing w:before="240" w:after="240" w:line="240" w:lineRule="auto"/>
    </w:pPr>
    <w:rPr>
      <w:noProof/>
      <w:sz w:val="22"/>
    </w:rPr>
  </w:style>
  <w:style w:type="character" w:customStyle="1" w:styleId="Char4">
    <w:name w:val="明显引用 Char"/>
    <w:basedOn w:val="a0"/>
    <w:link w:val="ae"/>
    <w:uiPriority w:val="99"/>
    <w:locked/>
    <w:rsid w:val="00530C63"/>
    <w:rPr>
      <w:rFonts w:ascii="Times New Roman" w:hAnsi="Times New Roman" w:cs="Times New Roman"/>
      <w:noProof/>
      <w:sz w:val="24"/>
      <w:szCs w:val="24"/>
    </w:rPr>
  </w:style>
  <w:style w:type="paragraph" w:styleId="af">
    <w:name w:val="List Paragraph"/>
    <w:basedOn w:val="a"/>
    <w:uiPriority w:val="99"/>
    <w:qFormat/>
    <w:rsid w:val="00B85E75"/>
    <w:pPr>
      <w:ind w:left="720"/>
      <w:contextualSpacing/>
    </w:pPr>
  </w:style>
  <w:style w:type="paragraph" w:customStyle="1" w:styleId="p0">
    <w:name w:val="p0"/>
    <w:basedOn w:val="a"/>
    <w:uiPriority w:val="99"/>
    <w:rsid w:val="003D71D6"/>
    <w:pPr>
      <w:spacing w:line="240" w:lineRule="atLeast"/>
    </w:pPr>
    <w:rPr>
      <w:rFonts w:ascii="Century" w:hAnsi="Century" w:cs="宋体"/>
      <w:sz w:val="21"/>
      <w:szCs w:val="21"/>
      <w:lang w:eastAsia="zh-CN"/>
    </w:rPr>
  </w:style>
  <w:style w:type="character" w:styleId="af0">
    <w:name w:val="Strong"/>
    <w:basedOn w:val="a0"/>
    <w:uiPriority w:val="99"/>
    <w:qFormat/>
    <w:rsid w:val="0057535B"/>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63"/>
    <w:pPr>
      <w:spacing w:line="480" w:lineRule="auto"/>
    </w:pPr>
    <w:rPr>
      <w:rFonts w:ascii="Times New Roman" w:hAnsi="Times New Roman"/>
      <w:kern w:val="0"/>
      <w:sz w:val="24"/>
      <w:szCs w:val="24"/>
      <w:lang w:eastAsia="en-US"/>
    </w:rPr>
  </w:style>
  <w:style w:type="paragraph" w:styleId="1">
    <w:name w:val="heading 1"/>
    <w:basedOn w:val="a"/>
    <w:next w:val="a"/>
    <w:link w:val="1Char"/>
    <w:uiPriority w:val="99"/>
    <w:qFormat/>
    <w:rsid w:val="00530C63"/>
    <w:pPr>
      <w:outlineLvl w:val="0"/>
    </w:pPr>
    <w:rPr>
      <w:b/>
      <w:bCs/>
      <w:i/>
      <w:iCs/>
      <w:caps/>
    </w:rPr>
  </w:style>
  <w:style w:type="paragraph" w:styleId="2">
    <w:name w:val="heading 2"/>
    <w:basedOn w:val="a"/>
    <w:next w:val="a"/>
    <w:link w:val="2Char"/>
    <w:uiPriority w:val="99"/>
    <w:qFormat/>
    <w:rsid w:val="00530C63"/>
    <w:pPr>
      <w:outlineLvl w:val="1"/>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30C63"/>
    <w:rPr>
      <w:rFonts w:ascii="Times New Roman" w:hAnsi="Times New Roman" w:cs="Times New Roman"/>
      <w:b/>
      <w:bCs/>
      <w:i/>
      <w:iCs/>
      <w:caps/>
      <w:sz w:val="24"/>
      <w:szCs w:val="24"/>
    </w:rPr>
  </w:style>
  <w:style w:type="character" w:customStyle="1" w:styleId="2Char">
    <w:name w:val="标题 2 Char"/>
    <w:basedOn w:val="a0"/>
    <w:link w:val="2"/>
    <w:uiPriority w:val="99"/>
    <w:locked/>
    <w:rsid w:val="00530C63"/>
    <w:rPr>
      <w:rFonts w:ascii="Times New Roman" w:hAnsi="Times New Roman" w:cs="Times New Roman"/>
      <w:b/>
      <w:bCs/>
      <w:i/>
      <w:iCs/>
      <w:sz w:val="24"/>
      <w:szCs w:val="24"/>
    </w:rPr>
  </w:style>
  <w:style w:type="character" w:styleId="a3">
    <w:name w:val="footnote reference"/>
    <w:basedOn w:val="a0"/>
    <w:uiPriority w:val="99"/>
    <w:rsid w:val="00530C63"/>
    <w:rPr>
      <w:rFonts w:ascii="Times New Roman" w:hAnsi="Times New Roman" w:cs="Times New Roman"/>
      <w:vertAlign w:val="superscript"/>
    </w:rPr>
  </w:style>
  <w:style w:type="paragraph" w:styleId="a4">
    <w:name w:val="Balloon Text"/>
    <w:basedOn w:val="a"/>
    <w:link w:val="Char"/>
    <w:uiPriority w:val="99"/>
    <w:rsid w:val="00530C63"/>
    <w:rPr>
      <w:rFonts w:ascii="Tahoma" w:hAnsi="Tahoma" w:cs="Tahoma"/>
      <w:sz w:val="16"/>
      <w:szCs w:val="16"/>
    </w:rPr>
  </w:style>
  <w:style w:type="character" w:customStyle="1" w:styleId="Char">
    <w:name w:val="批注框文本 Char"/>
    <w:basedOn w:val="a0"/>
    <w:link w:val="a4"/>
    <w:uiPriority w:val="99"/>
    <w:locked/>
    <w:rsid w:val="00530C63"/>
    <w:rPr>
      <w:rFonts w:ascii="Tahoma" w:hAnsi="Tahoma" w:cs="Tahoma"/>
      <w:sz w:val="16"/>
      <w:szCs w:val="16"/>
    </w:rPr>
  </w:style>
  <w:style w:type="character" w:styleId="a5">
    <w:name w:val="annotation reference"/>
    <w:basedOn w:val="a0"/>
    <w:uiPriority w:val="99"/>
    <w:rsid w:val="00530C63"/>
    <w:rPr>
      <w:rFonts w:ascii="Times New Roman" w:hAnsi="Times New Roman" w:cs="Times New Roman"/>
      <w:sz w:val="16"/>
      <w:szCs w:val="16"/>
    </w:rPr>
  </w:style>
  <w:style w:type="paragraph" w:styleId="a6">
    <w:name w:val="annotation text"/>
    <w:basedOn w:val="a"/>
    <w:link w:val="Char0"/>
    <w:uiPriority w:val="99"/>
    <w:rsid w:val="00530C63"/>
    <w:rPr>
      <w:sz w:val="20"/>
      <w:szCs w:val="20"/>
    </w:rPr>
  </w:style>
  <w:style w:type="character" w:customStyle="1" w:styleId="Char0">
    <w:name w:val="批注文字 Char"/>
    <w:basedOn w:val="a0"/>
    <w:link w:val="a6"/>
    <w:uiPriority w:val="99"/>
    <w:locked/>
    <w:rsid w:val="00530C63"/>
    <w:rPr>
      <w:rFonts w:ascii="Times New Roman" w:hAnsi="Times New Roman" w:cs="Times New Roman"/>
      <w:sz w:val="20"/>
      <w:szCs w:val="20"/>
    </w:rPr>
  </w:style>
  <w:style w:type="paragraph" w:styleId="a7">
    <w:name w:val="annotation subject"/>
    <w:basedOn w:val="a6"/>
    <w:next w:val="a6"/>
    <w:link w:val="Char1"/>
    <w:uiPriority w:val="99"/>
    <w:rsid w:val="00530C63"/>
    <w:rPr>
      <w:b/>
      <w:bCs/>
    </w:rPr>
  </w:style>
  <w:style w:type="character" w:customStyle="1" w:styleId="Char1">
    <w:name w:val="批注主题 Char"/>
    <w:basedOn w:val="Char0"/>
    <w:link w:val="a7"/>
    <w:uiPriority w:val="99"/>
    <w:locked/>
    <w:rsid w:val="00530C63"/>
    <w:rPr>
      <w:rFonts w:ascii="Times New Roman" w:hAnsi="Times New Roman" w:cs="Times New Roman"/>
      <w:b/>
      <w:bCs/>
      <w:sz w:val="20"/>
      <w:szCs w:val="20"/>
    </w:rPr>
  </w:style>
  <w:style w:type="character" w:styleId="a8">
    <w:name w:val="Hyperlink"/>
    <w:basedOn w:val="a0"/>
    <w:uiPriority w:val="99"/>
    <w:rsid w:val="00530C63"/>
    <w:rPr>
      <w:rFonts w:ascii="Times New Roman" w:hAnsi="Times New Roman" w:cs="Times New Roman"/>
      <w:color w:val="0000FF"/>
      <w:u w:val="single"/>
    </w:rPr>
  </w:style>
  <w:style w:type="character" w:styleId="a9">
    <w:name w:val="Intense Emphasis"/>
    <w:aliases w:val="Table text"/>
    <w:basedOn w:val="a0"/>
    <w:uiPriority w:val="99"/>
    <w:qFormat/>
    <w:rsid w:val="00530C63"/>
    <w:rPr>
      <w:rFonts w:cs="Times New Roman"/>
    </w:rPr>
  </w:style>
  <w:style w:type="paragraph" w:styleId="aa">
    <w:name w:val="header"/>
    <w:basedOn w:val="a"/>
    <w:link w:val="Char2"/>
    <w:uiPriority w:val="99"/>
    <w:rsid w:val="00530C63"/>
    <w:pPr>
      <w:tabs>
        <w:tab w:val="center" w:pos="4680"/>
        <w:tab w:val="right" w:pos="9360"/>
      </w:tabs>
      <w:spacing w:line="240" w:lineRule="auto"/>
    </w:pPr>
  </w:style>
  <w:style w:type="character" w:customStyle="1" w:styleId="Char2">
    <w:name w:val="页眉 Char"/>
    <w:basedOn w:val="a0"/>
    <w:link w:val="aa"/>
    <w:uiPriority w:val="99"/>
    <w:locked/>
    <w:rsid w:val="00530C63"/>
    <w:rPr>
      <w:rFonts w:ascii="Times New Roman" w:hAnsi="Times New Roman" w:cs="Times New Roman"/>
      <w:sz w:val="24"/>
      <w:szCs w:val="24"/>
    </w:rPr>
  </w:style>
  <w:style w:type="paragraph" w:styleId="ab">
    <w:name w:val="footer"/>
    <w:basedOn w:val="a"/>
    <w:link w:val="Char3"/>
    <w:uiPriority w:val="99"/>
    <w:rsid w:val="00530C63"/>
    <w:pPr>
      <w:tabs>
        <w:tab w:val="center" w:pos="4680"/>
        <w:tab w:val="right" w:pos="9360"/>
      </w:tabs>
      <w:spacing w:line="240" w:lineRule="auto"/>
    </w:pPr>
  </w:style>
  <w:style w:type="character" w:customStyle="1" w:styleId="Char3">
    <w:name w:val="页脚 Char"/>
    <w:basedOn w:val="a0"/>
    <w:link w:val="ab"/>
    <w:uiPriority w:val="99"/>
    <w:locked/>
    <w:rsid w:val="00530C63"/>
    <w:rPr>
      <w:rFonts w:ascii="Times New Roman" w:hAnsi="Times New Roman" w:cs="Times New Roman"/>
      <w:sz w:val="24"/>
      <w:szCs w:val="24"/>
    </w:rPr>
  </w:style>
  <w:style w:type="character" w:styleId="ac">
    <w:name w:val="FollowedHyperlink"/>
    <w:basedOn w:val="a0"/>
    <w:uiPriority w:val="99"/>
    <w:rsid w:val="00530C63"/>
    <w:rPr>
      <w:rFonts w:ascii="Times New Roman" w:hAnsi="Times New Roman" w:cs="Times New Roman"/>
      <w:color w:val="800080"/>
      <w:u w:val="single"/>
    </w:rPr>
  </w:style>
  <w:style w:type="table" w:styleId="ad">
    <w:name w:val="Table Grid"/>
    <w:basedOn w:val="a1"/>
    <w:uiPriority w:val="99"/>
    <w:rsid w:val="00530C6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Intense Quote"/>
    <w:basedOn w:val="a"/>
    <w:next w:val="a"/>
    <w:link w:val="Char4"/>
    <w:uiPriority w:val="99"/>
    <w:qFormat/>
    <w:rsid w:val="00530C63"/>
    <w:pPr>
      <w:spacing w:before="240" w:after="240" w:line="240" w:lineRule="auto"/>
    </w:pPr>
    <w:rPr>
      <w:noProof/>
      <w:sz w:val="22"/>
    </w:rPr>
  </w:style>
  <w:style w:type="character" w:customStyle="1" w:styleId="Char4">
    <w:name w:val="明显引用 Char"/>
    <w:basedOn w:val="a0"/>
    <w:link w:val="ae"/>
    <w:uiPriority w:val="99"/>
    <w:locked/>
    <w:rsid w:val="00530C63"/>
    <w:rPr>
      <w:rFonts w:ascii="Times New Roman" w:hAnsi="Times New Roman" w:cs="Times New Roman"/>
      <w:noProof/>
      <w:sz w:val="24"/>
      <w:szCs w:val="24"/>
    </w:rPr>
  </w:style>
  <w:style w:type="paragraph" w:styleId="af">
    <w:name w:val="List Paragraph"/>
    <w:basedOn w:val="a"/>
    <w:uiPriority w:val="99"/>
    <w:qFormat/>
    <w:rsid w:val="00B85E75"/>
    <w:pPr>
      <w:ind w:left="720"/>
      <w:contextualSpacing/>
    </w:pPr>
  </w:style>
  <w:style w:type="paragraph" w:customStyle="1" w:styleId="p0">
    <w:name w:val="p0"/>
    <w:basedOn w:val="a"/>
    <w:uiPriority w:val="99"/>
    <w:rsid w:val="003D71D6"/>
    <w:pPr>
      <w:spacing w:line="240" w:lineRule="atLeast"/>
    </w:pPr>
    <w:rPr>
      <w:rFonts w:ascii="Century" w:hAnsi="Century" w:cs="宋体"/>
      <w:sz w:val="21"/>
      <w:szCs w:val="21"/>
      <w:lang w:eastAsia="zh-CN"/>
    </w:rPr>
  </w:style>
  <w:style w:type="character" w:styleId="af0">
    <w:name w:val="Strong"/>
    <w:basedOn w:val="a0"/>
    <w:uiPriority w:val="99"/>
    <w:qFormat/>
    <w:rsid w:val="0057535B"/>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903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shah@ventrusb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4700</Words>
  <Characters>26791</Characters>
  <Application>Microsoft Office Word</Application>
  <DocSecurity>0</DocSecurity>
  <Lines>223</Lines>
  <Paragraphs>62</Paragraphs>
  <ScaleCrop>false</ScaleCrop>
  <Company>Microsoft</Company>
  <LinksUpToDate>false</LinksUpToDate>
  <CharactersWithSpaces>31429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LS Ma</cp:lastModifiedBy>
  <cp:revision>2</cp:revision>
  <cp:lastPrinted>2013-06-28T18:22:00Z</cp:lastPrinted>
  <dcterms:created xsi:type="dcterms:W3CDTF">2013-08-04T14:46:00Z</dcterms:created>
  <dcterms:modified xsi:type="dcterms:W3CDTF">2013-08-04T14:46:00Z</dcterms:modified>
</cp:coreProperties>
</file>