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54DF" w:rsidRPr="00F12AFF" w:rsidRDefault="008554DF" w:rsidP="00F12AFF">
      <w:pPr>
        <w:adjustRightInd w:val="0"/>
        <w:snapToGrid w:val="0"/>
        <w:spacing w:line="360" w:lineRule="auto"/>
        <w:jc w:val="both"/>
        <w:rPr>
          <w:rFonts w:ascii="Book Antiqua" w:eastAsia="Times New Roman" w:hAnsi="Book Antiqua" w:cs="SimSun"/>
          <w:b/>
          <w:i/>
          <w:sz w:val="24"/>
          <w:lang w:val="en-US"/>
        </w:rPr>
      </w:pPr>
      <w:bookmarkStart w:id="0" w:name="OLE_LINK22"/>
      <w:bookmarkStart w:id="1" w:name="OLE_LINK45"/>
      <w:r w:rsidRPr="00F12AFF">
        <w:rPr>
          <w:rFonts w:ascii="Book Antiqua" w:eastAsia="Times New Roman" w:hAnsi="Book Antiqua" w:cs="SimSun"/>
          <w:b/>
          <w:sz w:val="24"/>
          <w:lang w:val="en-US"/>
        </w:rPr>
        <w:t xml:space="preserve">Name of journal: </w:t>
      </w:r>
      <w:bookmarkStart w:id="2" w:name="OLE_LINK718"/>
      <w:bookmarkStart w:id="3" w:name="OLE_LINK719"/>
      <w:bookmarkStart w:id="4" w:name="OLE_LINK645"/>
      <w:bookmarkStart w:id="5" w:name="OLE_LINK661"/>
      <w:bookmarkStart w:id="6" w:name="OLE_LINK1068"/>
      <w:r w:rsidRPr="00F12AFF">
        <w:rPr>
          <w:rFonts w:ascii="Book Antiqua" w:eastAsia="Times New Roman" w:hAnsi="Book Antiqua" w:cs="SimSun"/>
          <w:b/>
          <w:i/>
          <w:sz w:val="24"/>
          <w:lang w:val="en-US"/>
        </w:rPr>
        <w:t xml:space="preserve">World Journal of </w:t>
      </w:r>
      <w:bookmarkStart w:id="7" w:name="OLE_LINK1222"/>
      <w:bookmarkStart w:id="8" w:name="OLE_LINK1223"/>
      <w:r w:rsidRPr="00F12AFF">
        <w:rPr>
          <w:rFonts w:ascii="Book Antiqua" w:eastAsia="Times New Roman" w:hAnsi="Book Antiqua" w:cs="SimSun"/>
          <w:b/>
          <w:i/>
          <w:sz w:val="24"/>
          <w:lang w:val="en-US"/>
        </w:rPr>
        <w:t>Gastroenterology</w:t>
      </w:r>
      <w:bookmarkEnd w:id="2"/>
      <w:bookmarkEnd w:id="3"/>
      <w:bookmarkEnd w:id="4"/>
      <w:bookmarkEnd w:id="5"/>
      <w:bookmarkEnd w:id="6"/>
      <w:bookmarkEnd w:id="7"/>
      <w:bookmarkEnd w:id="8"/>
    </w:p>
    <w:p w:rsidR="008554DF" w:rsidRPr="00F12AFF" w:rsidRDefault="008554DF" w:rsidP="00F12AFF">
      <w:pPr>
        <w:adjustRightInd w:val="0"/>
        <w:snapToGrid w:val="0"/>
        <w:spacing w:line="360" w:lineRule="auto"/>
        <w:jc w:val="both"/>
        <w:rPr>
          <w:rFonts w:ascii="Book Antiqua" w:hAnsi="Book Antiqua" w:cs="Arial"/>
          <w:sz w:val="24"/>
          <w:lang w:val="en" w:eastAsia="zh-CN"/>
        </w:rPr>
      </w:pPr>
      <w:r w:rsidRPr="00F12AFF">
        <w:rPr>
          <w:rFonts w:ascii="Book Antiqua" w:hAnsi="Book Antiqua" w:cs="Arial"/>
          <w:b/>
          <w:sz w:val="24"/>
          <w:lang w:val="en"/>
        </w:rPr>
        <w:t xml:space="preserve">Manuscript NO: </w:t>
      </w:r>
      <w:r w:rsidRPr="00F12AFF">
        <w:rPr>
          <w:rFonts w:ascii="Book Antiqua" w:hAnsi="Book Antiqua" w:cs="Arial"/>
          <w:b/>
          <w:sz w:val="24"/>
          <w:lang w:val="en" w:eastAsia="zh-CN"/>
        </w:rPr>
        <w:t>36631</w:t>
      </w:r>
    </w:p>
    <w:p w:rsidR="008554DF" w:rsidRPr="00F12AFF" w:rsidRDefault="008554DF" w:rsidP="00F12AFF">
      <w:pPr>
        <w:adjustRightInd w:val="0"/>
        <w:snapToGrid w:val="0"/>
        <w:spacing w:line="360" w:lineRule="auto"/>
        <w:jc w:val="both"/>
        <w:rPr>
          <w:rFonts w:ascii="Book Antiqua" w:hAnsi="Book Antiqua"/>
          <w:b/>
          <w:sz w:val="24"/>
          <w:lang w:val="en-US"/>
        </w:rPr>
      </w:pPr>
      <w:r w:rsidRPr="00F12AFF">
        <w:rPr>
          <w:rFonts w:ascii="Book Antiqua" w:hAnsi="Book Antiqua"/>
          <w:b/>
          <w:sz w:val="24"/>
          <w:lang w:val="en-US"/>
        </w:rPr>
        <w:t>Manuscript Type: CASE REPORT</w:t>
      </w:r>
    </w:p>
    <w:bookmarkEnd w:id="0"/>
    <w:bookmarkEnd w:id="1"/>
    <w:p w:rsidR="008554DF" w:rsidRPr="00F12AFF" w:rsidRDefault="008554DF" w:rsidP="00F12AFF">
      <w:pPr>
        <w:adjustRightInd w:val="0"/>
        <w:snapToGrid w:val="0"/>
        <w:spacing w:line="360" w:lineRule="auto"/>
        <w:jc w:val="both"/>
        <w:rPr>
          <w:rFonts w:ascii="Book Antiqua" w:hAnsi="Book Antiqua" w:cs="Arial"/>
          <w:b/>
          <w:bCs/>
          <w:sz w:val="24"/>
          <w:lang w:val="en-US" w:eastAsia="zh-CN"/>
        </w:rPr>
      </w:pPr>
    </w:p>
    <w:p w:rsidR="00E7608E" w:rsidRPr="00F12AFF" w:rsidRDefault="00E7608E" w:rsidP="00F12AFF">
      <w:pPr>
        <w:adjustRightInd w:val="0"/>
        <w:snapToGrid w:val="0"/>
        <w:spacing w:line="360" w:lineRule="auto"/>
        <w:jc w:val="both"/>
        <w:rPr>
          <w:rFonts w:ascii="Book Antiqua" w:hAnsi="Book Antiqua" w:cs="Arial"/>
          <w:b/>
          <w:bCs/>
          <w:sz w:val="24"/>
          <w:lang w:val="en-GB"/>
        </w:rPr>
      </w:pPr>
      <w:r w:rsidRPr="00F12AFF">
        <w:rPr>
          <w:rFonts w:ascii="Book Antiqua" w:hAnsi="Book Antiqua" w:cs="Arial"/>
          <w:b/>
          <w:bCs/>
          <w:sz w:val="24"/>
          <w:lang w:val="en-GB"/>
        </w:rPr>
        <w:t>Beneficial long ter</w:t>
      </w:r>
      <w:r w:rsidR="00C015BC" w:rsidRPr="00F12AFF">
        <w:rPr>
          <w:rFonts w:ascii="Book Antiqua" w:hAnsi="Book Antiqua" w:cs="Arial"/>
          <w:b/>
          <w:bCs/>
          <w:sz w:val="24"/>
          <w:lang w:val="en-GB"/>
        </w:rPr>
        <w:t>m effect of a phosphodiesterase-</w:t>
      </w:r>
      <w:r w:rsidRPr="00F12AFF">
        <w:rPr>
          <w:rFonts w:ascii="Book Antiqua" w:hAnsi="Book Antiqua" w:cs="Arial"/>
          <w:b/>
          <w:bCs/>
          <w:sz w:val="24"/>
          <w:lang w:val="en-GB"/>
        </w:rPr>
        <w:t>5</w:t>
      </w:r>
      <w:r w:rsidR="00C015BC" w:rsidRPr="00F12AFF">
        <w:rPr>
          <w:rFonts w:ascii="Book Antiqua" w:hAnsi="Book Antiqua" w:cs="Arial"/>
          <w:b/>
          <w:bCs/>
          <w:sz w:val="24"/>
          <w:lang w:val="en-GB"/>
        </w:rPr>
        <w:t>-</w:t>
      </w:r>
      <w:r w:rsidRPr="00F12AFF">
        <w:rPr>
          <w:rFonts w:ascii="Book Antiqua" w:hAnsi="Book Antiqua" w:cs="Arial"/>
          <w:b/>
          <w:bCs/>
          <w:sz w:val="24"/>
          <w:lang w:val="en-GB"/>
        </w:rPr>
        <w:t>inhibitor in cirrhotic portal hypertension</w:t>
      </w:r>
      <w:r w:rsidR="008554DF" w:rsidRPr="00F12AFF">
        <w:rPr>
          <w:rFonts w:ascii="Book Antiqua" w:hAnsi="Book Antiqua" w:cs="Arial"/>
          <w:b/>
          <w:bCs/>
          <w:sz w:val="24"/>
          <w:lang w:val="en-GB" w:eastAsia="zh-CN"/>
        </w:rPr>
        <w:t>:</w:t>
      </w:r>
      <w:r w:rsidRPr="00F12AFF">
        <w:rPr>
          <w:rFonts w:ascii="Book Antiqua" w:hAnsi="Book Antiqua" w:cs="Arial"/>
          <w:b/>
          <w:bCs/>
          <w:sz w:val="24"/>
          <w:lang w:val="en-GB"/>
        </w:rPr>
        <w:t xml:space="preserve"> A case report with 8 years follow-up</w:t>
      </w:r>
    </w:p>
    <w:p w:rsidR="00E7608E" w:rsidRPr="00F12AFF" w:rsidRDefault="00E7608E" w:rsidP="00F12AFF">
      <w:pPr>
        <w:adjustRightInd w:val="0"/>
        <w:snapToGrid w:val="0"/>
        <w:spacing w:line="360" w:lineRule="auto"/>
        <w:jc w:val="both"/>
        <w:rPr>
          <w:rFonts w:ascii="Book Antiqua" w:hAnsi="Book Antiqua" w:cs="Arial"/>
          <w:b/>
          <w:bCs/>
          <w:sz w:val="24"/>
          <w:lang w:val="en-GB"/>
        </w:rPr>
      </w:pPr>
    </w:p>
    <w:p w:rsidR="00E7608E" w:rsidRPr="00F12AFF" w:rsidRDefault="008554DF" w:rsidP="00F12AFF">
      <w:pPr>
        <w:adjustRightInd w:val="0"/>
        <w:snapToGrid w:val="0"/>
        <w:spacing w:line="360" w:lineRule="auto"/>
        <w:jc w:val="both"/>
        <w:rPr>
          <w:rFonts w:ascii="Book Antiqua" w:hAnsi="Book Antiqua" w:cs="Arial"/>
          <w:bCs/>
          <w:sz w:val="24"/>
          <w:lang w:eastAsia="zh-CN"/>
        </w:rPr>
      </w:pPr>
      <w:r w:rsidRPr="00F12AFF">
        <w:rPr>
          <w:rFonts w:ascii="Book Antiqua" w:hAnsi="Book Antiqua" w:cs="Arial"/>
          <w:bCs/>
          <w:sz w:val="24"/>
        </w:rPr>
        <w:t>Deibert</w:t>
      </w:r>
      <w:r w:rsidRPr="00F12AFF">
        <w:rPr>
          <w:rFonts w:ascii="Book Antiqua" w:hAnsi="Book Antiqua" w:cs="Arial"/>
          <w:b/>
          <w:bCs/>
          <w:sz w:val="24"/>
        </w:rPr>
        <w:t xml:space="preserve"> </w:t>
      </w:r>
      <w:r w:rsidRPr="00F12AFF">
        <w:rPr>
          <w:rFonts w:ascii="Book Antiqua" w:hAnsi="Book Antiqua" w:cs="Arial"/>
          <w:b/>
          <w:bCs/>
          <w:sz w:val="24"/>
          <w:lang w:eastAsia="zh-CN"/>
        </w:rPr>
        <w:t xml:space="preserve"> </w:t>
      </w:r>
      <w:r w:rsidRPr="00F12AFF">
        <w:rPr>
          <w:rFonts w:ascii="Book Antiqua" w:hAnsi="Book Antiqua" w:cs="Arial"/>
          <w:bCs/>
          <w:sz w:val="24"/>
          <w:lang w:eastAsia="zh-CN"/>
        </w:rPr>
        <w:t>P</w:t>
      </w:r>
      <w:r w:rsidRPr="00F12AFF">
        <w:rPr>
          <w:rFonts w:ascii="Book Antiqua" w:hAnsi="Book Antiqua" w:cs="Arial"/>
          <w:bCs/>
          <w:i/>
          <w:sz w:val="24"/>
          <w:lang w:eastAsia="zh-CN"/>
        </w:rPr>
        <w:t xml:space="preserve"> et al</w:t>
      </w:r>
      <w:r w:rsidRPr="00F12AFF">
        <w:rPr>
          <w:rFonts w:ascii="Book Antiqua" w:hAnsi="Book Antiqua" w:cs="Arial"/>
          <w:bCs/>
          <w:sz w:val="24"/>
          <w:lang w:eastAsia="zh-CN"/>
        </w:rPr>
        <w:t xml:space="preserve">. </w:t>
      </w:r>
      <w:r w:rsidR="00E7608E" w:rsidRPr="00F12AFF">
        <w:rPr>
          <w:rFonts w:ascii="Book Antiqua" w:hAnsi="Book Antiqua" w:cs="Arial"/>
          <w:bCs/>
          <w:sz w:val="24"/>
        </w:rPr>
        <w:t>PDE-5-</w:t>
      </w:r>
      <w:r w:rsidRPr="00F12AFF">
        <w:rPr>
          <w:rFonts w:ascii="Book Antiqua" w:hAnsi="Book Antiqua" w:cs="Arial"/>
          <w:bCs/>
          <w:sz w:val="24"/>
        </w:rPr>
        <w:t>i</w:t>
      </w:r>
      <w:r w:rsidR="00E7608E" w:rsidRPr="00F12AFF">
        <w:rPr>
          <w:rFonts w:ascii="Book Antiqua" w:hAnsi="Book Antiqua" w:cs="Arial"/>
          <w:bCs/>
          <w:sz w:val="24"/>
        </w:rPr>
        <w:t xml:space="preserve">nhibitors in </w:t>
      </w:r>
      <w:r w:rsidRPr="00F12AFF">
        <w:rPr>
          <w:rFonts w:ascii="Book Antiqua" w:hAnsi="Book Antiqua" w:cs="Arial"/>
          <w:bCs/>
          <w:sz w:val="24"/>
        </w:rPr>
        <w:t>portal hyperten</w:t>
      </w:r>
      <w:r w:rsidR="00E7608E" w:rsidRPr="00F12AFF">
        <w:rPr>
          <w:rFonts w:ascii="Book Antiqua" w:hAnsi="Book Antiqua" w:cs="Arial"/>
          <w:bCs/>
          <w:sz w:val="24"/>
        </w:rPr>
        <w:t>sion</w:t>
      </w:r>
    </w:p>
    <w:p w:rsidR="00E7608E" w:rsidRPr="00F12AFF" w:rsidRDefault="00E7608E" w:rsidP="00F12AFF">
      <w:pPr>
        <w:adjustRightInd w:val="0"/>
        <w:snapToGrid w:val="0"/>
        <w:spacing w:line="360" w:lineRule="auto"/>
        <w:jc w:val="both"/>
        <w:rPr>
          <w:rFonts w:ascii="Book Antiqua" w:hAnsi="Book Antiqua" w:cs="Arial"/>
          <w:b/>
          <w:bCs/>
          <w:sz w:val="24"/>
        </w:rPr>
      </w:pPr>
    </w:p>
    <w:p w:rsidR="00E7608E" w:rsidRPr="00F12AFF" w:rsidRDefault="00E7608E" w:rsidP="00F12AFF">
      <w:pPr>
        <w:adjustRightInd w:val="0"/>
        <w:snapToGrid w:val="0"/>
        <w:spacing w:line="360" w:lineRule="auto"/>
        <w:jc w:val="both"/>
        <w:rPr>
          <w:rFonts w:ascii="Book Antiqua" w:hAnsi="Book Antiqua" w:cs="Arial"/>
          <w:bCs/>
          <w:sz w:val="24"/>
        </w:rPr>
      </w:pPr>
      <w:r w:rsidRPr="00F12AFF">
        <w:rPr>
          <w:rFonts w:ascii="Book Antiqua" w:hAnsi="Book Antiqua" w:cs="Arial"/>
          <w:bCs/>
          <w:sz w:val="24"/>
        </w:rPr>
        <w:t>Peter Deibert, Adhara Lazaro, Zoran Stankovic, Denise Schaffner, Martin R</w:t>
      </w:r>
      <w:r w:rsidR="00C267C1" w:rsidRPr="00F12AFF">
        <w:rPr>
          <w:rFonts w:ascii="Book Antiqua" w:hAnsi="Book Antiqua" w:cs="Arial"/>
          <w:bCs/>
          <w:sz w:val="24"/>
        </w:rPr>
        <w:t>ö</w:t>
      </w:r>
      <w:r w:rsidRPr="00F12AFF">
        <w:rPr>
          <w:rFonts w:ascii="Book Antiqua" w:hAnsi="Book Antiqua" w:cs="Arial"/>
          <w:bCs/>
          <w:sz w:val="24"/>
        </w:rPr>
        <w:t>ssle, Wolfgang Kreisel</w:t>
      </w:r>
    </w:p>
    <w:p w:rsidR="004D7F05" w:rsidRPr="00F12AFF" w:rsidRDefault="004D7F05" w:rsidP="00F12AFF">
      <w:pPr>
        <w:adjustRightInd w:val="0"/>
        <w:snapToGrid w:val="0"/>
        <w:spacing w:line="360" w:lineRule="auto"/>
        <w:jc w:val="both"/>
        <w:rPr>
          <w:rFonts w:ascii="Book Antiqua" w:hAnsi="Book Antiqua" w:cs="Arial"/>
          <w:b/>
          <w:bCs/>
          <w:sz w:val="24"/>
          <w:lang w:eastAsia="zh-CN"/>
        </w:rPr>
      </w:pPr>
    </w:p>
    <w:p w:rsidR="00E7608E" w:rsidRPr="00F12AFF" w:rsidRDefault="008246B9" w:rsidP="00F12AFF">
      <w:pPr>
        <w:adjustRightInd w:val="0"/>
        <w:snapToGrid w:val="0"/>
        <w:spacing w:line="360" w:lineRule="auto"/>
        <w:jc w:val="both"/>
        <w:rPr>
          <w:rFonts w:ascii="Book Antiqua" w:hAnsi="Book Antiqua" w:cs="Arial"/>
          <w:b/>
          <w:bCs/>
          <w:sz w:val="24"/>
        </w:rPr>
      </w:pPr>
      <w:r w:rsidRPr="00F12AFF">
        <w:rPr>
          <w:rFonts w:ascii="Book Antiqua" w:hAnsi="Book Antiqua" w:cs="Arial"/>
          <w:b/>
          <w:bCs/>
          <w:sz w:val="24"/>
        </w:rPr>
        <w:t>Peter Deibert, Adhara Lazaro,</w:t>
      </w:r>
      <w:r w:rsidRPr="00F12AFF">
        <w:rPr>
          <w:rFonts w:ascii="Book Antiqua" w:hAnsi="Book Antiqua" w:cs="Arial"/>
          <w:bCs/>
          <w:sz w:val="24"/>
        </w:rPr>
        <w:t xml:space="preserve"> </w:t>
      </w:r>
      <w:r w:rsidRPr="00F12AFF">
        <w:rPr>
          <w:rFonts w:ascii="Book Antiqua" w:hAnsi="Book Antiqua" w:cs="Arial"/>
          <w:b/>
          <w:bCs/>
          <w:sz w:val="24"/>
        </w:rPr>
        <w:t>Denise Schaffner</w:t>
      </w:r>
      <w:r w:rsidR="004D7F05" w:rsidRPr="00F12AFF">
        <w:rPr>
          <w:rFonts w:ascii="Book Antiqua" w:hAnsi="Book Antiqua" w:cs="Arial"/>
          <w:b/>
          <w:bCs/>
          <w:sz w:val="24"/>
          <w:lang w:eastAsia="zh-CN"/>
        </w:rPr>
        <w:t xml:space="preserve">, </w:t>
      </w:r>
      <w:r w:rsidR="004D7F05" w:rsidRPr="00F12AFF">
        <w:rPr>
          <w:rFonts w:ascii="Book Antiqua" w:hAnsi="Book Antiqua" w:cs="Arial"/>
          <w:sz w:val="24"/>
          <w:lang w:val="en-GB"/>
        </w:rPr>
        <w:t xml:space="preserve">Faculty of Medicine, Institute for Exercise and Occupational Medicine, Department of Medicine, </w:t>
      </w:r>
      <w:r w:rsidR="00C86938" w:rsidRPr="00F12AFF">
        <w:rPr>
          <w:rFonts w:ascii="Book Antiqua" w:hAnsi="Book Antiqua" w:cs="Arial"/>
          <w:sz w:val="24"/>
          <w:lang w:val="en-GB"/>
        </w:rPr>
        <w:t xml:space="preserve">University Hospital, </w:t>
      </w:r>
      <w:r w:rsidR="00A33530" w:rsidRPr="00F12AFF">
        <w:rPr>
          <w:rFonts w:ascii="Book Antiqua" w:hAnsi="Book Antiqua" w:cs="Arial"/>
          <w:sz w:val="24"/>
          <w:lang w:val="en-GB"/>
        </w:rPr>
        <w:t>Freiburg</w:t>
      </w:r>
      <w:r w:rsidR="004D7F05" w:rsidRPr="00F12AFF">
        <w:rPr>
          <w:rFonts w:ascii="Book Antiqua" w:hAnsi="Book Antiqua" w:cs="Arial"/>
          <w:sz w:val="24"/>
          <w:lang w:val="en-GB" w:eastAsia="zh-CN"/>
        </w:rPr>
        <w:t xml:space="preserve"> </w:t>
      </w:r>
      <w:r w:rsidR="004D7F05" w:rsidRPr="00F12AFF">
        <w:rPr>
          <w:rFonts w:ascii="Book Antiqua" w:hAnsi="Book Antiqua" w:cs="Arial"/>
          <w:sz w:val="24"/>
          <w:lang w:val="en-GB"/>
        </w:rPr>
        <w:t>79106</w:t>
      </w:r>
      <w:r w:rsidR="00E7608E" w:rsidRPr="00F12AFF">
        <w:rPr>
          <w:rFonts w:ascii="Book Antiqua" w:hAnsi="Book Antiqua" w:cs="Arial"/>
          <w:sz w:val="24"/>
          <w:lang w:val="en-GB"/>
        </w:rPr>
        <w:t>, Germany</w:t>
      </w:r>
    </w:p>
    <w:p w:rsidR="00E7608E" w:rsidRPr="00F12AFF" w:rsidRDefault="00E7608E" w:rsidP="00F12AFF">
      <w:pPr>
        <w:widowControl w:val="0"/>
        <w:autoSpaceDE w:val="0"/>
        <w:autoSpaceDN w:val="0"/>
        <w:adjustRightInd w:val="0"/>
        <w:snapToGrid w:val="0"/>
        <w:spacing w:line="360" w:lineRule="auto"/>
        <w:jc w:val="both"/>
        <w:rPr>
          <w:rFonts w:ascii="Book Antiqua" w:hAnsi="Book Antiqua" w:cs="Arial"/>
          <w:sz w:val="24"/>
          <w:vertAlign w:val="superscript"/>
          <w:lang w:val="en-GB"/>
        </w:rPr>
      </w:pPr>
    </w:p>
    <w:p w:rsidR="00E7608E" w:rsidRPr="00F12AFF" w:rsidRDefault="008246B9" w:rsidP="00F12AFF">
      <w:pPr>
        <w:adjustRightInd w:val="0"/>
        <w:snapToGrid w:val="0"/>
        <w:spacing w:line="360" w:lineRule="auto"/>
        <w:jc w:val="both"/>
        <w:rPr>
          <w:rFonts w:ascii="Book Antiqua" w:hAnsi="Book Antiqua" w:cs="Arial"/>
          <w:b/>
          <w:bCs/>
          <w:sz w:val="24"/>
          <w:lang w:val="en-US" w:eastAsia="zh-CN"/>
        </w:rPr>
      </w:pPr>
      <w:r w:rsidRPr="00F12AFF">
        <w:rPr>
          <w:rFonts w:ascii="Book Antiqua" w:hAnsi="Book Antiqua" w:cs="Arial"/>
          <w:b/>
          <w:bCs/>
          <w:sz w:val="24"/>
          <w:lang w:val="en-US"/>
        </w:rPr>
        <w:t>Zoran Stankovic</w:t>
      </w:r>
      <w:r w:rsidR="004D7F05" w:rsidRPr="00F12AFF">
        <w:rPr>
          <w:rFonts w:ascii="Book Antiqua" w:hAnsi="Book Antiqua" w:cs="Arial"/>
          <w:b/>
          <w:bCs/>
          <w:sz w:val="24"/>
          <w:lang w:val="en-US" w:eastAsia="zh-CN"/>
        </w:rPr>
        <w:t xml:space="preserve">, </w:t>
      </w:r>
      <w:r w:rsidR="004D7F05" w:rsidRPr="00F12AFF">
        <w:rPr>
          <w:rFonts w:ascii="Book Antiqua" w:hAnsi="Book Antiqua" w:cs="Arial"/>
          <w:sz w:val="24"/>
          <w:lang w:val="en-GB"/>
        </w:rPr>
        <w:t xml:space="preserve">Inselspital, Interventional and Pediatric Radiology, Institute of Diagnostic, </w:t>
      </w:r>
      <w:r w:rsidR="00E7608E" w:rsidRPr="00F12AFF">
        <w:rPr>
          <w:rFonts w:ascii="Book Antiqua" w:hAnsi="Book Antiqua" w:cs="Arial"/>
          <w:sz w:val="24"/>
          <w:lang w:val="en-GB"/>
        </w:rPr>
        <w:t>University</w:t>
      </w:r>
      <w:r w:rsidR="00A33530" w:rsidRPr="00F12AFF">
        <w:rPr>
          <w:rFonts w:ascii="Book Antiqua" w:hAnsi="Book Antiqua" w:cs="Arial"/>
          <w:sz w:val="24"/>
          <w:lang w:val="en-GB"/>
        </w:rPr>
        <w:t xml:space="preserve"> of Bern,</w:t>
      </w:r>
      <w:r w:rsidR="00E7608E" w:rsidRPr="00F12AFF">
        <w:rPr>
          <w:rFonts w:ascii="Book Antiqua" w:hAnsi="Book Antiqua" w:cs="Arial"/>
          <w:sz w:val="24"/>
          <w:lang w:val="en-GB"/>
        </w:rPr>
        <w:t xml:space="preserve"> Bern</w:t>
      </w:r>
      <w:r w:rsidR="004D7F05" w:rsidRPr="00F12AFF">
        <w:rPr>
          <w:rFonts w:ascii="Book Antiqua" w:hAnsi="Book Antiqua" w:cs="Arial"/>
          <w:sz w:val="24"/>
          <w:lang w:val="en-GB" w:eastAsia="zh-CN"/>
        </w:rPr>
        <w:t xml:space="preserve"> </w:t>
      </w:r>
      <w:r w:rsidR="004D7F05" w:rsidRPr="00F12AFF">
        <w:rPr>
          <w:rFonts w:ascii="Book Antiqua" w:hAnsi="Book Antiqua" w:cs="Arial"/>
          <w:sz w:val="24"/>
          <w:lang w:val="en-GB"/>
        </w:rPr>
        <w:t>3010</w:t>
      </w:r>
      <w:r w:rsidR="00E7608E" w:rsidRPr="00F12AFF">
        <w:rPr>
          <w:rFonts w:ascii="Book Antiqua" w:hAnsi="Book Antiqua" w:cs="Arial"/>
          <w:sz w:val="24"/>
          <w:lang w:val="en-GB"/>
        </w:rPr>
        <w:t>, Switzerland</w:t>
      </w:r>
    </w:p>
    <w:p w:rsidR="00E7608E" w:rsidRPr="00F12AFF" w:rsidRDefault="00E7608E" w:rsidP="00F12AFF">
      <w:pPr>
        <w:widowControl w:val="0"/>
        <w:autoSpaceDE w:val="0"/>
        <w:autoSpaceDN w:val="0"/>
        <w:adjustRightInd w:val="0"/>
        <w:snapToGrid w:val="0"/>
        <w:spacing w:line="360" w:lineRule="auto"/>
        <w:jc w:val="both"/>
        <w:rPr>
          <w:rFonts w:ascii="Book Antiqua" w:hAnsi="Book Antiqua" w:cs="Arial"/>
          <w:sz w:val="24"/>
          <w:lang w:val="en-US"/>
        </w:rPr>
      </w:pPr>
    </w:p>
    <w:p w:rsidR="00A33530" w:rsidRPr="00F12AFF" w:rsidRDefault="008246B9" w:rsidP="00F12AFF">
      <w:pPr>
        <w:adjustRightInd w:val="0"/>
        <w:snapToGrid w:val="0"/>
        <w:spacing w:line="360" w:lineRule="auto"/>
        <w:jc w:val="both"/>
        <w:rPr>
          <w:rFonts w:ascii="Book Antiqua" w:hAnsi="Book Antiqua" w:cs="Arial"/>
          <w:b/>
          <w:bCs/>
          <w:sz w:val="24"/>
          <w:lang w:val="en-US"/>
        </w:rPr>
      </w:pPr>
      <w:r w:rsidRPr="00F12AFF">
        <w:rPr>
          <w:rFonts w:ascii="Book Antiqua" w:hAnsi="Book Antiqua" w:cs="Arial"/>
          <w:b/>
          <w:bCs/>
          <w:sz w:val="24"/>
          <w:lang w:val="en-US"/>
        </w:rPr>
        <w:t>Denise Schaffner</w:t>
      </w:r>
      <w:r w:rsidR="004D7F05" w:rsidRPr="00F12AFF">
        <w:rPr>
          <w:rFonts w:ascii="Book Antiqua" w:hAnsi="Book Antiqua" w:cs="Arial"/>
          <w:b/>
          <w:bCs/>
          <w:sz w:val="24"/>
          <w:lang w:val="en-US" w:eastAsia="zh-CN"/>
        </w:rPr>
        <w:t xml:space="preserve">, </w:t>
      </w:r>
      <w:r w:rsidR="00A33530" w:rsidRPr="00F12AFF">
        <w:rPr>
          <w:rFonts w:ascii="Book Antiqua" w:hAnsi="Book Antiqua" w:cs="Arial"/>
          <w:sz w:val="24"/>
          <w:lang w:val="en-GB"/>
        </w:rPr>
        <w:t>Department of Pharmaceutical Biology and Biotechnology, University of Freiburg, Freiburg</w:t>
      </w:r>
      <w:r w:rsidR="004D7F05" w:rsidRPr="00F12AFF">
        <w:rPr>
          <w:rFonts w:ascii="Book Antiqua" w:hAnsi="Book Antiqua" w:cs="Arial"/>
          <w:sz w:val="24"/>
          <w:lang w:val="en-GB" w:eastAsia="zh-CN"/>
        </w:rPr>
        <w:t xml:space="preserve"> </w:t>
      </w:r>
      <w:r w:rsidR="004D7F05" w:rsidRPr="00F12AFF">
        <w:rPr>
          <w:rFonts w:ascii="Book Antiqua" w:hAnsi="Book Antiqua" w:cs="Arial"/>
          <w:sz w:val="24"/>
          <w:lang w:val="en-GB"/>
        </w:rPr>
        <w:t>79106</w:t>
      </w:r>
      <w:r w:rsidR="00A33530" w:rsidRPr="00F12AFF">
        <w:rPr>
          <w:rFonts w:ascii="Book Antiqua" w:hAnsi="Book Antiqua" w:cs="Arial"/>
          <w:sz w:val="24"/>
          <w:lang w:val="en-GB"/>
        </w:rPr>
        <w:t>, Germany</w:t>
      </w:r>
    </w:p>
    <w:p w:rsidR="00A33530" w:rsidRPr="00F12AFF" w:rsidRDefault="00A33530" w:rsidP="00F12AFF">
      <w:pPr>
        <w:widowControl w:val="0"/>
        <w:autoSpaceDE w:val="0"/>
        <w:autoSpaceDN w:val="0"/>
        <w:adjustRightInd w:val="0"/>
        <w:snapToGrid w:val="0"/>
        <w:spacing w:line="360" w:lineRule="auto"/>
        <w:jc w:val="both"/>
        <w:rPr>
          <w:rFonts w:ascii="Book Antiqua" w:hAnsi="Book Antiqua" w:cs="Arial"/>
          <w:sz w:val="24"/>
          <w:lang w:val="en-GB"/>
        </w:rPr>
      </w:pPr>
    </w:p>
    <w:p w:rsidR="00E7608E" w:rsidRPr="00F12AFF" w:rsidRDefault="008246B9" w:rsidP="00F12AFF">
      <w:pPr>
        <w:adjustRightInd w:val="0"/>
        <w:snapToGrid w:val="0"/>
        <w:spacing w:line="360" w:lineRule="auto"/>
        <w:jc w:val="both"/>
        <w:rPr>
          <w:rFonts w:ascii="Book Antiqua" w:hAnsi="Book Antiqua" w:cs="Arial"/>
          <w:b/>
          <w:bCs/>
          <w:sz w:val="24"/>
        </w:rPr>
      </w:pPr>
      <w:r w:rsidRPr="00F12AFF">
        <w:rPr>
          <w:rFonts w:ascii="Book Antiqua" w:hAnsi="Book Antiqua" w:cs="Arial"/>
          <w:b/>
          <w:bCs/>
          <w:sz w:val="24"/>
        </w:rPr>
        <w:t>Martin Rössle</w:t>
      </w:r>
      <w:r w:rsidR="004D7F05" w:rsidRPr="00F12AFF">
        <w:rPr>
          <w:rFonts w:ascii="Book Antiqua" w:hAnsi="Book Antiqua" w:cs="Arial"/>
          <w:b/>
          <w:bCs/>
          <w:sz w:val="24"/>
          <w:lang w:eastAsia="zh-CN"/>
        </w:rPr>
        <w:t xml:space="preserve">, </w:t>
      </w:r>
      <w:r w:rsidR="004D7F05" w:rsidRPr="00F12AFF">
        <w:rPr>
          <w:rFonts w:ascii="Book Antiqua" w:hAnsi="Book Antiqua" w:cs="Arial"/>
          <w:bCs/>
          <w:sz w:val="24"/>
          <w:lang w:eastAsia="zh-CN"/>
        </w:rPr>
        <w:t xml:space="preserve">Private Praxis, </w:t>
      </w:r>
      <w:r w:rsidR="00E7608E" w:rsidRPr="00F12AFF">
        <w:rPr>
          <w:rFonts w:ascii="Book Antiqua" w:hAnsi="Book Antiqua"/>
          <w:sz w:val="24"/>
        </w:rPr>
        <w:t>Praxiszentrum, Freiburg</w:t>
      </w:r>
      <w:r w:rsidR="004D7F05" w:rsidRPr="00F12AFF">
        <w:rPr>
          <w:rFonts w:ascii="Book Antiqua" w:hAnsi="Book Antiqua"/>
          <w:sz w:val="24"/>
          <w:lang w:eastAsia="zh-CN"/>
        </w:rPr>
        <w:t xml:space="preserve"> </w:t>
      </w:r>
      <w:r w:rsidR="004D7F05" w:rsidRPr="00F12AFF">
        <w:rPr>
          <w:rFonts w:ascii="Book Antiqua" w:hAnsi="Book Antiqua"/>
          <w:sz w:val="24"/>
        </w:rPr>
        <w:t>79104</w:t>
      </w:r>
      <w:r w:rsidR="00E7608E" w:rsidRPr="00F12AFF">
        <w:rPr>
          <w:rFonts w:ascii="Book Antiqua" w:hAnsi="Book Antiqua"/>
          <w:sz w:val="24"/>
        </w:rPr>
        <w:t>, Germany</w:t>
      </w:r>
    </w:p>
    <w:p w:rsidR="00E7608E" w:rsidRPr="00F12AFF" w:rsidRDefault="00E7608E" w:rsidP="00F12AFF">
      <w:pPr>
        <w:widowControl w:val="0"/>
        <w:autoSpaceDE w:val="0"/>
        <w:autoSpaceDN w:val="0"/>
        <w:adjustRightInd w:val="0"/>
        <w:snapToGrid w:val="0"/>
        <w:spacing w:line="360" w:lineRule="auto"/>
        <w:jc w:val="both"/>
        <w:rPr>
          <w:rFonts w:ascii="Book Antiqua" w:hAnsi="Book Antiqua" w:cs="Arial"/>
          <w:sz w:val="24"/>
        </w:rPr>
      </w:pPr>
    </w:p>
    <w:p w:rsidR="00E7608E" w:rsidRPr="00F12AFF" w:rsidRDefault="008246B9" w:rsidP="00F12AFF">
      <w:pPr>
        <w:adjustRightInd w:val="0"/>
        <w:snapToGrid w:val="0"/>
        <w:spacing w:line="360" w:lineRule="auto"/>
        <w:jc w:val="both"/>
        <w:rPr>
          <w:rFonts w:ascii="Book Antiqua" w:hAnsi="Book Antiqua" w:cs="Arial"/>
          <w:sz w:val="24"/>
          <w:lang w:val="en-GB" w:eastAsia="zh-CN"/>
        </w:rPr>
      </w:pPr>
      <w:r w:rsidRPr="00F12AFF">
        <w:rPr>
          <w:rFonts w:ascii="Book Antiqua" w:hAnsi="Book Antiqua" w:cs="Arial"/>
          <w:b/>
          <w:bCs/>
          <w:sz w:val="24"/>
        </w:rPr>
        <w:t>Wolfgang Kreisel</w:t>
      </w:r>
      <w:r w:rsidR="004D7F05" w:rsidRPr="00F12AFF">
        <w:rPr>
          <w:rFonts w:ascii="Book Antiqua" w:hAnsi="Book Antiqua" w:cs="Arial"/>
          <w:b/>
          <w:bCs/>
          <w:sz w:val="24"/>
          <w:lang w:eastAsia="zh-CN"/>
        </w:rPr>
        <w:t xml:space="preserve">, </w:t>
      </w:r>
      <w:r w:rsidR="004D7F05" w:rsidRPr="00F12AFF">
        <w:rPr>
          <w:rFonts w:ascii="Book Antiqua" w:hAnsi="Book Antiqua" w:cs="Arial"/>
          <w:sz w:val="24"/>
          <w:lang w:val="en-GB"/>
        </w:rPr>
        <w:t>Faculty of Medicine,</w:t>
      </w:r>
      <w:r w:rsidR="004D7F05" w:rsidRPr="00F12AFF">
        <w:rPr>
          <w:rFonts w:ascii="Book Antiqua" w:hAnsi="Book Antiqua" w:cs="Arial"/>
          <w:sz w:val="24"/>
          <w:lang w:val="en-GB" w:eastAsia="zh-CN"/>
        </w:rPr>
        <w:t xml:space="preserve"> </w:t>
      </w:r>
      <w:r w:rsidR="004D7F05" w:rsidRPr="00F12AFF">
        <w:rPr>
          <w:rFonts w:ascii="Book Antiqua" w:hAnsi="Book Antiqua" w:cs="Arial"/>
          <w:sz w:val="24"/>
          <w:lang w:val="en-GB"/>
        </w:rPr>
        <w:t>Endocrinology and Infectious Diseases,</w:t>
      </w:r>
      <w:r w:rsidR="004D7F05" w:rsidRPr="00F12AFF">
        <w:rPr>
          <w:rFonts w:ascii="Book Antiqua" w:hAnsi="Book Antiqua" w:cs="Arial"/>
          <w:sz w:val="24"/>
          <w:lang w:val="en-GB" w:eastAsia="zh-CN"/>
        </w:rPr>
        <w:t xml:space="preserve"> </w:t>
      </w:r>
      <w:r w:rsidR="004D7F05" w:rsidRPr="00F12AFF">
        <w:rPr>
          <w:rFonts w:ascii="Book Antiqua" w:hAnsi="Book Antiqua" w:cs="Arial"/>
          <w:sz w:val="24"/>
          <w:lang w:val="en-GB"/>
        </w:rPr>
        <w:t>Department of Gastroenterology, Hepatology,</w:t>
      </w:r>
      <w:r w:rsidR="004D7F05" w:rsidRPr="00F12AFF">
        <w:rPr>
          <w:rFonts w:ascii="Book Antiqua" w:hAnsi="Book Antiqua" w:cs="Arial"/>
          <w:sz w:val="24"/>
          <w:lang w:val="en-GB" w:eastAsia="zh-CN"/>
        </w:rPr>
        <w:t xml:space="preserve"> </w:t>
      </w:r>
      <w:r w:rsidR="00A33530" w:rsidRPr="00F12AFF">
        <w:rPr>
          <w:rFonts w:ascii="Book Antiqua" w:hAnsi="Book Antiqua" w:cs="Arial"/>
          <w:sz w:val="24"/>
          <w:lang w:val="en-GB"/>
        </w:rPr>
        <w:t>University Hospital,</w:t>
      </w:r>
      <w:r w:rsidR="00E7608E" w:rsidRPr="00F12AFF">
        <w:rPr>
          <w:rFonts w:ascii="Book Antiqua" w:hAnsi="Book Antiqua" w:cs="Arial"/>
          <w:sz w:val="24"/>
          <w:lang w:val="en-GB"/>
        </w:rPr>
        <w:t xml:space="preserve"> Freiburg</w:t>
      </w:r>
      <w:r w:rsidR="004D7F05" w:rsidRPr="00F12AFF">
        <w:rPr>
          <w:rFonts w:ascii="Book Antiqua" w:hAnsi="Book Antiqua" w:cs="Arial"/>
          <w:sz w:val="24"/>
          <w:lang w:val="en-GB" w:eastAsia="zh-CN"/>
        </w:rPr>
        <w:t xml:space="preserve"> </w:t>
      </w:r>
      <w:r w:rsidR="004D7F05" w:rsidRPr="00F12AFF">
        <w:rPr>
          <w:rFonts w:ascii="Book Antiqua" w:hAnsi="Book Antiqua" w:cs="Arial"/>
          <w:sz w:val="24"/>
          <w:lang w:val="en-GB"/>
        </w:rPr>
        <w:t>79106</w:t>
      </w:r>
      <w:r w:rsidR="00E7608E" w:rsidRPr="00F12AFF">
        <w:rPr>
          <w:rFonts w:ascii="Book Antiqua" w:hAnsi="Book Antiqua" w:cs="Arial"/>
          <w:sz w:val="24"/>
          <w:lang w:val="en-GB"/>
        </w:rPr>
        <w:t>, Germany</w:t>
      </w:r>
    </w:p>
    <w:p w:rsidR="004D7F05" w:rsidRPr="00F12AFF" w:rsidRDefault="004D7F05" w:rsidP="00F12AFF">
      <w:pPr>
        <w:adjustRightInd w:val="0"/>
        <w:snapToGrid w:val="0"/>
        <w:spacing w:line="360" w:lineRule="auto"/>
        <w:jc w:val="both"/>
        <w:rPr>
          <w:rFonts w:ascii="Book Antiqua" w:hAnsi="Book Antiqua" w:cs="Arial"/>
          <w:b/>
          <w:bCs/>
          <w:sz w:val="24"/>
          <w:lang w:val="en-GB" w:eastAsia="zh-CN"/>
        </w:rPr>
      </w:pPr>
    </w:p>
    <w:p w:rsidR="00C267C1" w:rsidRPr="00F12AFF" w:rsidRDefault="008554DF" w:rsidP="00F12AFF">
      <w:pPr>
        <w:widowControl w:val="0"/>
        <w:autoSpaceDE w:val="0"/>
        <w:autoSpaceDN w:val="0"/>
        <w:adjustRightInd w:val="0"/>
        <w:snapToGrid w:val="0"/>
        <w:spacing w:line="360" w:lineRule="auto"/>
        <w:jc w:val="both"/>
        <w:rPr>
          <w:rFonts w:ascii="Book Antiqua" w:hAnsi="Book Antiqua"/>
          <w:b/>
          <w:bCs/>
          <w:sz w:val="24"/>
          <w:lang w:val="en-US" w:eastAsia="zh-CN"/>
        </w:rPr>
      </w:pPr>
      <w:r w:rsidRPr="00F12AFF">
        <w:rPr>
          <w:rFonts w:ascii="Book Antiqua" w:hAnsi="Book Antiqua"/>
          <w:b/>
          <w:bCs/>
          <w:sz w:val="24"/>
          <w:lang w:val="en-US"/>
        </w:rPr>
        <w:t>ORCID number:</w:t>
      </w:r>
      <w:r w:rsidR="00C267C1" w:rsidRPr="00F12AFF">
        <w:rPr>
          <w:rFonts w:ascii="Book Antiqua" w:hAnsi="Book Antiqua"/>
          <w:b/>
          <w:bCs/>
          <w:sz w:val="24"/>
          <w:lang w:val="en-US"/>
        </w:rPr>
        <w:t xml:space="preserve"> </w:t>
      </w:r>
      <w:r w:rsidR="00C267C1" w:rsidRPr="00F12AFF">
        <w:rPr>
          <w:rFonts w:ascii="Book Antiqua" w:hAnsi="Book Antiqua"/>
          <w:bCs/>
          <w:sz w:val="24"/>
          <w:lang w:val="en-US"/>
        </w:rPr>
        <w:t>Peter Deibert</w:t>
      </w:r>
      <w:r w:rsidR="004D7F05" w:rsidRPr="00F12AFF">
        <w:rPr>
          <w:rFonts w:ascii="Book Antiqua" w:hAnsi="Book Antiqua"/>
          <w:bCs/>
          <w:sz w:val="24"/>
          <w:lang w:val="en-US" w:eastAsia="zh-CN"/>
        </w:rPr>
        <w:t xml:space="preserve"> (</w:t>
      </w:r>
      <w:r w:rsidR="00C267C1" w:rsidRPr="00F12AFF">
        <w:rPr>
          <w:rFonts w:ascii="Book Antiqua" w:hAnsi="Book Antiqua"/>
          <w:bCs/>
          <w:sz w:val="24"/>
          <w:lang w:val="en-US"/>
        </w:rPr>
        <w:t>0000-0002-3291-884X</w:t>
      </w:r>
      <w:r w:rsidR="004D7F05" w:rsidRPr="00F12AFF">
        <w:rPr>
          <w:rFonts w:ascii="Book Antiqua" w:hAnsi="Book Antiqua"/>
          <w:bCs/>
          <w:sz w:val="24"/>
          <w:lang w:val="en-US" w:eastAsia="zh-CN"/>
        </w:rPr>
        <w:t>)</w:t>
      </w:r>
      <w:r w:rsidR="004D7F05" w:rsidRPr="00F12AFF">
        <w:rPr>
          <w:rFonts w:ascii="Book Antiqua" w:hAnsi="Book Antiqua"/>
          <w:b/>
          <w:bCs/>
          <w:sz w:val="24"/>
          <w:lang w:val="en-US" w:eastAsia="zh-CN"/>
        </w:rPr>
        <w:t xml:space="preserve">; </w:t>
      </w:r>
      <w:r w:rsidR="00C267C1" w:rsidRPr="00F12AFF">
        <w:rPr>
          <w:rFonts w:ascii="Book Antiqua" w:hAnsi="Book Antiqua"/>
          <w:bCs/>
          <w:sz w:val="24"/>
          <w:lang w:val="en-US"/>
        </w:rPr>
        <w:t>Adhara Lazaro</w:t>
      </w:r>
      <w:r w:rsidR="004D7F05" w:rsidRPr="00F12AFF">
        <w:rPr>
          <w:rFonts w:ascii="Book Antiqua" w:hAnsi="Book Antiqua"/>
          <w:bCs/>
          <w:sz w:val="24"/>
          <w:lang w:val="en-US" w:eastAsia="zh-CN"/>
        </w:rPr>
        <w:t xml:space="preserve"> (</w:t>
      </w:r>
      <w:r w:rsidR="00C267C1" w:rsidRPr="00F12AFF">
        <w:rPr>
          <w:rFonts w:ascii="Book Antiqua" w:hAnsi="Book Antiqua"/>
          <w:bCs/>
          <w:sz w:val="24"/>
          <w:lang w:val="en-US"/>
        </w:rPr>
        <w:t>0000-0001-9023-1387</w:t>
      </w:r>
      <w:r w:rsidR="004D7F05" w:rsidRPr="00F12AFF">
        <w:rPr>
          <w:rFonts w:ascii="Book Antiqua" w:hAnsi="Book Antiqua"/>
          <w:bCs/>
          <w:sz w:val="24"/>
          <w:lang w:val="en-US" w:eastAsia="zh-CN"/>
        </w:rPr>
        <w:t>)</w:t>
      </w:r>
      <w:r w:rsidR="004D7F05" w:rsidRPr="00F12AFF">
        <w:rPr>
          <w:rFonts w:ascii="Book Antiqua" w:hAnsi="Book Antiqua"/>
          <w:b/>
          <w:bCs/>
          <w:sz w:val="24"/>
          <w:lang w:val="en-US" w:eastAsia="zh-CN"/>
        </w:rPr>
        <w:t xml:space="preserve">; </w:t>
      </w:r>
      <w:r w:rsidR="00C267C1" w:rsidRPr="00F12AFF">
        <w:rPr>
          <w:rFonts w:ascii="Book Antiqua" w:hAnsi="Book Antiqua" w:cs="Arial"/>
          <w:sz w:val="24"/>
        </w:rPr>
        <w:t>Zoran Stankovic</w:t>
      </w:r>
      <w:r w:rsidR="004D7F05" w:rsidRPr="00F12AFF">
        <w:rPr>
          <w:rFonts w:ascii="Book Antiqua" w:hAnsi="Book Antiqua" w:cs="Arial"/>
          <w:sz w:val="24"/>
          <w:lang w:eastAsia="zh-CN"/>
        </w:rPr>
        <w:t xml:space="preserve"> (</w:t>
      </w:r>
      <w:r w:rsidR="00C267C1" w:rsidRPr="00F12AFF">
        <w:rPr>
          <w:rFonts w:ascii="Book Antiqua" w:hAnsi="Book Antiqua" w:cs="Arial"/>
          <w:sz w:val="24"/>
        </w:rPr>
        <w:t>0000-0001-6265-3072</w:t>
      </w:r>
      <w:r w:rsidR="004D7F05" w:rsidRPr="00F12AFF">
        <w:rPr>
          <w:rFonts w:ascii="Book Antiqua" w:hAnsi="Book Antiqua" w:cs="Arial"/>
          <w:sz w:val="24"/>
          <w:lang w:eastAsia="zh-CN"/>
        </w:rPr>
        <w:t>)</w:t>
      </w:r>
      <w:r w:rsidR="004D7F05" w:rsidRPr="00F12AFF">
        <w:rPr>
          <w:rFonts w:ascii="Book Antiqua" w:hAnsi="Book Antiqua"/>
          <w:b/>
          <w:bCs/>
          <w:sz w:val="24"/>
          <w:lang w:val="en-US" w:eastAsia="zh-CN"/>
        </w:rPr>
        <w:t xml:space="preserve">; </w:t>
      </w:r>
      <w:r w:rsidR="00C267C1" w:rsidRPr="00F12AFF">
        <w:rPr>
          <w:rFonts w:ascii="Book Antiqua" w:hAnsi="Book Antiqua" w:cs="Arial"/>
          <w:sz w:val="24"/>
        </w:rPr>
        <w:t>Denise Schaffner</w:t>
      </w:r>
      <w:r w:rsidR="004D7F05" w:rsidRPr="00F12AFF">
        <w:rPr>
          <w:rFonts w:ascii="Book Antiqua" w:hAnsi="Book Antiqua" w:cs="Arial"/>
          <w:sz w:val="24"/>
          <w:lang w:eastAsia="zh-CN"/>
        </w:rPr>
        <w:t xml:space="preserve"> (</w:t>
      </w:r>
      <w:r w:rsidR="00C267C1" w:rsidRPr="00F12AFF">
        <w:rPr>
          <w:rFonts w:ascii="Book Antiqua" w:hAnsi="Book Antiqua" w:cs="Arial"/>
          <w:sz w:val="24"/>
        </w:rPr>
        <w:t>0000-0001-6173-9288</w:t>
      </w:r>
      <w:r w:rsidR="004D7F05" w:rsidRPr="00F12AFF">
        <w:rPr>
          <w:rFonts w:ascii="Book Antiqua" w:hAnsi="Book Antiqua" w:cs="Arial"/>
          <w:sz w:val="24"/>
          <w:lang w:eastAsia="zh-CN"/>
        </w:rPr>
        <w:t>)</w:t>
      </w:r>
      <w:r w:rsidR="004D7F05" w:rsidRPr="00F12AFF">
        <w:rPr>
          <w:rFonts w:ascii="Book Antiqua" w:hAnsi="Book Antiqua"/>
          <w:b/>
          <w:bCs/>
          <w:sz w:val="24"/>
          <w:lang w:eastAsia="zh-CN"/>
        </w:rPr>
        <w:t xml:space="preserve">; </w:t>
      </w:r>
      <w:r w:rsidR="00C267C1" w:rsidRPr="00F12AFF">
        <w:rPr>
          <w:rFonts w:ascii="Book Antiqua" w:hAnsi="Book Antiqua" w:cs="Arial"/>
          <w:sz w:val="24"/>
        </w:rPr>
        <w:t>Martin Rössle</w:t>
      </w:r>
      <w:r w:rsidR="004D7F05" w:rsidRPr="00F12AFF">
        <w:rPr>
          <w:rFonts w:ascii="Book Antiqua" w:hAnsi="Book Antiqua" w:cs="Arial"/>
          <w:sz w:val="24"/>
          <w:lang w:eastAsia="zh-CN"/>
        </w:rPr>
        <w:t xml:space="preserve"> (</w:t>
      </w:r>
      <w:r w:rsidR="00C267C1" w:rsidRPr="00F12AFF">
        <w:rPr>
          <w:rFonts w:ascii="Book Antiqua" w:hAnsi="Book Antiqua" w:cs="Arial"/>
          <w:sz w:val="24"/>
        </w:rPr>
        <w:t>0000-0002-1358-9163</w:t>
      </w:r>
      <w:r w:rsidR="004D7F05" w:rsidRPr="00F12AFF">
        <w:rPr>
          <w:rFonts w:ascii="Book Antiqua" w:hAnsi="Book Antiqua" w:cs="Arial"/>
          <w:sz w:val="24"/>
          <w:lang w:eastAsia="zh-CN"/>
        </w:rPr>
        <w:t>)</w:t>
      </w:r>
      <w:r w:rsidR="004D7F05" w:rsidRPr="00F12AFF">
        <w:rPr>
          <w:rFonts w:ascii="Book Antiqua" w:hAnsi="Book Antiqua"/>
          <w:b/>
          <w:bCs/>
          <w:sz w:val="24"/>
          <w:lang w:val="en-US" w:eastAsia="zh-CN"/>
        </w:rPr>
        <w:t xml:space="preserve">; </w:t>
      </w:r>
      <w:r w:rsidR="00C267C1" w:rsidRPr="00F12AFF">
        <w:rPr>
          <w:rFonts w:ascii="Book Antiqua" w:hAnsi="Book Antiqua" w:cs="Arial"/>
          <w:sz w:val="24"/>
          <w:lang w:val="en-US"/>
        </w:rPr>
        <w:t>Wolfgang Kreisel</w:t>
      </w:r>
      <w:r w:rsidR="004D7F05" w:rsidRPr="00F12AFF">
        <w:rPr>
          <w:rFonts w:ascii="Book Antiqua" w:hAnsi="Book Antiqua" w:cs="Arial"/>
          <w:sz w:val="24"/>
          <w:lang w:val="en-US" w:eastAsia="zh-CN"/>
        </w:rPr>
        <w:t xml:space="preserve"> (</w:t>
      </w:r>
      <w:r w:rsidR="00C267C1" w:rsidRPr="00F12AFF">
        <w:rPr>
          <w:rFonts w:ascii="Book Antiqua" w:hAnsi="Book Antiqua" w:cs="Arial"/>
          <w:sz w:val="24"/>
          <w:lang w:val="en-US"/>
        </w:rPr>
        <w:t>0000-0001-6884-0135</w:t>
      </w:r>
      <w:r w:rsidR="004D7F05" w:rsidRPr="00F12AFF">
        <w:rPr>
          <w:rFonts w:ascii="Book Antiqua" w:hAnsi="Book Antiqua" w:cs="Arial"/>
          <w:sz w:val="24"/>
          <w:lang w:val="en-US" w:eastAsia="zh-CN"/>
        </w:rPr>
        <w:t>).</w:t>
      </w:r>
    </w:p>
    <w:p w:rsidR="00E7608E" w:rsidRPr="00F12AFF" w:rsidRDefault="00E7608E" w:rsidP="00F12AFF">
      <w:pPr>
        <w:widowControl w:val="0"/>
        <w:autoSpaceDE w:val="0"/>
        <w:autoSpaceDN w:val="0"/>
        <w:adjustRightInd w:val="0"/>
        <w:snapToGrid w:val="0"/>
        <w:spacing w:line="360" w:lineRule="auto"/>
        <w:jc w:val="both"/>
        <w:rPr>
          <w:rFonts w:ascii="Book Antiqua" w:hAnsi="Book Antiqua" w:cs="Arial"/>
          <w:sz w:val="24"/>
          <w:lang w:val="en-US"/>
        </w:rPr>
      </w:pPr>
    </w:p>
    <w:p w:rsidR="00E7608E" w:rsidRPr="00F12AFF" w:rsidRDefault="004D7F05" w:rsidP="00F12AFF">
      <w:pPr>
        <w:adjustRightInd w:val="0"/>
        <w:snapToGrid w:val="0"/>
        <w:spacing w:line="360" w:lineRule="auto"/>
        <w:jc w:val="both"/>
        <w:rPr>
          <w:rFonts w:ascii="Book Antiqua" w:hAnsi="Book Antiqua"/>
          <w:b/>
          <w:sz w:val="24"/>
        </w:rPr>
      </w:pPr>
      <w:bookmarkStart w:id="9" w:name="OLE_LINK28"/>
      <w:bookmarkStart w:id="10" w:name="OLE_LINK29"/>
      <w:bookmarkStart w:id="11" w:name="OLE_LINK81"/>
      <w:bookmarkStart w:id="12" w:name="OLE_LINK125"/>
      <w:bookmarkStart w:id="13" w:name="OLE_LINK152"/>
      <w:bookmarkStart w:id="14" w:name="OLE_LINK173"/>
      <w:bookmarkStart w:id="15" w:name="OLE_LINK190"/>
      <w:bookmarkStart w:id="16" w:name="OLE_LINK228"/>
      <w:bookmarkStart w:id="17" w:name="OLE_LINK296"/>
      <w:bookmarkStart w:id="18" w:name="OLE_LINK581"/>
      <w:r w:rsidRPr="00F12AFF">
        <w:rPr>
          <w:rFonts w:ascii="Book Antiqua" w:eastAsia="MS Mincho" w:hAnsi="Book Antiqua"/>
          <w:b/>
          <w:sz w:val="24"/>
          <w:lang w:eastAsia="ja-JP"/>
        </w:rPr>
        <w:t>Author contributions:</w:t>
      </w:r>
      <w:bookmarkEnd w:id="9"/>
      <w:bookmarkEnd w:id="10"/>
      <w:bookmarkEnd w:id="11"/>
      <w:bookmarkEnd w:id="12"/>
      <w:bookmarkEnd w:id="13"/>
      <w:bookmarkEnd w:id="14"/>
      <w:bookmarkEnd w:id="15"/>
      <w:bookmarkEnd w:id="16"/>
      <w:bookmarkEnd w:id="17"/>
      <w:bookmarkEnd w:id="18"/>
      <w:r w:rsidR="00C267C1" w:rsidRPr="00F12AFF">
        <w:rPr>
          <w:rFonts w:ascii="Book Antiqua" w:hAnsi="Book Antiqua" w:cs="Arial"/>
          <w:bCs/>
          <w:sz w:val="24"/>
          <w:lang w:val="en-GB"/>
        </w:rPr>
        <w:t xml:space="preserve"> Deibert P and Kreisel W treated the patient and designed the concept of treatment of portal hypertension with PDE-5-inhibitors. Stankovic Z and Schaffner D performed the MRI measurements. Deibert P performed the sonographic examinations. Rössle M, Kreisel W and Deib</w:t>
      </w:r>
      <w:r w:rsidRPr="00F12AFF">
        <w:rPr>
          <w:rFonts w:ascii="Book Antiqua" w:hAnsi="Book Antiqua" w:cs="Arial"/>
          <w:bCs/>
          <w:sz w:val="24"/>
          <w:lang w:val="en-GB"/>
        </w:rPr>
        <w:t>ert P performed the invasive</w:t>
      </w:r>
      <w:r w:rsidRPr="00F12AFF">
        <w:rPr>
          <w:rFonts w:ascii="Book Antiqua" w:hAnsi="Book Antiqua" w:cs="Arial"/>
          <w:bCs/>
          <w:sz w:val="24"/>
          <w:lang w:val="en-GB" w:eastAsia="zh-CN"/>
        </w:rPr>
        <w:t xml:space="preserve"> </w:t>
      </w:r>
      <w:r w:rsidR="00C267C1" w:rsidRPr="00F12AFF">
        <w:rPr>
          <w:rFonts w:ascii="Book Antiqua" w:hAnsi="Book Antiqua" w:cs="Arial"/>
          <w:bCs/>
          <w:sz w:val="24"/>
          <w:lang w:val="en-GB"/>
        </w:rPr>
        <w:t xml:space="preserve">measurements of HVPG. All authors shared the acquired data and drafted the manuscript. </w:t>
      </w:r>
    </w:p>
    <w:p w:rsidR="00E7608E" w:rsidRPr="00F12AFF" w:rsidRDefault="00E7608E" w:rsidP="00F12AFF">
      <w:pPr>
        <w:adjustRightInd w:val="0"/>
        <w:snapToGrid w:val="0"/>
        <w:spacing w:line="360" w:lineRule="auto"/>
        <w:jc w:val="both"/>
        <w:rPr>
          <w:rFonts w:ascii="Book Antiqua" w:hAnsi="Book Antiqua" w:cs="Arial"/>
          <w:bCs/>
          <w:sz w:val="24"/>
          <w:lang w:val="en-GB"/>
        </w:rPr>
      </w:pPr>
    </w:p>
    <w:p w:rsidR="00E7608E" w:rsidRPr="00F12AFF" w:rsidRDefault="004D7F05" w:rsidP="00F12AFF">
      <w:pPr>
        <w:pStyle w:val="NormalWeb"/>
        <w:adjustRightInd w:val="0"/>
        <w:snapToGrid w:val="0"/>
        <w:spacing w:before="0" w:beforeAutospacing="0" w:after="0" w:afterAutospacing="0" w:line="360" w:lineRule="auto"/>
        <w:jc w:val="both"/>
        <w:rPr>
          <w:rFonts w:ascii="Book Antiqua" w:hAnsi="Book Antiqua"/>
          <w:lang w:eastAsia="zh-CN"/>
        </w:rPr>
      </w:pPr>
      <w:r w:rsidRPr="00F12AFF">
        <w:rPr>
          <w:rFonts w:ascii="Book Antiqua" w:hAnsi="Book Antiqua"/>
          <w:b/>
          <w:bCs/>
          <w:iCs/>
        </w:rPr>
        <w:t xml:space="preserve">Informed consent statement: </w:t>
      </w:r>
      <w:r w:rsidR="00F0153C" w:rsidRPr="00F12AFF">
        <w:rPr>
          <w:rFonts w:ascii="Book Antiqua" w:hAnsi="Book Antiqua"/>
        </w:rPr>
        <w:t>The described patient provided informed written consent prior to study enrollment.</w:t>
      </w:r>
    </w:p>
    <w:p w:rsidR="00F0153C" w:rsidRPr="00F12AFF" w:rsidRDefault="00F0153C" w:rsidP="00F12AFF">
      <w:pPr>
        <w:pStyle w:val="NormalWeb"/>
        <w:adjustRightInd w:val="0"/>
        <w:snapToGrid w:val="0"/>
        <w:spacing w:before="0" w:beforeAutospacing="0" w:after="0" w:afterAutospacing="0" w:line="360" w:lineRule="auto"/>
        <w:jc w:val="both"/>
        <w:rPr>
          <w:rFonts w:ascii="Book Antiqua" w:hAnsi="Book Antiqua" w:cs="Arial"/>
          <w:b/>
          <w:bCs/>
          <w:lang w:val="en-GB" w:eastAsia="zh-CN"/>
        </w:rPr>
      </w:pPr>
    </w:p>
    <w:p w:rsidR="00A87838" w:rsidRPr="00F12AFF" w:rsidRDefault="004D7F05" w:rsidP="00F12AFF">
      <w:pPr>
        <w:autoSpaceDE w:val="0"/>
        <w:autoSpaceDN w:val="0"/>
        <w:adjustRightInd w:val="0"/>
        <w:snapToGrid w:val="0"/>
        <w:spacing w:line="360" w:lineRule="auto"/>
        <w:jc w:val="both"/>
        <w:rPr>
          <w:rFonts w:ascii="Book Antiqua" w:hAnsi="Book Antiqua"/>
          <w:sz w:val="24"/>
          <w:lang w:eastAsia="zh-CN"/>
        </w:rPr>
      </w:pPr>
      <w:r w:rsidRPr="00F12AFF">
        <w:rPr>
          <w:rFonts w:ascii="Book Antiqua" w:hAnsi="Book Antiqua" w:cs="TimesNewRomanPS-BoldItalicMT"/>
          <w:b/>
          <w:bCs/>
          <w:iCs/>
          <w:sz w:val="24"/>
        </w:rPr>
        <w:t>Conflict-of-interest</w:t>
      </w:r>
      <w:r w:rsidRPr="00F12AFF">
        <w:rPr>
          <w:rFonts w:ascii="Book Antiqua" w:hAnsi="Book Antiqua"/>
          <w:sz w:val="24"/>
        </w:rPr>
        <w:t xml:space="preserve"> </w:t>
      </w:r>
      <w:r w:rsidRPr="00F12AFF">
        <w:rPr>
          <w:rFonts w:ascii="Book Antiqua" w:hAnsi="Book Antiqua" w:cs="TimesNewRomanPS-BoldItalicMT"/>
          <w:b/>
          <w:bCs/>
          <w:iCs/>
          <w:sz w:val="24"/>
        </w:rPr>
        <w:t>statement:</w:t>
      </w:r>
      <w:r w:rsidRPr="00F12AFF">
        <w:rPr>
          <w:rFonts w:ascii="Book Antiqua" w:hAnsi="Book Antiqua" w:cs="TimesNewRomanPS-BoldItalicMT"/>
          <w:b/>
          <w:bCs/>
          <w:iCs/>
          <w:sz w:val="24"/>
          <w:lang w:eastAsia="zh-CN"/>
        </w:rPr>
        <w:t xml:space="preserve"> </w:t>
      </w:r>
      <w:r w:rsidR="00F0153C" w:rsidRPr="00F12AFF">
        <w:rPr>
          <w:rFonts w:ascii="Book Antiqua" w:hAnsi="Book Antiqua"/>
          <w:sz w:val="24"/>
        </w:rPr>
        <w:t>None of the authors declared a conflict of interest.</w:t>
      </w:r>
    </w:p>
    <w:p w:rsidR="00F0153C" w:rsidRPr="00F12AFF" w:rsidRDefault="00F0153C" w:rsidP="00F12AFF">
      <w:pPr>
        <w:autoSpaceDE w:val="0"/>
        <w:autoSpaceDN w:val="0"/>
        <w:adjustRightInd w:val="0"/>
        <w:snapToGrid w:val="0"/>
        <w:spacing w:line="360" w:lineRule="auto"/>
        <w:jc w:val="both"/>
        <w:rPr>
          <w:rFonts w:ascii="Book Antiqua" w:hAnsi="Book Antiqua" w:cs="Arial"/>
          <w:b/>
          <w:bCs/>
          <w:sz w:val="24"/>
          <w:lang w:val="en-GB" w:eastAsia="zh-CN"/>
        </w:rPr>
      </w:pPr>
    </w:p>
    <w:p w:rsidR="00A87838" w:rsidRPr="00F12AFF" w:rsidRDefault="00A87838" w:rsidP="00F12AFF">
      <w:pPr>
        <w:adjustRightInd w:val="0"/>
        <w:snapToGrid w:val="0"/>
        <w:spacing w:line="360" w:lineRule="auto"/>
        <w:jc w:val="both"/>
        <w:rPr>
          <w:rFonts w:ascii="Book Antiqua" w:hAnsi="Book Antiqua"/>
          <w:b/>
          <w:sz w:val="24"/>
          <w:lang w:val="en-US"/>
        </w:rPr>
      </w:pPr>
      <w:bookmarkStart w:id="19" w:name="OLE_LINK155"/>
      <w:bookmarkStart w:id="20" w:name="OLE_LINK183"/>
      <w:bookmarkStart w:id="21" w:name="OLE_LINK441"/>
      <w:r w:rsidRPr="00F12AFF">
        <w:rPr>
          <w:rFonts w:ascii="Book Antiqua" w:hAnsi="Book Antiqua"/>
          <w:b/>
          <w:sz w:val="24"/>
          <w:lang w:val="en-US"/>
        </w:rPr>
        <w:t xml:space="preserve">Open-Access: </w:t>
      </w:r>
      <w:r w:rsidRPr="00F12AFF">
        <w:rPr>
          <w:rFonts w:ascii="Book Antiqua" w:hAnsi="Book Antiqua"/>
          <w:sz w:val="24"/>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9"/>
    <w:bookmarkEnd w:id="20"/>
    <w:bookmarkEnd w:id="21"/>
    <w:p w:rsidR="00A87838" w:rsidRPr="00F12AFF" w:rsidRDefault="00A87838" w:rsidP="00F12AFF">
      <w:pPr>
        <w:adjustRightInd w:val="0"/>
        <w:snapToGrid w:val="0"/>
        <w:spacing w:line="360" w:lineRule="auto"/>
        <w:jc w:val="both"/>
        <w:rPr>
          <w:rFonts w:ascii="Book Antiqua" w:hAnsi="Book Antiqua" w:cs="Arial"/>
          <w:b/>
          <w:bCs/>
          <w:sz w:val="24"/>
          <w:lang w:val="en-GB" w:eastAsia="zh-CN"/>
        </w:rPr>
      </w:pPr>
    </w:p>
    <w:p w:rsidR="00A87838" w:rsidRPr="00F12AFF" w:rsidRDefault="00A87838" w:rsidP="00F12AFF">
      <w:pPr>
        <w:adjustRightInd w:val="0"/>
        <w:snapToGrid w:val="0"/>
        <w:spacing w:line="360" w:lineRule="auto"/>
        <w:jc w:val="both"/>
        <w:rPr>
          <w:rFonts w:ascii="Book Antiqua" w:hAnsi="Book Antiqua" w:cs="Arial Unicode MS"/>
          <w:sz w:val="24"/>
          <w:lang w:val="en-US"/>
        </w:rPr>
      </w:pPr>
      <w:r w:rsidRPr="00F12AFF">
        <w:rPr>
          <w:rFonts w:ascii="Book Antiqua" w:hAnsi="Book Antiqua" w:cs="Arial Unicode MS"/>
          <w:b/>
          <w:sz w:val="24"/>
          <w:lang w:val="en-US"/>
        </w:rPr>
        <w:t xml:space="preserve">Manuscript source: </w:t>
      </w:r>
      <w:r w:rsidRPr="00F12AFF">
        <w:rPr>
          <w:rFonts w:ascii="Book Antiqua" w:hAnsi="Book Antiqua" w:cs="Arial Unicode MS"/>
          <w:sz w:val="24"/>
          <w:lang w:val="en-US"/>
        </w:rPr>
        <w:t>Unsolicited manuscript</w:t>
      </w:r>
    </w:p>
    <w:p w:rsidR="00A87838" w:rsidRPr="00F12AFF" w:rsidRDefault="00A87838" w:rsidP="00F12AFF">
      <w:pPr>
        <w:adjustRightInd w:val="0"/>
        <w:snapToGrid w:val="0"/>
        <w:spacing w:line="360" w:lineRule="auto"/>
        <w:jc w:val="both"/>
        <w:rPr>
          <w:rFonts w:ascii="Book Antiqua" w:hAnsi="Book Antiqua" w:cs="Arial"/>
          <w:b/>
          <w:bCs/>
          <w:sz w:val="24"/>
          <w:lang w:val="en-GB" w:eastAsia="zh-CN"/>
        </w:rPr>
      </w:pPr>
    </w:p>
    <w:p w:rsidR="00E7608E" w:rsidRPr="00F12AFF" w:rsidRDefault="00A87838" w:rsidP="00F12AFF">
      <w:pPr>
        <w:adjustRightInd w:val="0"/>
        <w:snapToGrid w:val="0"/>
        <w:spacing w:line="360" w:lineRule="auto"/>
        <w:jc w:val="both"/>
        <w:rPr>
          <w:rFonts w:ascii="Book Antiqua" w:hAnsi="Book Antiqua"/>
          <w:b/>
          <w:sz w:val="24"/>
          <w:lang w:val="en-US" w:eastAsia="zh-CN"/>
        </w:rPr>
      </w:pPr>
      <w:bookmarkStart w:id="22" w:name="OLE_LINK535"/>
      <w:bookmarkStart w:id="23" w:name="OLE_LINK536"/>
      <w:r w:rsidRPr="00F12AFF">
        <w:rPr>
          <w:rFonts w:ascii="Book Antiqua" w:hAnsi="Book Antiqua"/>
          <w:b/>
          <w:sz w:val="24"/>
          <w:lang w:val="en-US"/>
        </w:rPr>
        <w:t>Correspondence to:</w:t>
      </w:r>
      <w:bookmarkEnd w:id="22"/>
      <w:bookmarkEnd w:id="23"/>
      <w:r w:rsidRPr="00F12AFF">
        <w:rPr>
          <w:rFonts w:ascii="Book Antiqua" w:hAnsi="Book Antiqua"/>
          <w:b/>
          <w:sz w:val="24"/>
          <w:lang w:val="en-US" w:eastAsia="zh-CN"/>
        </w:rPr>
        <w:t xml:space="preserve"> </w:t>
      </w:r>
      <w:r w:rsidR="00E7608E" w:rsidRPr="00F12AFF">
        <w:rPr>
          <w:rFonts w:ascii="Book Antiqua" w:hAnsi="Book Antiqua" w:cs="Arial"/>
          <w:b/>
          <w:sz w:val="24"/>
          <w:lang w:val="en-GB"/>
        </w:rPr>
        <w:t>Wolfgang Kreisel</w:t>
      </w:r>
      <w:r w:rsidRPr="00F12AFF">
        <w:rPr>
          <w:rFonts w:ascii="Book Antiqua" w:hAnsi="Book Antiqua" w:cs="Arial"/>
          <w:b/>
          <w:sz w:val="24"/>
          <w:lang w:val="en-GB" w:eastAsia="zh-CN"/>
        </w:rPr>
        <w:t xml:space="preserve">, </w:t>
      </w:r>
      <w:r w:rsidR="00AA06D7">
        <w:rPr>
          <w:rFonts w:ascii="Book Antiqua" w:hAnsi="Book Antiqua" w:cs="Arial" w:hint="eastAsia"/>
          <w:b/>
          <w:sz w:val="24"/>
          <w:lang w:val="en-GB" w:eastAsia="zh-CN"/>
        </w:rPr>
        <w:t xml:space="preserve">MD, </w:t>
      </w:r>
      <w:r w:rsidRPr="00F12AFF">
        <w:rPr>
          <w:rFonts w:ascii="Book Antiqua" w:hAnsi="Book Antiqua" w:cs="Arial"/>
          <w:b/>
          <w:sz w:val="24"/>
          <w:lang w:val="en-GB"/>
        </w:rPr>
        <w:t>Prof</w:t>
      </w:r>
      <w:r w:rsidRPr="00F12AFF">
        <w:rPr>
          <w:rFonts w:ascii="Book Antiqua" w:hAnsi="Book Antiqua" w:cs="Arial"/>
          <w:b/>
          <w:sz w:val="24"/>
          <w:lang w:val="en-GB" w:eastAsia="zh-CN"/>
        </w:rPr>
        <w:t xml:space="preserve">essor, </w:t>
      </w:r>
      <w:r w:rsidR="00E7608E" w:rsidRPr="00F12AFF">
        <w:rPr>
          <w:rFonts w:ascii="Book Antiqua" w:hAnsi="Book Antiqua" w:cs="Arial"/>
          <w:sz w:val="24"/>
          <w:lang w:val="en-GB"/>
        </w:rPr>
        <w:t xml:space="preserve">Department of Internal Medicine, University of Freiburg, </w:t>
      </w:r>
      <w:r w:rsidR="008246B9" w:rsidRPr="00F12AFF">
        <w:rPr>
          <w:rFonts w:ascii="Book Antiqua" w:hAnsi="Book Antiqua" w:cs="Arial"/>
          <w:sz w:val="24"/>
          <w:lang w:val="en-GB"/>
        </w:rPr>
        <w:t xml:space="preserve">Hugstetter Str. 55, </w:t>
      </w:r>
      <w:r w:rsidR="00E7608E" w:rsidRPr="00F12AFF">
        <w:rPr>
          <w:rFonts w:ascii="Book Antiqua" w:hAnsi="Book Antiqua" w:cs="Arial"/>
          <w:sz w:val="24"/>
          <w:lang w:val="en-GB"/>
        </w:rPr>
        <w:t>Freiburg</w:t>
      </w:r>
      <w:r w:rsidR="00F0153C" w:rsidRPr="00F12AFF">
        <w:rPr>
          <w:rFonts w:ascii="Book Antiqua" w:hAnsi="Book Antiqua" w:cs="Arial"/>
          <w:sz w:val="24"/>
          <w:lang w:val="en-GB" w:eastAsia="zh-CN"/>
        </w:rPr>
        <w:t xml:space="preserve"> </w:t>
      </w:r>
      <w:r w:rsidR="00F0153C" w:rsidRPr="00F12AFF">
        <w:rPr>
          <w:rFonts w:ascii="Book Antiqua" w:hAnsi="Book Antiqua" w:cs="Arial"/>
          <w:sz w:val="24"/>
          <w:lang w:val="en-GB"/>
        </w:rPr>
        <w:t>79106</w:t>
      </w:r>
      <w:r w:rsidR="00E7608E" w:rsidRPr="00F12AFF">
        <w:rPr>
          <w:rFonts w:ascii="Book Antiqua" w:hAnsi="Book Antiqua" w:cs="Arial"/>
          <w:sz w:val="24"/>
          <w:lang w:val="en-GB"/>
        </w:rPr>
        <w:t>, Germany</w:t>
      </w:r>
      <w:r w:rsidRPr="00F12AFF">
        <w:rPr>
          <w:rFonts w:ascii="Book Antiqua" w:hAnsi="Book Antiqua" w:cs="Arial"/>
          <w:sz w:val="24"/>
          <w:lang w:val="en-GB" w:eastAsia="zh-CN"/>
        </w:rPr>
        <w:t xml:space="preserve">. </w:t>
      </w:r>
      <w:r w:rsidRPr="00F12AFF">
        <w:rPr>
          <w:rFonts w:ascii="Book Antiqua" w:hAnsi="Book Antiqua" w:cs="Arial"/>
          <w:sz w:val="24"/>
          <w:lang w:val="fr-FR"/>
        </w:rPr>
        <w:t>wolfgang.kreisel@uniklinik-freiburg.de</w:t>
      </w:r>
    </w:p>
    <w:p w:rsidR="00E7608E" w:rsidRPr="00F12AFF" w:rsidRDefault="00A87838" w:rsidP="00F12AFF">
      <w:pPr>
        <w:widowControl w:val="0"/>
        <w:autoSpaceDE w:val="0"/>
        <w:autoSpaceDN w:val="0"/>
        <w:adjustRightInd w:val="0"/>
        <w:snapToGrid w:val="0"/>
        <w:spacing w:line="360" w:lineRule="auto"/>
        <w:jc w:val="both"/>
        <w:rPr>
          <w:rFonts w:ascii="Book Antiqua" w:hAnsi="Book Antiqua" w:cs="Arial"/>
          <w:sz w:val="24"/>
          <w:lang w:val="en-GB"/>
        </w:rPr>
      </w:pPr>
      <w:r w:rsidRPr="00F12AFF">
        <w:rPr>
          <w:rFonts w:ascii="Book Antiqua" w:hAnsi="Book Antiqua"/>
          <w:b/>
          <w:sz w:val="24"/>
          <w:lang w:val="en-US"/>
        </w:rPr>
        <w:t xml:space="preserve">Telephone: </w:t>
      </w:r>
      <w:r w:rsidR="00E7608E" w:rsidRPr="00F12AFF">
        <w:rPr>
          <w:rFonts w:ascii="Book Antiqua" w:hAnsi="Book Antiqua" w:cs="Arial"/>
          <w:sz w:val="24"/>
          <w:lang w:val="en-GB"/>
        </w:rPr>
        <w:t xml:space="preserve"> +49</w:t>
      </w:r>
      <w:r w:rsidRPr="00F12AFF">
        <w:rPr>
          <w:rFonts w:ascii="Book Antiqua" w:hAnsi="Book Antiqua" w:cs="Arial"/>
          <w:sz w:val="24"/>
          <w:lang w:val="en-GB" w:eastAsia="zh-CN"/>
        </w:rPr>
        <w:t>-</w:t>
      </w:r>
      <w:r w:rsidR="00E7608E" w:rsidRPr="00F12AFF">
        <w:rPr>
          <w:rFonts w:ascii="Book Antiqua" w:hAnsi="Book Antiqua" w:cs="Arial"/>
          <w:sz w:val="24"/>
          <w:lang w:val="en-GB"/>
        </w:rPr>
        <w:t>761</w:t>
      </w:r>
      <w:r w:rsidRPr="00F12AFF">
        <w:rPr>
          <w:rFonts w:ascii="Book Antiqua" w:hAnsi="Book Antiqua" w:cs="Arial"/>
          <w:sz w:val="24"/>
          <w:lang w:val="en-GB" w:eastAsia="zh-CN"/>
        </w:rPr>
        <w:t>-</w:t>
      </w:r>
      <w:r w:rsidR="00E7608E" w:rsidRPr="00F12AFF">
        <w:rPr>
          <w:rFonts w:ascii="Book Antiqua" w:hAnsi="Book Antiqua" w:cs="Arial"/>
          <w:sz w:val="24"/>
          <w:lang w:val="en-GB"/>
        </w:rPr>
        <w:t>27034010</w:t>
      </w:r>
    </w:p>
    <w:p w:rsidR="00E7608E" w:rsidRPr="00F12AFF" w:rsidRDefault="00A87838" w:rsidP="00F12AFF">
      <w:pPr>
        <w:widowControl w:val="0"/>
        <w:autoSpaceDE w:val="0"/>
        <w:autoSpaceDN w:val="0"/>
        <w:adjustRightInd w:val="0"/>
        <w:snapToGrid w:val="0"/>
        <w:spacing w:line="360" w:lineRule="auto"/>
        <w:jc w:val="both"/>
        <w:rPr>
          <w:rFonts w:ascii="Book Antiqua" w:hAnsi="Book Antiqua" w:cs="Arial"/>
          <w:sz w:val="24"/>
          <w:lang w:val="fr-FR" w:eastAsia="zh-CN"/>
        </w:rPr>
      </w:pPr>
      <w:r w:rsidRPr="00F12AFF">
        <w:rPr>
          <w:rFonts w:ascii="Book Antiqua" w:hAnsi="Book Antiqua"/>
          <w:b/>
          <w:sz w:val="24"/>
          <w:lang w:val="en-US"/>
        </w:rPr>
        <w:t>Fax:</w:t>
      </w:r>
      <w:r w:rsidRPr="00F12AFF">
        <w:rPr>
          <w:rFonts w:ascii="Book Antiqua" w:hAnsi="Book Antiqua"/>
          <w:b/>
          <w:sz w:val="24"/>
          <w:lang w:val="en-US" w:eastAsia="zh-CN"/>
        </w:rPr>
        <w:t xml:space="preserve"> </w:t>
      </w:r>
      <w:r w:rsidR="00E7608E" w:rsidRPr="00F12AFF">
        <w:rPr>
          <w:rFonts w:ascii="Book Antiqua" w:hAnsi="Book Antiqua" w:cs="Arial"/>
          <w:sz w:val="24"/>
          <w:lang w:val="fr-FR"/>
        </w:rPr>
        <w:t>+49</w:t>
      </w:r>
      <w:r w:rsidRPr="00F12AFF">
        <w:rPr>
          <w:rFonts w:ascii="Book Antiqua" w:hAnsi="Book Antiqua" w:cs="Arial"/>
          <w:sz w:val="24"/>
          <w:lang w:val="fr-FR" w:eastAsia="zh-CN"/>
        </w:rPr>
        <w:t>-</w:t>
      </w:r>
      <w:r w:rsidR="00E7608E" w:rsidRPr="00F12AFF">
        <w:rPr>
          <w:rFonts w:ascii="Book Antiqua" w:hAnsi="Book Antiqua" w:cs="Arial"/>
          <w:sz w:val="24"/>
          <w:lang w:val="fr-FR"/>
        </w:rPr>
        <w:t>761</w:t>
      </w:r>
      <w:r w:rsidRPr="00F12AFF">
        <w:rPr>
          <w:rFonts w:ascii="Book Antiqua" w:hAnsi="Book Antiqua" w:cs="Arial"/>
          <w:sz w:val="24"/>
          <w:lang w:val="fr-FR" w:eastAsia="zh-CN"/>
        </w:rPr>
        <w:t>-</w:t>
      </w:r>
      <w:r w:rsidR="00E7608E" w:rsidRPr="00F12AFF">
        <w:rPr>
          <w:rFonts w:ascii="Book Antiqua" w:hAnsi="Book Antiqua" w:cs="Arial"/>
          <w:sz w:val="24"/>
          <w:lang w:val="fr-FR"/>
        </w:rPr>
        <w:t>27074880</w:t>
      </w:r>
    </w:p>
    <w:p w:rsidR="00A87838" w:rsidRPr="00F12AFF" w:rsidRDefault="00A87838" w:rsidP="00F12AFF">
      <w:pPr>
        <w:widowControl w:val="0"/>
        <w:autoSpaceDE w:val="0"/>
        <w:autoSpaceDN w:val="0"/>
        <w:adjustRightInd w:val="0"/>
        <w:snapToGrid w:val="0"/>
        <w:spacing w:line="360" w:lineRule="auto"/>
        <w:jc w:val="both"/>
        <w:rPr>
          <w:rFonts w:ascii="Book Antiqua" w:hAnsi="Book Antiqua" w:cs="Arial"/>
          <w:sz w:val="24"/>
          <w:lang w:val="fr-FR" w:eastAsia="zh-CN"/>
        </w:rPr>
      </w:pPr>
    </w:p>
    <w:p w:rsidR="00A87838" w:rsidRPr="00F12AFF" w:rsidRDefault="00A87838" w:rsidP="00F12AFF">
      <w:pPr>
        <w:adjustRightInd w:val="0"/>
        <w:snapToGrid w:val="0"/>
        <w:spacing w:line="360" w:lineRule="auto"/>
        <w:jc w:val="both"/>
        <w:rPr>
          <w:rFonts w:ascii="Book Antiqua" w:hAnsi="Book Antiqua"/>
          <w:sz w:val="24"/>
          <w:lang w:val="en-US" w:eastAsia="zh-CN"/>
        </w:rPr>
      </w:pPr>
      <w:r w:rsidRPr="00F12AFF">
        <w:rPr>
          <w:rFonts w:ascii="Book Antiqua" w:hAnsi="Book Antiqua"/>
          <w:b/>
          <w:sz w:val="24"/>
          <w:lang w:val="en-US"/>
        </w:rPr>
        <w:t>Received:</w:t>
      </w:r>
      <w:r w:rsidR="00F0153C" w:rsidRPr="00F12AFF">
        <w:rPr>
          <w:rFonts w:ascii="Book Antiqua" w:hAnsi="Book Antiqua"/>
          <w:b/>
          <w:sz w:val="24"/>
          <w:lang w:val="en-US" w:eastAsia="zh-CN"/>
        </w:rPr>
        <w:t xml:space="preserve"> </w:t>
      </w:r>
      <w:r w:rsidR="00F0153C" w:rsidRPr="00F12AFF">
        <w:rPr>
          <w:rFonts w:ascii="Book Antiqua" w:hAnsi="Book Antiqua"/>
          <w:sz w:val="24"/>
          <w:lang w:val="en-US" w:eastAsia="zh-CN"/>
        </w:rPr>
        <w:t>October 27, 2017</w:t>
      </w:r>
    </w:p>
    <w:p w:rsidR="00A87838" w:rsidRPr="00F12AFF" w:rsidRDefault="00A87838" w:rsidP="00F12AFF">
      <w:pPr>
        <w:adjustRightInd w:val="0"/>
        <w:snapToGrid w:val="0"/>
        <w:spacing w:line="360" w:lineRule="auto"/>
        <w:jc w:val="both"/>
        <w:rPr>
          <w:rFonts w:ascii="Book Antiqua" w:hAnsi="Book Antiqua"/>
          <w:sz w:val="24"/>
          <w:lang w:val="en-US" w:eastAsia="zh-CN"/>
        </w:rPr>
      </w:pPr>
      <w:r w:rsidRPr="00F12AFF">
        <w:rPr>
          <w:rFonts w:ascii="Book Antiqua" w:hAnsi="Book Antiqua"/>
          <w:b/>
          <w:sz w:val="24"/>
          <w:lang w:val="en-US"/>
        </w:rPr>
        <w:t>Peer-review started:</w:t>
      </w:r>
      <w:r w:rsidR="00F0153C" w:rsidRPr="00F12AFF">
        <w:rPr>
          <w:rFonts w:ascii="Book Antiqua" w:hAnsi="Book Antiqua"/>
          <w:b/>
          <w:sz w:val="24"/>
          <w:lang w:val="en-US" w:eastAsia="zh-CN"/>
        </w:rPr>
        <w:t xml:space="preserve"> </w:t>
      </w:r>
      <w:r w:rsidR="00F0153C" w:rsidRPr="00F12AFF">
        <w:rPr>
          <w:rFonts w:ascii="Book Antiqua" w:hAnsi="Book Antiqua"/>
          <w:sz w:val="24"/>
          <w:lang w:val="en-US" w:eastAsia="zh-CN"/>
        </w:rPr>
        <w:t>October 28, 2017</w:t>
      </w:r>
    </w:p>
    <w:p w:rsidR="00A87838" w:rsidRPr="00F12AFF" w:rsidRDefault="00A87838" w:rsidP="00F12AFF">
      <w:pPr>
        <w:adjustRightInd w:val="0"/>
        <w:snapToGrid w:val="0"/>
        <w:spacing w:line="360" w:lineRule="auto"/>
        <w:jc w:val="both"/>
        <w:rPr>
          <w:rFonts w:ascii="Book Antiqua" w:hAnsi="Book Antiqua"/>
          <w:sz w:val="24"/>
          <w:lang w:val="en-US" w:eastAsia="zh-CN"/>
        </w:rPr>
      </w:pPr>
      <w:r w:rsidRPr="00F12AFF">
        <w:rPr>
          <w:rFonts w:ascii="Book Antiqua" w:hAnsi="Book Antiqua"/>
          <w:b/>
          <w:sz w:val="24"/>
          <w:lang w:val="en-US"/>
        </w:rPr>
        <w:t>First decision:</w:t>
      </w:r>
      <w:r w:rsidR="00F0153C" w:rsidRPr="00F12AFF">
        <w:rPr>
          <w:rFonts w:ascii="Book Antiqua" w:hAnsi="Book Antiqua"/>
          <w:b/>
          <w:sz w:val="24"/>
          <w:lang w:val="en-US" w:eastAsia="zh-CN"/>
        </w:rPr>
        <w:t xml:space="preserve"> </w:t>
      </w:r>
      <w:r w:rsidR="00F0153C" w:rsidRPr="00F12AFF">
        <w:rPr>
          <w:rFonts w:ascii="Book Antiqua" w:hAnsi="Book Antiqua"/>
          <w:sz w:val="24"/>
          <w:lang w:val="en-US" w:eastAsia="zh-CN"/>
        </w:rPr>
        <w:t>November 14, 2017</w:t>
      </w:r>
    </w:p>
    <w:p w:rsidR="00A87838" w:rsidRPr="00F12AFF" w:rsidRDefault="00A87838" w:rsidP="00F12AFF">
      <w:pPr>
        <w:adjustRightInd w:val="0"/>
        <w:snapToGrid w:val="0"/>
        <w:spacing w:line="360" w:lineRule="auto"/>
        <w:jc w:val="both"/>
        <w:rPr>
          <w:rFonts w:ascii="Book Antiqua" w:hAnsi="Book Antiqua"/>
          <w:b/>
          <w:sz w:val="24"/>
          <w:lang w:val="en-US" w:eastAsia="zh-CN"/>
        </w:rPr>
      </w:pPr>
      <w:r w:rsidRPr="00F12AFF">
        <w:rPr>
          <w:rFonts w:ascii="Book Antiqua" w:hAnsi="Book Antiqua"/>
          <w:b/>
          <w:sz w:val="24"/>
          <w:lang w:val="en-US"/>
        </w:rPr>
        <w:lastRenderedPageBreak/>
        <w:t>Revised:</w:t>
      </w:r>
      <w:r w:rsidR="00F0153C" w:rsidRPr="00F12AFF">
        <w:rPr>
          <w:rFonts w:ascii="Book Antiqua" w:hAnsi="Book Antiqua"/>
          <w:b/>
          <w:sz w:val="24"/>
          <w:lang w:val="en-US" w:eastAsia="zh-CN"/>
        </w:rPr>
        <w:t xml:space="preserve"> </w:t>
      </w:r>
      <w:r w:rsidR="00F0153C" w:rsidRPr="00F12AFF">
        <w:rPr>
          <w:rFonts w:ascii="Book Antiqua" w:hAnsi="Book Antiqua"/>
          <w:sz w:val="24"/>
          <w:lang w:val="en-US" w:eastAsia="zh-CN"/>
        </w:rPr>
        <w:t>December 1, 2017</w:t>
      </w:r>
    </w:p>
    <w:p w:rsidR="00A87838" w:rsidRPr="00F12AFF" w:rsidRDefault="00A87838" w:rsidP="00F12AFF">
      <w:pPr>
        <w:adjustRightInd w:val="0"/>
        <w:snapToGrid w:val="0"/>
        <w:spacing w:line="360" w:lineRule="auto"/>
        <w:jc w:val="both"/>
        <w:rPr>
          <w:rFonts w:ascii="Book Antiqua" w:hAnsi="Book Antiqua"/>
          <w:b/>
          <w:sz w:val="24"/>
          <w:lang w:val="en-US"/>
        </w:rPr>
      </w:pPr>
      <w:r w:rsidRPr="00F12AFF">
        <w:rPr>
          <w:rFonts w:ascii="Book Antiqua" w:hAnsi="Book Antiqua"/>
          <w:b/>
          <w:sz w:val="24"/>
          <w:lang w:val="en-US"/>
        </w:rPr>
        <w:t>Accepted:</w:t>
      </w:r>
      <w:r w:rsidR="00A56ED9" w:rsidRPr="00A56ED9">
        <w:t xml:space="preserve"> </w:t>
      </w:r>
      <w:r w:rsidR="00A56ED9" w:rsidRPr="00A56ED9">
        <w:rPr>
          <w:rFonts w:ascii="Book Antiqua" w:hAnsi="Book Antiqua"/>
          <w:sz w:val="24"/>
          <w:lang w:val="en-US"/>
        </w:rPr>
        <w:t>December 5, 2017</w:t>
      </w:r>
      <w:r w:rsidRPr="00F12AFF">
        <w:rPr>
          <w:rFonts w:ascii="Book Antiqua" w:hAnsi="Book Antiqua"/>
          <w:b/>
          <w:sz w:val="24"/>
          <w:lang w:val="en-US"/>
        </w:rPr>
        <w:t xml:space="preserve">  </w:t>
      </w:r>
    </w:p>
    <w:p w:rsidR="00A87838" w:rsidRPr="00F12AFF" w:rsidRDefault="00A87838" w:rsidP="00F12AFF">
      <w:pPr>
        <w:adjustRightInd w:val="0"/>
        <w:snapToGrid w:val="0"/>
        <w:spacing w:line="360" w:lineRule="auto"/>
        <w:jc w:val="both"/>
        <w:rPr>
          <w:rFonts w:ascii="Book Antiqua" w:hAnsi="Book Antiqua"/>
          <w:b/>
          <w:sz w:val="24"/>
          <w:lang w:val="en-US"/>
        </w:rPr>
      </w:pPr>
      <w:r w:rsidRPr="00F12AFF">
        <w:rPr>
          <w:rFonts w:ascii="Book Antiqua" w:hAnsi="Book Antiqua"/>
          <w:b/>
          <w:sz w:val="24"/>
          <w:lang w:val="en-US"/>
        </w:rPr>
        <w:t>Article in press:</w:t>
      </w:r>
    </w:p>
    <w:p w:rsidR="00A87838" w:rsidRPr="00F12AFF" w:rsidRDefault="00A87838" w:rsidP="00F12AFF">
      <w:pPr>
        <w:widowControl w:val="0"/>
        <w:autoSpaceDE w:val="0"/>
        <w:autoSpaceDN w:val="0"/>
        <w:adjustRightInd w:val="0"/>
        <w:snapToGrid w:val="0"/>
        <w:spacing w:line="360" w:lineRule="auto"/>
        <w:jc w:val="both"/>
        <w:rPr>
          <w:rFonts w:ascii="Book Antiqua" w:hAnsi="Book Antiqua"/>
          <w:b/>
          <w:sz w:val="24"/>
          <w:lang w:val="en-US"/>
        </w:rPr>
      </w:pPr>
      <w:r w:rsidRPr="00F12AFF">
        <w:rPr>
          <w:rFonts w:ascii="Book Antiqua" w:hAnsi="Book Antiqua"/>
          <w:b/>
          <w:sz w:val="24"/>
          <w:lang w:val="en-US"/>
        </w:rPr>
        <w:t>Published online:</w:t>
      </w:r>
    </w:p>
    <w:p w:rsidR="008246B9" w:rsidRPr="00F12AFF" w:rsidRDefault="008246B9" w:rsidP="00F12AFF">
      <w:pPr>
        <w:widowControl w:val="0"/>
        <w:autoSpaceDE w:val="0"/>
        <w:autoSpaceDN w:val="0"/>
        <w:adjustRightInd w:val="0"/>
        <w:snapToGrid w:val="0"/>
        <w:spacing w:line="360" w:lineRule="auto"/>
        <w:jc w:val="both"/>
        <w:rPr>
          <w:rFonts w:ascii="Book Antiqua" w:hAnsi="Book Antiqua"/>
          <w:b/>
          <w:sz w:val="24"/>
          <w:lang w:val="en-US"/>
        </w:rPr>
      </w:pPr>
    </w:p>
    <w:p w:rsidR="008246B9" w:rsidRPr="00F12AFF" w:rsidRDefault="008246B9" w:rsidP="00F12AFF">
      <w:pPr>
        <w:widowControl w:val="0"/>
        <w:autoSpaceDE w:val="0"/>
        <w:autoSpaceDN w:val="0"/>
        <w:adjustRightInd w:val="0"/>
        <w:snapToGrid w:val="0"/>
        <w:spacing w:line="360" w:lineRule="auto"/>
        <w:jc w:val="both"/>
        <w:rPr>
          <w:rFonts w:ascii="Book Antiqua" w:hAnsi="Book Antiqua"/>
          <w:b/>
          <w:sz w:val="24"/>
          <w:lang w:val="en-US"/>
        </w:rPr>
      </w:pPr>
    </w:p>
    <w:p w:rsidR="008246B9" w:rsidRPr="00F12AFF" w:rsidRDefault="008246B9" w:rsidP="00F12AFF">
      <w:pPr>
        <w:widowControl w:val="0"/>
        <w:autoSpaceDE w:val="0"/>
        <w:autoSpaceDN w:val="0"/>
        <w:adjustRightInd w:val="0"/>
        <w:snapToGrid w:val="0"/>
        <w:spacing w:line="360" w:lineRule="auto"/>
        <w:jc w:val="both"/>
        <w:rPr>
          <w:rFonts w:ascii="Book Antiqua" w:hAnsi="Book Antiqua"/>
          <w:b/>
          <w:sz w:val="24"/>
          <w:lang w:val="en-US"/>
        </w:rPr>
      </w:pPr>
    </w:p>
    <w:p w:rsidR="008246B9" w:rsidRPr="00F12AFF" w:rsidRDefault="008246B9" w:rsidP="00F12AFF">
      <w:pPr>
        <w:widowControl w:val="0"/>
        <w:autoSpaceDE w:val="0"/>
        <w:autoSpaceDN w:val="0"/>
        <w:adjustRightInd w:val="0"/>
        <w:snapToGrid w:val="0"/>
        <w:spacing w:line="360" w:lineRule="auto"/>
        <w:jc w:val="both"/>
        <w:rPr>
          <w:rFonts w:ascii="Book Antiqua" w:hAnsi="Book Antiqua" w:cs="Arial"/>
          <w:sz w:val="24"/>
          <w:lang w:val="en-US" w:eastAsia="zh-CN"/>
        </w:rPr>
      </w:pPr>
    </w:p>
    <w:p w:rsidR="00E7608E" w:rsidRPr="00F12AFF" w:rsidRDefault="00E7608E" w:rsidP="00F12AFF">
      <w:pPr>
        <w:adjustRightInd w:val="0"/>
        <w:snapToGrid w:val="0"/>
        <w:spacing w:line="360" w:lineRule="auto"/>
        <w:jc w:val="both"/>
        <w:rPr>
          <w:rFonts w:ascii="Book Antiqua" w:hAnsi="Book Antiqua" w:cs="Arial"/>
          <w:b/>
          <w:bCs/>
          <w:sz w:val="24"/>
          <w:u w:val="single"/>
          <w:lang w:val="fr-FR"/>
        </w:rPr>
      </w:pPr>
      <w:r w:rsidRPr="00F12AFF">
        <w:rPr>
          <w:rFonts w:ascii="Book Antiqua" w:hAnsi="Book Antiqua" w:cs="Arial"/>
          <w:b/>
          <w:bCs/>
          <w:sz w:val="24"/>
          <w:u w:val="single"/>
          <w:lang w:val="fr-FR"/>
        </w:rPr>
        <w:br w:type="page"/>
      </w:r>
    </w:p>
    <w:p w:rsidR="00A87838" w:rsidRPr="00F12AFF" w:rsidRDefault="00A87838" w:rsidP="00F12AFF">
      <w:pPr>
        <w:adjustRightInd w:val="0"/>
        <w:snapToGrid w:val="0"/>
        <w:spacing w:line="360" w:lineRule="auto"/>
        <w:jc w:val="both"/>
        <w:rPr>
          <w:rFonts w:ascii="Book Antiqua" w:hAnsi="Book Antiqua"/>
          <w:b/>
          <w:sz w:val="24"/>
          <w:lang w:val="es-AR" w:eastAsia="zh-CN"/>
        </w:rPr>
      </w:pPr>
      <w:r w:rsidRPr="00F12AFF">
        <w:rPr>
          <w:rFonts w:ascii="Book Antiqua" w:hAnsi="Book Antiqua"/>
          <w:b/>
          <w:sz w:val="24"/>
          <w:lang w:val="en-US"/>
        </w:rPr>
        <w:lastRenderedPageBreak/>
        <w:t>Abstract</w:t>
      </w:r>
    </w:p>
    <w:p w:rsidR="00F0153C" w:rsidRPr="00F12AFF" w:rsidRDefault="007F7EBE" w:rsidP="00F12AFF">
      <w:pPr>
        <w:adjustRightInd w:val="0"/>
        <w:snapToGrid w:val="0"/>
        <w:spacing w:line="360" w:lineRule="auto"/>
        <w:jc w:val="both"/>
        <w:rPr>
          <w:rFonts w:ascii="Book Antiqua" w:hAnsi="Book Antiqua" w:cs="Arial"/>
          <w:bCs/>
          <w:sz w:val="24"/>
          <w:lang w:val="en-GB" w:eastAsia="zh-CN"/>
        </w:rPr>
      </w:pPr>
      <w:r w:rsidRPr="00F12AFF">
        <w:rPr>
          <w:rFonts w:ascii="Book Antiqua" w:hAnsi="Book Antiqua" w:cs="Arial"/>
          <w:bCs/>
          <w:sz w:val="24"/>
          <w:lang w:val="en-GB"/>
        </w:rPr>
        <w:t>Non-</w:t>
      </w:r>
      <w:r w:rsidR="00500458" w:rsidRPr="00F12AFF">
        <w:rPr>
          <w:rFonts w:ascii="Book Antiqua" w:hAnsi="Book Antiqua" w:cs="Arial"/>
          <w:bCs/>
          <w:sz w:val="24"/>
          <w:lang w:val="en-GB"/>
        </w:rPr>
        <w:t>selective beta-blockers</w:t>
      </w:r>
      <w:r w:rsidR="00F0153C" w:rsidRPr="00F12AFF">
        <w:rPr>
          <w:rFonts w:ascii="Book Antiqua" w:hAnsi="Book Antiqua" w:cs="Arial"/>
          <w:bCs/>
          <w:sz w:val="24"/>
          <w:lang w:val="en-GB" w:eastAsia="zh-CN"/>
        </w:rPr>
        <w:t xml:space="preserve"> </w:t>
      </w:r>
      <w:r w:rsidR="00500458" w:rsidRPr="00F12AFF">
        <w:rPr>
          <w:rFonts w:ascii="Book Antiqua" w:hAnsi="Book Antiqua" w:cs="Arial"/>
          <w:bCs/>
          <w:sz w:val="24"/>
          <w:lang w:val="en-GB"/>
        </w:rPr>
        <w:t>are th</w:t>
      </w:r>
      <w:r w:rsidRPr="00F12AFF">
        <w:rPr>
          <w:rFonts w:ascii="Book Antiqua" w:hAnsi="Book Antiqua" w:cs="Arial"/>
          <w:bCs/>
          <w:sz w:val="24"/>
          <w:lang w:val="en-GB"/>
        </w:rPr>
        <w:t>e mainstay of medical therapy for</w:t>
      </w:r>
      <w:r w:rsidR="00500458" w:rsidRPr="00F12AFF">
        <w:rPr>
          <w:rFonts w:ascii="Book Antiqua" w:hAnsi="Book Antiqua" w:cs="Arial"/>
          <w:bCs/>
          <w:sz w:val="24"/>
          <w:lang w:val="en-GB"/>
        </w:rPr>
        <w:t xml:space="preserve"> portal hypertension in liver cirrhosis. Inhibitors</w:t>
      </w:r>
      <w:r w:rsidR="00F53ACD" w:rsidRPr="00F12AFF">
        <w:rPr>
          <w:rFonts w:ascii="Book Antiqua" w:hAnsi="Book Antiqua" w:cs="Arial"/>
          <w:bCs/>
          <w:sz w:val="24"/>
          <w:lang w:val="en-GB"/>
        </w:rPr>
        <w:t xml:space="preserve"> of phosphodiesterase-5 (PDE-5-i</w:t>
      </w:r>
      <w:r w:rsidRPr="00F12AFF">
        <w:rPr>
          <w:rFonts w:ascii="Book Antiqua" w:hAnsi="Book Antiqua" w:cs="Arial"/>
          <w:bCs/>
          <w:sz w:val="24"/>
          <w:lang w:val="en-GB"/>
        </w:rPr>
        <w:t>nhibitors</w:t>
      </w:r>
      <w:r w:rsidR="00500458" w:rsidRPr="00F12AFF">
        <w:rPr>
          <w:rFonts w:ascii="Book Antiqua" w:hAnsi="Book Antiqua" w:cs="Arial"/>
          <w:bCs/>
          <w:sz w:val="24"/>
          <w:lang w:val="en-GB"/>
        </w:rPr>
        <w:t>) reduce portal pressur</w:t>
      </w:r>
      <w:r w:rsidRPr="00F12AFF">
        <w:rPr>
          <w:rFonts w:ascii="Book Antiqua" w:hAnsi="Book Antiqua" w:cs="Arial"/>
          <w:bCs/>
          <w:sz w:val="24"/>
          <w:lang w:val="en-GB"/>
        </w:rPr>
        <w:t>e in the acute setting by &gt; 10%</w:t>
      </w:r>
      <w:r w:rsidR="00500458" w:rsidRPr="00F12AFF">
        <w:rPr>
          <w:rFonts w:ascii="Book Antiqua" w:hAnsi="Book Antiqua" w:cs="Arial"/>
          <w:bCs/>
          <w:sz w:val="24"/>
          <w:lang w:val="en-GB"/>
        </w:rPr>
        <w:t xml:space="preserve"> which may </w:t>
      </w:r>
      <w:r w:rsidRPr="00F12AFF">
        <w:rPr>
          <w:rFonts w:ascii="Book Antiqua" w:hAnsi="Book Antiqua" w:cs="Arial"/>
          <w:bCs/>
          <w:sz w:val="24"/>
          <w:lang w:val="en-GB"/>
        </w:rPr>
        <w:t>suggest</w:t>
      </w:r>
      <w:r w:rsidR="00500458" w:rsidRPr="00F12AFF">
        <w:rPr>
          <w:rFonts w:ascii="Book Antiqua" w:hAnsi="Book Antiqua" w:cs="Arial"/>
          <w:bCs/>
          <w:sz w:val="24"/>
          <w:lang w:val="en-GB"/>
        </w:rPr>
        <w:t xml:space="preserve"> a long-term beneficial effect. Currently</w:t>
      </w:r>
      <w:r w:rsidR="00EE5019" w:rsidRPr="00F12AFF">
        <w:rPr>
          <w:rFonts w:ascii="Book Antiqua" w:hAnsi="Book Antiqua" w:cs="Arial"/>
          <w:bCs/>
          <w:sz w:val="24"/>
          <w:lang w:val="en-GB"/>
        </w:rPr>
        <w:t>,</w:t>
      </w:r>
      <w:r w:rsidR="00500458" w:rsidRPr="00F12AFF">
        <w:rPr>
          <w:rFonts w:ascii="Book Antiqua" w:hAnsi="Book Antiqua" w:cs="Arial"/>
          <w:bCs/>
          <w:sz w:val="24"/>
          <w:lang w:val="en-GB"/>
        </w:rPr>
        <w:t xml:space="preserve"> </w:t>
      </w:r>
      <w:r w:rsidR="00285718" w:rsidRPr="00F12AFF">
        <w:rPr>
          <w:rFonts w:ascii="Book Antiqua" w:hAnsi="Book Antiqua" w:cs="Arial"/>
          <w:bCs/>
          <w:sz w:val="24"/>
          <w:lang w:val="en-GB"/>
        </w:rPr>
        <w:t xml:space="preserve">there is </w:t>
      </w:r>
      <w:r w:rsidR="00500458" w:rsidRPr="00F12AFF">
        <w:rPr>
          <w:rFonts w:ascii="Book Antiqua" w:hAnsi="Book Antiqua" w:cs="Arial"/>
          <w:bCs/>
          <w:sz w:val="24"/>
          <w:lang w:val="en-GB"/>
        </w:rPr>
        <w:t xml:space="preserve">no </w:t>
      </w:r>
      <w:r w:rsidR="00285718" w:rsidRPr="00F12AFF">
        <w:rPr>
          <w:rFonts w:ascii="Book Antiqua" w:hAnsi="Book Antiqua" w:cs="Arial"/>
          <w:bCs/>
          <w:sz w:val="24"/>
          <w:lang w:val="en-GB"/>
        </w:rPr>
        <w:t xml:space="preserve">available </w:t>
      </w:r>
      <w:r w:rsidR="00500458" w:rsidRPr="00F12AFF">
        <w:rPr>
          <w:rFonts w:ascii="Book Antiqua" w:hAnsi="Book Antiqua" w:cs="Arial"/>
          <w:bCs/>
          <w:sz w:val="24"/>
          <w:lang w:val="en-GB"/>
        </w:rPr>
        <w:t xml:space="preserve">data </w:t>
      </w:r>
      <w:r w:rsidR="00285718" w:rsidRPr="00F12AFF">
        <w:rPr>
          <w:rFonts w:ascii="Book Antiqua" w:hAnsi="Book Antiqua" w:cs="Arial"/>
          <w:bCs/>
          <w:sz w:val="24"/>
          <w:lang w:val="en-GB"/>
        </w:rPr>
        <w:t xml:space="preserve">on </w:t>
      </w:r>
      <w:r w:rsidR="00500458" w:rsidRPr="00F12AFF">
        <w:rPr>
          <w:rFonts w:ascii="Book Antiqua" w:hAnsi="Book Antiqua" w:cs="Arial"/>
          <w:bCs/>
          <w:sz w:val="24"/>
          <w:lang w:val="en-GB"/>
        </w:rPr>
        <w:t>long-term treatment of po</w:t>
      </w:r>
      <w:r w:rsidR="00F53ACD" w:rsidRPr="00F12AFF">
        <w:rPr>
          <w:rFonts w:ascii="Book Antiqua" w:hAnsi="Book Antiqua" w:cs="Arial"/>
          <w:bCs/>
          <w:sz w:val="24"/>
          <w:lang w:val="en-GB"/>
        </w:rPr>
        <w:t>rtal hypertension with PDE-5-i</w:t>
      </w:r>
      <w:r w:rsidR="00285718" w:rsidRPr="00F12AFF">
        <w:rPr>
          <w:rFonts w:ascii="Book Antiqua" w:hAnsi="Book Antiqua" w:cs="Arial"/>
          <w:bCs/>
          <w:sz w:val="24"/>
          <w:lang w:val="en-GB"/>
        </w:rPr>
        <w:t>nhibitors</w:t>
      </w:r>
      <w:r w:rsidR="00500458" w:rsidRPr="00F12AFF">
        <w:rPr>
          <w:rFonts w:ascii="Book Antiqua" w:hAnsi="Book Antiqua" w:cs="Arial"/>
          <w:bCs/>
          <w:sz w:val="24"/>
          <w:lang w:val="en-GB"/>
        </w:rPr>
        <w:t xml:space="preserve">. </w:t>
      </w:r>
      <w:r w:rsidR="002C1319" w:rsidRPr="00F12AFF">
        <w:rPr>
          <w:rFonts w:ascii="Book Antiqua" w:hAnsi="Book Antiqua" w:cs="Arial"/>
          <w:bCs/>
          <w:sz w:val="24"/>
          <w:lang w:val="en-GB"/>
        </w:rPr>
        <w:t>This case of</w:t>
      </w:r>
      <w:r w:rsidR="001E3B78" w:rsidRPr="00F12AFF">
        <w:rPr>
          <w:rFonts w:ascii="Book Antiqua" w:hAnsi="Book Antiqua" w:cs="Arial"/>
          <w:bCs/>
          <w:sz w:val="24"/>
          <w:lang w:val="en-GB"/>
        </w:rPr>
        <w:t xml:space="preserve"> a patient with</w:t>
      </w:r>
      <w:r w:rsidR="002C1319" w:rsidRPr="00F12AFF">
        <w:rPr>
          <w:rFonts w:ascii="Book Antiqua" w:hAnsi="Book Antiqua" w:cs="Arial"/>
          <w:bCs/>
          <w:sz w:val="24"/>
          <w:lang w:val="en-GB"/>
        </w:rPr>
        <w:t xml:space="preserve"> liver cirrhosis </w:t>
      </w:r>
      <w:r w:rsidR="00285718" w:rsidRPr="00F12AFF">
        <w:rPr>
          <w:rFonts w:ascii="Book Antiqua" w:hAnsi="Book Antiqua" w:cs="Arial"/>
          <w:bCs/>
          <w:sz w:val="24"/>
          <w:lang w:val="en-GB"/>
        </w:rPr>
        <w:t>secondary to</w:t>
      </w:r>
      <w:r w:rsidR="00DF39E0" w:rsidRPr="00F12AFF">
        <w:rPr>
          <w:rFonts w:ascii="Book Antiqua" w:hAnsi="Book Antiqua" w:cs="Arial"/>
          <w:bCs/>
          <w:sz w:val="24"/>
          <w:lang w:val="en-GB"/>
        </w:rPr>
        <w:t xml:space="preserve"> </w:t>
      </w:r>
      <w:r w:rsidR="002C1319" w:rsidRPr="00F12AFF">
        <w:rPr>
          <w:rFonts w:ascii="Book Antiqua" w:hAnsi="Book Antiqua" w:cs="Arial"/>
          <w:bCs/>
          <w:sz w:val="24"/>
          <w:lang w:val="en-GB"/>
        </w:rPr>
        <w:t>autoimmune liver disease</w:t>
      </w:r>
      <w:r w:rsidR="00DF39E0" w:rsidRPr="00F12AFF">
        <w:rPr>
          <w:rFonts w:ascii="Book Antiqua" w:hAnsi="Book Antiqua" w:cs="Arial"/>
          <w:bCs/>
          <w:sz w:val="24"/>
          <w:lang w:val="en-GB"/>
        </w:rPr>
        <w:t xml:space="preserve"> with </w:t>
      </w:r>
      <w:r w:rsidR="00285718" w:rsidRPr="00F12AFF">
        <w:rPr>
          <w:rFonts w:ascii="Book Antiqua" w:hAnsi="Book Antiqua" w:cs="Arial"/>
          <w:bCs/>
          <w:sz w:val="24"/>
          <w:lang w:val="en-GB"/>
        </w:rPr>
        <w:t xml:space="preserve">episodes of bleeding </w:t>
      </w:r>
      <w:r w:rsidR="00E87FD3" w:rsidRPr="00F12AFF">
        <w:rPr>
          <w:rFonts w:ascii="Book Antiqua" w:hAnsi="Book Antiqua" w:cs="Arial"/>
          <w:bCs/>
          <w:sz w:val="24"/>
          <w:lang w:val="en-GB"/>
        </w:rPr>
        <w:t xml:space="preserve">from </w:t>
      </w:r>
      <w:r w:rsidR="00285718" w:rsidRPr="00F12AFF">
        <w:rPr>
          <w:rFonts w:ascii="Book Antiqua" w:hAnsi="Book Antiqua" w:cs="Arial"/>
          <w:bCs/>
          <w:sz w:val="24"/>
          <w:lang w:val="en-GB"/>
        </w:rPr>
        <w:t>eso</w:t>
      </w:r>
      <w:r w:rsidR="002F7105" w:rsidRPr="00F12AFF">
        <w:rPr>
          <w:rFonts w:ascii="Book Antiqua" w:hAnsi="Book Antiqua" w:cs="Arial"/>
          <w:bCs/>
          <w:sz w:val="24"/>
          <w:lang w:val="en-GB"/>
        </w:rPr>
        <w:t>phageal varices</w:t>
      </w:r>
      <w:r w:rsidR="00CC1110" w:rsidRPr="00F12AFF">
        <w:rPr>
          <w:rFonts w:ascii="Book Antiqua" w:hAnsi="Book Antiqua" w:cs="Arial"/>
          <w:bCs/>
          <w:sz w:val="24"/>
          <w:lang w:val="en-GB"/>
        </w:rPr>
        <w:t xml:space="preserve"> is</w:t>
      </w:r>
      <w:r w:rsidR="002C1319" w:rsidRPr="00F12AFF">
        <w:rPr>
          <w:rFonts w:ascii="Book Antiqua" w:hAnsi="Book Antiqua" w:cs="Arial"/>
          <w:bCs/>
          <w:sz w:val="24"/>
          <w:lang w:val="en-GB"/>
        </w:rPr>
        <w:t xml:space="preserve"> the first </w:t>
      </w:r>
      <w:r w:rsidR="00285718" w:rsidRPr="00F12AFF">
        <w:rPr>
          <w:rFonts w:ascii="Book Antiqua" w:hAnsi="Book Antiqua" w:cs="Arial"/>
          <w:bCs/>
          <w:sz w:val="24"/>
          <w:lang w:val="en-GB"/>
        </w:rPr>
        <w:t xml:space="preserve">documented case </w:t>
      </w:r>
      <w:r w:rsidR="00CC1110" w:rsidRPr="00F12AFF">
        <w:rPr>
          <w:rFonts w:ascii="Book Antiqua" w:hAnsi="Book Antiqua" w:cs="Arial"/>
          <w:bCs/>
          <w:sz w:val="24"/>
          <w:lang w:val="en-GB"/>
        </w:rPr>
        <w:t>in wh</w:t>
      </w:r>
      <w:r w:rsidR="00285718" w:rsidRPr="00F12AFF">
        <w:rPr>
          <w:rFonts w:ascii="Book Antiqua" w:hAnsi="Book Antiqua" w:cs="Arial"/>
          <w:bCs/>
          <w:sz w:val="24"/>
          <w:lang w:val="en-GB"/>
        </w:rPr>
        <w:t>ich</w:t>
      </w:r>
      <w:r w:rsidR="00CC1110" w:rsidRPr="00F12AFF">
        <w:rPr>
          <w:rFonts w:ascii="Book Antiqua" w:hAnsi="Book Antiqua" w:cs="Arial"/>
          <w:bCs/>
          <w:sz w:val="24"/>
          <w:lang w:val="en-GB"/>
        </w:rPr>
        <w:t xml:space="preserve"> </w:t>
      </w:r>
      <w:r w:rsidR="00F53ACD" w:rsidRPr="00F12AFF">
        <w:rPr>
          <w:rFonts w:ascii="Book Antiqua" w:hAnsi="Book Antiqua" w:cs="Arial"/>
          <w:bCs/>
          <w:sz w:val="24"/>
          <w:lang w:val="en-GB"/>
        </w:rPr>
        <w:t>a treatment with a PDE-5-i</w:t>
      </w:r>
      <w:r w:rsidR="00285718" w:rsidRPr="00F12AFF">
        <w:rPr>
          <w:rFonts w:ascii="Book Antiqua" w:hAnsi="Book Antiqua" w:cs="Arial"/>
          <w:bCs/>
          <w:sz w:val="24"/>
          <w:lang w:val="en-GB"/>
        </w:rPr>
        <w:t>nhibitor</w:t>
      </w:r>
      <w:r w:rsidR="002C1319" w:rsidRPr="00F12AFF">
        <w:rPr>
          <w:rFonts w:ascii="Book Antiqua" w:hAnsi="Book Antiqua" w:cs="Arial"/>
          <w:bCs/>
          <w:sz w:val="24"/>
          <w:lang w:val="en-GB"/>
        </w:rPr>
        <w:t xml:space="preserve"> for </w:t>
      </w:r>
      <w:r w:rsidR="00285718" w:rsidRPr="00F12AFF">
        <w:rPr>
          <w:rFonts w:ascii="Book Antiqua" w:hAnsi="Book Antiqua" w:cs="Arial"/>
          <w:bCs/>
          <w:sz w:val="24"/>
          <w:lang w:val="en-GB"/>
        </w:rPr>
        <w:t>eight</w:t>
      </w:r>
      <w:r w:rsidR="002C1319" w:rsidRPr="00F12AFF">
        <w:rPr>
          <w:rFonts w:ascii="Book Antiqua" w:hAnsi="Book Antiqua" w:cs="Arial"/>
          <w:bCs/>
          <w:sz w:val="24"/>
          <w:lang w:val="en-GB"/>
        </w:rPr>
        <w:t xml:space="preserve"> years </w:t>
      </w:r>
      <w:r w:rsidR="00DF39E0" w:rsidRPr="00F12AFF">
        <w:rPr>
          <w:rFonts w:ascii="Book Antiqua" w:hAnsi="Book Antiqua" w:cs="Arial"/>
          <w:bCs/>
          <w:sz w:val="24"/>
          <w:lang w:val="en-GB"/>
        </w:rPr>
        <w:t>was</w:t>
      </w:r>
      <w:r w:rsidR="00CC1110" w:rsidRPr="00F12AFF">
        <w:rPr>
          <w:rFonts w:ascii="Book Antiqua" w:hAnsi="Book Antiqua" w:cs="Arial"/>
          <w:bCs/>
          <w:sz w:val="24"/>
          <w:lang w:val="en-GB"/>
        </w:rPr>
        <w:t xml:space="preserve"> monitored</w:t>
      </w:r>
      <w:r w:rsidR="00285718" w:rsidRPr="00F12AFF">
        <w:rPr>
          <w:rFonts w:ascii="Book Antiqua" w:hAnsi="Book Antiqua" w:cs="Arial"/>
          <w:bCs/>
          <w:sz w:val="24"/>
          <w:lang w:val="en-GB"/>
        </w:rPr>
        <w:t>. In the acute setting,</w:t>
      </w:r>
      <w:r w:rsidR="00F53ACD" w:rsidRPr="00F12AFF">
        <w:rPr>
          <w:rFonts w:ascii="Book Antiqua" w:hAnsi="Book Antiqua" w:cs="Arial"/>
          <w:bCs/>
          <w:sz w:val="24"/>
          <w:lang w:val="en-GB"/>
        </w:rPr>
        <w:t xml:space="preserve"> the PDE-5-i</w:t>
      </w:r>
      <w:r w:rsidR="00A43AEF" w:rsidRPr="00F12AFF">
        <w:rPr>
          <w:rFonts w:ascii="Book Antiqua" w:hAnsi="Book Antiqua" w:cs="Arial"/>
          <w:bCs/>
          <w:sz w:val="24"/>
          <w:lang w:val="en-GB"/>
        </w:rPr>
        <w:t>nhibitor</w:t>
      </w:r>
      <w:r w:rsidR="00DF39E0" w:rsidRPr="00F12AFF">
        <w:rPr>
          <w:rFonts w:ascii="Book Antiqua" w:hAnsi="Book Antiqua" w:cs="Arial"/>
          <w:bCs/>
          <w:sz w:val="24"/>
          <w:lang w:val="en-GB"/>
        </w:rPr>
        <w:t xml:space="preserve"> Vardenafil </w:t>
      </w:r>
      <w:r w:rsidR="002C1319" w:rsidRPr="00F12AFF">
        <w:rPr>
          <w:rFonts w:ascii="Book Antiqua" w:hAnsi="Book Antiqua" w:cs="Arial"/>
          <w:bCs/>
          <w:sz w:val="24"/>
          <w:lang w:val="en-GB"/>
        </w:rPr>
        <w:t>low</w:t>
      </w:r>
      <w:r w:rsidR="00A43AEF" w:rsidRPr="00F12AFF">
        <w:rPr>
          <w:rFonts w:ascii="Book Antiqua" w:hAnsi="Book Antiqua" w:cs="Arial"/>
          <w:bCs/>
          <w:sz w:val="24"/>
          <w:lang w:val="en-GB"/>
        </w:rPr>
        <w:t>er</w:t>
      </w:r>
      <w:r w:rsidR="00DF39E0" w:rsidRPr="00F12AFF">
        <w:rPr>
          <w:rFonts w:ascii="Book Antiqua" w:hAnsi="Book Antiqua" w:cs="Arial"/>
          <w:bCs/>
          <w:sz w:val="24"/>
          <w:lang w:val="en-GB"/>
        </w:rPr>
        <w:t xml:space="preserve">ed </w:t>
      </w:r>
      <w:r w:rsidR="00A43AEF" w:rsidRPr="00F12AFF">
        <w:rPr>
          <w:rFonts w:ascii="Book Antiqua" w:hAnsi="Book Antiqua" w:cs="Arial"/>
          <w:bCs/>
          <w:sz w:val="24"/>
          <w:lang w:val="en-GB"/>
        </w:rPr>
        <w:t>portal pressure by 13%</w:t>
      </w:r>
      <w:r w:rsidR="002C1319" w:rsidRPr="00F12AFF">
        <w:rPr>
          <w:rFonts w:ascii="Book Antiqua" w:hAnsi="Book Antiqua" w:cs="Arial"/>
          <w:bCs/>
          <w:sz w:val="24"/>
          <w:lang w:val="en-GB"/>
        </w:rPr>
        <w:t xml:space="preserve">. </w:t>
      </w:r>
      <w:r w:rsidR="000C7DD0" w:rsidRPr="00F12AFF">
        <w:rPr>
          <w:rFonts w:ascii="Book Antiqua" w:hAnsi="Book Antiqua" w:cs="Arial"/>
          <w:bCs/>
          <w:sz w:val="24"/>
          <w:lang w:val="en-GB"/>
        </w:rPr>
        <w:t>T</w:t>
      </w:r>
      <w:r w:rsidR="002C1319" w:rsidRPr="00F12AFF">
        <w:rPr>
          <w:rFonts w:ascii="Book Antiqua" w:hAnsi="Book Antiqua" w:cs="Arial"/>
          <w:bCs/>
          <w:sz w:val="24"/>
          <w:lang w:val="en-GB"/>
        </w:rPr>
        <w:t xml:space="preserve">he portal blood flow increased by </w:t>
      </w:r>
      <w:r w:rsidR="002F7105" w:rsidRPr="00F12AFF">
        <w:rPr>
          <w:rFonts w:ascii="Book Antiqua" w:hAnsi="Book Antiqua" w:cs="Arial"/>
          <w:bCs/>
          <w:sz w:val="24"/>
          <w:lang w:val="en-GB"/>
        </w:rPr>
        <w:t xml:space="preserve">28% </w:t>
      </w:r>
      <w:r w:rsidR="0034078A" w:rsidRPr="00F12AFF">
        <w:rPr>
          <w:rFonts w:ascii="Book Antiqua" w:hAnsi="Book Antiqua" w:cs="Arial"/>
          <w:bCs/>
          <w:sz w:val="24"/>
          <w:lang w:val="en-GB"/>
        </w:rPr>
        <w:t xml:space="preserve">based on </w:t>
      </w:r>
      <w:r w:rsidR="002F7105" w:rsidRPr="00F12AFF">
        <w:rPr>
          <w:rFonts w:ascii="Book Antiqua" w:hAnsi="Book Antiqua" w:cs="Arial"/>
          <w:bCs/>
          <w:sz w:val="24"/>
          <w:lang w:val="en-GB"/>
        </w:rPr>
        <w:t xml:space="preserve">Doppler sonography and by 16% </w:t>
      </w:r>
      <w:r w:rsidR="000C7DD0" w:rsidRPr="00F12AFF">
        <w:rPr>
          <w:rFonts w:ascii="Book Antiqua" w:hAnsi="Book Antiqua" w:cs="Arial"/>
          <w:bCs/>
          <w:sz w:val="24"/>
          <w:lang w:val="en-GB"/>
        </w:rPr>
        <w:t>using</w:t>
      </w:r>
      <w:r w:rsidR="0034078A" w:rsidRPr="00F12AFF">
        <w:rPr>
          <w:rFonts w:ascii="Book Antiqua" w:hAnsi="Book Antiqua" w:cs="Arial"/>
          <w:bCs/>
          <w:sz w:val="24"/>
          <w:lang w:val="en-GB"/>
        </w:rPr>
        <w:t xml:space="preserve"> MRI </w:t>
      </w:r>
      <w:r w:rsidR="002F7105" w:rsidRPr="00F12AFF">
        <w:rPr>
          <w:rFonts w:ascii="Book Antiqua" w:hAnsi="Book Antiqua" w:cs="Arial"/>
          <w:bCs/>
          <w:sz w:val="24"/>
          <w:lang w:val="en-GB"/>
        </w:rPr>
        <w:t xml:space="preserve">technique. </w:t>
      </w:r>
      <w:r w:rsidR="00A43AEF" w:rsidRPr="00F12AFF">
        <w:rPr>
          <w:rFonts w:ascii="Book Antiqua" w:hAnsi="Book Antiqua" w:cs="Arial"/>
          <w:bCs/>
          <w:sz w:val="24"/>
          <w:lang w:val="en-GB"/>
        </w:rPr>
        <w:t xml:space="preserve">As maintenance medication </w:t>
      </w:r>
      <w:r w:rsidR="00F53ACD" w:rsidRPr="00F12AFF">
        <w:rPr>
          <w:rFonts w:ascii="Book Antiqua" w:hAnsi="Book Antiqua" w:cs="Arial"/>
          <w:bCs/>
          <w:sz w:val="24"/>
          <w:lang w:val="en-GB"/>
        </w:rPr>
        <w:t>the PDE-5-i</w:t>
      </w:r>
      <w:r w:rsidR="00B86B21" w:rsidRPr="00F12AFF">
        <w:rPr>
          <w:rFonts w:ascii="Book Antiqua" w:hAnsi="Book Antiqua" w:cs="Arial"/>
          <w:bCs/>
          <w:sz w:val="24"/>
          <w:lang w:val="en-GB"/>
        </w:rPr>
        <w:t xml:space="preserve">nhibitor </w:t>
      </w:r>
      <w:r w:rsidR="00A43AEF" w:rsidRPr="00F12AFF">
        <w:rPr>
          <w:rFonts w:ascii="Book Antiqua" w:hAnsi="Book Antiqua" w:cs="Arial"/>
          <w:bCs/>
          <w:sz w:val="24"/>
          <w:lang w:val="en-GB"/>
        </w:rPr>
        <w:t>Tadalafil</w:t>
      </w:r>
      <w:r w:rsidR="00B86B21" w:rsidRPr="00F12AFF">
        <w:rPr>
          <w:rFonts w:ascii="Book Antiqua" w:hAnsi="Book Antiqua" w:cs="Arial"/>
          <w:bCs/>
          <w:sz w:val="24"/>
          <w:lang w:val="en-GB"/>
        </w:rPr>
        <w:t xml:space="preserve"> </w:t>
      </w:r>
      <w:r w:rsidR="00D211D5" w:rsidRPr="00F12AFF">
        <w:rPr>
          <w:rFonts w:ascii="Book Antiqua" w:hAnsi="Book Antiqua" w:cs="Arial"/>
          <w:bCs/>
          <w:sz w:val="24"/>
          <w:lang w:val="en-GB"/>
        </w:rPr>
        <w:t xml:space="preserve">was used for eight consecutive years with comparable effects on portal pressure and portal blood flow. There were </w:t>
      </w:r>
      <w:r w:rsidR="009228E7" w:rsidRPr="00F12AFF">
        <w:rPr>
          <w:rFonts w:ascii="Book Antiqua" w:hAnsi="Book Antiqua" w:cs="Arial"/>
          <w:bCs/>
          <w:sz w:val="24"/>
          <w:lang w:val="en-GB"/>
        </w:rPr>
        <w:t>no recurrence of bleeding and no formation of new varices</w:t>
      </w:r>
      <w:r w:rsidR="00D0076D" w:rsidRPr="00F12AFF">
        <w:rPr>
          <w:rFonts w:ascii="Book Antiqua" w:hAnsi="Book Antiqua" w:cs="Arial"/>
          <w:bCs/>
          <w:sz w:val="24"/>
          <w:lang w:val="en-GB"/>
        </w:rPr>
        <w:t>.</w:t>
      </w:r>
      <w:r w:rsidR="00D0076D" w:rsidRPr="00F12AFF">
        <w:rPr>
          <w:rFonts w:ascii="Book Antiqua" w:eastAsia="Times New Roman" w:hAnsi="Book Antiqua" w:cs="Arial"/>
          <w:bCs/>
          <w:sz w:val="24"/>
          <w:lang w:val="en-GB"/>
        </w:rPr>
        <w:t xml:space="preserve"> </w:t>
      </w:r>
      <w:r w:rsidR="00D0076D" w:rsidRPr="00F12AFF">
        <w:rPr>
          <w:rFonts w:ascii="Book Antiqua" w:hAnsi="Book Antiqua" w:cs="Arial"/>
          <w:bCs/>
          <w:sz w:val="24"/>
          <w:lang w:val="en-GB"/>
        </w:rPr>
        <w:t>Influencing the NO-pathway by the use of PDE-5 inhibitors may have long-term beneficial effects in compensated cirrhosis.</w:t>
      </w:r>
    </w:p>
    <w:p w:rsidR="00500458" w:rsidRPr="00F12AFF" w:rsidRDefault="00F0153C" w:rsidP="00F12AFF">
      <w:pPr>
        <w:adjustRightInd w:val="0"/>
        <w:snapToGrid w:val="0"/>
        <w:spacing w:line="360" w:lineRule="auto"/>
        <w:jc w:val="both"/>
        <w:rPr>
          <w:rFonts w:ascii="Book Antiqua" w:hAnsi="Book Antiqua" w:cs="Arial"/>
          <w:b/>
          <w:bCs/>
          <w:sz w:val="24"/>
          <w:u w:val="single"/>
          <w:lang w:val="en-GB"/>
        </w:rPr>
      </w:pPr>
      <w:r w:rsidRPr="00F12AFF">
        <w:rPr>
          <w:rFonts w:ascii="Book Antiqua" w:hAnsi="Book Antiqua" w:cs="Arial"/>
          <w:b/>
          <w:bCs/>
          <w:sz w:val="24"/>
          <w:u w:val="single"/>
          <w:lang w:val="en-GB"/>
        </w:rPr>
        <w:t xml:space="preserve"> </w:t>
      </w:r>
    </w:p>
    <w:p w:rsidR="00500458" w:rsidRPr="00F12AFF" w:rsidRDefault="00A87838" w:rsidP="00F12AFF">
      <w:pPr>
        <w:adjustRightInd w:val="0"/>
        <w:snapToGrid w:val="0"/>
        <w:spacing w:line="360" w:lineRule="auto"/>
        <w:jc w:val="both"/>
        <w:rPr>
          <w:rFonts w:ascii="Book Antiqua" w:hAnsi="Book Antiqua" w:cs="Arial Unicode MS"/>
          <w:b/>
          <w:sz w:val="24"/>
          <w:lang w:val="en-US"/>
        </w:rPr>
      </w:pPr>
      <w:r w:rsidRPr="00F12AFF">
        <w:rPr>
          <w:rFonts w:ascii="Book Antiqua" w:eastAsia="Times New Roman" w:hAnsi="Book Antiqua" w:cs="Arial Unicode MS"/>
          <w:b/>
          <w:sz w:val="24"/>
          <w:lang w:val="en-US"/>
        </w:rPr>
        <w:t>Key</w:t>
      </w:r>
      <w:r w:rsidRPr="00F12AFF">
        <w:rPr>
          <w:rFonts w:ascii="Book Antiqua" w:hAnsi="Book Antiqua" w:cs="Arial Unicode MS"/>
          <w:b/>
          <w:sz w:val="24"/>
          <w:lang w:val="en-US" w:eastAsia="zh-CN"/>
        </w:rPr>
        <w:t xml:space="preserve"> </w:t>
      </w:r>
      <w:r w:rsidRPr="00F12AFF">
        <w:rPr>
          <w:rFonts w:ascii="Book Antiqua" w:eastAsia="Times New Roman" w:hAnsi="Book Antiqua" w:cs="Arial Unicode MS"/>
          <w:b/>
          <w:sz w:val="24"/>
          <w:lang w:val="en-US"/>
        </w:rPr>
        <w:t>words</w:t>
      </w:r>
      <w:r w:rsidRPr="00F12AFF">
        <w:rPr>
          <w:rFonts w:ascii="Book Antiqua" w:hAnsi="Book Antiqua" w:cs="Arial Unicode MS"/>
          <w:b/>
          <w:sz w:val="24"/>
          <w:lang w:val="en-US" w:eastAsia="zh-CN"/>
        </w:rPr>
        <w:t>:</w:t>
      </w:r>
      <w:r w:rsidR="00F0153C" w:rsidRPr="00F12AFF">
        <w:rPr>
          <w:rFonts w:ascii="Book Antiqua" w:hAnsi="Book Antiqua" w:cs="Arial Unicode MS"/>
          <w:b/>
          <w:sz w:val="24"/>
          <w:lang w:val="en-US" w:eastAsia="zh-CN"/>
        </w:rPr>
        <w:t xml:space="preserve"> </w:t>
      </w:r>
      <w:r w:rsidRPr="00F12AFF">
        <w:rPr>
          <w:rFonts w:ascii="Book Antiqua" w:hAnsi="Book Antiqua" w:cs="Arial"/>
          <w:bCs/>
          <w:sz w:val="24"/>
          <w:lang w:val="en-GB"/>
        </w:rPr>
        <w:t>L</w:t>
      </w:r>
      <w:r w:rsidR="00F0153C" w:rsidRPr="00F12AFF">
        <w:rPr>
          <w:rFonts w:ascii="Book Antiqua" w:hAnsi="Book Antiqua" w:cs="Arial"/>
          <w:bCs/>
          <w:sz w:val="24"/>
          <w:lang w:val="en-GB"/>
        </w:rPr>
        <w:t>iver cirrhosis</w:t>
      </w:r>
      <w:r w:rsidR="00F0153C" w:rsidRPr="00F12AFF">
        <w:rPr>
          <w:rFonts w:ascii="Book Antiqua" w:hAnsi="Book Antiqua" w:cs="Arial"/>
          <w:bCs/>
          <w:sz w:val="24"/>
          <w:lang w:val="en-GB" w:eastAsia="zh-CN"/>
        </w:rPr>
        <w:t>;</w:t>
      </w:r>
      <w:r w:rsidR="00CC1110" w:rsidRPr="00F12AFF">
        <w:rPr>
          <w:rFonts w:ascii="Book Antiqua" w:hAnsi="Book Antiqua" w:cs="Arial"/>
          <w:bCs/>
          <w:sz w:val="24"/>
          <w:lang w:val="en-GB"/>
        </w:rPr>
        <w:t xml:space="preserve"> </w:t>
      </w:r>
      <w:r w:rsidRPr="00F12AFF">
        <w:rPr>
          <w:rFonts w:ascii="Book Antiqua" w:hAnsi="Book Antiqua" w:cs="Arial"/>
          <w:bCs/>
          <w:sz w:val="24"/>
          <w:lang w:val="en-GB"/>
        </w:rPr>
        <w:t>P</w:t>
      </w:r>
      <w:r w:rsidR="00F0153C" w:rsidRPr="00F12AFF">
        <w:rPr>
          <w:rFonts w:ascii="Book Antiqua" w:hAnsi="Book Antiqua" w:cs="Arial"/>
          <w:bCs/>
          <w:sz w:val="24"/>
          <w:lang w:val="en-GB"/>
        </w:rPr>
        <w:t>ortal hypertension</w:t>
      </w:r>
      <w:r w:rsidR="00F0153C" w:rsidRPr="00F12AFF">
        <w:rPr>
          <w:rFonts w:ascii="Book Antiqua" w:hAnsi="Book Antiqua" w:cs="Arial"/>
          <w:bCs/>
          <w:sz w:val="24"/>
          <w:lang w:val="en-GB" w:eastAsia="zh-CN"/>
        </w:rPr>
        <w:t>;</w:t>
      </w:r>
      <w:r w:rsidR="00CC1110" w:rsidRPr="00F12AFF">
        <w:rPr>
          <w:rFonts w:ascii="Book Antiqua" w:hAnsi="Book Antiqua" w:cs="Arial"/>
          <w:bCs/>
          <w:sz w:val="24"/>
          <w:lang w:val="en-GB"/>
        </w:rPr>
        <w:t xml:space="preserve"> </w:t>
      </w:r>
      <w:r w:rsidRPr="00F12AFF">
        <w:rPr>
          <w:rFonts w:ascii="Book Antiqua" w:hAnsi="Book Antiqua" w:cs="Arial"/>
          <w:bCs/>
          <w:sz w:val="24"/>
          <w:lang w:val="en-GB"/>
        </w:rPr>
        <w:t>P</w:t>
      </w:r>
      <w:r w:rsidR="00F0153C" w:rsidRPr="00F12AFF">
        <w:rPr>
          <w:rFonts w:ascii="Book Antiqua" w:hAnsi="Book Antiqua" w:cs="Arial"/>
          <w:bCs/>
          <w:sz w:val="24"/>
          <w:lang w:val="en-GB"/>
        </w:rPr>
        <w:t>hosphodiesterase-5</w:t>
      </w:r>
      <w:r w:rsidR="00F0153C" w:rsidRPr="00F12AFF">
        <w:rPr>
          <w:rFonts w:ascii="Book Antiqua" w:hAnsi="Book Antiqua" w:cs="Arial"/>
          <w:bCs/>
          <w:sz w:val="24"/>
          <w:lang w:val="en-GB" w:eastAsia="zh-CN"/>
        </w:rPr>
        <w:t>;</w:t>
      </w:r>
      <w:r w:rsidR="00CC1110" w:rsidRPr="00F12AFF">
        <w:rPr>
          <w:rFonts w:ascii="Book Antiqua" w:hAnsi="Book Antiqua" w:cs="Arial"/>
          <w:bCs/>
          <w:sz w:val="24"/>
          <w:lang w:val="en-GB"/>
        </w:rPr>
        <w:t xml:space="preserve"> </w:t>
      </w:r>
      <w:r w:rsidRPr="00F12AFF">
        <w:rPr>
          <w:rFonts w:ascii="Book Antiqua" w:hAnsi="Book Antiqua" w:cs="Arial"/>
          <w:bCs/>
          <w:sz w:val="24"/>
          <w:lang w:val="en-GB"/>
        </w:rPr>
        <w:t>L</w:t>
      </w:r>
      <w:r w:rsidR="00F0153C" w:rsidRPr="00F12AFF">
        <w:rPr>
          <w:rFonts w:ascii="Book Antiqua" w:hAnsi="Book Antiqua" w:cs="Arial"/>
          <w:bCs/>
          <w:sz w:val="24"/>
          <w:lang w:val="en-GB"/>
        </w:rPr>
        <w:t>iver hemodynamics</w:t>
      </w:r>
      <w:r w:rsidR="00F0153C" w:rsidRPr="00F12AFF">
        <w:rPr>
          <w:rFonts w:ascii="Book Antiqua" w:hAnsi="Book Antiqua" w:cs="Arial"/>
          <w:bCs/>
          <w:sz w:val="24"/>
          <w:lang w:val="en-GB" w:eastAsia="zh-CN"/>
        </w:rPr>
        <w:t>;</w:t>
      </w:r>
      <w:r w:rsidR="00CC1110" w:rsidRPr="00F12AFF">
        <w:rPr>
          <w:rFonts w:ascii="Book Antiqua" w:hAnsi="Book Antiqua" w:cs="Arial"/>
          <w:bCs/>
          <w:sz w:val="24"/>
          <w:lang w:val="en-GB"/>
        </w:rPr>
        <w:t xml:space="preserve"> </w:t>
      </w:r>
      <w:r w:rsidRPr="00F12AFF">
        <w:rPr>
          <w:rFonts w:ascii="Book Antiqua" w:hAnsi="Book Antiqua" w:cs="Arial"/>
          <w:bCs/>
          <w:sz w:val="24"/>
          <w:lang w:val="en-GB"/>
        </w:rPr>
        <w:t>D</w:t>
      </w:r>
      <w:r w:rsidR="00F0153C" w:rsidRPr="00F12AFF">
        <w:rPr>
          <w:rFonts w:ascii="Book Antiqua" w:hAnsi="Book Antiqua" w:cs="Arial"/>
          <w:bCs/>
          <w:sz w:val="24"/>
          <w:lang w:val="en-GB"/>
        </w:rPr>
        <w:t>oppler sonography</w:t>
      </w:r>
      <w:r w:rsidR="009C22D5">
        <w:rPr>
          <w:rFonts w:ascii="Book Antiqua" w:hAnsi="Book Antiqua" w:cs="Arial"/>
          <w:bCs/>
          <w:sz w:val="24"/>
          <w:lang w:val="en-GB" w:eastAsia="zh-CN"/>
        </w:rPr>
        <w:t xml:space="preserve">; </w:t>
      </w:r>
      <w:r w:rsidRPr="00F12AFF">
        <w:rPr>
          <w:rFonts w:ascii="Book Antiqua" w:hAnsi="Book Antiqua" w:cs="Arial"/>
          <w:bCs/>
          <w:sz w:val="24"/>
          <w:lang w:val="en-GB"/>
        </w:rPr>
        <w:t>M</w:t>
      </w:r>
      <w:r w:rsidR="00CC1110" w:rsidRPr="00F12AFF">
        <w:rPr>
          <w:rFonts w:ascii="Book Antiqua" w:hAnsi="Book Antiqua" w:cs="Arial"/>
          <w:bCs/>
          <w:sz w:val="24"/>
          <w:lang w:val="en-GB"/>
        </w:rPr>
        <w:t>agnetic resonance imaging</w:t>
      </w:r>
    </w:p>
    <w:p w:rsidR="00CC1110" w:rsidRPr="009C22D5" w:rsidRDefault="00CC1110" w:rsidP="00F12AFF">
      <w:pPr>
        <w:adjustRightInd w:val="0"/>
        <w:snapToGrid w:val="0"/>
        <w:spacing w:line="360" w:lineRule="auto"/>
        <w:jc w:val="both"/>
        <w:rPr>
          <w:rFonts w:ascii="Book Antiqua" w:hAnsi="Book Antiqua" w:cs="Arial"/>
          <w:bCs/>
          <w:sz w:val="24"/>
          <w:lang w:val="en-US" w:eastAsia="zh-CN"/>
        </w:rPr>
      </w:pPr>
    </w:p>
    <w:p w:rsidR="00A87838" w:rsidRPr="00F12AFF" w:rsidRDefault="00A87838" w:rsidP="00F12AFF">
      <w:pPr>
        <w:adjustRightInd w:val="0"/>
        <w:snapToGrid w:val="0"/>
        <w:spacing w:line="360" w:lineRule="auto"/>
        <w:jc w:val="both"/>
        <w:rPr>
          <w:rFonts w:ascii="Book Antiqua" w:hAnsi="Book Antiqua" w:cs="Arial"/>
          <w:sz w:val="24"/>
          <w:lang w:val="en-US"/>
        </w:rPr>
      </w:pPr>
      <w:bookmarkStart w:id="24" w:name="OLE_LINK55"/>
      <w:bookmarkStart w:id="25" w:name="OLE_LINK56"/>
      <w:bookmarkStart w:id="26" w:name="OLE_LINK105"/>
      <w:bookmarkStart w:id="27" w:name="OLE_LINK116"/>
      <w:bookmarkStart w:id="28" w:name="OLE_LINK89"/>
      <w:r w:rsidRPr="00F12AFF">
        <w:rPr>
          <w:rFonts w:ascii="Book Antiqua" w:hAnsi="Book Antiqua"/>
          <w:b/>
          <w:sz w:val="24"/>
          <w:lang w:val="en-US"/>
        </w:rPr>
        <w:t>©</w:t>
      </w:r>
      <w:bookmarkEnd w:id="24"/>
      <w:bookmarkEnd w:id="25"/>
      <w:r w:rsidRPr="00F12AFF">
        <w:rPr>
          <w:rFonts w:ascii="Book Antiqua" w:hAnsi="Book Antiqua"/>
          <w:b/>
          <w:sz w:val="24"/>
          <w:lang w:val="en-US"/>
        </w:rPr>
        <w:t xml:space="preserve"> </w:t>
      </w:r>
      <w:r w:rsidRPr="00F12AFF">
        <w:rPr>
          <w:rFonts w:ascii="Book Antiqua" w:hAnsi="Book Antiqua" w:cs="Arial"/>
          <w:b/>
          <w:sz w:val="24"/>
          <w:lang w:val="en-US"/>
        </w:rPr>
        <w:t xml:space="preserve">The Author(s) 2017. </w:t>
      </w:r>
      <w:r w:rsidRPr="00F12AFF">
        <w:rPr>
          <w:rFonts w:ascii="Book Antiqua" w:hAnsi="Book Antiqua" w:cs="Arial"/>
          <w:sz w:val="24"/>
          <w:lang w:val="en-US"/>
        </w:rPr>
        <w:t>Published by Baishideng Publishing Group Inc. All rights reserved.</w:t>
      </w:r>
    </w:p>
    <w:bookmarkEnd w:id="26"/>
    <w:bookmarkEnd w:id="27"/>
    <w:bookmarkEnd w:id="28"/>
    <w:p w:rsidR="00A87838" w:rsidRPr="00F12AFF" w:rsidRDefault="00A87838" w:rsidP="00F12AFF">
      <w:pPr>
        <w:adjustRightInd w:val="0"/>
        <w:snapToGrid w:val="0"/>
        <w:spacing w:line="360" w:lineRule="auto"/>
        <w:jc w:val="both"/>
        <w:rPr>
          <w:rFonts w:ascii="Book Antiqua" w:hAnsi="Book Antiqua" w:cs="Arial"/>
          <w:bCs/>
          <w:sz w:val="24"/>
          <w:lang w:val="en-GB" w:eastAsia="zh-CN"/>
        </w:rPr>
      </w:pPr>
    </w:p>
    <w:p w:rsidR="0087266E" w:rsidRPr="00F12AFF" w:rsidRDefault="00A87838" w:rsidP="00F12AFF">
      <w:pPr>
        <w:tabs>
          <w:tab w:val="left" w:pos="1095"/>
        </w:tabs>
        <w:adjustRightInd w:val="0"/>
        <w:snapToGrid w:val="0"/>
        <w:spacing w:line="360" w:lineRule="auto"/>
        <w:jc w:val="both"/>
        <w:rPr>
          <w:rFonts w:ascii="Book Antiqua" w:hAnsi="Book Antiqua"/>
          <w:sz w:val="24"/>
          <w:lang w:val="en-US" w:eastAsia="zh-CN"/>
        </w:rPr>
      </w:pPr>
      <w:r w:rsidRPr="00F12AFF">
        <w:rPr>
          <w:rFonts w:ascii="Book Antiqua" w:eastAsia="Times New Roman" w:hAnsi="Book Antiqua" w:cs="Arial Unicode MS"/>
          <w:b/>
          <w:sz w:val="24"/>
          <w:lang w:val="en-US"/>
        </w:rPr>
        <w:t>Core tip:</w:t>
      </w:r>
      <w:r w:rsidRPr="00F12AFF">
        <w:rPr>
          <w:rFonts w:ascii="Book Antiqua" w:eastAsia="Times New Roman" w:hAnsi="Book Antiqua" w:cs="Arial Unicode MS"/>
          <w:b/>
          <w:sz w:val="24"/>
          <w:lang w:val="en-US"/>
        </w:rPr>
        <w:tab/>
      </w:r>
      <w:r w:rsidR="0087266E" w:rsidRPr="00F12AFF">
        <w:rPr>
          <w:rFonts w:ascii="Book Antiqua" w:eastAsia="Arial" w:hAnsi="Book Antiqua"/>
          <w:bCs/>
          <w:sz w:val="24"/>
          <w:lang w:val="en-GB" w:eastAsia="en-US"/>
        </w:rPr>
        <w:t>Non-selective beta-blockers</w:t>
      </w:r>
      <w:r w:rsidR="00F0153C" w:rsidRPr="00F12AFF">
        <w:rPr>
          <w:rFonts w:ascii="Book Antiqua" w:hAnsi="Book Antiqua"/>
          <w:bCs/>
          <w:sz w:val="24"/>
          <w:lang w:val="en-GB" w:eastAsia="zh-CN"/>
        </w:rPr>
        <w:t xml:space="preserve"> </w:t>
      </w:r>
      <w:r w:rsidR="0087266E" w:rsidRPr="00F12AFF">
        <w:rPr>
          <w:rFonts w:ascii="Book Antiqua" w:eastAsia="Arial" w:hAnsi="Book Antiqua"/>
          <w:bCs/>
          <w:sz w:val="24"/>
          <w:lang w:val="en-GB" w:eastAsia="en-US"/>
        </w:rPr>
        <w:t>are the mainstay of medical therapy for portal hypertension in liver cirrhosis. Inhibitors</w:t>
      </w:r>
      <w:r w:rsidR="00F53ACD" w:rsidRPr="00F12AFF">
        <w:rPr>
          <w:rFonts w:ascii="Book Antiqua" w:eastAsia="Arial" w:hAnsi="Book Antiqua"/>
          <w:bCs/>
          <w:sz w:val="24"/>
          <w:lang w:val="en-GB" w:eastAsia="en-US"/>
        </w:rPr>
        <w:t xml:space="preserve"> of phosphodiesterase-5</w:t>
      </w:r>
      <w:r w:rsidR="00F0153C" w:rsidRPr="00F12AFF">
        <w:rPr>
          <w:rFonts w:ascii="Book Antiqua" w:hAnsi="Book Antiqua"/>
          <w:bCs/>
          <w:sz w:val="24"/>
          <w:lang w:val="en-GB" w:eastAsia="zh-CN"/>
        </w:rPr>
        <w:t xml:space="preserve"> </w:t>
      </w:r>
      <w:r w:rsidR="004B1961">
        <w:rPr>
          <w:rFonts w:ascii="Book Antiqua" w:hAnsi="Book Antiqua" w:hint="eastAsia"/>
          <w:bCs/>
          <w:sz w:val="24"/>
          <w:lang w:val="en-GB" w:eastAsia="zh-CN"/>
        </w:rPr>
        <w:t>(</w:t>
      </w:r>
      <w:r w:rsidR="004B1961" w:rsidRPr="00F12AFF">
        <w:rPr>
          <w:rFonts w:ascii="Book Antiqua" w:eastAsia="Arial" w:hAnsi="Book Antiqua"/>
          <w:sz w:val="24"/>
          <w:lang w:val="en-US" w:eastAsia="en-US"/>
        </w:rPr>
        <w:t>PDE-5</w:t>
      </w:r>
      <w:r w:rsidR="004B1961">
        <w:rPr>
          <w:rFonts w:ascii="Book Antiqua" w:hAnsi="Book Antiqua" w:hint="eastAsia"/>
          <w:bCs/>
          <w:sz w:val="24"/>
          <w:lang w:val="en-GB" w:eastAsia="zh-CN"/>
        </w:rPr>
        <w:t xml:space="preserve">) </w:t>
      </w:r>
      <w:r w:rsidR="0087266E" w:rsidRPr="00F12AFF">
        <w:rPr>
          <w:rFonts w:ascii="Book Antiqua" w:eastAsia="Arial" w:hAnsi="Book Antiqua"/>
          <w:bCs/>
          <w:sz w:val="24"/>
          <w:lang w:val="en-GB" w:eastAsia="en-US"/>
        </w:rPr>
        <w:t xml:space="preserve">reduce portal pressure in the acute setting by &gt; 10%. </w:t>
      </w:r>
      <w:r w:rsidR="0087266E" w:rsidRPr="00F12AFF">
        <w:rPr>
          <w:rFonts w:ascii="Book Antiqua" w:eastAsia="Arial" w:hAnsi="Book Antiqua"/>
          <w:sz w:val="24"/>
          <w:lang w:val="en-US" w:eastAsia="en-US"/>
        </w:rPr>
        <w:t>This is the first report of a patient with liver cirrhosis showing that in lo</w:t>
      </w:r>
      <w:r w:rsidR="00F53ACD" w:rsidRPr="00F12AFF">
        <w:rPr>
          <w:rFonts w:ascii="Book Antiqua" w:eastAsia="Arial" w:hAnsi="Book Antiqua"/>
          <w:sz w:val="24"/>
          <w:lang w:val="en-US" w:eastAsia="en-US"/>
        </w:rPr>
        <w:t>ng-term treatment with a PDE-5-inhibitor</w:t>
      </w:r>
      <w:r w:rsidR="0087266E" w:rsidRPr="00F12AFF">
        <w:rPr>
          <w:rFonts w:ascii="Book Antiqua" w:eastAsia="Arial" w:hAnsi="Book Antiqua"/>
          <w:sz w:val="24"/>
          <w:lang w:val="en-US" w:eastAsia="en-US"/>
        </w:rPr>
        <w:t xml:space="preserve"> the positive effect on liver hemodynamics is maintained thus preventing further variceal bleeding.</w:t>
      </w:r>
    </w:p>
    <w:p w:rsidR="00A87838" w:rsidRPr="00F12AFF" w:rsidRDefault="00A87838" w:rsidP="00F12AFF">
      <w:pPr>
        <w:tabs>
          <w:tab w:val="left" w:pos="1095"/>
        </w:tabs>
        <w:adjustRightInd w:val="0"/>
        <w:snapToGrid w:val="0"/>
        <w:spacing w:line="360" w:lineRule="auto"/>
        <w:jc w:val="both"/>
        <w:rPr>
          <w:rFonts w:ascii="Book Antiqua" w:hAnsi="Book Antiqua"/>
          <w:sz w:val="24"/>
          <w:lang w:val="en-US" w:eastAsia="zh-CN"/>
        </w:rPr>
      </w:pPr>
    </w:p>
    <w:p w:rsidR="00A87838" w:rsidRPr="00F12AFF" w:rsidRDefault="00D0076D" w:rsidP="00F12AFF">
      <w:pPr>
        <w:adjustRightInd w:val="0"/>
        <w:snapToGrid w:val="0"/>
        <w:spacing w:line="360" w:lineRule="auto"/>
        <w:jc w:val="both"/>
        <w:rPr>
          <w:rFonts w:ascii="Book Antiqua" w:hAnsi="Book Antiqua" w:cs="Tahoma"/>
          <w:bCs/>
          <w:sz w:val="24"/>
          <w:lang w:eastAsia="zh-CN"/>
        </w:rPr>
      </w:pPr>
      <w:bookmarkStart w:id="29" w:name="OLE_LINK130"/>
      <w:bookmarkStart w:id="30" w:name="OLE_LINK134"/>
      <w:bookmarkStart w:id="31" w:name="OLE_LINK455"/>
      <w:bookmarkStart w:id="32" w:name="OLE_LINK464"/>
      <w:bookmarkStart w:id="33" w:name="OLE_LINK73"/>
      <w:bookmarkStart w:id="34" w:name="OLE_LINK74"/>
      <w:r w:rsidRPr="00F12AFF">
        <w:rPr>
          <w:rFonts w:ascii="Book Antiqua" w:hAnsi="Book Antiqua" w:cs="Tahoma"/>
          <w:bCs/>
          <w:sz w:val="24"/>
        </w:rPr>
        <w:t>Deibert P, Lazaro A, Stankovic Z, Schaffner D, Rössle M, Kreisel W</w:t>
      </w:r>
      <w:r w:rsidR="00F0153C" w:rsidRPr="00F12AFF">
        <w:rPr>
          <w:rFonts w:ascii="Book Antiqua" w:hAnsi="Book Antiqua" w:cs="Tahoma"/>
          <w:bCs/>
          <w:sz w:val="24"/>
          <w:lang w:eastAsia="zh-CN"/>
        </w:rPr>
        <w:t xml:space="preserve">. </w:t>
      </w:r>
      <w:r w:rsidRPr="00F12AFF">
        <w:rPr>
          <w:rFonts w:ascii="Book Antiqua" w:hAnsi="Book Antiqua" w:cs="Tahoma"/>
          <w:bCs/>
          <w:sz w:val="24"/>
          <w:lang w:val="en-GB"/>
        </w:rPr>
        <w:t>Beneficial long term effect of a phosphodiesterase-5-inhibitor in cirrhotic portal hypertension: A case report with 8 years follow-up</w:t>
      </w:r>
      <w:r w:rsidR="00F0153C" w:rsidRPr="00F12AFF">
        <w:rPr>
          <w:rFonts w:ascii="Book Antiqua" w:hAnsi="Book Antiqua" w:cs="Tahoma"/>
          <w:bCs/>
          <w:sz w:val="24"/>
          <w:lang w:val="en-GB" w:eastAsia="zh-CN"/>
        </w:rPr>
        <w:t xml:space="preserve">. </w:t>
      </w:r>
      <w:bookmarkStart w:id="35" w:name="OLE_LINK424"/>
      <w:bookmarkStart w:id="36" w:name="OLE_LINK425"/>
      <w:r w:rsidR="00A87838" w:rsidRPr="00F12AFF">
        <w:rPr>
          <w:rFonts w:ascii="Book Antiqua" w:hAnsi="Book Antiqua"/>
          <w:i/>
          <w:sz w:val="24"/>
          <w:lang w:val="en-US"/>
        </w:rPr>
        <w:t>World J Gastroenterol</w:t>
      </w:r>
      <w:r w:rsidR="00A87838" w:rsidRPr="00F12AFF">
        <w:rPr>
          <w:rFonts w:ascii="Book Antiqua" w:hAnsi="Book Antiqua"/>
          <w:sz w:val="24"/>
          <w:lang w:val="en-US"/>
        </w:rPr>
        <w:t xml:space="preserve"> 2017; </w:t>
      </w:r>
      <w:bookmarkStart w:id="37" w:name="OLE_LINK1689"/>
      <w:bookmarkStart w:id="38" w:name="OLE_LINK1298"/>
      <w:bookmarkStart w:id="39" w:name="OLE_LINK1297"/>
      <w:r w:rsidR="00A87838" w:rsidRPr="00F12AFF">
        <w:rPr>
          <w:rFonts w:ascii="Book Antiqua" w:hAnsi="Book Antiqua"/>
          <w:sz w:val="24"/>
          <w:lang w:val="en-US"/>
        </w:rPr>
        <w:t>In press</w:t>
      </w:r>
      <w:bookmarkEnd w:id="37"/>
      <w:bookmarkEnd w:id="38"/>
      <w:bookmarkEnd w:id="39"/>
    </w:p>
    <w:bookmarkEnd w:id="29"/>
    <w:bookmarkEnd w:id="30"/>
    <w:bookmarkEnd w:id="31"/>
    <w:bookmarkEnd w:id="32"/>
    <w:bookmarkEnd w:id="33"/>
    <w:bookmarkEnd w:id="34"/>
    <w:bookmarkEnd w:id="35"/>
    <w:bookmarkEnd w:id="36"/>
    <w:p w:rsidR="00A87838" w:rsidRPr="00F12AFF" w:rsidRDefault="00A87838" w:rsidP="00F12AFF">
      <w:pPr>
        <w:tabs>
          <w:tab w:val="left" w:pos="1095"/>
        </w:tabs>
        <w:adjustRightInd w:val="0"/>
        <w:snapToGrid w:val="0"/>
        <w:spacing w:line="360" w:lineRule="auto"/>
        <w:jc w:val="both"/>
        <w:rPr>
          <w:rFonts w:ascii="Book Antiqua" w:hAnsi="Book Antiqua" w:cs="Arial Unicode MS"/>
          <w:b/>
          <w:sz w:val="24"/>
          <w:lang w:val="en-US" w:eastAsia="zh-CN"/>
        </w:rPr>
      </w:pPr>
    </w:p>
    <w:p w:rsidR="00941A3F" w:rsidRPr="00F12AFF" w:rsidRDefault="00A87838" w:rsidP="00F12AFF">
      <w:pPr>
        <w:adjustRightInd w:val="0"/>
        <w:snapToGrid w:val="0"/>
        <w:spacing w:line="360" w:lineRule="auto"/>
        <w:jc w:val="both"/>
        <w:rPr>
          <w:rFonts w:ascii="Book Antiqua" w:hAnsi="Book Antiqua"/>
          <w:b/>
          <w:sz w:val="24"/>
          <w:lang w:val="en-US" w:eastAsia="zh-CN"/>
        </w:rPr>
      </w:pPr>
      <w:r w:rsidRPr="00F12AFF">
        <w:rPr>
          <w:rFonts w:ascii="Book Antiqua" w:hAnsi="Book Antiqua"/>
          <w:b/>
          <w:sz w:val="24"/>
          <w:lang w:val="en-US"/>
        </w:rPr>
        <w:t>INTRODUCTION</w:t>
      </w:r>
    </w:p>
    <w:p w:rsidR="00CD7EF8" w:rsidRPr="00F12AFF" w:rsidRDefault="0034078A" w:rsidP="00F12AFF">
      <w:pPr>
        <w:adjustRightInd w:val="0"/>
        <w:snapToGrid w:val="0"/>
        <w:spacing w:line="360" w:lineRule="auto"/>
        <w:jc w:val="both"/>
        <w:rPr>
          <w:rFonts w:ascii="Book Antiqua" w:hAnsi="Book Antiqua" w:cs="Arial"/>
          <w:bCs/>
          <w:sz w:val="24"/>
          <w:lang w:val="en-GB"/>
        </w:rPr>
      </w:pPr>
      <w:r w:rsidRPr="00F12AFF">
        <w:rPr>
          <w:rFonts w:ascii="Book Antiqua" w:hAnsi="Book Antiqua" w:cs="Arial"/>
          <w:bCs/>
          <w:sz w:val="24"/>
          <w:lang w:val="en-GB"/>
        </w:rPr>
        <w:t>P</w:t>
      </w:r>
      <w:r w:rsidR="00CB4F0B" w:rsidRPr="00F12AFF">
        <w:rPr>
          <w:rFonts w:ascii="Book Antiqua" w:hAnsi="Book Antiqua" w:cs="Arial"/>
          <w:bCs/>
          <w:sz w:val="24"/>
          <w:lang w:val="en-GB"/>
        </w:rPr>
        <w:t xml:space="preserve">ortal </w:t>
      </w:r>
      <w:r w:rsidR="00CD7EF8" w:rsidRPr="00F12AFF">
        <w:rPr>
          <w:rFonts w:ascii="Book Antiqua" w:hAnsi="Book Antiqua" w:cs="Arial"/>
          <w:bCs/>
          <w:sz w:val="24"/>
          <w:lang w:val="en-GB"/>
        </w:rPr>
        <w:t>hypertension in liver cirrhos</w:t>
      </w:r>
      <w:r w:rsidR="00F0153C" w:rsidRPr="00F12AFF">
        <w:rPr>
          <w:rFonts w:ascii="Book Antiqua" w:hAnsi="Book Antiqua" w:cs="Arial"/>
          <w:bCs/>
          <w:sz w:val="24"/>
          <w:lang w:val="en-GB"/>
        </w:rPr>
        <w:t>is is caused by several factors</w:t>
      </w:r>
      <w:r w:rsidR="00CD7EF8" w:rsidRPr="00F12AFF">
        <w:rPr>
          <w:rFonts w:ascii="Book Antiqua" w:hAnsi="Book Antiqua" w:cs="Arial"/>
          <w:bCs/>
          <w:sz w:val="24"/>
          <w:vertAlign w:val="superscript"/>
          <w:lang w:val="en-GB"/>
        </w:rPr>
        <w:t>[1–3]</w:t>
      </w:r>
      <w:r w:rsidR="00CD7EF8" w:rsidRPr="00F12AFF">
        <w:rPr>
          <w:rFonts w:ascii="Book Antiqua" w:hAnsi="Book Antiqua" w:cs="Arial"/>
          <w:bCs/>
          <w:sz w:val="24"/>
          <w:lang w:val="en-GB"/>
        </w:rPr>
        <w:t>. Structural changes (</w:t>
      </w:r>
      <w:r w:rsidR="00F0153C" w:rsidRPr="00F12AFF">
        <w:rPr>
          <w:rFonts w:ascii="Book Antiqua" w:hAnsi="Book Antiqua" w:cs="Arial"/>
          <w:bCs/>
          <w:i/>
          <w:sz w:val="24"/>
          <w:lang w:val="en-GB"/>
        </w:rPr>
        <w:t>i.e.</w:t>
      </w:r>
      <w:r w:rsidR="00CD7EF8" w:rsidRPr="00F12AFF">
        <w:rPr>
          <w:rFonts w:ascii="Book Antiqua" w:hAnsi="Book Antiqua" w:cs="Arial"/>
          <w:bCs/>
          <w:sz w:val="24"/>
          <w:lang w:val="en-GB"/>
        </w:rPr>
        <w:t xml:space="preserve"> regenerative nodules and fibrosis) lead to an intrahepatic outflow obstruction which is aggravated by an increased portal blood flow (at least in early stages of cirrhosis) as a consequence of excessive extrahepatic nitric oxide (NO) production. About a quarter of the portal pressure is due to a functional intrahepatic component: the imbalance between constricting and dilating factors within the sinusoids and the dysregulation of the nitric oxide – cyclic guanosine monophosphate (NO-cGMP) system lead to an overactivity of stellate cells/myofibroblasts and contraction of sinusoids. Phosphodiesterase-5-inhibitors (PDE-5-inhibitors) inhibit the conversion of cGMP to 5'-GMP</w:t>
      </w:r>
      <w:r w:rsidR="00CD7EF8" w:rsidRPr="00F12AFF">
        <w:rPr>
          <w:rFonts w:ascii="Book Antiqua" w:hAnsi="Book Antiqua" w:cs="Arial"/>
          <w:bCs/>
          <w:sz w:val="24"/>
          <w:vertAlign w:val="superscript"/>
          <w:lang w:val="en-GB"/>
        </w:rPr>
        <w:t>[2]</w:t>
      </w:r>
      <w:r w:rsidR="00CD7EF8" w:rsidRPr="00F12AFF">
        <w:rPr>
          <w:rFonts w:ascii="Book Antiqua" w:hAnsi="Book Antiqua" w:cs="Arial"/>
          <w:bCs/>
          <w:sz w:val="24"/>
          <w:lang w:val="en-GB"/>
        </w:rPr>
        <w:t xml:space="preserve"> thus, increasing the level of cGMP, the second messenger, which may lead to dilation of sinusoids. There are conflicting data from preclinical and clinical studies whether or not PDE-5-Inhibitors  lower elevat</w:t>
      </w:r>
      <w:r w:rsidR="00F0153C" w:rsidRPr="00F12AFF">
        <w:rPr>
          <w:rFonts w:ascii="Book Antiqua" w:hAnsi="Book Antiqua" w:cs="Arial"/>
          <w:bCs/>
          <w:sz w:val="24"/>
          <w:lang w:val="en-GB"/>
        </w:rPr>
        <w:t>ed portal pressure in cirrhosis</w:t>
      </w:r>
      <w:r w:rsidR="00CD7EF8" w:rsidRPr="00F12AFF">
        <w:rPr>
          <w:rFonts w:ascii="Book Antiqua" w:hAnsi="Book Antiqua" w:cs="Arial"/>
          <w:bCs/>
          <w:sz w:val="24"/>
          <w:vertAlign w:val="superscript"/>
          <w:lang w:val="en-GB"/>
        </w:rPr>
        <w:t>[4–6]</w:t>
      </w:r>
      <w:r w:rsidR="00CD7EF8" w:rsidRPr="00F12AFF">
        <w:rPr>
          <w:rFonts w:ascii="Book Antiqua" w:hAnsi="Book Antiqua" w:cs="Arial"/>
          <w:bCs/>
          <w:sz w:val="24"/>
          <w:lang w:val="en-GB"/>
        </w:rPr>
        <w:t>. However, a recent proof-of-concept study showed that the long-acting PDE-5-inhibitor Udenafil lowered portal pressure at doses of 75</w:t>
      </w:r>
      <w:r w:rsidR="00F0153C" w:rsidRPr="00F12AFF">
        <w:rPr>
          <w:rFonts w:ascii="Book Antiqua" w:hAnsi="Book Antiqua" w:cs="Arial"/>
          <w:bCs/>
          <w:sz w:val="24"/>
          <w:lang w:val="en-GB" w:eastAsia="zh-CN"/>
        </w:rPr>
        <w:t>-</w:t>
      </w:r>
      <w:r w:rsidR="00CD7EF8" w:rsidRPr="00F12AFF">
        <w:rPr>
          <w:rFonts w:ascii="Book Antiqua" w:hAnsi="Book Antiqua" w:cs="Arial"/>
          <w:bCs/>
          <w:sz w:val="24"/>
          <w:lang w:val="en-GB"/>
        </w:rPr>
        <w:t>100 mg  by approxi</w:t>
      </w:r>
      <w:r w:rsidR="00F0153C" w:rsidRPr="00F12AFF">
        <w:rPr>
          <w:rFonts w:ascii="Book Antiqua" w:hAnsi="Book Antiqua" w:cs="Arial"/>
          <w:bCs/>
          <w:sz w:val="24"/>
          <w:lang w:val="en-GB"/>
        </w:rPr>
        <w:t>mately 20% in the acute testing</w:t>
      </w:r>
      <w:r w:rsidR="00CD7EF8" w:rsidRPr="00F12AFF">
        <w:rPr>
          <w:rFonts w:ascii="Book Antiqua" w:hAnsi="Book Antiqua" w:cs="Arial"/>
          <w:bCs/>
          <w:sz w:val="24"/>
          <w:vertAlign w:val="superscript"/>
          <w:lang w:val="en-GB"/>
        </w:rPr>
        <w:t>[7]</w:t>
      </w:r>
      <w:r w:rsidR="00CD7EF8" w:rsidRPr="00F12AFF">
        <w:rPr>
          <w:rFonts w:ascii="Book Antiqua" w:hAnsi="Book Antiqua" w:cs="Arial"/>
          <w:bCs/>
          <w:sz w:val="24"/>
          <w:lang w:val="en-GB"/>
        </w:rPr>
        <w:t xml:space="preserve">. </w:t>
      </w:r>
    </w:p>
    <w:p w:rsidR="00CD7EF8" w:rsidRPr="00F12AFF" w:rsidRDefault="00CD7EF8" w:rsidP="00F12AFF">
      <w:pPr>
        <w:adjustRightInd w:val="0"/>
        <w:snapToGrid w:val="0"/>
        <w:spacing w:line="360" w:lineRule="auto"/>
        <w:ind w:firstLineChars="100" w:firstLine="240"/>
        <w:jc w:val="both"/>
        <w:rPr>
          <w:rFonts w:ascii="Book Antiqua" w:hAnsi="Book Antiqua" w:cs="Arial"/>
          <w:bCs/>
          <w:sz w:val="24"/>
          <w:lang w:val="en-GB"/>
        </w:rPr>
      </w:pPr>
      <w:r w:rsidRPr="00F12AFF">
        <w:rPr>
          <w:rFonts w:ascii="Book Antiqua" w:hAnsi="Book Antiqua" w:cs="Arial"/>
          <w:bCs/>
          <w:sz w:val="24"/>
          <w:lang w:val="en-GB"/>
        </w:rPr>
        <w:t>A decrease of hepatovenous pressure gradient (HVPG) by ≥ 20% from baseline or to a value of ≤ 12 mm Hg after an application of non-selective beta-blockers</w:t>
      </w:r>
      <w:r w:rsidR="00F0153C" w:rsidRPr="00F12AFF">
        <w:rPr>
          <w:rFonts w:ascii="Book Antiqua" w:hAnsi="Book Antiqua" w:cs="Arial"/>
          <w:bCs/>
          <w:sz w:val="24"/>
          <w:lang w:val="en-GB" w:eastAsia="zh-CN"/>
        </w:rPr>
        <w:t xml:space="preserve"> </w:t>
      </w:r>
      <w:r w:rsidRPr="00F12AFF">
        <w:rPr>
          <w:rFonts w:ascii="Book Antiqua" w:hAnsi="Book Antiqua" w:cs="Arial"/>
          <w:bCs/>
          <w:sz w:val="24"/>
          <w:lang w:val="en-GB"/>
        </w:rPr>
        <w:t xml:space="preserve">for more than two weeks is accepted as a good predictor </w:t>
      </w:r>
      <w:r w:rsidR="00032C92" w:rsidRPr="00F12AFF">
        <w:rPr>
          <w:rFonts w:ascii="Book Antiqua" w:hAnsi="Book Antiqua" w:cs="Arial"/>
          <w:bCs/>
          <w:sz w:val="24"/>
          <w:lang w:val="en-GB"/>
        </w:rPr>
        <w:t>of beneficial clinical response</w:t>
      </w:r>
      <w:r w:rsidRPr="00F12AFF">
        <w:rPr>
          <w:rFonts w:ascii="Book Antiqua" w:hAnsi="Book Antiqua" w:cs="Arial"/>
          <w:bCs/>
          <w:sz w:val="24"/>
          <w:vertAlign w:val="superscript"/>
          <w:lang w:val="en-GB"/>
        </w:rPr>
        <w:t>[8</w:t>
      </w:r>
      <w:r w:rsidR="00032C92" w:rsidRPr="00F12AFF">
        <w:rPr>
          <w:rFonts w:ascii="Book Antiqua" w:hAnsi="Book Antiqua" w:cs="Arial"/>
          <w:bCs/>
          <w:sz w:val="24"/>
          <w:vertAlign w:val="superscript"/>
          <w:lang w:val="en-GB" w:eastAsia="zh-CN"/>
        </w:rPr>
        <w:t>-</w:t>
      </w:r>
      <w:r w:rsidRPr="00F12AFF">
        <w:rPr>
          <w:rFonts w:ascii="Book Antiqua" w:hAnsi="Book Antiqua" w:cs="Arial"/>
          <w:bCs/>
          <w:sz w:val="24"/>
          <w:vertAlign w:val="superscript"/>
          <w:lang w:val="en-GB"/>
        </w:rPr>
        <w:t>10]</w:t>
      </w:r>
      <w:r w:rsidRPr="00F12AFF">
        <w:rPr>
          <w:rFonts w:ascii="Book Antiqua" w:hAnsi="Book Antiqua" w:cs="Arial"/>
          <w:bCs/>
          <w:sz w:val="24"/>
          <w:lang w:val="en-GB"/>
        </w:rPr>
        <w:t xml:space="preserve">. Meanwhile, several studies demonstrated that a decrease of HVPG by ≥ 10% in the acute setting after intravenous administration of propranolol (0.15 mg/kg) is an adequate predictor of a clinical response as well [11–13]. Therefore, it may be surmised that a decrease of HVPG by ≥ 10% in the acute setting after application of a PDE-5-inhibitor may be an indicator of a long-term beneficial effect in liver cirrhosis with portal hypertension. </w:t>
      </w:r>
    </w:p>
    <w:p w:rsidR="008A3125" w:rsidRDefault="00CD7EF8" w:rsidP="008A3125">
      <w:pPr>
        <w:adjustRightInd w:val="0"/>
        <w:snapToGrid w:val="0"/>
        <w:spacing w:line="360" w:lineRule="auto"/>
        <w:ind w:firstLineChars="100" w:firstLine="240"/>
        <w:jc w:val="both"/>
        <w:rPr>
          <w:rFonts w:ascii="Book Antiqua" w:hAnsi="Book Antiqua"/>
          <w:sz w:val="24"/>
          <w:lang w:val="en-GB" w:eastAsia="zh-CN"/>
        </w:rPr>
      </w:pPr>
      <w:r w:rsidRPr="00F12AFF">
        <w:rPr>
          <w:rFonts w:ascii="Book Antiqua" w:hAnsi="Book Antiqua" w:cs="Arial"/>
          <w:bCs/>
          <w:sz w:val="24"/>
          <w:lang w:val="en-GB"/>
        </w:rPr>
        <w:t xml:space="preserve">In this case report of a patient with liver cirrhosis who had multiple episodes of bleeding esophageal varices we aimed to answer the following questions: </w:t>
      </w:r>
      <w:r w:rsidR="00032C92" w:rsidRPr="00F12AFF">
        <w:rPr>
          <w:rFonts w:ascii="Book Antiqua" w:hAnsi="Book Antiqua" w:cs="Arial"/>
          <w:bCs/>
          <w:sz w:val="24"/>
          <w:lang w:val="en-GB" w:eastAsia="zh-CN"/>
        </w:rPr>
        <w:t>(</w:t>
      </w:r>
      <w:r w:rsidRPr="00F12AFF">
        <w:rPr>
          <w:rFonts w:ascii="Book Antiqua" w:hAnsi="Book Antiqua" w:cs="Arial"/>
          <w:bCs/>
          <w:sz w:val="24"/>
          <w:lang w:val="en-GB"/>
        </w:rPr>
        <w:t>1</w:t>
      </w:r>
      <w:r w:rsidR="00032C92" w:rsidRPr="00F12AFF">
        <w:rPr>
          <w:rFonts w:ascii="Book Antiqua" w:hAnsi="Book Antiqua" w:cs="Arial"/>
          <w:bCs/>
          <w:sz w:val="24"/>
          <w:lang w:val="en-GB" w:eastAsia="zh-CN"/>
        </w:rPr>
        <w:t>)</w:t>
      </w:r>
      <w:r w:rsidRPr="00F12AFF">
        <w:rPr>
          <w:rFonts w:ascii="Book Antiqua" w:hAnsi="Book Antiqua" w:cs="Arial"/>
          <w:bCs/>
          <w:sz w:val="24"/>
          <w:lang w:val="en-GB"/>
        </w:rPr>
        <w:t xml:space="preserve"> Are the decrease of portal pressure and increase of portal venous blood flow induced by a PDE-5-inhibitor long-lasting? </w:t>
      </w:r>
      <w:r w:rsidR="00032C92" w:rsidRPr="00F12AFF">
        <w:rPr>
          <w:rFonts w:ascii="Book Antiqua" w:hAnsi="Book Antiqua" w:cs="Arial"/>
          <w:bCs/>
          <w:sz w:val="24"/>
          <w:lang w:val="en-GB" w:eastAsia="zh-CN"/>
        </w:rPr>
        <w:t>(</w:t>
      </w:r>
      <w:r w:rsidRPr="00F12AFF">
        <w:rPr>
          <w:rFonts w:ascii="Book Antiqua" w:hAnsi="Book Antiqua" w:cs="Arial"/>
          <w:bCs/>
          <w:sz w:val="24"/>
          <w:lang w:val="en-GB"/>
        </w:rPr>
        <w:t>2</w:t>
      </w:r>
      <w:r w:rsidR="00032C92" w:rsidRPr="00F12AFF">
        <w:rPr>
          <w:rFonts w:ascii="Book Antiqua" w:hAnsi="Book Antiqua" w:cs="Arial"/>
          <w:bCs/>
          <w:sz w:val="24"/>
          <w:lang w:val="en-GB" w:eastAsia="zh-CN"/>
        </w:rPr>
        <w:t>)</w:t>
      </w:r>
      <w:r w:rsidRPr="00F12AFF">
        <w:rPr>
          <w:rFonts w:ascii="Book Antiqua" w:hAnsi="Book Antiqua" w:cs="Arial"/>
          <w:bCs/>
          <w:sz w:val="24"/>
          <w:lang w:val="en-GB"/>
        </w:rPr>
        <w:t xml:space="preserve"> Does the long-term use of a PDE-5-inhibitor have a beneficial clinical effect of reducing the risk of bleeding from esophageal varices? </w:t>
      </w:r>
      <w:r w:rsidR="00032C92" w:rsidRPr="00F12AFF">
        <w:rPr>
          <w:rFonts w:ascii="Book Antiqua" w:hAnsi="Book Antiqua" w:cs="Arial"/>
          <w:bCs/>
          <w:sz w:val="24"/>
          <w:lang w:val="en-GB" w:eastAsia="zh-CN"/>
        </w:rPr>
        <w:t>(</w:t>
      </w:r>
      <w:r w:rsidRPr="00F12AFF">
        <w:rPr>
          <w:rFonts w:ascii="Book Antiqua" w:hAnsi="Book Antiqua" w:cs="Arial"/>
          <w:bCs/>
          <w:sz w:val="24"/>
          <w:lang w:val="en-GB"/>
        </w:rPr>
        <w:t>3</w:t>
      </w:r>
      <w:r w:rsidR="00032C92" w:rsidRPr="00F12AFF">
        <w:rPr>
          <w:rFonts w:ascii="Book Antiqua" w:hAnsi="Book Antiqua" w:cs="Arial"/>
          <w:bCs/>
          <w:sz w:val="24"/>
          <w:lang w:val="en-GB" w:eastAsia="zh-CN"/>
        </w:rPr>
        <w:t>)</w:t>
      </w:r>
      <w:r w:rsidRPr="00F12AFF">
        <w:rPr>
          <w:rFonts w:ascii="Book Antiqua" w:hAnsi="Book Antiqua" w:cs="Arial"/>
          <w:bCs/>
          <w:sz w:val="24"/>
          <w:lang w:val="en-GB"/>
        </w:rPr>
        <w:t xml:space="preserve"> Do we see any compound-specific adverse effects in the long-term?</w:t>
      </w:r>
    </w:p>
    <w:p w:rsidR="008A3125" w:rsidRDefault="008A3125" w:rsidP="008A3125">
      <w:pPr>
        <w:adjustRightInd w:val="0"/>
        <w:snapToGrid w:val="0"/>
        <w:spacing w:line="360" w:lineRule="auto"/>
        <w:jc w:val="both"/>
        <w:rPr>
          <w:rFonts w:ascii="Book Antiqua" w:hAnsi="Book Antiqua"/>
          <w:sz w:val="24"/>
          <w:lang w:val="en-GB" w:eastAsia="zh-CN"/>
        </w:rPr>
      </w:pPr>
    </w:p>
    <w:p w:rsidR="00A36900" w:rsidRPr="008A3125" w:rsidRDefault="00032C92" w:rsidP="008A3125">
      <w:pPr>
        <w:adjustRightInd w:val="0"/>
        <w:snapToGrid w:val="0"/>
        <w:spacing w:line="360" w:lineRule="auto"/>
        <w:jc w:val="both"/>
        <w:rPr>
          <w:rFonts w:ascii="Book Antiqua" w:hAnsi="Book Antiqua"/>
          <w:sz w:val="24"/>
          <w:lang w:val="en-GB"/>
        </w:rPr>
      </w:pPr>
      <w:r w:rsidRPr="00F12AFF">
        <w:rPr>
          <w:rFonts w:ascii="Book Antiqua" w:hAnsi="Book Antiqua" w:cs="Arial"/>
          <w:b/>
          <w:bCs/>
          <w:sz w:val="24"/>
          <w:lang w:val="en-GB"/>
        </w:rPr>
        <w:t>CASE REPORT</w:t>
      </w:r>
    </w:p>
    <w:p w:rsidR="00CD7EF8" w:rsidRPr="00F12AFF" w:rsidRDefault="00C44D88" w:rsidP="00F12AFF">
      <w:pPr>
        <w:adjustRightInd w:val="0"/>
        <w:snapToGrid w:val="0"/>
        <w:spacing w:line="360" w:lineRule="auto"/>
        <w:jc w:val="both"/>
        <w:rPr>
          <w:rFonts w:ascii="Book Antiqua" w:hAnsi="Book Antiqua"/>
          <w:sz w:val="24"/>
          <w:lang w:val="en-GB"/>
        </w:rPr>
      </w:pPr>
      <w:r w:rsidRPr="00F12AFF">
        <w:rPr>
          <w:rFonts w:ascii="Book Antiqua" w:hAnsi="Book Antiqua"/>
          <w:sz w:val="24"/>
          <w:lang w:val="en-GB"/>
        </w:rPr>
        <w:t>I</w:t>
      </w:r>
      <w:r w:rsidR="007548DB" w:rsidRPr="00F12AFF">
        <w:rPr>
          <w:rFonts w:ascii="Book Antiqua" w:hAnsi="Book Antiqua"/>
          <w:sz w:val="24"/>
          <w:lang w:val="en-GB"/>
        </w:rPr>
        <w:t xml:space="preserve">n </w:t>
      </w:r>
      <w:r w:rsidR="00CD7EF8" w:rsidRPr="00F12AFF">
        <w:rPr>
          <w:rFonts w:ascii="Book Antiqua" w:hAnsi="Book Antiqua"/>
          <w:sz w:val="24"/>
          <w:lang w:val="en-GB"/>
        </w:rPr>
        <w:t xml:space="preserve">February 2009 a 53-year-old female patient was admitted to the University Hospital in Freiburg, Germany for further evaluation. The patient was initially diagnosed with autoimmune hepatitis / primary biliary cholangitis (AIH/PBC) overlap syndrome (positive for anti-nuclear antibodies, antibodies to smooth muscle cells, antibodies to pyruvate decarboxylase E2 subunit, and to soluble liver antigen) in 1989. Since histology and clinical chemistry showed that the AIH component was predominant without cholestasis, the prescribed therapy was a combination of corticosteroids and azathioprine. </w:t>
      </w:r>
    </w:p>
    <w:p w:rsidR="00CD7EF8" w:rsidRPr="00F12AFF" w:rsidRDefault="00CD7EF8" w:rsidP="00F12AFF">
      <w:pPr>
        <w:adjustRightInd w:val="0"/>
        <w:snapToGrid w:val="0"/>
        <w:spacing w:line="360" w:lineRule="auto"/>
        <w:ind w:firstLineChars="100" w:firstLine="240"/>
        <w:jc w:val="both"/>
        <w:rPr>
          <w:rFonts w:ascii="Book Antiqua" w:hAnsi="Book Antiqua"/>
          <w:sz w:val="24"/>
          <w:lang w:val="en-GB"/>
        </w:rPr>
      </w:pPr>
      <w:r w:rsidRPr="00F12AFF">
        <w:rPr>
          <w:rFonts w:ascii="Book Antiqua" w:hAnsi="Book Antiqua"/>
          <w:sz w:val="24"/>
          <w:lang w:val="en-GB"/>
        </w:rPr>
        <w:t>In 2006 the patient was previously admitted in the Hospital of Norden, Germany with the first episode of acute variceal bleeding with hemodynamic instability. Banding of varices was performed. Sonography of the abdominal organs showed signs of liver cirrhosis including enlarged spleen. No other abnormalities were found. Within the following 3 years she bled three times per year from these varices. In 2008 she had two episodes of bleeding from rectal varices which were treated with rubber band ligation. Medical therapy of portal hypertension with propranolol was initiated but had to be stopped even at the low dose of 20 mg twice daily due to intolerable cardiovascular side effects (</w:t>
      </w:r>
      <w:r w:rsidR="00F0153C" w:rsidRPr="00F12AFF">
        <w:rPr>
          <w:rFonts w:ascii="Book Antiqua" w:hAnsi="Book Antiqua"/>
          <w:i/>
          <w:sz w:val="24"/>
          <w:lang w:val="en-GB"/>
        </w:rPr>
        <w:t>i.e.</w:t>
      </w:r>
      <w:r w:rsidRPr="00F12AFF">
        <w:rPr>
          <w:rFonts w:ascii="Book Antiqua" w:hAnsi="Book Antiqua"/>
          <w:sz w:val="24"/>
          <w:lang w:val="en-GB"/>
        </w:rPr>
        <w:t xml:space="preserve"> bradycardia and hypotension). The patient was regularly monitored in the liver transplant center of the University Hospital in Hannover (Medizinische Hochschule Hannover). She was waitlisted for liver transplantation and the implantation of TIPS was scheduled. She was referred to our hepatological unit in order to check whether the application of an inhibitor of the enzyme phosphodiesterase-5 could be an option to lower portal pressure and reduce the risk for bleeding from esophageal varices.</w:t>
      </w:r>
    </w:p>
    <w:p w:rsidR="00CD7EF8" w:rsidRPr="00F12AFF" w:rsidRDefault="00CD7EF8" w:rsidP="00F12AFF">
      <w:pPr>
        <w:adjustRightInd w:val="0"/>
        <w:snapToGrid w:val="0"/>
        <w:spacing w:line="360" w:lineRule="auto"/>
        <w:ind w:firstLineChars="100" w:firstLine="240"/>
        <w:jc w:val="both"/>
        <w:rPr>
          <w:rFonts w:ascii="Book Antiqua" w:hAnsi="Book Antiqua"/>
          <w:sz w:val="24"/>
          <w:lang w:val="en-GB"/>
        </w:rPr>
      </w:pPr>
      <w:r w:rsidRPr="00F12AFF">
        <w:rPr>
          <w:rFonts w:ascii="Book Antiqua" w:hAnsi="Book Antiqua"/>
          <w:sz w:val="24"/>
          <w:lang w:val="en-GB"/>
        </w:rPr>
        <w:t>The patient was in a good clinical condition upon admission. The physical examination findings were normal except for the palpable liver and minor bilateral varicose veins of the lower extremities. Examination of heart and lungs was unremarkable. No bipedal edema was present. There were no signs of hepatic encephalopathy. Blood pressure was 154/86 mmHg and the heart rate was 78/min. ECG and echocardiography findings were normal except for a slight tricuspid valve insufficiency. Systolic pulmonary artery pressure was not increased (26</w:t>
      </w:r>
      <w:r w:rsidR="00032C92" w:rsidRPr="00F12AFF">
        <w:rPr>
          <w:rFonts w:ascii="Book Antiqua" w:hAnsi="Book Antiqua"/>
          <w:sz w:val="24"/>
          <w:lang w:val="en-GB" w:eastAsia="zh-CN"/>
        </w:rPr>
        <w:t xml:space="preserve"> </w:t>
      </w:r>
      <w:r w:rsidRPr="00F12AFF">
        <w:rPr>
          <w:rFonts w:ascii="Book Antiqua" w:hAnsi="Book Antiqua"/>
          <w:sz w:val="24"/>
          <w:lang w:val="en-GB"/>
        </w:rPr>
        <w:t xml:space="preserve">mmHg). </w:t>
      </w:r>
      <w:r w:rsidRPr="00F12AFF">
        <w:rPr>
          <w:rFonts w:ascii="Book Antiqua" w:hAnsi="Book Antiqua"/>
          <w:sz w:val="24"/>
          <w:lang w:val="en-GB"/>
        </w:rPr>
        <w:lastRenderedPageBreak/>
        <w:t>Laboratory results showed no pathological values except a slight increase in total bilirubin (1.6 mg/d</w:t>
      </w:r>
      <w:r w:rsidR="00032C92" w:rsidRPr="00F12AFF">
        <w:rPr>
          <w:rFonts w:ascii="Book Antiqua" w:hAnsi="Book Antiqua"/>
          <w:sz w:val="24"/>
          <w:lang w:val="en-GB"/>
        </w:rPr>
        <w:t>L</w:t>
      </w:r>
      <w:r w:rsidRPr="00F12AFF">
        <w:rPr>
          <w:rFonts w:ascii="Book Antiqua" w:hAnsi="Book Antiqua"/>
          <w:sz w:val="24"/>
          <w:lang w:val="en-GB"/>
        </w:rPr>
        <w:t>) and thrombocytopenia of 105.000/µ</w:t>
      </w:r>
      <w:r w:rsidR="00032C92" w:rsidRPr="00F12AFF">
        <w:rPr>
          <w:rFonts w:ascii="Book Antiqua" w:hAnsi="Book Antiqua"/>
          <w:sz w:val="24"/>
          <w:lang w:val="en-GB"/>
        </w:rPr>
        <w:t>L</w:t>
      </w:r>
      <w:r w:rsidRPr="00F12AFF">
        <w:rPr>
          <w:rFonts w:ascii="Book Antiqua" w:hAnsi="Book Antiqua"/>
          <w:sz w:val="24"/>
          <w:lang w:val="en-GB"/>
        </w:rPr>
        <w:t>, establishing the case as Child A cirrhosis (</w:t>
      </w:r>
      <w:r w:rsidR="00F0153C" w:rsidRPr="00F12AFF">
        <w:rPr>
          <w:rFonts w:ascii="Book Antiqua" w:hAnsi="Book Antiqua"/>
          <w:i/>
          <w:sz w:val="24"/>
          <w:lang w:val="en-GB"/>
        </w:rPr>
        <w:t>i.e.</w:t>
      </w:r>
      <w:r w:rsidRPr="00F12AFF">
        <w:rPr>
          <w:rFonts w:ascii="Book Antiqua" w:hAnsi="Book Antiqua"/>
          <w:sz w:val="24"/>
          <w:lang w:val="en-GB"/>
        </w:rPr>
        <w:t xml:space="preserve"> normal bilirubin, normal serum albumin, normal INR, no ascites, no hepatic encephalopathy). In esophago-gastro-duodenoscopy scarring transformation of two ligated varices was observed. Three small varices of grade 1 – 2 were visible. At this point, the daily medication consisted of azathioprine 75 mg, prednisolone 5 mg, pantoprazole 20 mg, and calcium 500 mg. </w:t>
      </w:r>
    </w:p>
    <w:p w:rsidR="00CD7EF8" w:rsidRPr="00F12AFF" w:rsidRDefault="00CD7EF8" w:rsidP="00F12AFF">
      <w:pPr>
        <w:adjustRightInd w:val="0"/>
        <w:snapToGrid w:val="0"/>
        <w:spacing w:line="360" w:lineRule="auto"/>
        <w:ind w:firstLineChars="100" w:firstLine="240"/>
        <w:jc w:val="both"/>
        <w:rPr>
          <w:rFonts w:ascii="Book Antiqua" w:hAnsi="Book Antiqua"/>
          <w:sz w:val="24"/>
          <w:lang w:val="en-GB"/>
        </w:rPr>
      </w:pPr>
      <w:r w:rsidRPr="00F12AFF">
        <w:rPr>
          <w:rFonts w:ascii="Book Antiqua" w:hAnsi="Book Antiqua"/>
          <w:sz w:val="24"/>
          <w:lang w:val="en-GB"/>
        </w:rPr>
        <w:t>To test the effect of a PDE-5-inhibitor on portal hemodynamics in February 2009 10 mg of Vardenafil were administered orally. Wedged hepatic vein pressure (WHVP) and free hepatic vein pressure (FHVP) were measured in triplicate before and one hour after the drug administration. The HVPG, defined as WHVP – FHVP, decreased by 14% from 10.5 to 9.0 mmHg. Duplex sonography showed an increase in portal flow by 28% (0.97 l/min to 1.24</w:t>
      </w:r>
      <w:bookmarkStart w:id="40" w:name="_GoBack"/>
      <w:bookmarkEnd w:id="40"/>
      <w:r w:rsidRPr="00F12AFF">
        <w:rPr>
          <w:rFonts w:ascii="Book Antiqua" w:hAnsi="Book Antiqua"/>
          <w:sz w:val="24"/>
          <w:lang w:val="en-GB"/>
        </w:rPr>
        <w:t xml:space="preserve"> l/min) 60 min after drug intake. Systemic blood pressure changed from 130/87 to 121/75 mmHg one hour after drug administration, while heart rate changed from 65 to 61/min. Portal flow monitored by flow-sensitive 3D magnetic resonance imaging increased by 16 % (0.85</w:t>
      </w:r>
      <w:r w:rsidR="00F5354F" w:rsidRPr="00F12AFF">
        <w:rPr>
          <w:rFonts w:ascii="Book Antiqua" w:hAnsi="Book Antiqua"/>
          <w:sz w:val="24"/>
          <w:lang w:val="en-GB" w:eastAsia="zh-CN"/>
        </w:rPr>
        <w:t xml:space="preserve"> </w:t>
      </w:r>
      <w:r w:rsidRPr="00F12AFF">
        <w:rPr>
          <w:rFonts w:ascii="Book Antiqua" w:hAnsi="Book Antiqua"/>
          <w:sz w:val="24"/>
          <w:lang w:val="en-GB"/>
        </w:rPr>
        <w:t>l/min to 0.99</w:t>
      </w:r>
      <w:r w:rsidR="00F5354F" w:rsidRPr="00F12AFF">
        <w:rPr>
          <w:rFonts w:ascii="Book Antiqua" w:hAnsi="Book Antiqua"/>
          <w:sz w:val="24"/>
          <w:lang w:val="en-GB" w:eastAsia="zh-CN"/>
        </w:rPr>
        <w:t xml:space="preserve"> </w:t>
      </w:r>
      <w:r w:rsidRPr="00F12AFF">
        <w:rPr>
          <w:rFonts w:ascii="Book Antiqua" w:hAnsi="Book Antiqua"/>
          <w:sz w:val="24"/>
          <w:lang w:val="en-GB"/>
        </w:rPr>
        <w:t>l/min). Maximal flow velocity remained constant, at 24 cm/sec in duplex sonography and 17 cm/sec in 3D MRI. No relevant effect was observed on systemic blood pressure. Visualization of the portal venous system by MRI (Figure 1) confirmed the duplex sonographic findings of a prograde blood flow in the portal vein and the two main intrahepatic branches and a recanalized umbilical vein originating from the left main branch of the portal vein.</w:t>
      </w:r>
    </w:p>
    <w:p w:rsidR="00CD7EF8" w:rsidRPr="00F12AFF" w:rsidRDefault="00CD7EF8" w:rsidP="00F12AFF">
      <w:pPr>
        <w:adjustRightInd w:val="0"/>
        <w:snapToGrid w:val="0"/>
        <w:spacing w:line="360" w:lineRule="auto"/>
        <w:ind w:firstLineChars="100" w:firstLine="240"/>
        <w:jc w:val="both"/>
        <w:rPr>
          <w:rFonts w:ascii="Book Antiqua" w:hAnsi="Book Antiqua"/>
          <w:sz w:val="24"/>
          <w:lang w:val="en-GB"/>
        </w:rPr>
      </w:pPr>
      <w:r w:rsidRPr="00F12AFF">
        <w:rPr>
          <w:rFonts w:ascii="Book Antiqua" w:hAnsi="Book Antiqua"/>
          <w:sz w:val="24"/>
          <w:lang w:val="en-GB"/>
        </w:rPr>
        <w:t>We discussed an experimental therapeutic approach of the application of a PDE-5-inhibitor with the patient. The patient was informed that this was an off-label use and gave written informed consent. After having verified that the PDE-5-inhibitor Vardenafil decreased HVPG and that it led to an increase of portal venous blood confirmed by two independent methods we decided to start a long-term therapy with 5 mg Tadalafil/day, as this PDE-5-inhibitor has a longer half-life than Vardenafil. In June 2009 an HVPG one hour after oral administration of 5 mg Tadalafil of 10.5 mm Hg was measured. Portal venous blood flow remained elevated at 1.21</w:t>
      </w:r>
      <w:r w:rsidR="00F5354F" w:rsidRPr="00F12AFF">
        <w:rPr>
          <w:rFonts w:ascii="Book Antiqua" w:hAnsi="Book Antiqua"/>
          <w:sz w:val="24"/>
          <w:lang w:val="en-GB" w:eastAsia="zh-CN"/>
        </w:rPr>
        <w:t xml:space="preserve"> </w:t>
      </w:r>
      <w:r w:rsidRPr="00F12AFF">
        <w:rPr>
          <w:rFonts w:ascii="Book Antiqua" w:hAnsi="Book Antiqua"/>
          <w:sz w:val="24"/>
          <w:lang w:val="en-GB"/>
        </w:rPr>
        <w:t>l/min. Systemic blood pressure showed no clinically relevant changes (124/79</w:t>
      </w:r>
      <w:r w:rsidR="00F5354F" w:rsidRPr="00F12AFF">
        <w:rPr>
          <w:rFonts w:ascii="Book Antiqua" w:hAnsi="Book Antiqua"/>
          <w:sz w:val="24"/>
          <w:lang w:val="en-GB" w:eastAsia="zh-CN"/>
        </w:rPr>
        <w:t xml:space="preserve"> </w:t>
      </w:r>
      <w:r w:rsidRPr="00F12AFF">
        <w:rPr>
          <w:rFonts w:ascii="Book Antiqua" w:hAnsi="Book Antiqua"/>
          <w:sz w:val="24"/>
          <w:lang w:val="en-GB"/>
        </w:rPr>
        <w:t xml:space="preserve">mmHg, heart rate 88/min to 127/77 mmHg, heart rate 64/min) in the acute setting. </w:t>
      </w:r>
      <w:r w:rsidRPr="00F12AFF">
        <w:rPr>
          <w:rFonts w:ascii="Book Antiqua" w:hAnsi="Book Antiqua"/>
          <w:sz w:val="24"/>
          <w:lang w:val="en-GB"/>
        </w:rPr>
        <w:lastRenderedPageBreak/>
        <w:t>The next evaluation was performed in October 2009 wherein after 10 mg Tadalafil the HVPG decreased by 15% from 12.0 to 10.0 mm Hg. Portal venous blood flow remained markedly elevated (1.28</w:t>
      </w:r>
      <w:r w:rsidR="00F5354F" w:rsidRPr="00F12AFF">
        <w:rPr>
          <w:rFonts w:ascii="Book Antiqua" w:hAnsi="Book Antiqua"/>
          <w:sz w:val="24"/>
          <w:lang w:val="en-GB" w:eastAsia="zh-CN"/>
        </w:rPr>
        <w:t xml:space="preserve"> </w:t>
      </w:r>
      <w:r w:rsidRPr="00F12AFF">
        <w:rPr>
          <w:rFonts w:ascii="Book Antiqua" w:hAnsi="Book Antiqua"/>
          <w:sz w:val="24"/>
          <w:lang w:val="en-GB"/>
        </w:rPr>
        <w:t>l/min in Duplex sonography and 0.99</w:t>
      </w:r>
      <w:r w:rsidR="00F5354F" w:rsidRPr="00F12AFF">
        <w:rPr>
          <w:rFonts w:ascii="Book Antiqua" w:hAnsi="Book Antiqua"/>
          <w:sz w:val="24"/>
          <w:lang w:val="en-GB" w:eastAsia="zh-CN"/>
        </w:rPr>
        <w:t xml:space="preserve"> </w:t>
      </w:r>
      <w:r w:rsidRPr="00F12AFF">
        <w:rPr>
          <w:rFonts w:ascii="Book Antiqua" w:hAnsi="Book Antiqua"/>
          <w:sz w:val="24"/>
          <w:lang w:val="en-GB"/>
        </w:rPr>
        <w:t xml:space="preserve">l/min as measured by MRI). In March 2010 HVPG was 10.5 mm Hg, while portal venous blood flow remained about 30% higher than the initial reading as verified by the two methods. Notably, the flow in the umbilical vein was not influenced by the PDE-5-inhibitor. The results of the measurements are shown in Table 1. No relevant changes in heart rate or blood pressure occurred. In April 2010 a second-grade esophageal varix was injected with acryl-glue prophylactically. In March 2011 the last measurement of portal blood flow using duplex sonography and the MRI method was performed. It showed that the portal venous blood flow remained constant at a level above than at the start of treatment. Further invasive portal pressure measurements were not performed. </w:t>
      </w:r>
    </w:p>
    <w:p w:rsidR="00CD7EF8" w:rsidRPr="00F12AFF" w:rsidRDefault="00CD7EF8" w:rsidP="00F12AFF">
      <w:pPr>
        <w:adjustRightInd w:val="0"/>
        <w:snapToGrid w:val="0"/>
        <w:spacing w:line="360" w:lineRule="auto"/>
        <w:ind w:firstLineChars="100" w:firstLine="240"/>
        <w:jc w:val="both"/>
        <w:rPr>
          <w:rFonts w:ascii="Book Antiqua" w:hAnsi="Book Antiqua"/>
          <w:sz w:val="24"/>
          <w:lang w:val="en-GB"/>
        </w:rPr>
      </w:pPr>
      <w:r w:rsidRPr="00F12AFF">
        <w:rPr>
          <w:rFonts w:ascii="Book Antiqua" w:hAnsi="Book Antiqua"/>
          <w:sz w:val="24"/>
          <w:lang w:val="en-GB"/>
        </w:rPr>
        <w:t xml:space="preserve">The clinical course of the patient remained stable. The portal venous blood flow determined by duplex sonography was constant </w:t>
      </w:r>
      <w:r w:rsidR="00032C92" w:rsidRPr="00F12AFF">
        <w:rPr>
          <w:rFonts w:ascii="Book Antiqua" w:hAnsi="Book Antiqua"/>
          <w:sz w:val="24"/>
          <w:lang w:val="en-GB"/>
        </w:rPr>
        <w:t>within the range of 1.2 and 1.4</w:t>
      </w:r>
      <w:r w:rsidR="00F5354F" w:rsidRPr="00F12AFF">
        <w:rPr>
          <w:rFonts w:ascii="Book Antiqua" w:hAnsi="Book Antiqua"/>
          <w:sz w:val="24"/>
          <w:lang w:val="en-GB" w:eastAsia="zh-CN"/>
        </w:rPr>
        <w:t xml:space="preserve"> </w:t>
      </w:r>
      <w:r w:rsidRPr="00F12AFF">
        <w:rPr>
          <w:rFonts w:ascii="Book Antiqua" w:hAnsi="Book Antiqua"/>
          <w:sz w:val="24"/>
          <w:lang w:val="en-GB"/>
        </w:rPr>
        <w:t>l/min. Endoscopic monitoring every six months showed scarring in the distal esophagus and with no signs of new esophageal varices. The varices remained closed by thrombosis. Two episodes of upper gastrointestinal bleeding occurred in 02/2016 and 04/2016. Upper endoscopy excluded bleeding from varices or portal hypertensive gastropathy. The bleeding from the small visible erosions in the duodenum was attributed to NSAID use which the patient had taken due to headache. After administration of a proton pump inhibitor no further bleeding occurred. In 12/2016 portal flow was quantified to be 1.06</w:t>
      </w:r>
      <w:r w:rsidR="00F5354F" w:rsidRPr="00F12AFF">
        <w:rPr>
          <w:rFonts w:ascii="Book Antiqua" w:hAnsi="Book Antiqua"/>
          <w:sz w:val="24"/>
          <w:lang w:val="en-GB" w:eastAsia="zh-CN"/>
        </w:rPr>
        <w:t xml:space="preserve"> </w:t>
      </w:r>
      <w:r w:rsidRPr="00F12AFF">
        <w:rPr>
          <w:rFonts w:ascii="Book Antiqua" w:hAnsi="Book Antiqua"/>
          <w:sz w:val="24"/>
          <w:lang w:val="en-GB"/>
        </w:rPr>
        <w:t>l/min. However, this was measured with a different sonographic device. The next sonographic examination in 09/2017 with the original device revealed a constant portal blood flow of 1.29</w:t>
      </w:r>
      <w:r w:rsidR="00F5354F" w:rsidRPr="00F12AFF">
        <w:rPr>
          <w:rFonts w:ascii="Book Antiqua" w:hAnsi="Book Antiqua"/>
          <w:sz w:val="24"/>
          <w:lang w:val="en-GB" w:eastAsia="zh-CN"/>
        </w:rPr>
        <w:t xml:space="preserve"> </w:t>
      </w:r>
      <w:r w:rsidRPr="00F12AFF">
        <w:rPr>
          <w:rFonts w:ascii="Book Antiqua" w:hAnsi="Book Antiqua"/>
          <w:sz w:val="24"/>
          <w:lang w:val="en-GB"/>
        </w:rPr>
        <w:t>l/min.</w:t>
      </w:r>
    </w:p>
    <w:p w:rsidR="00CD7EF8" w:rsidRPr="00F12AFF" w:rsidRDefault="00CD7EF8" w:rsidP="00F12AFF">
      <w:pPr>
        <w:adjustRightInd w:val="0"/>
        <w:snapToGrid w:val="0"/>
        <w:spacing w:line="360" w:lineRule="auto"/>
        <w:jc w:val="both"/>
        <w:rPr>
          <w:rFonts w:ascii="Book Antiqua" w:hAnsi="Book Antiqua"/>
          <w:sz w:val="24"/>
          <w:lang w:val="en-GB"/>
        </w:rPr>
      </w:pPr>
      <w:r w:rsidRPr="00F12AFF">
        <w:rPr>
          <w:rFonts w:ascii="Book Antiqua" w:hAnsi="Book Antiqua"/>
          <w:sz w:val="24"/>
          <w:lang w:val="en-GB"/>
        </w:rPr>
        <w:t xml:space="preserve">Figure 2 shows the distal aspect of the esophagus with visible scars caused by sclerosing and banding, with the old varices remained thrombosed. Figure 3 shows an abdominal </w:t>
      </w:r>
      <w:r w:rsidR="007E6F43" w:rsidRPr="00F12AFF">
        <w:rPr>
          <w:rFonts w:ascii="Book Antiqua" w:hAnsi="Book Antiqua"/>
          <w:sz w:val="24"/>
          <w:lang w:val="en-GB"/>
        </w:rPr>
        <w:t>computer tomographic</w:t>
      </w:r>
      <w:r w:rsidRPr="00F12AFF">
        <w:rPr>
          <w:rFonts w:ascii="Book Antiqua" w:hAnsi="Book Antiqua"/>
          <w:sz w:val="24"/>
          <w:lang w:val="en-GB"/>
        </w:rPr>
        <w:t xml:space="preserve"> angiography. The portal vein (solid arrow) was perfused in a prograde direction, the diameter was enlarged. There were collateral veins at the splenic hilus and an enlarged left ovarian vein (dashed arrows). </w:t>
      </w:r>
    </w:p>
    <w:p w:rsidR="00753B0C" w:rsidRPr="00F12AFF" w:rsidRDefault="00CD7EF8" w:rsidP="00F12AFF">
      <w:pPr>
        <w:adjustRightInd w:val="0"/>
        <w:snapToGrid w:val="0"/>
        <w:spacing w:line="360" w:lineRule="auto"/>
        <w:ind w:firstLineChars="100" w:firstLine="240"/>
        <w:jc w:val="both"/>
        <w:rPr>
          <w:rFonts w:ascii="Book Antiqua" w:hAnsi="Book Antiqua"/>
          <w:sz w:val="24"/>
          <w:lang w:val="en-GB" w:eastAsia="zh-CN"/>
        </w:rPr>
      </w:pPr>
      <w:r w:rsidRPr="00F12AFF">
        <w:rPr>
          <w:rFonts w:ascii="Book Antiqua" w:hAnsi="Book Antiqua"/>
          <w:sz w:val="24"/>
          <w:lang w:val="en-GB"/>
        </w:rPr>
        <w:t xml:space="preserve">The patient continued the daily intake of 5 mg Tadalafil. Other medications consisted of 75 mg Azathioprine per day and 2.5 mg Prednisone per day. Because of </w:t>
      </w:r>
      <w:r w:rsidRPr="00F12AFF">
        <w:rPr>
          <w:rFonts w:ascii="Book Antiqua" w:hAnsi="Book Antiqua"/>
          <w:sz w:val="24"/>
          <w:lang w:val="en-GB"/>
        </w:rPr>
        <w:lastRenderedPageBreak/>
        <w:t>the stable clinical condition the patient is no longer on the list of liver transplant candidates. During the time of follow-up the number of varicose veins of the lower extremities increased and a local therapy was suggested.</w:t>
      </w:r>
    </w:p>
    <w:p w:rsidR="00753B0C" w:rsidRPr="00F12AFF" w:rsidRDefault="00753B0C" w:rsidP="00F12AFF">
      <w:pPr>
        <w:adjustRightInd w:val="0"/>
        <w:snapToGrid w:val="0"/>
        <w:spacing w:line="360" w:lineRule="auto"/>
        <w:jc w:val="both"/>
        <w:rPr>
          <w:rFonts w:ascii="Book Antiqua" w:hAnsi="Book Antiqua"/>
          <w:sz w:val="24"/>
          <w:lang w:val="en-GB"/>
        </w:rPr>
      </w:pPr>
    </w:p>
    <w:p w:rsidR="00CC1110" w:rsidRPr="00F12AFF" w:rsidRDefault="00A87838" w:rsidP="00F12AFF">
      <w:pPr>
        <w:adjustRightInd w:val="0"/>
        <w:snapToGrid w:val="0"/>
        <w:spacing w:line="360" w:lineRule="auto"/>
        <w:jc w:val="both"/>
        <w:rPr>
          <w:rFonts w:ascii="Book Antiqua" w:hAnsi="Book Antiqua" w:cs="Arial"/>
          <w:sz w:val="24"/>
          <w:lang w:val="en-GB"/>
        </w:rPr>
      </w:pPr>
      <w:r w:rsidRPr="00F12AFF">
        <w:rPr>
          <w:rFonts w:ascii="Book Antiqua" w:hAnsi="Book Antiqua" w:cs="Arial"/>
          <w:b/>
          <w:sz w:val="24"/>
          <w:lang w:val="en-GB"/>
        </w:rPr>
        <w:t>DISCUSSION</w:t>
      </w:r>
    </w:p>
    <w:p w:rsidR="00CD7EF8" w:rsidRPr="00F12AFF" w:rsidRDefault="00AA3B52" w:rsidP="00F12AFF">
      <w:pPr>
        <w:adjustRightInd w:val="0"/>
        <w:snapToGrid w:val="0"/>
        <w:spacing w:line="360" w:lineRule="auto"/>
        <w:jc w:val="both"/>
        <w:rPr>
          <w:rFonts w:ascii="Book Antiqua" w:hAnsi="Book Antiqua" w:cs="Arial"/>
          <w:sz w:val="24"/>
          <w:lang w:val="en-GB"/>
        </w:rPr>
      </w:pPr>
      <w:r w:rsidRPr="00F12AFF">
        <w:rPr>
          <w:rFonts w:ascii="Book Antiqua" w:hAnsi="Book Antiqua" w:cs="Arial"/>
          <w:sz w:val="24"/>
          <w:lang w:val="en-GB"/>
        </w:rPr>
        <w:t>This</w:t>
      </w:r>
      <w:r w:rsidR="00753B0C" w:rsidRPr="00F12AFF">
        <w:rPr>
          <w:rFonts w:ascii="Book Antiqua" w:hAnsi="Book Antiqua" w:cs="Arial"/>
          <w:sz w:val="24"/>
          <w:lang w:val="en-GB"/>
        </w:rPr>
        <w:t xml:space="preserve"> </w:t>
      </w:r>
      <w:r w:rsidR="00CD7EF8" w:rsidRPr="00F12AFF">
        <w:rPr>
          <w:rFonts w:ascii="Book Antiqua" w:hAnsi="Book Antiqua" w:cs="Arial"/>
          <w:sz w:val="24"/>
          <w:lang w:val="en-GB"/>
        </w:rPr>
        <w:t>case report describes a consistent beneficial effect of a PDE-5-inhibitor in a patient with portal hypertension due to AIH/PBC overlap syndrome who had bled from esophageal varices. HVPG decreased by 14% at the initial hemodynamic test and by 15% a few months later. Portal venous flow increased by 28% as measured by Doppler ultrasound and by 16% as measur</w:t>
      </w:r>
      <w:r w:rsidR="00032C92" w:rsidRPr="00F12AFF">
        <w:rPr>
          <w:rFonts w:ascii="Book Antiqua" w:hAnsi="Book Antiqua" w:cs="Arial"/>
          <w:sz w:val="24"/>
          <w:lang w:val="en-GB"/>
        </w:rPr>
        <w:t>ed by four-dimensional flow MRI</w:t>
      </w:r>
      <w:r w:rsidR="00CD7EF8" w:rsidRPr="00F12AFF">
        <w:rPr>
          <w:rFonts w:ascii="Book Antiqua" w:hAnsi="Book Antiqua" w:cs="Arial"/>
          <w:sz w:val="24"/>
          <w:vertAlign w:val="superscript"/>
          <w:lang w:val="en-GB"/>
        </w:rPr>
        <w:t>[14,15]</w:t>
      </w:r>
      <w:r w:rsidR="00CD7EF8" w:rsidRPr="00F12AFF">
        <w:rPr>
          <w:rFonts w:ascii="Book Antiqua" w:hAnsi="Book Antiqua" w:cs="Arial"/>
          <w:sz w:val="24"/>
          <w:lang w:val="en-GB"/>
        </w:rPr>
        <w:t>. These measurements persisted for more than eight years and were accompanied by a beneficial clinical effect. Since the start of a therapy with 5 mg Tadalafil per day no further esophageal variceal bleeding occurred for eight years. Compound-specific adverse effects were not observed. In particular, no</w:t>
      </w:r>
      <w:r w:rsidR="00EB0594" w:rsidRPr="00F12AFF">
        <w:rPr>
          <w:rFonts w:ascii="Book Antiqua" w:hAnsi="Book Antiqua" w:cs="Arial"/>
          <w:sz w:val="24"/>
          <w:lang w:val="en-GB"/>
        </w:rPr>
        <w:t xml:space="preserve"> clinically</w:t>
      </w:r>
      <w:r w:rsidR="00CD7EF8" w:rsidRPr="00F12AFF">
        <w:rPr>
          <w:rFonts w:ascii="Book Antiqua" w:hAnsi="Book Antiqua" w:cs="Arial"/>
          <w:sz w:val="24"/>
          <w:lang w:val="en-GB"/>
        </w:rPr>
        <w:t xml:space="preserve"> significant side effects to systemic hemodynamics were detected.</w:t>
      </w:r>
    </w:p>
    <w:p w:rsidR="00CD7EF8" w:rsidRPr="00F12AFF" w:rsidRDefault="00CD7EF8" w:rsidP="00F12AFF">
      <w:pPr>
        <w:adjustRightInd w:val="0"/>
        <w:snapToGrid w:val="0"/>
        <w:spacing w:line="360" w:lineRule="auto"/>
        <w:ind w:firstLineChars="100" w:firstLine="240"/>
        <w:jc w:val="both"/>
        <w:rPr>
          <w:rFonts w:ascii="Book Antiqua" w:hAnsi="Book Antiqua" w:cs="Arial"/>
          <w:sz w:val="24"/>
          <w:lang w:val="en-GB"/>
        </w:rPr>
      </w:pPr>
      <w:r w:rsidRPr="00F12AFF">
        <w:rPr>
          <w:rFonts w:ascii="Book Antiqua" w:hAnsi="Book Antiqua" w:cs="Arial"/>
          <w:sz w:val="24"/>
          <w:lang w:val="en-GB"/>
        </w:rPr>
        <w:t xml:space="preserve">For several years the question whether or not an inhibition of the enzyme PDE-5 lowers portal hypertension in patients with liver cirrhosis remained unanswered. The idea to use a PDE-5-inhibitor in portal hypertension has mainly been derived from theoretical consideration based on known or assumed biochemical mechanisms </w:t>
      </w:r>
      <w:r w:rsidR="00032C92" w:rsidRPr="00F12AFF">
        <w:rPr>
          <w:rFonts w:ascii="Book Antiqua" w:hAnsi="Book Antiqua" w:cs="Arial"/>
          <w:sz w:val="24"/>
          <w:lang w:val="en-GB"/>
        </w:rPr>
        <w:t>involved in portal hypertension</w:t>
      </w:r>
      <w:r w:rsidRPr="00F12AFF">
        <w:rPr>
          <w:rFonts w:ascii="Book Antiqua" w:hAnsi="Book Antiqua" w:cs="Arial"/>
          <w:sz w:val="24"/>
          <w:vertAlign w:val="superscript"/>
          <w:lang w:val="en-GB"/>
        </w:rPr>
        <w:t>[16,17]</w:t>
      </w:r>
      <w:r w:rsidRPr="00F12AFF">
        <w:rPr>
          <w:rFonts w:ascii="Book Antiqua" w:hAnsi="Book Antiqua" w:cs="Arial"/>
          <w:sz w:val="24"/>
          <w:lang w:val="en-GB"/>
        </w:rPr>
        <w:t>. Meanwhile, the results of a proof-of-concept study were published showing that the long-acting PDE-5-inhibitor Udenafil lowers portal pressure in liver cirrhosis in a dose depend</w:t>
      </w:r>
      <w:r w:rsidR="00032C92" w:rsidRPr="00F12AFF">
        <w:rPr>
          <w:rFonts w:ascii="Book Antiqua" w:hAnsi="Book Antiqua" w:cs="Arial"/>
          <w:sz w:val="24"/>
          <w:lang w:val="en-GB"/>
        </w:rPr>
        <w:t>ent-manner in the acute setting</w:t>
      </w:r>
      <w:r w:rsidRPr="00F12AFF">
        <w:rPr>
          <w:rFonts w:ascii="Book Antiqua" w:hAnsi="Book Antiqua" w:cs="Arial"/>
          <w:sz w:val="24"/>
          <w:vertAlign w:val="superscript"/>
          <w:lang w:val="en-GB"/>
        </w:rPr>
        <w:t>[8]</w:t>
      </w:r>
      <w:r w:rsidRPr="00F12AFF">
        <w:rPr>
          <w:rFonts w:ascii="Book Antiqua" w:hAnsi="Book Antiqua" w:cs="Arial"/>
          <w:sz w:val="24"/>
          <w:lang w:val="en-GB"/>
        </w:rPr>
        <w:t>.  The authors tried to explain the conflicting data obtained from other working groups and suggested that the effect of a PDE-5-inhibitor is dose-dependent and that the most pronounced effect could be seen in early to middle stages of liver cirrhosis, when the regulation of the sinusoidal tonus could still be influenced. However, the potential for a beneficial or detrimental effect of PDE-5 inhibitors may depend on the stage of liver disease and the extension of portal collaterals as it h</w:t>
      </w:r>
      <w:r w:rsidR="00032C92" w:rsidRPr="00F12AFF">
        <w:rPr>
          <w:rFonts w:ascii="Book Antiqua" w:hAnsi="Book Antiqua" w:cs="Arial"/>
          <w:sz w:val="24"/>
          <w:lang w:val="en-GB"/>
        </w:rPr>
        <w:t>as been postulated for nitrates</w:t>
      </w:r>
      <w:r w:rsidRPr="00F12AFF">
        <w:rPr>
          <w:rFonts w:ascii="Book Antiqua" w:hAnsi="Book Antiqua" w:cs="Arial"/>
          <w:sz w:val="24"/>
          <w:vertAlign w:val="superscript"/>
          <w:lang w:val="en-GB"/>
        </w:rPr>
        <w:t>[18]</w:t>
      </w:r>
      <w:r w:rsidRPr="00F12AFF">
        <w:rPr>
          <w:rFonts w:ascii="Book Antiqua" w:hAnsi="Book Antiqua" w:cs="Arial"/>
          <w:sz w:val="24"/>
          <w:lang w:val="en-GB"/>
        </w:rPr>
        <w:t>.</w:t>
      </w:r>
    </w:p>
    <w:p w:rsidR="00CD7EF8" w:rsidRPr="00F12AFF" w:rsidRDefault="00CD7EF8" w:rsidP="00F12AFF">
      <w:pPr>
        <w:adjustRightInd w:val="0"/>
        <w:snapToGrid w:val="0"/>
        <w:spacing w:line="360" w:lineRule="auto"/>
        <w:ind w:firstLineChars="100" w:firstLine="240"/>
        <w:jc w:val="both"/>
        <w:rPr>
          <w:rFonts w:ascii="Book Antiqua" w:hAnsi="Book Antiqua" w:cs="Arial"/>
          <w:sz w:val="24"/>
          <w:lang w:val="en-GB"/>
        </w:rPr>
      </w:pPr>
      <w:r w:rsidRPr="00F12AFF">
        <w:rPr>
          <w:rFonts w:ascii="Book Antiqua" w:hAnsi="Book Antiqua" w:cs="Arial"/>
          <w:sz w:val="24"/>
          <w:lang w:val="en-GB"/>
        </w:rPr>
        <w:t>According to recently published articles, a decrease of HVPG by &gt; 10% after acute administration of propranolol might be sufficient to predict a beneficial clinica</w:t>
      </w:r>
      <w:r w:rsidR="00032C92" w:rsidRPr="00F12AFF">
        <w:rPr>
          <w:rFonts w:ascii="Book Antiqua" w:hAnsi="Book Antiqua" w:cs="Arial"/>
          <w:sz w:val="24"/>
          <w:lang w:val="en-GB"/>
        </w:rPr>
        <w:t>l effect on rate of rebleeding</w:t>
      </w:r>
      <w:r w:rsidR="00032C92" w:rsidRPr="00F12AFF">
        <w:rPr>
          <w:rFonts w:ascii="Book Antiqua" w:hAnsi="Book Antiqua" w:cs="Arial"/>
          <w:sz w:val="24"/>
          <w:vertAlign w:val="superscript"/>
          <w:lang w:val="en-GB"/>
        </w:rPr>
        <w:t>[11–13]</w:t>
      </w:r>
      <w:r w:rsidRPr="00F12AFF">
        <w:rPr>
          <w:rFonts w:ascii="Book Antiqua" w:hAnsi="Book Antiqua" w:cs="Arial"/>
          <w:sz w:val="24"/>
          <w:lang w:val="en-GB"/>
        </w:rPr>
        <w:t>. In this case it was shown that using the short acting PDE-</w:t>
      </w:r>
      <w:r w:rsidRPr="00F12AFF">
        <w:rPr>
          <w:rFonts w:ascii="Book Antiqua" w:hAnsi="Book Antiqua" w:cs="Arial"/>
          <w:sz w:val="24"/>
          <w:lang w:val="en-GB"/>
        </w:rPr>
        <w:lastRenderedPageBreak/>
        <w:t>5-inhibitor Vardenafil and the long-acting PDE-5-inhibitor Tadalafil the portal pressure decreased by 14% and by 15%, respectively. These data are consistent</w:t>
      </w:r>
      <w:r w:rsidR="00032C92" w:rsidRPr="00F12AFF">
        <w:rPr>
          <w:rFonts w:ascii="Book Antiqua" w:hAnsi="Book Antiqua" w:cs="Arial"/>
          <w:sz w:val="24"/>
          <w:lang w:val="en-GB"/>
        </w:rPr>
        <w:t xml:space="preserve"> with other published reports</w:t>
      </w:r>
      <w:r w:rsidRPr="00F12AFF">
        <w:rPr>
          <w:rFonts w:ascii="Book Antiqua" w:hAnsi="Book Antiqua" w:cs="Arial"/>
          <w:sz w:val="24"/>
          <w:vertAlign w:val="superscript"/>
          <w:lang w:val="en-GB"/>
        </w:rPr>
        <w:t>[4,7]</w:t>
      </w:r>
      <w:r w:rsidRPr="00F12AFF">
        <w:rPr>
          <w:rFonts w:ascii="Book Antiqua" w:hAnsi="Book Antiqua" w:cs="Arial"/>
          <w:sz w:val="24"/>
          <w:lang w:val="en-GB"/>
        </w:rPr>
        <w:t xml:space="preserve">. It was therefore interesting to monitor the effect of the PDE-5-inhibitor on clinical outcome measures in this patient. It was possible to observe the effect of Tadalafil on HVPG for one year. If a PDE-5-inhibitor lowers portal pressure this may be achieved by dilation of sinusoids which leads to a concomitant increase </w:t>
      </w:r>
      <w:r w:rsidR="00032C92" w:rsidRPr="00F12AFF">
        <w:rPr>
          <w:rFonts w:ascii="Book Antiqua" w:hAnsi="Book Antiqua" w:cs="Arial"/>
          <w:sz w:val="24"/>
          <w:lang w:val="en-GB"/>
        </w:rPr>
        <w:t>of portal venous blood flow</w:t>
      </w:r>
      <w:r w:rsidR="00032C92" w:rsidRPr="00F12AFF">
        <w:rPr>
          <w:rFonts w:ascii="Book Antiqua" w:hAnsi="Book Antiqua" w:cs="Arial"/>
          <w:sz w:val="24"/>
          <w:vertAlign w:val="superscript"/>
          <w:lang w:val="en-GB"/>
        </w:rPr>
        <w:t>[4]</w:t>
      </w:r>
      <w:r w:rsidRPr="00F12AFF">
        <w:rPr>
          <w:rFonts w:ascii="Book Antiqua" w:hAnsi="Book Antiqua" w:cs="Arial"/>
          <w:sz w:val="24"/>
          <w:lang w:val="en-GB"/>
        </w:rPr>
        <w:t xml:space="preserve">. Table 1 shows that the PDE-5-inhibitor induced an increase of portal venous flow. Within a two-year duration this increase was verified by two independent methods (Doppler sonography and MRT). </w:t>
      </w:r>
    </w:p>
    <w:p w:rsidR="00CD7EF8" w:rsidRPr="00F12AFF" w:rsidRDefault="00CD7EF8" w:rsidP="00F12AFF">
      <w:pPr>
        <w:adjustRightInd w:val="0"/>
        <w:snapToGrid w:val="0"/>
        <w:spacing w:line="360" w:lineRule="auto"/>
        <w:ind w:firstLineChars="100" w:firstLine="240"/>
        <w:jc w:val="both"/>
        <w:rPr>
          <w:rFonts w:ascii="Book Antiqua" w:hAnsi="Book Antiqua" w:cs="Arial"/>
          <w:sz w:val="24"/>
          <w:lang w:val="en-GB"/>
        </w:rPr>
      </w:pPr>
      <w:r w:rsidRPr="00F12AFF">
        <w:rPr>
          <w:rFonts w:ascii="Book Antiqua" w:hAnsi="Book Antiqua" w:cs="Arial"/>
          <w:sz w:val="24"/>
          <w:lang w:val="en-GB"/>
        </w:rPr>
        <w:t>This first documented case of a long-term application of PDE-5 inhibitors in cirrhotic portal hypertension could initiate the discussion about this group of drugs as novel adjunct therapy in this setting. Further clinical studies must be conducted before PDE-5 inhibitors can be safely recommended for this indication. In this patient the effect of Tadalafil on portal blood flow persisted for eight years. Presently, there is still no generally accepted non-inva</w:t>
      </w:r>
      <w:r w:rsidR="00032C92" w:rsidRPr="00F12AFF">
        <w:rPr>
          <w:rFonts w:ascii="Book Antiqua" w:hAnsi="Book Antiqua" w:cs="Arial"/>
          <w:sz w:val="24"/>
          <w:lang w:val="en-GB"/>
        </w:rPr>
        <w:t>sive marker for portal pressure</w:t>
      </w:r>
      <w:r w:rsidRPr="00F12AFF">
        <w:rPr>
          <w:rFonts w:ascii="Book Antiqua" w:hAnsi="Book Antiqua" w:cs="Arial"/>
          <w:sz w:val="24"/>
          <w:vertAlign w:val="superscript"/>
          <w:lang w:val="en-GB"/>
        </w:rPr>
        <w:t>[19]</w:t>
      </w:r>
      <w:r w:rsidRPr="00F12AFF">
        <w:rPr>
          <w:rFonts w:ascii="Book Antiqua" w:hAnsi="Book Antiqua" w:cs="Arial"/>
          <w:sz w:val="24"/>
          <w:lang w:val="en-GB"/>
        </w:rPr>
        <w:t>. The quantification of liver hemodynamics with Doppler sonography has been shown to correla</w:t>
      </w:r>
      <w:r w:rsidR="00032C92" w:rsidRPr="00F12AFF">
        <w:rPr>
          <w:rFonts w:ascii="Book Antiqua" w:hAnsi="Book Antiqua" w:cs="Arial"/>
          <w:sz w:val="24"/>
          <w:lang w:val="en-GB"/>
        </w:rPr>
        <w:t>te with the HVPG to some degree</w:t>
      </w:r>
      <w:r w:rsidRPr="00F12AFF">
        <w:rPr>
          <w:rFonts w:ascii="Book Antiqua" w:hAnsi="Book Antiqua" w:cs="Arial"/>
          <w:sz w:val="24"/>
          <w:vertAlign w:val="superscript"/>
          <w:lang w:val="en-GB"/>
        </w:rPr>
        <w:t>[20,21]</w:t>
      </w:r>
      <w:r w:rsidRPr="00F12AFF">
        <w:rPr>
          <w:rFonts w:ascii="Book Antiqua" w:hAnsi="Book Antiqua" w:cs="Arial"/>
          <w:sz w:val="24"/>
          <w:lang w:val="en-GB"/>
        </w:rPr>
        <w:t xml:space="preserve">.  The effect on portal blood flow may therefore be a further surrogate marker for the influence of a drug on portal pressure in portal hypertension. It can be supposed that an increase of portal flow induced by a PDE-5-inhibitor in liver cirrhosis may indicate a preserved reactivity of the sinusoids and lowering of portal pressure by the drug. However, the reliability of the sonographic data depends on the expertise of the examiner. In this case, the MRI measurement showed an effect consistent with the Doppler sonographic results. Therefore, it is probable that during the long-term therapy with Tadalafil the positive effect on portal pressure persisted. </w:t>
      </w:r>
    </w:p>
    <w:p w:rsidR="00CD7EF8" w:rsidRPr="00F12AFF" w:rsidRDefault="00CD7EF8" w:rsidP="00F12AFF">
      <w:pPr>
        <w:adjustRightInd w:val="0"/>
        <w:snapToGrid w:val="0"/>
        <w:spacing w:line="360" w:lineRule="auto"/>
        <w:ind w:firstLineChars="100" w:firstLine="240"/>
        <w:jc w:val="both"/>
        <w:rPr>
          <w:rFonts w:ascii="Book Antiqua" w:hAnsi="Book Antiqua" w:cs="Arial"/>
          <w:sz w:val="24"/>
          <w:lang w:val="en-GB"/>
        </w:rPr>
      </w:pPr>
      <w:r w:rsidRPr="00F12AFF">
        <w:rPr>
          <w:rFonts w:ascii="Book Antiqua" w:hAnsi="Book Antiqua" w:cs="Arial"/>
          <w:sz w:val="24"/>
          <w:lang w:val="en-GB"/>
        </w:rPr>
        <w:t>Another notable observation was that during the eight years of follow-up no signs of deterioration of liver function were found. AIH, PBC, and AIH/PBC overlap syndrome have unfavourable prognosis once cirrhosis developed and even more after b</w:t>
      </w:r>
      <w:r w:rsidR="00032C92" w:rsidRPr="00F12AFF">
        <w:rPr>
          <w:rFonts w:ascii="Book Antiqua" w:hAnsi="Book Antiqua" w:cs="Arial"/>
          <w:sz w:val="24"/>
          <w:lang w:val="en-GB"/>
        </w:rPr>
        <w:t>leeding from esophageal varices</w:t>
      </w:r>
      <w:r w:rsidRPr="00F12AFF">
        <w:rPr>
          <w:rFonts w:ascii="Book Antiqua" w:hAnsi="Book Antiqua" w:cs="Arial"/>
          <w:sz w:val="24"/>
          <w:vertAlign w:val="superscript"/>
          <w:lang w:val="en-GB"/>
        </w:rPr>
        <w:t>[22–25]</w:t>
      </w:r>
      <w:r w:rsidRPr="00F12AFF">
        <w:rPr>
          <w:rFonts w:ascii="Book Antiqua" w:hAnsi="Book Antiqua" w:cs="Arial"/>
          <w:sz w:val="24"/>
          <w:lang w:val="en-GB"/>
        </w:rPr>
        <w:t>. This raises the question whether PDE-5-inhibitors could improve or stabilize the function in a diseased liver. In thioacetamide-induced liver fibrosis/cirrhosis in animals Sildenafil was shown to induce a revers</w:t>
      </w:r>
      <w:r w:rsidR="00032C92" w:rsidRPr="00F12AFF">
        <w:rPr>
          <w:rFonts w:ascii="Book Antiqua" w:hAnsi="Book Antiqua" w:cs="Arial"/>
          <w:sz w:val="24"/>
          <w:lang w:val="en-GB"/>
        </w:rPr>
        <w:t>al of liver damage and fibrosis</w:t>
      </w:r>
      <w:r w:rsidRPr="00F12AFF">
        <w:rPr>
          <w:rFonts w:ascii="Book Antiqua" w:hAnsi="Book Antiqua" w:cs="Arial"/>
          <w:sz w:val="24"/>
          <w:vertAlign w:val="superscript"/>
          <w:lang w:val="en-GB"/>
        </w:rPr>
        <w:t>[26]</w:t>
      </w:r>
      <w:r w:rsidRPr="00F12AFF">
        <w:rPr>
          <w:rFonts w:ascii="Book Antiqua" w:hAnsi="Book Antiqua" w:cs="Arial"/>
          <w:sz w:val="24"/>
          <w:lang w:val="en-GB"/>
        </w:rPr>
        <w:t xml:space="preserve">, and Udenafil had a positive effect </w:t>
      </w:r>
      <w:r w:rsidR="00032C92" w:rsidRPr="00F12AFF">
        <w:rPr>
          <w:rFonts w:ascii="Book Antiqua" w:hAnsi="Book Antiqua" w:cs="Arial"/>
          <w:sz w:val="24"/>
          <w:lang w:val="en-GB"/>
        </w:rPr>
        <w:lastRenderedPageBreak/>
        <w:t>on degree of fibrosis in rats</w:t>
      </w:r>
      <w:r w:rsidRPr="00F12AFF">
        <w:rPr>
          <w:rFonts w:ascii="Book Antiqua" w:hAnsi="Book Antiqua" w:cs="Arial"/>
          <w:sz w:val="24"/>
          <w:vertAlign w:val="superscript"/>
          <w:lang w:val="en-GB"/>
        </w:rPr>
        <w:t>[27]</w:t>
      </w:r>
      <w:r w:rsidRPr="00F12AFF">
        <w:rPr>
          <w:rFonts w:ascii="Book Antiqua" w:hAnsi="Book Antiqua" w:cs="Arial"/>
          <w:sz w:val="24"/>
          <w:lang w:val="en-GB"/>
        </w:rPr>
        <w:t>. It may be speculated whether some kind of remodelling in a diseased liver may be induced by long-term administration of a PDE-5-inhibitor by influencing hepatic stellate cells which are suggest</w:t>
      </w:r>
      <w:r w:rsidR="00032C92" w:rsidRPr="00F12AFF">
        <w:rPr>
          <w:rFonts w:ascii="Book Antiqua" w:hAnsi="Book Antiqua" w:cs="Arial"/>
          <w:sz w:val="24"/>
          <w:lang w:val="en-GB"/>
        </w:rPr>
        <w:t>ed as key mediators of fibrosis</w:t>
      </w:r>
      <w:r w:rsidRPr="00F12AFF">
        <w:rPr>
          <w:rFonts w:ascii="Book Antiqua" w:hAnsi="Book Antiqua" w:cs="Arial"/>
          <w:sz w:val="24"/>
          <w:vertAlign w:val="superscript"/>
          <w:lang w:val="en-GB"/>
        </w:rPr>
        <w:t>[28]</w:t>
      </w:r>
      <w:r w:rsidRPr="00F12AFF">
        <w:rPr>
          <w:rFonts w:ascii="Book Antiqua" w:hAnsi="Book Antiqua" w:cs="Arial"/>
          <w:sz w:val="24"/>
          <w:lang w:val="en-GB"/>
        </w:rPr>
        <w:t>. In the presented case the diagnosis of cirrhosis had been done in 1989. The course of disease was relatively stable under immunosuppressive therapy for 20 years. However, episodes of upper gastrointestinal bleeding occurred. It is unlikely that after such a time period a spontaneous improvement in portal hypertension would occur. Echocardiographic examinations in the year 2009, 2013 and 2017 revealed constant findings. Taken together with stable values of blood pressure and heart rate no significant changes in systemic circulation were detected during the years of follow-up. Therefore, the improvement in portal hemodynamics could be attributed to the application of the PDE-5-inhibitors.</w:t>
      </w:r>
    </w:p>
    <w:p w:rsidR="00A87838" w:rsidRPr="00F12AFF" w:rsidRDefault="00CD7EF8" w:rsidP="00F12AFF">
      <w:pPr>
        <w:adjustRightInd w:val="0"/>
        <w:snapToGrid w:val="0"/>
        <w:spacing w:line="360" w:lineRule="auto"/>
        <w:ind w:firstLineChars="100" w:firstLine="240"/>
        <w:jc w:val="both"/>
        <w:rPr>
          <w:rFonts w:ascii="Book Antiqua" w:hAnsi="Book Antiqua" w:cs="Arial"/>
          <w:sz w:val="24"/>
          <w:lang w:val="en-GB" w:eastAsia="zh-CN"/>
        </w:rPr>
      </w:pPr>
      <w:r w:rsidRPr="00F12AFF">
        <w:rPr>
          <w:rFonts w:ascii="Book Antiqua" w:hAnsi="Book Antiqua" w:cs="Arial"/>
          <w:sz w:val="24"/>
          <w:lang w:val="en-GB"/>
        </w:rPr>
        <w:t xml:space="preserve">In conclusion, in this case of a female patient with liver cirrhosis due to overlap-syndrome of </w:t>
      </w:r>
      <w:r w:rsidR="00032C92" w:rsidRPr="00F12AFF">
        <w:rPr>
          <w:rFonts w:ascii="Book Antiqua" w:hAnsi="Book Antiqua" w:cs="Arial"/>
          <w:sz w:val="24"/>
          <w:lang w:val="en-GB"/>
        </w:rPr>
        <w:t>AIH</w:t>
      </w:r>
      <w:r w:rsidRPr="00F12AFF">
        <w:rPr>
          <w:rFonts w:ascii="Book Antiqua" w:hAnsi="Book Antiqua" w:cs="Arial"/>
          <w:sz w:val="24"/>
          <w:lang w:val="en-GB"/>
        </w:rPr>
        <w:t xml:space="preserve"> and primary biliary cholangitis the application of Vardenafil or Tadalafil induced a decrease of portal pressure by 14% and 15%, respectively, and an increase of portal vein blood flow by 28% (Doppler sonography) and 16% (MRT). The use of a long-acting PDE-5-inhibitor led to a long-lasting improvement of portal blood flow. During the eight years of follow-up no further bleeding from esophageal varices occurred</w:t>
      </w:r>
      <w:r w:rsidR="00AD4499" w:rsidRPr="00F12AFF">
        <w:rPr>
          <w:rFonts w:ascii="Book Antiqua" w:hAnsi="Book Antiqua" w:cs="Arial"/>
          <w:sz w:val="24"/>
          <w:lang w:val="en-GB"/>
        </w:rPr>
        <w:t>.</w:t>
      </w:r>
    </w:p>
    <w:p w:rsidR="00A87838" w:rsidRPr="00F12AFF" w:rsidRDefault="00A87838" w:rsidP="00F12AFF">
      <w:pPr>
        <w:pStyle w:val="NormalWeb"/>
        <w:adjustRightInd w:val="0"/>
        <w:snapToGrid w:val="0"/>
        <w:spacing w:before="0" w:beforeAutospacing="0" w:after="0" w:afterAutospacing="0" w:line="360" w:lineRule="auto"/>
        <w:jc w:val="both"/>
        <w:rPr>
          <w:rFonts w:ascii="Book Antiqua" w:hAnsi="Book Antiqua" w:cs="Arial"/>
          <w:lang w:val="en-GB" w:eastAsia="zh-CN"/>
        </w:rPr>
      </w:pPr>
    </w:p>
    <w:p w:rsidR="00A87838" w:rsidRPr="008A3125" w:rsidRDefault="008A3125" w:rsidP="00F12AFF">
      <w:pPr>
        <w:adjustRightInd w:val="0"/>
        <w:snapToGrid w:val="0"/>
        <w:spacing w:line="360" w:lineRule="auto"/>
        <w:jc w:val="both"/>
        <w:rPr>
          <w:rFonts w:ascii="Book Antiqua" w:hAnsi="Book Antiqua" w:cs="Segoe UI"/>
          <w:b/>
          <w:sz w:val="24"/>
          <w:lang w:val="en-US"/>
        </w:rPr>
      </w:pPr>
      <w:r w:rsidRPr="008A3125">
        <w:rPr>
          <w:rFonts w:ascii="Book Antiqua" w:hAnsi="Book Antiqua" w:cs="Segoe UI"/>
          <w:b/>
          <w:sz w:val="24"/>
          <w:lang w:val="en-US"/>
        </w:rPr>
        <w:t>ARTICLE HIGHLIGHTS</w:t>
      </w:r>
    </w:p>
    <w:p w:rsidR="00A87838" w:rsidRPr="00F12AFF" w:rsidRDefault="00A87838" w:rsidP="00F12AFF">
      <w:pPr>
        <w:adjustRightInd w:val="0"/>
        <w:snapToGrid w:val="0"/>
        <w:spacing w:line="360" w:lineRule="auto"/>
        <w:jc w:val="both"/>
        <w:rPr>
          <w:rFonts w:ascii="Book Antiqua" w:hAnsi="Book Antiqua"/>
          <w:i/>
          <w:sz w:val="24"/>
          <w:lang w:val="en-US"/>
        </w:rPr>
      </w:pPr>
      <w:r w:rsidRPr="00F12AFF">
        <w:rPr>
          <w:rFonts w:ascii="Book Antiqua" w:hAnsi="Book Antiqua"/>
          <w:b/>
          <w:i/>
          <w:sz w:val="24"/>
          <w:lang w:val="en-US"/>
        </w:rPr>
        <w:t>Case characteristics</w:t>
      </w:r>
    </w:p>
    <w:p w:rsidR="00A87838" w:rsidRPr="00F12AFF" w:rsidRDefault="00753B0C" w:rsidP="00F12AFF">
      <w:pPr>
        <w:adjustRightInd w:val="0"/>
        <w:snapToGrid w:val="0"/>
        <w:spacing w:line="360" w:lineRule="auto"/>
        <w:jc w:val="both"/>
        <w:rPr>
          <w:rFonts w:ascii="Book Antiqua" w:hAnsi="Book Antiqua" w:cs="Arial"/>
          <w:sz w:val="24"/>
          <w:lang w:val="en-US" w:eastAsia="zh-CN"/>
        </w:rPr>
      </w:pPr>
      <w:r w:rsidRPr="00F12AFF">
        <w:rPr>
          <w:rFonts w:ascii="Book Antiqua" w:hAnsi="Book Antiqua" w:cs="Arial"/>
          <w:sz w:val="24"/>
          <w:lang w:val="en-US"/>
        </w:rPr>
        <w:t>This is the first report of long-term treatment of portal hypertension with PDE-5 inhibitors.</w:t>
      </w:r>
    </w:p>
    <w:p w:rsidR="00032C92" w:rsidRPr="00F12AFF" w:rsidRDefault="00032C92" w:rsidP="00F12AFF">
      <w:pPr>
        <w:adjustRightInd w:val="0"/>
        <w:snapToGrid w:val="0"/>
        <w:spacing w:line="360" w:lineRule="auto"/>
        <w:jc w:val="both"/>
        <w:rPr>
          <w:rFonts w:ascii="Book Antiqua" w:hAnsi="Book Antiqua"/>
          <w:sz w:val="24"/>
          <w:lang w:val="en-US" w:eastAsia="zh-CN"/>
        </w:rPr>
      </w:pPr>
    </w:p>
    <w:p w:rsidR="00A87838" w:rsidRPr="00F12AFF" w:rsidRDefault="00A87838" w:rsidP="00F12AFF">
      <w:pPr>
        <w:adjustRightInd w:val="0"/>
        <w:snapToGrid w:val="0"/>
        <w:spacing w:line="360" w:lineRule="auto"/>
        <w:jc w:val="both"/>
        <w:rPr>
          <w:rFonts w:ascii="Book Antiqua" w:hAnsi="Book Antiqua" w:cs="SimSun"/>
          <w:b/>
          <w:i/>
          <w:sz w:val="24"/>
          <w:lang w:val="en-US"/>
        </w:rPr>
      </w:pPr>
      <w:r w:rsidRPr="00F12AFF">
        <w:rPr>
          <w:rFonts w:ascii="Book Antiqua" w:hAnsi="Book Antiqua" w:cs="Arial"/>
          <w:b/>
          <w:i/>
          <w:sz w:val="24"/>
          <w:lang w:val="en-US"/>
        </w:rPr>
        <w:t>Clinical diagnosis</w:t>
      </w:r>
    </w:p>
    <w:p w:rsidR="00A87838" w:rsidRPr="00F12AFF" w:rsidRDefault="00753B0C" w:rsidP="00F12AFF">
      <w:pPr>
        <w:adjustRightInd w:val="0"/>
        <w:snapToGrid w:val="0"/>
        <w:spacing w:line="360" w:lineRule="auto"/>
        <w:jc w:val="both"/>
        <w:rPr>
          <w:rFonts w:ascii="Book Antiqua" w:hAnsi="Book Antiqua"/>
          <w:sz w:val="24"/>
          <w:lang w:val="en-US"/>
        </w:rPr>
      </w:pPr>
      <w:r w:rsidRPr="00F12AFF">
        <w:rPr>
          <w:rFonts w:ascii="Book Antiqua" w:hAnsi="Book Antiqua" w:cs="Arial"/>
          <w:sz w:val="24"/>
          <w:lang w:val="en-US"/>
        </w:rPr>
        <w:t>Variceal bleeding in liver cirrhosis due to autoimmune hepatitis.</w:t>
      </w:r>
    </w:p>
    <w:p w:rsidR="00032C92" w:rsidRPr="00F12AFF" w:rsidRDefault="00032C92" w:rsidP="00F12AFF">
      <w:pPr>
        <w:adjustRightInd w:val="0"/>
        <w:snapToGrid w:val="0"/>
        <w:spacing w:line="360" w:lineRule="auto"/>
        <w:jc w:val="both"/>
        <w:rPr>
          <w:rFonts w:ascii="Book Antiqua" w:hAnsi="Book Antiqua"/>
          <w:b/>
          <w:sz w:val="24"/>
          <w:lang w:val="en-US" w:eastAsia="zh-CN"/>
        </w:rPr>
      </w:pPr>
    </w:p>
    <w:p w:rsidR="00A87838" w:rsidRPr="00F12AFF" w:rsidRDefault="00A87838" w:rsidP="00F12AFF">
      <w:pPr>
        <w:adjustRightInd w:val="0"/>
        <w:snapToGrid w:val="0"/>
        <w:spacing w:line="360" w:lineRule="auto"/>
        <w:jc w:val="both"/>
        <w:rPr>
          <w:rFonts w:ascii="Book Antiqua" w:hAnsi="Book Antiqua" w:cs="Arial"/>
          <w:b/>
          <w:i/>
          <w:sz w:val="24"/>
          <w:lang w:val="en-US"/>
        </w:rPr>
      </w:pPr>
      <w:r w:rsidRPr="00F12AFF">
        <w:rPr>
          <w:rFonts w:ascii="Book Antiqua" w:hAnsi="Book Antiqua" w:cs="Arial"/>
          <w:b/>
          <w:i/>
          <w:sz w:val="24"/>
          <w:lang w:val="en-US"/>
        </w:rPr>
        <w:t>Differential diagnosis</w:t>
      </w:r>
    </w:p>
    <w:p w:rsidR="00A87838" w:rsidRPr="00F12AFF" w:rsidRDefault="00753B0C" w:rsidP="00F12AFF">
      <w:pPr>
        <w:adjustRightInd w:val="0"/>
        <w:snapToGrid w:val="0"/>
        <w:spacing w:line="360" w:lineRule="auto"/>
        <w:jc w:val="both"/>
        <w:rPr>
          <w:rFonts w:ascii="Book Antiqua" w:hAnsi="Book Antiqua" w:cs="Arial"/>
          <w:b/>
          <w:sz w:val="24"/>
          <w:lang w:val="en-US"/>
        </w:rPr>
      </w:pPr>
      <w:r w:rsidRPr="00F12AFF">
        <w:rPr>
          <w:rFonts w:ascii="Book Antiqua" w:hAnsi="Book Antiqua" w:cs="Arial"/>
          <w:sz w:val="24"/>
          <w:lang w:val="en-US"/>
        </w:rPr>
        <w:t>Diagnosis of cirrhosis was done 20 years before start of treatment, so the decline in portal hypertension is probably attributable to PDE-5-Inhibitor-treatment rather than spontaneous improvement.</w:t>
      </w:r>
    </w:p>
    <w:p w:rsidR="00032C92" w:rsidRPr="00F12AFF" w:rsidRDefault="00032C92" w:rsidP="00F12AFF">
      <w:pPr>
        <w:adjustRightInd w:val="0"/>
        <w:snapToGrid w:val="0"/>
        <w:spacing w:line="360" w:lineRule="auto"/>
        <w:jc w:val="both"/>
        <w:rPr>
          <w:rFonts w:ascii="Book Antiqua" w:hAnsi="Book Antiqua" w:cs="Arial"/>
          <w:b/>
          <w:sz w:val="24"/>
          <w:lang w:val="en-US" w:eastAsia="zh-CN"/>
        </w:rPr>
      </w:pPr>
    </w:p>
    <w:p w:rsidR="00A87838" w:rsidRPr="00F12AFF" w:rsidRDefault="00A87838" w:rsidP="00F12AFF">
      <w:pPr>
        <w:adjustRightInd w:val="0"/>
        <w:snapToGrid w:val="0"/>
        <w:spacing w:line="360" w:lineRule="auto"/>
        <w:jc w:val="both"/>
        <w:rPr>
          <w:rFonts w:ascii="Book Antiqua" w:hAnsi="Book Antiqua" w:cs="Arial"/>
          <w:b/>
          <w:i/>
          <w:sz w:val="24"/>
          <w:lang w:val="en-US"/>
        </w:rPr>
      </w:pPr>
      <w:r w:rsidRPr="00F12AFF">
        <w:rPr>
          <w:rFonts w:ascii="Book Antiqua" w:hAnsi="Book Antiqua" w:cs="Arial"/>
          <w:b/>
          <w:i/>
          <w:sz w:val="24"/>
          <w:lang w:val="en-US"/>
        </w:rPr>
        <w:t>Laboratory diagnosis</w:t>
      </w:r>
    </w:p>
    <w:p w:rsidR="00A87838" w:rsidRPr="00F12AFF" w:rsidRDefault="00753B0C"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 xml:space="preserve">Improvement of portal hypertension was verified by invasive measurement of </w:t>
      </w:r>
      <w:r w:rsidR="00032C92" w:rsidRPr="00F12AFF">
        <w:rPr>
          <w:rFonts w:ascii="Book Antiqua" w:hAnsi="Book Antiqua" w:cs="Arial"/>
          <w:bCs/>
          <w:sz w:val="24"/>
          <w:lang w:val="en-GB"/>
        </w:rPr>
        <w:t>hepatovenous pressure gradient</w:t>
      </w:r>
      <w:r w:rsidR="00A87838" w:rsidRPr="00F12AFF">
        <w:rPr>
          <w:rFonts w:ascii="Book Antiqua" w:hAnsi="Book Antiqua" w:cs="Arial"/>
          <w:sz w:val="24"/>
          <w:lang w:val="en-US"/>
        </w:rPr>
        <w:t>.</w:t>
      </w:r>
    </w:p>
    <w:p w:rsidR="00032C92" w:rsidRPr="00F12AFF" w:rsidRDefault="00032C92" w:rsidP="00F12AFF">
      <w:pPr>
        <w:adjustRightInd w:val="0"/>
        <w:snapToGrid w:val="0"/>
        <w:spacing w:line="360" w:lineRule="auto"/>
        <w:jc w:val="both"/>
        <w:rPr>
          <w:rFonts w:ascii="Book Antiqua" w:hAnsi="Book Antiqua" w:cs="Arial"/>
          <w:b/>
          <w:i/>
          <w:sz w:val="24"/>
          <w:lang w:val="en-US" w:eastAsia="zh-CN"/>
        </w:rPr>
      </w:pPr>
    </w:p>
    <w:p w:rsidR="00A87838" w:rsidRPr="00F12AFF" w:rsidRDefault="00A87838" w:rsidP="00F12AFF">
      <w:pPr>
        <w:adjustRightInd w:val="0"/>
        <w:snapToGrid w:val="0"/>
        <w:spacing w:line="360" w:lineRule="auto"/>
        <w:jc w:val="both"/>
        <w:rPr>
          <w:rFonts w:ascii="Book Antiqua" w:hAnsi="Book Antiqua" w:cs="Arial"/>
          <w:b/>
          <w:i/>
          <w:sz w:val="24"/>
          <w:lang w:val="en-US"/>
        </w:rPr>
      </w:pPr>
      <w:r w:rsidRPr="00F12AFF">
        <w:rPr>
          <w:rFonts w:ascii="Book Antiqua" w:hAnsi="Book Antiqua" w:cs="Arial"/>
          <w:b/>
          <w:i/>
          <w:sz w:val="24"/>
          <w:lang w:val="en-US"/>
        </w:rPr>
        <w:t>Imaging diagnosis</w:t>
      </w:r>
    </w:p>
    <w:p w:rsidR="00A87838"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MRI and duplex sonographic images verified improvement in portal hemodynamics.</w:t>
      </w:r>
    </w:p>
    <w:p w:rsidR="00032C92" w:rsidRPr="00F12AFF" w:rsidRDefault="00032C92" w:rsidP="00F12AFF">
      <w:pPr>
        <w:adjustRightInd w:val="0"/>
        <w:snapToGrid w:val="0"/>
        <w:spacing w:line="360" w:lineRule="auto"/>
        <w:jc w:val="both"/>
        <w:rPr>
          <w:rFonts w:ascii="Book Antiqua" w:hAnsi="Book Antiqua" w:cs="Arial"/>
          <w:b/>
          <w:sz w:val="24"/>
          <w:lang w:val="en-US" w:eastAsia="zh-CN"/>
        </w:rPr>
      </w:pPr>
    </w:p>
    <w:p w:rsidR="00A87838" w:rsidRPr="00F12AFF" w:rsidRDefault="00A87838" w:rsidP="00F12AFF">
      <w:pPr>
        <w:adjustRightInd w:val="0"/>
        <w:snapToGrid w:val="0"/>
        <w:spacing w:line="360" w:lineRule="auto"/>
        <w:jc w:val="both"/>
        <w:rPr>
          <w:rFonts w:ascii="Book Antiqua" w:hAnsi="Book Antiqua" w:cs="Arial"/>
          <w:b/>
          <w:i/>
          <w:sz w:val="24"/>
          <w:lang w:val="en-US"/>
        </w:rPr>
      </w:pPr>
      <w:r w:rsidRPr="00F12AFF">
        <w:rPr>
          <w:rFonts w:ascii="Book Antiqua" w:hAnsi="Book Antiqua" w:cs="Arial"/>
          <w:b/>
          <w:i/>
          <w:sz w:val="24"/>
          <w:lang w:val="en-US"/>
        </w:rPr>
        <w:t>Pathological diagnosis</w:t>
      </w:r>
    </w:p>
    <w:p w:rsidR="00A87838"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Liver cirrhosis was histologically confirmed 20 years prior to PDE-5-Inhibitor treatment.</w:t>
      </w:r>
    </w:p>
    <w:p w:rsidR="00032C92" w:rsidRPr="00F12AFF" w:rsidRDefault="00032C92" w:rsidP="00F12AFF">
      <w:pPr>
        <w:adjustRightInd w:val="0"/>
        <w:snapToGrid w:val="0"/>
        <w:spacing w:line="360" w:lineRule="auto"/>
        <w:jc w:val="both"/>
        <w:rPr>
          <w:rFonts w:ascii="Book Antiqua" w:hAnsi="Book Antiqua" w:cs="Arial"/>
          <w:b/>
          <w:sz w:val="24"/>
          <w:lang w:val="en-US" w:eastAsia="zh-CN"/>
        </w:rPr>
      </w:pPr>
    </w:p>
    <w:p w:rsidR="00A87838" w:rsidRPr="00F12AFF" w:rsidRDefault="00A87838" w:rsidP="00F12AFF">
      <w:pPr>
        <w:adjustRightInd w:val="0"/>
        <w:snapToGrid w:val="0"/>
        <w:spacing w:line="360" w:lineRule="auto"/>
        <w:jc w:val="both"/>
        <w:rPr>
          <w:rFonts w:ascii="Book Antiqua" w:hAnsi="Book Antiqua" w:cs="Arial"/>
          <w:b/>
          <w:i/>
          <w:sz w:val="24"/>
          <w:lang w:val="en-US"/>
        </w:rPr>
      </w:pPr>
      <w:r w:rsidRPr="00F12AFF">
        <w:rPr>
          <w:rFonts w:ascii="Book Antiqua" w:hAnsi="Book Antiqua" w:cs="Arial"/>
          <w:b/>
          <w:i/>
          <w:sz w:val="24"/>
          <w:lang w:val="en-US"/>
        </w:rPr>
        <w:t>Treatment</w:t>
      </w:r>
    </w:p>
    <w:p w:rsidR="00A87838"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Oral treatment with Tadalafil 5mg once daily.</w:t>
      </w:r>
    </w:p>
    <w:p w:rsidR="00032C92" w:rsidRPr="00F12AFF" w:rsidRDefault="00032C92" w:rsidP="00F12AFF">
      <w:pPr>
        <w:adjustRightInd w:val="0"/>
        <w:snapToGrid w:val="0"/>
        <w:spacing w:line="360" w:lineRule="auto"/>
        <w:jc w:val="both"/>
        <w:rPr>
          <w:rFonts w:ascii="Book Antiqua" w:hAnsi="Book Antiqua" w:cs="Arial"/>
          <w:b/>
          <w:sz w:val="24"/>
          <w:lang w:val="en-US" w:eastAsia="zh-CN"/>
        </w:rPr>
      </w:pPr>
    </w:p>
    <w:p w:rsidR="00A87838" w:rsidRPr="00F12AFF" w:rsidRDefault="00A87838" w:rsidP="00F12AFF">
      <w:pPr>
        <w:adjustRightInd w:val="0"/>
        <w:snapToGrid w:val="0"/>
        <w:spacing w:line="360" w:lineRule="auto"/>
        <w:jc w:val="both"/>
        <w:rPr>
          <w:rFonts w:ascii="Book Antiqua" w:hAnsi="Book Antiqua" w:cs="Arial"/>
          <w:b/>
          <w:i/>
          <w:sz w:val="24"/>
          <w:lang w:val="en-US"/>
        </w:rPr>
      </w:pPr>
      <w:r w:rsidRPr="00F12AFF">
        <w:rPr>
          <w:rFonts w:ascii="Book Antiqua" w:hAnsi="Book Antiqua"/>
          <w:b/>
          <w:i/>
          <w:sz w:val="24"/>
          <w:lang w:val="en-US"/>
        </w:rPr>
        <w:t>Related reports</w:t>
      </w:r>
    </w:p>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 xml:space="preserve">Targeting the </w:t>
      </w:r>
      <w:r w:rsidR="00F0153C" w:rsidRPr="00F12AFF">
        <w:rPr>
          <w:rFonts w:ascii="Book Antiqua" w:hAnsi="Book Antiqua" w:cs="Arial"/>
          <w:bCs/>
          <w:sz w:val="24"/>
          <w:lang w:val="en-GB"/>
        </w:rPr>
        <w:t>nitric oxide</w:t>
      </w:r>
      <w:r w:rsidR="00F0153C" w:rsidRPr="00F12AFF">
        <w:rPr>
          <w:rFonts w:ascii="Book Antiqua" w:hAnsi="Book Antiqua" w:cs="Arial"/>
          <w:sz w:val="24"/>
          <w:lang w:val="en-US"/>
        </w:rPr>
        <w:t xml:space="preserve"> </w:t>
      </w:r>
      <w:r w:rsidR="00F0153C" w:rsidRPr="00F12AFF">
        <w:rPr>
          <w:rFonts w:ascii="Book Antiqua" w:hAnsi="Book Antiqua" w:cs="Arial"/>
          <w:sz w:val="24"/>
          <w:lang w:val="en-US" w:eastAsia="zh-CN"/>
        </w:rPr>
        <w:t>(</w:t>
      </w:r>
      <w:r w:rsidRPr="00F12AFF">
        <w:rPr>
          <w:rFonts w:ascii="Book Antiqua" w:hAnsi="Book Antiqua" w:cs="Arial"/>
          <w:sz w:val="24"/>
          <w:lang w:val="en-US"/>
        </w:rPr>
        <w:t>NO</w:t>
      </w:r>
      <w:r w:rsidR="00F0153C" w:rsidRPr="00F12AFF">
        <w:rPr>
          <w:rFonts w:ascii="Book Antiqua" w:hAnsi="Book Antiqua" w:cs="Arial"/>
          <w:sz w:val="24"/>
          <w:lang w:val="en-US" w:eastAsia="zh-CN"/>
        </w:rPr>
        <w:t>)</w:t>
      </w:r>
      <w:r w:rsidRPr="00F12AFF">
        <w:rPr>
          <w:rFonts w:ascii="Book Antiqua" w:hAnsi="Book Antiqua" w:cs="Arial"/>
          <w:sz w:val="24"/>
          <w:lang w:val="en-US"/>
        </w:rPr>
        <w:t>-cGMP-pathway in other diseases like pulmonary hypertension or erectile dysfunction.</w:t>
      </w:r>
    </w:p>
    <w:p w:rsidR="00032C92" w:rsidRPr="00F12AFF" w:rsidRDefault="00032C92" w:rsidP="00F12AFF">
      <w:pPr>
        <w:adjustRightInd w:val="0"/>
        <w:snapToGrid w:val="0"/>
        <w:spacing w:line="360" w:lineRule="auto"/>
        <w:jc w:val="both"/>
        <w:rPr>
          <w:rFonts w:ascii="Book Antiqua" w:hAnsi="Book Antiqua"/>
          <w:b/>
          <w:sz w:val="24"/>
          <w:lang w:val="en-US" w:eastAsia="zh-CN"/>
        </w:rPr>
      </w:pPr>
    </w:p>
    <w:p w:rsidR="00A87838" w:rsidRPr="00F12AFF" w:rsidRDefault="00A87838" w:rsidP="00F12AFF">
      <w:pPr>
        <w:adjustRightInd w:val="0"/>
        <w:snapToGrid w:val="0"/>
        <w:spacing w:line="360" w:lineRule="auto"/>
        <w:jc w:val="both"/>
        <w:rPr>
          <w:rFonts w:ascii="Book Antiqua" w:hAnsi="Book Antiqua"/>
          <w:b/>
          <w:i/>
          <w:sz w:val="24"/>
          <w:lang w:val="en-US"/>
        </w:rPr>
      </w:pPr>
      <w:r w:rsidRPr="00F12AFF">
        <w:rPr>
          <w:rFonts w:ascii="Book Antiqua" w:hAnsi="Book Antiqua"/>
          <w:b/>
          <w:i/>
          <w:sz w:val="24"/>
          <w:lang w:val="en-US"/>
        </w:rPr>
        <w:t xml:space="preserve">Term explanation </w:t>
      </w:r>
    </w:p>
    <w:p w:rsidR="00A87838" w:rsidRPr="00F12AFF" w:rsidRDefault="007E6F43" w:rsidP="00F12AFF">
      <w:pPr>
        <w:adjustRightInd w:val="0"/>
        <w:snapToGrid w:val="0"/>
        <w:spacing w:line="360" w:lineRule="auto"/>
        <w:jc w:val="both"/>
        <w:rPr>
          <w:rFonts w:ascii="Book Antiqua" w:hAnsi="Book Antiqua" w:cs="Arial"/>
          <w:bCs/>
          <w:sz w:val="24"/>
          <w:lang w:val="en-GB" w:eastAsia="zh-CN"/>
        </w:rPr>
      </w:pPr>
      <w:r w:rsidRPr="00F12AFF">
        <w:rPr>
          <w:rFonts w:ascii="Book Antiqua" w:hAnsi="Book Antiqua" w:cs="Arial"/>
          <w:bCs/>
          <w:sz w:val="24"/>
          <w:lang w:val="en-GB"/>
        </w:rPr>
        <w:t>Non-selective beta-blockers</w:t>
      </w:r>
      <w:r w:rsidRPr="00F12AFF">
        <w:rPr>
          <w:rFonts w:ascii="Book Antiqua" w:hAnsi="Book Antiqua" w:cs="Arial"/>
          <w:bCs/>
          <w:sz w:val="24"/>
          <w:lang w:val="en-GB" w:eastAsia="zh-CN"/>
        </w:rPr>
        <w:t xml:space="preserve"> </w:t>
      </w:r>
      <w:r w:rsidRPr="00F12AFF">
        <w:rPr>
          <w:rFonts w:ascii="Book Antiqua" w:hAnsi="Book Antiqua" w:cs="Arial"/>
          <w:bCs/>
          <w:sz w:val="24"/>
          <w:lang w:val="en-GB"/>
        </w:rPr>
        <w:t>are the mainstay of medical therapy for portal hypertension in liver cirrhosis.</w:t>
      </w:r>
    </w:p>
    <w:p w:rsidR="007E6F43" w:rsidRPr="00F12AFF" w:rsidRDefault="007E6F43" w:rsidP="00F12AFF">
      <w:pPr>
        <w:adjustRightInd w:val="0"/>
        <w:snapToGrid w:val="0"/>
        <w:spacing w:line="360" w:lineRule="auto"/>
        <w:jc w:val="both"/>
        <w:rPr>
          <w:rFonts w:ascii="Book Antiqua" w:hAnsi="Book Antiqua"/>
          <w:b/>
          <w:sz w:val="24"/>
          <w:lang w:val="en-US" w:eastAsia="zh-CN"/>
        </w:rPr>
      </w:pPr>
    </w:p>
    <w:p w:rsidR="00A87838" w:rsidRPr="00F12AFF" w:rsidRDefault="00A87838" w:rsidP="00F12AFF">
      <w:pPr>
        <w:adjustRightInd w:val="0"/>
        <w:snapToGrid w:val="0"/>
        <w:spacing w:line="360" w:lineRule="auto"/>
        <w:jc w:val="both"/>
        <w:rPr>
          <w:rFonts w:ascii="Book Antiqua" w:hAnsi="Book Antiqua" w:cs="Arial"/>
          <w:b/>
          <w:i/>
          <w:sz w:val="24"/>
          <w:lang w:val="en-US"/>
        </w:rPr>
      </w:pPr>
      <w:r w:rsidRPr="00F12AFF">
        <w:rPr>
          <w:rFonts w:ascii="Book Antiqua" w:hAnsi="Book Antiqua" w:cs="Arial"/>
          <w:b/>
          <w:i/>
          <w:sz w:val="24"/>
          <w:lang w:val="en-US"/>
        </w:rPr>
        <w:t>Experiences and lessons</w:t>
      </w:r>
    </w:p>
    <w:p w:rsidR="00A87838" w:rsidRPr="00F12AFF" w:rsidRDefault="00057A6B" w:rsidP="00F12AFF">
      <w:pPr>
        <w:adjustRightInd w:val="0"/>
        <w:snapToGrid w:val="0"/>
        <w:spacing w:line="360" w:lineRule="auto"/>
        <w:jc w:val="both"/>
        <w:rPr>
          <w:rFonts w:ascii="Book Antiqua" w:hAnsi="Book Antiqua"/>
          <w:b/>
          <w:sz w:val="24"/>
          <w:highlight w:val="yellow"/>
          <w:lang w:val="en-US"/>
        </w:rPr>
      </w:pPr>
      <w:r w:rsidRPr="00F12AFF">
        <w:rPr>
          <w:rFonts w:ascii="Book Antiqua" w:hAnsi="Book Antiqua" w:cs="Arial"/>
          <w:sz w:val="24"/>
          <w:lang w:val="en-US"/>
        </w:rPr>
        <w:t>Influencing the NO-pathway by the use of PDE-5 inhibitors may have long-term beneficial effects in compensated cirrhosis.</w:t>
      </w:r>
    </w:p>
    <w:p w:rsidR="007B325B" w:rsidRPr="00F12AFF" w:rsidRDefault="00A227D3" w:rsidP="00F12AFF">
      <w:pPr>
        <w:pStyle w:val="NormalWeb"/>
        <w:adjustRightInd w:val="0"/>
        <w:snapToGrid w:val="0"/>
        <w:spacing w:before="0" w:beforeAutospacing="0" w:after="0" w:afterAutospacing="0" w:line="360" w:lineRule="auto"/>
        <w:jc w:val="both"/>
        <w:rPr>
          <w:rFonts w:ascii="Book Antiqua" w:hAnsi="Book Antiqua" w:cs="Arial"/>
          <w:lang w:val="en-GB"/>
        </w:rPr>
      </w:pPr>
      <w:r w:rsidRPr="00F12AFF">
        <w:rPr>
          <w:rFonts w:ascii="Book Antiqua" w:hAnsi="Book Antiqua" w:cs="Arial"/>
          <w:lang w:val="en-GB"/>
        </w:rPr>
        <w:br w:type="page"/>
      </w:r>
      <w:r w:rsidR="00A87838" w:rsidRPr="00F12AFF">
        <w:rPr>
          <w:rFonts w:ascii="Book Antiqua" w:hAnsi="Book Antiqua" w:cs="Arial"/>
          <w:b/>
          <w:lang w:val="en-GB"/>
        </w:rPr>
        <w:lastRenderedPageBreak/>
        <w:t>REFERENCES</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1 </w:t>
      </w:r>
      <w:r w:rsidRPr="00F12AFF">
        <w:rPr>
          <w:rFonts w:ascii="Book Antiqua" w:hAnsi="Book Antiqua"/>
          <w:b/>
          <w:sz w:val="24"/>
        </w:rPr>
        <w:t>Laleman W</w:t>
      </w:r>
      <w:r w:rsidRPr="00F12AFF">
        <w:rPr>
          <w:rFonts w:ascii="Book Antiqua" w:hAnsi="Book Antiqua"/>
          <w:sz w:val="24"/>
        </w:rPr>
        <w:t xml:space="preserve">, Landeghem L, Wilmer A, Fevery J, Nevens F. Portal hypertension: from pathophysiology to clinical practice. </w:t>
      </w:r>
      <w:r w:rsidRPr="00F12AFF">
        <w:rPr>
          <w:rFonts w:ascii="Book Antiqua" w:hAnsi="Book Antiqua"/>
          <w:i/>
          <w:sz w:val="24"/>
        </w:rPr>
        <w:t>Liver Int</w:t>
      </w:r>
      <w:r w:rsidRPr="00F12AFF">
        <w:rPr>
          <w:rFonts w:ascii="Book Antiqua" w:hAnsi="Book Antiqua"/>
          <w:sz w:val="24"/>
        </w:rPr>
        <w:t xml:space="preserve"> 2005; </w:t>
      </w:r>
      <w:r w:rsidRPr="00F12AFF">
        <w:rPr>
          <w:rFonts w:ascii="Book Antiqua" w:hAnsi="Book Antiqua"/>
          <w:b/>
          <w:sz w:val="24"/>
        </w:rPr>
        <w:t>25</w:t>
      </w:r>
      <w:r w:rsidRPr="00F12AFF">
        <w:rPr>
          <w:rFonts w:ascii="Book Antiqua" w:hAnsi="Book Antiqua"/>
          <w:sz w:val="24"/>
        </w:rPr>
        <w:t>: 1079-1090 [PMID: 16343056 DOI: 10.1111/j.1478-3231.2005.01163.x]</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2 </w:t>
      </w:r>
      <w:r w:rsidRPr="00F12AFF">
        <w:rPr>
          <w:rFonts w:ascii="Book Antiqua" w:hAnsi="Book Antiqua"/>
          <w:b/>
          <w:sz w:val="24"/>
        </w:rPr>
        <w:t>Shah V</w:t>
      </w:r>
      <w:r w:rsidRPr="00F12AFF">
        <w:rPr>
          <w:rFonts w:ascii="Book Antiqua" w:hAnsi="Book Antiqua"/>
          <w:sz w:val="24"/>
        </w:rPr>
        <w:t xml:space="preserve">, Lyford G, Gores G, Farrugia G. Nitric oxide in gastrointestinal health and disease. </w:t>
      </w:r>
      <w:r w:rsidRPr="00F12AFF">
        <w:rPr>
          <w:rFonts w:ascii="Book Antiqua" w:hAnsi="Book Antiqua"/>
          <w:i/>
          <w:sz w:val="24"/>
        </w:rPr>
        <w:t>Gastroenterology</w:t>
      </w:r>
      <w:r w:rsidRPr="00F12AFF">
        <w:rPr>
          <w:rFonts w:ascii="Book Antiqua" w:hAnsi="Book Antiqua"/>
          <w:sz w:val="24"/>
        </w:rPr>
        <w:t xml:space="preserve"> 2004; </w:t>
      </w:r>
      <w:r w:rsidRPr="00F12AFF">
        <w:rPr>
          <w:rFonts w:ascii="Book Antiqua" w:hAnsi="Book Antiqua"/>
          <w:b/>
          <w:sz w:val="24"/>
        </w:rPr>
        <w:t>126</w:t>
      </w:r>
      <w:r w:rsidRPr="00F12AFF">
        <w:rPr>
          <w:rFonts w:ascii="Book Antiqua" w:hAnsi="Book Antiqua"/>
          <w:sz w:val="24"/>
        </w:rPr>
        <w:t>: 903-913 [PMID: 14988844]</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3 </w:t>
      </w:r>
      <w:r w:rsidRPr="00F12AFF">
        <w:rPr>
          <w:rFonts w:ascii="Book Antiqua" w:hAnsi="Book Antiqua"/>
          <w:b/>
          <w:sz w:val="24"/>
        </w:rPr>
        <w:t>Iwakiri Y</w:t>
      </w:r>
      <w:r w:rsidRPr="00F12AFF">
        <w:rPr>
          <w:rFonts w:ascii="Book Antiqua" w:hAnsi="Book Antiqua"/>
          <w:sz w:val="24"/>
        </w:rPr>
        <w:t xml:space="preserve">, Groszmann RJ. Vascular endothelial dysfunction in cirrhosis. </w:t>
      </w:r>
      <w:r w:rsidRPr="00F12AFF">
        <w:rPr>
          <w:rFonts w:ascii="Book Antiqua" w:hAnsi="Book Antiqua"/>
          <w:i/>
          <w:sz w:val="24"/>
        </w:rPr>
        <w:t>J Hepatol</w:t>
      </w:r>
      <w:r w:rsidRPr="00F12AFF">
        <w:rPr>
          <w:rFonts w:ascii="Book Antiqua" w:hAnsi="Book Antiqua"/>
          <w:sz w:val="24"/>
        </w:rPr>
        <w:t xml:space="preserve"> 2007; </w:t>
      </w:r>
      <w:r w:rsidRPr="00F12AFF">
        <w:rPr>
          <w:rFonts w:ascii="Book Antiqua" w:hAnsi="Book Antiqua"/>
          <w:b/>
          <w:sz w:val="24"/>
        </w:rPr>
        <w:t>46</w:t>
      </w:r>
      <w:r w:rsidRPr="00F12AFF">
        <w:rPr>
          <w:rFonts w:ascii="Book Antiqua" w:hAnsi="Book Antiqua"/>
          <w:sz w:val="24"/>
        </w:rPr>
        <w:t>: 927-934 [PMID: 17391799 DOI: 10.1016/j.jhep.2007.02.006]</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4 </w:t>
      </w:r>
      <w:r w:rsidRPr="00F12AFF">
        <w:rPr>
          <w:rFonts w:ascii="Book Antiqua" w:hAnsi="Book Antiqua"/>
          <w:b/>
          <w:sz w:val="24"/>
        </w:rPr>
        <w:t>Deibert P</w:t>
      </w:r>
      <w:r w:rsidRPr="00F12AFF">
        <w:rPr>
          <w:rFonts w:ascii="Book Antiqua" w:hAnsi="Book Antiqua"/>
          <w:sz w:val="24"/>
        </w:rPr>
        <w:t xml:space="preserve">, Schumacher YO, Ruecker G, Opitz OG, Blum HE, Rössle M, Kreisel W. Effect of vardenafil, an inhibitor of phosphodiesterase-5, on portal haemodynamics in normal and cirrhotic liver -- results of a pilot study. </w:t>
      </w:r>
      <w:r w:rsidRPr="00F12AFF">
        <w:rPr>
          <w:rFonts w:ascii="Book Antiqua" w:hAnsi="Book Antiqua"/>
          <w:i/>
          <w:sz w:val="24"/>
        </w:rPr>
        <w:t>Aliment Pharmacol Ther</w:t>
      </w:r>
      <w:r w:rsidRPr="00F12AFF">
        <w:rPr>
          <w:rFonts w:ascii="Book Antiqua" w:hAnsi="Book Antiqua"/>
          <w:sz w:val="24"/>
        </w:rPr>
        <w:t xml:space="preserve"> 2006; </w:t>
      </w:r>
      <w:r w:rsidRPr="00F12AFF">
        <w:rPr>
          <w:rFonts w:ascii="Book Antiqua" w:hAnsi="Book Antiqua"/>
          <w:b/>
          <w:sz w:val="24"/>
        </w:rPr>
        <w:t>23</w:t>
      </w:r>
      <w:r w:rsidRPr="00F12AFF">
        <w:rPr>
          <w:rFonts w:ascii="Book Antiqua" w:hAnsi="Book Antiqua"/>
          <w:sz w:val="24"/>
        </w:rPr>
        <w:t>: 121-128 [PMID: 16393289 DOI: 10.1111/j.1365-2036.2006.02735.x]</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5 </w:t>
      </w:r>
      <w:r w:rsidRPr="00F12AFF">
        <w:rPr>
          <w:rFonts w:ascii="Book Antiqua" w:hAnsi="Book Antiqua"/>
          <w:b/>
          <w:sz w:val="24"/>
        </w:rPr>
        <w:t>Halverscheid L</w:t>
      </w:r>
      <w:r w:rsidRPr="00F12AFF">
        <w:rPr>
          <w:rFonts w:ascii="Book Antiqua" w:hAnsi="Book Antiqua"/>
          <w:sz w:val="24"/>
        </w:rPr>
        <w:t xml:space="preserve">, Deibert P, Schmidt R, Blum HE, Dunkern T, Pannen BH, Kreisel W. Phosphodiesterase-5 inhibitors have distinct effects on the hemodynamics of the liver. </w:t>
      </w:r>
      <w:r w:rsidRPr="00F12AFF">
        <w:rPr>
          <w:rFonts w:ascii="Book Antiqua" w:hAnsi="Book Antiqua"/>
          <w:i/>
          <w:sz w:val="24"/>
        </w:rPr>
        <w:t>BMC Gastroenterol</w:t>
      </w:r>
      <w:r w:rsidRPr="00F12AFF">
        <w:rPr>
          <w:rFonts w:ascii="Book Antiqua" w:hAnsi="Book Antiqua"/>
          <w:sz w:val="24"/>
        </w:rPr>
        <w:t xml:space="preserve"> 2009; </w:t>
      </w:r>
      <w:r w:rsidRPr="00F12AFF">
        <w:rPr>
          <w:rFonts w:ascii="Book Antiqua" w:hAnsi="Book Antiqua"/>
          <w:b/>
          <w:sz w:val="24"/>
        </w:rPr>
        <w:t>9</w:t>
      </w:r>
      <w:r w:rsidRPr="00F12AFF">
        <w:rPr>
          <w:rFonts w:ascii="Book Antiqua" w:hAnsi="Book Antiqua"/>
          <w:sz w:val="24"/>
        </w:rPr>
        <w:t>: 69 [PMID: 19765284 DOI: 10.1186/1471-230X-9-69]</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6 </w:t>
      </w:r>
      <w:r w:rsidRPr="00F12AFF">
        <w:rPr>
          <w:rFonts w:ascii="Book Antiqua" w:hAnsi="Book Antiqua"/>
          <w:b/>
          <w:sz w:val="24"/>
        </w:rPr>
        <w:t>Tandon P</w:t>
      </w:r>
      <w:r w:rsidRPr="00F12AFF">
        <w:rPr>
          <w:rFonts w:ascii="Book Antiqua" w:hAnsi="Book Antiqua"/>
          <w:sz w:val="24"/>
        </w:rPr>
        <w:t xml:space="preserve">, Inayat I, Tal M, Spector M, Shea M, Groszmann RJ, Garcia-Tsao G. Sildenafil has no effect on portal pressure but lowers arterial pressure in patients with compensated cirrhosis. </w:t>
      </w:r>
      <w:r w:rsidRPr="00F12AFF">
        <w:rPr>
          <w:rFonts w:ascii="Book Antiqua" w:hAnsi="Book Antiqua"/>
          <w:i/>
          <w:sz w:val="24"/>
        </w:rPr>
        <w:t>Clin Gastroenterol Hepatol</w:t>
      </w:r>
      <w:r w:rsidRPr="00F12AFF">
        <w:rPr>
          <w:rFonts w:ascii="Book Antiqua" w:hAnsi="Book Antiqua"/>
          <w:sz w:val="24"/>
        </w:rPr>
        <w:t xml:space="preserve"> 2010; </w:t>
      </w:r>
      <w:r w:rsidRPr="00F12AFF">
        <w:rPr>
          <w:rFonts w:ascii="Book Antiqua" w:hAnsi="Book Antiqua"/>
          <w:b/>
          <w:sz w:val="24"/>
        </w:rPr>
        <w:t>8</w:t>
      </w:r>
      <w:r w:rsidRPr="00F12AFF">
        <w:rPr>
          <w:rFonts w:ascii="Book Antiqua" w:hAnsi="Book Antiqua"/>
          <w:sz w:val="24"/>
        </w:rPr>
        <w:t>: 546-549 [PMID: 20144739 DOI: 10.1016/j.cgh.2010.01.017]</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7 </w:t>
      </w:r>
      <w:r w:rsidRPr="00F12AFF">
        <w:rPr>
          <w:rFonts w:ascii="Book Antiqua" w:hAnsi="Book Antiqua"/>
          <w:b/>
          <w:sz w:val="24"/>
        </w:rPr>
        <w:t>Kreisel W</w:t>
      </w:r>
      <w:r w:rsidRPr="00F12AFF">
        <w:rPr>
          <w:rFonts w:ascii="Book Antiqua" w:hAnsi="Book Antiqua"/>
          <w:sz w:val="24"/>
        </w:rPr>
        <w:t xml:space="preserve">, Deibert P, Kupcinskas L, Sumskiene J, Appenrodt B, Roth S, Neagu M, Rössle M, Zipprich A, Caca K, Ferlitsch A, Dilger K, Mohrbacher R, Greinwald R, Sauerbruch T. The phosphodiesterase-5-inhibitor udenafil lowers portal pressure in compensated preascitic liver cirrhosis. A dose-finding phase-II-study. </w:t>
      </w:r>
      <w:r w:rsidRPr="00F12AFF">
        <w:rPr>
          <w:rFonts w:ascii="Book Antiqua" w:hAnsi="Book Antiqua"/>
          <w:i/>
          <w:sz w:val="24"/>
        </w:rPr>
        <w:t>Dig Liver Dis</w:t>
      </w:r>
      <w:r w:rsidRPr="00F12AFF">
        <w:rPr>
          <w:rFonts w:ascii="Book Antiqua" w:hAnsi="Book Antiqua"/>
          <w:sz w:val="24"/>
        </w:rPr>
        <w:t xml:space="preserve"> 2015; </w:t>
      </w:r>
      <w:r w:rsidRPr="00F12AFF">
        <w:rPr>
          <w:rFonts w:ascii="Book Antiqua" w:hAnsi="Book Antiqua"/>
          <w:b/>
          <w:sz w:val="24"/>
        </w:rPr>
        <w:t>47</w:t>
      </w:r>
      <w:r w:rsidRPr="00F12AFF">
        <w:rPr>
          <w:rFonts w:ascii="Book Antiqua" w:hAnsi="Book Antiqua"/>
          <w:sz w:val="24"/>
        </w:rPr>
        <w:t>: 144-150 [PMID: 25483910 DOI: 10.1016/j.dld.2014.10.018]</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8 </w:t>
      </w:r>
      <w:r w:rsidRPr="00F12AFF">
        <w:rPr>
          <w:rFonts w:ascii="Book Antiqua" w:hAnsi="Book Antiqua"/>
          <w:b/>
          <w:sz w:val="24"/>
        </w:rPr>
        <w:t>de Franchis R</w:t>
      </w:r>
      <w:r w:rsidRPr="00F12AFF">
        <w:rPr>
          <w:rFonts w:ascii="Book Antiqua" w:hAnsi="Book Antiqua"/>
          <w:sz w:val="24"/>
        </w:rPr>
        <w:t xml:space="preserve">; Baveno VI Faculty. Expanding consensus in portal hypertension: Report of the Baveno VI Consensus Workshop: Stratifying risk and individualizing care for portal hypertension. </w:t>
      </w:r>
      <w:r w:rsidRPr="00F12AFF">
        <w:rPr>
          <w:rFonts w:ascii="Book Antiqua" w:hAnsi="Book Antiqua"/>
          <w:i/>
          <w:sz w:val="24"/>
        </w:rPr>
        <w:t>J Hepatol</w:t>
      </w:r>
      <w:r w:rsidRPr="00F12AFF">
        <w:rPr>
          <w:rFonts w:ascii="Book Antiqua" w:hAnsi="Book Antiqua"/>
          <w:sz w:val="24"/>
        </w:rPr>
        <w:t xml:space="preserve"> 2015; </w:t>
      </w:r>
      <w:r w:rsidRPr="00F12AFF">
        <w:rPr>
          <w:rFonts w:ascii="Book Antiqua" w:hAnsi="Book Antiqua"/>
          <w:b/>
          <w:sz w:val="24"/>
        </w:rPr>
        <w:t>63</w:t>
      </w:r>
      <w:r w:rsidRPr="00F12AFF">
        <w:rPr>
          <w:rFonts w:ascii="Book Antiqua" w:hAnsi="Book Antiqua"/>
          <w:sz w:val="24"/>
        </w:rPr>
        <w:t>: 743-752 [PMID: 26047908 DOI: 10.1016/j.jhep.2015.05.022]</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9 </w:t>
      </w:r>
      <w:r w:rsidRPr="00F12AFF">
        <w:rPr>
          <w:rFonts w:ascii="Book Antiqua" w:hAnsi="Book Antiqua"/>
          <w:b/>
          <w:sz w:val="24"/>
        </w:rPr>
        <w:t>Bari K</w:t>
      </w:r>
      <w:r w:rsidRPr="00F12AFF">
        <w:rPr>
          <w:rFonts w:ascii="Book Antiqua" w:hAnsi="Book Antiqua"/>
          <w:sz w:val="24"/>
        </w:rPr>
        <w:t xml:space="preserve">, Garcia-Tsao G. Treatment of portal hypertension. </w:t>
      </w:r>
      <w:r w:rsidRPr="00F12AFF">
        <w:rPr>
          <w:rFonts w:ascii="Book Antiqua" w:hAnsi="Book Antiqua"/>
          <w:i/>
          <w:sz w:val="24"/>
        </w:rPr>
        <w:t>World J Gastroenterol</w:t>
      </w:r>
      <w:r w:rsidRPr="00F12AFF">
        <w:rPr>
          <w:rFonts w:ascii="Book Antiqua" w:hAnsi="Book Antiqua"/>
          <w:sz w:val="24"/>
        </w:rPr>
        <w:t xml:space="preserve"> 2012; </w:t>
      </w:r>
      <w:r w:rsidRPr="00F12AFF">
        <w:rPr>
          <w:rFonts w:ascii="Book Antiqua" w:hAnsi="Book Antiqua"/>
          <w:b/>
          <w:sz w:val="24"/>
        </w:rPr>
        <w:t>18</w:t>
      </w:r>
      <w:r w:rsidRPr="00F12AFF">
        <w:rPr>
          <w:rFonts w:ascii="Book Antiqua" w:hAnsi="Book Antiqua"/>
          <w:sz w:val="24"/>
        </w:rPr>
        <w:t>: 1166-1175 [PMID: 22468079 DOI: 10.3748/wjg.v18.i11.1166]</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lastRenderedPageBreak/>
        <w:t xml:space="preserve">10 </w:t>
      </w:r>
      <w:r w:rsidRPr="00F12AFF">
        <w:rPr>
          <w:rFonts w:ascii="Book Antiqua" w:hAnsi="Book Antiqua"/>
          <w:b/>
          <w:sz w:val="24"/>
        </w:rPr>
        <w:t>Garcia-Tsao G</w:t>
      </w:r>
      <w:r w:rsidRPr="00F12AFF">
        <w:rPr>
          <w:rFonts w:ascii="Book Antiqua" w:hAnsi="Book Antiqua"/>
          <w:sz w:val="24"/>
        </w:rPr>
        <w:t xml:space="preserve">, Bosch J. Management of varices and variceal hemorrhage in cirrhosis. </w:t>
      </w:r>
      <w:r w:rsidRPr="00F12AFF">
        <w:rPr>
          <w:rFonts w:ascii="Book Antiqua" w:hAnsi="Book Antiqua"/>
          <w:i/>
          <w:sz w:val="24"/>
        </w:rPr>
        <w:t>N Engl J Med</w:t>
      </w:r>
      <w:r w:rsidRPr="00F12AFF">
        <w:rPr>
          <w:rFonts w:ascii="Book Antiqua" w:hAnsi="Book Antiqua"/>
          <w:sz w:val="24"/>
        </w:rPr>
        <w:t xml:space="preserve"> 2010; </w:t>
      </w:r>
      <w:r w:rsidRPr="00F12AFF">
        <w:rPr>
          <w:rFonts w:ascii="Book Antiqua" w:hAnsi="Book Antiqua"/>
          <w:b/>
          <w:sz w:val="24"/>
        </w:rPr>
        <w:t>362</w:t>
      </w:r>
      <w:r w:rsidRPr="00F12AFF">
        <w:rPr>
          <w:rFonts w:ascii="Book Antiqua" w:hAnsi="Book Antiqua"/>
          <w:sz w:val="24"/>
        </w:rPr>
        <w:t>: 823-832 [PMID: 20200386 DOI: 10.1056/NEJMra0901512]</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11 </w:t>
      </w:r>
      <w:r w:rsidRPr="00F12AFF">
        <w:rPr>
          <w:rFonts w:ascii="Book Antiqua" w:hAnsi="Book Antiqua"/>
          <w:b/>
          <w:sz w:val="24"/>
        </w:rPr>
        <w:t>Villanueva C</w:t>
      </w:r>
      <w:r w:rsidRPr="00F12AFF">
        <w:rPr>
          <w:rFonts w:ascii="Book Antiqua" w:hAnsi="Book Antiqua"/>
          <w:sz w:val="24"/>
        </w:rPr>
        <w:t xml:space="preserve">, Aracil C, Colomo A, Hernández-Gea V, López-Balaguer JM, Alvarez-Urturi C, Torras X, Balanzó J, Guarner C. Acute hemodynamic response to beta-blockers and prediction of long-term outcome in primary prophylaxis of variceal bleeding. </w:t>
      </w:r>
      <w:r w:rsidRPr="00F12AFF">
        <w:rPr>
          <w:rFonts w:ascii="Book Antiqua" w:hAnsi="Book Antiqua"/>
          <w:i/>
          <w:sz w:val="24"/>
        </w:rPr>
        <w:t>Gastroenterology</w:t>
      </w:r>
      <w:r w:rsidRPr="00F12AFF">
        <w:rPr>
          <w:rFonts w:ascii="Book Antiqua" w:hAnsi="Book Antiqua"/>
          <w:sz w:val="24"/>
        </w:rPr>
        <w:t xml:space="preserve"> 2009; </w:t>
      </w:r>
      <w:r w:rsidRPr="00F12AFF">
        <w:rPr>
          <w:rFonts w:ascii="Book Antiqua" w:hAnsi="Book Antiqua"/>
          <w:b/>
          <w:sz w:val="24"/>
        </w:rPr>
        <w:t>137</w:t>
      </w:r>
      <w:r w:rsidRPr="00F12AFF">
        <w:rPr>
          <w:rFonts w:ascii="Book Antiqua" w:hAnsi="Book Antiqua"/>
          <w:sz w:val="24"/>
        </w:rPr>
        <w:t>: 119-128 [PMID: 19344721 DOI: 10.1053/j.gastro.2009.03.048]</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12 </w:t>
      </w:r>
      <w:r w:rsidRPr="00F12AFF">
        <w:rPr>
          <w:rFonts w:ascii="Book Antiqua" w:hAnsi="Book Antiqua"/>
          <w:b/>
          <w:sz w:val="24"/>
        </w:rPr>
        <w:t>La Mura V</w:t>
      </w:r>
      <w:r w:rsidRPr="00F12AFF">
        <w:rPr>
          <w:rFonts w:ascii="Book Antiqua" w:hAnsi="Book Antiqua"/>
          <w:sz w:val="24"/>
        </w:rPr>
        <w:t xml:space="preserve">, Abraldes JG, Raffa S, Retto O, Berzigotti A, García-Pagán JC, Bosch J. Prognostic value of acute hemodynamic response to i.v. propranolol in patients with cirrhosis and portal hypertension. </w:t>
      </w:r>
      <w:r w:rsidRPr="00F12AFF">
        <w:rPr>
          <w:rFonts w:ascii="Book Antiqua" w:hAnsi="Book Antiqua"/>
          <w:i/>
          <w:sz w:val="24"/>
        </w:rPr>
        <w:t>J Hepatol</w:t>
      </w:r>
      <w:r w:rsidRPr="00F12AFF">
        <w:rPr>
          <w:rFonts w:ascii="Book Antiqua" w:hAnsi="Book Antiqua"/>
          <w:sz w:val="24"/>
        </w:rPr>
        <w:t xml:space="preserve"> 2009; </w:t>
      </w:r>
      <w:r w:rsidRPr="00F12AFF">
        <w:rPr>
          <w:rFonts w:ascii="Book Antiqua" w:hAnsi="Book Antiqua"/>
          <w:b/>
          <w:sz w:val="24"/>
        </w:rPr>
        <w:t>51</w:t>
      </w:r>
      <w:r w:rsidRPr="00F12AFF">
        <w:rPr>
          <w:rFonts w:ascii="Book Antiqua" w:hAnsi="Book Antiqua"/>
          <w:sz w:val="24"/>
        </w:rPr>
        <w:t>: 279-287 [PMID: 19501930 DOI: 10.1016/j.jhep.2009.04.015]</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13 </w:t>
      </w:r>
      <w:r w:rsidRPr="00F12AFF">
        <w:rPr>
          <w:rFonts w:ascii="Book Antiqua" w:hAnsi="Book Antiqua"/>
          <w:b/>
          <w:sz w:val="24"/>
        </w:rPr>
        <w:t>de-Madaria E</w:t>
      </w:r>
      <w:r w:rsidRPr="00F12AFF">
        <w:rPr>
          <w:rFonts w:ascii="Book Antiqua" w:hAnsi="Book Antiqua"/>
          <w:sz w:val="24"/>
        </w:rPr>
        <w:t xml:space="preserve">, Palazón JM, Hernández FT, Sánchez-Paya J, Zapater P, Irurzun J, de España F, Pascual S, Such J, Sempere L, Carnicer F, García-Herola A, Valverde J, Pérez-Mateo M. Acute and chronic hemodynamic changes after propranolol in patients with cirrhosis under primary and secondary prophylaxis of variceal bleeding: a pilot study. </w:t>
      </w:r>
      <w:r w:rsidRPr="00F12AFF">
        <w:rPr>
          <w:rFonts w:ascii="Book Antiqua" w:hAnsi="Book Antiqua"/>
          <w:i/>
          <w:sz w:val="24"/>
        </w:rPr>
        <w:t>Eur J Gastroenterol Hepatol</w:t>
      </w:r>
      <w:r w:rsidRPr="00F12AFF">
        <w:rPr>
          <w:rFonts w:ascii="Book Antiqua" w:hAnsi="Book Antiqua"/>
          <w:sz w:val="24"/>
        </w:rPr>
        <w:t xml:space="preserve"> 2010; </w:t>
      </w:r>
      <w:r w:rsidRPr="00F12AFF">
        <w:rPr>
          <w:rFonts w:ascii="Book Antiqua" w:hAnsi="Book Antiqua"/>
          <w:b/>
          <w:sz w:val="24"/>
        </w:rPr>
        <w:t>22</w:t>
      </w:r>
      <w:r w:rsidRPr="00F12AFF">
        <w:rPr>
          <w:rFonts w:ascii="Book Antiqua" w:hAnsi="Book Antiqua"/>
          <w:sz w:val="24"/>
        </w:rPr>
        <w:t>: 507-512 [PMID: 20150817 DOI: 10.1097/MEG.0b013e32832ca06b]</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14 </w:t>
      </w:r>
      <w:r w:rsidRPr="00F12AFF">
        <w:rPr>
          <w:rFonts w:ascii="Book Antiqua" w:hAnsi="Book Antiqua"/>
          <w:b/>
          <w:sz w:val="24"/>
        </w:rPr>
        <w:t>Stankovic Z</w:t>
      </w:r>
      <w:r w:rsidRPr="00F12AFF">
        <w:rPr>
          <w:rFonts w:ascii="Book Antiqua" w:hAnsi="Book Antiqua"/>
          <w:sz w:val="24"/>
        </w:rPr>
        <w:t xml:space="preserve">, Csatari Z, Deibert P, Euringer W, Blanke P, Kreisel W, Abdullah Zadeh Z, Kallfass F, Langer M, Markl M. Normal and altered three-dimensional portal venous hemodynamics in patients with liver cirrhosis. </w:t>
      </w:r>
      <w:r w:rsidRPr="00F12AFF">
        <w:rPr>
          <w:rFonts w:ascii="Book Antiqua" w:hAnsi="Book Antiqua"/>
          <w:i/>
          <w:sz w:val="24"/>
        </w:rPr>
        <w:t>Radiology</w:t>
      </w:r>
      <w:r w:rsidRPr="00F12AFF">
        <w:rPr>
          <w:rFonts w:ascii="Book Antiqua" w:hAnsi="Book Antiqua"/>
          <w:sz w:val="24"/>
        </w:rPr>
        <w:t xml:space="preserve"> 2012; </w:t>
      </w:r>
      <w:r w:rsidRPr="00F12AFF">
        <w:rPr>
          <w:rFonts w:ascii="Book Antiqua" w:hAnsi="Book Antiqua"/>
          <w:b/>
          <w:sz w:val="24"/>
        </w:rPr>
        <w:t>262</w:t>
      </w:r>
      <w:r w:rsidRPr="00F12AFF">
        <w:rPr>
          <w:rFonts w:ascii="Book Antiqua" w:hAnsi="Book Antiqua"/>
          <w:sz w:val="24"/>
        </w:rPr>
        <w:t>: 862-873 [PMID: 22357888 DOI: 10.1148/radiol.11110127]</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15 </w:t>
      </w:r>
      <w:r w:rsidRPr="00F12AFF">
        <w:rPr>
          <w:rFonts w:ascii="Book Antiqua" w:hAnsi="Book Antiqua"/>
          <w:b/>
          <w:sz w:val="24"/>
        </w:rPr>
        <w:t>Stankovic Z</w:t>
      </w:r>
      <w:r w:rsidRPr="00F12AFF">
        <w:rPr>
          <w:rFonts w:ascii="Book Antiqua" w:hAnsi="Book Antiqua"/>
          <w:sz w:val="24"/>
        </w:rPr>
        <w:t xml:space="preserve">. Four-dimensional flow magnetic resonance imaging in cirrhosis. </w:t>
      </w:r>
      <w:r w:rsidRPr="00F12AFF">
        <w:rPr>
          <w:rFonts w:ascii="Book Antiqua" w:hAnsi="Book Antiqua"/>
          <w:i/>
          <w:sz w:val="24"/>
        </w:rPr>
        <w:t>World J Gastroenterol</w:t>
      </w:r>
      <w:r w:rsidRPr="00F12AFF">
        <w:rPr>
          <w:rFonts w:ascii="Book Antiqua" w:hAnsi="Book Antiqua"/>
          <w:sz w:val="24"/>
        </w:rPr>
        <w:t xml:space="preserve"> 2016; </w:t>
      </w:r>
      <w:r w:rsidRPr="00F12AFF">
        <w:rPr>
          <w:rFonts w:ascii="Book Antiqua" w:hAnsi="Book Antiqua"/>
          <w:b/>
          <w:sz w:val="24"/>
        </w:rPr>
        <w:t>22</w:t>
      </w:r>
      <w:r w:rsidRPr="00F12AFF">
        <w:rPr>
          <w:rFonts w:ascii="Book Antiqua" w:hAnsi="Book Antiqua"/>
          <w:sz w:val="24"/>
        </w:rPr>
        <w:t>: 89-102 [PMID: 26755862 DOI: 10.3748/wjg.v22.i1.89]</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16 </w:t>
      </w:r>
      <w:r w:rsidRPr="00F12AFF">
        <w:rPr>
          <w:rFonts w:ascii="Book Antiqua" w:hAnsi="Book Antiqua"/>
          <w:b/>
          <w:sz w:val="24"/>
        </w:rPr>
        <w:t>Davies NA</w:t>
      </w:r>
      <w:r w:rsidRPr="00F12AFF">
        <w:rPr>
          <w:rFonts w:ascii="Book Antiqua" w:hAnsi="Book Antiqua"/>
          <w:sz w:val="24"/>
        </w:rPr>
        <w:t xml:space="preserve">, Hodges SJ, Pitsillides AA, Mookerjee RP, Jalan R, Mehdizadeh S. Hepatic guanylate cyclase activity is decreased in a model of cirrhosis: a quantitative cytochemistry study. </w:t>
      </w:r>
      <w:r w:rsidRPr="00F12AFF">
        <w:rPr>
          <w:rFonts w:ascii="Book Antiqua" w:hAnsi="Book Antiqua"/>
          <w:i/>
          <w:sz w:val="24"/>
        </w:rPr>
        <w:t>FEBS Lett</w:t>
      </w:r>
      <w:r w:rsidRPr="00F12AFF">
        <w:rPr>
          <w:rFonts w:ascii="Book Antiqua" w:hAnsi="Book Antiqua"/>
          <w:sz w:val="24"/>
        </w:rPr>
        <w:t xml:space="preserve"> 2006; </w:t>
      </w:r>
      <w:r w:rsidRPr="00F12AFF">
        <w:rPr>
          <w:rFonts w:ascii="Book Antiqua" w:hAnsi="Book Antiqua"/>
          <w:b/>
          <w:sz w:val="24"/>
        </w:rPr>
        <w:t>580</w:t>
      </w:r>
      <w:r w:rsidRPr="00F12AFF">
        <w:rPr>
          <w:rFonts w:ascii="Book Antiqua" w:hAnsi="Book Antiqua"/>
          <w:sz w:val="24"/>
        </w:rPr>
        <w:t>: 2123-2128 [PMID: 16563392 DOI: 10.1016/j.febslet.2006.02.080]</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17 </w:t>
      </w:r>
      <w:r w:rsidRPr="00F12AFF">
        <w:rPr>
          <w:rFonts w:ascii="Book Antiqua" w:hAnsi="Book Antiqua"/>
          <w:b/>
          <w:sz w:val="24"/>
        </w:rPr>
        <w:t>Loureiro-Silva MR</w:t>
      </w:r>
      <w:r w:rsidRPr="00F12AFF">
        <w:rPr>
          <w:rFonts w:ascii="Book Antiqua" w:hAnsi="Book Antiqua"/>
          <w:sz w:val="24"/>
        </w:rPr>
        <w:t xml:space="preserve">, Iwakiri Y, Abraldes JG, Haq O, Groszmann RJ. Increased phosphodiesterase-5 expression is involved in the decreased vasodilator response to nitric oxide in cirrhotic rat livers. </w:t>
      </w:r>
      <w:r w:rsidRPr="00F12AFF">
        <w:rPr>
          <w:rFonts w:ascii="Book Antiqua" w:hAnsi="Book Antiqua"/>
          <w:i/>
          <w:sz w:val="24"/>
        </w:rPr>
        <w:t>J Hepatol</w:t>
      </w:r>
      <w:r w:rsidRPr="00F12AFF">
        <w:rPr>
          <w:rFonts w:ascii="Book Antiqua" w:hAnsi="Book Antiqua"/>
          <w:sz w:val="24"/>
        </w:rPr>
        <w:t xml:space="preserve"> 2006; </w:t>
      </w:r>
      <w:r w:rsidRPr="00F12AFF">
        <w:rPr>
          <w:rFonts w:ascii="Book Antiqua" w:hAnsi="Book Antiqua"/>
          <w:b/>
          <w:sz w:val="24"/>
        </w:rPr>
        <w:t>44</w:t>
      </w:r>
      <w:r w:rsidRPr="00F12AFF">
        <w:rPr>
          <w:rFonts w:ascii="Book Antiqua" w:hAnsi="Book Antiqua"/>
          <w:sz w:val="24"/>
        </w:rPr>
        <w:t>: 886-893 [PMID: 16545481 DOI: 10.1016/j.jhep.2006.01.032]</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lastRenderedPageBreak/>
        <w:t xml:space="preserve">18 </w:t>
      </w:r>
      <w:r w:rsidRPr="00F12AFF">
        <w:rPr>
          <w:rFonts w:ascii="Book Antiqua" w:hAnsi="Book Antiqua"/>
          <w:b/>
          <w:sz w:val="24"/>
        </w:rPr>
        <w:t>Angelico M</w:t>
      </w:r>
      <w:r w:rsidRPr="00F12AFF">
        <w:rPr>
          <w:rFonts w:ascii="Book Antiqua" w:hAnsi="Book Antiqua"/>
          <w:sz w:val="24"/>
        </w:rPr>
        <w:t xml:space="preserve">, Lionetti R. Long-acting nitrates in portal hypertension: to be or not to be? </w:t>
      </w:r>
      <w:r w:rsidRPr="00F12AFF">
        <w:rPr>
          <w:rFonts w:ascii="Book Antiqua" w:hAnsi="Book Antiqua"/>
          <w:i/>
          <w:sz w:val="24"/>
        </w:rPr>
        <w:t>Dig Liver Dis</w:t>
      </w:r>
      <w:r w:rsidRPr="00F12AFF">
        <w:rPr>
          <w:rFonts w:ascii="Book Antiqua" w:hAnsi="Book Antiqua"/>
          <w:sz w:val="24"/>
        </w:rPr>
        <w:t xml:space="preserve"> 2001; </w:t>
      </w:r>
      <w:r w:rsidRPr="00F12AFF">
        <w:rPr>
          <w:rFonts w:ascii="Book Antiqua" w:hAnsi="Book Antiqua"/>
          <w:b/>
          <w:sz w:val="24"/>
        </w:rPr>
        <w:t>33</w:t>
      </w:r>
      <w:r w:rsidRPr="00F12AFF">
        <w:rPr>
          <w:rFonts w:ascii="Book Antiqua" w:hAnsi="Book Antiqua"/>
          <w:sz w:val="24"/>
        </w:rPr>
        <w:t>: 205-211 [PMID: 11407662]</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19 </w:t>
      </w:r>
      <w:r w:rsidRPr="00F12AFF">
        <w:rPr>
          <w:rFonts w:ascii="Book Antiqua" w:hAnsi="Book Antiqua"/>
          <w:b/>
          <w:sz w:val="24"/>
        </w:rPr>
        <w:t>Bolognesi M</w:t>
      </w:r>
      <w:r w:rsidRPr="00F12AFF">
        <w:rPr>
          <w:rFonts w:ascii="Book Antiqua" w:hAnsi="Book Antiqua"/>
          <w:sz w:val="24"/>
        </w:rPr>
        <w:t xml:space="preserve">, Di Pascoli M, Sacerdoti D. Clinical role of non-invasive assessment of portal hypertension. </w:t>
      </w:r>
      <w:r w:rsidRPr="00F12AFF">
        <w:rPr>
          <w:rFonts w:ascii="Book Antiqua" w:hAnsi="Book Antiqua"/>
          <w:i/>
          <w:sz w:val="24"/>
        </w:rPr>
        <w:t>World J Gastroenterol</w:t>
      </w:r>
      <w:r w:rsidRPr="00F12AFF">
        <w:rPr>
          <w:rFonts w:ascii="Book Antiqua" w:hAnsi="Book Antiqua"/>
          <w:sz w:val="24"/>
        </w:rPr>
        <w:t xml:space="preserve"> 2017; </w:t>
      </w:r>
      <w:r w:rsidRPr="00F12AFF">
        <w:rPr>
          <w:rFonts w:ascii="Book Antiqua" w:hAnsi="Book Antiqua"/>
          <w:b/>
          <w:sz w:val="24"/>
        </w:rPr>
        <w:t>23</w:t>
      </w:r>
      <w:r w:rsidRPr="00F12AFF">
        <w:rPr>
          <w:rFonts w:ascii="Book Antiqua" w:hAnsi="Book Antiqua"/>
          <w:sz w:val="24"/>
        </w:rPr>
        <w:t>: 1-10 [PMID: 28104976 DOI: 10.3748/wjg.v23.i1.1]</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20 </w:t>
      </w:r>
      <w:r w:rsidRPr="00F12AFF">
        <w:rPr>
          <w:rFonts w:ascii="Book Antiqua" w:hAnsi="Book Antiqua"/>
          <w:b/>
          <w:sz w:val="24"/>
        </w:rPr>
        <w:t>Iranpour P</w:t>
      </w:r>
      <w:r w:rsidRPr="00F12AFF">
        <w:rPr>
          <w:rFonts w:ascii="Book Antiqua" w:hAnsi="Book Antiqua"/>
          <w:sz w:val="24"/>
        </w:rPr>
        <w:t xml:space="preserve">, Lall C, Houshyar R, Helmy M, Yang A, Choi JI, Ward G, Goodwin SC. Altered Doppler flow patterns in cirrhosis patients: an overview. </w:t>
      </w:r>
      <w:r w:rsidRPr="00F12AFF">
        <w:rPr>
          <w:rFonts w:ascii="Book Antiqua" w:hAnsi="Book Antiqua"/>
          <w:i/>
          <w:sz w:val="24"/>
        </w:rPr>
        <w:t>Ultrasonography</w:t>
      </w:r>
      <w:r w:rsidRPr="00F12AFF">
        <w:rPr>
          <w:rFonts w:ascii="Book Antiqua" w:hAnsi="Book Antiqua"/>
          <w:sz w:val="24"/>
        </w:rPr>
        <w:t xml:space="preserve"> 2016; </w:t>
      </w:r>
      <w:r w:rsidRPr="00F12AFF">
        <w:rPr>
          <w:rFonts w:ascii="Book Antiqua" w:hAnsi="Book Antiqua"/>
          <w:b/>
          <w:sz w:val="24"/>
        </w:rPr>
        <w:t>35</w:t>
      </w:r>
      <w:r w:rsidRPr="00F12AFF">
        <w:rPr>
          <w:rFonts w:ascii="Book Antiqua" w:hAnsi="Book Antiqua"/>
          <w:sz w:val="24"/>
        </w:rPr>
        <w:t>: 3-12 [PMID: 26169079 DOI: 10.14366/usg.15020]</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21 </w:t>
      </w:r>
      <w:r w:rsidRPr="00F12AFF">
        <w:rPr>
          <w:rFonts w:ascii="Book Antiqua" w:hAnsi="Book Antiqua"/>
          <w:b/>
          <w:sz w:val="24"/>
        </w:rPr>
        <w:t>Tasu JP</w:t>
      </w:r>
      <w:r w:rsidRPr="00F12AFF">
        <w:rPr>
          <w:rFonts w:ascii="Book Antiqua" w:hAnsi="Book Antiqua"/>
          <w:sz w:val="24"/>
        </w:rPr>
        <w:t xml:space="preserve">, Rocher L, PEletier G, Kuoch V, Kulh E, Miquel A, Buffet C, BlEry M. Hepatic venous pressure gradients measured by duplex ultrasound. </w:t>
      </w:r>
      <w:r w:rsidRPr="00F12AFF">
        <w:rPr>
          <w:rFonts w:ascii="Book Antiqua" w:hAnsi="Book Antiqua"/>
          <w:i/>
          <w:sz w:val="24"/>
        </w:rPr>
        <w:t>Clin Radiol</w:t>
      </w:r>
      <w:r w:rsidRPr="00F12AFF">
        <w:rPr>
          <w:rFonts w:ascii="Book Antiqua" w:hAnsi="Book Antiqua"/>
          <w:sz w:val="24"/>
        </w:rPr>
        <w:t xml:space="preserve"> 2002; </w:t>
      </w:r>
      <w:r w:rsidRPr="00F12AFF">
        <w:rPr>
          <w:rFonts w:ascii="Book Antiqua" w:hAnsi="Book Antiqua"/>
          <w:b/>
          <w:sz w:val="24"/>
        </w:rPr>
        <w:t>57</w:t>
      </w:r>
      <w:r w:rsidRPr="00F12AFF">
        <w:rPr>
          <w:rFonts w:ascii="Book Antiqua" w:hAnsi="Book Antiqua"/>
          <w:sz w:val="24"/>
        </w:rPr>
        <w:t>: 746-752 [PMID: 12169287]</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22 </w:t>
      </w:r>
      <w:r w:rsidRPr="00F12AFF">
        <w:rPr>
          <w:rFonts w:ascii="Book Antiqua" w:hAnsi="Book Antiqua"/>
          <w:b/>
          <w:sz w:val="24"/>
        </w:rPr>
        <w:t>Imam MH</w:t>
      </w:r>
      <w:r w:rsidRPr="00F12AFF">
        <w:rPr>
          <w:rFonts w:ascii="Book Antiqua" w:hAnsi="Book Antiqua"/>
          <w:sz w:val="24"/>
        </w:rPr>
        <w:t xml:space="preserve">, Lindor KD. The natural history of primary biliary cirrhosis. </w:t>
      </w:r>
      <w:r w:rsidRPr="00F12AFF">
        <w:rPr>
          <w:rFonts w:ascii="Book Antiqua" w:hAnsi="Book Antiqua"/>
          <w:i/>
          <w:sz w:val="24"/>
        </w:rPr>
        <w:t>Semin Liver Dis</w:t>
      </w:r>
      <w:r w:rsidRPr="00F12AFF">
        <w:rPr>
          <w:rFonts w:ascii="Book Antiqua" w:hAnsi="Book Antiqua"/>
          <w:sz w:val="24"/>
        </w:rPr>
        <w:t xml:space="preserve"> 2014; </w:t>
      </w:r>
      <w:r w:rsidRPr="00F12AFF">
        <w:rPr>
          <w:rFonts w:ascii="Book Antiqua" w:hAnsi="Book Antiqua"/>
          <w:b/>
          <w:sz w:val="24"/>
        </w:rPr>
        <w:t>34</w:t>
      </w:r>
      <w:r w:rsidRPr="00F12AFF">
        <w:rPr>
          <w:rFonts w:ascii="Book Antiqua" w:hAnsi="Book Antiqua"/>
          <w:sz w:val="24"/>
        </w:rPr>
        <w:t>: 329-333 [PMID: 25057955 DOI: 10.1055/s-0034-1383731]</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23 </w:t>
      </w:r>
      <w:r w:rsidRPr="00F12AFF">
        <w:rPr>
          <w:rFonts w:ascii="Book Antiqua" w:hAnsi="Book Antiqua"/>
          <w:b/>
          <w:sz w:val="24"/>
        </w:rPr>
        <w:t>Floreani A</w:t>
      </w:r>
      <w:r w:rsidRPr="00F12AFF">
        <w:rPr>
          <w:rFonts w:ascii="Book Antiqua" w:hAnsi="Book Antiqua"/>
          <w:sz w:val="24"/>
        </w:rPr>
        <w:t xml:space="preserve">, Franceschet I, Cazzagon N. Primary biliary cirrhosis: overlaps with other autoimmune disorders. </w:t>
      </w:r>
      <w:r w:rsidRPr="00F12AFF">
        <w:rPr>
          <w:rFonts w:ascii="Book Antiqua" w:hAnsi="Book Antiqua"/>
          <w:i/>
          <w:sz w:val="24"/>
        </w:rPr>
        <w:t>Semin Liver Dis</w:t>
      </w:r>
      <w:r w:rsidRPr="00F12AFF">
        <w:rPr>
          <w:rFonts w:ascii="Book Antiqua" w:hAnsi="Book Antiqua"/>
          <w:sz w:val="24"/>
        </w:rPr>
        <w:t xml:space="preserve"> 2014; </w:t>
      </w:r>
      <w:r w:rsidRPr="00F12AFF">
        <w:rPr>
          <w:rFonts w:ascii="Book Antiqua" w:hAnsi="Book Antiqua"/>
          <w:b/>
          <w:sz w:val="24"/>
        </w:rPr>
        <w:t>34</w:t>
      </w:r>
      <w:r w:rsidRPr="00F12AFF">
        <w:rPr>
          <w:rFonts w:ascii="Book Antiqua" w:hAnsi="Book Antiqua"/>
          <w:sz w:val="24"/>
        </w:rPr>
        <w:t>: 352-360 [PMID: 25057958 DOI: 10.1055/s-0034-1383734]</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24 </w:t>
      </w:r>
      <w:r w:rsidRPr="00F12AFF">
        <w:rPr>
          <w:rFonts w:ascii="Book Antiqua" w:hAnsi="Book Antiqua"/>
          <w:b/>
          <w:sz w:val="24"/>
        </w:rPr>
        <w:t>European Association for the Study of the Liver.</w:t>
      </w:r>
      <w:r w:rsidRPr="00F12AFF">
        <w:rPr>
          <w:rFonts w:ascii="Book Antiqua" w:hAnsi="Book Antiqua"/>
          <w:sz w:val="24"/>
        </w:rPr>
        <w:t xml:space="preserve">. EASL Clinical Practice Guidelines: Autoimmune hepatitis. </w:t>
      </w:r>
      <w:r w:rsidRPr="00F12AFF">
        <w:rPr>
          <w:rFonts w:ascii="Book Antiqua" w:hAnsi="Book Antiqua"/>
          <w:i/>
          <w:sz w:val="24"/>
        </w:rPr>
        <w:t>J Hepatol</w:t>
      </w:r>
      <w:r w:rsidRPr="00F12AFF">
        <w:rPr>
          <w:rFonts w:ascii="Book Antiqua" w:hAnsi="Book Antiqua"/>
          <w:sz w:val="24"/>
        </w:rPr>
        <w:t xml:space="preserve"> 2015; </w:t>
      </w:r>
      <w:r w:rsidRPr="00F12AFF">
        <w:rPr>
          <w:rFonts w:ascii="Book Antiqua" w:hAnsi="Book Antiqua"/>
          <w:b/>
          <w:sz w:val="24"/>
        </w:rPr>
        <w:t>63</w:t>
      </w:r>
      <w:r w:rsidRPr="00F12AFF">
        <w:rPr>
          <w:rFonts w:ascii="Book Antiqua" w:hAnsi="Book Antiqua"/>
          <w:sz w:val="24"/>
        </w:rPr>
        <w:t>: 971-1004 [PMID: 26341719 DOI: 10.1016/j.jhep.2015.06.030]</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25 </w:t>
      </w:r>
      <w:r w:rsidRPr="00F12AFF">
        <w:rPr>
          <w:rFonts w:ascii="Book Antiqua" w:hAnsi="Book Antiqua"/>
          <w:b/>
          <w:sz w:val="24"/>
        </w:rPr>
        <w:t>Kirstein MM</w:t>
      </w:r>
      <w:r w:rsidRPr="00F12AFF">
        <w:rPr>
          <w:rFonts w:ascii="Book Antiqua" w:hAnsi="Book Antiqua"/>
          <w:sz w:val="24"/>
        </w:rPr>
        <w:t xml:space="preserve">, Metzler F, Geiger E, Heinrich E, Hallensleben M, Manns MP, Vogel A. Prediction of short- and long-term outcome in patients with autoimmune hepatitis. </w:t>
      </w:r>
      <w:r w:rsidRPr="00F12AFF">
        <w:rPr>
          <w:rFonts w:ascii="Book Antiqua" w:hAnsi="Book Antiqua"/>
          <w:i/>
          <w:sz w:val="24"/>
        </w:rPr>
        <w:t>Hepatology</w:t>
      </w:r>
      <w:r w:rsidRPr="00F12AFF">
        <w:rPr>
          <w:rFonts w:ascii="Book Antiqua" w:hAnsi="Book Antiqua"/>
          <w:sz w:val="24"/>
        </w:rPr>
        <w:t xml:space="preserve"> 2015; </w:t>
      </w:r>
      <w:r w:rsidRPr="00F12AFF">
        <w:rPr>
          <w:rFonts w:ascii="Book Antiqua" w:hAnsi="Book Antiqua"/>
          <w:b/>
          <w:sz w:val="24"/>
        </w:rPr>
        <w:t>62</w:t>
      </w:r>
      <w:r w:rsidRPr="00F12AFF">
        <w:rPr>
          <w:rFonts w:ascii="Book Antiqua" w:hAnsi="Book Antiqua"/>
          <w:sz w:val="24"/>
        </w:rPr>
        <w:t>: 1524-1535 [PMID: 26178791 DOI: 10.1002/hep.27983]</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26 </w:t>
      </w:r>
      <w:r w:rsidRPr="00F12AFF">
        <w:rPr>
          <w:rFonts w:ascii="Book Antiqua" w:hAnsi="Book Antiqua"/>
          <w:b/>
          <w:sz w:val="24"/>
        </w:rPr>
        <w:t>Said E,</w:t>
      </w:r>
      <w:r w:rsidRPr="00F12AFF">
        <w:rPr>
          <w:rFonts w:ascii="Book Antiqua" w:hAnsi="Book Antiqua"/>
          <w:sz w:val="24"/>
        </w:rPr>
        <w:t xml:space="preserve">  Said SA, Gameil NM, Ammar EM. Modulation of thioacetamide-induced liver fibrosis/cirrhosis by sildenafil treatment. Can J Physiol Pharmacol 2013;91:1055–</w:t>
      </w:r>
      <w:r w:rsidRPr="00F12AFF">
        <w:rPr>
          <w:rFonts w:ascii="Book Antiqua" w:hAnsi="Book Antiqua"/>
          <w:sz w:val="24"/>
          <w:lang w:eastAsia="zh-CN"/>
        </w:rPr>
        <w:t>10</w:t>
      </w:r>
      <w:r w:rsidRPr="00F12AFF">
        <w:rPr>
          <w:rFonts w:ascii="Book Antiqua" w:hAnsi="Book Antiqua"/>
          <w:sz w:val="24"/>
        </w:rPr>
        <w:t>63 [DOI: 10.1139/cjpp-2013-0181]</w:t>
      </w:r>
    </w:p>
    <w:p w:rsidR="007E6F43" w:rsidRPr="00F12AFF" w:rsidRDefault="007E6F43" w:rsidP="00F12AFF">
      <w:pPr>
        <w:adjustRightInd w:val="0"/>
        <w:snapToGrid w:val="0"/>
        <w:spacing w:line="360" w:lineRule="auto"/>
        <w:jc w:val="both"/>
        <w:rPr>
          <w:rFonts w:ascii="Book Antiqua" w:hAnsi="Book Antiqua"/>
          <w:sz w:val="24"/>
        </w:rPr>
      </w:pPr>
      <w:r w:rsidRPr="00F12AFF">
        <w:rPr>
          <w:rFonts w:ascii="Book Antiqua" w:hAnsi="Book Antiqua"/>
          <w:sz w:val="24"/>
        </w:rPr>
        <w:t xml:space="preserve">27 </w:t>
      </w:r>
      <w:r w:rsidRPr="00F12AFF">
        <w:rPr>
          <w:rFonts w:ascii="Book Antiqua" w:hAnsi="Book Antiqua"/>
          <w:b/>
          <w:sz w:val="24"/>
        </w:rPr>
        <w:t>Choi SM</w:t>
      </w:r>
      <w:r w:rsidRPr="00F12AFF">
        <w:rPr>
          <w:rFonts w:ascii="Book Antiqua" w:hAnsi="Book Antiqua"/>
          <w:sz w:val="24"/>
        </w:rPr>
        <w:t xml:space="preserve">, Shin JH, Kim JM, Lee CH, Kang KK, Ahn BO, Yoo M. Effect of udenafil on portal venous pressure and hepatic fibrosis in rats. A novel therapeutic option for portal hypertension. </w:t>
      </w:r>
      <w:r w:rsidRPr="00F12AFF">
        <w:rPr>
          <w:rFonts w:ascii="Book Antiqua" w:hAnsi="Book Antiqua"/>
          <w:i/>
          <w:sz w:val="24"/>
        </w:rPr>
        <w:t>Arzneimittelforschung</w:t>
      </w:r>
      <w:r w:rsidRPr="00F12AFF">
        <w:rPr>
          <w:rFonts w:ascii="Book Antiqua" w:hAnsi="Book Antiqua"/>
          <w:sz w:val="24"/>
        </w:rPr>
        <w:t xml:space="preserve"> 2009; </w:t>
      </w:r>
      <w:r w:rsidRPr="00F12AFF">
        <w:rPr>
          <w:rFonts w:ascii="Book Antiqua" w:hAnsi="Book Antiqua"/>
          <w:b/>
          <w:sz w:val="24"/>
        </w:rPr>
        <w:t>59</w:t>
      </w:r>
      <w:r w:rsidRPr="00F12AFF">
        <w:rPr>
          <w:rFonts w:ascii="Book Antiqua" w:hAnsi="Book Antiqua"/>
          <w:sz w:val="24"/>
        </w:rPr>
        <w:t>: 641-646 [PMID: 20108650 DOI: 10.1055/s-0031-1296453]</w:t>
      </w:r>
    </w:p>
    <w:p w:rsidR="00A227D3" w:rsidRPr="00F12AFF" w:rsidRDefault="007E6F43" w:rsidP="00F12AFF">
      <w:pPr>
        <w:adjustRightInd w:val="0"/>
        <w:snapToGrid w:val="0"/>
        <w:spacing w:line="360" w:lineRule="auto"/>
        <w:jc w:val="both"/>
        <w:rPr>
          <w:rFonts w:ascii="Book Antiqua" w:hAnsi="Book Antiqua"/>
          <w:sz w:val="24"/>
          <w:lang w:eastAsia="zh-CN"/>
        </w:rPr>
      </w:pPr>
      <w:r w:rsidRPr="00F12AFF">
        <w:rPr>
          <w:rFonts w:ascii="Book Antiqua" w:hAnsi="Book Antiqua"/>
          <w:sz w:val="24"/>
        </w:rPr>
        <w:t xml:space="preserve">28 </w:t>
      </w:r>
      <w:r w:rsidRPr="00F12AFF">
        <w:rPr>
          <w:rFonts w:ascii="Book Antiqua" w:hAnsi="Book Antiqua"/>
          <w:b/>
          <w:sz w:val="24"/>
        </w:rPr>
        <w:t>Cohen-Naftaly M</w:t>
      </w:r>
      <w:r w:rsidRPr="00F12AFF">
        <w:rPr>
          <w:rFonts w:ascii="Book Antiqua" w:hAnsi="Book Antiqua"/>
          <w:sz w:val="24"/>
        </w:rPr>
        <w:t xml:space="preserve">, Friedman SL. Current status of novel antifibrotic therapies in patients with chronic liver disease. </w:t>
      </w:r>
      <w:r w:rsidRPr="00F12AFF">
        <w:rPr>
          <w:rFonts w:ascii="Book Antiqua" w:hAnsi="Book Antiqua"/>
          <w:i/>
          <w:sz w:val="24"/>
        </w:rPr>
        <w:t>Therap Adv Gastroenterol</w:t>
      </w:r>
      <w:r w:rsidRPr="00F12AFF">
        <w:rPr>
          <w:rFonts w:ascii="Book Antiqua" w:hAnsi="Book Antiqua"/>
          <w:sz w:val="24"/>
        </w:rPr>
        <w:t xml:space="preserve"> 2011; </w:t>
      </w:r>
      <w:r w:rsidRPr="00F12AFF">
        <w:rPr>
          <w:rFonts w:ascii="Book Antiqua" w:hAnsi="Book Antiqua"/>
          <w:b/>
          <w:sz w:val="24"/>
        </w:rPr>
        <w:t>4</w:t>
      </w:r>
      <w:r w:rsidRPr="00F12AFF">
        <w:rPr>
          <w:rFonts w:ascii="Book Antiqua" w:hAnsi="Book Antiqua"/>
          <w:sz w:val="24"/>
        </w:rPr>
        <w:t>: 391-417 [PMID: 22043231 DOI: 10.1177/1756283X11413002]</w:t>
      </w:r>
    </w:p>
    <w:p w:rsidR="00A87838" w:rsidRPr="00F12AFF" w:rsidRDefault="00A87838" w:rsidP="00F12AFF">
      <w:pPr>
        <w:pStyle w:val="ListParagraph"/>
        <w:adjustRightInd w:val="0"/>
        <w:snapToGrid w:val="0"/>
        <w:spacing w:line="360" w:lineRule="auto"/>
        <w:ind w:firstLineChars="699" w:firstLine="1684"/>
        <w:jc w:val="both"/>
        <w:rPr>
          <w:rFonts w:ascii="Book Antiqua" w:eastAsia="SimSun" w:hAnsi="Book Antiqua"/>
          <w:b/>
          <w:bCs/>
          <w:szCs w:val="24"/>
          <w:lang w:eastAsia="zh-CN"/>
        </w:rPr>
      </w:pPr>
      <w:bookmarkStart w:id="41" w:name="OLE_LINK79"/>
      <w:bookmarkStart w:id="42" w:name="OLE_LINK80"/>
      <w:bookmarkStart w:id="43" w:name="OLE_LINK64"/>
      <w:bookmarkStart w:id="44" w:name="OLE_LINK87"/>
      <w:bookmarkStart w:id="45" w:name="OLE_LINK100"/>
      <w:r w:rsidRPr="00F12AFF">
        <w:rPr>
          <w:rStyle w:val="Strong"/>
          <w:rFonts w:ascii="Book Antiqua" w:hAnsi="Book Antiqua" w:cs="Arial"/>
          <w:bCs w:val="0"/>
          <w:noProof/>
          <w:szCs w:val="24"/>
        </w:rPr>
        <w:lastRenderedPageBreak/>
        <w:t>P-Reviewer</w:t>
      </w:r>
      <w:r w:rsidRPr="00F12AFF">
        <w:rPr>
          <w:rStyle w:val="Strong"/>
          <w:rFonts w:ascii="Book Antiqua" w:eastAsia="SimSun" w:hAnsi="Book Antiqua" w:cs="Arial"/>
          <w:bCs w:val="0"/>
          <w:noProof/>
          <w:szCs w:val="24"/>
          <w:lang w:eastAsia="zh-CN"/>
        </w:rPr>
        <w:t>:</w:t>
      </w:r>
      <w:r w:rsidRPr="00F12AFF">
        <w:rPr>
          <w:rFonts w:ascii="Book Antiqua" w:hAnsi="Book Antiqua"/>
          <w:bCs/>
          <w:szCs w:val="24"/>
        </w:rPr>
        <w:t xml:space="preserve"> </w:t>
      </w:r>
      <w:r w:rsidR="007E6F43" w:rsidRPr="00F12AFF">
        <w:rPr>
          <w:rFonts w:ascii="Book Antiqua" w:hAnsi="Book Antiqua"/>
          <w:bCs/>
          <w:szCs w:val="24"/>
        </w:rPr>
        <w:t>Karagiannakis</w:t>
      </w:r>
      <w:r w:rsidR="007E6F43" w:rsidRPr="00F12AFF">
        <w:rPr>
          <w:rFonts w:ascii="Book Antiqua" w:eastAsiaTheme="minorEastAsia" w:hAnsi="Book Antiqua"/>
          <w:bCs/>
          <w:szCs w:val="24"/>
          <w:lang w:eastAsia="zh-CN"/>
        </w:rPr>
        <w:t xml:space="preserve"> DS, Konishi H, Gallo P, Risso A </w:t>
      </w:r>
      <w:r w:rsidRPr="00F12AFF">
        <w:rPr>
          <w:rFonts w:ascii="Book Antiqua" w:hAnsi="Book Antiqua"/>
          <w:b/>
          <w:bCs/>
          <w:szCs w:val="24"/>
        </w:rPr>
        <w:t>S-Editor</w:t>
      </w:r>
      <w:r w:rsidRPr="00F12AFF">
        <w:rPr>
          <w:rFonts w:ascii="Book Antiqua" w:eastAsia="SimSun" w:hAnsi="Book Antiqua"/>
          <w:b/>
          <w:bCs/>
          <w:szCs w:val="24"/>
          <w:lang w:eastAsia="zh-CN"/>
        </w:rPr>
        <w:t>:</w:t>
      </w:r>
      <w:r w:rsidRPr="00F12AFF">
        <w:rPr>
          <w:rFonts w:ascii="Book Antiqua" w:hAnsi="Book Antiqua"/>
          <w:bCs/>
          <w:szCs w:val="24"/>
        </w:rPr>
        <w:t xml:space="preserve"> </w:t>
      </w:r>
      <w:r w:rsidRPr="00F12AFF">
        <w:rPr>
          <w:rFonts w:ascii="Book Antiqua" w:eastAsia="SimSun" w:hAnsi="Book Antiqua"/>
          <w:bCs/>
          <w:szCs w:val="24"/>
          <w:lang w:eastAsia="zh-CN"/>
        </w:rPr>
        <w:t>Chen K</w:t>
      </w:r>
      <w:r w:rsidRPr="00F12AFF">
        <w:rPr>
          <w:rFonts w:ascii="Book Antiqua" w:hAnsi="Book Antiqua"/>
          <w:b/>
          <w:bCs/>
          <w:szCs w:val="24"/>
        </w:rPr>
        <w:t xml:space="preserve">   L-Editor</w:t>
      </w:r>
      <w:r w:rsidRPr="00F12AFF">
        <w:rPr>
          <w:rFonts w:ascii="Book Antiqua" w:eastAsia="SimSun" w:hAnsi="Book Antiqua"/>
          <w:b/>
          <w:bCs/>
          <w:szCs w:val="24"/>
          <w:lang w:eastAsia="zh-CN"/>
        </w:rPr>
        <w:t>:</w:t>
      </w:r>
      <w:r w:rsidRPr="00F12AFF">
        <w:rPr>
          <w:rFonts w:ascii="Book Antiqua" w:hAnsi="Book Antiqua"/>
          <w:b/>
          <w:bCs/>
          <w:szCs w:val="24"/>
        </w:rPr>
        <w:t xml:space="preserve">   E-Editor</w:t>
      </w:r>
      <w:r w:rsidRPr="00F12AFF">
        <w:rPr>
          <w:rFonts w:ascii="Book Antiqua" w:eastAsia="SimSun" w:hAnsi="Book Antiqua"/>
          <w:b/>
          <w:bCs/>
          <w:szCs w:val="24"/>
          <w:lang w:eastAsia="zh-CN"/>
        </w:rPr>
        <w:t>:</w:t>
      </w:r>
    </w:p>
    <w:p w:rsidR="00A87838" w:rsidRPr="00F12AFF" w:rsidRDefault="00A87838" w:rsidP="00F12AFF">
      <w:pPr>
        <w:adjustRightInd w:val="0"/>
        <w:snapToGrid w:val="0"/>
        <w:spacing w:line="360" w:lineRule="auto"/>
        <w:jc w:val="both"/>
        <w:rPr>
          <w:rFonts w:ascii="Book Antiqua" w:hAnsi="Book Antiqua" w:cs="Helvetica"/>
          <w:b/>
          <w:sz w:val="24"/>
          <w:lang w:val="en-US"/>
        </w:rPr>
      </w:pPr>
      <w:r w:rsidRPr="00F12AFF">
        <w:rPr>
          <w:rFonts w:ascii="Book Antiqua" w:hAnsi="Book Antiqua" w:cs="Helvetica"/>
          <w:b/>
          <w:sz w:val="24"/>
          <w:lang w:val="en-US"/>
        </w:rPr>
        <w:t xml:space="preserve">Specialty type: </w:t>
      </w:r>
      <w:r w:rsidRPr="00F12AFF">
        <w:rPr>
          <w:rFonts w:ascii="Book Antiqua" w:hAnsi="Book Antiqua" w:cs="Helvetica"/>
          <w:sz w:val="24"/>
          <w:lang w:val="en-US"/>
        </w:rPr>
        <w:t>Gastroenterology and hepatology</w:t>
      </w:r>
    </w:p>
    <w:p w:rsidR="00A87838" w:rsidRPr="00F12AFF" w:rsidRDefault="00A87838" w:rsidP="00F12AFF">
      <w:pPr>
        <w:adjustRightInd w:val="0"/>
        <w:snapToGrid w:val="0"/>
        <w:spacing w:line="360" w:lineRule="auto"/>
        <w:jc w:val="both"/>
        <w:rPr>
          <w:rFonts w:ascii="Book Antiqua" w:hAnsi="Book Antiqua" w:cs="Helvetica"/>
          <w:b/>
          <w:sz w:val="24"/>
          <w:lang w:val="en-US"/>
        </w:rPr>
      </w:pPr>
      <w:r w:rsidRPr="00F12AFF">
        <w:rPr>
          <w:rFonts w:ascii="Book Antiqua" w:hAnsi="Book Antiqua" w:cs="Helvetica"/>
          <w:b/>
          <w:sz w:val="24"/>
          <w:lang w:val="en-US"/>
        </w:rPr>
        <w:t xml:space="preserve">Country of origin: </w:t>
      </w:r>
      <w:r w:rsidR="007E6F43" w:rsidRPr="00F12AFF">
        <w:rPr>
          <w:rFonts w:ascii="Book Antiqua" w:hAnsi="Book Antiqua" w:cs="Helvetica"/>
          <w:sz w:val="24"/>
          <w:lang w:val="en-US"/>
        </w:rPr>
        <w:t>Germany</w:t>
      </w:r>
    </w:p>
    <w:p w:rsidR="00A87838" w:rsidRPr="00F12AFF" w:rsidRDefault="00A87838" w:rsidP="00F12AFF">
      <w:pPr>
        <w:adjustRightInd w:val="0"/>
        <w:snapToGrid w:val="0"/>
        <w:spacing w:line="360" w:lineRule="auto"/>
        <w:jc w:val="both"/>
        <w:rPr>
          <w:rFonts w:ascii="Book Antiqua" w:hAnsi="Book Antiqua" w:cs="Helvetica"/>
          <w:b/>
          <w:sz w:val="24"/>
          <w:lang w:val="en-US"/>
        </w:rPr>
      </w:pPr>
      <w:r w:rsidRPr="00F12AFF">
        <w:rPr>
          <w:rFonts w:ascii="Book Antiqua" w:hAnsi="Book Antiqua" w:cs="Helvetica"/>
          <w:b/>
          <w:sz w:val="24"/>
          <w:lang w:val="en-US"/>
        </w:rPr>
        <w:t>Peer-review report classification</w:t>
      </w:r>
    </w:p>
    <w:p w:rsidR="00A87838" w:rsidRPr="00F12AFF" w:rsidRDefault="00A87838" w:rsidP="00F12AFF">
      <w:pPr>
        <w:adjustRightInd w:val="0"/>
        <w:snapToGrid w:val="0"/>
        <w:spacing w:line="360" w:lineRule="auto"/>
        <w:jc w:val="both"/>
        <w:rPr>
          <w:rFonts w:ascii="Book Antiqua" w:hAnsi="Book Antiqua" w:cs="Helvetica"/>
          <w:sz w:val="24"/>
          <w:lang w:val="en-US"/>
        </w:rPr>
      </w:pPr>
      <w:r w:rsidRPr="00F12AFF">
        <w:rPr>
          <w:rFonts w:ascii="Book Antiqua" w:hAnsi="Book Antiqua" w:cs="Helvetica"/>
          <w:sz w:val="24"/>
          <w:lang w:val="en-US"/>
        </w:rPr>
        <w:t>Grade A (Excellent): 0</w:t>
      </w:r>
    </w:p>
    <w:p w:rsidR="00A87838" w:rsidRPr="00F12AFF" w:rsidRDefault="00A87838" w:rsidP="00F12AFF">
      <w:pPr>
        <w:adjustRightInd w:val="0"/>
        <w:snapToGrid w:val="0"/>
        <w:spacing w:line="360" w:lineRule="auto"/>
        <w:jc w:val="both"/>
        <w:rPr>
          <w:rFonts w:ascii="Book Antiqua" w:hAnsi="Book Antiqua" w:cs="Helvetica"/>
          <w:sz w:val="24"/>
          <w:lang w:val="en-US" w:eastAsia="zh-CN"/>
        </w:rPr>
      </w:pPr>
      <w:r w:rsidRPr="00F12AFF">
        <w:rPr>
          <w:rFonts w:ascii="Book Antiqua" w:hAnsi="Book Antiqua" w:cs="Helvetica"/>
          <w:sz w:val="24"/>
          <w:lang w:val="en-US"/>
        </w:rPr>
        <w:t xml:space="preserve">Grade B (Very good): </w:t>
      </w:r>
      <w:r w:rsidR="007E6F43" w:rsidRPr="00F12AFF">
        <w:rPr>
          <w:rFonts w:ascii="Book Antiqua" w:hAnsi="Book Antiqua" w:cs="Helvetica"/>
          <w:sz w:val="24"/>
          <w:lang w:val="en-US" w:eastAsia="zh-CN"/>
        </w:rPr>
        <w:t>B</w:t>
      </w:r>
    </w:p>
    <w:p w:rsidR="00A87838" w:rsidRPr="00F12AFF" w:rsidRDefault="00A87838" w:rsidP="00F12AFF">
      <w:pPr>
        <w:adjustRightInd w:val="0"/>
        <w:snapToGrid w:val="0"/>
        <w:spacing w:line="360" w:lineRule="auto"/>
        <w:jc w:val="both"/>
        <w:rPr>
          <w:rFonts w:ascii="Book Antiqua" w:hAnsi="Book Antiqua" w:cs="Helvetica"/>
          <w:sz w:val="24"/>
          <w:lang w:val="en-US" w:eastAsia="zh-CN"/>
        </w:rPr>
      </w:pPr>
      <w:r w:rsidRPr="00F12AFF">
        <w:rPr>
          <w:rFonts w:ascii="Book Antiqua" w:hAnsi="Book Antiqua" w:cs="Helvetica"/>
          <w:sz w:val="24"/>
          <w:lang w:val="en-US"/>
        </w:rPr>
        <w:t xml:space="preserve">Grade C (Good): </w:t>
      </w:r>
      <w:r w:rsidR="007E6F43" w:rsidRPr="00F12AFF">
        <w:rPr>
          <w:rFonts w:ascii="Book Antiqua" w:hAnsi="Book Antiqua" w:cs="Helvetica"/>
          <w:sz w:val="24"/>
          <w:lang w:val="en-US" w:eastAsia="zh-CN"/>
        </w:rPr>
        <w:t>C, C</w:t>
      </w:r>
    </w:p>
    <w:p w:rsidR="00A87838" w:rsidRPr="00F12AFF" w:rsidRDefault="00A87838" w:rsidP="00F12AFF">
      <w:pPr>
        <w:adjustRightInd w:val="0"/>
        <w:snapToGrid w:val="0"/>
        <w:spacing w:line="360" w:lineRule="auto"/>
        <w:jc w:val="both"/>
        <w:rPr>
          <w:rFonts w:ascii="Book Antiqua" w:hAnsi="Book Antiqua" w:cs="Helvetica"/>
          <w:sz w:val="24"/>
          <w:lang w:val="en-US" w:eastAsia="zh-CN"/>
        </w:rPr>
      </w:pPr>
      <w:r w:rsidRPr="00F12AFF">
        <w:rPr>
          <w:rFonts w:ascii="Book Antiqua" w:hAnsi="Book Antiqua" w:cs="Helvetica"/>
          <w:sz w:val="24"/>
          <w:lang w:val="en-US"/>
        </w:rPr>
        <w:t xml:space="preserve">Grade D (Fair): </w:t>
      </w:r>
      <w:r w:rsidR="007E6F43" w:rsidRPr="00F12AFF">
        <w:rPr>
          <w:rFonts w:ascii="Book Antiqua" w:hAnsi="Book Antiqua" w:cs="Helvetica"/>
          <w:sz w:val="24"/>
          <w:lang w:val="en-US" w:eastAsia="zh-CN"/>
        </w:rPr>
        <w:t>D</w:t>
      </w:r>
    </w:p>
    <w:p w:rsidR="00A87838" w:rsidRPr="00F12AFF" w:rsidRDefault="00A87838" w:rsidP="00F12AFF">
      <w:pPr>
        <w:adjustRightInd w:val="0"/>
        <w:snapToGrid w:val="0"/>
        <w:spacing w:line="360" w:lineRule="auto"/>
        <w:jc w:val="both"/>
        <w:rPr>
          <w:rFonts w:ascii="Book Antiqua" w:hAnsi="Book Antiqua" w:cs="Helvetica"/>
          <w:sz w:val="24"/>
          <w:lang w:val="en-US"/>
        </w:rPr>
      </w:pPr>
      <w:r w:rsidRPr="00F12AFF">
        <w:rPr>
          <w:rFonts w:ascii="Book Antiqua" w:hAnsi="Book Antiqua" w:cs="Helvetica"/>
          <w:sz w:val="24"/>
          <w:lang w:val="en-US"/>
        </w:rPr>
        <w:t>Grade E (Poor): 0</w:t>
      </w:r>
      <w:bookmarkEnd w:id="41"/>
      <w:bookmarkEnd w:id="42"/>
      <w:bookmarkEnd w:id="43"/>
    </w:p>
    <w:bookmarkEnd w:id="44"/>
    <w:bookmarkEnd w:id="45"/>
    <w:p w:rsidR="00A87838" w:rsidRPr="00F12AFF" w:rsidRDefault="00A87838" w:rsidP="00F12AFF">
      <w:pPr>
        <w:pStyle w:val="NormalWeb"/>
        <w:adjustRightInd w:val="0"/>
        <w:snapToGrid w:val="0"/>
        <w:spacing w:before="0" w:beforeAutospacing="0" w:after="0" w:afterAutospacing="0" w:line="360" w:lineRule="auto"/>
        <w:jc w:val="both"/>
        <w:rPr>
          <w:rFonts w:ascii="Book Antiqua" w:hAnsi="Book Antiqua" w:cs="Arial"/>
          <w:lang w:val="en-US" w:eastAsia="zh-CN"/>
        </w:rPr>
      </w:pPr>
    </w:p>
    <w:p w:rsidR="00A227D3" w:rsidRPr="00F12AFF" w:rsidRDefault="00A227D3" w:rsidP="00F12AFF">
      <w:pPr>
        <w:adjustRightInd w:val="0"/>
        <w:snapToGrid w:val="0"/>
        <w:spacing w:line="360" w:lineRule="auto"/>
        <w:jc w:val="both"/>
        <w:rPr>
          <w:rFonts w:ascii="Book Antiqua" w:hAnsi="Book Antiqua" w:cs="Arial"/>
          <w:sz w:val="24"/>
          <w:lang w:val="en-GB"/>
        </w:rPr>
      </w:pPr>
      <w:r w:rsidRPr="00F12AFF">
        <w:rPr>
          <w:rFonts w:ascii="Book Antiqua" w:hAnsi="Book Antiqua" w:cs="Arial"/>
          <w:sz w:val="24"/>
          <w:lang w:val="en-GB"/>
        </w:rPr>
        <w:br w:type="page"/>
      </w:r>
    </w:p>
    <w:p w:rsidR="007B325B" w:rsidRPr="00F12AFF" w:rsidRDefault="00B55543" w:rsidP="00F12AFF">
      <w:pPr>
        <w:pStyle w:val="NormalWeb"/>
        <w:adjustRightInd w:val="0"/>
        <w:snapToGrid w:val="0"/>
        <w:spacing w:before="0" w:beforeAutospacing="0" w:after="0" w:afterAutospacing="0" w:line="360" w:lineRule="auto"/>
        <w:jc w:val="both"/>
        <w:rPr>
          <w:rFonts w:ascii="Book Antiqua" w:hAnsi="Book Antiqua" w:cs="Arial"/>
          <w:lang w:val="en-GB" w:eastAsia="zh-CN"/>
        </w:rPr>
      </w:pPr>
      <w:r w:rsidRPr="00F12AFF">
        <w:rPr>
          <w:rFonts w:ascii="Book Antiqua" w:hAnsi="Book Antiqua"/>
          <w:noProof/>
          <w:lang w:val="en-US" w:eastAsia="zh-CN"/>
        </w:rPr>
        <w:lastRenderedPageBreak/>
        <w:drawing>
          <wp:inline distT="0" distB="0" distL="0" distR="0" wp14:anchorId="17F4F82D" wp14:editId="2BE1A28D">
            <wp:extent cx="5314950" cy="3441700"/>
            <wp:effectExtent l="0" t="0" r="0" b="6350"/>
            <wp:docPr id="1" name="Bild 1" descr="Soeder_umb_v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eder_umb_ve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4950" cy="3441700"/>
                    </a:xfrm>
                    <a:prstGeom prst="rect">
                      <a:avLst/>
                    </a:prstGeom>
                    <a:noFill/>
                    <a:ln>
                      <a:noFill/>
                    </a:ln>
                  </pic:spPr>
                </pic:pic>
              </a:graphicData>
            </a:graphic>
          </wp:inline>
        </w:drawing>
      </w:r>
    </w:p>
    <w:p w:rsidR="007B325B" w:rsidRPr="00F12AFF" w:rsidRDefault="00C06933" w:rsidP="00F12AFF">
      <w:pPr>
        <w:adjustRightInd w:val="0"/>
        <w:snapToGrid w:val="0"/>
        <w:spacing w:line="360" w:lineRule="auto"/>
        <w:jc w:val="both"/>
        <w:rPr>
          <w:rFonts w:ascii="Book Antiqua" w:hAnsi="Book Antiqua"/>
          <w:b/>
          <w:sz w:val="24"/>
          <w:lang w:val="en-GB" w:eastAsia="zh-CN"/>
        </w:rPr>
      </w:pPr>
      <w:r w:rsidRPr="00F12AFF">
        <w:rPr>
          <w:rFonts w:ascii="Book Antiqua" w:hAnsi="Book Antiqua"/>
          <w:b/>
          <w:sz w:val="24"/>
          <w:lang w:val="en-GB"/>
        </w:rPr>
        <w:t xml:space="preserve">Figure </w:t>
      </w:r>
      <w:r w:rsidR="001A0EC2" w:rsidRPr="00F12AFF">
        <w:rPr>
          <w:rFonts w:ascii="Book Antiqua" w:hAnsi="Book Antiqua"/>
          <w:b/>
          <w:sz w:val="24"/>
          <w:lang w:val="en-GB"/>
        </w:rPr>
        <w:t xml:space="preserve">1 </w:t>
      </w:r>
      <w:r w:rsidR="007B325B" w:rsidRPr="00F12AFF">
        <w:rPr>
          <w:rFonts w:ascii="Book Antiqua" w:hAnsi="Book Antiqua"/>
          <w:b/>
          <w:sz w:val="24"/>
          <w:lang w:val="en-GB"/>
        </w:rPr>
        <w:t xml:space="preserve">Time-resolved 3D </w:t>
      </w:r>
      <w:r w:rsidR="00167461" w:rsidRPr="00F12AFF">
        <w:rPr>
          <w:rFonts w:ascii="Book Antiqua" w:hAnsi="Book Antiqua"/>
          <w:b/>
          <w:sz w:val="24"/>
          <w:lang w:val="en-GB"/>
        </w:rPr>
        <w:t>MRI image</w:t>
      </w:r>
      <w:r w:rsidR="007B325B" w:rsidRPr="00F12AFF">
        <w:rPr>
          <w:rFonts w:ascii="Book Antiqua" w:hAnsi="Book Antiqua"/>
          <w:b/>
          <w:sz w:val="24"/>
          <w:lang w:val="en-GB"/>
        </w:rPr>
        <w:t xml:space="preserve"> show</w:t>
      </w:r>
      <w:r w:rsidR="00167461" w:rsidRPr="00F12AFF">
        <w:rPr>
          <w:rFonts w:ascii="Book Antiqua" w:hAnsi="Book Antiqua"/>
          <w:b/>
          <w:sz w:val="24"/>
          <w:lang w:val="en-GB"/>
        </w:rPr>
        <w:t>s</w:t>
      </w:r>
      <w:r w:rsidR="007B325B" w:rsidRPr="00F12AFF">
        <w:rPr>
          <w:rFonts w:ascii="Book Antiqua" w:hAnsi="Book Antiqua"/>
          <w:b/>
          <w:sz w:val="24"/>
          <w:lang w:val="en-GB"/>
        </w:rPr>
        <w:t xml:space="preserve"> prograde blood flow in the extrahepatic portal venous system and a recanalization of the umbilical vein with flow over the left branch of the intrahepatic portal vein.</w:t>
      </w:r>
      <w:r w:rsidR="007E6F43" w:rsidRPr="00F12AFF">
        <w:rPr>
          <w:rFonts w:ascii="Book Antiqua" w:hAnsi="Book Antiqua"/>
          <w:b/>
          <w:sz w:val="24"/>
          <w:lang w:val="en-GB" w:eastAsia="zh-CN"/>
        </w:rPr>
        <w:t xml:space="preserve"> </w:t>
      </w:r>
      <w:r w:rsidR="007B325B" w:rsidRPr="00F12AFF">
        <w:rPr>
          <w:rFonts w:ascii="Book Antiqua" w:hAnsi="Book Antiqua"/>
          <w:sz w:val="24"/>
          <w:lang w:val="it-IT"/>
        </w:rPr>
        <w:t>PV</w:t>
      </w:r>
      <w:r w:rsidR="007E6F43" w:rsidRPr="00F12AFF">
        <w:rPr>
          <w:rFonts w:ascii="Book Antiqua" w:hAnsi="Book Antiqua"/>
          <w:sz w:val="24"/>
          <w:lang w:val="it-IT" w:eastAsia="zh-CN"/>
        </w:rPr>
        <w:t xml:space="preserve">: </w:t>
      </w:r>
      <w:r w:rsidR="007E6F43" w:rsidRPr="00F12AFF">
        <w:rPr>
          <w:rFonts w:ascii="Book Antiqua" w:hAnsi="Book Antiqua"/>
          <w:sz w:val="24"/>
          <w:lang w:val="it-IT"/>
        </w:rPr>
        <w:t>Portal vein.</w:t>
      </w:r>
      <w:r w:rsidR="007E6F43" w:rsidRPr="00F12AFF">
        <w:rPr>
          <w:rFonts w:ascii="Book Antiqua" w:hAnsi="Book Antiqua"/>
          <w:sz w:val="24"/>
          <w:lang w:val="it-IT" w:eastAsia="zh-CN"/>
        </w:rPr>
        <w:t xml:space="preserve">; </w:t>
      </w:r>
      <w:r w:rsidR="007B325B" w:rsidRPr="00F12AFF">
        <w:rPr>
          <w:rFonts w:ascii="Book Antiqua" w:hAnsi="Book Antiqua"/>
          <w:sz w:val="24"/>
          <w:lang w:val="it-IT"/>
        </w:rPr>
        <w:t>smv</w:t>
      </w:r>
      <w:r w:rsidR="007E6F43" w:rsidRPr="00F12AFF">
        <w:rPr>
          <w:rFonts w:ascii="Book Antiqua" w:hAnsi="Book Antiqua"/>
          <w:sz w:val="24"/>
          <w:lang w:val="it-IT" w:eastAsia="zh-CN"/>
        </w:rPr>
        <w:t xml:space="preserve">: </w:t>
      </w:r>
      <w:r w:rsidR="007E6F43" w:rsidRPr="00F12AFF">
        <w:rPr>
          <w:rFonts w:ascii="Book Antiqua" w:hAnsi="Book Antiqua"/>
          <w:sz w:val="24"/>
          <w:lang w:val="it-IT"/>
        </w:rPr>
        <w:t>S</w:t>
      </w:r>
      <w:r w:rsidR="007B325B" w:rsidRPr="00F12AFF">
        <w:rPr>
          <w:rFonts w:ascii="Book Antiqua" w:hAnsi="Book Antiqua"/>
          <w:sz w:val="24"/>
          <w:lang w:val="it-IT"/>
        </w:rPr>
        <w:t>uperior mesenteric vein</w:t>
      </w:r>
      <w:r w:rsidR="007E6F43" w:rsidRPr="00F12AFF">
        <w:rPr>
          <w:rFonts w:ascii="Book Antiqua" w:hAnsi="Book Antiqua"/>
          <w:sz w:val="24"/>
          <w:lang w:val="it-IT" w:eastAsia="zh-CN"/>
        </w:rPr>
        <w:t>.</w:t>
      </w:r>
    </w:p>
    <w:p w:rsidR="001A0EC2" w:rsidRPr="00F12AFF" w:rsidRDefault="001A0EC2" w:rsidP="00F12AFF">
      <w:pPr>
        <w:adjustRightInd w:val="0"/>
        <w:snapToGrid w:val="0"/>
        <w:spacing w:line="360" w:lineRule="auto"/>
        <w:jc w:val="both"/>
        <w:rPr>
          <w:rFonts w:ascii="Book Antiqua" w:hAnsi="Book Antiqua"/>
          <w:sz w:val="24"/>
          <w:lang w:val="it-IT"/>
        </w:rPr>
      </w:pPr>
      <w:r w:rsidRPr="00F12AFF">
        <w:rPr>
          <w:rFonts w:ascii="Book Antiqua" w:hAnsi="Book Antiqua"/>
          <w:sz w:val="24"/>
          <w:lang w:val="it-IT"/>
        </w:rPr>
        <w:br w:type="page"/>
      </w:r>
    </w:p>
    <w:p w:rsidR="001A0EC2" w:rsidRPr="00F12AFF" w:rsidRDefault="001A0EC2" w:rsidP="00F12AFF">
      <w:pPr>
        <w:adjustRightInd w:val="0"/>
        <w:snapToGrid w:val="0"/>
        <w:spacing w:line="360" w:lineRule="auto"/>
        <w:jc w:val="both"/>
        <w:rPr>
          <w:rFonts w:ascii="Book Antiqua" w:hAnsi="Book Antiqua"/>
          <w:b/>
          <w:sz w:val="24"/>
          <w:lang w:val="it-IT" w:eastAsia="zh-CN"/>
        </w:rPr>
      </w:pPr>
      <w:r w:rsidRPr="00F12AFF">
        <w:rPr>
          <w:rFonts w:ascii="Book Antiqua" w:hAnsi="Book Antiqua"/>
          <w:b/>
          <w:noProof/>
          <w:sz w:val="24"/>
          <w:lang w:val="en-US" w:eastAsia="zh-CN"/>
        </w:rPr>
        <w:lastRenderedPageBreak/>
        <w:drawing>
          <wp:inline distT="0" distB="0" distL="0" distR="0" wp14:anchorId="0A25CAA6" wp14:editId="66DC0A75">
            <wp:extent cx="4572635" cy="34296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7B325B" w:rsidRPr="00F12AFF" w:rsidRDefault="001A0EC2" w:rsidP="00F12AFF">
      <w:pPr>
        <w:adjustRightInd w:val="0"/>
        <w:snapToGrid w:val="0"/>
        <w:spacing w:line="360" w:lineRule="auto"/>
        <w:jc w:val="both"/>
        <w:rPr>
          <w:rFonts w:ascii="Book Antiqua" w:hAnsi="Book Antiqua"/>
          <w:sz w:val="24"/>
          <w:lang w:val="it-IT"/>
        </w:rPr>
      </w:pPr>
      <w:r w:rsidRPr="00F12AFF">
        <w:rPr>
          <w:rFonts w:ascii="Book Antiqua" w:hAnsi="Book Antiqua"/>
          <w:b/>
          <w:sz w:val="24"/>
          <w:lang w:val="it-IT"/>
        </w:rPr>
        <w:t xml:space="preserve">Figure 2 </w:t>
      </w:r>
      <w:r w:rsidR="00DD479A" w:rsidRPr="00F12AFF">
        <w:rPr>
          <w:rFonts w:ascii="Book Antiqua" w:hAnsi="Book Antiqua" w:cs="Arial"/>
          <w:b/>
          <w:sz w:val="24"/>
          <w:lang w:val="en-GB"/>
        </w:rPr>
        <w:t>Distal aspect of the</w:t>
      </w:r>
      <w:r w:rsidRPr="00F12AFF">
        <w:rPr>
          <w:rFonts w:ascii="Book Antiqua" w:hAnsi="Book Antiqua" w:cs="Arial"/>
          <w:b/>
          <w:sz w:val="24"/>
          <w:lang w:val="en-GB"/>
        </w:rPr>
        <w:t xml:space="preserve"> esophagus </w:t>
      </w:r>
      <w:r w:rsidR="00891FCA" w:rsidRPr="00F12AFF">
        <w:rPr>
          <w:rFonts w:ascii="Book Antiqua" w:hAnsi="Book Antiqua" w:cs="Arial"/>
          <w:b/>
          <w:sz w:val="24"/>
          <w:lang w:val="en-GB"/>
        </w:rPr>
        <w:t>(12/2016).</w:t>
      </w:r>
      <w:r w:rsidR="00891FCA" w:rsidRPr="00F12AFF">
        <w:rPr>
          <w:rFonts w:ascii="Book Antiqua" w:hAnsi="Book Antiqua" w:cs="Arial"/>
          <w:sz w:val="24"/>
          <w:lang w:val="en-GB"/>
        </w:rPr>
        <w:t xml:space="preserve"> Endoscopy shows scarring </w:t>
      </w:r>
      <w:r w:rsidRPr="00F12AFF">
        <w:rPr>
          <w:rFonts w:ascii="Book Antiqua" w:hAnsi="Book Antiqua" w:cs="Arial"/>
          <w:sz w:val="24"/>
          <w:lang w:val="en-GB"/>
        </w:rPr>
        <w:t>in the distal esophagus caused by sclerosing and ban</w:t>
      </w:r>
      <w:r w:rsidR="00891FCA" w:rsidRPr="00F12AFF">
        <w:rPr>
          <w:rFonts w:ascii="Book Antiqua" w:hAnsi="Book Antiqua" w:cs="Arial"/>
          <w:sz w:val="24"/>
          <w:lang w:val="en-GB"/>
        </w:rPr>
        <w:t xml:space="preserve">ding, the </w:t>
      </w:r>
      <w:r w:rsidR="0008685F" w:rsidRPr="00F12AFF">
        <w:rPr>
          <w:rFonts w:ascii="Book Antiqua" w:hAnsi="Book Antiqua" w:cs="Arial"/>
          <w:sz w:val="24"/>
          <w:lang w:val="en-GB"/>
        </w:rPr>
        <w:t>old</w:t>
      </w:r>
      <w:r w:rsidR="00891FCA" w:rsidRPr="00F12AFF">
        <w:rPr>
          <w:rFonts w:ascii="Book Antiqua" w:hAnsi="Book Antiqua" w:cs="Arial"/>
          <w:sz w:val="24"/>
          <w:lang w:val="en-GB"/>
        </w:rPr>
        <w:t xml:space="preserve"> varices remain</w:t>
      </w:r>
      <w:r w:rsidRPr="00F12AFF">
        <w:rPr>
          <w:rFonts w:ascii="Book Antiqua" w:hAnsi="Book Antiqua" w:cs="Arial"/>
          <w:sz w:val="24"/>
          <w:lang w:val="en-GB"/>
        </w:rPr>
        <w:t xml:space="preserve"> thrombosed</w:t>
      </w:r>
      <w:r w:rsidR="00891FCA" w:rsidRPr="00F12AFF">
        <w:rPr>
          <w:rFonts w:ascii="Book Antiqua" w:hAnsi="Book Antiqua" w:cs="Arial"/>
          <w:sz w:val="24"/>
          <w:lang w:val="en-GB"/>
        </w:rPr>
        <w:t>.</w:t>
      </w:r>
    </w:p>
    <w:p w:rsidR="001A0EC2" w:rsidRPr="00F12AFF" w:rsidRDefault="001A0EC2" w:rsidP="00F12AFF">
      <w:pPr>
        <w:adjustRightInd w:val="0"/>
        <w:snapToGrid w:val="0"/>
        <w:spacing w:line="360" w:lineRule="auto"/>
        <w:jc w:val="both"/>
        <w:rPr>
          <w:rFonts w:ascii="Book Antiqua" w:hAnsi="Book Antiqua"/>
          <w:b/>
          <w:sz w:val="24"/>
          <w:lang w:val="it-IT"/>
        </w:rPr>
      </w:pPr>
      <w:r w:rsidRPr="00F12AFF">
        <w:rPr>
          <w:rFonts w:ascii="Book Antiqua" w:hAnsi="Book Antiqua"/>
          <w:b/>
          <w:sz w:val="24"/>
          <w:lang w:val="it-IT"/>
        </w:rPr>
        <w:br w:type="page"/>
      </w:r>
    </w:p>
    <w:p w:rsidR="001A0EC2" w:rsidRPr="00F12AFF" w:rsidRDefault="001A0EC2" w:rsidP="00F12AFF">
      <w:pPr>
        <w:adjustRightInd w:val="0"/>
        <w:snapToGrid w:val="0"/>
        <w:spacing w:line="360" w:lineRule="auto"/>
        <w:jc w:val="both"/>
        <w:rPr>
          <w:rFonts w:ascii="Book Antiqua" w:hAnsi="Book Antiqua"/>
          <w:b/>
          <w:sz w:val="24"/>
          <w:lang w:val="it-IT"/>
        </w:rPr>
      </w:pPr>
    </w:p>
    <w:p w:rsidR="001A0EC2" w:rsidRPr="00F12AFF" w:rsidRDefault="001A0EC2" w:rsidP="00F12AFF">
      <w:pPr>
        <w:adjustRightInd w:val="0"/>
        <w:snapToGrid w:val="0"/>
        <w:spacing w:line="360" w:lineRule="auto"/>
        <w:jc w:val="both"/>
        <w:rPr>
          <w:rFonts w:ascii="Book Antiqua" w:hAnsi="Book Antiqua"/>
          <w:b/>
          <w:sz w:val="24"/>
          <w:lang w:val="it-IT"/>
        </w:rPr>
      </w:pPr>
      <w:r w:rsidRPr="00F12AFF">
        <w:rPr>
          <w:rFonts w:ascii="Book Antiqua" w:hAnsi="Book Antiqua"/>
          <w:b/>
          <w:noProof/>
          <w:sz w:val="24"/>
          <w:lang w:val="en-US" w:eastAsia="zh-CN"/>
        </w:rPr>
        <w:drawing>
          <wp:inline distT="0" distB="0" distL="0" distR="0" wp14:anchorId="228A27A3" wp14:editId="291F58BB">
            <wp:extent cx="4572635" cy="342963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rsidR="001A0EC2" w:rsidRPr="00F12AFF" w:rsidRDefault="001A0EC2" w:rsidP="00F12AFF">
      <w:pPr>
        <w:adjustRightInd w:val="0"/>
        <w:snapToGrid w:val="0"/>
        <w:spacing w:line="360" w:lineRule="auto"/>
        <w:jc w:val="both"/>
        <w:rPr>
          <w:rFonts w:ascii="Book Antiqua" w:hAnsi="Book Antiqua"/>
          <w:b/>
          <w:sz w:val="24"/>
          <w:lang w:val="it-IT"/>
        </w:rPr>
      </w:pPr>
    </w:p>
    <w:p w:rsidR="001A0EC2" w:rsidRPr="00F12AFF" w:rsidRDefault="001A0EC2" w:rsidP="00F12AFF">
      <w:pPr>
        <w:adjustRightInd w:val="0"/>
        <w:snapToGrid w:val="0"/>
        <w:spacing w:line="360" w:lineRule="auto"/>
        <w:jc w:val="both"/>
        <w:rPr>
          <w:rFonts w:ascii="Book Antiqua" w:hAnsi="Book Antiqua"/>
          <w:b/>
          <w:sz w:val="24"/>
          <w:lang w:val="it-IT" w:eastAsia="zh-CN"/>
        </w:rPr>
      </w:pPr>
      <w:r w:rsidRPr="00F12AFF">
        <w:rPr>
          <w:rFonts w:ascii="Book Antiqua" w:hAnsi="Book Antiqua"/>
          <w:b/>
          <w:sz w:val="24"/>
          <w:lang w:val="it-IT"/>
        </w:rPr>
        <w:t>A</w:t>
      </w:r>
      <w:r w:rsidRPr="00F12AFF">
        <w:rPr>
          <w:rFonts w:ascii="Book Antiqua" w:hAnsi="Book Antiqua"/>
          <w:b/>
          <w:sz w:val="24"/>
          <w:lang w:val="it-IT"/>
        </w:rPr>
        <w:tab/>
      </w:r>
      <w:r w:rsidRPr="00F12AFF">
        <w:rPr>
          <w:rFonts w:ascii="Book Antiqua" w:hAnsi="Book Antiqua"/>
          <w:b/>
          <w:sz w:val="24"/>
          <w:lang w:val="it-IT"/>
        </w:rPr>
        <w:tab/>
      </w:r>
      <w:r w:rsidRPr="00F12AFF">
        <w:rPr>
          <w:rFonts w:ascii="Book Antiqua" w:hAnsi="Book Antiqua"/>
          <w:b/>
          <w:sz w:val="24"/>
          <w:lang w:val="it-IT"/>
        </w:rPr>
        <w:tab/>
      </w:r>
      <w:r w:rsidRPr="00F12AFF">
        <w:rPr>
          <w:rFonts w:ascii="Book Antiqua" w:hAnsi="Book Antiqua"/>
          <w:b/>
          <w:sz w:val="24"/>
          <w:lang w:val="it-IT"/>
        </w:rPr>
        <w:tab/>
      </w:r>
      <w:r w:rsidRPr="00F12AFF">
        <w:rPr>
          <w:rFonts w:ascii="Book Antiqua" w:hAnsi="Book Antiqua"/>
          <w:b/>
          <w:sz w:val="24"/>
          <w:lang w:val="it-IT"/>
        </w:rPr>
        <w:tab/>
      </w:r>
      <w:r w:rsidRPr="00F12AFF">
        <w:rPr>
          <w:rFonts w:ascii="Book Antiqua" w:hAnsi="Book Antiqua"/>
          <w:b/>
          <w:sz w:val="24"/>
          <w:lang w:val="it-IT"/>
        </w:rPr>
        <w:tab/>
        <w:t>B</w:t>
      </w:r>
    </w:p>
    <w:p w:rsidR="00057A6B" w:rsidRPr="00F12AFF" w:rsidRDefault="001A0EC2" w:rsidP="00F12AFF">
      <w:pPr>
        <w:adjustRightInd w:val="0"/>
        <w:snapToGrid w:val="0"/>
        <w:spacing w:line="360" w:lineRule="auto"/>
        <w:jc w:val="both"/>
        <w:rPr>
          <w:rFonts w:ascii="Book Antiqua" w:hAnsi="Book Antiqua"/>
          <w:sz w:val="24"/>
          <w:lang w:val="en-GB"/>
        </w:rPr>
      </w:pPr>
      <w:r w:rsidRPr="00F12AFF">
        <w:rPr>
          <w:rFonts w:ascii="Book Antiqua" w:hAnsi="Book Antiqua"/>
          <w:b/>
          <w:sz w:val="24"/>
          <w:lang w:val="it-IT"/>
        </w:rPr>
        <w:t>Figure 3 Computer tomographic angiography of the abdomen (09/2017).</w:t>
      </w:r>
      <w:r w:rsidR="004579EF" w:rsidRPr="00F12AFF">
        <w:rPr>
          <w:rFonts w:ascii="Book Antiqua" w:hAnsi="Book Antiqua"/>
          <w:b/>
          <w:sz w:val="24"/>
          <w:lang w:val="it-IT" w:eastAsia="zh-CN"/>
        </w:rPr>
        <w:t xml:space="preserve"> </w:t>
      </w:r>
      <w:r w:rsidR="00891FCA" w:rsidRPr="00F12AFF">
        <w:rPr>
          <w:rFonts w:ascii="Book Antiqua" w:hAnsi="Book Antiqua"/>
          <w:sz w:val="24"/>
          <w:lang w:val="en-GB"/>
        </w:rPr>
        <w:t>These</w:t>
      </w:r>
      <w:r w:rsidRPr="00F12AFF">
        <w:rPr>
          <w:rFonts w:ascii="Book Antiqua" w:hAnsi="Book Antiqua"/>
          <w:sz w:val="24"/>
          <w:lang w:val="en-GB"/>
        </w:rPr>
        <w:t xml:space="preserve"> </w:t>
      </w:r>
      <w:r w:rsidR="00891FCA" w:rsidRPr="00F12AFF">
        <w:rPr>
          <w:rFonts w:ascii="Book Antiqua" w:hAnsi="Book Antiqua"/>
          <w:sz w:val="24"/>
          <w:lang w:val="en-GB"/>
        </w:rPr>
        <w:t>sections show</w:t>
      </w:r>
      <w:r w:rsidRPr="00F12AFF">
        <w:rPr>
          <w:rFonts w:ascii="Book Antiqua" w:hAnsi="Book Antiqua"/>
          <w:sz w:val="24"/>
          <w:lang w:val="en-GB"/>
        </w:rPr>
        <w:t xml:space="preserve"> the </w:t>
      </w:r>
      <w:r w:rsidR="004579EF" w:rsidRPr="00F12AFF">
        <w:rPr>
          <w:rFonts w:ascii="Book Antiqua" w:hAnsi="Book Antiqua"/>
          <w:sz w:val="24"/>
          <w:lang w:val="en-GB"/>
        </w:rPr>
        <w:t xml:space="preserve">normal </w:t>
      </w:r>
      <w:r w:rsidRPr="00F12AFF">
        <w:rPr>
          <w:rFonts w:ascii="Book Antiqua" w:hAnsi="Book Antiqua"/>
          <w:sz w:val="24"/>
          <w:lang w:val="en-GB"/>
        </w:rPr>
        <w:t>size</w:t>
      </w:r>
      <w:r w:rsidR="00167461" w:rsidRPr="00F12AFF">
        <w:rPr>
          <w:rFonts w:ascii="Book Antiqua" w:hAnsi="Book Antiqua"/>
          <w:sz w:val="24"/>
          <w:lang w:val="en-GB"/>
        </w:rPr>
        <w:t>d-</w:t>
      </w:r>
      <w:r w:rsidRPr="00F12AFF">
        <w:rPr>
          <w:rFonts w:ascii="Book Antiqua" w:hAnsi="Book Antiqua"/>
          <w:sz w:val="24"/>
          <w:lang w:val="en-GB"/>
        </w:rPr>
        <w:t>cirrhotic liver</w:t>
      </w:r>
      <w:r w:rsidR="00C06933" w:rsidRPr="00F12AFF">
        <w:rPr>
          <w:rFonts w:ascii="Book Antiqua" w:hAnsi="Book Antiqua"/>
          <w:sz w:val="24"/>
          <w:lang w:val="en-GB"/>
        </w:rPr>
        <w:t xml:space="preserve"> with the portal vein draining blood in prograde direction (solid arrow). The spleen is considerably enlarged. There is a collateral blood flow originating from the sple</w:t>
      </w:r>
      <w:r w:rsidR="0008685F" w:rsidRPr="00F12AFF">
        <w:rPr>
          <w:rFonts w:ascii="Book Antiqua" w:hAnsi="Book Antiqua"/>
          <w:sz w:val="24"/>
          <w:lang w:val="en-GB"/>
        </w:rPr>
        <w:t>nic hilus via an enlarged ovarian</w:t>
      </w:r>
      <w:r w:rsidR="00C06933" w:rsidRPr="00F12AFF">
        <w:rPr>
          <w:rFonts w:ascii="Book Antiqua" w:hAnsi="Book Antiqua"/>
          <w:sz w:val="24"/>
          <w:lang w:val="en-GB"/>
        </w:rPr>
        <w:t xml:space="preserve"> vein to the pelvis (dashed arrows).</w:t>
      </w:r>
    </w:p>
    <w:p w:rsidR="00057A6B" w:rsidRPr="00F12AFF" w:rsidRDefault="00057A6B" w:rsidP="00F12AFF">
      <w:pPr>
        <w:adjustRightInd w:val="0"/>
        <w:snapToGrid w:val="0"/>
        <w:spacing w:line="360" w:lineRule="auto"/>
        <w:jc w:val="both"/>
        <w:rPr>
          <w:rFonts w:ascii="Book Antiqua" w:hAnsi="Book Antiqua"/>
          <w:sz w:val="24"/>
          <w:lang w:val="en-GB"/>
        </w:rPr>
        <w:sectPr w:rsidR="00057A6B" w:rsidRPr="00F12AFF">
          <w:pgSz w:w="11906" w:h="16838"/>
          <w:pgMar w:top="1417" w:right="1417" w:bottom="1134" w:left="1417" w:header="708" w:footer="708" w:gutter="0"/>
          <w:cols w:space="708"/>
          <w:docGrid w:linePitch="360"/>
        </w:sectPr>
      </w:pPr>
      <w:r w:rsidRPr="00F12AFF">
        <w:rPr>
          <w:rFonts w:ascii="Book Antiqua" w:hAnsi="Book Antiqua"/>
          <w:sz w:val="24"/>
          <w:lang w:val="en-GB"/>
        </w:rPr>
        <w:br w:type="page"/>
      </w:r>
    </w:p>
    <w:p w:rsidR="00057A6B" w:rsidRPr="00F12AFF" w:rsidRDefault="00057A6B" w:rsidP="00F12AFF">
      <w:pPr>
        <w:adjustRightInd w:val="0"/>
        <w:snapToGrid w:val="0"/>
        <w:spacing w:line="360" w:lineRule="auto"/>
        <w:jc w:val="both"/>
        <w:rPr>
          <w:rFonts w:ascii="Book Antiqua" w:hAnsi="Book Antiqua" w:cs="Arial"/>
          <w:b/>
          <w:sz w:val="24"/>
          <w:lang w:val="en-GB" w:eastAsia="zh-CN"/>
        </w:rPr>
      </w:pPr>
      <w:r w:rsidRPr="00F12AFF">
        <w:rPr>
          <w:rFonts w:ascii="Book Antiqua" w:hAnsi="Book Antiqua" w:cs="Arial"/>
          <w:b/>
          <w:sz w:val="24"/>
          <w:lang w:val="en-GB" w:eastAsia="zh-CN"/>
        </w:rPr>
        <w:lastRenderedPageBreak/>
        <w:t>Table 1</w:t>
      </w:r>
      <w:r w:rsidR="007E6F43" w:rsidRPr="00F12AFF">
        <w:rPr>
          <w:rFonts w:ascii="Book Antiqua" w:hAnsi="Book Antiqua" w:cs="Arial"/>
          <w:b/>
          <w:sz w:val="24"/>
          <w:lang w:val="en-GB" w:eastAsia="zh-CN"/>
        </w:rPr>
        <w:t xml:space="preserve"> </w:t>
      </w:r>
      <w:r w:rsidRPr="00F12AFF">
        <w:rPr>
          <w:rFonts w:ascii="Book Antiqua" w:hAnsi="Book Antiqua" w:cs="Arial"/>
          <w:b/>
          <w:sz w:val="24"/>
          <w:lang w:val="en-GB" w:eastAsia="zh-CN"/>
        </w:rPr>
        <w:t>Measurements of hepatic hemodynamic parameters</w:t>
      </w:r>
    </w:p>
    <w:p w:rsidR="00057A6B" w:rsidRPr="00F12AFF" w:rsidRDefault="00057A6B" w:rsidP="00F12AFF">
      <w:pPr>
        <w:adjustRightInd w:val="0"/>
        <w:snapToGrid w:val="0"/>
        <w:spacing w:line="360" w:lineRule="auto"/>
        <w:jc w:val="both"/>
        <w:rPr>
          <w:rFonts w:ascii="Book Antiqua" w:hAnsi="Book Antiqua" w:cs="Arial"/>
          <w:sz w:val="24"/>
          <w:lang w:val="en-GB" w:eastAsia="zh-CN"/>
        </w:rPr>
      </w:pPr>
    </w:p>
    <w:tbl>
      <w:tblPr>
        <w:tblStyle w:val="TableSimple1"/>
        <w:tblW w:w="12882" w:type="dxa"/>
        <w:tblLook w:val="0060" w:firstRow="1" w:lastRow="1" w:firstColumn="0" w:lastColumn="0" w:noHBand="0" w:noVBand="0"/>
      </w:tblPr>
      <w:tblGrid>
        <w:gridCol w:w="2943"/>
        <w:gridCol w:w="1379"/>
        <w:gridCol w:w="742"/>
        <w:gridCol w:w="681"/>
        <w:gridCol w:w="1161"/>
        <w:gridCol w:w="146"/>
        <w:gridCol w:w="1414"/>
        <w:gridCol w:w="1707"/>
        <w:gridCol w:w="99"/>
        <w:gridCol w:w="1150"/>
        <w:gridCol w:w="877"/>
        <w:gridCol w:w="487"/>
        <w:gridCol w:w="96"/>
      </w:tblGrid>
      <w:tr w:rsidR="00F12AFF" w:rsidRPr="00F12AFF" w:rsidTr="003258C5">
        <w:trPr>
          <w:cnfStyle w:val="100000000000" w:firstRow="1" w:lastRow="0" w:firstColumn="0" w:lastColumn="0" w:oddVBand="0" w:evenVBand="0" w:oddHBand="0" w:evenHBand="0" w:firstRowFirstColumn="0" w:firstRowLastColumn="0" w:lastRowFirstColumn="0" w:lastRowLastColumn="0"/>
        </w:trPr>
        <w:tc>
          <w:tcPr>
            <w:tcW w:w="2943" w:type="dxa"/>
            <w:tcBorders>
              <w:top w:val="single" w:sz="12" w:space="0" w:color="auto"/>
              <w:bottom w:val="single" w:sz="12" w:space="0" w:color="auto"/>
            </w:tcBorders>
          </w:tcPr>
          <w:p w:rsidR="00057A6B" w:rsidRPr="00F12AFF" w:rsidRDefault="00057A6B" w:rsidP="00F12AFF">
            <w:pPr>
              <w:adjustRightInd w:val="0"/>
              <w:snapToGrid w:val="0"/>
              <w:spacing w:line="360" w:lineRule="auto"/>
              <w:jc w:val="both"/>
              <w:rPr>
                <w:rFonts w:ascii="Book Antiqua" w:hAnsi="Book Antiqua" w:cs="Arial"/>
                <w:b/>
                <w:sz w:val="24"/>
                <w:lang w:val="en-US"/>
              </w:rPr>
            </w:pPr>
            <w:r w:rsidRPr="00F12AFF">
              <w:rPr>
                <w:rFonts w:ascii="Book Antiqua" w:hAnsi="Book Antiqua" w:cs="Arial"/>
                <w:b/>
                <w:sz w:val="24"/>
                <w:lang w:val="en-US"/>
              </w:rPr>
              <w:t>Time</w:t>
            </w:r>
          </w:p>
        </w:tc>
        <w:tc>
          <w:tcPr>
            <w:tcW w:w="2121" w:type="dxa"/>
            <w:gridSpan w:val="2"/>
            <w:tcBorders>
              <w:top w:val="single" w:sz="12" w:space="0" w:color="auto"/>
              <w:bottom w:val="single" w:sz="12" w:space="0" w:color="auto"/>
            </w:tcBorders>
          </w:tcPr>
          <w:p w:rsidR="00057A6B" w:rsidRPr="00F12AFF" w:rsidRDefault="00057A6B" w:rsidP="00F12AFF">
            <w:pPr>
              <w:adjustRightInd w:val="0"/>
              <w:snapToGrid w:val="0"/>
              <w:spacing w:line="360" w:lineRule="auto"/>
              <w:jc w:val="both"/>
              <w:rPr>
                <w:rFonts w:ascii="Book Antiqua" w:hAnsi="Book Antiqua" w:cs="Arial"/>
                <w:b/>
                <w:sz w:val="24"/>
                <w:lang w:val="en-US"/>
              </w:rPr>
            </w:pPr>
          </w:p>
        </w:tc>
        <w:tc>
          <w:tcPr>
            <w:tcW w:w="1842" w:type="dxa"/>
            <w:gridSpan w:val="2"/>
            <w:tcBorders>
              <w:top w:val="single" w:sz="12" w:space="0" w:color="auto"/>
              <w:bottom w:val="single" w:sz="12" w:space="0" w:color="auto"/>
            </w:tcBorders>
          </w:tcPr>
          <w:p w:rsidR="00057A6B" w:rsidRPr="00F12AFF" w:rsidRDefault="00057A6B" w:rsidP="00F12AFF">
            <w:pPr>
              <w:adjustRightInd w:val="0"/>
              <w:snapToGrid w:val="0"/>
              <w:spacing w:line="360" w:lineRule="auto"/>
              <w:jc w:val="both"/>
              <w:rPr>
                <w:rFonts w:ascii="Book Antiqua" w:hAnsi="Book Antiqua" w:cs="Arial"/>
                <w:b/>
                <w:sz w:val="24"/>
                <w:lang w:val="da-DK"/>
              </w:rPr>
            </w:pPr>
            <w:r w:rsidRPr="00F12AFF">
              <w:rPr>
                <w:rFonts w:ascii="Book Antiqua" w:hAnsi="Book Antiqua" w:cs="Arial"/>
                <w:b/>
                <w:sz w:val="24"/>
                <w:lang w:val="da-DK"/>
              </w:rPr>
              <w:t xml:space="preserve">Flow </w:t>
            </w:r>
          </w:p>
          <w:p w:rsidR="005A62EA" w:rsidRPr="00F12AFF" w:rsidRDefault="00F5354F" w:rsidP="00F12AFF">
            <w:pPr>
              <w:adjustRightInd w:val="0"/>
              <w:snapToGrid w:val="0"/>
              <w:spacing w:line="360" w:lineRule="auto"/>
              <w:jc w:val="both"/>
              <w:rPr>
                <w:rFonts w:ascii="Book Antiqua" w:hAnsi="Book Antiqua" w:cs="Arial"/>
                <w:b/>
                <w:sz w:val="24"/>
                <w:lang w:val="da-DK" w:eastAsia="zh-CN"/>
              </w:rPr>
            </w:pPr>
            <w:r w:rsidRPr="00F12AFF">
              <w:rPr>
                <w:rFonts w:ascii="Book Antiqua" w:hAnsi="Book Antiqua" w:cs="Arial"/>
                <w:b/>
                <w:sz w:val="24"/>
                <w:lang w:val="da-DK"/>
              </w:rPr>
              <w:t>Portal vein</w:t>
            </w:r>
            <w:r w:rsidRPr="00F12AFF">
              <w:rPr>
                <w:rFonts w:ascii="Book Antiqua" w:hAnsi="Book Antiqua" w:cs="Arial"/>
                <w:b/>
                <w:sz w:val="24"/>
                <w:lang w:val="da-DK" w:eastAsia="zh-CN"/>
              </w:rPr>
              <w:t xml:space="preserve"> </w:t>
            </w:r>
            <w:r w:rsidR="00057A6B" w:rsidRPr="00F12AFF">
              <w:rPr>
                <w:rFonts w:ascii="Book Antiqua" w:hAnsi="Book Antiqua" w:cs="Arial"/>
                <w:b/>
                <w:sz w:val="24"/>
                <w:lang w:val="da-DK"/>
              </w:rPr>
              <w:t>(l/min)</w:t>
            </w:r>
          </w:p>
        </w:tc>
        <w:tc>
          <w:tcPr>
            <w:tcW w:w="1560" w:type="dxa"/>
            <w:gridSpan w:val="2"/>
            <w:tcBorders>
              <w:top w:val="single" w:sz="12" w:space="0" w:color="auto"/>
              <w:bottom w:val="single" w:sz="12" w:space="0" w:color="auto"/>
            </w:tcBorders>
          </w:tcPr>
          <w:p w:rsidR="00057A6B" w:rsidRPr="00F12AFF" w:rsidRDefault="00F5354F" w:rsidP="00F12AFF">
            <w:pPr>
              <w:adjustRightInd w:val="0"/>
              <w:snapToGrid w:val="0"/>
              <w:spacing w:line="360" w:lineRule="auto"/>
              <w:jc w:val="both"/>
              <w:rPr>
                <w:rFonts w:ascii="Book Antiqua" w:hAnsi="Book Antiqua" w:cs="Arial"/>
                <w:b/>
                <w:sz w:val="24"/>
                <w:lang w:val="en-US"/>
              </w:rPr>
            </w:pPr>
            <w:r w:rsidRPr="00F12AFF">
              <w:rPr>
                <w:rFonts w:ascii="Book Antiqua" w:hAnsi="Book Antiqua" w:cs="Arial"/>
                <w:b/>
                <w:sz w:val="24"/>
                <w:lang w:val="en-US"/>
              </w:rPr>
              <w:t>Flow umbi-lical vein</w:t>
            </w:r>
            <w:r w:rsidRPr="00F12AFF">
              <w:rPr>
                <w:rFonts w:ascii="Book Antiqua" w:hAnsi="Book Antiqua" w:cs="Arial"/>
                <w:b/>
                <w:sz w:val="24"/>
                <w:lang w:val="en-US" w:eastAsia="zh-CN"/>
              </w:rPr>
              <w:t xml:space="preserve"> </w:t>
            </w:r>
            <w:r w:rsidR="00057A6B" w:rsidRPr="00F12AFF">
              <w:rPr>
                <w:rFonts w:ascii="Book Antiqua" w:hAnsi="Book Antiqua" w:cs="Arial"/>
                <w:b/>
                <w:sz w:val="24"/>
                <w:lang w:val="en-US"/>
              </w:rPr>
              <w:t>(l/min)</w:t>
            </w:r>
          </w:p>
        </w:tc>
        <w:tc>
          <w:tcPr>
            <w:tcW w:w="1806" w:type="dxa"/>
            <w:gridSpan w:val="2"/>
            <w:tcBorders>
              <w:top w:val="single" w:sz="12" w:space="0" w:color="auto"/>
              <w:bottom w:val="single" w:sz="12" w:space="0" w:color="auto"/>
            </w:tcBorders>
          </w:tcPr>
          <w:p w:rsidR="00057A6B" w:rsidRPr="00F12AFF" w:rsidRDefault="00057A6B" w:rsidP="00F12AFF">
            <w:pPr>
              <w:adjustRightInd w:val="0"/>
              <w:snapToGrid w:val="0"/>
              <w:spacing w:line="360" w:lineRule="auto"/>
              <w:jc w:val="both"/>
              <w:rPr>
                <w:rFonts w:ascii="Book Antiqua" w:hAnsi="Book Antiqua" w:cs="Arial"/>
                <w:b/>
                <w:sz w:val="24"/>
                <w:lang w:val="en-US"/>
              </w:rPr>
            </w:pPr>
            <w:r w:rsidRPr="00F12AFF">
              <w:rPr>
                <w:rFonts w:ascii="Book Antiqua" w:hAnsi="Book Antiqua" w:cs="Arial"/>
                <w:b/>
                <w:sz w:val="24"/>
                <w:lang w:val="en-US"/>
              </w:rPr>
              <w:t>HVPG</w:t>
            </w:r>
          </w:p>
          <w:p w:rsidR="00057A6B" w:rsidRPr="00F12AFF" w:rsidRDefault="00057A6B" w:rsidP="00F12AFF">
            <w:pPr>
              <w:adjustRightInd w:val="0"/>
              <w:snapToGrid w:val="0"/>
              <w:spacing w:line="360" w:lineRule="auto"/>
              <w:jc w:val="both"/>
              <w:rPr>
                <w:rFonts w:ascii="Book Antiqua" w:hAnsi="Book Antiqua" w:cs="Arial"/>
                <w:b/>
                <w:sz w:val="24"/>
                <w:lang w:val="en-US"/>
              </w:rPr>
            </w:pPr>
            <w:r w:rsidRPr="00F12AFF">
              <w:rPr>
                <w:rFonts w:ascii="Book Antiqua" w:hAnsi="Book Antiqua" w:cs="Arial"/>
                <w:b/>
                <w:sz w:val="24"/>
                <w:lang w:val="en-US"/>
              </w:rPr>
              <w:t>(mmHg)</w:t>
            </w:r>
          </w:p>
        </w:tc>
        <w:tc>
          <w:tcPr>
            <w:tcW w:w="1150" w:type="dxa"/>
            <w:tcBorders>
              <w:top w:val="single" w:sz="12" w:space="0" w:color="auto"/>
              <w:bottom w:val="single" w:sz="12" w:space="0" w:color="auto"/>
            </w:tcBorders>
          </w:tcPr>
          <w:p w:rsidR="00057A6B" w:rsidRPr="00F12AFF" w:rsidRDefault="00F5354F" w:rsidP="00F12AFF">
            <w:pPr>
              <w:adjustRightInd w:val="0"/>
              <w:snapToGrid w:val="0"/>
              <w:spacing w:line="360" w:lineRule="auto"/>
              <w:jc w:val="both"/>
              <w:rPr>
                <w:rFonts w:ascii="Book Antiqua" w:hAnsi="Book Antiqua" w:cs="Arial"/>
                <w:b/>
                <w:sz w:val="24"/>
                <w:lang w:val="en-US"/>
              </w:rPr>
            </w:pPr>
            <w:r w:rsidRPr="00F12AFF">
              <w:rPr>
                <w:rFonts w:ascii="Book Antiqua" w:hAnsi="Book Antiqua" w:cs="Arial"/>
                <w:b/>
                <w:sz w:val="24"/>
                <w:lang w:val="en-US"/>
              </w:rPr>
              <w:t>Blood pressure</w:t>
            </w:r>
            <w:r w:rsidRPr="00F12AFF">
              <w:rPr>
                <w:rFonts w:ascii="Book Antiqua" w:hAnsi="Book Antiqua" w:cs="Arial"/>
                <w:b/>
                <w:sz w:val="24"/>
                <w:lang w:val="en-US" w:eastAsia="zh-CN"/>
              </w:rPr>
              <w:t xml:space="preserve"> </w:t>
            </w:r>
            <w:r w:rsidR="00057A6B" w:rsidRPr="00F12AFF">
              <w:rPr>
                <w:rFonts w:ascii="Book Antiqua" w:hAnsi="Book Antiqua" w:cs="Arial"/>
                <w:b/>
                <w:sz w:val="24"/>
                <w:lang w:val="en-US"/>
              </w:rPr>
              <w:t>(mmHg)</w:t>
            </w:r>
          </w:p>
        </w:tc>
        <w:tc>
          <w:tcPr>
            <w:tcW w:w="1460" w:type="dxa"/>
            <w:gridSpan w:val="3"/>
            <w:tcBorders>
              <w:top w:val="single" w:sz="12" w:space="0" w:color="auto"/>
              <w:bottom w:val="single" w:sz="12" w:space="0" w:color="auto"/>
            </w:tcBorders>
          </w:tcPr>
          <w:p w:rsidR="003258C5" w:rsidRPr="00F12AFF" w:rsidRDefault="00F5354F" w:rsidP="00F12AFF">
            <w:pPr>
              <w:adjustRightInd w:val="0"/>
              <w:snapToGrid w:val="0"/>
              <w:spacing w:line="360" w:lineRule="auto"/>
              <w:jc w:val="both"/>
              <w:rPr>
                <w:rFonts w:ascii="Book Antiqua" w:hAnsi="Book Antiqua" w:cs="Arial"/>
                <w:b/>
                <w:sz w:val="24"/>
                <w:lang w:val="en-US" w:eastAsia="zh-CN"/>
              </w:rPr>
            </w:pPr>
            <w:r w:rsidRPr="00F12AFF">
              <w:rPr>
                <w:rFonts w:ascii="Book Antiqua" w:hAnsi="Book Antiqua" w:cs="Arial"/>
                <w:b/>
                <w:sz w:val="24"/>
                <w:lang w:val="en-US"/>
              </w:rPr>
              <w:t>Heart</w:t>
            </w:r>
            <w:r w:rsidRPr="00F12AFF">
              <w:rPr>
                <w:rFonts w:ascii="Book Antiqua" w:hAnsi="Book Antiqua" w:cs="Arial"/>
                <w:b/>
                <w:sz w:val="24"/>
                <w:lang w:val="en-US" w:eastAsia="zh-CN"/>
              </w:rPr>
              <w:t xml:space="preserve"> </w:t>
            </w:r>
            <w:r w:rsidRPr="00F12AFF">
              <w:rPr>
                <w:rFonts w:ascii="Book Antiqua" w:hAnsi="Book Antiqua" w:cs="Arial"/>
                <w:b/>
                <w:sz w:val="24"/>
                <w:lang w:val="en-US"/>
              </w:rPr>
              <w:t>rate</w:t>
            </w:r>
          </w:p>
          <w:p w:rsidR="00057A6B" w:rsidRPr="00F12AFF" w:rsidRDefault="00F5354F" w:rsidP="00F12AFF">
            <w:pPr>
              <w:adjustRightInd w:val="0"/>
              <w:snapToGrid w:val="0"/>
              <w:spacing w:line="360" w:lineRule="auto"/>
              <w:jc w:val="both"/>
              <w:rPr>
                <w:rFonts w:ascii="Book Antiqua" w:hAnsi="Book Antiqua" w:cs="Arial"/>
                <w:b/>
                <w:sz w:val="24"/>
                <w:lang w:val="en-US" w:eastAsia="zh-CN"/>
              </w:rPr>
            </w:pPr>
            <w:r w:rsidRPr="00F12AFF">
              <w:rPr>
                <w:rFonts w:ascii="Book Antiqua" w:hAnsi="Book Antiqua" w:cs="Arial"/>
                <w:b/>
                <w:sz w:val="24"/>
                <w:lang w:val="en-US" w:eastAsia="zh-CN"/>
              </w:rPr>
              <w:t xml:space="preserve"> </w:t>
            </w:r>
            <w:r w:rsidR="00057A6B" w:rsidRPr="00F12AFF">
              <w:rPr>
                <w:rFonts w:ascii="Book Antiqua" w:hAnsi="Book Antiqua" w:cs="Arial"/>
                <w:b/>
                <w:sz w:val="24"/>
                <w:lang w:val="en-US"/>
              </w:rPr>
              <w:t>(beats/min)</w:t>
            </w:r>
          </w:p>
        </w:tc>
      </w:tr>
      <w:tr w:rsidR="00F12AFF" w:rsidRPr="00F12AFF" w:rsidTr="003258C5">
        <w:trPr>
          <w:gridAfter w:val="1"/>
          <w:wAfter w:w="96" w:type="dxa"/>
        </w:trPr>
        <w:tc>
          <w:tcPr>
            <w:tcW w:w="2943" w:type="dxa"/>
          </w:tcPr>
          <w:p w:rsidR="00057A6B" w:rsidRPr="00F12AFF" w:rsidRDefault="00057A6B" w:rsidP="00F12AFF">
            <w:pPr>
              <w:adjustRightInd w:val="0"/>
              <w:snapToGrid w:val="0"/>
              <w:spacing w:line="360" w:lineRule="auto"/>
              <w:jc w:val="both"/>
              <w:rPr>
                <w:rFonts w:ascii="Book Antiqua" w:hAnsi="Book Antiqua" w:cs="Arial"/>
                <w:b/>
                <w:bCs/>
                <w:sz w:val="24"/>
                <w:lang w:val="en-US"/>
              </w:rPr>
            </w:pPr>
          </w:p>
        </w:tc>
        <w:tc>
          <w:tcPr>
            <w:tcW w:w="1379" w:type="dxa"/>
          </w:tcPr>
          <w:p w:rsidR="00057A6B" w:rsidRPr="00F12AFF" w:rsidRDefault="00057A6B" w:rsidP="00F12AFF">
            <w:pPr>
              <w:adjustRightInd w:val="0"/>
              <w:snapToGrid w:val="0"/>
              <w:spacing w:line="360" w:lineRule="auto"/>
              <w:jc w:val="both"/>
              <w:rPr>
                <w:rFonts w:ascii="Book Antiqua" w:hAnsi="Book Antiqua" w:cs="Arial"/>
                <w:b/>
                <w:bCs/>
                <w:sz w:val="24"/>
                <w:lang w:val="en-US"/>
              </w:rPr>
            </w:pPr>
          </w:p>
        </w:tc>
        <w:tc>
          <w:tcPr>
            <w:tcW w:w="1423" w:type="dxa"/>
            <w:gridSpan w:val="2"/>
          </w:tcPr>
          <w:p w:rsidR="00057A6B" w:rsidRPr="00F12AFF" w:rsidRDefault="00057A6B" w:rsidP="00F12AFF">
            <w:pPr>
              <w:adjustRightInd w:val="0"/>
              <w:snapToGrid w:val="0"/>
              <w:spacing w:line="360" w:lineRule="auto"/>
              <w:jc w:val="both"/>
              <w:rPr>
                <w:rFonts w:ascii="Book Antiqua" w:hAnsi="Book Antiqua" w:cs="Arial"/>
                <w:bCs/>
                <w:sz w:val="24"/>
                <w:lang w:val="en-US"/>
              </w:rPr>
            </w:pPr>
            <w:r w:rsidRPr="00F12AFF">
              <w:rPr>
                <w:rFonts w:ascii="Book Antiqua" w:hAnsi="Book Antiqua" w:cs="Arial"/>
                <w:bCs/>
                <w:sz w:val="24"/>
                <w:lang w:val="en-US"/>
              </w:rPr>
              <w:t>Duplex</w:t>
            </w:r>
          </w:p>
        </w:tc>
        <w:tc>
          <w:tcPr>
            <w:tcW w:w="1307" w:type="dxa"/>
            <w:gridSpan w:val="2"/>
          </w:tcPr>
          <w:p w:rsidR="00057A6B" w:rsidRPr="00F12AFF" w:rsidRDefault="00057A6B" w:rsidP="00F12AFF">
            <w:pPr>
              <w:adjustRightInd w:val="0"/>
              <w:snapToGrid w:val="0"/>
              <w:spacing w:line="360" w:lineRule="auto"/>
              <w:jc w:val="both"/>
              <w:rPr>
                <w:rFonts w:ascii="Book Antiqua" w:hAnsi="Book Antiqua" w:cs="Arial"/>
                <w:bCs/>
                <w:sz w:val="24"/>
                <w:lang w:val="en-US"/>
              </w:rPr>
            </w:pPr>
            <w:r w:rsidRPr="00F12AFF">
              <w:rPr>
                <w:rFonts w:ascii="Book Antiqua" w:hAnsi="Book Antiqua" w:cs="Arial"/>
                <w:bCs/>
                <w:sz w:val="24"/>
                <w:lang w:val="en-US"/>
              </w:rPr>
              <w:t>MRI</w:t>
            </w:r>
          </w:p>
        </w:tc>
        <w:tc>
          <w:tcPr>
            <w:tcW w:w="1414" w:type="dxa"/>
          </w:tcPr>
          <w:p w:rsidR="00057A6B" w:rsidRPr="00F12AFF" w:rsidRDefault="00057A6B" w:rsidP="00F12AFF">
            <w:pPr>
              <w:adjustRightInd w:val="0"/>
              <w:snapToGrid w:val="0"/>
              <w:spacing w:line="360" w:lineRule="auto"/>
              <w:jc w:val="both"/>
              <w:rPr>
                <w:rFonts w:ascii="Book Antiqua" w:hAnsi="Book Antiqua" w:cs="Arial"/>
                <w:bCs/>
                <w:sz w:val="24"/>
                <w:lang w:val="en-US"/>
              </w:rPr>
            </w:pPr>
            <w:r w:rsidRPr="00F12AFF">
              <w:rPr>
                <w:rFonts w:ascii="Book Antiqua" w:hAnsi="Book Antiqua" w:cs="Arial"/>
                <w:bCs/>
                <w:sz w:val="24"/>
                <w:lang w:val="en-US"/>
              </w:rPr>
              <w:t>MRI</w:t>
            </w:r>
          </w:p>
        </w:tc>
        <w:tc>
          <w:tcPr>
            <w:tcW w:w="1707" w:type="dxa"/>
          </w:tcPr>
          <w:p w:rsidR="00057A6B" w:rsidRPr="00F12AFF" w:rsidRDefault="00057A6B" w:rsidP="00F12AFF">
            <w:pPr>
              <w:adjustRightInd w:val="0"/>
              <w:snapToGrid w:val="0"/>
              <w:spacing w:line="360" w:lineRule="auto"/>
              <w:jc w:val="both"/>
              <w:rPr>
                <w:rFonts w:ascii="Book Antiqua" w:hAnsi="Book Antiqua" w:cs="Arial"/>
                <w:b/>
                <w:bCs/>
                <w:sz w:val="24"/>
                <w:lang w:val="en-US"/>
              </w:rPr>
            </w:pPr>
          </w:p>
        </w:tc>
        <w:tc>
          <w:tcPr>
            <w:tcW w:w="2126" w:type="dxa"/>
            <w:gridSpan w:val="3"/>
          </w:tcPr>
          <w:p w:rsidR="00057A6B" w:rsidRPr="00F12AFF" w:rsidRDefault="00057A6B" w:rsidP="00F12AFF">
            <w:pPr>
              <w:adjustRightInd w:val="0"/>
              <w:snapToGrid w:val="0"/>
              <w:spacing w:line="360" w:lineRule="auto"/>
              <w:jc w:val="both"/>
              <w:rPr>
                <w:rFonts w:ascii="Book Antiqua" w:hAnsi="Book Antiqua" w:cs="Arial"/>
                <w:b/>
                <w:bCs/>
                <w:sz w:val="24"/>
                <w:lang w:val="en-US"/>
              </w:rPr>
            </w:pPr>
          </w:p>
        </w:tc>
        <w:tc>
          <w:tcPr>
            <w:tcW w:w="487" w:type="dxa"/>
          </w:tcPr>
          <w:p w:rsidR="00057A6B" w:rsidRPr="00F12AFF" w:rsidRDefault="00057A6B" w:rsidP="00F12AFF">
            <w:pPr>
              <w:adjustRightInd w:val="0"/>
              <w:snapToGrid w:val="0"/>
              <w:spacing w:line="360" w:lineRule="auto"/>
              <w:jc w:val="both"/>
              <w:rPr>
                <w:rFonts w:ascii="Book Antiqua" w:hAnsi="Book Antiqua" w:cs="Arial"/>
                <w:b/>
                <w:bCs/>
                <w:sz w:val="24"/>
                <w:lang w:val="en-US"/>
              </w:rPr>
            </w:pPr>
          </w:p>
        </w:tc>
      </w:tr>
      <w:tr w:rsidR="00F12AFF" w:rsidRPr="00F12AFF" w:rsidTr="003258C5">
        <w:trPr>
          <w:gridAfter w:val="1"/>
          <w:wAfter w:w="96" w:type="dxa"/>
          <w:trHeight w:val="283"/>
        </w:trPr>
        <w:tc>
          <w:tcPr>
            <w:tcW w:w="2943" w:type="dxa"/>
          </w:tcPr>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Start</w:t>
            </w:r>
          </w:p>
        </w:tc>
        <w:tc>
          <w:tcPr>
            <w:tcW w:w="1379" w:type="dxa"/>
          </w:tcPr>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02/2009</w:t>
            </w:r>
          </w:p>
        </w:tc>
        <w:tc>
          <w:tcPr>
            <w:tcW w:w="1423" w:type="dxa"/>
            <w:gridSpan w:val="2"/>
          </w:tcPr>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0.97</w:t>
            </w:r>
          </w:p>
        </w:tc>
        <w:tc>
          <w:tcPr>
            <w:tcW w:w="1307" w:type="dxa"/>
            <w:gridSpan w:val="2"/>
          </w:tcPr>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0.85</w:t>
            </w:r>
          </w:p>
        </w:tc>
        <w:tc>
          <w:tcPr>
            <w:tcW w:w="1414" w:type="dxa"/>
          </w:tcPr>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0.53</w:t>
            </w:r>
          </w:p>
        </w:tc>
        <w:tc>
          <w:tcPr>
            <w:tcW w:w="1707" w:type="dxa"/>
          </w:tcPr>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10.5</w:t>
            </w:r>
          </w:p>
        </w:tc>
        <w:tc>
          <w:tcPr>
            <w:tcW w:w="2126" w:type="dxa"/>
            <w:gridSpan w:val="3"/>
          </w:tcPr>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130/87</w:t>
            </w:r>
          </w:p>
        </w:tc>
        <w:tc>
          <w:tcPr>
            <w:tcW w:w="487" w:type="dxa"/>
          </w:tcPr>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69</w:t>
            </w:r>
          </w:p>
        </w:tc>
      </w:tr>
      <w:tr w:rsidR="00F12AFF" w:rsidRPr="00F12AFF" w:rsidTr="003258C5">
        <w:trPr>
          <w:gridAfter w:val="1"/>
          <w:wAfter w:w="96" w:type="dxa"/>
          <w:trHeight w:val="283"/>
        </w:trPr>
        <w:tc>
          <w:tcPr>
            <w:tcW w:w="2943" w:type="dxa"/>
          </w:tcPr>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1</w:t>
            </w:r>
            <w:r w:rsidR="007E6F43" w:rsidRPr="00F12AFF">
              <w:rPr>
                <w:rFonts w:ascii="Book Antiqua" w:hAnsi="Book Antiqua" w:cs="Arial"/>
                <w:sz w:val="24"/>
                <w:lang w:val="en-US" w:eastAsia="zh-CN"/>
              </w:rPr>
              <w:t xml:space="preserve"> </w:t>
            </w:r>
            <w:r w:rsidRPr="00F12AFF">
              <w:rPr>
                <w:rFonts w:ascii="Book Antiqua" w:hAnsi="Book Antiqua" w:cs="Arial"/>
                <w:sz w:val="24"/>
                <w:lang w:val="en-US"/>
              </w:rPr>
              <w:t>h post Vardenafil 10mg</w:t>
            </w:r>
          </w:p>
        </w:tc>
        <w:tc>
          <w:tcPr>
            <w:tcW w:w="1379" w:type="dxa"/>
          </w:tcPr>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02/2009</w:t>
            </w:r>
          </w:p>
        </w:tc>
        <w:tc>
          <w:tcPr>
            <w:tcW w:w="1423" w:type="dxa"/>
            <w:gridSpan w:val="2"/>
          </w:tcPr>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1.24</w:t>
            </w:r>
          </w:p>
        </w:tc>
        <w:tc>
          <w:tcPr>
            <w:tcW w:w="1307" w:type="dxa"/>
            <w:gridSpan w:val="2"/>
          </w:tcPr>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0.99</w:t>
            </w:r>
          </w:p>
        </w:tc>
        <w:tc>
          <w:tcPr>
            <w:tcW w:w="1414" w:type="dxa"/>
          </w:tcPr>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0.56</w:t>
            </w:r>
          </w:p>
        </w:tc>
        <w:tc>
          <w:tcPr>
            <w:tcW w:w="1707" w:type="dxa"/>
          </w:tcPr>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9.0 (-14%)</w:t>
            </w:r>
          </w:p>
        </w:tc>
        <w:tc>
          <w:tcPr>
            <w:tcW w:w="2126" w:type="dxa"/>
            <w:gridSpan w:val="3"/>
          </w:tcPr>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121/75</w:t>
            </w:r>
          </w:p>
        </w:tc>
        <w:tc>
          <w:tcPr>
            <w:tcW w:w="487" w:type="dxa"/>
          </w:tcPr>
          <w:p w:rsidR="00057A6B" w:rsidRPr="00F12AFF" w:rsidRDefault="00057A6B" w:rsidP="00F12AFF">
            <w:pPr>
              <w:adjustRightInd w:val="0"/>
              <w:snapToGrid w:val="0"/>
              <w:spacing w:line="360" w:lineRule="auto"/>
              <w:jc w:val="both"/>
              <w:rPr>
                <w:rFonts w:ascii="Book Antiqua" w:hAnsi="Book Antiqua" w:cs="Arial"/>
                <w:sz w:val="24"/>
                <w:lang w:val="en-US"/>
              </w:rPr>
            </w:pPr>
            <w:r w:rsidRPr="00F12AFF">
              <w:rPr>
                <w:rFonts w:ascii="Book Antiqua" w:hAnsi="Book Antiqua" w:cs="Arial"/>
                <w:sz w:val="24"/>
                <w:lang w:val="en-US"/>
              </w:rPr>
              <w:t>61</w:t>
            </w:r>
          </w:p>
        </w:tc>
      </w:tr>
      <w:tr w:rsidR="00F12AFF" w:rsidRPr="00F12AFF" w:rsidTr="003258C5">
        <w:trPr>
          <w:gridAfter w:val="1"/>
          <w:wAfter w:w="96" w:type="dxa"/>
          <w:trHeight w:val="283"/>
        </w:trPr>
        <w:tc>
          <w:tcPr>
            <w:tcW w:w="2943"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lang w:val="en-US"/>
              </w:rPr>
              <w:t xml:space="preserve">4 </w:t>
            </w:r>
            <w:r w:rsidR="00F5354F" w:rsidRPr="00F12AFF">
              <w:rPr>
                <w:rFonts w:ascii="Book Antiqua" w:hAnsi="Book Antiqua" w:cs="Arial"/>
                <w:sz w:val="24"/>
                <w:lang w:val="en-US"/>
              </w:rPr>
              <w:t>mo</w:t>
            </w:r>
            <w:r w:rsidRPr="00F12AFF">
              <w:rPr>
                <w:rFonts w:ascii="Book Antiqua" w:hAnsi="Book Antiqua" w:cs="Arial"/>
                <w:sz w:val="24"/>
                <w:lang w:val="en-US"/>
              </w:rPr>
              <w:t xml:space="preserve"> </w:t>
            </w:r>
            <w:r w:rsidRPr="00F12AFF">
              <w:rPr>
                <w:rFonts w:ascii="Book Antiqua" w:hAnsi="Book Antiqua" w:cs="Arial"/>
                <w:sz w:val="24"/>
              </w:rPr>
              <w:t>Tadalafil 5mg/d</w:t>
            </w:r>
          </w:p>
        </w:tc>
        <w:tc>
          <w:tcPr>
            <w:tcW w:w="1379"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06/2009</w:t>
            </w:r>
          </w:p>
        </w:tc>
        <w:tc>
          <w:tcPr>
            <w:tcW w:w="1423" w:type="dxa"/>
            <w:gridSpan w:val="2"/>
          </w:tcPr>
          <w:p w:rsidR="00057A6B" w:rsidRPr="00F12AFF" w:rsidRDefault="00057A6B" w:rsidP="00F12AFF">
            <w:pPr>
              <w:adjustRightInd w:val="0"/>
              <w:snapToGrid w:val="0"/>
              <w:spacing w:line="360" w:lineRule="auto"/>
              <w:jc w:val="both"/>
              <w:rPr>
                <w:rFonts w:ascii="Book Antiqua" w:hAnsi="Book Antiqua" w:cs="Arial"/>
                <w:sz w:val="24"/>
              </w:rPr>
            </w:pPr>
          </w:p>
        </w:tc>
        <w:tc>
          <w:tcPr>
            <w:tcW w:w="1307" w:type="dxa"/>
            <w:gridSpan w:val="2"/>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1.21</w:t>
            </w:r>
          </w:p>
        </w:tc>
        <w:tc>
          <w:tcPr>
            <w:tcW w:w="1414"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0.56</w:t>
            </w:r>
          </w:p>
        </w:tc>
        <w:tc>
          <w:tcPr>
            <w:tcW w:w="1707"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10.5</w:t>
            </w:r>
          </w:p>
        </w:tc>
        <w:tc>
          <w:tcPr>
            <w:tcW w:w="2126" w:type="dxa"/>
            <w:gridSpan w:val="3"/>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127/77</w:t>
            </w:r>
          </w:p>
        </w:tc>
        <w:tc>
          <w:tcPr>
            <w:tcW w:w="487"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64</w:t>
            </w:r>
          </w:p>
        </w:tc>
      </w:tr>
      <w:tr w:rsidR="00F12AFF" w:rsidRPr="00F12AFF" w:rsidTr="003258C5">
        <w:trPr>
          <w:gridAfter w:val="1"/>
          <w:wAfter w:w="96" w:type="dxa"/>
          <w:trHeight w:val="283"/>
        </w:trPr>
        <w:tc>
          <w:tcPr>
            <w:tcW w:w="2943"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Without PDE-5-I</w:t>
            </w:r>
          </w:p>
        </w:tc>
        <w:tc>
          <w:tcPr>
            <w:tcW w:w="1379"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10/2009</w:t>
            </w:r>
          </w:p>
        </w:tc>
        <w:tc>
          <w:tcPr>
            <w:tcW w:w="1423" w:type="dxa"/>
            <w:gridSpan w:val="2"/>
          </w:tcPr>
          <w:p w:rsidR="00057A6B" w:rsidRPr="00F12AFF" w:rsidRDefault="00057A6B" w:rsidP="00F12AFF">
            <w:pPr>
              <w:adjustRightInd w:val="0"/>
              <w:snapToGrid w:val="0"/>
              <w:spacing w:line="360" w:lineRule="auto"/>
              <w:jc w:val="both"/>
              <w:rPr>
                <w:rFonts w:ascii="Book Antiqua" w:hAnsi="Book Antiqua" w:cs="Arial"/>
                <w:sz w:val="24"/>
              </w:rPr>
            </w:pPr>
          </w:p>
        </w:tc>
        <w:tc>
          <w:tcPr>
            <w:tcW w:w="1307" w:type="dxa"/>
            <w:gridSpan w:val="2"/>
          </w:tcPr>
          <w:p w:rsidR="00057A6B" w:rsidRPr="00F12AFF" w:rsidRDefault="00057A6B" w:rsidP="00F12AFF">
            <w:pPr>
              <w:adjustRightInd w:val="0"/>
              <w:snapToGrid w:val="0"/>
              <w:spacing w:line="360" w:lineRule="auto"/>
              <w:jc w:val="both"/>
              <w:rPr>
                <w:rFonts w:ascii="Book Antiqua" w:hAnsi="Book Antiqua" w:cs="Arial"/>
                <w:sz w:val="24"/>
              </w:rPr>
            </w:pPr>
          </w:p>
        </w:tc>
        <w:tc>
          <w:tcPr>
            <w:tcW w:w="1414" w:type="dxa"/>
          </w:tcPr>
          <w:p w:rsidR="00057A6B" w:rsidRPr="00F12AFF" w:rsidRDefault="00057A6B" w:rsidP="00F12AFF">
            <w:pPr>
              <w:adjustRightInd w:val="0"/>
              <w:snapToGrid w:val="0"/>
              <w:spacing w:line="360" w:lineRule="auto"/>
              <w:jc w:val="both"/>
              <w:rPr>
                <w:rFonts w:ascii="Book Antiqua" w:hAnsi="Book Antiqua" w:cs="Arial"/>
                <w:sz w:val="24"/>
              </w:rPr>
            </w:pPr>
          </w:p>
        </w:tc>
        <w:tc>
          <w:tcPr>
            <w:tcW w:w="1707"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12.0</w:t>
            </w:r>
          </w:p>
        </w:tc>
        <w:tc>
          <w:tcPr>
            <w:tcW w:w="2126" w:type="dxa"/>
            <w:gridSpan w:val="3"/>
          </w:tcPr>
          <w:p w:rsidR="00057A6B" w:rsidRPr="00F12AFF" w:rsidRDefault="00057A6B" w:rsidP="00F12AFF">
            <w:pPr>
              <w:adjustRightInd w:val="0"/>
              <w:snapToGrid w:val="0"/>
              <w:spacing w:line="360" w:lineRule="auto"/>
              <w:jc w:val="both"/>
              <w:rPr>
                <w:rFonts w:ascii="Book Antiqua" w:hAnsi="Book Antiqua" w:cs="Arial"/>
                <w:sz w:val="24"/>
              </w:rPr>
            </w:pPr>
          </w:p>
        </w:tc>
        <w:tc>
          <w:tcPr>
            <w:tcW w:w="487" w:type="dxa"/>
          </w:tcPr>
          <w:p w:rsidR="00057A6B" w:rsidRPr="00F12AFF" w:rsidRDefault="00057A6B" w:rsidP="00F12AFF">
            <w:pPr>
              <w:adjustRightInd w:val="0"/>
              <w:snapToGrid w:val="0"/>
              <w:spacing w:line="360" w:lineRule="auto"/>
              <w:jc w:val="both"/>
              <w:rPr>
                <w:rFonts w:ascii="Book Antiqua" w:hAnsi="Book Antiqua" w:cs="Arial"/>
                <w:sz w:val="24"/>
              </w:rPr>
            </w:pPr>
          </w:p>
        </w:tc>
      </w:tr>
      <w:tr w:rsidR="00F12AFF" w:rsidRPr="00F12AFF" w:rsidTr="003258C5">
        <w:trPr>
          <w:gridAfter w:val="1"/>
          <w:wAfter w:w="96" w:type="dxa"/>
          <w:trHeight w:val="283"/>
        </w:trPr>
        <w:tc>
          <w:tcPr>
            <w:tcW w:w="2943"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1h post Tadalafil 5 mg</w:t>
            </w:r>
          </w:p>
        </w:tc>
        <w:tc>
          <w:tcPr>
            <w:tcW w:w="1379"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10/2009</w:t>
            </w:r>
          </w:p>
        </w:tc>
        <w:tc>
          <w:tcPr>
            <w:tcW w:w="1423" w:type="dxa"/>
            <w:gridSpan w:val="2"/>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1.28</w:t>
            </w:r>
          </w:p>
        </w:tc>
        <w:tc>
          <w:tcPr>
            <w:tcW w:w="1307" w:type="dxa"/>
            <w:gridSpan w:val="2"/>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0.99</w:t>
            </w:r>
          </w:p>
        </w:tc>
        <w:tc>
          <w:tcPr>
            <w:tcW w:w="1414"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0.53</w:t>
            </w:r>
          </w:p>
        </w:tc>
        <w:tc>
          <w:tcPr>
            <w:tcW w:w="1707"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10.0 (-15%)</w:t>
            </w:r>
          </w:p>
        </w:tc>
        <w:tc>
          <w:tcPr>
            <w:tcW w:w="2126" w:type="dxa"/>
            <w:gridSpan w:val="3"/>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110/70</w:t>
            </w:r>
          </w:p>
        </w:tc>
        <w:tc>
          <w:tcPr>
            <w:tcW w:w="487"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84</w:t>
            </w:r>
          </w:p>
        </w:tc>
      </w:tr>
      <w:tr w:rsidR="00F12AFF" w:rsidRPr="00F12AFF" w:rsidTr="003258C5">
        <w:trPr>
          <w:gridAfter w:val="1"/>
          <w:wAfter w:w="96" w:type="dxa"/>
          <w:trHeight w:val="283"/>
        </w:trPr>
        <w:tc>
          <w:tcPr>
            <w:tcW w:w="2943"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 xml:space="preserve">11 </w:t>
            </w:r>
            <w:r w:rsidR="00F5354F" w:rsidRPr="00F12AFF">
              <w:rPr>
                <w:rFonts w:ascii="Book Antiqua" w:hAnsi="Book Antiqua" w:cs="Arial"/>
                <w:sz w:val="24"/>
              </w:rPr>
              <w:t>mo</w:t>
            </w:r>
            <w:r w:rsidRPr="00F12AFF">
              <w:rPr>
                <w:rFonts w:ascii="Book Antiqua" w:hAnsi="Book Antiqua" w:cs="Arial"/>
                <w:sz w:val="24"/>
              </w:rPr>
              <w:t xml:space="preserve"> Tadalafil 5 mg/d</w:t>
            </w:r>
          </w:p>
        </w:tc>
        <w:tc>
          <w:tcPr>
            <w:tcW w:w="1379"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03/2010</w:t>
            </w:r>
          </w:p>
        </w:tc>
        <w:tc>
          <w:tcPr>
            <w:tcW w:w="1423" w:type="dxa"/>
            <w:gridSpan w:val="2"/>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1.32</w:t>
            </w:r>
          </w:p>
        </w:tc>
        <w:tc>
          <w:tcPr>
            <w:tcW w:w="1307" w:type="dxa"/>
            <w:gridSpan w:val="2"/>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1.33</w:t>
            </w:r>
          </w:p>
        </w:tc>
        <w:tc>
          <w:tcPr>
            <w:tcW w:w="1414" w:type="dxa"/>
          </w:tcPr>
          <w:p w:rsidR="00057A6B" w:rsidRPr="00F12AFF" w:rsidRDefault="00057A6B" w:rsidP="00F12AFF">
            <w:pPr>
              <w:adjustRightInd w:val="0"/>
              <w:snapToGrid w:val="0"/>
              <w:spacing w:line="360" w:lineRule="auto"/>
              <w:jc w:val="both"/>
              <w:rPr>
                <w:rFonts w:ascii="Book Antiqua" w:hAnsi="Book Antiqua" w:cs="Arial"/>
                <w:sz w:val="24"/>
              </w:rPr>
            </w:pPr>
          </w:p>
        </w:tc>
        <w:tc>
          <w:tcPr>
            <w:tcW w:w="1707"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10.5</w:t>
            </w:r>
          </w:p>
        </w:tc>
        <w:tc>
          <w:tcPr>
            <w:tcW w:w="2126" w:type="dxa"/>
            <w:gridSpan w:val="3"/>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120/80</w:t>
            </w:r>
          </w:p>
        </w:tc>
        <w:tc>
          <w:tcPr>
            <w:tcW w:w="487" w:type="dxa"/>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70</w:t>
            </w:r>
          </w:p>
        </w:tc>
      </w:tr>
      <w:tr w:rsidR="00F12AFF" w:rsidRPr="00F12AFF" w:rsidTr="003258C5">
        <w:trPr>
          <w:gridAfter w:val="1"/>
          <w:wAfter w:w="96" w:type="dxa"/>
          <w:trHeight w:val="283"/>
        </w:trPr>
        <w:tc>
          <w:tcPr>
            <w:tcW w:w="2943" w:type="dxa"/>
            <w:tcBorders>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 xml:space="preserve">20 </w:t>
            </w:r>
            <w:r w:rsidR="00F5354F" w:rsidRPr="00F12AFF">
              <w:rPr>
                <w:rFonts w:ascii="Book Antiqua" w:hAnsi="Book Antiqua" w:cs="Arial"/>
                <w:sz w:val="24"/>
              </w:rPr>
              <w:t>mo</w:t>
            </w:r>
            <w:r w:rsidRPr="00F12AFF">
              <w:rPr>
                <w:rFonts w:ascii="Book Antiqua" w:hAnsi="Book Antiqua" w:cs="Arial"/>
                <w:sz w:val="24"/>
              </w:rPr>
              <w:t xml:space="preserve"> Tadalafil 5 mg/d</w:t>
            </w:r>
          </w:p>
        </w:tc>
        <w:tc>
          <w:tcPr>
            <w:tcW w:w="1379" w:type="dxa"/>
            <w:tcBorders>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10/2010</w:t>
            </w:r>
          </w:p>
        </w:tc>
        <w:tc>
          <w:tcPr>
            <w:tcW w:w="1423" w:type="dxa"/>
            <w:gridSpan w:val="2"/>
            <w:tcBorders>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1.34</w:t>
            </w:r>
          </w:p>
        </w:tc>
        <w:tc>
          <w:tcPr>
            <w:tcW w:w="1307" w:type="dxa"/>
            <w:gridSpan w:val="2"/>
            <w:tcBorders>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414" w:type="dxa"/>
            <w:tcBorders>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707" w:type="dxa"/>
            <w:tcBorders>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2126" w:type="dxa"/>
            <w:gridSpan w:val="3"/>
            <w:tcBorders>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115/75</w:t>
            </w:r>
          </w:p>
        </w:tc>
        <w:tc>
          <w:tcPr>
            <w:tcW w:w="487" w:type="dxa"/>
            <w:tcBorders>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77</w:t>
            </w:r>
          </w:p>
        </w:tc>
      </w:tr>
      <w:tr w:rsidR="00F12AFF" w:rsidRPr="00F12AFF" w:rsidTr="003258C5">
        <w:trPr>
          <w:gridAfter w:val="1"/>
          <w:wAfter w:w="96" w:type="dxa"/>
          <w:trHeight w:val="283"/>
        </w:trPr>
        <w:tc>
          <w:tcPr>
            <w:tcW w:w="2943"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 xml:space="preserve">26 </w:t>
            </w:r>
            <w:r w:rsidR="00F5354F" w:rsidRPr="00F12AFF">
              <w:rPr>
                <w:rFonts w:ascii="Book Antiqua" w:hAnsi="Book Antiqua" w:cs="Arial"/>
                <w:sz w:val="24"/>
              </w:rPr>
              <w:t>mo</w:t>
            </w:r>
            <w:r w:rsidRPr="00F12AFF">
              <w:rPr>
                <w:rFonts w:ascii="Book Antiqua" w:hAnsi="Book Antiqua" w:cs="Arial"/>
                <w:sz w:val="24"/>
              </w:rPr>
              <w:t xml:space="preserve"> Tadalafil 5 mg/d</w:t>
            </w:r>
          </w:p>
        </w:tc>
        <w:tc>
          <w:tcPr>
            <w:tcW w:w="1379"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04/2011</w:t>
            </w:r>
          </w:p>
        </w:tc>
        <w:tc>
          <w:tcPr>
            <w:tcW w:w="1423" w:type="dxa"/>
            <w:gridSpan w:val="2"/>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1.26</w:t>
            </w:r>
          </w:p>
        </w:tc>
        <w:tc>
          <w:tcPr>
            <w:tcW w:w="1307" w:type="dxa"/>
            <w:gridSpan w:val="2"/>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1,34</w:t>
            </w:r>
          </w:p>
        </w:tc>
        <w:tc>
          <w:tcPr>
            <w:tcW w:w="1414"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707"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2126" w:type="dxa"/>
            <w:gridSpan w:val="3"/>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125/80</w:t>
            </w:r>
          </w:p>
        </w:tc>
        <w:tc>
          <w:tcPr>
            <w:tcW w:w="487"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72</w:t>
            </w:r>
          </w:p>
        </w:tc>
      </w:tr>
      <w:tr w:rsidR="00F12AFF" w:rsidRPr="00F12AFF" w:rsidTr="003258C5">
        <w:trPr>
          <w:gridAfter w:val="1"/>
          <w:wAfter w:w="96" w:type="dxa"/>
          <w:trHeight w:val="283"/>
        </w:trPr>
        <w:tc>
          <w:tcPr>
            <w:tcW w:w="2943"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 xml:space="preserve">32 </w:t>
            </w:r>
            <w:r w:rsidR="00F5354F" w:rsidRPr="00F12AFF">
              <w:rPr>
                <w:rFonts w:ascii="Book Antiqua" w:hAnsi="Book Antiqua" w:cs="Arial"/>
                <w:sz w:val="24"/>
              </w:rPr>
              <w:t>mo</w:t>
            </w:r>
            <w:r w:rsidRPr="00F12AFF">
              <w:rPr>
                <w:rFonts w:ascii="Book Antiqua" w:hAnsi="Book Antiqua" w:cs="Arial"/>
                <w:sz w:val="24"/>
              </w:rPr>
              <w:t xml:space="preserve"> Tadalafil 5 mg/d</w:t>
            </w:r>
          </w:p>
        </w:tc>
        <w:tc>
          <w:tcPr>
            <w:tcW w:w="1379"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10/2011</w:t>
            </w:r>
          </w:p>
        </w:tc>
        <w:tc>
          <w:tcPr>
            <w:tcW w:w="1423" w:type="dxa"/>
            <w:gridSpan w:val="2"/>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1,25</w:t>
            </w:r>
          </w:p>
        </w:tc>
        <w:tc>
          <w:tcPr>
            <w:tcW w:w="1307" w:type="dxa"/>
            <w:gridSpan w:val="2"/>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414"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707"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2126" w:type="dxa"/>
            <w:gridSpan w:val="3"/>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117/70</w:t>
            </w:r>
          </w:p>
        </w:tc>
        <w:tc>
          <w:tcPr>
            <w:tcW w:w="487"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66</w:t>
            </w:r>
          </w:p>
        </w:tc>
      </w:tr>
      <w:tr w:rsidR="00F12AFF" w:rsidRPr="00F12AFF" w:rsidTr="003258C5">
        <w:trPr>
          <w:gridAfter w:val="1"/>
          <w:wAfter w:w="96" w:type="dxa"/>
          <w:trHeight w:val="283"/>
        </w:trPr>
        <w:tc>
          <w:tcPr>
            <w:tcW w:w="2943"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 xml:space="preserve">46 </w:t>
            </w:r>
            <w:r w:rsidR="00F5354F" w:rsidRPr="00F12AFF">
              <w:rPr>
                <w:rFonts w:ascii="Book Antiqua" w:hAnsi="Book Antiqua" w:cs="Arial"/>
                <w:sz w:val="24"/>
              </w:rPr>
              <w:t>mo</w:t>
            </w:r>
            <w:r w:rsidRPr="00F12AFF">
              <w:rPr>
                <w:rFonts w:ascii="Book Antiqua" w:hAnsi="Book Antiqua" w:cs="Arial"/>
                <w:sz w:val="24"/>
              </w:rPr>
              <w:t xml:space="preserve"> Tadalafil 5 mg/d</w:t>
            </w:r>
          </w:p>
        </w:tc>
        <w:tc>
          <w:tcPr>
            <w:tcW w:w="1379"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12/2012</w:t>
            </w:r>
          </w:p>
        </w:tc>
        <w:tc>
          <w:tcPr>
            <w:tcW w:w="1423" w:type="dxa"/>
            <w:gridSpan w:val="2"/>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1,20</w:t>
            </w:r>
          </w:p>
        </w:tc>
        <w:tc>
          <w:tcPr>
            <w:tcW w:w="1307" w:type="dxa"/>
            <w:gridSpan w:val="2"/>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414"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707"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2126" w:type="dxa"/>
            <w:gridSpan w:val="3"/>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131/85</w:t>
            </w:r>
          </w:p>
        </w:tc>
        <w:tc>
          <w:tcPr>
            <w:tcW w:w="487"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70</w:t>
            </w:r>
          </w:p>
        </w:tc>
      </w:tr>
      <w:tr w:rsidR="00F12AFF" w:rsidRPr="00F12AFF" w:rsidTr="003258C5">
        <w:trPr>
          <w:gridAfter w:val="1"/>
          <w:wAfter w:w="96" w:type="dxa"/>
          <w:trHeight w:val="283"/>
        </w:trPr>
        <w:tc>
          <w:tcPr>
            <w:tcW w:w="2943"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 xml:space="preserve">53 </w:t>
            </w:r>
            <w:r w:rsidR="00F5354F" w:rsidRPr="00F12AFF">
              <w:rPr>
                <w:rFonts w:ascii="Book Antiqua" w:hAnsi="Book Antiqua" w:cs="Arial"/>
                <w:sz w:val="24"/>
              </w:rPr>
              <w:t>mo</w:t>
            </w:r>
            <w:r w:rsidRPr="00F12AFF">
              <w:rPr>
                <w:rFonts w:ascii="Book Antiqua" w:hAnsi="Book Antiqua" w:cs="Arial"/>
                <w:sz w:val="24"/>
              </w:rPr>
              <w:t xml:space="preserve"> Tadalafil 5 mg/d</w:t>
            </w:r>
          </w:p>
        </w:tc>
        <w:tc>
          <w:tcPr>
            <w:tcW w:w="1379"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07/2013</w:t>
            </w:r>
          </w:p>
        </w:tc>
        <w:tc>
          <w:tcPr>
            <w:tcW w:w="1423" w:type="dxa"/>
            <w:gridSpan w:val="2"/>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1.20</w:t>
            </w:r>
          </w:p>
        </w:tc>
        <w:tc>
          <w:tcPr>
            <w:tcW w:w="1307" w:type="dxa"/>
            <w:gridSpan w:val="2"/>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414"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707"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2126" w:type="dxa"/>
            <w:gridSpan w:val="3"/>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110/70</w:t>
            </w:r>
          </w:p>
        </w:tc>
        <w:tc>
          <w:tcPr>
            <w:tcW w:w="487"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68</w:t>
            </w:r>
          </w:p>
        </w:tc>
      </w:tr>
      <w:tr w:rsidR="00F12AFF" w:rsidRPr="00F12AFF" w:rsidTr="003258C5">
        <w:trPr>
          <w:gridAfter w:val="1"/>
          <w:wAfter w:w="96" w:type="dxa"/>
          <w:trHeight w:val="283"/>
        </w:trPr>
        <w:tc>
          <w:tcPr>
            <w:tcW w:w="2943"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 xml:space="preserve">60 </w:t>
            </w:r>
            <w:r w:rsidR="00F5354F" w:rsidRPr="00F12AFF">
              <w:rPr>
                <w:rFonts w:ascii="Book Antiqua" w:hAnsi="Book Antiqua" w:cs="Arial"/>
                <w:sz w:val="24"/>
              </w:rPr>
              <w:t>mo</w:t>
            </w:r>
            <w:r w:rsidRPr="00F12AFF">
              <w:rPr>
                <w:rFonts w:ascii="Book Antiqua" w:hAnsi="Book Antiqua" w:cs="Arial"/>
                <w:sz w:val="24"/>
              </w:rPr>
              <w:t xml:space="preserve"> Tadalafil 5 mg/d</w:t>
            </w:r>
          </w:p>
        </w:tc>
        <w:tc>
          <w:tcPr>
            <w:tcW w:w="1379"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02/2014</w:t>
            </w:r>
          </w:p>
        </w:tc>
        <w:tc>
          <w:tcPr>
            <w:tcW w:w="1423" w:type="dxa"/>
            <w:gridSpan w:val="2"/>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1.20</w:t>
            </w:r>
          </w:p>
        </w:tc>
        <w:tc>
          <w:tcPr>
            <w:tcW w:w="1307" w:type="dxa"/>
            <w:gridSpan w:val="2"/>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414"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707"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2126" w:type="dxa"/>
            <w:gridSpan w:val="3"/>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115/75</w:t>
            </w:r>
          </w:p>
        </w:tc>
        <w:tc>
          <w:tcPr>
            <w:tcW w:w="487"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78</w:t>
            </w:r>
          </w:p>
        </w:tc>
      </w:tr>
      <w:tr w:rsidR="00F12AFF" w:rsidRPr="00F12AFF" w:rsidTr="003258C5">
        <w:trPr>
          <w:gridAfter w:val="1"/>
          <w:wAfter w:w="96" w:type="dxa"/>
          <w:trHeight w:val="283"/>
        </w:trPr>
        <w:tc>
          <w:tcPr>
            <w:tcW w:w="2943"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 xml:space="preserve">70 </w:t>
            </w:r>
            <w:r w:rsidR="00F5354F" w:rsidRPr="00F12AFF">
              <w:rPr>
                <w:rFonts w:ascii="Book Antiqua" w:hAnsi="Book Antiqua" w:cs="Arial"/>
                <w:sz w:val="24"/>
              </w:rPr>
              <w:t>mo</w:t>
            </w:r>
            <w:r w:rsidRPr="00F12AFF">
              <w:rPr>
                <w:rFonts w:ascii="Book Antiqua" w:hAnsi="Book Antiqua" w:cs="Arial"/>
                <w:sz w:val="24"/>
              </w:rPr>
              <w:t xml:space="preserve"> Tadalafil 5 mg/d </w:t>
            </w:r>
          </w:p>
        </w:tc>
        <w:tc>
          <w:tcPr>
            <w:tcW w:w="1379"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12/2014</w:t>
            </w:r>
          </w:p>
        </w:tc>
        <w:tc>
          <w:tcPr>
            <w:tcW w:w="1423" w:type="dxa"/>
            <w:gridSpan w:val="2"/>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1.20</w:t>
            </w:r>
          </w:p>
        </w:tc>
        <w:tc>
          <w:tcPr>
            <w:tcW w:w="1307" w:type="dxa"/>
            <w:gridSpan w:val="2"/>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414"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707"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2126" w:type="dxa"/>
            <w:gridSpan w:val="3"/>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110/70</w:t>
            </w:r>
          </w:p>
        </w:tc>
        <w:tc>
          <w:tcPr>
            <w:tcW w:w="487"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70</w:t>
            </w:r>
          </w:p>
        </w:tc>
      </w:tr>
      <w:tr w:rsidR="00F12AFF" w:rsidRPr="00F12AFF" w:rsidTr="003258C5">
        <w:trPr>
          <w:gridAfter w:val="1"/>
          <w:wAfter w:w="96" w:type="dxa"/>
          <w:trHeight w:val="283"/>
        </w:trPr>
        <w:tc>
          <w:tcPr>
            <w:tcW w:w="2943"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 xml:space="preserve">81 </w:t>
            </w:r>
            <w:r w:rsidR="00F5354F" w:rsidRPr="00F12AFF">
              <w:rPr>
                <w:rFonts w:ascii="Book Antiqua" w:hAnsi="Book Antiqua" w:cs="Arial"/>
                <w:sz w:val="24"/>
              </w:rPr>
              <w:t>mo</w:t>
            </w:r>
            <w:r w:rsidRPr="00F12AFF">
              <w:rPr>
                <w:rFonts w:ascii="Book Antiqua" w:hAnsi="Book Antiqua" w:cs="Arial"/>
                <w:sz w:val="24"/>
              </w:rPr>
              <w:t xml:space="preserve"> Tadalafil 5 mg/d</w:t>
            </w:r>
          </w:p>
        </w:tc>
        <w:tc>
          <w:tcPr>
            <w:tcW w:w="1379"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11/2015</w:t>
            </w:r>
          </w:p>
        </w:tc>
        <w:tc>
          <w:tcPr>
            <w:tcW w:w="1423" w:type="dxa"/>
            <w:gridSpan w:val="2"/>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1,40</w:t>
            </w:r>
          </w:p>
        </w:tc>
        <w:tc>
          <w:tcPr>
            <w:tcW w:w="1307" w:type="dxa"/>
            <w:gridSpan w:val="2"/>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414"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707"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2126" w:type="dxa"/>
            <w:gridSpan w:val="3"/>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135/85</w:t>
            </w:r>
          </w:p>
        </w:tc>
        <w:tc>
          <w:tcPr>
            <w:tcW w:w="487"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65</w:t>
            </w:r>
          </w:p>
        </w:tc>
      </w:tr>
      <w:tr w:rsidR="00F12AFF" w:rsidRPr="00F12AFF" w:rsidTr="003258C5">
        <w:trPr>
          <w:gridAfter w:val="1"/>
          <w:wAfter w:w="96" w:type="dxa"/>
          <w:trHeight w:val="283"/>
        </w:trPr>
        <w:tc>
          <w:tcPr>
            <w:tcW w:w="2943"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 xml:space="preserve">84 </w:t>
            </w:r>
            <w:r w:rsidR="00F5354F" w:rsidRPr="00F12AFF">
              <w:rPr>
                <w:rFonts w:ascii="Book Antiqua" w:hAnsi="Book Antiqua" w:cs="Arial"/>
                <w:sz w:val="24"/>
              </w:rPr>
              <w:t>mo</w:t>
            </w:r>
            <w:r w:rsidRPr="00F12AFF">
              <w:rPr>
                <w:rFonts w:ascii="Book Antiqua" w:hAnsi="Book Antiqua" w:cs="Arial"/>
                <w:sz w:val="24"/>
              </w:rPr>
              <w:t xml:space="preserve"> Tadalafil 5 mg/d</w:t>
            </w:r>
          </w:p>
        </w:tc>
        <w:tc>
          <w:tcPr>
            <w:tcW w:w="1379"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12/2016</w:t>
            </w:r>
          </w:p>
        </w:tc>
        <w:tc>
          <w:tcPr>
            <w:tcW w:w="1423" w:type="dxa"/>
            <w:gridSpan w:val="2"/>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lang w:eastAsia="zh-CN"/>
              </w:rPr>
            </w:pPr>
            <w:r w:rsidRPr="00F12AFF">
              <w:rPr>
                <w:rFonts w:ascii="Book Antiqua" w:hAnsi="Book Antiqua" w:cs="Arial"/>
                <w:sz w:val="24"/>
              </w:rPr>
              <w:t>1.06</w:t>
            </w:r>
            <w:r w:rsidR="00F5354F" w:rsidRPr="00F12AFF">
              <w:rPr>
                <w:rFonts w:ascii="Book Antiqua" w:hAnsi="Book Antiqua" w:cs="Arial"/>
                <w:sz w:val="24"/>
                <w:vertAlign w:val="superscript"/>
                <w:lang w:eastAsia="zh-CN"/>
              </w:rPr>
              <w:t>1</w:t>
            </w:r>
          </w:p>
        </w:tc>
        <w:tc>
          <w:tcPr>
            <w:tcW w:w="1307" w:type="dxa"/>
            <w:gridSpan w:val="2"/>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414"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707"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2126" w:type="dxa"/>
            <w:gridSpan w:val="3"/>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135/75</w:t>
            </w:r>
          </w:p>
        </w:tc>
        <w:tc>
          <w:tcPr>
            <w:tcW w:w="487" w:type="dxa"/>
            <w:tcBorders>
              <w:top w:val="nil"/>
              <w:bottom w:val="nil"/>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85</w:t>
            </w:r>
          </w:p>
        </w:tc>
      </w:tr>
      <w:tr w:rsidR="00F12AFF" w:rsidRPr="00F12AFF" w:rsidTr="003258C5">
        <w:trPr>
          <w:gridAfter w:val="1"/>
          <w:cnfStyle w:val="010000000000" w:firstRow="0" w:lastRow="1" w:firstColumn="0" w:lastColumn="0" w:oddVBand="0" w:evenVBand="0" w:oddHBand="0" w:evenHBand="0" w:firstRowFirstColumn="0" w:firstRowLastColumn="0" w:lastRowFirstColumn="0" w:lastRowLastColumn="0"/>
          <w:wAfter w:w="96" w:type="dxa"/>
          <w:trHeight w:val="283"/>
        </w:trPr>
        <w:tc>
          <w:tcPr>
            <w:tcW w:w="2943" w:type="dxa"/>
            <w:tcBorders>
              <w:top w:val="nil"/>
              <w:bottom w:val="single" w:sz="12" w:space="0" w:color="auto"/>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lastRenderedPageBreak/>
              <w:t xml:space="preserve">93 </w:t>
            </w:r>
            <w:r w:rsidR="00F5354F" w:rsidRPr="00F12AFF">
              <w:rPr>
                <w:rFonts w:ascii="Book Antiqua" w:hAnsi="Book Antiqua" w:cs="Arial"/>
                <w:sz w:val="24"/>
              </w:rPr>
              <w:t>mo</w:t>
            </w:r>
            <w:r w:rsidRPr="00F12AFF">
              <w:rPr>
                <w:rFonts w:ascii="Book Antiqua" w:hAnsi="Book Antiqua" w:cs="Arial"/>
                <w:sz w:val="24"/>
              </w:rPr>
              <w:t xml:space="preserve"> Tadalafil 5 mg/d</w:t>
            </w:r>
          </w:p>
        </w:tc>
        <w:tc>
          <w:tcPr>
            <w:tcW w:w="1379" w:type="dxa"/>
            <w:tcBorders>
              <w:top w:val="nil"/>
              <w:bottom w:val="single" w:sz="12" w:space="0" w:color="auto"/>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09/2017</w:t>
            </w:r>
          </w:p>
        </w:tc>
        <w:tc>
          <w:tcPr>
            <w:tcW w:w="1423" w:type="dxa"/>
            <w:gridSpan w:val="2"/>
            <w:tcBorders>
              <w:top w:val="nil"/>
              <w:bottom w:val="single" w:sz="12" w:space="0" w:color="auto"/>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1.29</w:t>
            </w:r>
          </w:p>
        </w:tc>
        <w:tc>
          <w:tcPr>
            <w:tcW w:w="1307" w:type="dxa"/>
            <w:gridSpan w:val="2"/>
            <w:tcBorders>
              <w:top w:val="nil"/>
              <w:bottom w:val="single" w:sz="12" w:space="0" w:color="auto"/>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414" w:type="dxa"/>
            <w:tcBorders>
              <w:top w:val="nil"/>
              <w:bottom w:val="single" w:sz="12" w:space="0" w:color="auto"/>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1707" w:type="dxa"/>
            <w:tcBorders>
              <w:top w:val="nil"/>
              <w:bottom w:val="single" w:sz="12" w:space="0" w:color="auto"/>
            </w:tcBorders>
          </w:tcPr>
          <w:p w:rsidR="00057A6B" w:rsidRPr="00F12AFF" w:rsidRDefault="00057A6B" w:rsidP="00F12AFF">
            <w:pPr>
              <w:adjustRightInd w:val="0"/>
              <w:snapToGrid w:val="0"/>
              <w:spacing w:line="360" w:lineRule="auto"/>
              <w:jc w:val="both"/>
              <w:rPr>
                <w:rFonts w:ascii="Book Antiqua" w:hAnsi="Book Antiqua" w:cs="Arial"/>
                <w:sz w:val="24"/>
              </w:rPr>
            </w:pPr>
          </w:p>
        </w:tc>
        <w:tc>
          <w:tcPr>
            <w:tcW w:w="2126" w:type="dxa"/>
            <w:gridSpan w:val="3"/>
            <w:tcBorders>
              <w:top w:val="nil"/>
              <w:bottom w:val="single" w:sz="12" w:space="0" w:color="auto"/>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110/70</w:t>
            </w:r>
          </w:p>
        </w:tc>
        <w:tc>
          <w:tcPr>
            <w:tcW w:w="487" w:type="dxa"/>
            <w:tcBorders>
              <w:top w:val="nil"/>
              <w:bottom w:val="single" w:sz="12" w:space="0" w:color="auto"/>
            </w:tcBorders>
          </w:tcPr>
          <w:p w:rsidR="00057A6B" w:rsidRPr="00F12AFF" w:rsidRDefault="00057A6B" w:rsidP="00F12AFF">
            <w:pPr>
              <w:adjustRightInd w:val="0"/>
              <w:snapToGrid w:val="0"/>
              <w:spacing w:line="360" w:lineRule="auto"/>
              <w:jc w:val="both"/>
              <w:rPr>
                <w:rFonts w:ascii="Book Antiqua" w:hAnsi="Book Antiqua" w:cs="Arial"/>
                <w:sz w:val="24"/>
              </w:rPr>
            </w:pPr>
            <w:r w:rsidRPr="00F12AFF">
              <w:rPr>
                <w:rFonts w:ascii="Book Antiqua" w:hAnsi="Book Antiqua" w:cs="Arial"/>
                <w:sz w:val="24"/>
              </w:rPr>
              <w:t>80</w:t>
            </w:r>
          </w:p>
        </w:tc>
      </w:tr>
    </w:tbl>
    <w:p w:rsidR="001A0D00" w:rsidRPr="00F12AFF" w:rsidRDefault="00F5354F" w:rsidP="00F12AFF">
      <w:pPr>
        <w:adjustRightInd w:val="0"/>
        <w:snapToGrid w:val="0"/>
        <w:spacing w:line="360" w:lineRule="auto"/>
        <w:jc w:val="both"/>
        <w:rPr>
          <w:rFonts w:ascii="Book Antiqua" w:hAnsi="Book Antiqua" w:cs="Arial"/>
          <w:sz w:val="24"/>
          <w:lang w:val="en-GB" w:eastAsia="zh-CN"/>
        </w:rPr>
      </w:pPr>
      <w:r w:rsidRPr="00F12AFF">
        <w:rPr>
          <w:rFonts w:ascii="Book Antiqua" w:hAnsi="Book Antiqua" w:cs="Arial"/>
          <w:sz w:val="24"/>
          <w:vertAlign w:val="superscript"/>
          <w:lang w:val="en-GB" w:eastAsia="zh-CN"/>
        </w:rPr>
        <w:t>1</w:t>
      </w:r>
      <w:r w:rsidR="001A0D00" w:rsidRPr="00F12AFF">
        <w:rPr>
          <w:rFonts w:ascii="Book Antiqua" w:hAnsi="Book Antiqua" w:cs="Arial"/>
          <w:sz w:val="24"/>
          <w:lang w:val="en-GB" w:eastAsia="zh-CN"/>
        </w:rPr>
        <w:t>The duplexsonography at month 84 was done with a different device</w:t>
      </w:r>
      <w:r w:rsidRPr="00F12AFF">
        <w:rPr>
          <w:rFonts w:ascii="Book Antiqua" w:hAnsi="Book Antiqua" w:cs="Arial"/>
          <w:sz w:val="24"/>
          <w:lang w:val="en-GB" w:eastAsia="zh-CN"/>
        </w:rPr>
        <w:t>.</w:t>
      </w:r>
    </w:p>
    <w:p w:rsidR="001A0D00" w:rsidRPr="00F12AFF" w:rsidRDefault="001A0D00" w:rsidP="00F12AFF">
      <w:pPr>
        <w:adjustRightInd w:val="0"/>
        <w:snapToGrid w:val="0"/>
        <w:spacing w:line="360" w:lineRule="auto"/>
        <w:jc w:val="both"/>
        <w:rPr>
          <w:rFonts w:ascii="Book Antiqua" w:hAnsi="Book Antiqua" w:cs="Arial"/>
          <w:sz w:val="24"/>
          <w:lang w:val="en-GB" w:eastAsia="zh-CN"/>
        </w:rPr>
      </w:pPr>
    </w:p>
    <w:p w:rsidR="00F0153C" w:rsidRPr="00F12AFF" w:rsidRDefault="00F0153C" w:rsidP="00F12AFF">
      <w:pPr>
        <w:adjustRightInd w:val="0"/>
        <w:snapToGrid w:val="0"/>
        <w:spacing w:line="360" w:lineRule="auto"/>
        <w:jc w:val="both"/>
        <w:rPr>
          <w:rFonts w:ascii="Book Antiqua" w:hAnsi="Book Antiqua" w:cs="Arial"/>
          <w:sz w:val="24"/>
          <w:lang w:val="en-GB" w:eastAsia="zh-CN"/>
        </w:rPr>
      </w:pPr>
    </w:p>
    <w:sectPr w:rsidR="00F0153C" w:rsidRPr="00F12AFF" w:rsidSect="001A0D00">
      <w:pgSz w:w="16838" w:h="11906" w:orient="landscape"/>
      <w:pgMar w:top="851"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EC1" w:rsidRDefault="001A5EC1" w:rsidP="008554DF">
      <w:r>
        <w:separator/>
      </w:r>
    </w:p>
  </w:endnote>
  <w:endnote w:type="continuationSeparator" w:id="0">
    <w:p w:rsidR="001A5EC1" w:rsidRDefault="001A5EC1" w:rsidP="008554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ItalicMT">
    <w:altName w:val="hakuyoxingshu7000"/>
    <w:charset w:val="00"/>
    <w:family w:val="roman"/>
    <w:pitch w:val="default"/>
    <w:sig w:usb0="00000000" w:usb1="0000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EC1" w:rsidRDefault="001A5EC1" w:rsidP="008554DF">
      <w:r>
        <w:separator/>
      </w:r>
    </w:p>
  </w:footnote>
  <w:footnote w:type="continuationSeparator" w:id="0">
    <w:p w:rsidR="001A5EC1" w:rsidRDefault="001A5EC1" w:rsidP="008554D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ibraries" w:val="&lt;ENLibraries&gt;&lt;Libraries&gt;&lt;item&gt;librarycasereportss.enl&lt;/item&gt;&lt;/Libraries&gt;&lt;/ENLibraries&gt;"/>
    <w:docVar w:name="REFMGR.InstantFormat" w:val="&lt;InstantFormat&gt;&lt;Enabled&gt;0&lt;/Enabled&gt;&lt;ScanUnformatted&gt;1&lt;/ScanUnformatted&gt;&lt;ScanChanges&gt;1&lt;/ScanChanges&gt;&lt;/InstantFormat&gt;"/>
    <w:docVar w:name="REFMGR.Layout" w:val="&lt;Layout&gt;&lt;StartingRefnum&gt;I:\Infekt\Projekte\Case Report S&amp;#xF6;Su\Case Report SoeSuWJG\World J Gastro Style.os&lt;/StartingRefnum&gt;&lt;FontName&gt;Arial&lt;/FontName&gt;&lt;FontSize&gt;11&lt;/FontSize&gt;&lt;ReflistTitle&gt;References&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falk2000&lt;/item&gt;&lt;/Libraries&gt;&lt;/Databases&gt;"/>
  </w:docVars>
  <w:rsids>
    <w:rsidRoot w:val="00C526F7"/>
    <w:rsid w:val="00002F97"/>
    <w:rsid w:val="00010C73"/>
    <w:rsid w:val="00017500"/>
    <w:rsid w:val="0002628C"/>
    <w:rsid w:val="00032C92"/>
    <w:rsid w:val="000404F9"/>
    <w:rsid w:val="0004363F"/>
    <w:rsid w:val="000511CC"/>
    <w:rsid w:val="00052422"/>
    <w:rsid w:val="00053B55"/>
    <w:rsid w:val="0005551B"/>
    <w:rsid w:val="00057568"/>
    <w:rsid w:val="00057A6B"/>
    <w:rsid w:val="00071134"/>
    <w:rsid w:val="00072505"/>
    <w:rsid w:val="0008685F"/>
    <w:rsid w:val="00093044"/>
    <w:rsid w:val="000B1C12"/>
    <w:rsid w:val="000B3DA1"/>
    <w:rsid w:val="000B4FA2"/>
    <w:rsid w:val="000C7AF4"/>
    <w:rsid w:val="000C7DD0"/>
    <w:rsid w:val="000D1A17"/>
    <w:rsid w:val="000D3E55"/>
    <w:rsid w:val="000D5D3D"/>
    <w:rsid w:val="000E28A1"/>
    <w:rsid w:val="00101032"/>
    <w:rsid w:val="00102128"/>
    <w:rsid w:val="00103125"/>
    <w:rsid w:val="0011361B"/>
    <w:rsid w:val="00116260"/>
    <w:rsid w:val="00131550"/>
    <w:rsid w:val="00132EE7"/>
    <w:rsid w:val="001374BC"/>
    <w:rsid w:val="00141092"/>
    <w:rsid w:val="00141D4A"/>
    <w:rsid w:val="00151284"/>
    <w:rsid w:val="001553E7"/>
    <w:rsid w:val="00157A7E"/>
    <w:rsid w:val="0016203E"/>
    <w:rsid w:val="00166E73"/>
    <w:rsid w:val="00167461"/>
    <w:rsid w:val="0017296A"/>
    <w:rsid w:val="0018195A"/>
    <w:rsid w:val="00185662"/>
    <w:rsid w:val="00190BBD"/>
    <w:rsid w:val="0019451B"/>
    <w:rsid w:val="00194BC1"/>
    <w:rsid w:val="0019565C"/>
    <w:rsid w:val="001969E3"/>
    <w:rsid w:val="001A0D00"/>
    <w:rsid w:val="001A0EC2"/>
    <w:rsid w:val="001A1EF1"/>
    <w:rsid w:val="001A33C1"/>
    <w:rsid w:val="001A5EC1"/>
    <w:rsid w:val="001A7F86"/>
    <w:rsid w:val="001B57A5"/>
    <w:rsid w:val="001B6E7F"/>
    <w:rsid w:val="001C28EE"/>
    <w:rsid w:val="001C6C34"/>
    <w:rsid w:val="001D4C21"/>
    <w:rsid w:val="001D6863"/>
    <w:rsid w:val="001E16D8"/>
    <w:rsid w:val="001E1F6D"/>
    <w:rsid w:val="001E3B78"/>
    <w:rsid w:val="001F0002"/>
    <w:rsid w:val="001F5880"/>
    <w:rsid w:val="002100CF"/>
    <w:rsid w:val="0021342D"/>
    <w:rsid w:val="002139B0"/>
    <w:rsid w:val="00220998"/>
    <w:rsid w:val="00222DEE"/>
    <w:rsid w:val="00223392"/>
    <w:rsid w:val="002260EE"/>
    <w:rsid w:val="002311EE"/>
    <w:rsid w:val="00232BEA"/>
    <w:rsid w:val="00232C87"/>
    <w:rsid w:val="00242034"/>
    <w:rsid w:val="00242407"/>
    <w:rsid w:val="00244C18"/>
    <w:rsid w:val="00254CC1"/>
    <w:rsid w:val="00255C7F"/>
    <w:rsid w:val="002567AC"/>
    <w:rsid w:val="002670AD"/>
    <w:rsid w:val="00276942"/>
    <w:rsid w:val="00276C8B"/>
    <w:rsid w:val="002773A5"/>
    <w:rsid w:val="002828AC"/>
    <w:rsid w:val="00285718"/>
    <w:rsid w:val="00285E0F"/>
    <w:rsid w:val="002A16EA"/>
    <w:rsid w:val="002A37C3"/>
    <w:rsid w:val="002A40B1"/>
    <w:rsid w:val="002A6BA6"/>
    <w:rsid w:val="002B01EF"/>
    <w:rsid w:val="002C1319"/>
    <w:rsid w:val="002C3ABB"/>
    <w:rsid w:val="002E08AC"/>
    <w:rsid w:val="002E37ED"/>
    <w:rsid w:val="002F7105"/>
    <w:rsid w:val="0031697B"/>
    <w:rsid w:val="00321B32"/>
    <w:rsid w:val="003258C5"/>
    <w:rsid w:val="00331830"/>
    <w:rsid w:val="00333A87"/>
    <w:rsid w:val="00334271"/>
    <w:rsid w:val="0034078A"/>
    <w:rsid w:val="00344490"/>
    <w:rsid w:val="0034494A"/>
    <w:rsid w:val="00345C30"/>
    <w:rsid w:val="00346386"/>
    <w:rsid w:val="00350350"/>
    <w:rsid w:val="00350680"/>
    <w:rsid w:val="00366D3A"/>
    <w:rsid w:val="00381D4A"/>
    <w:rsid w:val="00385102"/>
    <w:rsid w:val="003A68DE"/>
    <w:rsid w:val="003B3077"/>
    <w:rsid w:val="003B6095"/>
    <w:rsid w:val="003C014B"/>
    <w:rsid w:val="003D32DD"/>
    <w:rsid w:val="003E0D1B"/>
    <w:rsid w:val="003E31B2"/>
    <w:rsid w:val="003F6348"/>
    <w:rsid w:val="00406BF6"/>
    <w:rsid w:val="00406D0F"/>
    <w:rsid w:val="00413713"/>
    <w:rsid w:val="00424289"/>
    <w:rsid w:val="00426722"/>
    <w:rsid w:val="00426852"/>
    <w:rsid w:val="0042736B"/>
    <w:rsid w:val="00427B1E"/>
    <w:rsid w:val="00430373"/>
    <w:rsid w:val="004336F0"/>
    <w:rsid w:val="00437765"/>
    <w:rsid w:val="004443ED"/>
    <w:rsid w:val="00455ABA"/>
    <w:rsid w:val="004579EF"/>
    <w:rsid w:val="004610AC"/>
    <w:rsid w:val="00467A49"/>
    <w:rsid w:val="00471A97"/>
    <w:rsid w:val="0047687D"/>
    <w:rsid w:val="00476FEB"/>
    <w:rsid w:val="00480879"/>
    <w:rsid w:val="0048158E"/>
    <w:rsid w:val="00482504"/>
    <w:rsid w:val="00495A53"/>
    <w:rsid w:val="004A4964"/>
    <w:rsid w:val="004A5121"/>
    <w:rsid w:val="004B1961"/>
    <w:rsid w:val="004C153F"/>
    <w:rsid w:val="004D7F05"/>
    <w:rsid w:val="004E4058"/>
    <w:rsid w:val="004F19D5"/>
    <w:rsid w:val="00500458"/>
    <w:rsid w:val="0050083E"/>
    <w:rsid w:val="005024BE"/>
    <w:rsid w:val="00520AAA"/>
    <w:rsid w:val="00524594"/>
    <w:rsid w:val="00524A41"/>
    <w:rsid w:val="0053295C"/>
    <w:rsid w:val="00541261"/>
    <w:rsid w:val="00550307"/>
    <w:rsid w:val="00555628"/>
    <w:rsid w:val="00555CBC"/>
    <w:rsid w:val="00557FBB"/>
    <w:rsid w:val="00561A11"/>
    <w:rsid w:val="005622F7"/>
    <w:rsid w:val="00565A6C"/>
    <w:rsid w:val="0056709B"/>
    <w:rsid w:val="00570233"/>
    <w:rsid w:val="00581BD6"/>
    <w:rsid w:val="0058508C"/>
    <w:rsid w:val="0059418C"/>
    <w:rsid w:val="005A2331"/>
    <w:rsid w:val="005A62EA"/>
    <w:rsid w:val="005B2711"/>
    <w:rsid w:val="005B6F52"/>
    <w:rsid w:val="005C5FF1"/>
    <w:rsid w:val="005E11F5"/>
    <w:rsid w:val="005E34D3"/>
    <w:rsid w:val="005E5C6E"/>
    <w:rsid w:val="005F718F"/>
    <w:rsid w:val="006016AA"/>
    <w:rsid w:val="00605C83"/>
    <w:rsid w:val="00623DA0"/>
    <w:rsid w:val="0062628A"/>
    <w:rsid w:val="006263B6"/>
    <w:rsid w:val="00627B1E"/>
    <w:rsid w:val="0063042E"/>
    <w:rsid w:val="0063050B"/>
    <w:rsid w:val="00630B16"/>
    <w:rsid w:val="00631477"/>
    <w:rsid w:val="00636444"/>
    <w:rsid w:val="00636C1F"/>
    <w:rsid w:val="006428A1"/>
    <w:rsid w:val="00644DB1"/>
    <w:rsid w:val="00646332"/>
    <w:rsid w:val="00653450"/>
    <w:rsid w:val="00656BDC"/>
    <w:rsid w:val="006615B7"/>
    <w:rsid w:val="00661813"/>
    <w:rsid w:val="006629C8"/>
    <w:rsid w:val="0067151B"/>
    <w:rsid w:val="00672AD4"/>
    <w:rsid w:val="00674BBD"/>
    <w:rsid w:val="006829D7"/>
    <w:rsid w:val="00684C09"/>
    <w:rsid w:val="0069299D"/>
    <w:rsid w:val="006A0006"/>
    <w:rsid w:val="006C4CA2"/>
    <w:rsid w:val="006D042D"/>
    <w:rsid w:val="006D473F"/>
    <w:rsid w:val="006D6D27"/>
    <w:rsid w:val="006F18DC"/>
    <w:rsid w:val="006F7ADA"/>
    <w:rsid w:val="00702D5D"/>
    <w:rsid w:val="00717791"/>
    <w:rsid w:val="00727854"/>
    <w:rsid w:val="00727A86"/>
    <w:rsid w:val="007334C4"/>
    <w:rsid w:val="0074502B"/>
    <w:rsid w:val="007503DD"/>
    <w:rsid w:val="007508A1"/>
    <w:rsid w:val="00753B0C"/>
    <w:rsid w:val="007548DB"/>
    <w:rsid w:val="00757D90"/>
    <w:rsid w:val="00764D37"/>
    <w:rsid w:val="00770629"/>
    <w:rsid w:val="00774539"/>
    <w:rsid w:val="007917DE"/>
    <w:rsid w:val="007967CA"/>
    <w:rsid w:val="007A04CD"/>
    <w:rsid w:val="007A1EBC"/>
    <w:rsid w:val="007A2D1F"/>
    <w:rsid w:val="007A7841"/>
    <w:rsid w:val="007B0B87"/>
    <w:rsid w:val="007B13AA"/>
    <w:rsid w:val="007B2884"/>
    <w:rsid w:val="007B325B"/>
    <w:rsid w:val="007C3C8D"/>
    <w:rsid w:val="007C4FE5"/>
    <w:rsid w:val="007C65FF"/>
    <w:rsid w:val="007D09FE"/>
    <w:rsid w:val="007D0FD4"/>
    <w:rsid w:val="007D3AA9"/>
    <w:rsid w:val="007D59FB"/>
    <w:rsid w:val="007D7217"/>
    <w:rsid w:val="007E1623"/>
    <w:rsid w:val="007E6F43"/>
    <w:rsid w:val="007F2037"/>
    <w:rsid w:val="007F24B3"/>
    <w:rsid w:val="007F7EBE"/>
    <w:rsid w:val="0080127D"/>
    <w:rsid w:val="00810AFA"/>
    <w:rsid w:val="008246B9"/>
    <w:rsid w:val="0083125B"/>
    <w:rsid w:val="008348FF"/>
    <w:rsid w:val="00835F8D"/>
    <w:rsid w:val="00837171"/>
    <w:rsid w:val="00840B8C"/>
    <w:rsid w:val="00840C76"/>
    <w:rsid w:val="00842659"/>
    <w:rsid w:val="00843204"/>
    <w:rsid w:val="008554DF"/>
    <w:rsid w:val="00866CE4"/>
    <w:rsid w:val="0087266E"/>
    <w:rsid w:val="00881E79"/>
    <w:rsid w:val="00882C62"/>
    <w:rsid w:val="00885B1A"/>
    <w:rsid w:val="00891FCA"/>
    <w:rsid w:val="00897B65"/>
    <w:rsid w:val="008A3125"/>
    <w:rsid w:val="008B005B"/>
    <w:rsid w:val="008B0C09"/>
    <w:rsid w:val="008D28EC"/>
    <w:rsid w:val="008D7F5C"/>
    <w:rsid w:val="008E3DDF"/>
    <w:rsid w:val="008E6B42"/>
    <w:rsid w:val="008F33A4"/>
    <w:rsid w:val="009062BF"/>
    <w:rsid w:val="00907C34"/>
    <w:rsid w:val="009177C3"/>
    <w:rsid w:val="009228E7"/>
    <w:rsid w:val="00925EC0"/>
    <w:rsid w:val="009315D0"/>
    <w:rsid w:val="0093377F"/>
    <w:rsid w:val="009402DC"/>
    <w:rsid w:val="00940BEA"/>
    <w:rsid w:val="00941A3F"/>
    <w:rsid w:val="00946262"/>
    <w:rsid w:val="00946D5E"/>
    <w:rsid w:val="00955140"/>
    <w:rsid w:val="00955169"/>
    <w:rsid w:val="00957B4A"/>
    <w:rsid w:val="00957C04"/>
    <w:rsid w:val="00962D14"/>
    <w:rsid w:val="00977250"/>
    <w:rsid w:val="00984A95"/>
    <w:rsid w:val="00993F86"/>
    <w:rsid w:val="00996083"/>
    <w:rsid w:val="00997489"/>
    <w:rsid w:val="009A6C68"/>
    <w:rsid w:val="009B0956"/>
    <w:rsid w:val="009B493C"/>
    <w:rsid w:val="009B5B0E"/>
    <w:rsid w:val="009B62E6"/>
    <w:rsid w:val="009C22D5"/>
    <w:rsid w:val="009C5784"/>
    <w:rsid w:val="009D7C1E"/>
    <w:rsid w:val="009F68F8"/>
    <w:rsid w:val="00A01AF6"/>
    <w:rsid w:val="00A06948"/>
    <w:rsid w:val="00A1321D"/>
    <w:rsid w:val="00A227D3"/>
    <w:rsid w:val="00A26C28"/>
    <w:rsid w:val="00A27FBD"/>
    <w:rsid w:val="00A31FC9"/>
    <w:rsid w:val="00A33530"/>
    <w:rsid w:val="00A36900"/>
    <w:rsid w:val="00A40088"/>
    <w:rsid w:val="00A43AEF"/>
    <w:rsid w:val="00A45137"/>
    <w:rsid w:val="00A47A14"/>
    <w:rsid w:val="00A50DD2"/>
    <w:rsid w:val="00A56ED9"/>
    <w:rsid w:val="00A628C9"/>
    <w:rsid w:val="00A62FF2"/>
    <w:rsid w:val="00A70355"/>
    <w:rsid w:val="00A836F3"/>
    <w:rsid w:val="00A8641B"/>
    <w:rsid w:val="00A8679E"/>
    <w:rsid w:val="00A87838"/>
    <w:rsid w:val="00A87E28"/>
    <w:rsid w:val="00A9168E"/>
    <w:rsid w:val="00AA06D7"/>
    <w:rsid w:val="00AA1641"/>
    <w:rsid w:val="00AA3B52"/>
    <w:rsid w:val="00AB13B8"/>
    <w:rsid w:val="00AB176B"/>
    <w:rsid w:val="00AB1FC3"/>
    <w:rsid w:val="00AB252F"/>
    <w:rsid w:val="00AB638D"/>
    <w:rsid w:val="00AC29AA"/>
    <w:rsid w:val="00AD4499"/>
    <w:rsid w:val="00AE5D99"/>
    <w:rsid w:val="00AF35A2"/>
    <w:rsid w:val="00B145ED"/>
    <w:rsid w:val="00B14D6C"/>
    <w:rsid w:val="00B1550B"/>
    <w:rsid w:val="00B27987"/>
    <w:rsid w:val="00B32BCD"/>
    <w:rsid w:val="00B34FD2"/>
    <w:rsid w:val="00B412E3"/>
    <w:rsid w:val="00B441FE"/>
    <w:rsid w:val="00B45B26"/>
    <w:rsid w:val="00B5127B"/>
    <w:rsid w:val="00B55543"/>
    <w:rsid w:val="00B557AE"/>
    <w:rsid w:val="00B56369"/>
    <w:rsid w:val="00B64B26"/>
    <w:rsid w:val="00B65FB3"/>
    <w:rsid w:val="00B66B36"/>
    <w:rsid w:val="00B67044"/>
    <w:rsid w:val="00B67C82"/>
    <w:rsid w:val="00B76E54"/>
    <w:rsid w:val="00B8315D"/>
    <w:rsid w:val="00B86B21"/>
    <w:rsid w:val="00B9126D"/>
    <w:rsid w:val="00BA2BEC"/>
    <w:rsid w:val="00BA4C06"/>
    <w:rsid w:val="00BA5567"/>
    <w:rsid w:val="00BA7768"/>
    <w:rsid w:val="00BB4D91"/>
    <w:rsid w:val="00BB6F3A"/>
    <w:rsid w:val="00BC2B1A"/>
    <w:rsid w:val="00BE3BB6"/>
    <w:rsid w:val="00BE4359"/>
    <w:rsid w:val="00BF05F3"/>
    <w:rsid w:val="00BF70E4"/>
    <w:rsid w:val="00C000A4"/>
    <w:rsid w:val="00C015BC"/>
    <w:rsid w:val="00C0252B"/>
    <w:rsid w:val="00C06369"/>
    <w:rsid w:val="00C06933"/>
    <w:rsid w:val="00C075D8"/>
    <w:rsid w:val="00C22D3A"/>
    <w:rsid w:val="00C24D13"/>
    <w:rsid w:val="00C267C1"/>
    <w:rsid w:val="00C44D88"/>
    <w:rsid w:val="00C526F7"/>
    <w:rsid w:val="00C66DA8"/>
    <w:rsid w:val="00C676B2"/>
    <w:rsid w:val="00C7143E"/>
    <w:rsid w:val="00C743BA"/>
    <w:rsid w:val="00C81107"/>
    <w:rsid w:val="00C81234"/>
    <w:rsid w:val="00C86938"/>
    <w:rsid w:val="00C86A9C"/>
    <w:rsid w:val="00C90A9E"/>
    <w:rsid w:val="00C93BD9"/>
    <w:rsid w:val="00C97386"/>
    <w:rsid w:val="00C97C17"/>
    <w:rsid w:val="00CA19F7"/>
    <w:rsid w:val="00CA5538"/>
    <w:rsid w:val="00CB075B"/>
    <w:rsid w:val="00CB4F0B"/>
    <w:rsid w:val="00CB5BF1"/>
    <w:rsid w:val="00CC1110"/>
    <w:rsid w:val="00CC4CFB"/>
    <w:rsid w:val="00CD0A30"/>
    <w:rsid w:val="00CD23A9"/>
    <w:rsid w:val="00CD2699"/>
    <w:rsid w:val="00CD56C7"/>
    <w:rsid w:val="00CD7EF8"/>
    <w:rsid w:val="00CE1C7A"/>
    <w:rsid w:val="00CE4785"/>
    <w:rsid w:val="00CF090B"/>
    <w:rsid w:val="00CF6BCD"/>
    <w:rsid w:val="00D0051F"/>
    <w:rsid w:val="00D0076D"/>
    <w:rsid w:val="00D00AE8"/>
    <w:rsid w:val="00D05421"/>
    <w:rsid w:val="00D211D5"/>
    <w:rsid w:val="00D225D2"/>
    <w:rsid w:val="00D23A4F"/>
    <w:rsid w:val="00D2760B"/>
    <w:rsid w:val="00D40691"/>
    <w:rsid w:val="00D51E40"/>
    <w:rsid w:val="00D548BE"/>
    <w:rsid w:val="00D56F58"/>
    <w:rsid w:val="00D62557"/>
    <w:rsid w:val="00D62A90"/>
    <w:rsid w:val="00D6765E"/>
    <w:rsid w:val="00D70DD2"/>
    <w:rsid w:val="00D75B87"/>
    <w:rsid w:val="00D77985"/>
    <w:rsid w:val="00D8185B"/>
    <w:rsid w:val="00D934E2"/>
    <w:rsid w:val="00D94259"/>
    <w:rsid w:val="00DB39C3"/>
    <w:rsid w:val="00DB3C21"/>
    <w:rsid w:val="00DB54A4"/>
    <w:rsid w:val="00DB59C2"/>
    <w:rsid w:val="00DC3858"/>
    <w:rsid w:val="00DC6066"/>
    <w:rsid w:val="00DD348D"/>
    <w:rsid w:val="00DD479A"/>
    <w:rsid w:val="00DD665E"/>
    <w:rsid w:val="00DE4BDF"/>
    <w:rsid w:val="00DF0164"/>
    <w:rsid w:val="00DF39E0"/>
    <w:rsid w:val="00DF7AB6"/>
    <w:rsid w:val="00E03C9C"/>
    <w:rsid w:val="00E07311"/>
    <w:rsid w:val="00E10F60"/>
    <w:rsid w:val="00E1551B"/>
    <w:rsid w:val="00E1673F"/>
    <w:rsid w:val="00E213F7"/>
    <w:rsid w:val="00E30C57"/>
    <w:rsid w:val="00E30E41"/>
    <w:rsid w:val="00E316BB"/>
    <w:rsid w:val="00E3253A"/>
    <w:rsid w:val="00E44D45"/>
    <w:rsid w:val="00E44EA2"/>
    <w:rsid w:val="00E476BF"/>
    <w:rsid w:val="00E5001E"/>
    <w:rsid w:val="00E55DCE"/>
    <w:rsid w:val="00E715FA"/>
    <w:rsid w:val="00E720A6"/>
    <w:rsid w:val="00E7397D"/>
    <w:rsid w:val="00E750D6"/>
    <w:rsid w:val="00E75B65"/>
    <w:rsid w:val="00E7608E"/>
    <w:rsid w:val="00E808CD"/>
    <w:rsid w:val="00E84944"/>
    <w:rsid w:val="00E87FD3"/>
    <w:rsid w:val="00E948F0"/>
    <w:rsid w:val="00E957AD"/>
    <w:rsid w:val="00EA0570"/>
    <w:rsid w:val="00EA10B7"/>
    <w:rsid w:val="00EA1F20"/>
    <w:rsid w:val="00EB0594"/>
    <w:rsid w:val="00EB4E0F"/>
    <w:rsid w:val="00EB5872"/>
    <w:rsid w:val="00EB5920"/>
    <w:rsid w:val="00EC6365"/>
    <w:rsid w:val="00EE2C7B"/>
    <w:rsid w:val="00EE5019"/>
    <w:rsid w:val="00F0153C"/>
    <w:rsid w:val="00F02FAE"/>
    <w:rsid w:val="00F050E0"/>
    <w:rsid w:val="00F12557"/>
    <w:rsid w:val="00F12AFF"/>
    <w:rsid w:val="00F148D5"/>
    <w:rsid w:val="00F254BF"/>
    <w:rsid w:val="00F27458"/>
    <w:rsid w:val="00F34EE1"/>
    <w:rsid w:val="00F361AC"/>
    <w:rsid w:val="00F40EBA"/>
    <w:rsid w:val="00F42164"/>
    <w:rsid w:val="00F4586F"/>
    <w:rsid w:val="00F4735B"/>
    <w:rsid w:val="00F5354F"/>
    <w:rsid w:val="00F53ACD"/>
    <w:rsid w:val="00F641AB"/>
    <w:rsid w:val="00F72A17"/>
    <w:rsid w:val="00F74FD1"/>
    <w:rsid w:val="00F807C3"/>
    <w:rsid w:val="00F833CA"/>
    <w:rsid w:val="00F8431A"/>
    <w:rsid w:val="00F85A94"/>
    <w:rsid w:val="00FA0E56"/>
    <w:rsid w:val="00FA4A17"/>
    <w:rsid w:val="00FB7DE5"/>
    <w:rsid w:val="00FC196B"/>
    <w:rsid w:val="00FC3B3C"/>
    <w:rsid w:val="00FC7AF8"/>
    <w:rsid w:val="00FD5142"/>
    <w:rsid w:val="00FF1E14"/>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0570"/>
    <w:rPr>
      <w:rFonts w:ascii="Arial" w:hAnsi="Arial"/>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rmatvorlageArial11pt">
    <w:name w:val="Formatvorlage Arial 11 pt"/>
    <w:basedOn w:val="DefaultParagraphFont"/>
    <w:rsid w:val="00EA0570"/>
    <w:rPr>
      <w:rFonts w:ascii="Arial" w:hAnsi="Arial"/>
      <w:sz w:val="22"/>
    </w:rPr>
  </w:style>
  <w:style w:type="character" w:styleId="Hyperlink">
    <w:name w:val="Hyperlink"/>
    <w:basedOn w:val="DefaultParagraphFont"/>
    <w:rsid w:val="0016203E"/>
    <w:rPr>
      <w:color w:val="0000FF"/>
      <w:u w:val="single"/>
    </w:rPr>
  </w:style>
  <w:style w:type="paragraph" w:styleId="NormalWeb">
    <w:name w:val="Normal (Web)"/>
    <w:basedOn w:val="Normal"/>
    <w:uiPriority w:val="99"/>
    <w:rsid w:val="00254CC1"/>
    <w:pPr>
      <w:spacing w:before="100" w:beforeAutospacing="1" w:after="100" w:afterAutospacing="1"/>
    </w:pPr>
    <w:rPr>
      <w:rFonts w:ascii="Times New Roman" w:hAnsi="Times New Roman"/>
      <w:sz w:val="24"/>
    </w:rPr>
  </w:style>
  <w:style w:type="table" w:styleId="TableSimple1">
    <w:name w:val="Table Simple 1"/>
    <w:basedOn w:val="TableNormal"/>
    <w:rsid w:val="007B325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CommentReference">
    <w:name w:val="annotation reference"/>
    <w:basedOn w:val="DefaultParagraphFont"/>
    <w:rsid w:val="00CB5BF1"/>
    <w:rPr>
      <w:sz w:val="16"/>
      <w:szCs w:val="16"/>
    </w:rPr>
  </w:style>
  <w:style w:type="paragraph" w:styleId="CommentText">
    <w:name w:val="annotation text"/>
    <w:basedOn w:val="Normal"/>
    <w:link w:val="CommentTextChar"/>
    <w:qFormat/>
    <w:rsid w:val="00CB5BF1"/>
    <w:rPr>
      <w:sz w:val="20"/>
      <w:szCs w:val="20"/>
    </w:rPr>
  </w:style>
  <w:style w:type="paragraph" w:styleId="CommentSubject">
    <w:name w:val="annotation subject"/>
    <w:basedOn w:val="CommentText"/>
    <w:next w:val="CommentText"/>
    <w:semiHidden/>
    <w:rsid w:val="00CB5BF1"/>
    <w:rPr>
      <w:b/>
      <w:bCs/>
    </w:rPr>
  </w:style>
  <w:style w:type="paragraph" w:styleId="BalloonText">
    <w:name w:val="Balloon Text"/>
    <w:basedOn w:val="Normal"/>
    <w:semiHidden/>
    <w:rsid w:val="00CB5BF1"/>
    <w:rPr>
      <w:rFonts w:ascii="Tahoma" w:hAnsi="Tahoma" w:cs="Tahoma"/>
      <w:sz w:val="16"/>
      <w:szCs w:val="16"/>
    </w:rPr>
  </w:style>
  <w:style w:type="paragraph" w:styleId="Bibliography">
    <w:name w:val="Bibliography"/>
    <w:basedOn w:val="Normal"/>
    <w:next w:val="Normal"/>
    <w:uiPriority w:val="37"/>
    <w:unhideWhenUsed/>
    <w:rsid w:val="0031697B"/>
    <w:pPr>
      <w:tabs>
        <w:tab w:val="left" w:pos="504"/>
      </w:tabs>
      <w:spacing w:after="240"/>
      <w:ind w:left="504" w:hanging="504"/>
    </w:pPr>
  </w:style>
  <w:style w:type="paragraph" w:styleId="Header">
    <w:name w:val="header"/>
    <w:basedOn w:val="Normal"/>
    <w:link w:val="HeaderChar"/>
    <w:uiPriority w:val="99"/>
    <w:unhideWhenUsed/>
    <w:rsid w:val="008554D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554DF"/>
    <w:rPr>
      <w:rFonts w:ascii="Arial" w:hAnsi="Arial"/>
      <w:sz w:val="18"/>
      <w:szCs w:val="18"/>
    </w:rPr>
  </w:style>
  <w:style w:type="paragraph" w:styleId="Footer">
    <w:name w:val="footer"/>
    <w:basedOn w:val="Normal"/>
    <w:link w:val="FooterChar"/>
    <w:uiPriority w:val="99"/>
    <w:unhideWhenUsed/>
    <w:rsid w:val="008554DF"/>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554DF"/>
    <w:rPr>
      <w:rFonts w:ascii="Arial" w:hAnsi="Arial"/>
      <w:sz w:val="18"/>
      <w:szCs w:val="18"/>
    </w:rPr>
  </w:style>
  <w:style w:type="character" w:customStyle="1" w:styleId="CommentTextChar">
    <w:name w:val="Comment Text Char"/>
    <w:link w:val="CommentText"/>
    <w:locked/>
    <w:rsid w:val="008554DF"/>
    <w:rPr>
      <w:rFonts w:ascii="Arial" w:hAnsi="Arial"/>
    </w:rPr>
  </w:style>
  <w:style w:type="character" w:styleId="Strong">
    <w:name w:val="Strong"/>
    <w:uiPriority w:val="22"/>
    <w:qFormat/>
    <w:rsid w:val="00A87838"/>
    <w:rPr>
      <w:b/>
      <w:bCs/>
    </w:rPr>
  </w:style>
  <w:style w:type="paragraph" w:styleId="ListParagraph">
    <w:name w:val="List Paragraph"/>
    <w:basedOn w:val="Normal"/>
    <w:uiPriority w:val="34"/>
    <w:qFormat/>
    <w:rsid w:val="00A87838"/>
    <w:pPr>
      <w:suppressAutoHyphens/>
      <w:ind w:firstLineChars="200" w:firstLine="420"/>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66454">
      <w:bodyDiv w:val="1"/>
      <w:marLeft w:val="0"/>
      <w:marRight w:val="0"/>
      <w:marTop w:val="0"/>
      <w:marBottom w:val="0"/>
      <w:divBdr>
        <w:top w:val="none" w:sz="0" w:space="0" w:color="auto"/>
        <w:left w:val="none" w:sz="0" w:space="0" w:color="auto"/>
        <w:bottom w:val="none" w:sz="0" w:space="0" w:color="auto"/>
        <w:right w:val="none" w:sz="0" w:space="0" w:color="auto"/>
      </w:divBdr>
      <w:divsChild>
        <w:div w:id="311712578">
          <w:marLeft w:val="0"/>
          <w:marRight w:val="0"/>
          <w:marTop w:val="0"/>
          <w:marBottom w:val="0"/>
          <w:divBdr>
            <w:top w:val="none" w:sz="0" w:space="0" w:color="auto"/>
            <w:left w:val="none" w:sz="0" w:space="0" w:color="auto"/>
            <w:bottom w:val="none" w:sz="0" w:space="0" w:color="auto"/>
            <w:right w:val="none" w:sz="0" w:space="0" w:color="auto"/>
          </w:divBdr>
          <w:divsChild>
            <w:div w:id="800419865">
              <w:marLeft w:val="0"/>
              <w:marRight w:val="0"/>
              <w:marTop w:val="0"/>
              <w:marBottom w:val="0"/>
              <w:divBdr>
                <w:top w:val="none" w:sz="0" w:space="0" w:color="auto"/>
                <w:left w:val="none" w:sz="0" w:space="0" w:color="auto"/>
                <w:bottom w:val="none" w:sz="0" w:space="0" w:color="auto"/>
                <w:right w:val="none" w:sz="0" w:space="0" w:color="auto"/>
              </w:divBdr>
            </w:div>
            <w:div w:id="951742553">
              <w:marLeft w:val="0"/>
              <w:marRight w:val="0"/>
              <w:marTop w:val="0"/>
              <w:marBottom w:val="0"/>
              <w:divBdr>
                <w:top w:val="none" w:sz="0" w:space="0" w:color="auto"/>
                <w:left w:val="none" w:sz="0" w:space="0" w:color="auto"/>
                <w:bottom w:val="none" w:sz="0" w:space="0" w:color="auto"/>
                <w:right w:val="none" w:sz="0" w:space="0" w:color="auto"/>
              </w:divBdr>
            </w:div>
            <w:div w:id="1321497460">
              <w:marLeft w:val="0"/>
              <w:marRight w:val="0"/>
              <w:marTop w:val="0"/>
              <w:marBottom w:val="0"/>
              <w:divBdr>
                <w:top w:val="none" w:sz="0" w:space="0" w:color="auto"/>
                <w:left w:val="none" w:sz="0" w:space="0" w:color="auto"/>
                <w:bottom w:val="none" w:sz="0" w:space="0" w:color="auto"/>
                <w:right w:val="none" w:sz="0" w:space="0" w:color="auto"/>
              </w:divBdr>
            </w:div>
            <w:div w:id="15040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155919">
      <w:bodyDiv w:val="1"/>
      <w:marLeft w:val="0"/>
      <w:marRight w:val="0"/>
      <w:marTop w:val="0"/>
      <w:marBottom w:val="0"/>
      <w:divBdr>
        <w:top w:val="none" w:sz="0" w:space="0" w:color="auto"/>
        <w:left w:val="none" w:sz="0" w:space="0" w:color="auto"/>
        <w:bottom w:val="none" w:sz="0" w:space="0" w:color="auto"/>
        <w:right w:val="none" w:sz="0" w:space="0" w:color="auto"/>
      </w:divBdr>
      <w:divsChild>
        <w:div w:id="1219703549">
          <w:marLeft w:val="0"/>
          <w:marRight w:val="0"/>
          <w:marTop w:val="0"/>
          <w:marBottom w:val="0"/>
          <w:divBdr>
            <w:top w:val="none" w:sz="0" w:space="0" w:color="auto"/>
            <w:left w:val="none" w:sz="0" w:space="0" w:color="auto"/>
            <w:bottom w:val="none" w:sz="0" w:space="0" w:color="auto"/>
            <w:right w:val="none" w:sz="0" w:space="0" w:color="auto"/>
          </w:divBdr>
          <w:divsChild>
            <w:div w:id="592275455">
              <w:marLeft w:val="0"/>
              <w:marRight w:val="0"/>
              <w:marTop w:val="0"/>
              <w:marBottom w:val="0"/>
              <w:divBdr>
                <w:top w:val="none" w:sz="0" w:space="0" w:color="auto"/>
                <w:left w:val="none" w:sz="0" w:space="0" w:color="auto"/>
                <w:bottom w:val="none" w:sz="0" w:space="0" w:color="auto"/>
                <w:right w:val="none" w:sz="0" w:space="0" w:color="auto"/>
              </w:divBdr>
            </w:div>
            <w:div w:id="1039473423">
              <w:marLeft w:val="0"/>
              <w:marRight w:val="0"/>
              <w:marTop w:val="0"/>
              <w:marBottom w:val="0"/>
              <w:divBdr>
                <w:top w:val="none" w:sz="0" w:space="0" w:color="auto"/>
                <w:left w:val="none" w:sz="0" w:space="0" w:color="auto"/>
                <w:bottom w:val="none" w:sz="0" w:space="0" w:color="auto"/>
                <w:right w:val="none" w:sz="0" w:space="0" w:color="auto"/>
              </w:divBdr>
            </w:div>
            <w:div w:id="1168449523">
              <w:marLeft w:val="0"/>
              <w:marRight w:val="0"/>
              <w:marTop w:val="0"/>
              <w:marBottom w:val="0"/>
              <w:divBdr>
                <w:top w:val="none" w:sz="0" w:space="0" w:color="auto"/>
                <w:left w:val="none" w:sz="0" w:space="0" w:color="auto"/>
                <w:bottom w:val="none" w:sz="0" w:space="0" w:color="auto"/>
                <w:right w:val="none" w:sz="0" w:space="0" w:color="auto"/>
              </w:divBdr>
            </w:div>
            <w:div w:id="124579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03264">
      <w:bodyDiv w:val="1"/>
      <w:marLeft w:val="0"/>
      <w:marRight w:val="0"/>
      <w:marTop w:val="0"/>
      <w:marBottom w:val="0"/>
      <w:divBdr>
        <w:top w:val="none" w:sz="0" w:space="0" w:color="auto"/>
        <w:left w:val="none" w:sz="0" w:space="0" w:color="auto"/>
        <w:bottom w:val="none" w:sz="0" w:space="0" w:color="auto"/>
        <w:right w:val="none" w:sz="0" w:space="0" w:color="auto"/>
      </w:divBdr>
      <w:divsChild>
        <w:div w:id="1713965328">
          <w:marLeft w:val="0"/>
          <w:marRight w:val="0"/>
          <w:marTop w:val="0"/>
          <w:marBottom w:val="0"/>
          <w:divBdr>
            <w:top w:val="none" w:sz="0" w:space="0" w:color="auto"/>
            <w:left w:val="none" w:sz="0" w:space="0" w:color="auto"/>
            <w:bottom w:val="none" w:sz="0" w:space="0" w:color="auto"/>
            <w:right w:val="none" w:sz="0" w:space="0" w:color="auto"/>
          </w:divBdr>
          <w:divsChild>
            <w:div w:id="373694507">
              <w:marLeft w:val="0"/>
              <w:marRight w:val="0"/>
              <w:marTop w:val="0"/>
              <w:marBottom w:val="0"/>
              <w:divBdr>
                <w:top w:val="none" w:sz="0" w:space="0" w:color="auto"/>
                <w:left w:val="none" w:sz="0" w:space="0" w:color="auto"/>
                <w:bottom w:val="none" w:sz="0" w:space="0" w:color="auto"/>
                <w:right w:val="none" w:sz="0" w:space="0" w:color="auto"/>
              </w:divBdr>
            </w:div>
            <w:div w:id="443620994">
              <w:marLeft w:val="0"/>
              <w:marRight w:val="0"/>
              <w:marTop w:val="0"/>
              <w:marBottom w:val="0"/>
              <w:divBdr>
                <w:top w:val="none" w:sz="0" w:space="0" w:color="auto"/>
                <w:left w:val="none" w:sz="0" w:space="0" w:color="auto"/>
                <w:bottom w:val="none" w:sz="0" w:space="0" w:color="auto"/>
                <w:right w:val="none" w:sz="0" w:space="0" w:color="auto"/>
              </w:divBdr>
            </w:div>
            <w:div w:id="46643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70635">
      <w:bodyDiv w:val="1"/>
      <w:marLeft w:val="0"/>
      <w:marRight w:val="0"/>
      <w:marTop w:val="0"/>
      <w:marBottom w:val="0"/>
      <w:divBdr>
        <w:top w:val="none" w:sz="0" w:space="0" w:color="auto"/>
        <w:left w:val="none" w:sz="0" w:space="0" w:color="auto"/>
        <w:bottom w:val="none" w:sz="0" w:space="0" w:color="auto"/>
        <w:right w:val="none" w:sz="0" w:space="0" w:color="auto"/>
      </w:divBdr>
      <w:divsChild>
        <w:div w:id="334456808">
          <w:marLeft w:val="0"/>
          <w:marRight w:val="0"/>
          <w:marTop w:val="0"/>
          <w:marBottom w:val="0"/>
          <w:divBdr>
            <w:top w:val="none" w:sz="0" w:space="0" w:color="auto"/>
            <w:left w:val="none" w:sz="0" w:space="0" w:color="auto"/>
            <w:bottom w:val="none" w:sz="0" w:space="0" w:color="auto"/>
            <w:right w:val="none" w:sz="0" w:space="0" w:color="auto"/>
          </w:divBdr>
          <w:divsChild>
            <w:div w:id="171605308">
              <w:marLeft w:val="0"/>
              <w:marRight w:val="0"/>
              <w:marTop w:val="0"/>
              <w:marBottom w:val="0"/>
              <w:divBdr>
                <w:top w:val="none" w:sz="0" w:space="0" w:color="auto"/>
                <w:left w:val="none" w:sz="0" w:space="0" w:color="auto"/>
                <w:bottom w:val="none" w:sz="0" w:space="0" w:color="auto"/>
                <w:right w:val="none" w:sz="0" w:space="0" w:color="auto"/>
              </w:divBdr>
            </w:div>
            <w:div w:id="300352267">
              <w:marLeft w:val="0"/>
              <w:marRight w:val="0"/>
              <w:marTop w:val="0"/>
              <w:marBottom w:val="0"/>
              <w:divBdr>
                <w:top w:val="none" w:sz="0" w:space="0" w:color="auto"/>
                <w:left w:val="none" w:sz="0" w:space="0" w:color="auto"/>
                <w:bottom w:val="none" w:sz="0" w:space="0" w:color="auto"/>
                <w:right w:val="none" w:sz="0" w:space="0" w:color="auto"/>
              </w:divBdr>
            </w:div>
            <w:div w:id="440027828">
              <w:marLeft w:val="0"/>
              <w:marRight w:val="0"/>
              <w:marTop w:val="0"/>
              <w:marBottom w:val="0"/>
              <w:divBdr>
                <w:top w:val="none" w:sz="0" w:space="0" w:color="auto"/>
                <w:left w:val="none" w:sz="0" w:space="0" w:color="auto"/>
                <w:bottom w:val="none" w:sz="0" w:space="0" w:color="auto"/>
                <w:right w:val="none" w:sz="0" w:space="0" w:color="auto"/>
              </w:divBdr>
            </w:div>
            <w:div w:id="1109468266">
              <w:marLeft w:val="0"/>
              <w:marRight w:val="0"/>
              <w:marTop w:val="0"/>
              <w:marBottom w:val="0"/>
              <w:divBdr>
                <w:top w:val="none" w:sz="0" w:space="0" w:color="auto"/>
                <w:left w:val="none" w:sz="0" w:space="0" w:color="auto"/>
                <w:bottom w:val="none" w:sz="0" w:space="0" w:color="auto"/>
                <w:right w:val="none" w:sz="0" w:space="0" w:color="auto"/>
              </w:divBdr>
            </w:div>
            <w:div w:id="18668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4646">
      <w:bodyDiv w:val="1"/>
      <w:marLeft w:val="0"/>
      <w:marRight w:val="0"/>
      <w:marTop w:val="0"/>
      <w:marBottom w:val="0"/>
      <w:divBdr>
        <w:top w:val="none" w:sz="0" w:space="0" w:color="auto"/>
        <w:left w:val="none" w:sz="0" w:space="0" w:color="auto"/>
        <w:bottom w:val="none" w:sz="0" w:space="0" w:color="auto"/>
        <w:right w:val="none" w:sz="0" w:space="0" w:color="auto"/>
      </w:divBdr>
    </w:div>
    <w:div w:id="1942642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1BAA6-50DD-4C04-93D4-103C903F2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4667</Words>
  <Characters>26603</Characters>
  <Application>Microsoft Office Word</Application>
  <DocSecurity>2</DocSecurity>
  <Lines>221</Lines>
  <Paragraphs>62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Beneficial long term effect of a phosphodiesterase 5 inhibitor in portal hypertension</vt:lpstr>
      <vt:lpstr>Beneficial long term effect of a phosphodiesterase 5 inhibitor in portal hypertension</vt:lpstr>
    </vt:vector>
  </TitlesOfParts>
  <LinksUpToDate>false</LinksUpToDate>
  <CharactersWithSpaces>31208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Beneficial long term effect of a phosphodiesterase 5 inhibitor in portal hypertension</dc:title>
  <dc:creator/>
  <cp:lastModifiedBy/>
  <cp:revision>1</cp:revision>
  <cp:lastPrinted>2012-01-02T07:54:00Z</cp:lastPrinted>
  <dcterms:created xsi:type="dcterms:W3CDTF">2017-12-04T19:01:00Z</dcterms:created>
  <dcterms:modified xsi:type="dcterms:W3CDTF">2017-12-04T19:01:00Z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zotero-version="4.0.29.23"&gt;&lt;session id="pInpl2qo"/&gt;&lt;style id="http://www.zotero.org/styles/world-journal-of-gastroenterology" hasBibliography="1" bibliographyStyleHasBeenSet="1"/&gt;&lt;prefs&gt;&lt;pref name="fieldType" value="Field"/&gt;&lt;pref na</vt:lpwstr>
  </property>
  <property fmtid="{D5CDD505-2E9C-101B-9397-08002B2CF9AE}" pid="3" name="ZOTERO_PREF_2">
    <vt:lpwstr>me="storeReferences" value="true"/&gt;&lt;pref name="automaticJournalAbbreviations" value="true"/&gt;&lt;pref name="noteType" value=""/&gt;&lt;/prefs&gt;&lt;/data&gt;</vt:lpwstr>
  </property>
</Properties>
</file>