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C17" w:rsidRPr="00E60879" w:rsidRDefault="00806C17" w:rsidP="002D4683">
      <w:pPr>
        <w:adjustRightInd w:val="0"/>
        <w:snapToGrid w:val="0"/>
        <w:spacing w:line="360" w:lineRule="auto"/>
        <w:rPr>
          <w:rFonts w:ascii="Book Antiqua" w:hAnsi="Book Antiqua" w:cs="Simsun"/>
          <w:i/>
          <w:color w:val="000000"/>
          <w:sz w:val="24"/>
          <w:szCs w:val="24"/>
        </w:rPr>
      </w:pPr>
      <w:bookmarkStart w:id="0" w:name="OLE_LINK1896"/>
      <w:bookmarkStart w:id="1" w:name="OLE_LINK1648"/>
      <w:bookmarkStart w:id="2" w:name="OLE_LINK1649"/>
      <w:bookmarkStart w:id="3" w:name="OLE_LINK784"/>
      <w:bookmarkStart w:id="4" w:name="OLE_LINK785"/>
      <w:bookmarkStart w:id="5" w:name="OLE_LINK350"/>
      <w:bookmarkStart w:id="6" w:name="OLE_LINK378"/>
      <w:bookmarkStart w:id="7" w:name="OLE_LINK388"/>
      <w:bookmarkStart w:id="8" w:name="OLE_LINK392"/>
      <w:bookmarkStart w:id="9" w:name="OLE_LINK370"/>
      <w:bookmarkStart w:id="10" w:name="OLE_LINK372"/>
      <w:bookmarkStart w:id="11" w:name="OLE_LINK139"/>
      <w:bookmarkStart w:id="12" w:name="OLE_LINK408"/>
      <w:bookmarkStart w:id="13" w:name="OLE_LINK409"/>
      <w:bookmarkStart w:id="14" w:name="OLE_LINK410"/>
      <w:bookmarkStart w:id="15" w:name="OLE_LINK411"/>
      <w:bookmarkStart w:id="16" w:name="OLE_LINK670"/>
      <w:bookmarkStart w:id="17" w:name="OLE_LINK458"/>
      <w:bookmarkStart w:id="18" w:name="OLE_LINK439"/>
      <w:bookmarkStart w:id="19" w:name="OLE_LINK967"/>
      <w:bookmarkStart w:id="20" w:name="OLE_LINK968"/>
      <w:bookmarkStart w:id="21" w:name="OLE_LINK991"/>
      <w:bookmarkStart w:id="22" w:name="OLE_LINK1040"/>
      <w:bookmarkStart w:id="23" w:name="OLE_LINK1041"/>
      <w:bookmarkStart w:id="24" w:name="OLE_LINK1042"/>
      <w:bookmarkStart w:id="25" w:name="OLE_LINK446"/>
      <w:bookmarkStart w:id="26" w:name="OLE_LINK486"/>
      <w:bookmarkStart w:id="27" w:name="OLE_LINK520"/>
      <w:bookmarkStart w:id="28" w:name="OLE_LINK563"/>
      <w:bookmarkStart w:id="29" w:name="OLE_LINK565"/>
      <w:bookmarkStart w:id="30" w:name="OLE_LINK566"/>
      <w:bookmarkStart w:id="31" w:name="OLE_LINK617"/>
      <w:bookmarkStart w:id="32" w:name="OLE_LINK618"/>
      <w:bookmarkStart w:id="33" w:name="OLE_LINK619"/>
      <w:bookmarkStart w:id="34" w:name="OLE_LINK620"/>
      <w:bookmarkStart w:id="35" w:name="OLE_LINK622"/>
      <w:bookmarkStart w:id="36" w:name="OLE_LINK648"/>
      <w:bookmarkStart w:id="37" w:name="OLE_LINK697"/>
      <w:bookmarkStart w:id="38" w:name="OLE_LINK515"/>
      <w:bookmarkStart w:id="39" w:name="OLE_LINK684"/>
      <w:bookmarkStart w:id="40" w:name="OLE_LINK753"/>
      <w:bookmarkStart w:id="41" w:name="OLE_LINK773"/>
      <w:bookmarkStart w:id="42" w:name="OLE_LINK804"/>
      <w:bookmarkStart w:id="43" w:name="OLE_LINK815"/>
      <w:bookmarkStart w:id="44" w:name="OLE_LINK836"/>
      <w:bookmarkStart w:id="45" w:name="OLE_LINK854"/>
      <w:bookmarkStart w:id="46" w:name="OLE_LINK855"/>
      <w:bookmarkStart w:id="47" w:name="OLE_LINK870"/>
      <w:bookmarkStart w:id="48" w:name="OLE_LINK891"/>
      <w:bookmarkStart w:id="49" w:name="OLE_LINK920"/>
      <w:bookmarkStart w:id="50" w:name="OLE_LINK666"/>
      <w:bookmarkStart w:id="51" w:name="OLE_LINK828"/>
      <w:bookmarkStart w:id="52" w:name="OLE_LINK930"/>
      <w:bookmarkStart w:id="53" w:name="OLE_LINK956"/>
      <w:bookmarkStart w:id="54" w:name="OLE_LINK957"/>
      <w:bookmarkStart w:id="55" w:name="OLE_LINK1071"/>
      <w:bookmarkStart w:id="56" w:name="OLE_LINK1072"/>
      <w:bookmarkStart w:id="57" w:name="OLE_LINK1120"/>
      <w:bookmarkStart w:id="58" w:name="OLE_LINK1121"/>
      <w:bookmarkStart w:id="59" w:name="OLE_LINK1204"/>
      <w:bookmarkStart w:id="60" w:name="OLE_LINK1205"/>
      <w:bookmarkStart w:id="61" w:name="OLE_LINK1002"/>
      <w:bookmarkStart w:id="62" w:name="OLE_LINK1055"/>
      <w:bookmarkStart w:id="63" w:name="OLE_LINK1056"/>
      <w:bookmarkStart w:id="64" w:name="OLE_LINK1058"/>
      <w:bookmarkStart w:id="65" w:name="OLE_LINK1096"/>
      <w:bookmarkStart w:id="66" w:name="OLE_LINK1097"/>
      <w:bookmarkStart w:id="67" w:name="OLE_LINK1013"/>
      <w:bookmarkStart w:id="68" w:name="OLE_LINK1050"/>
      <w:bookmarkStart w:id="69" w:name="OLE_LINK1083"/>
      <w:bookmarkStart w:id="70" w:name="OLE_LINK1093"/>
      <w:bookmarkStart w:id="71" w:name="OLE_LINK1110"/>
      <w:bookmarkStart w:id="72" w:name="OLE_LINK1111"/>
      <w:bookmarkStart w:id="73" w:name="OLE_LINK1174"/>
      <w:bookmarkStart w:id="74" w:name="OLE_LINK1176"/>
      <w:bookmarkStart w:id="75" w:name="OLE_LINK1216"/>
      <w:bookmarkStart w:id="76" w:name="OLE_LINK1237"/>
      <w:bookmarkStart w:id="77" w:name="OLE_LINK1257"/>
      <w:bookmarkStart w:id="78" w:name="OLE_LINK1296"/>
      <w:bookmarkStart w:id="79" w:name="OLE_LINK1299"/>
      <w:bookmarkStart w:id="80" w:name="OLE_LINK1347"/>
      <w:bookmarkStart w:id="81" w:name="OLE_LINK1370"/>
      <w:bookmarkStart w:id="82" w:name="OLE_LINK1397"/>
      <w:bookmarkStart w:id="83" w:name="OLE_LINK1398"/>
      <w:bookmarkStart w:id="84" w:name="OLE_LINK1411"/>
      <w:bookmarkStart w:id="85" w:name="OLE_LINK1426"/>
      <w:bookmarkStart w:id="86" w:name="OLE_LINK1448"/>
      <w:bookmarkStart w:id="87" w:name="OLE_LINK1472"/>
      <w:bookmarkStart w:id="88" w:name="OLE_LINK1473"/>
      <w:bookmarkStart w:id="89" w:name="OLE_LINK1495"/>
      <w:bookmarkStart w:id="90" w:name="OLE_LINK1496"/>
      <w:bookmarkStart w:id="91" w:name="OLE_LINK132"/>
      <w:bookmarkStart w:id="92" w:name="OLE_LINK48"/>
      <w:bookmarkStart w:id="93" w:name="OLE_LINK1151"/>
      <w:bookmarkStart w:id="94" w:name="OLE_LINK1330"/>
      <w:bookmarkStart w:id="95" w:name="OLE_LINK1229"/>
      <w:bookmarkStart w:id="96" w:name="OLE_LINK1489"/>
      <w:bookmarkStart w:id="97" w:name="OLE_LINK1834"/>
      <w:bookmarkStart w:id="98" w:name="OLE_LINK1507"/>
      <w:bookmarkStart w:id="99" w:name="OLE_LINK1513"/>
      <w:bookmarkStart w:id="100" w:name="OLE_LINK1514"/>
      <w:bookmarkStart w:id="101" w:name="OLE_LINK1515"/>
      <w:bookmarkStart w:id="102" w:name="OLE_LINK1500"/>
      <w:bookmarkStart w:id="103" w:name="OLE_LINK1501"/>
      <w:bookmarkStart w:id="104" w:name="OLE_LINK1505"/>
      <w:bookmarkStart w:id="105" w:name="OLE_LINK1506"/>
      <w:bookmarkStart w:id="106" w:name="OLE_LINK1526"/>
      <w:bookmarkStart w:id="107" w:name="OLE_LINK1564"/>
      <w:bookmarkStart w:id="108" w:name="OLE_LINK1576"/>
      <w:bookmarkStart w:id="109" w:name="OLE_LINK1577"/>
      <w:bookmarkStart w:id="110" w:name="OLE_LINK1608"/>
      <w:bookmarkStart w:id="111" w:name="OLE_LINK1609"/>
      <w:bookmarkStart w:id="112" w:name="OLE_LINK1610"/>
      <w:bookmarkStart w:id="113" w:name="OLE_LINK1627"/>
      <w:bookmarkStart w:id="114" w:name="OLE_LINK1628"/>
      <w:bookmarkStart w:id="115" w:name="OLE_LINK1633"/>
      <w:bookmarkStart w:id="116" w:name="OLE_LINK1665"/>
      <w:bookmarkStart w:id="117" w:name="OLE_LINK1667"/>
      <w:bookmarkStart w:id="118" w:name="OLE_LINK1680"/>
      <w:bookmarkStart w:id="119" w:name="OLE_LINK1681"/>
      <w:bookmarkStart w:id="120" w:name="OLE_LINK1697"/>
      <w:bookmarkStart w:id="121" w:name="OLE_LINK1698"/>
      <w:bookmarkStart w:id="122" w:name="OLE_LINK1706"/>
      <w:bookmarkStart w:id="123" w:name="OLE_LINK1713"/>
      <w:bookmarkStart w:id="124" w:name="OLE_LINK1742"/>
      <w:bookmarkStart w:id="125" w:name="OLE_LINK1753"/>
      <w:bookmarkStart w:id="126" w:name="OLE_LINK1754"/>
      <w:bookmarkStart w:id="127" w:name="OLE_LINK1755"/>
      <w:bookmarkStart w:id="128" w:name="OLE_LINK1760"/>
      <w:bookmarkStart w:id="129" w:name="OLE_LINK1813"/>
      <w:bookmarkStart w:id="130" w:name="OLE_LINK1850"/>
      <w:bookmarkStart w:id="131" w:name="OLE_LINK1851"/>
      <w:bookmarkStart w:id="132" w:name="OLE_LINK1874"/>
      <w:bookmarkStart w:id="133" w:name="OLE_LINK1892"/>
      <w:bookmarkStart w:id="134" w:name="OLE_LINK1893"/>
      <w:bookmarkStart w:id="135" w:name="OLE_LINK1891"/>
      <w:bookmarkStart w:id="136" w:name="OLE_LINK1958"/>
      <w:bookmarkStart w:id="137" w:name="OLE_LINK2006"/>
      <w:bookmarkStart w:id="138" w:name="OLE_LINK2007"/>
      <w:bookmarkStart w:id="139" w:name="OLE_LINK2008"/>
      <w:bookmarkStart w:id="140" w:name="OLE_LINK2009"/>
      <w:bookmarkStart w:id="141" w:name="OLE_LINK2059"/>
      <w:bookmarkStart w:id="142" w:name="OLE_LINK2060"/>
      <w:bookmarkStart w:id="143" w:name="OLE_LINK1863"/>
      <w:bookmarkStart w:id="144" w:name="OLE_LINK1905"/>
      <w:bookmarkStart w:id="145" w:name="OLE_LINK1982"/>
      <w:bookmarkStart w:id="146" w:name="OLE_LINK1919"/>
      <w:bookmarkStart w:id="147" w:name="OLE_LINK2016"/>
      <w:bookmarkStart w:id="148" w:name="OLE_LINK2017"/>
      <w:r w:rsidRPr="00E60879">
        <w:rPr>
          <w:rFonts w:ascii="Book Antiqua" w:hAnsi="Book Antiqua" w:cs="Simsun"/>
          <w:b/>
          <w:color w:val="0033CC"/>
          <w:sz w:val="24"/>
          <w:szCs w:val="24"/>
        </w:rPr>
        <w:t>Name of journal:</w:t>
      </w:r>
      <w:r w:rsidRPr="00E60879">
        <w:rPr>
          <w:rFonts w:ascii="Book Antiqua" w:hAnsi="Book Antiqua" w:cs="Simsun"/>
          <w:b/>
          <w:color w:val="000000"/>
          <w:sz w:val="24"/>
          <w:szCs w:val="24"/>
        </w:rPr>
        <w:t xml:space="preserve"> </w:t>
      </w:r>
      <w:bookmarkStart w:id="149" w:name="OLE_LINK718"/>
      <w:bookmarkStart w:id="150" w:name="OLE_LINK719"/>
      <w:bookmarkEnd w:id="0"/>
      <w:r w:rsidRPr="00E60879">
        <w:rPr>
          <w:rFonts w:ascii="Book Antiqua" w:hAnsi="Book Antiqua" w:cs="Simsun"/>
          <w:i/>
          <w:color w:val="000000"/>
          <w:sz w:val="24"/>
          <w:szCs w:val="24"/>
        </w:rPr>
        <w:t>World Journal of Gastroenterology</w:t>
      </w:r>
      <w:bookmarkEnd w:id="149"/>
      <w:bookmarkEnd w:id="150"/>
    </w:p>
    <w:p w:rsidR="00806C17" w:rsidRPr="00E60879" w:rsidRDefault="00806C17" w:rsidP="002D4683">
      <w:pPr>
        <w:adjustRightInd w:val="0"/>
        <w:snapToGrid w:val="0"/>
        <w:spacing w:line="360" w:lineRule="auto"/>
        <w:rPr>
          <w:rFonts w:ascii="Book Antiqua" w:eastAsia="Times New Roman" w:hAnsi="Book Antiqua" w:cs="Simsun"/>
          <w:b/>
          <w:i/>
          <w:color w:val="000000"/>
          <w:sz w:val="24"/>
          <w:szCs w:val="24"/>
          <w:lang w:eastAsia="zh-CN"/>
        </w:rPr>
      </w:pPr>
      <w:r w:rsidRPr="00E60879">
        <w:rPr>
          <w:rFonts w:ascii="Book Antiqua" w:hAnsi="Book Antiqua" w:cs="Arial"/>
          <w:b/>
          <w:color w:val="0033CC"/>
          <w:sz w:val="24"/>
          <w:szCs w:val="24"/>
        </w:rPr>
        <w:t>ESPS Manuscript NO:</w:t>
      </w:r>
      <w:r w:rsidRPr="00E60879">
        <w:rPr>
          <w:rFonts w:ascii="Book Antiqua" w:hAnsi="Book Antiqua" w:cs="Arial"/>
          <w:b/>
          <w:color w:val="222222"/>
          <w:sz w:val="24"/>
          <w:szCs w:val="24"/>
        </w:rPr>
        <w:t xml:space="preserve"> </w:t>
      </w:r>
      <w:r w:rsidRPr="00E60879">
        <w:rPr>
          <w:rFonts w:ascii="Book Antiqua" w:eastAsia="Times New Roman" w:hAnsi="Book Antiqua" w:cs="Arial"/>
          <w:b/>
          <w:color w:val="222222"/>
          <w:sz w:val="24"/>
          <w:szCs w:val="24"/>
          <w:lang w:eastAsia="zh-CN"/>
        </w:rPr>
        <w:t>3670</w:t>
      </w:r>
    </w:p>
    <w:p w:rsidR="00806C17" w:rsidRPr="00E60879" w:rsidRDefault="00806C17" w:rsidP="002D4683">
      <w:pPr>
        <w:suppressAutoHyphens/>
        <w:autoSpaceDE w:val="0"/>
        <w:autoSpaceDN w:val="0"/>
        <w:adjustRightInd w:val="0"/>
        <w:snapToGrid w:val="0"/>
        <w:spacing w:line="360" w:lineRule="auto"/>
        <w:rPr>
          <w:rFonts w:ascii="Book Antiqua" w:eastAsia="Times New Roman" w:hAnsi="Book Antiqua"/>
          <w:b/>
          <w:color w:val="000000"/>
          <w:kern w:val="0"/>
          <w:sz w:val="24"/>
          <w:szCs w:val="24"/>
          <w:lang w:eastAsia="zh-CN"/>
        </w:rPr>
      </w:pPr>
      <w:bookmarkStart w:id="151" w:name="OLE_LINK1617"/>
      <w:bookmarkStart w:id="152" w:name="OLE_LINK1618"/>
      <w:bookmarkStart w:id="153" w:name="OLE_LINK1966"/>
      <w:r w:rsidRPr="00E60879">
        <w:rPr>
          <w:rFonts w:ascii="Book Antiqua" w:hAnsi="Book Antiqua"/>
          <w:b/>
          <w:color w:val="0033CC"/>
          <w:kern w:val="0"/>
          <w:sz w:val="24"/>
          <w:szCs w:val="24"/>
        </w:rPr>
        <w:t>Columns:</w:t>
      </w:r>
      <w:r w:rsidRPr="00E60879">
        <w:rPr>
          <w:rFonts w:ascii="Book Antiqua" w:hAnsi="Book Antiqua"/>
          <w:b/>
          <w:color w:val="000000"/>
          <w:kern w:val="0"/>
          <w:sz w:val="24"/>
          <w:szCs w:val="24"/>
        </w:rPr>
        <w:t xml:space="preserve"> </w:t>
      </w:r>
      <w:r w:rsidRPr="00E60879">
        <w:rPr>
          <w:rFonts w:ascii="Book Antiqua" w:eastAsia="Times New Roman" w:hAnsi="Book Antiqua"/>
          <w:b/>
          <w:color w:val="000000"/>
          <w:kern w:val="0"/>
          <w:sz w:val="24"/>
          <w:szCs w:val="24"/>
          <w:lang w:eastAsia="zh-CN"/>
        </w:rPr>
        <w:t>BRIEF ARTICLE</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51"/>
    <w:bookmarkEnd w:id="152"/>
    <w:bookmarkEnd w:id="153"/>
    <w:p w:rsidR="00806C17" w:rsidRPr="00E60879" w:rsidRDefault="00806C17" w:rsidP="002D4683">
      <w:pPr>
        <w:snapToGrid w:val="0"/>
        <w:spacing w:line="360" w:lineRule="auto"/>
        <w:rPr>
          <w:rFonts w:ascii="Book Antiqua" w:eastAsia="Times New Roman" w:hAnsi="Book Antiqua"/>
          <w:b/>
          <w:sz w:val="24"/>
          <w:szCs w:val="24"/>
          <w:lang w:eastAsia="zh-CN"/>
        </w:rPr>
      </w:pPr>
    </w:p>
    <w:p w:rsidR="00806C17" w:rsidRPr="00E60879" w:rsidRDefault="00806C17" w:rsidP="002D4683">
      <w:pPr>
        <w:snapToGrid w:val="0"/>
        <w:spacing w:line="360" w:lineRule="auto"/>
        <w:rPr>
          <w:rFonts w:ascii="Book Antiqua" w:eastAsia="Times New Roman" w:hAnsi="Book Antiqua"/>
          <w:b/>
          <w:sz w:val="24"/>
          <w:szCs w:val="24"/>
          <w:lang w:eastAsia="zh-CN"/>
        </w:rPr>
      </w:pPr>
      <w:r w:rsidRPr="00E60879">
        <w:rPr>
          <w:rFonts w:ascii="Book Antiqua" w:hAnsi="Book Antiqua"/>
          <w:b/>
          <w:sz w:val="24"/>
          <w:szCs w:val="24"/>
        </w:rPr>
        <w:t xml:space="preserve">Emergency balloon-occluded retrograde transvenous obliteration of ruptured gastric varices </w:t>
      </w:r>
    </w:p>
    <w:p w:rsidR="00806C17" w:rsidRPr="00E60879" w:rsidRDefault="00806C17" w:rsidP="002D4683">
      <w:pPr>
        <w:snapToGrid w:val="0"/>
        <w:spacing w:line="360" w:lineRule="auto"/>
        <w:rPr>
          <w:rFonts w:ascii="Book Antiqua" w:eastAsia="Times New Roman" w:hAnsi="Book Antiqua"/>
          <w:b/>
          <w:sz w:val="24"/>
          <w:szCs w:val="24"/>
          <w:lang w:eastAsia="zh-CN"/>
        </w:rPr>
      </w:pPr>
    </w:p>
    <w:p w:rsidR="00806C17" w:rsidRPr="00E60879" w:rsidRDefault="00806C17" w:rsidP="002D4683">
      <w:pPr>
        <w:adjustRightInd w:val="0"/>
        <w:snapToGrid w:val="0"/>
        <w:spacing w:line="360" w:lineRule="auto"/>
        <w:rPr>
          <w:rFonts w:ascii="Book Antiqua" w:eastAsia="MS Mincho" w:hAnsi="Book Antiqua"/>
          <w:sz w:val="24"/>
          <w:szCs w:val="24"/>
        </w:rPr>
      </w:pPr>
      <w:bookmarkStart w:id="154" w:name="OLE_LINK414"/>
      <w:bookmarkStart w:id="155" w:name="OLE_LINK419"/>
      <w:bookmarkStart w:id="156" w:name="OLE_LINK593"/>
      <w:bookmarkStart w:id="157" w:name="OLE_LINK1045"/>
      <w:bookmarkStart w:id="158" w:name="OLE_LINK527"/>
      <w:bookmarkStart w:id="159" w:name="OLE_LINK626"/>
      <w:bookmarkStart w:id="160" w:name="OLE_LINK698"/>
      <w:bookmarkStart w:id="161" w:name="OLE_LINK741"/>
      <w:bookmarkStart w:id="162" w:name="OLE_LINK1014"/>
      <w:bookmarkStart w:id="163" w:name="OLE_LINK1177"/>
      <w:bookmarkStart w:id="164" w:name="OLE_LINK1349"/>
      <w:bookmarkStart w:id="165" w:name="OLE_LINK278"/>
      <w:bookmarkStart w:id="166" w:name="OLE_LINK1405"/>
      <w:bookmarkStart w:id="167" w:name="OLE_LINK1789"/>
      <w:bookmarkStart w:id="168" w:name="OLE_LINK1875"/>
      <w:bookmarkStart w:id="169" w:name="OLE_LINK1950"/>
      <w:r w:rsidRPr="00E60879">
        <w:rPr>
          <w:rFonts w:ascii="Book Antiqua" w:hAnsi="Book Antiqua"/>
          <w:b/>
          <w:sz w:val="24"/>
          <w:szCs w:val="24"/>
        </w:rPr>
        <w:t>Sonomura</w:t>
      </w:r>
      <w:r w:rsidRPr="00E60879">
        <w:rPr>
          <w:rFonts w:ascii="Book Antiqua" w:eastAsia="MS Mincho" w:hAnsi="Book Antiqua"/>
          <w:b/>
          <w:sz w:val="24"/>
          <w:szCs w:val="24"/>
        </w:rPr>
        <w:t xml:space="preserve"> </w:t>
      </w:r>
      <w:r w:rsidRPr="00E60879">
        <w:rPr>
          <w:rFonts w:ascii="Book Antiqua" w:hAnsi="Book Antiqua"/>
          <w:b/>
          <w:sz w:val="24"/>
          <w:szCs w:val="24"/>
          <w:lang w:eastAsia="zh-CN"/>
        </w:rPr>
        <w:t xml:space="preserve">T </w:t>
      </w:r>
      <w:r w:rsidRPr="00E60879">
        <w:rPr>
          <w:rFonts w:ascii="Book Antiqua" w:hAnsi="Book Antiqua"/>
          <w:b/>
          <w:i/>
          <w:sz w:val="24"/>
          <w:szCs w:val="24"/>
          <w:lang w:eastAsia="zh-CN"/>
        </w:rPr>
        <w:t>et al</w:t>
      </w:r>
      <w:r w:rsidRPr="00E60879">
        <w:rPr>
          <w:rFonts w:ascii="Book Antiqua" w:hAnsi="Book Antiqua"/>
          <w:b/>
          <w:sz w:val="24"/>
          <w:szCs w:val="24"/>
          <w:lang w:eastAsia="zh-CN"/>
        </w:rPr>
        <w:t xml:space="preserve">. </w:t>
      </w:r>
      <w:r w:rsidRPr="00E60879">
        <w:rPr>
          <w:rFonts w:ascii="Book Antiqua" w:eastAsia="MS Mincho" w:hAnsi="Book Antiqua"/>
          <w:sz w:val="24"/>
          <w:szCs w:val="24"/>
        </w:rPr>
        <w:t>Emergency BRTO of ruptured gastric varices</w:t>
      </w:r>
    </w:p>
    <w:p w:rsidR="00806C17" w:rsidRPr="00E60879" w:rsidRDefault="00806C17" w:rsidP="002D4683">
      <w:pPr>
        <w:adjustRightInd w:val="0"/>
        <w:snapToGrid w:val="0"/>
        <w:spacing w:line="360" w:lineRule="auto"/>
        <w:rPr>
          <w:rFonts w:ascii="Book Antiqua" w:hAnsi="Book Antiqua"/>
          <w:color w:val="FF0000"/>
          <w:sz w:val="24"/>
          <w:szCs w:val="24"/>
          <w:lang w:eastAsia="zh-CN"/>
        </w:rPr>
      </w:pPr>
      <w:bookmarkStart w:id="170" w:name="OLE_LINK422"/>
      <w:bookmarkStart w:id="171" w:name="OLE_LINK424"/>
      <w:bookmarkStart w:id="172" w:name="OLE_LINK971"/>
      <w:bookmarkStart w:id="173" w:name="OLE_LINK972"/>
      <w:bookmarkStart w:id="174" w:name="OLE_LINK973"/>
      <w:bookmarkStart w:id="175" w:name="OLE_LINK974"/>
      <w:bookmarkStart w:id="176" w:name="OLE_LINK975"/>
      <w:bookmarkStart w:id="177" w:name="OLE_LINK976"/>
      <w:bookmarkStart w:id="178" w:name="OLE_LINK977"/>
      <w:bookmarkStart w:id="179" w:name="OLE_LINK1022"/>
      <w:bookmarkStart w:id="180" w:name="OLE_LINK497"/>
      <w:bookmarkStart w:id="181" w:name="OLE_LINK498"/>
      <w:bookmarkStart w:id="182" w:name="OLE_LINK533"/>
      <w:bookmarkStart w:id="183" w:name="OLE_LINK569"/>
      <w:bookmarkStart w:id="184" w:name="OLE_LINK628"/>
      <w:bookmarkStart w:id="185" w:name="OLE_LINK654"/>
      <w:bookmarkStart w:id="186" w:name="OLE_LINK700"/>
      <w:bookmarkStart w:id="187" w:name="OLE_LINK711"/>
      <w:bookmarkStart w:id="188" w:name="OLE_LINK780"/>
      <w:bookmarkStart w:id="189" w:name="OLE_LINK816"/>
      <w:bookmarkStart w:id="190" w:name="OLE_LINK839"/>
      <w:bookmarkStart w:id="191" w:name="OLE_LINK871"/>
      <w:bookmarkStart w:id="192" w:name="OLE_LINK892"/>
      <w:bookmarkStart w:id="193" w:name="OLE_LINK922"/>
      <w:bookmarkStart w:id="194" w:name="OLE_LINK837"/>
      <w:bookmarkStart w:id="195" w:name="OLE_LINK1053"/>
      <w:bookmarkStart w:id="196" w:name="OLE_LINK1217"/>
      <w:bookmarkStart w:id="197" w:name="OLE_LINK1238"/>
      <w:bookmarkStart w:id="198" w:name="OLE_LINK1261"/>
      <w:bookmarkStart w:id="199" w:name="OLE_LINK1427"/>
      <w:bookmarkStart w:id="200" w:name="OLE_LINK1475"/>
      <w:bookmarkStart w:id="201" w:name="OLE_LINK1502"/>
      <w:bookmarkStart w:id="202" w:name="OLE_LINK289"/>
      <w:bookmarkStart w:id="203" w:name="OLE_LINK1212"/>
      <w:bookmarkStart w:id="204" w:name="OLE_LINK1333"/>
      <w:bookmarkStart w:id="205" w:name="OLE_LINK1335"/>
      <w:bookmarkStart w:id="206" w:name="OLE_LINK1336"/>
      <w:bookmarkStart w:id="207" w:name="OLE_LINK1270"/>
      <w:bookmarkStart w:id="208" w:name="OLE_LINK1404"/>
      <w:bookmarkStart w:id="209" w:name="OLE_LINK1565"/>
      <w:bookmarkStart w:id="210" w:name="OLE_LINK1636"/>
      <w:bookmarkStart w:id="211" w:name="OLE_LINK1668"/>
      <w:bookmarkStart w:id="212" w:name="OLE_LINK1682"/>
      <w:bookmarkStart w:id="213" w:name="OLE_LINK1715"/>
      <w:bookmarkStart w:id="214" w:name="OLE_LINK1724"/>
      <w:bookmarkStart w:id="215" w:name="OLE_LINK1765"/>
      <w:bookmarkStart w:id="216" w:name="OLE_LINK1791"/>
      <w:bookmarkStart w:id="217" w:name="OLE_LINK1852"/>
      <w:bookmarkStart w:id="218" w:name="OLE_LINK1911"/>
      <w:bookmarkStart w:id="219" w:name="OLE_LINK195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806C17" w:rsidRPr="00E60879" w:rsidRDefault="00806C17" w:rsidP="002D4683">
      <w:pPr>
        <w:adjustRightInd w:val="0"/>
        <w:snapToGrid w:val="0"/>
        <w:spacing w:line="360" w:lineRule="auto"/>
        <w:rPr>
          <w:rFonts w:ascii="Book Antiqua" w:hAnsi="Book Antiqua"/>
          <w:color w:val="000000"/>
          <w:sz w:val="24"/>
          <w:szCs w:val="24"/>
        </w:rPr>
      </w:pPr>
      <w:bookmarkStart w:id="220" w:name="OLE_LINK194"/>
      <w:bookmarkStart w:id="221" w:name="OLE_LINK230"/>
      <w:bookmarkStart w:id="222" w:name="OLE_LINK231"/>
      <w:bookmarkStart w:id="223" w:name="OLE_LINK296"/>
      <w:bookmarkStart w:id="224" w:name="OLE_LINK76"/>
      <w:bookmarkStart w:id="225" w:name="OLE_LINK269"/>
      <w:bookmarkStart w:id="226" w:name="OLE_LINK425"/>
      <w:bookmarkStart w:id="227" w:name="OLE_LINK561"/>
      <w:bookmarkStart w:id="228" w:name="OLE_LINK562"/>
      <w:bookmarkStart w:id="229" w:name="OLE_LINK534"/>
      <w:bookmarkStart w:id="230" w:name="OLE_LINK948"/>
      <w:bookmarkStart w:id="231" w:name="OLE_LINK1206"/>
      <w:bookmarkStart w:id="232" w:name="OLE_LINK1109"/>
      <w:bookmarkStart w:id="233" w:name="OLE_LINK1747"/>
      <w:bookmarkStart w:id="234" w:name="OLE_LINK1749"/>
      <w:bookmarkStart w:id="235" w:name="OLE_LINK1766"/>
      <w:bookmarkStart w:id="236" w:name="OLE_LINK23"/>
      <w:bookmarkStart w:id="237" w:name="OLE_LINK40"/>
      <w:bookmarkStart w:id="238" w:name="OLE_LINK52"/>
      <w:bookmarkStart w:id="239" w:name="OLE_LINK115"/>
      <w:bookmarkStart w:id="240" w:name="OLE_LINK155"/>
      <w:bookmarkStart w:id="241" w:name="OLE_LINK597"/>
      <w:bookmarkStart w:id="242" w:name="OLE_LINK598"/>
      <w:bookmarkStart w:id="243" w:name="OLE_LINK499"/>
      <w:bookmarkStart w:id="244" w:name="OLE_LINK633"/>
      <w:bookmarkStart w:id="245" w:name="OLE_LINK701"/>
      <w:bookmarkStart w:id="246" w:name="OLE_LINK1499"/>
      <w:bookmarkStart w:id="247" w:name="OLE_LINK2069"/>
      <w:bookmarkStart w:id="248" w:name="OLE_LINK2070"/>
      <w:bookmarkStart w:id="249" w:name="OLE_LINK1339"/>
      <w:bookmarkStart w:id="250" w:name="OLE_LINK1341"/>
      <w:bookmarkStart w:id="251" w:name="OLE_LINK781"/>
      <w:bookmarkStart w:id="252" w:name="OLE_LINK782"/>
      <w:bookmarkStart w:id="253" w:name="OLE_LINK840"/>
      <w:bookmarkStart w:id="254" w:name="OLE_LINK893"/>
      <w:bookmarkStart w:id="255" w:name="OLE_LINK759"/>
      <w:bookmarkStart w:id="256" w:name="OLE_LINK838"/>
      <w:bookmarkStart w:id="257" w:name="OLE_LINK1129"/>
      <w:bookmarkStart w:id="258" w:name="OLE_LINK1130"/>
      <w:bookmarkStart w:id="259" w:name="OLE_LINK1016"/>
      <w:bookmarkStart w:id="260" w:name="OLE_LINK1112"/>
      <w:bookmarkStart w:id="261" w:name="OLE_LINK1188"/>
      <w:bookmarkStart w:id="262" w:name="OLE_LINK1239"/>
      <w:bookmarkStart w:id="263" w:name="OLE_LINK1262"/>
      <w:bookmarkStart w:id="264" w:name="OLE_LINK1281"/>
      <w:bookmarkStart w:id="265" w:name="OLE_LINK1301"/>
      <w:bookmarkStart w:id="266" w:name="OLE_LINK1352"/>
      <w:bookmarkStart w:id="267" w:name="OLE_LINK1374"/>
      <w:bookmarkStart w:id="268" w:name="OLE_LINK1451"/>
      <w:bookmarkStart w:id="269" w:name="OLE_LINK770"/>
      <w:bookmarkStart w:id="270" w:name="OLE_LINK1220"/>
      <w:bookmarkStart w:id="271" w:name="OLE_LINK1272"/>
      <w:bookmarkStart w:id="272" w:name="OLE_LINK1413"/>
      <w:bookmarkStart w:id="273" w:name="OLE_LINK1527"/>
      <w:bookmarkStart w:id="274" w:name="OLE_LINK1579"/>
      <w:bookmarkStart w:id="275" w:name="OLE_LINK1580"/>
      <w:bookmarkStart w:id="276" w:name="OLE_LINK1683"/>
      <w:bookmarkStart w:id="277" w:name="OLE_LINK1716"/>
      <w:bookmarkStart w:id="278" w:name="OLE_LINK1725"/>
      <w:bookmarkStart w:id="279" w:name="OLE_LINK1792"/>
      <w:bookmarkStart w:id="280" w:name="OLE_LINK1815"/>
      <w:bookmarkStart w:id="281" w:name="OLE_LINK1853"/>
      <w:bookmarkStart w:id="282" w:name="OLE_LINK1913"/>
      <w:bookmarkStart w:id="283" w:name="OLE_LINK195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E60879">
        <w:rPr>
          <w:rFonts w:ascii="Book Antiqua" w:hAnsi="Book Antiqua"/>
          <w:sz w:val="24"/>
          <w:szCs w:val="24"/>
        </w:rPr>
        <w:t xml:space="preserve">Tetsuo </w:t>
      </w:r>
      <w:bookmarkStart w:id="284" w:name="OLE_LINK2846"/>
      <w:bookmarkStart w:id="285" w:name="OLE_LINK2847"/>
      <w:r w:rsidRPr="00E60879">
        <w:rPr>
          <w:rFonts w:ascii="Book Antiqua" w:hAnsi="Book Antiqua"/>
          <w:sz w:val="24"/>
          <w:szCs w:val="24"/>
        </w:rPr>
        <w:t>Sonomura</w:t>
      </w:r>
      <w:bookmarkEnd w:id="284"/>
      <w:bookmarkEnd w:id="285"/>
      <w:r w:rsidRPr="00E60879">
        <w:rPr>
          <w:rFonts w:ascii="Book Antiqua" w:hAnsi="Book Antiqua"/>
          <w:sz w:val="24"/>
          <w:szCs w:val="24"/>
        </w:rPr>
        <w:t>, Wataru Ono, Morio Sato, Shinya Sahara, Kouhei Nakata, Hiroki Sanda, Nobuyuki Kawai, Hiroki Minamiguchi, Motoki Nakai, Kazushi Kishi</w:t>
      </w:r>
    </w:p>
    <w:p w:rsidR="00806C17" w:rsidRPr="00E60879" w:rsidRDefault="00EE5EDE" w:rsidP="002D4683">
      <w:pPr>
        <w:adjustRightInd w:val="0"/>
        <w:snapToGrid w:val="0"/>
        <w:spacing w:line="360" w:lineRule="auto"/>
        <w:rPr>
          <w:rFonts w:ascii="Book Antiqua" w:hAnsi="Book Antiqua"/>
          <w:color w:val="000000"/>
          <w:sz w:val="24"/>
          <w:szCs w:val="24"/>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60960</wp:posOffset>
                </wp:positionV>
                <wp:extent cx="5381625" cy="0"/>
                <wp:effectExtent l="24765" t="22860" r="22860" b="2476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8pt" to="424.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" strokecolor="gray" strokeweight="3pt"/>
            </w:pict>
          </mc:Fallback>
        </mc:AlternateContent>
      </w:r>
      <w:r w:rsidR="00806C17" w:rsidRPr="00E60879">
        <w:rPr>
          <w:rFonts w:ascii="Book Antiqua" w:hAnsi="Book Antiqua"/>
          <w:color w:val="000000"/>
          <w:sz w:val="24"/>
          <w:szCs w:val="24"/>
        </w:rPr>
        <w:t xml:space="preserve"> </w:t>
      </w:r>
    </w:p>
    <w:p w:rsidR="00806C17" w:rsidRPr="00E60879" w:rsidRDefault="00806C17" w:rsidP="002D4683">
      <w:pPr>
        <w:adjustRightInd w:val="0"/>
        <w:snapToGrid w:val="0"/>
        <w:spacing w:line="360" w:lineRule="auto"/>
        <w:rPr>
          <w:rFonts w:ascii="Book Antiqua" w:eastAsia="MS Mincho" w:hAnsi="Book Antiqua"/>
          <w:color w:val="000000"/>
          <w:sz w:val="24"/>
          <w:szCs w:val="24"/>
        </w:rPr>
      </w:pPr>
      <w:r w:rsidRPr="00E60879">
        <w:rPr>
          <w:rFonts w:ascii="Book Antiqua" w:hAnsi="Book Antiqua"/>
          <w:b/>
          <w:sz w:val="24"/>
          <w:szCs w:val="24"/>
        </w:rPr>
        <w:t>Tetsuo Sonomura, Morio Sato, Kouhei Nakata, Hiroki Sanda, Nobuyuki Kawai, Hiroki Minamiguchi, Motoki Nakai, Kazushi Kishi</w:t>
      </w:r>
      <w:r w:rsidRPr="00E60879">
        <w:rPr>
          <w:rFonts w:ascii="Book Antiqua" w:eastAsia="MS Mincho" w:hAnsi="Book Antiqua"/>
          <w:b/>
          <w:sz w:val="24"/>
          <w:szCs w:val="24"/>
        </w:rPr>
        <w:t>,</w:t>
      </w:r>
      <w:r w:rsidRPr="00E60879">
        <w:rPr>
          <w:rFonts w:ascii="Book Antiqua" w:eastAsia="MS Mincho" w:hAnsi="Book Antiqua"/>
          <w:sz w:val="24"/>
          <w:szCs w:val="24"/>
        </w:rPr>
        <w:t xml:space="preserve"> </w:t>
      </w:r>
      <w:r w:rsidRPr="00E60879">
        <w:rPr>
          <w:rFonts w:ascii="Book Antiqua" w:hAnsi="Book Antiqua"/>
          <w:sz w:val="24"/>
          <w:szCs w:val="24"/>
        </w:rPr>
        <w:t>Department of Radiology, Wakayama Medical University, 811-1 Kimiidera, Wakayama 641-8510, Japan</w:t>
      </w:r>
    </w:p>
    <w:p w:rsidR="00806C17" w:rsidRPr="00E60879" w:rsidRDefault="00806C17" w:rsidP="002D4683">
      <w:pPr>
        <w:adjustRightInd w:val="0"/>
        <w:snapToGrid w:val="0"/>
        <w:spacing w:line="360" w:lineRule="auto"/>
        <w:rPr>
          <w:rFonts w:ascii="Book Antiqua" w:hAnsi="Book Antiqua"/>
          <w:b/>
          <w:color w:val="000000"/>
          <w:sz w:val="24"/>
          <w:szCs w:val="24"/>
        </w:rPr>
      </w:pPr>
    </w:p>
    <w:p w:rsidR="00806C17" w:rsidRPr="00E60879" w:rsidRDefault="00806C17" w:rsidP="002D4683">
      <w:pPr>
        <w:adjustRightInd w:val="0"/>
        <w:snapToGrid w:val="0"/>
        <w:spacing w:line="360" w:lineRule="auto"/>
        <w:rPr>
          <w:rFonts w:ascii="Book Antiqua" w:eastAsia="MS Mincho" w:hAnsi="Book Antiqua"/>
          <w:color w:val="000000"/>
          <w:sz w:val="24"/>
          <w:szCs w:val="24"/>
        </w:rPr>
      </w:pPr>
      <w:r w:rsidRPr="00E60879">
        <w:rPr>
          <w:rFonts w:ascii="Book Antiqua" w:hAnsi="Book Antiqua"/>
          <w:b/>
          <w:sz w:val="24"/>
          <w:szCs w:val="24"/>
        </w:rPr>
        <w:t>Wataru Ono,</w:t>
      </w:r>
      <w:r w:rsidRPr="00E60879">
        <w:rPr>
          <w:rFonts w:ascii="Book Antiqua" w:eastAsia="MS Mincho" w:hAnsi="Book Antiqua"/>
          <w:sz w:val="24"/>
          <w:szCs w:val="24"/>
        </w:rPr>
        <w:t xml:space="preserve"> </w:t>
      </w:r>
      <w:r w:rsidRPr="00E60879">
        <w:rPr>
          <w:rFonts w:ascii="Book Antiqua" w:hAnsi="Book Antiqua"/>
          <w:sz w:val="24"/>
          <w:szCs w:val="24"/>
        </w:rPr>
        <w:t xml:space="preserve">Department of Gastroenterology, </w:t>
      </w:r>
      <w:smartTag w:uri="urn:schemas-microsoft-com:office:smarttags" w:element="place">
        <w:smartTag w:uri="urn:schemas-microsoft-com:office:smarttags" w:element="PlaceName">
          <w:r w:rsidRPr="00E60879">
            <w:rPr>
              <w:rFonts w:ascii="Book Antiqua" w:hAnsi="Book Antiqua"/>
              <w:sz w:val="24"/>
              <w:szCs w:val="24"/>
            </w:rPr>
            <w:t>Kishiwada</w:t>
          </w:r>
        </w:smartTag>
        <w:r w:rsidRPr="00E60879">
          <w:rPr>
            <w:rFonts w:ascii="Book Antiqua" w:hAnsi="Book Antiqua"/>
            <w:sz w:val="24"/>
            <w:szCs w:val="24"/>
          </w:rPr>
          <w:t xml:space="preserve"> </w:t>
        </w:r>
        <w:smartTag w:uri="urn:schemas-microsoft-com:office:smarttags" w:element="PlaceName">
          <w:r w:rsidRPr="00E60879">
            <w:rPr>
              <w:rFonts w:ascii="Book Antiqua" w:hAnsi="Book Antiqua"/>
              <w:sz w:val="24"/>
              <w:szCs w:val="24"/>
            </w:rPr>
            <w:t>Tokushukai</w:t>
          </w:r>
        </w:smartTag>
        <w:r w:rsidRPr="00E60879">
          <w:rPr>
            <w:rFonts w:ascii="Book Antiqua" w:hAnsi="Book Antiqua"/>
            <w:sz w:val="24"/>
            <w:szCs w:val="24"/>
          </w:rPr>
          <w:t xml:space="preserve"> </w:t>
        </w:r>
        <w:smartTag w:uri="urn:schemas-microsoft-com:office:smarttags" w:element="PlaceType">
          <w:r w:rsidRPr="00E60879">
            <w:rPr>
              <w:rFonts w:ascii="Book Antiqua" w:hAnsi="Book Antiqua"/>
              <w:sz w:val="24"/>
              <w:szCs w:val="24"/>
            </w:rPr>
            <w:t>Hospital</w:t>
          </w:r>
        </w:smartTag>
      </w:smartTag>
      <w:r w:rsidRPr="00E60879">
        <w:rPr>
          <w:rFonts w:ascii="Book Antiqua" w:hAnsi="Book Antiqua"/>
          <w:sz w:val="24"/>
          <w:szCs w:val="24"/>
        </w:rPr>
        <w:t xml:space="preserve">, </w:t>
      </w:r>
      <w:smartTag w:uri="urn:schemas-microsoft-com:office:smarttags" w:element="chsdate">
        <w:smartTagPr>
          <w:attr w:name="Year" w:val="2001"/>
          <w:attr w:name="Month" w:val="4"/>
          <w:attr w:name="Day" w:val="27"/>
          <w:attr w:name="IsLunarDate" w:val="False"/>
          <w:attr w:name="IsROCDate" w:val="False"/>
        </w:smartTagPr>
        <w:r w:rsidRPr="00E60879">
          <w:rPr>
            <w:rFonts w:ascii="Book Antiqua" w:hAnsi="Book Antiqua"/>
            <w:sz w:val="24"/>
            <w:szCs w:val="24"/>
          </w:rPr>
          <w:t>4-27-1</w:t>
        </w:r>
      </w:smartTag>
      <w:r w:rsidRPr="00E60879">
        <w:rPr>
          <w:rFonts w:ascii="Book Antiqua" w:hAnsi="Book Antiqua"/>
          <w:sz w:val="24"/>
          <w:szCs w:val="24"/>
        </w:rPr>
        <w:t>, Kamori-cho, Kishiwada 596-8522, Japan</w:t>
      </w:r>
    </w:p>
    <w:bookmarkEnd w:id="220"/>
    <w:bookmarkEnd w:id="221"/>
    <w:bookmarkEnd w:id="222"/>
    <w:bookmarkEnd w:id="223"/>
    <w:p w:rsidR="00806C17" w:rsidRPr="00E60879" w:rsidRDefault="00806C17" w:rsidP="002D4683">
      <w:pPr>
        <w:adjustRightInd w:val="0"/>
        <w:snapToGrid w:val="0"/>
        <w:spacing w:line="360" w:lineRule="auto"/>
        <w:rPr>
          <w:rFonts w:ascii="Book Antiqua" w:eastAsia="MS Mincho" w:hAnsi="Book Antiqua"/>
          <w:sz w:val="24"/>
          <w:szCs w:val="24"/>
        </w:rPr>
      </w:pPr>
    </w:p>
    <w:p w:rsidR="00806C17" w:rsidRPr="00E60879" w:rsidRDefault="00806C17" w:rsidP="002D4683">
      <w:pPr>
        <w:adjustRightInd w:val="0"/>
        <w:snapToGrid w:val="0"/>
        <w:spacing w:line="360" w:lineRule="auto"/>
        <w:rPr>
          <w:rFonts w:ascii="Book Antiqua" w:eastAsia="MS Mincho" w:hAnsi="Book Antiqua"/>
          <w:sz w:val="24"/>
          <w:szCs w:val="24"/>
        </w:rPr>
      </w:pPr>
      <w:r w:rsidRPr="00E60879">
        <w:rPr>
          <w:rFonts w:ascii="Book Antiqua" w:hAnsi="Book Antiqua"/>
          <w:b/>
          <w:sz w:val="24"/>
          <w:szCs w:val="24"/>
        </w:rPr>
        <w:t>Shinya Sahara,</w:t>
      </w:r>
      <w:r w:rsidRPr="00E60879">
        <w:rPr>
          <w:rFonts w:ascii="Book Antiqua" w:eastAsia="MS Mincho" w:hAnsi="Book Antiqua"/>
          <w:sz w:val="24"/>
          <w:szCs w:val="24"/>
        </w:rPr>
        <w:t xml:space="preserve"> </w:t>
      </w:r>
      <w:r w:rsidRPr="00E60879">
        <w:rPr>
          <w:rFonts w:ascii="Book Antiqua" w:hAnsi="Book Antiqua"/>
          <w:sz w:val="24"/>
          <w:szCs w:val="24"/>
        </w:rPr>
        <w:t xml:space="preserve">Department of Radiology, </w:t>
      </w:r>
      <w:smartTag w:uri="urn:schemas-microsoft-com:office:smarttags" w:element="place">
        <w:smartTag w:uri="urn:schemas-microsoft-com:office:smarttags" w:element="PlaceName">
          <w:r w:rsidRPr="00E60879">
            <w:rPr>
              <w:rFonts w:ascii="Book Antiqua" w:hAnsi="Book Antiqua"/>
              <w:sz w:val="24"/>
              <w:szCs w:val="24"/>
            </w:rPr>
            <w:t>Kishiwada</w:t>
          </w:r>
        </w:smartTag>
        <w:r w:rsidRPr="00E60879">
          <w:rPr>
            <w:rFonts w:ascii="Book Antiqua" w:hAnsi="Book Antiqua"/>
            <w:sz w:val="24"/>
            <w:szCs w:val="24"/>
          </w:rPr>
          <w:t xml:space="preserve"> </w:t>
        </w:r>
        <w:smartTag w:uri="urn:schemas-microsoft-com:office:smarttags" w:element="PlaceName">
          <w:r w:rsidRPr="00E60879">
            <w:rPr>
              <w:rFonts w:ascii="Book Antiqua" w:hAnsi="Book Antiqua"/>
              <w:sz w:val="24"/>
              <w:szCs w:val="24"/>
            </w:rPr>
            <w:t>Tokushukai</w:t>
          </w:r>
        </w:smartTag>
        <w:r w:rsidRPr="00E60879">
          <w:rPr>
            <w:rFonts w:ascii="Book Antiqua" w:hAnsi="Book Antiqua"/>
            <w:sz w:val="24"/>
            <w:szCs w:val="24"/>
          </w:rPr>
          <w:t xml:space="preserve"> </w:t>
        </w:r>
        <w:smartTag w:uri="urn:schemas-microsoft-com:office:smarttags" w:element="PlaceType">
          <w:r w:rsidRPr="00E60879">
            <w:rPr>
              <w:rFonts w:ascii="Book Antiqua" w:hAnsi="Book Antiqua"/>
              <w:sz w:val="24"/>
              <w:szCs w:val="24"/>
            </w:rPr>
            <w:t>Hospital</w:t>
          </w:r>
        </w:smartTag>
      </w:smartTag>
      <w:r w:rsidRPr="00E60879">
        <w:rPr>
          <w:rFonts w:ascii="Book Antiqua" w:hAnsi="Book Antiqua"/>
          <w:sz w:val="24"/>
          <w:szCs w:val="24"/>
        </w:rPr>
        <w:t xml:space="preserve">, </w:t>
      </w:r>
      <w:smartTag w:uri="urn:schemas-microsoft-com:office:smarttags" w:element="chsdate">
        <w:smartTagPr>
          <w:attr w:name="Year" w:val="2001"/>
          <w:attr w:name="Month" w:val="4"/>
          <w:attr w:name="Day" w:val="27"/>
          <w:attr w:name="IsLunarDate" w:val="False"/>
          <w:attr w:name="IsROCDate" w:val="False"/>
        </w:smartTagPr>
        <w:r w:rsidRPr="00E60879">
          <w:rPr>
            <w:rFonts w:ascii="Book Antiqua" w:hAnsi="Book Antiqua"/>
            <w:sz w:val="24"/>
            <w:szCs w:val="24"/>
          </w:rPr>
          <w:t>4-27-1</w:t>
        </w:r>
      </w:smartTag>
      <w:r w:rsidRPr="00E60879">
        <w:rPr>
          <w:rFonts w:ascii="Book Antiqua" w:hAnsi="Book Antiqua"/>
          <w:sz w:val="24"/>
          <w:szCs w:val="24"/>
        </w:rPr>
        <w:t>, Kamori-cho, Kishiwada 596-8522, Japan</w:t>
      </w:r>
    </w:p>
    <w:p w:rsidR="00806C17" w:rsidRPr="00E60879" w:rsidRDefault="00806C17" w:rsidP="002D4683">
      <w:pPr>
        <w:adjustRightInd w:val="0"/>
        <w:snapToGrid w:val="0"/>
        <w:spacing w:line="360" w:lineRule="auto"/>
        <w:rPr>
          <w:rFonts w:ascii="Book Antiqua" w:eastAsia="Times New Roman" w:hAnsi="Book Antiqua"/>
          <w:b/>
          <w:sz w:val="24"/>
          <w:szCs w:val="24"/>
          <w:lang w:eastAsia="zh-CN"/>
        </w:rPr>
      </w:pPr>
    </w:p>
    <w:p w:rsidR="00806C17" w:rsidRPr="00E60879" w:rsidRDefault="00806C17" w:rsidP="002D4683">
      <w:pPr>
        <w:pStyle w:val="a7"/>
        <w:spacing w:line="360" w:lineRule="auto"/>
        <w:jc w:val="both"/>
        <w:rPr>
          <w:rFonts w:ascii="Book Antiqua" w:hAnsi="Book Antiqua"/>
          <w:color w:val="000000"/>
          <w:sz w:val="24"/>
          <w:szCs w:val="24"/>
          <w:lang w:eastAsia="zh-CN"/>
        </w:rPr>
      </w:pPr>
      <w:r w:rsidRPr="00E60879">
        <w:rPr>
          <w:rFonts w:ascii="Book Antiqua" w:hAnsi="Book Antiqua"/>
          <w:b/>
          <w:sz w:val="24"/>
          <w:szCs w:val="24"/>
        </w:rPr>
        <w:t>Author contributions</w:t>
      </w:r>
      <w:r w:rsidRPr="00E60879">
        <w:rPr>
          <w:rFonts w:ascii="Book Antiqua" w:hAnsi="Book Antiqua"/>
          <w:sz w:val="24"/>
          <w:szCs w:val="24"/>
        </w:rPr>
        <w:t>:</w:t>
      </w:r>
      <w:bookmarkEnd w:id="224"/>
      <w:bookmarkEnd w:id="225"/>
      <w:bookmarkEnd w:id="226"/>
      <w:bookmarkEnd w:id="227"/>
      <w:bookmarkEnd w:id="228"/>
      <w:bookmarkEnd w:id="229"/>
      <w:bookmarkEnd w:id="230"/>
      <w:bookmarkEnd w:id="231"/>
      <w:bookmarkEnd w:id="232"/>
      <w:bookmarkEnd w:id="233"/>
      <w:bookmarkEnd w:id="234"/>
      <w:bookmarkEnd w:id="235"/>
      <w:r w:rsidRPr="00E60879">
        <w:rPr>
          <w:rFonts w:ascii="Book Antiqua" w:hAnsi="Book Antiqua"/>
          <w:sz w:val="24"/>
          <w:szCs w:val="24"/>
        </w:rPr>
        <w:t xml:space="preserve"> </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E60879">
        <w:rPr>
          <w:rFonts w:ascii="Book Antiqua" w:hAnsi="Book Antiqua"/>
          <w:color w:val="000000"/>
          <w:sz w:val="24"/>
          <w:szCs w:val="24"/>
        </w:rPr>
        <w:t>Son</w:t>
      </w:r>
      <w:r w:rsidRPr="00E60879">
        <w:rPr>
          <w:rFonts w:ascii="Book Antiqua" w:eastAsia="MS Mincho" w:hAnsi="Book Antiqua"/>
          <w:color w:val="000000"/>
          <w:sz w:val="24"/>
          <w:szCs w:val="24"/>
        </w:rPr>
        <w:t>o</w:t>
      </w:r>
      <w:r w:rsidRPr="00E60879">
        <w:rPr>
          <w:rFonts w:ascii="Book Antiqua" w:hAnsi="Book Antiqua"/>
          <w:color w:val="000000"/>
          <w:sz w:val="24"/>
          <w:szCs w:val="24"/>
        </w:rPr>
        <w:t xml:space="preserve">mura T designed the research; Sonomura T, Ono W, Sahara S, Nakata K and Sanda H performed the clinical study; Sonomura T, Kawai N, Minamiguchi H and Nakai M acquired data and researched literatures; Sonomura T, Kishi K and Sato M drafted the manuscript and edited </w:t>
      </w:r>
      <w:r w:rsidRPr="00E60879">
        <w:rPr>
          <w:rFonts w:ascii="Book Antiqua" w:hAnsi="Book Antiqua"/>
          <w:color w:val="000000"/>
          <w:sz w:val="24"/>
          <w:szCs w:val="24"/>
        </w:rPr>
        <w:lastRenderedPageBreak/>
        <w:t>it</w:t>
      </w:r>
      <w:r w:rsidRPr="00E60879">
        <w:rPr>
          <w:rFonts w:ascii="Book Antiqua" w:hAnsi="Book Antiqua"/>
          <w:color w:val="000000"/>
          <w:sz w:val="24"/>
          <w:szCs w:val="24"/>
          <w:lang w:eastAsia="zh-CN"/>
        </w:rPr>
        <w:t>.</w:t>
      </w:r>
    </w:p>
    <w:p w:rsidR="00806C17" w:rsidRPr="00E60879" w:rsidRDefault="00806C17" w:rsidP="002D4683">
      <w:pPr>
        <w:spacing w:line="360" w:lineRule="auto"/>
        <w:rPr>
          <w:rFonts w:ascii="Book Antiqua" w:hAnsi="Book Antiqua"/>
          <w:color w:val="000000"/>
          <w:sz w:val="24"/>
          <w:szCs w:val="24"/>
          <w:lang w:eastAsia="zh-CN"/>
        </w:rPr>
      </w:pPr>
      <w:bookmarkStart w:id="286" w:name="OLE_LINK703"/>
      <w:bookmarkStart w:id="287" w:name="OLE_LINK704"/>
      <w:bookmarkStart w:id="288" w:name="OLE_LINK706"/>
      <w:bookmarkStart w:id="289" w:name="OLE_LINK1358"/>
      <w:bookmarkStart w:id="290" w:name="OLE_LINK1625"/>
      <w:bookmarkStart w:id="291" w:name="OLE_LINK1626"/>
      <w:bookmarkStart w:id="292" w:name="OLE_LINK1528"/>
      <w:bookmarkStart w:id="293" w:name="OLE_LINK1529"/>
      <w:bookmarkStart w:id="294" w:name="OLE_LINK1521"/>
      <w:bookmarkStart w:id="295" w:name="OLE_LINK1522"/>
      <w:bookmarkStart w:id="296" w:name="OLE_LINK1898"/>
      <w:bookmarkStart w:id="297" w:name="OLE_LINK1900"/>
      <w:bookmarkStart w:id="298" w:name="OLE_LINK1981"/>
      <w:bookmarkStart w:id="299" w:name="OLE_LINK830"/>
      <w:bookmarkStart w:id="300" w:name="OLE_LINK908"/>
      <w:bookmarkStart w:id="301" w:name="OLE_LINK1351"/>
      <w:bookmarkStart w:id="302" w:name="OLE_LINK1355"/>
      <w:bookmarkStart w:id="303" w:name="OLE_LINK1420"/>
      <w:bookmarkStart w:id="304" w:name="OLE_LINK1566"/>
      <w:bookmarkStart w:id="305" w:name="OLE_LINK1794"/>
      <w:bookmarkStart w:id="306" w:name="OLE_LINK1930"/>
      <w:bookmarkStart w:id="307" w:name="OLE_LINK1960"/>
      <w:bookmarkStart w:id="308" w:name="OLE_LINK599"/>
      <w:bookmarkStart w:id="309" w:name="OLE_LINK600"/>
      <w:bookmarkStart w:id="310" w:name="OLE_LINK540"/>
      <w:bookmarkStart w:id="311" w:name="OLE_LINK634"/>
      <w:bookmarkStart w:id="312" w:name="OLE_LINK734"/>
      <w:bookmarkStart w:id="313" w:name="OLE_LINK895"/>
      <w:bookmarkStart w:id="314" w:name="OLE_LINK1132"/>
      <w:bookmarkStart w:id="315" w:name="OLE_LINK1114"/>
      <w:bookmarkStart w:id="316" w:name="OLE_LINK1282"/>
      <w:bookmarkStart w:id="317" w:name="OLE_LINK1354"/>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E60879">
        <w:rPr>
          <w:rFonts w:ascii="Book Antiqua" w:hAnsi="Book Antiqua" w:cs="Gulim"/>
          <w:b/>
          <w:kern w:val="0"/>
          <w:sz w:val="24"/>
          <w:szCs w:val="24"/>
        </w:rPr>
        <w:t>Correspondence to</w:t>
      </w:r>
      <w:r w:rsidRPr="00E60879">
        <w:rPr>
          <w:rFonts w:ascii="Book Antiqua" w:hAnsi="Book Antiqua" w:cs="Gulim"/>
          <w:b/>
          <w:bCs/>
          <w:kern w:val="0"/>
          <w:sz w:val="24"/>
          <w:szCs w:val="24"/>
        </w:rPr>
        <w:t>:</w:t>
      </w:r>
      <w:bookmarkEnd w:id="286"/>
      <w:bookmarkEnd w:id="287"/>
      <w:bookmarkEnd w:id="288"/>
      <w:bookmarkEnd w:id="289"/>
      <w:bookmarkEnd w:id="290"/>
      <w:bookmarkEnd w:id="291"/>
      <w:bookmarkEnd w:id="292"/>
      <w:bookmarkEnd w:id="293"/>
      <w:bookmarkEnd w:id="294"/>
      <w:bookmarkEnd w:id="295"/>
      <w:bookmarkEnd w:id="296"/>
      <w:bookmarkEnd w:id="297"/>
      <w:bookmarkEnd w:id="298"/>
      <w:r w:rsidRPr="00E60879">
        <w:rPr>
          <w:rFonts w:ascii="Book Antiqua" w:hAnsi="Book Antiqua" w:cs="Gulim"/>
          <w:b/>
          <w:bCs/>
          <w:kern w:val="0"/>
          <w:sz w:val="24"/>
          <w:szCs w:val="24"/>
        </w:rPr>
        <w:t xml:space="preserve"> </w:t>
      </w:r>
      <w:bookmarkEnd w:id="299"/>
      <w:bookmarkEnd w:id="300"/>
      <w:bookmarkEnd w:id="301"/>
      <w:bookmarkEnd w:id="302"/>
      <w:bookmarkEnd w:id="303"/>
      <w:bookmarkEnd w:id="304"/>
      <w:bookmarkEnd w:id="305"/>
      <w:bookmarkEnd w:id="306"/>
      <w:bookmarkEnd w:id="307"/>
      <w:smartTag w:uri="urn:schemas-microsoft-com:office:smarttags" w:element="City">
        <w:r w:rsidRPr="00E60879">
          <w:rPr>
            <w:rFonts w:ascii="Book Antiqua" w:hAnsi="Book Antiqua"/>
            <w:b/>
            <w:color w:val="000000"/>
            <w:sz w:val="24"/>
            <w:szCs w:val="24"/>
          </w:rPr>
          <w:t>Tetsuo Sonomura</w:t>
        </w:r>
      </w:smartTag>
      <w:r w:rsidRPr="00E60879">
        <w:rPr>
          <w:rFonts w:ascii="Book Antiqua" w:eastAsia="MS Mincho" w:hAnsi="Book Antiqua"/>
          <w:b/>
          <w:color w:val="000000"/>
          <w:sz w:val="24"/>
          <w:szCs w:val="24"/>
        </w:rPr>
        <w:t xml:space="preserve">, </w:t>
      </w:r>
      <w:smartTag w:uri="urn:schemas-microsoft-com:office:smarttags" w:element="State">
        <w:r w:rsidRPr="00E60879">
          <w:rPr>
            <w:rFonts w:ascii="Book Antiqua" w:eastAsia="MS Mincho" w:hAnsi="Book Antiqua"/>
            <w:b/>
            <w:color w:val="000000"/>
            <w:sz w:val="24"/>
            <w:szCs w:val="24"/>
          </w:rPr>
          <w:t>MD</w:t>
        </w:r>
      </w:smartTag>
      <w:r w:rsidRPr="00E60879">
        <w:rPr>
          <w:rFonts w:ascii="Book Antiqua" w:eastAsia="MS Mincho" w:hAnsi="Book Antiqua"/>
          <w:b/>
          <w:color w:val="000000"/>
          <w:sz w:val="24"/>
          <w:szCs w:val="24"/>
        </w:rPr>
        <w:t xml:space="preserve">, PhD, </w:t>
      </w:r>
      <w:r w:rsidRPr="00E60879">
        <w:rPr>
          <w:rFonts w:ascii="Book Antiqua" w:hAnsi="Book Antiqua"/>
          <w:color w:val="000000"/>
          <w:sz w:val="24"/>
          <w:szCs w:val="24"/>
        </w:rPr>
        <w:t xml:space="preserve">Department of Radiology, </w:t>
      </w:r>
      <w:smartTag w:uri="urn:schemas-microsoft-com:office:smarttags" w:element="PlaceName">
        <w:r w:rsidRPr="00E60879">
          <w:rPr>
            <w:rFonts w:ascii="Book Antiqua" w:hAnsi="Book Antiqua"/>
            <w:color w:val="000000"/>
            <w:sz w:val="24"/>
            <w:szCs w:val="24"/>
          </w:rPr>
          <w:t>Wakayama</w:t>
        </w:r>
      </w:smartTag>
      <w:r w:rsidRPr="00E60879">
        <w:rPr>
          <w:rFonts w:ascii="Book Antiqua" w:hAnsi="Book Antiqua"/>
          <w:color w:val="000000"/>
          <w:sz w:val="24"/>
          <w:szCs w:val="24"/>
        </w:rPr>
        <w:t xml:space="preserve"> </w:t>
      </w:r>
      <w:smartTag w:uri="urn:schemas-microsoft-com:office:smarttags" w:element="PlaceName">
        <w:r w:rsidRPr="00E60879">
          <w:rPr>
            <w:rFonts w:ascii="Book Antiqua" w:hAnsi="Book Antiqua"/>
            <w:color w:val="000000"/>
            <w:sz w:val="24"/>
            <w:szCs w:val="24"/>
          </w:rPr>
          <w:t>Medical</w:t>
        </w:r>
      </w:smartTag>
      <w:r w:rsidRPr="00E60879">
        <w:rPr>
          <w:rFonts w:ascii="Book Antiqua" w:hAnsi="Book Antiqua"/>
          <w:color w:val="000000"/>
          <w:sz w:val="24"/>
          <w:szCs w:val="24"/>
        </w:rPr>
        <w:t xml:space="preserve"> </w:t>
      </w:r>
      <w:smartTag w:uri="urn:schemas-microsoft-com:office:smarttags" w:element="PlaceType">
        <w:r w:rsidRPr="00E60879">
          <w:rPr>
            <w:rFonts w:ascii="Book Antiqua" w:hAnsi="Book Antiqua"/>
            <w:color w:val="000000"/>
            <w:sz w:val="24"/>
            <w:szCs w:val="24"/>
          </w:rPr>
          <w:t>University</w:t>
        </w:r>
      </w:smartTag>
      <w:r w:rsidRPr="00E60879">
        <w:rPr>
          <w:rFonts w:ascii="Book Antiqua" w:eastAsia="MS Mincho" w:hAnsi="Book Antiqua"/>
          <w:color w:val="000000"/>
          <w:sz w:val="24"/>
          <w:szCs w:val="24"/>
        </w:rPr>
        <w:t xml:space="preserve">, </w:t>
      </w:r>
      <w:r w:rsidRPr="00E60879">
        <w:rPr>
          <w:rFonts w:ascii="Book Antiqua" w:hAnsi="Book Antiqua"/>
          <w:color w:val="000000"/>
          <w:sz w:val="24"/>
          <w:szCs w:val="24"/>
        </w:rPr>
        <w:t xml:space="preserve">811-1 Kimiidera, </w:t>
      </w:r>
      <w:smartTag w:uri="urn:schemas-microsoft-com:office:smarttags" w:element="City">
        <w:r w:rsidRPr="00E60879">
          <w:rPr>
            <w:rFonts w:ascii="Book Antiqua" w:hAnsi="Book Antiqua"/>
            <w:color w:val="000000"/>
            <w:sz w:val="24"/>
            <w:szCs w:val="24"/>
          </w:rPr>
          <w:t>Wakayama</w:t>
        </w:r>
      </w:smartTag>
      <w:r w:rsidRPr="00E60879">
        <w:rPr>
          <w:rFonts w:ascii="Book Antiqua" w:hAnsi="Book Antiqua"/>
          <w:color w:val="000000"/>
          <w:sz w:val="24"/>
          <w:szCs w:val="24"/>
        </w:rPr>
        <w:t xml:space="preserve"> 641-8510, </w:t>
      </w:r>
      <w:smartTag w:uri="urn:schemas-microsoft-com:office:smarttags" w:element="place">
        <w:smartTag w:uri="urn:schemas-microsoft-com:office:smarttags" w:element="country-region">
          <w:r w:rsidRPr="00E60879">
            <w:rPr>
              <w:rFonts w:ascii="Book Antiqua" w:hAnsi="Book Antiqua"/>
              <w:color w:val="000000"/>
              <w:sz w:val="24"/>
              <w:szCs w:val="24"/>
            </w:rPr>
            <w:t>Japan</w:t>
          </w:r>
        </w:smartTag>
      </w:smartTag>
      <w:r w:rsidRPr="00E60879">
        <w:rPr>
          <w:rFonts w:ascii="Book Antiqua" w:hAnsi="Book Antiqua"/>
          <w:color w:val="000000"/>
          <w:sz w:val="24"/>
          <w:szCs w:val="24"/>
          <w:lang w:eastAsia="zh-CN"/>
        </w:rPr>
        <w:t>.</w:t>
      </w:r>
    </w:p>
    <w:p w:rsidR="00806C17" w:rsidRPr="00E60879" w:rsidRDefault="00F70249" w:rsidP="002D4683">
      <w:pPr>
        <w:spacing w:line="360" w:lineRule="auto"/>
        <w:rPr>
          <w:rFonts w:ascii="Book Antiqua" w:eastAsia="Times New Roman" w:hAnsi="Book Antiqua"/>
          <w:sz w:val="24"/>
          <w:szCs w:val="24"/>
          <w:lang w:eastAsia="zh-CN"/>
        </w:rPr>
      </w:pPr>
      <w:hyperlink r:id="rId7" w:history="1">
        <w:r w:rsidR="00806C17" w:rsidRPr="00E60879">
          <w:rPr>
            <w:rStyle w:val="a9"/>
            <w:rFonts w:ascii="Book Antiqua" w:hAnsi="Book Antiqua"/>
            <w:color w:val="000000"/>
            <w:sz w:val="24"/>
            <w:szCs w:val="24"/>
            <w:u w:val="none"/>
          </w:rPr>
          <w:t>sonomura@wakayama-med.ac.jp</w:t>
        </w:r>
      </w:hyperlink>
    </w:p>
    <w:p w:rsidR="00806C17" w:rsidRPr="00E60879" w:rsidRDefault="00806C17" w:rsidP="002D4683">
      <w:pPr>
        <w:pStyle w:val="a7"/>
        <w:adjustRightInd w:val="0"/>
        <w:snapToGrid w:val="0"/>
        <w:spacing w:line="360" w:lineRule="auto"/>
        <w:jc w:val="both"/>
        <w:rPr>
          <w:rFonts w:ascii="Book Antiqua" w:eastAsia="Times New Roman" w:hAnsi="Book Antiqua"/>
          <w:sz w:val="24"/>
          <w:szCs w:val="24"/>
          <w:lang w:eastAsia="zh-CN"/>
        </w:rPr>
      </w:pPr>
    </w:p>
    <w:p w:rsidR="00806C17" w:rsidRPr="00E60879" w:rsidRDefault="00806C17" w:rsidP="002D4683">
      <w:pPr>
        <w:autoSpaceDE w:val="0"/>
        <w:autoSpaceDN w:val="0"/>
        <w:adjustRightInd w:val="0"/>
        <w:snapToGrid w:val="0"/>
        <w:spacing w:line="360" w:lineRule="auto"/>
        <w:rPr>
          <w:rFonts w:ascii="Book Antiqua" w:eastAsia="MS Mincho" w:hAnsi="Book Antiqua"/>
          <w:color w:val="000000"/>
          <w:sz w:val="24"/>
          <w:szCs w:val="24"/>
        </w:rPr>
      </w:pPr>
      <w:bookmarkStart w:id="318" w:name="OLE_LINK65"/>
      <w:bookmarkStart w:id="319" w:name="OLE_LINK106"/>
      <w:bookmarkStart w:id="320" w:name="OLE_LINK331"/>
      <w:bookmarkStart w:id="321" w:name="OLE_LINK207"/>
      <w:bookmarkStart w:id="322" w:name="OLE_LINK208"/>
      <w:bookmarkStart w:id="323" w:name="OLE_LINK143"/>
      <w:bookmarkStart w:id="324" w:name="OLE_LINK429"/>
      <w:bookmarkStart w:id="325" w:name="OLE_LINK724"/>
      <w:bookmarkStart w:id="326" w:name="OLE_LINK601"/>
      <w:bookmarkStart w:id="327" w:name="OLE_LINK570"/>
      <w:bookmarkStart w:id="328" w:name="OLE_LINK788"/>
      <w:bookmarkStart w:id="329" w:name="OLE_LINK978"/>
      <w:bookmarkStart w:id="330" w:name="OLE_LINK503"/>
      <w:bookmarkStart w:id="331" w:name="OLE_LINK542"/>
      <w:bookmarkStart w:id="332" w:name="OLE_LINK636"/>
      <w:bookmarkStart w:id="333" w:name="OLE_LINK659"/>
      <w:bookmarkStart w:id="334" w:name="OLE_LINK567"/>
      <w:bookmarkStart w:id="335" w:name="OLE_LINK737"/>
      <w:bookmarkStart w:id="336" w:name="OLE_LINK786"/>
      <w:bookmarkStart w:id="337" w:name="OLE_LINK842"/>
      <w:bookmarkStart w:id="338" w:name="OLE_LINK858"/>
      <w:bookmarkStart w:id="339" w:name="OLE_LINK873"/>
      <w:bookmarkStart w:id="340" w:name="OLE_LINK924"/>
      <w:bookmarkStart w:id="341" w:name="OLE_LINK761"/>
      <w:bookmarkStart w:id="342" w:name="OLE_LINK848"/>
      <w:bookmarkStart w:id="343" w:name="OLE_LINK1020"/>
      <w:bookmarkStart w:id="344" w:name="OLE_LINK1066"/>
      <w:bookmarkStart w:id="345" w:name="OLE_LINK1085"/>
      <w:bookmarkStart w:id="346" w:name="OLE_LINK1115"/>
      <w:bookmarkStart w:id="347" w:name="OLE_LINK1162"/>
      <w:bookmarkStart w:id="348" w:name="OLE_LINK1243"/>
      <w:bookmarkStart w:id="349" w:name="OLE_LINK1264"/>
      <w:bookmarkStart w:id="350" w:name="OLE_LINK1283"/>
      <w:bookmarkStart w:id="351" w:name="OLE_LINK1311"/>
      <w:bookmarkStart w:id="352" w:name="OLE_LINK1360"/>
      <w:bookmarkStart w:id="353" w:name="OLE_LINK1383"/>
      <w:bookmarkStart w:id="354" w:name="OLE_LINK1430"/>
      <w:bookmarkStart w:id="355" w:name="OLE_LINK1453"/>
      <w:bookmarkStart w:id="356" w:name="OLE_LINK913"/>
      <w:bookmarkStart w:id="357" w:name="OLE_LINK1228"/>
      <w:bookmarkStart w:id="358" w:name="OLE_LINK1356"/>
      <w:bookmarkStart w:id="359" w:name="OLE_LINK1359"/>
      <w:bookmarkStart w:id="360" w:name="OLE_LINK1629"/>
      <w:bookmarkStart w:id="361" w:name="OLE_LINK1630"/>
      <w:bookmarkStart w:id="362" w:name="OLE_LINK1631"/>
      <w:bookmarkStart w:id="363" w:name="OLE_LINK1632"/>
      <w:bookmarkStart w:id="364" w:name="OLE_LINK1837"/>
      <w:bookmarkStart w:id="365" w:name="OLE_LINK1532"/>
      <w:bookmarkStart w:id="366" w:name="OLE_LINK1533"/>
      <w:bookmarkStart w:id="367" w:name="OLE_LINK1534"/>
      <w:bookmarkStart w:id="368" w:name="OLE_LINK1535"/>
      <w:bookmarkStart w:id="369" w:name="OLE_LINK1525"/>
      <w:bookmarkStart w:id="370" w:name="OLE_LINK1567"/>
      <w:bookmarkStart w:id="371" w:name="OLE_LINK1728"/>
      <w:bookmarkStart w:id="372" w:name="OLE_LINK1768"/>
      <w:bookmarkStart w:id="373" w:name="OLE_LINK1857"/>
      <w:bookmarkStart w:id="374" w:name="OLE_LINK1968"/>
      <w:bookmarkStart w:id="375" w:name="OLE_LINK1969"/>
      <w:bookmarkStart w:id="376" w:name="OLE_LINK1970"/>
      <w:bookmarkStart w:id="377" w:name="OLE_LINK1971"/>
      <w:bookmarkStart w:id="378" w:name="OLE_LINK1904"/>
      <w:bookmarkStart w:id="379" w:name="OLE_LINK1940"/>
      <w:bookmarkStart w:id="380" w:name="OLE_LINK1933"/>
      <w:bookmarkStart w:id="381" w:name="OLE_LINK1991"/>
      <w:bookmarkStart w:id="382" w:name="OLE_LINK2074"/>
      <w:bookmarkStart w:id="383" w:name="OLE_LINK1916"/>
      <w:bookmarkStart w:id="384" w:name="OLE_LINK1961"/>
      <w:r w:rsidRPr="00E60879">
        <w:rPr>
          <w:rFonts w:ascii="Book Antiqua" w:hAnsi="Book Antiqua"/>
          <w:b/>
          <w:bCs/>
          <w:color w:val="000000"/>
          <w:kern w:val="0"/>
          <w:sz w:val="24"/>
          <w:szCs w:val="24"/>
        </w:rPr>
        <w:t xml:space="preserve">Telephone: </w:t>
      </w:r>
      <w:bookmarkStart w:id="385" w:name="OLE_LINK1415"/>
      <w:bookmarkStart w:id="386" w:name="OLE_LINK1416"/>
      <w:bookmarkStart w:id="387" w:name="OLE_LINK1417"/>
      <w:r w:rsidRPr="00E60879">
        <w:rPr>
          <w:rFonts w:ascii="Book Antiqua" w:hAnsi="Book Antiqua"/>
          <w:color w:val="000000"/>
          <w:kern w:val="0"/>
          <w:sz w:val="24"/>
          <w:szCs w:val="24"/>
        </w:rPr>
        <w:t>+</w:t>
      </w:r>
      <w:bookmarkEnd w:id="385"/>
      <w:bookmarkEnd w:id="386"/>
      <w:bookmarkEnd w:id="387"/>
      <w:r w:rsidRPr="00E60879">
        <w:rPr>
          <w:rFonts w:ascii="Book Antiqua" w:hAnsi="Book Antiqua"/>
          <w:color w:val="000000"/>
          <w:kern w:val="0"/>
          <w:sz w:val="24"/>
          <w:szCs w:val="24"/>
        </w:rPr>
        <w:t xml:space="preserve"> </w:t>
      </w:r>
      <w:r w:rsidRPr="00E60879">
        <w:rPr>
          <w:rFonts w:ascii="Book Antiqua" w:hAnsi="Book Antiqua"/>
          <w:color w:val="000000"/>
          <w:sz w:val="24"/>
          <w:szCs w:val="24"/>
        </w:rPr>
        <w:t>81-73-4410605</w:t>
      </w:r>
      <w:r w:rsidRPr="00E60879">
        <w:rPr>
          <w:rFonts w:ascii="Book Antiqua" w:hAnsi="Book Antiqua"/>
          <w:color w:val="000000"/>
          <w:kern w:val="0"/>
          <w:sz w:val="24"/>
          <w:szCs w:val="24"/>
        </w:rPr>
        <w:t xml:space="preserve">     </w:t>
      </w:r>
      <w:r w:rsidRPr="00E60879">
        <w:rPr>
          <w:rFonts w:ascii="Book Antiqua" w:eastAsia="MS Mincho" w:hAnsi="Book Antiqua"/>
          <w:color w:val="000000"/>
          <w:kern w:val="0"/>
          <w:sz w:val="24"/>
          <w:szCs w:val="24"/>
        </w:rPr>
        <w:t xml:space="preserve"> </w:t>
      </w:r>
      <w:r w:rsidRPr="00E60879">
        <w:rPr>
          <w:rFonts w:ascii="Book Antiqua" w:hAnsi="Book Antiqua"/>
          <w:color w:val="000000"/>
          <w:kern w:val="0"/>
          <w:sz w:val="24"/>
          <w:szCs w:val="24"/>
        </w:rPr>
        <w:t xml:space="preserve"> </w:t>
      </w:r>
      <w:bookmarkStart w:id="388" w:name="OLE_LINK42"/>
      <w:bookmarkStart w:id="389" w:name="OLE_LINK128"/>
      <w:bookmarkStart w:id="390" w:name="OLE_LINK951"/>
      <w:bookmarkStart w:id="391" w:name="OLE_LINK955"/>
      <w:r w:rsidRPr="00E60879">
        <w:rPr>
          <w:rFonts w:ascii="Book Antiqua" w:hAnsi="Book Antiqua"/>
          <w:b/>
          <w:bCs/>
          <w:color w:val="000000"/>
          <w:kern w:val="0"/>
          <w:sz w:val="24"/>
          <w:szCs w:val="24"/>
        </w:rPr>
        <w:t xml:space="preserve"> </w:t>
      </w:r>
      <w:bookmarkStart w:id="392" w:name="OLE_LINK440"/>
      <w:r w:rsidRPr="00E60879">
        <w:rPr>
          <w:rFonts w:ascii="Book Antiqua" w:hAnsi="Book Antiqua"/>
          <w:b/>
          <w:bCs/>
          <w:color w:val="000000"/>
          <w:kern w:val="0"/>
          <w:sz w:val="24"/>
          <w:szCs w:val="24"/>
        </w:rPr>
        <w:t>Fax:</w:t>
      </w:r>
      <w:r w:rsidRPr="00E60879">
        <w:rPr>
          <w:rFonts w:ascii="Book Antiqua" w:hAnsi="Book Antiqua"/>
          <w:color w:val="000000"/>
          <w:kern w:val="0"/>
          <w:sz w:val="24"/>
          <w:szCs w:val="24"/>
        </w:rPr>
        <w:t xml:space="preserve"> +</w:t>
      </w:r>
      <w:r w:rsidRPr="00E60879">
        <w:rPr>
          <w:rFonts w:ascii="Book Antiqua" w:hAnsi="Book Antiqua"/>
          <w:color w:val="000000"/>
          <w:sz w:val="24"/>
          <w:szCs w:val="24"/>
        </w:rPr>
        <w:t>81-73-4443110</w:t>
      </w:r>
      <w:bookmarkEnd w:id="318"/>
      <w:bookmarkEnd w:id="319"/>
      <w:bookmarkEnd w:id="388"/>
      <w:bookmarkEnd w:id="389"/>
      <w:bookmarkEnd w:id="392"/>
      <w:r w:rsidRPr="00E60879">
        <w:rPr>
          <w:rFonts w:ascii="Book Antiqua" w:eastAsia="MS Mincho" w:hAnsi="Book Antiqua"/>
          <w:color w:val="000000"/>
          <w:kern w:val="0"/>
          <w:sz w:val="24"/>
          <w:szCs w:val="24"/>
        </w:rPr>
        <w:t xml:space="preserve"> </w:t>
      </w:r>
      <w:bookmarkStart w:id="393" w:name="OLE_LINK25"/>
      <w:bookmarkStart w:id="394" w:name="OLE_LINK26"/>
      <w:bookmarkStart w:id="395" w:name="OLE_LINK145"/>
      <w:bookmarkStart w:id="396" w:name="OLE_LINK215"/>
      <w:bookmarkStart w:id="397" w:name="OLE_LINK352"/>
      <w:bookmarkStart w:id="398" w:name="OLE_LINK364"/>
      <w:bookmarkStart w:id="399" w:name="OLE_LINK383"/>
      <w:bookmarkStart w:id="400" w:name="OLE_LINK361"/>
      <w:bookmarkStart w:id="401" w:name="OLE_LINK444"/>
      <w:bookmarkStart w:id="402" w:name="OLE_LINK501"/>
      <w:bookmarkStart w:id="403" w:name="OLE_LINK572"/>
      <w:bookmarkStart w:id="404" w:name="OLE_LINK573"/>
      <w:bookmarkStart w:id="405" w:name="OLE_LINK756"/>
      <w:bookmarkStart w:id="406" w:name="OLE_LINK757"/>
      <w:bookmarkStart w:id="407" w:name="OLE_LINK805"/>
      <w:bookmarkStart w:id="408" w:name="OLE_LINK806"/>
      <w:bookmarkStart w:id="409" w:name="OLE_LINK958"/>
      <w:bookmarkStart w:id="410" w:name="OLE_LINK1018"/>
      <w:bookmarkStart w:id="411" w:name="OLE_LINK1059"/>
      <w:bookmarkStart w:id="412" w:name="OLE_LINK1122"/>
      <w:bookmarkStart w:id="413" w:name="OLE_LINK1123"/>
      <w:bookmarkStart w:id="414" w:name="OLE_LINK1402"/>
      <w:bookmarkStart w:id="415" w:name="OLE_LINK1750"/>
      <w:bookmarkStart w:id="416" w:name="OLE_LINK1751"/>
      <w:bookmarkStart w:id="417" w:name="OLE_LINK1832"/>
      <w:bookmarkStart w:id="418" w:name="OLE_LINK1878"/>
      <w:bookmarkStart w:id="419" w:name="OLE_LINK1917"/>
      <w:bookmarkStart w:id="420" w:name="OLE_LINK1918"/>
      <w:bookmarkStart w:id="421" w:name="OLE_LINK1985"/>
      <w:bookmarkStart w:id="422" w:name="OLE_LINK1986"/>
      <w:bookmarkStart w:id="423" w:name="OLE_LINK1927"/>
      <w:bookmarkStart w:id="424" w:name="OLE_LINK1928"/>
      <w:bookmarkEnd w:id="320"/>
    </w:p>
    <w:p w:rsidR="00806C17" w:rsidRPr="00E60879" w:rsidRDefault="00806C17" w:rsidP="002D4683">
      <w:pPr>
        <w:autoSpaceDE w:val="0"/>
        <w:autoSpaceDN w:val="0"/>
        <w:adjustRightInd w:val="0"/>
        <w:snapToGrid w:val="0"/>
        <w:spacing w:line="360" w:lineRule="auto"/>
        <w:rPr>
          <w:rFonts w:ascii="Book Antiqua" w:hAnsi="Book Antiqua"/>
          <w:sz w:val="24"/>
          <w:szCs w:val="24"/>
        </w:rPr>
      </w:pPr>
      <w:r w:rsidRPr="00E60879">
        <w:rPr>
          <w:rFonts w:ascii="Book Antiqua" w:hAnsi="Book Antiqua"/>
          <w:b/>
          <w:sz w:val="24"/>
          <w:szCs w:val="24"/>
        </w:rPr>
        <w:t>Received:</w:t>
      </w:r>
      <w:r w:rsidRPr="00E60879">
        <w:rPr>
          <w:rFonts w:ascii="Book Antiqua" w:hAnsi="Book Antiqua"/>
          <w:b/>
          <w:sz w:val="24"/>
          <w:szCs w:val="24"/>
          <w:lang w:eastAsia="zh-CN"/>
        </w:rPr>
        <w:t xml:space="preserve"> </w:t>
      </w:r>
      <w:r w:rsidRPr="00E60879">
        <w:rPr>
          <w:rFonts w:ascii="Book Antiqua" w:hAnsi="Book Antiqua"/>
          <w:sz w:val="24"/>
          <w:szCs w:val="24"/>
          <w:lang w:eastAsia="zh-CN"/>
        </w:rPr>
        <w:t xml:space="preserve">May 13, 2013 </w:t>
      </w:r>
      <w:r w:rsidRPr="00E60879">
        <w:rPr>
          <w:rFonts w:ascii="Book Antiqua" w:hAnsi="Book Antiqua"/>
          <w:b/>
          <w:sz w:val="24"/>
          <w:szCs w:val="24"/>
          <w:lang w:eastAsia="zh-CN"/>
        </w:rPr>
        <w:t xml:space="preserve">    </w:t>
      </w:r>
      <w:r w:rsidRPr="00E60879">
        <w:rPr>
          <w:rFonts w:ascii="Book Antiqua" w:hAnsi="Book Antiqua"/>
          <w:b/>
          <w:sz w:val="24"/>
          <w:szCs w:val="24"/>
        </w:rPr>
        <w:t xml:space="preserve">   Revised:</w:t>
      </w:r>
      <w:bookmarkStart w:id="425" w:name="OLE_LINK2869"/>
      <w:bookmarkStart w:id="426" w:name="OLE_LINK2870"/>
      <w:r w:rsidRPr="00E60879">
        <w:rPr>
          <w:rFonts w:ascii="Book Antiqua" w:hAnsi="Book Antiqua"/>
          <w:b/>
          <w:sz w:val="24"/>
          <w:szCs w:val="24"/>
          <w:lang w:eastAsia="zh-CN"/>
        </w:rPr>
        <w:t xml:space="preserve"> </w:t>
      </w:r>
      <w:r w:rsidRPr="00E60879">
        <w:rPr>
          <w:rFonts w:ascii="Book Antiqua" w:hAnsi="Book Antiqua"/>
          <w:sz w:val="24"/>
          <w:szCs w:val="24"/>
          <w:lang w:eastAsia="zh-CN"/>
        </w:rPr>
        <w:t>June 13, 2013</w:t>
      </w:r>
      <w:bookmarkEnd w:id="425"/>
      <w:bookmarkEnd w:id="426"/>
      <w:r w:rsidRPr="00E60879">
        <w:rPr>
          <w:rFonts w:ascii="Book Antiqua" w:hAnsi="Book Antiqua"/>
          <w:sz w:val="24"/>
          <w:szCs w:val="24"/>
        </w:rPr>
        <w:t xml:space="preserve"> </w:t>
      </w:r>
      <w:bookmarkEnd w:id="393"/>
      <w:bookmarkEnd w:id="394"/>
      <w:r w:rsidRPr="00E60879">
        <w:rPr>
          <w:rFonts w:ascii="Book Antiqua" w:hAnsi="Book Antiqua"/>
          <w:sz w:val="24"/>
          <w:szCs w:val="24"/>
        </w:rPr>
        <w:t xml:space="preserve"> </w:t>
      </w:r>
      <w:bookmarkStart w:id="427" w:name="OLE_LINK103"/>
      <w:bookmarkStart w:id="428" w:name="OLE_LINK104"/>
      <w:bookmarkStart w:id="429" w:name="OLE_LINK69"/>
      <w:bookmarkStart w:id="430" w:name="OLE_LINK70"/>
    </w:p>
    <w:p w:rsidR="00EE5EDE" w:rsidRPr="00597D51" w:rsidRDefault="00806C17" w:rsidP="00EE5EDE">
      <w:pPr>
        <w:rPr>
          <w:rFonts w:ascii="Book Antiqua" w:hAnsi="Book Antiqua"/>
          <w:sz w:val="24"/>
          <w:szCs w:val="24"/>
        </w:rPr>
      </w:pPr>
      <w:bookmarkStart w:id="431" w:name="OLE_LINK303"/>
      <w:bookmarkStart w:id="432" w:name="OLE_LINK304"/>
      <w:bookmarkStart w:id="433" w:name="OLE_LINK1382"/>
      <w:r w:rsidRPr="00E60879">
        <w:rPr>
          <w:rFonts w:ascii="Book Antiqua" w:hAnsi="Book Antiqua"/>
          <w:b/>
          <w:sz w:val="24"/>
          <w:szCs w:val="24"/>
        </w:rPr>
        <w:t xml:space="preserve">Accepted: </w:t>
      </w:r>
      <w:r w:rsidR="00EE5EDE" w:rsidRPr="00597D51">
        <w:rPr>
          <w:rFonts w:ascii="Book Antiqua" w:hAnsi="Book Antiqua"/>
          <w:sz w:val="24"/>
          <w:szCs w:val="24"/>
        </w:rPr>
        <w:t>July 4, 2013</w:t>
      </w:r>
    </w:p>
    <w:p w:rsidR="00806C17" w:rsidRPr="00E60879" w:rsidRDefault="00806C17" w:rsidP="002D4683">
      <w:pPr>
        <w:adjustRightInd w:val="0"/>
        <w:snapToGrid w:val="0"/>
        <w:spacing w:line="360" w:lineRule="auto"/>
        <w:rPr>
          <w:rFonts w:ascii="Book Antiqua" w:hAnsi="Book Antiqua"/>
          <w:b/>
          <w:sz w:val="24"/>
          <w:szCs w:val="24"/>
        </w:rPr>
      </w:pPr>
      <w:bookmarkStart w:id="434" w:name="_GoBack"/>
      <w:bookmarkEnd w:id="434"/>
      <w:r w:rsidRPr="00E60879">
        <w:rPr>
          <w:rFonts w:ascii="Book Antiqua" w:hAnsi="Book Antiqua"/>
          <w:b/>
          <w:sz w:val="24"/>
          <w:szCs w:val="24"/>
        </w:rPr>
        <w:t xml:space="preserve"> </w:t>
      </w:r>
      <w:r>
        <w:rPr>
          <w:rFonts w:ascii="Book Antiqua" w:hAnsi="Book Antiqua"/>
          <w:b/>
          <w:sz w:val="24"/>
          <w:szCs w:val="24"/>
          <w:lang w:eastAsia="zh-CN"/>
        </w:rPr>
        <w:t xml:space="preserve">                 </w:t>
      </w:r>
      <w:r w:rsidRPr="00E60879">
        <w:rPr>
          <w:rFonts w:ascii="Book Antiqua" w:hAnsi="Book Antiqua"/>
          <w:b/>
          <w:sz w:val="24"/>
          <w:szCs w:val="24"/>
        </w:rPr>
        <w:t xml:space="preserve">Published online: </w:t>
      </w:r>
      <w:bookmarkEnd w:id="427"/>
      <w:bookmarkEnd w:id="428"/>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90"/>
    <w:bookmarkEnd w:id="391"/>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9"/>
    <w:bookmarkEnd w:id="430"/>
    <w:bookmarkEnd w:id="431"/>
    <w:bookmarkEnd w:id="432"/>
    <w:bookmarkEnd w:id="433"/>
    <w:p w:rsidR="00806C17" w:rsidRPr="00E60879" w:rsidRDefault="00806C17" w:rsidP="002D4683">
      <w:pPr>
        <w:pStyle w:val="a7"/>
        <w:adjustRightInd w:val="0"/>
        <w:snapToGrid w:val="0"/>
        <w:spacing w:line="360" w:lineRule="auto"/>
        <w:jc w:val="both"/>
        <w:rPr>
          <w:rFonts w:ascii="Book Antiqua" w:eastAsia="Times New Roman" w:hAnsi="Book Antiqua"/>
          <w:sz w:val="24"/>
          <w:szCs w:val="24"/>
          <w:lang w:eastAsia="zh-CN"/>
        </w:rPr>
      </w:pPr>
    </w:p>
    <w:bookmarkEnd w:id="308"/>
    <w:bookmarkEnd w:id="309"/>
    <w:bookmarkEnd w:id="310"/>
    <w:bookmarkEnd w:id="311"/>
    <w:bookmarkEnd w:id="312"/>
    <w:bookmarkEnd w:id="313"/>
    <w:bookmarkEnd w:id="314"/>
    <w:bookmarkEnd w:id="315"/>
    <w:bookmarkEnd w:id="316"/>
    <w:bookmarkEnd w:id="317"/>
    <w:p w:rsidR="00806C17" w:rsidRPr="00E60879" w:rsidRDefault="00806C17">
      <w:pPr>
        <w:widowControl/>
        <w:jc w:val="left"/>
        <w:rPr>
          <w:rFonts w:ascii="Book Antiqua" w:hAnsi="Book Antiqua"/>
          <w:b/>
          <w:sz w:val="24"/>
          <w:szCs w:val="24"/>
        </w:rPr>
      </w:pPr>
      <w:r w:rsidRPr="00E60879">
        <w:rPr>
          <w:rFonts w:ascii="Book Antiqua" w:hAnsi="Book Antiqua"/>
          <w:b/>
          <w:sz w:val="24"/>
          <w:szCs w:val="24"/>
        </w:rPr>
        <w:br w:type="page"/>
      </w:r>
    </w:p>
    <w:p w:rsidR="00806C17" w:rsidRPr="00E60879" w:rsidRDefault="00806C17" w:rsidP="002D4683">
      <w:pPr>
        <w:snapToGrid w:val="0"/>
        <w:spacing w:line="360" w:lineRule="auto"/>
        <w:rPr>
          <w:rFonts w:ascii="Book Antiqua" w:hAnsi="Book Antiqua"/>
          <w:b/>
          <w:sz w:val="24"/>
          <w:szCs w:val="24"/>
        </w:rPr>
      </w:pPr>
      <w:r w:rsidRPr="00E60879">
        <w:rPr>
          <w:rFonts w:ascii="Book Antiqua" w:hAnsi="Book Antiqua"/>
          <w:b/>
          <w:sz w:val="24"/>
          <w:szCs w:val="24"/>
        </w:rPr>
        <w:t>Abstract</w:t>
      </w:r>
    </w:p>
    <w:p w:rsidR="00806C17" w:rsidRPr="00E60879" w:rsidRDefault="00806C17" w:rsidP="002D4683">
      <w:pPr>
        <w:snapToGrid w:val="0"/>
        <w:spacing w:line="360" w:lineRule="auto"/>
        <w:rPr>
          <w:rFonts w:ascii="Book Antiqua" w:eastAsia="Times New Roman" w:hAnsi="Book Antiqua"/>
          <w:sz w:val="24"/>
          <w:szCs w:val="24"/>
          <w:lang w:eastAsia="zh-CN"/>
        </w:rPr>
      </w:pPr>
      <w:r w:rsidRPr="00E60879">
        <w:rPr>
          <w:rFonts w:ascii="Book Antiqua" w:hAnsi="Book Antiqua"/>
          <w:b/>
          <w:sz w:val="24"/>
          <w:szCs w:val="24"/>
        </w:rPr>
        <w:t>AIM:</w:t>
      </w:r>
      <w:r w:rsidRPr="00E60879">
        <w:rPr>
          <w:rFonts w:ascii="Book Antiqua" w:hAnsi="Book Antiqua"/>
          <w:sz w:val="24"/>
          <w:szCs w:val="24"/>
        </w:rPr>
        <w:t xml:space="preserve"> To evaluate the effectiveness and safety of emergency </w:t>
      </w:r>
      <w:bookmarkStart w:id="435" w:name="OLE_LINK2848"/>
      <w:bookmarkStart w:id="436" w:name="OLE_LINK2849"/>
      <w:bookmarkStart w:id="437" w:name="OLE_LINK2850"/>
      <w:r w:rsidRPr="00E60879">
        <w:rPr>
          <w:rFonts w:ascii="Book Antiqua" w:hAnsi="Book Antiqua"/>
          <w:sz w:val="24"/>
          <w:szCs w:val="24"/>
        </w:rPr>
        <w:t>balloon-occluded retrograde transvenous obliteration (BRTO)</w:t>
      </w:r>
      <w:bookmarkEnd w:id="435"/>
      <w:bookmarkEnd w:id="436"/>
      <w:bookmarkEnd w:id="437"/>
      <w:r w:rsidRPr="00E60879">
        <w:rPr>
          <w:rFonts w:ascii="Book Antiqua" w:hAnsi="Book Antiqua"/>
          <w:sz w:val="24"/>
          <w:szCs w:val="24"/>
        </w:rPr>
        <w:t xml:space="preserve"> for ruptured gastric varices.</w:t>
      </w:r>
    </w:p>
    <w:p w:rsidR="00806C17" w:rsidRPr="00E60879" w:rsidRDefault="00806C17" w:rsidP="002D4683">
      <w:pPr>
        <w:snapToGrid w:val="0"/>
        <w:spacing w:line="360" w:lineRule="auto"/>
        <w:rPr>
          <w:rFonts w:ascii="Book Antiqua" w:eastAsia="Times New Roman" w:hAnsi="Book Antiqua"/>
          <w:sz w:val="24"/>
          <w:szCs w:val="24"/>
          <w:lang w:eastAsia="zh-CN"/>
        </w:rPr>
      </w:pPr>
    </w:p>
    <w:p w:rsidR="00806C17" w:rsidRPr="00E60879" w:rsidRDefault="00806C17" w:rsidP="002D4683">
      <w:pPr>
        <w:snapToGrid w:val="0"/>
        <w:spacing w:line="360" w:lineRule="auto"/>
        <w:rPr>
          <w:rFonts w:ascii="Book Antiqua" w:eastAsia="Times New Roman" w:hAnsi="Book Antiqua"/>
          <w:sz w:val="24"/>
          <w:szCs w:val="24"/>
          <w:lang w:eastAsia="zh-CN"/>
        </w:rPr>
      </w:pPr>
      <w:r w:rsidRPr="00E60879">
        <w:rPr>
          <w:rFonts w:ascii="Book Antiqua" w:hAnsi="Book Antiqua"/>
          <w:b/>
          <w:sz w:val="24"/>
          <w:szCs w:val="24"/>
        </w:rPr>
        <w:t>METHODS:</w:t>
      </w:r>
      <w:r w:rsidRPr="00E60879">
        <w:rPr>
          <w:rFonts w:ascii="Book Antiqua" w:hAnsi="Book Antiqua"/>
          <w:sz w:val="24"/>
          <w:szCs w:val="24"/>
        </w:rPr>
        <w:t xml:space="preserve"> Emergency BRTO was performed in 17 patients with gastric varices and gastrorenal or gastrocaval shunts within 24 h of hematemesis and/or tarry stool. The gastric varices were confirmed by endoscopy, and the gastrorenal or gastrocaval shunts were identified by contrast-enhanced computed tomography (CE-CT). A 6</w:t>
      </w:r>
      <w:r w:rsidRPr="00E60879">
        <w:rPr>
          <w:rFonts w:ascii="Book Antiqua" w:hAnsi="Book Antiqua"/>
          <w:sz w:val="24"/>
          <w:szCs w:val="24"/>
          <w:lang w:eastAsia="zh-CN"/>
        </w:rPr>
        <w:t xml:space="preserve"> </w:t>
      </w:r>
      <w:r w:rsidRPr="00E60879">
        <w:rPr>
          <w:rFonts w:ascii="Book Antiqua" w:hAnsi="Book Antiqua"/>
          <w:sz w:val="24"/>
          <w:szCs w:val="24"/>
        </w:rPr>
        <w:t>Fr balloon catheter (Cobra type) was inserted into the gastrorenal shunt via the right internal jugular vein, or into the gastrocaval shunt via the right femoral vein, depending on the varices drainage route. The sclerosant, 5% ethanolamine oleate iopamidol, was injected into the gastric varices through the catheter during balloon occlusion. In patients with incomplete thrombosis of the varices after the first BRTO, a second BRTO was performed the following day. Patients were followed up by endoscopy and CE-CT at 1 d, 1 wk, and 1, 3, and 6 mo after the procedure, and every 6 mo thereafte</w:t>
      </w:r>
      <w:r w:rsidRPr="00E60879">
        <w:rPr>
          <w:rFonts w:ascii="Book Antiqua" w:eastAsia="MS Mincho" w:hAnsi="Book Antiqua"/>
          <w:sz w:val="24"/>
          <w:szCs w:val="24"/>
        </w:rPr>
        <w:t>r</w:t>
      </w:r>
      <w:r w:rsidRPr="00E60879">
        <w:rPr>
          <w:rFonts w:ascii="Book Antiqua" w:hAnsi="Book Antiqua"/>
          <w:sz w:val="24"/>
          <w:szCs w:val="24"/>
        </w:rPr>
        <w:t>.</w:t>
      </w:r>
    </w:p>
    <w:p w:rsidR="00806C17" w:rsidRPr="00E60879" w:rsidRDefault="00806C17" w:rsidP="002D4683">
      <w:pPr>
        <w:snapToGrid w:val="0"/>
        <w:spacing w:line="360" w:lineRule="auto"/>
        <w:rPr>
          <w:rFonts w:ascii="Book Antiqua" w:eastAsia="Times New Roman" w:hAnsi="Book Antiqua"/>
          <w:sz w:val="24"/>
          <w:szCs w:val="24"/>
          <w:lang w:eastAsia="zh-CN"/>
        </w:rPr>
      </w:pPr>
    </w:p>
    <w:p w:rsidR="00806C17" w:rsidRPr="00E60879" w:rsidRDefault="00806C17" w:rsidP="002D4683">
      <w:pPr>
        <w:snapToGrid w:val="0"/>
        <w:spacing w:line="360" w:lineRule="auto"/>
        <w:rPr>
          <w:rFonts w:ascii="Book Antiqua" w:eastAsia="Times New Roman" w:hAnsi="Book Antiqua"/>
          <w:sz w:val="24"/>
          <w:szCs w:val="24"/>
          <w:lang w:eastAsia="zh-CN"/>
        </w:rPr>
      </w:pPr>
      <w:r w:rsidRPr="00E60879">
        <w:rPr>
          <w:rFonts w:ascii="Book Antiqua" w:hAnsi="Book Antiqua"/>
          <w:b/>
          <w:sz w:val="24"/>
          <w:szCs w:val="24"/>
        </w:rPr>
        <w:t>RESULTS:</w:t>
      </w:r>
      <w:r w:rsidRPr="00E60879">
        <w:rPr>
          <w:rFonts w:ascii="Book Antiqua" w:hAnsi="Book Antiqua"/>
          <w:sz w:val="24"/>
          <w:szCs w:val="24"/>
        </w:rPr>
        <w:t xml:space="preserve"> Complete thrombosis of the gastric varices was not achieved with the first BRTO in 7/17 patients because of large gastric varices. These patients underwent a second BRTO on the next day, and additional sclerosant was injected through the catheter. Complete thrombosis which led to disappearance of the varices was achieved in 16/17 patients, while the remaining patient had incomplete thrombosis of the varices. None of the patients experienced rebleeding or recurrence of the gastric varices after a median follow-up of 1130 d (range 8-2739 d). No major complications occurred after the procedure. However, esophageal varices worsened in 5/17 patients after a mean follow-up of 8.6 mo.</w:t>
      </w:r>
    </w:p>
    <w:p w:rsidR="00806C17" w:rsidRPr="00E60879" w:rsidRDefault="00806C17" w:rsidP="002D4683">
      <w:pPr>
        <w:snapToGrid w:val="0"/>
        <w:spacing w:line="360" w:lineRule="auto"/>
        <w:rPr>
          <w:rFonts w:ascii="Book Antiqua" w:eastAsia="Times New Roman" w:hAnsi="Book Antiqua"/>
          <w:sz w:val="24"/>
          <w:szCs w:val="24"/>
          <w:lang w:eastAsia="zh-CN"/>
        </w:rPr>
      </w:pPr>
    </w:p>
    <w:p w:rsidR="00806C17" w:rsidRPr="00E60879" w:rsidRDefault="00806C17" w:rsidP="002D4683">
      <w:pPr>
        <w:snapToGrid w:val="0"/>
        <w:spacing w:line="360" w:lineRule="auto"/>
        <w:rPr>
          <w:rFonts w:ascii="Book Antiqua" w:eastAsia="Times New Roman" w:hAnsi="Book Antiqua"/>
          <w:sz w:val="24"/>
          <w:szCs w:val="24"/>
          <w:lang w:eastAsia="zh-CN"/>
        </w:rPr>
      </w:pPr>
      <w:r w:rsidRPr="00E60879">
        <w:rPr>
          <w:rFonts w:ascii="Book Antiqua" w:hAnsi="Book Antiqua"/>
          <w:b/>
          <w:sz w:val="24"/>
          <w:szCs w:val="24"/>
        </w:rPr>
        <w:t>CONCLUSION:</w:t>
      </w:r>
      <w:r w:rsidRPr="00E60879">
        <w:rPr>
          <w:rFonts w:ascii="Book Antiqua" w:hAnsi="Book Antiqua"/>
          <w:sz w:val="24"/>
          <w:szCs w:val="24"/>
        </w:rPr>
        <w:t xml:space="preserve"> Emergency BRTO is an effective and safe treatment for ruptured gastric varices.</w:t>
      </w:r>
    </w:p>
    <w:p w:rsidR="00806C17" w:rsidRPr="00E60879" w:rsidRDefault="00806C17" w:rsidP="002D4683">
      <w:pPr>
        <w:snapToGrid w:val="0"/>
        <w:spacing w:line="360" w:lineRule="auto"/>
        <w:rPr>
          <w:rFonts w:ascii="Book Antiqua" w:eastAsia="Times New Roman" w:hAnsi="Book Antiqua"/>
          <w:sz w:val="24"/>
          <w:szCs w:val="24"/>
          <w:lang w:eastAsia="zh-CN"/>
        </w:rPr>
      </w:pPr>
    </w:p>
    <w:p w:rsidR="00806C17" w:rsidRPr="00E60879" w:rsidRDefault="00806C17" w:rsidP="002D4683">
      <w:pPr>
        <w:adjustRightInd w:val="0"/>
        <w:snapToGrid w:val="0"/>
        <w:spacing w:line="360" w:lineRule="auto"/>
        <w:rPr>
          <w:rFonts w:ascii="Book Antiqua" w:hAnsi="Book Antiqua"/>
          <w:sz w:val="24"/>
          <w:szCs w:val="24"/>
        </w:rPr>
      </w:pPr>
      <w:bookmarkStart w:id="438" w:name="OLE_LINK98"/>
      <w:bookmarkStart w:id="439" w:name="OLE_LINK156"/>
      <w:bookmarkStart w:id="440" w:name="OLE_LINK196"/>
      <w:bookmarkStart w:id="441" w:name="OLE_LINK217"/>
      <w:bookmarkStart w:id="442" w:name="OLE_LINK242"/>
      <w:bookmarkStart w:id="443" w:name="OLE_LINK247"/>
      <w:bookmarkStart w:id="444" w:name="OLE_LINK311"/>
      <w:bookmarkStart w:id="445" w:name="OLE_LINK312"/>
      <w:bookmarkStart w:id="446" w:name="OLE_LINK325"/>
      <w:bookmarkStart w:id="447" w:name="OLE_LINK330"/>
      <w:bookmarkStart w:id="448" w:name="OLE_LINK513"/>
      <w:bookmarkStart w:id="449" w:name="OLE_LINK514"/>
      <w:bookmarkStart w:id="450" w:name="OLE_LINK464"/>
      <w:bookmarkStart w:id="451" w:name="OLE_LINK465"/>
      <w:bookmarkStart w:id="452" w:name="OLE_LINK466"/>
      <w:bookmarkStart w:id="453" w:name="OLE_LINK470"/>
      <w:bookmarkStart w:id="454" w:name="OLE_LINK471"/>
      <w:bookmarkStart w:id="455" w:name="OLE_LINK472"/>
      <w:bookmarkStart w:id="456" w:name="OLE_LINK474"/>
      <w:bookmarkStart w:id="457" w:name="OLE_LINK512"/>
      <w:bookmarkStart w:id="458" w:name="OLE_LINK800"/>
      <w:bookmarkStart w:id="459" w:name="OLE_LINK982"/>
      <w:bookmarkStart w:id="460" w:name="OLE_LINK1027"/>
      <w:bookmarkStart w:id="461" w:name="OLE_LINK504"/>
      <w:bookmarkStart w:id="462" w:name="OLE_LINK546"/>
      <w:bookmarkStart w:id="463" w:name="OLE_LINK547"/>
      <w:bookmarkStart w:id="464" w:name="OLE_LINK575"/>
      <w:bookmarkStart w:id="465" w:name="OLE_LINK640"/>
      <w:bookmarkStart w:id="466" w:name="OLE_LINK672"/>
      <w:bookmarkStart w:id="467" w:name="OLE_LINK714"/>
      <w:bookmarkStart w:id="468" w:name="OLE_LINK651"/>
      <w:bookmarkStart w:id="469" w:name="OLE_LINK652"/>
      <w:bookmarkStart w:id="470" w:name="OLE_LINK744"/>
      <w:bookmarkStart w:id="471" w:name="OLE_LINK758"/>
      <w:bookmarkStart w:id="472" w:name="OLE_LINK787"/>
      <w:bookmarkStart w:id="473" w:name="OLE_LINK807"/>
      <w:bookmarkStart w:id="474" w:name="OLE_LINK820"/>
      <w:bookmarkStart w:id="475" w:name="OLE_LINK862"/>
      <w:bookmarkStart w:id="476" w:name="OLE_LINK879"/>
      <w:bookmarkStart w:id="477" w:name="OLE_LINK906"/>
      <w:bookmarkStart w:id="478" w:name="OLE_LINK928"/>
      <w:bookmarkStart w:id="479" w:name="OLE_LINK960"/>
      <w:bookmarkStart w:id="480" w:name="OLE_LINK861"/>
      <w:bookmarkStart w:id="481" w:name="OLE_LINK983"/>
      <w:bookmarkStart w:id="482" w:name="OLE_LINK1334"/>
      <w:bookmarkStart w:id="483" w:name="OLE_LINK1029"/>
      <w:bookmarkStart w:id="484" w:name="OLE_LINK1060"/>
      <w:bookmarkStart w:id="485" w:name="OLE_LINK1061"/>
      <w:bookmarkStart w:id="486" w:name="OLE_LINK1348"/>
      <w:bookmarkStart w:id="487" w:name="OLE_LINK1086"/>
      <w:bookmarkStart w:id="488" w:name="OLE_LINK1100"/>
      <w:bookmarkStart w:id="489" w:name="OLE_LINK1125"/>
      <w:bookmarkStart w:id="490" w:name="OLE_LINK1163"/>
      <w:bookmarkStart w:id="491" w:name="OLE_LINK1193"/>
      <w:bookmarkStart w:id="492" w:name="OLE_LINK1219"/>
      <w:bookmarkStart w:id="493" w:name="OLE_LINK1247"/>
      <w:bookmarkStart w:id="494" w:name="OLE_LINK1284"/>
      <w:bookmarkStart w:id="495" w:name="OLE_LINK1313"/>
      <w:bookmarkStart w:id="496" w:name="OLE_LINK1361"/>
      <w:bookmarkStart w:id="497" w:name="OLE_LINK1384"/>
      <w:bookmarkStart w:id="498" w:name="OLE_LINK1403"/>
      <w:bookmarkStart w:id="499" w:name="OLE_LINK1437"/>
      <w:bookmarkStart w:id="500" w:name="OLE_LINK1454"/>
      <w:bookmarkStart w:id="501" w:name="OLE_LINK1480"/>
      <w:bookmarkStart w:id="502" w:name="OLE_LINK1504"/>
      <w:bookmarkStart w:id="503" w:name="OLE_LINK1516"/>
      <w:bookmarkStart w:id="504" w:name="OLE_LINK135"/>
      <w:bookmarkStart w:id="505" w:name="OLE_LINK216"/>
      <w:bookmarkStart w:id="506" w:name="OLE_LINK259"/>
      <w:bookmarkStart w:id="507" w:name="OLE_LINK1186"/>
      <w:bookmarkStart w:id="508" w:name="OLE_LINK1265"/>
      <w:bookmarkStart w:id="509" w:name="OLE_LINK1373"/>
      <w:bookmarkStart w:id="510" w:name="OLE_LINK1478"/>
      <w:bookmarkStart w:id="511" w:name="OLE_LINK1644"/>
      <w:bookmarkStart w:id="512" w:name="OLE_LINK1884"/>
      <w:bookmarkStart w:id="513" w:name="OLE_LINK1885"/>
      <w:bookmarkStart w:id="514" w:name="OLE_LINK1538"/>
      <w:bookmarkStart w:id="515" w:name="OLE_LINK1539"/>
      <w:bookmarkStart w:id="516" w:name="OLE_LINK1543"/>
      <w:bookmarkStart w:id="517" w:name="OLE_LINK1549"/>
      <w:bookmarkStart w:id="518" w:name="OLE_LINK1778"/>
      <w:bookmarkStart w:id="519" w:name="OLE_LINK1756"/>
      <w:bookmarkStart w:id="520" w:name="OLE_LINK1776"/>
      <w:bookmarkStart w:id="521" w:name="OLE_LINK1777"/>
      <w:bookmarkStart w:id="522" w:name="OLE_LINK1868"/>
      <w:bookmarkStart w:id="523" w:name="OLE_LINK1744"/>
      <w:bookmarkStart w:id="524" w:name="OLE_LINK1817"/>
      <w:bookmarkStart w:id="525" w:name="OLE_LINK1835"/>
      <w:bookmarkStart w:id="526" w:name="OLE_LINK1866"/>
      <w:bookmarkStart w:id="527" w:name="OLE_LINK1882"/>
      <w:bookmarkStart w:id="528" w:name="OLE_LINK1901"/>
      <w:bookmarkStart w:id="529" w:name="OLE_LINK1902"/>
      <w:bookmarkStart w:id="530" w:name="OLE_LINK2013"/>
      <w:bookmarkStart w:id="531" w:name="OLE_LINK1894"/>
      <w:bookmarkStart w:id="532" w:name="OLE_LINK1929"/>
      <w:bookmarkStart w:id="533" w:name="OLE_LINK1941"/>
      <w:bookmarkStart w:id="534" w:name="OLE_LINK1995"/>
      <w:bookmarkStart w:id="535" w:name="OLE_LINK1938"/>
      <w:bookmarkStart w:id="536" w:name="OLE_LINK2081"/>
      <w:bookmarkStart w:id="537" w:name="OLE_LINK2082"/>
      <w:bookmarkStart w:id="538" w:name="OLE_LINK2292"/>
      <w:bookmarkStart w:id="539" w:name="OLE_LINK1931"/>
      <w:bookmarkStart w:id="540" w:name="OLE_LINK1964"/>
      <w:r w:rsidRPr="00E60879">
        <w:rPr>
          <w:rFonts w:ascii="Book Antiqua" w:hAnsi="Book Antiqua"/>
          <w:sz w:val="24"/>
          <w:szCs w:val="24"/>
        </w:rPr>
        <w:t xml:space="preserve">© 2013 Baishideng. All rights reserved.  </w:t>
      </w:r>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rsidR="00806C17" w:rsidRPr="00E60879" w:rsidRDefault="00806C17" w:rsidP="002D4683">
      <w:pPr>
        <w:snapToGrid w:val="0"/>
        <w:spacing w:line="360" w:lineRule="auto"/>
        <w:rPr>
          <w:rFonts w:ascii="Book Antiqua" w:hAnsi="Book Antiqua"/>
          <w:sz w:val="24"/>
          <w:szCs w:val="24"/>
        </w:rPr>
      </w:pPr>
    </w:p>
    <w:p w:rsidR="00806C17" w:rsidRPr="00E60879" w:rsidRDefault="00806C17" w:rsidP="002D4683">
      <w:pPr>
        <w:snapToGrid w:val="0"/>
        <w:spacing w:line="360" w:lineRule="auto"/>
        <w:rPr>
          <w:rFonts w:ascii="Book Antiqua" w:eastAsia="Times New Roman" w:hAnsi="Book Antiqua"/>
          <w:sz w:val="24"/>
          <w:szCs w:val="24"/>
          <w:lang w:eastAsia="zh-CN"/>
        </w:rPr>
      </w:pPr>
      <w:r w:rsidRPr="00E60879">
        <w:rPr>
          <w:rFonts w:ascii="Book Antiqua" w:hAnsi="Book Antiqua"/>
          <w:b/>
          <w:sz w:val="24"/>
          <w:szCs w:val="24"/>
        </w:rPr>
        <w:t>Key words</w:t>
      </w:r>
      <w:r w:rsidRPr="00E60879">
        <w:rPr>
          <w:rFonts w:ascii="Book Antiqua" w:hAnsi="Book Antiqua"/>
          <w:sz w:val="24"/>
          <w:szCs w:val="24"/>
        </w:rPr>
        <w:t>: Emergency</w:t>
      </w:r>
      <w:r w:rsidRPr="00E60879">
        <w:rPr>
          <w:rFonts w:ascii="Book Antiqua" w:hAnsi="Book Antiqua"/>
          <w:b/>
          <w:sz w:val="24"/>
          <w:szCs w:val="24"/>
        </w:rPr>
        <w:t xml:space="preserve"> </w:t>
      </w:r>
      <w:r w:rsidRPr="00E60879">
        <w:rPr>
          <w:rFonts w:ascii="Book Antiqua" w:hAnsi="Book Antiqua"/>
          <w:sz w:val="24"/>
          <w:szCs w:val="24"/>
        </w:rPr>
        <w:t>balloon-occluded retrograde transvenous obliteration; Gastric varices; Bleeding; Portal hypertension; Ethanolamine oleate</w:t>
      </w:r>
    </w:p>
    <w:p w:rsidR="00806C17" w:rsidRPr="00E60879" w:rsidRDefault="00806C17" w:rsidP="002D4683">
      <w:pPr>
        <w:snapToGrid w:val="0"/>
        <w:spacing w:line="360" w:lineRule="auto"/>
        <w:rPr>
          <w:rFonts w:ascii="Book Antiqua" w:eastAsia="Times New Roman" w:hAnsi="Book Antiqua"/>
          <w:sz w:val="24"/>
          <w:szCs w:val="24"/>
          <w:lang w:eastAsia="zh-CN"/>
        </w:rPr>
      </w:pPr>
    </w:p>
    <w:p w:rsidR="00806C17" w:rsidRPr="00E60879" w:rsidRDefault="00806C17" w:rsidP="002D4683">
      <w:pPr>
        <w:widowControl/>
        <w:adjustRightInd w:val="0"/>
        <w:snapToGrid w:val="0"/>
        <w:spacing w:line="360" w:lineRule="auto"/>
        <w:rPr>
          <w:rFonts w:ascii="Book Antiqua" w:hAnsi="Book Antiqua" w:cs="Simsun"/>
          <w:kern w:val="0"/>
          <w:sz w:val="24"/>
          <w:szCs w:val="24"/>
        </w:rPr>
      </w:pPr>
      <w:bookmarkStart w:id="541" w:name="OLE_LINK1196"/>
      <w:bookmarkStart w:id="542" w:name="OLE_LINK1154"/>
      <w:bookmarkStart w:id="543" w:name="OLE_LINK1155"/>
      <w:bookmarkStart w:id="544" w:name="OLE_LINK1322"/>
      <w:bookmarkStart w:id="545" w:name="OLE_LINK1044"/>
      <w:bookmarkStart w:id="546" w:name="OLE_LINK1224"/>
      <w:bookmarkStart w:id="547" w:name="OLE_LINK1225"/>
      <w:bookmarkStart w:id="548" w:name="OLE_LINK1634"/>
      <w:bookmarkStart w:id="549" w:name="OLE_LINK1635"/>
      <w:bookmarkStart w:id="550" w:name="OLE_LINK1762"/>
      <w:bookmarkStart w:id="551" w:name="OLE_LINK1763"/>
      <w:bookmarkStart w:id="552" w:name="OLE_LINK1764"/>
      <w:bookmarkStart w:id="553" w:name="OLE_LINK1939"/>
      <w:bookmarkStart w:id="554" w:name="OLE_LINK576"/>
      <w:bookmarkStart w:id="555" w:name="OLE_LINK579"/>
      <w:bookmarkStart w:id="556" w:name="OLE_LINK580"/>
      <w:bookmarkStart w:id="557" w:name="OLE_LINK521"/>
      <w:bookmarkStart w:id="558" w:name="OLE_LINK1043"/>
      <w:bookmarkStart w:id="559" w:name="OLE_LINK1886"/>
      <w:bookmarkStart w:id="560" w:name="OLE_LINK1887"/>
      <w:bookmarkStart w:id="561" w:name="OLE_LINK1888"/>
      <w:bookmarkStart w:id="562" w:name="OLE_LINK1889"/>
      <w:bookmarkStart w:id="563" w:name="OLE_LINK1903"/>
      <w:bookmarkStart w:id="564" w:name="OLE_LINK2083"/>
      <w:bookmarkStart w:id="565" w:name="OLE_LINK2084"/>
      <w:bookmarkStart w:id="566" w:name="OLE_LINK581"/>
      <w:bookmarkStart w:id="567" w:name="OLE_LINK582"/>
      <w:bookmarkStart w:id="568" w:name="OLE_LINK994"/>
      <w:bookmarkStart w:id="569" w:name="OLE_LINK995"/>
      <w:bookmarkStart w:id="570" w:name="OLE_LINK1074"/>
      <w:bookmarkStart w:id="571" w:name="OLE_LINK1140"/>
      <w:bookmarkStart w:id="572" w:name="OLE_LINK1127"/>
      <w:bookmarkStart w:id="573" w:name="OLE_LINK1266"/>
      <w:bookmarkStart w:id="574" w:name="OLE_LINK1540"/>
      <w:bookmarkStart w:id="575" w:name="OLE_LINK1541"/>
      <w:bookmarkStart w:id="576" w:name="OLE_LINK1551"/>
      <w:bookmarkStart w:id="577" w:name="OLE_LINK1587"/>
      <w:bookmarkStart w:id="578" w:name="OLE_LINK1601"/>
      <w:bookmarkStart w:id="579" w:name="OLE_LINK1731"/>
      <w:bookmarkStart w:id="580" w:name="OLE_LINK1818"/>
      <w:bookmarkStart w:id="581" w:name="OLE_LINK1965"/>
      <w:bookmarkStart w:id="582" w:name="OLE_LINK1967"/>
      <w:bookmarkStart w:id="583" w:name="OLE_LINK1972"/>
      <w:bookmarkStart w:id="584" w:name="OLE_LINK1973"/>
      <w:bookmarkStart w:id="585" w:name="OLE_LINK1560"/>
      <w:bookmarkStart w:id="586" w:name="OLE_LINK1561"/>
      <w:bookmarkStart w:id="587" w:name="OLE_LINK1568"/>
      <w:bookmarkStart w:id="588" w:name="OLE_LINK1707"/>
      <w:bookmarkStart w:id="589" w:name="OLE_LINK1775"/>
      <w:bookmarkStart w:id="590" w:name="OLE_LINK1909"/>
      <w:bookmarkStart w:id="591" w:name="OLE_LINK389"/>
      <w:bookmarkStart w:id="592" w:name="OLE_LINK391"/>
      <w:bookmarkStart w:id="593" w:name="OLE_LINK432"/>
      <w:bookmarkStart w:id="594" w:name="OLE_LINK1087"/>
      <w:bookmarkStart w:id="595" w:name="OLE_LINK1418"/>
      <w:bookmarkStart w:id="596" w:name="OLE_LINK1267"/>
      <w:bookmarkStart w:id="597" w:name="OLE_LINK335"/>
      <w:bookmarkStart w:id="598" w:name="OLE_LINK336"/>
      <w:bookmarkStart w:id="599" w:name="OLE_LINK1297"/>
      <w:bookmarkStart w:id="600" w:name="OLE_LINK1298"/>
      <w:bookmarkStart w:id="601" w:name="OLE_LINK1689"/>
      <w:bookmarkStart w:id="602" w:name="OLE_LINK404"/>
      <w:bookmarkStart w:id="603" w:name="OLE_LINK405"/>
      <w:bookmarkStart w:id="604" w:name="OLE_LINK406"/>
      <w:bookmarkStart w:id="605" w:name="OLE_LINK407"/>
      <w:bookmarkStart w:id="606" w:name="OLE_LINK629"/>
      <w:bookmarkStart w:id="607" w:name="OLE_LINK630"/>
      <w:bookmarkStart w:id="608" w:name="OLE_LINK1908"/>
      <w:bookmarkStart w:id="609" w:name="OLE_LINK1864"/>
      <w:bookmarkStart w:id="610" w:name="OLE_LINK401"/>
      <w:bookmarkStart w:id="611" w:name="OLE_LINK402"/>
      <w:bookmarkStart w:id="612" w:name="OLE_LINK99"/>
      <w:bookmarkStart w:id="613" w:name="OLE_LINK100"/>
      <w:bookmarkStart w:id="614" w:name="OLE_LINK271"/>
      <w:bookmarkStart w:id="615" w:name="OLE_LINK272"/>
      <w:bookmarkStart w:id="616" w:name="OLE_LINK300"/>
      <w:bookmarkStart w:id="617" w:name="OLE_LINK302"/>
      <w:bookmarkStart w:id="618" w:name="OLE_LINK449"/>
      <w:bookmarkStart w:id="619" w:name="OLE_LINK450"/>
      <w:bookmarkStart w:id="620" w:name="OLE_LINK456"/>
      <w:bookmarkStart w:id="621" w:name="OLE_LINK705"/>
      <w:bookmarkStart w:id="622" w:name="OLE_LINK522"/>
      <w:bookmarkStart w:id="623" w:name="OLE_LINK621"/>
      <w:bookmarkStart w:id="624" w:name="OLE_LINK1242"/>
      <w:bookmarkStart w:id="625" w:name="OLE_LINK1102"/>
      <w:bookmarkStart w:id="626" w:name="OLE_LINK1103"/>
      <w:bookmarkStart w:id="627" w:name="OLE_LINK1546"/>
      <w:bookmarkStart w:id="628" w:name="OLE_LINK2014"/>
      <w:bookmarkStart w:id="629" w:name="OLE_LINK2015"/>
      <w:r w:rsidRPr="00E60879">
        <w:rPr>
          <w:rFonts w:ascii="Book Antiqua" w:hAnsi="Book Antiqua" w:cs="Simsun"/>
          <w:b/>
          <w:kern w:val="0"/>
          <w:sz w:val="24"/>
          <w:szCs w:val="24"/>
        </w:rPr>
        <w:t>Core tip:</w:t>
      </w:r>
      <w:bookmarkEnd w:id="541"/>
      <w:bookmarkEnd w:id="542"/>
      <w:bookmarkEnd w:id="543"/>
      <w:bookmarkEnd w:id="544"/>
      <w:bookmarkEnd w:id="545"/>
      <w:bookmarkEnd w:id="546"/>
      <w:bookmarkEnd w:id="547"/>
      <w:bookmarkEnd w:id="548"/>
      <w:bookmarkEnd w:id="549"/>
      <w:bookmarkEnd w:id="550"/>
      <w:bookmarkEnd w:id="551"/>
      <w:bookmarkEnd w:id="552"/>
      <w:bookmarkEnd w:id="553"/>
      <w:r w:rsidRPr="00E60879">
        <w:rPr>
          <w:rFonts w:ascii="Book Antiqua" w:hAnsi="Book Antiqua" w:cs="Simsun"/>
          <w:kern w:val="0"/>
          <w:sz w:val="24"/>
          <w:szCs w:val="24"/>
        </w:rPr>
        <w:t xml:space="preserve"> </w:t>
      </w:r>
      <w:bookmarkStart w:id="630" w:name="OLE_LINK1226"/>
      <w:bookmarkStart w:id="631" w:name="OLE_LINK1227"/>
      <w:bookmarkEnd w:id="554"/>
      <w:bookmarkEnd w:id="555"/>
      <w:bookmarkEnd w:id="556"/>
      <w:bookmarkEnd w:id="557"/>
      <w:bookmarkEnd w:id="558"/>
      <w:bookmarkEnd w:id="559"/>
      <w:bookmarkEnd w:id="560"/>
      <w:bookmarkEnd w:id="561"/>
      <w:bookmarkEnd w:id="562"/>
      <w:bookmarkEnd w:id="563"/>
      <w:bookmarkEnd w:id="564"/>
      <w:bookmarkEnd w:id="565"/>
      <w:r w:rsidRPr="00E60879">
        <w:rPr>
          <w:rFonts w:ascii="Book Antiqua" w:hAnsi="Book Antiqua"/>
          <w:sz w:val="24"/>
          <w:szCs w:val="24"/>
        </w:rPr>
        <w:t>As ruptured gastric varices are associated with high rates of recurrent bleeding and mortality, quick treatment is essential. Balloon-occluded retrograde transvenous obliteration (BRTO) is a minimally invasive treatment for gastric varices with a high success rate and a low recurrence rate. Emergency BRTO is an effective and safe treatment, providing temporary hemostasis of ruptured gastric varices can be achieved, allowing the sclerosant to accumulate in the varices.</w:t>
      </w:r>
    </w:p>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rsidR="00806C17" w:rsidRPr="00E60879" w:rsidRDefault="00806C17" w:rsidP="002D4683">
      <w:pPr>
        <w:tabs>
          <w:tab w:val="left" w:pos="1650"/>
        </w:tabs>
        <w:adjustRightInd w:val="0"/>
        <w:snapToGrid w:val="0"/>
        <w:spacing w:line="360" w:lineRule="auto"/>
        <w:rPr>
          <w:rFonts w:ascii="Book Antiqua" w:hAnsi="Book Antiqua"/>
          <w:sz w:val="24"/>
          <w:szCs w:val="24"/>
        </w:rPr>
      </w:pPr>
    </w:p>
    <w:bookmarkEnd w:id="585"/>
    <w:bookmarkEnd w:id="586"/>
    <w:bookmarkEnd w:id="587"/>
    <w:bookmarkEnd w:id="588"/>
    <w:bookmarkEnd w:id="589"/>
    <w:bookmarkEnd w:id="590"/>
    <w:bookmarkEnd w:id="630"/>
    <w:bookmarkEnd w:id="631"/>
    <w:p w:rsidR="00806C17" w:rsidRPr="00E60879" w:rsidRDefault="00806C17" w:rsidP="006F7771">
      <w:pPr>
        <w:adjustRightInd w:val="0"/>
        <w:snapToGrid w:val="0"/>
        <w:spacing w:line="360" w:lineRule="auto"/>
        <w:rPr>
          <w:rFonts w:ascii="Book Antiqua" w:hAnsi="Book Antiqua" w:cs="Tahoma"/>
          <w:sz w:val="24"/>
          <w:szCs w:val="24"/>
        </w:rPr>
      </w:pPr>
      <w:r w:rsidRPr="00E60879">
        <w:rPr>
          <w:rFonts w:ascii="Book Antiqua" w:hAnsi="Book Antiqua" w:cs="Tahoma"/>
          <w:sz w:val="24"/>
          <w:szCs w:val="24"/>
        </w:rPr>
        <w:t xml:space="preserve">Sonomura T, Ono W, Sato M, Sahara S, Nakata K, Sanda H, Kawai N, Minamiguchi H, Nakai M, Kishi K. </w:t>
      </w:r>
      <w:r w:rsidRPr="00E60879">
        <w:rPr>
          <w:rFonts w:ascii="Book Antiqua" w:hAnsi="Book Antiqua"/>
          <w:sz w:val="24"/>
          <w:szCs w:val="24"/>
        </w:rPr>
        <w:t>Emergency balloon-occluded retrograde transvenous obliteration of ruptured gastric varices.</w:t>
      </w:r>
      <w:bookmarkEnd w:id="591"/>
      <w:bookmarkEnd w:id="592"/>
      <w:bookmarkEnd w:id="593"/>
      <w:bookmarkEnd w:id="594"/>
      <w:bookmarkEnd w:id="595"/>
      <w:bookmarkEnd w:id="596"/>
      <w:r w:rsidRPr="00E60879">
        <w:rPr>
          <w:rFonts w:ascii="Book Antiqua" w:hAnsi="Book Antiqua" w:cs="Tahoma"/>
          <w:sz w:val="24"/>
          <w:szCs w:val="24"/>
          <w:lang w:eastAsia="zh-CN"/>
        </w:rPr>
        <w:t xml:space="preserve"> </w:t>
      </w:r>
      <w:r w:rsidRPr="00E60879">
        <w:rPr>
          <w:rFonts w:ascii="Book Antiqua" w:hAnsi="Book Antiqua"/>
          <w:i/>
          <w:sz w:val="24"/>
          <w:szCs w:val="24"/>
        </w:rPr>
        <w:t>World J Gastroenterol</w:t>
      </w:r>
      <w:r w:rsidRPr="00E60879">
        <w:rPr>
          <w:rFonts w:ascii="Book Antiqua" w:hAnsi="Book Antiqua"/>
          <w:sz w:val="24"/>
          <w:szCs w:val="24"/>
        </w:rPr>
        <w:t xml:space="preserve"> </w:t>
      </w:r>
      <w:bookmarkEnd w:id="597"/>
      <w:bookmarkEnd w:id="598"/>
      <w:r w:rsidRPr="00E60879">
        <w:rPr>
          <w:rFonts w:ascii="Book Antiqua" w:hAnsi="Book Antiqua"/>
          <w:sz w:val="24"/>
          <w:szCs w:val="24"/>
        </w:rPr>
        <w:t xml:space="preserve">2013;  </w:t>
      </w:r>
    </w:p>
    <w:bookmarkEnd w:id="599"/>
    <w:bookmarkEnd w:id="600"/>
    <w:bookmarkEnd w:id="601"/>
    <w:p w:rsidR="00806C17" w:rsidRPr="00E60879" w:rsidRDefault="00806C17" w:rsidP="002D4683">
      <w:pPr>
        <w:pStyle w:val="p0"/>
        <w:adjustRightInd w:val="0"/>
        <w:snapToGrid w:val="0"/>
        <w:spacing w:line="360" w:lineRule="auto"/>
        <w:jc w:val="both"/>
        <w:rPr>
          <w:rFonts w:ascii="Book Antiqua" w:hAnsi="Book Antiqua"/>
          <w:sz w:val="24"/>
          <w:szCs w:val="24"/>
        </w:rPr>
      </w:pPr>
      <w:r w:rsidRPr="00E60879">
        <w:rPr>
          <w:rFonts w:ascii="Book Antiqua" w:hAnsi="Book Antiqua"/>
          <w:b/>
          <w:bCs/>
          <w:sz w:val="24"/>
          <w:szCs w:val="24"/>
        </w:rPr>
        <w:t>Available from:</w:t>
      </w:r>
      <w:r w:rsidRPr="00E60879">
        <w:rPr>
          <w:rFonts w:ascii="Book Antiqua" w:hAnsi="Book Antiqua"/>
          <w:sz w:val="24"/>
          <w:szCs w:val="24"/>
        </w:rPr>
        <w:t xml:space="preserve"> </w:t>
      </w:r>
      <w:bookmarkEnd w:id="602"/>
      <w:bookmarkEnd w:id="603"/>
      <w:r w:rsidRPr="00E60879">
        <w:rPr>
          <w:rFonts w:ascii="Book Antiqua" w:hAnsi="Book Antiqua"/>
          <w:color w:val="000000"/>
          <w:sz w:val="24"/>
          <w:szCs w:val="24"/>
        </w:rPr>
        <w:t>URL:</w:t>
      </w:r>
      <w:bookmarkEnd w:id="604"/>
      <w:bookmarkEnd w:id="605"/>
      <w:bookmarkEnd w:id="606"/>
      <w:bookmarkEnd w:id="607"/>
      <w:bookmarkEnd w:id="608"/>
      <w:bookmarkEnd w:id="609"/>
      <w:r w:rsidRPr="00E60879">
        <w:rPr>
          <w:rFonts w:ascii="Book Antiqua" w:hAnsi="Book Antiqua"/>
          <w:color w:val="000000"/>
          <w:sz w:val="24"/>
          <w:szCs w:val="24"/>
        </w:rPr>
        <w:t xml:space="preserve"> http://</w:t>
      </w:r>
      <w:bookmarkEnd w:id="610"/>
      <w:bookmarkEnd w:id="611"/>
      <w:r w:rsidRPr="00E60879">
        <w:rPr>
          <w:rFonts w:ascii="Book Antiqua" w:hAnsi="Book Antiqua"/>
          <w:color w:val="000000"/>
          <w:sz w:val="24"/>
          <w:szCs w:val="24"/>
        </w:rPr>
        <w:t xml:space="preserve">www.wjgnet.com/esps/  </w:t>
      </w:r>
    </w:p>
    <w:p w:rsidR="00806C17" w:rsidRPr="00E60879" w:rsidRDefault="00806C17" w:rsidP="002D4683">
      <w:pPr>
        <w:pStyle w:val="p0"/>
        <w:adjustRightInd w:val="0"/>
        <w:snapToGrid w:val="0"/>
        <w:spacing w:line="360" w:lineRule="auto"/>
        <w:jc w:val="both"/>
        <w:rPr>
          <w:rFonts w:ascii="Book Antiqua" w:hAnsi="Book Antiqua"/>
          <w:bCs/>
          <w:sz w:val="24"/>
          <w:szCs w:val="24"/>
        </w:rPr>
      </w:pPr>
      <w:bookmarkStart w:id="632" w:name="OLE_LINK399"/>
      <w:bookmarkStart w:id="633" w:name="OLE_LINK400"/>
      <w:bookmarkStart w:id="634" w:name="OLE_LINK494"/>
      <w:bookmarkStart w:id="635" w:name="OLE_LINK495"/>
      <w:bookmarkStart w:id="636" w:name="OLE_LINK607"/>
      <w:bookmarkStart w:id="637" w:name="OLE_LINK608"/>
      <w:bookmarkStart w:id="638" w:name="OLE_LINK609"/>
      <w:bookmarkStart w:id="639" w:name="OLE_LINK727"/>
      <w:bookmarkStart w:id="640" w:name="OLE_LINK853"/>
      <w:bookmarkStart w:id="641" w:name="OLE_LINK585"/>
      <w:bookmarkStart w:id="642" w:name="OLE_LINK689"/>
      <w:bookmarkStart w:id="643" w:name="OLE_LINK539"/>
      <w:bookmarkEnd w:id="612"/>
      <w:bookmarkEnd w:id="613"/>
      <w:bookmarkEnd w:id="614"/>
      <w:bookmarkEnd w:id="615"/>
      <w:bookmarkEnd w:id="616"/>
      <w:bookmarkEnd w:id="617"/>
      <w:r w:rsidRPr="00E60879">
        <w:rPr>
          <w:rFonts w:ascii="Book Antiqua" w:hAnsi="Book Antiqua" w:cs="Times New Roman"/>
          <w:b/>
          <w:bCs/>
          <w:kern w:val="2"/>
          <w:sz w:val="24"/>
          <w:szCs w:val="24"/>
        </w:rPr>
        <w:t xml:space="preserve">DOI: </w:t>
      </w:r>
      <w:r w:rsidRPr="00E60879">
        <w:rPr>
          <w:rFonts w:ascii="Book Antiqua" w:hAnsi="Book Antiqua" w:cs="Times New Roman"/>
          <w:bCs/>
          <w:kern w:val="2"/>
          <w:sz w:val="24"/>
          <w:szCs w:val="24"/>
        </w:rPr>
        <w:t>http://dx.doi.org/10.3748/wjg.v19.i0.0000</w:t>
      </w:r>
    </w:p>
    <w:bookmarkEnd w:id="618"/>
    <w:bookmarkEnd w:id="619"/>
    <w:bookmarkEnd w:id="620"/>
    <w:bookmarkEnd w:id="621"/>
    <w:bookmarkEnd w:id="622"/>
    <w:bookmarkEnd w:id="623"/>
    <w:bookmarkEnd w:id="624"/>
    <w:bookmarkEnd w:id="625"/>
    <w:bookmarkEnd w:id="626"/>
    <w:bookmarkEnd w:id="627"/>
    <w:bookmarkEnd w:id="628"/>
    <w:bookmarkEnd w:id="629"/>
    <w:bookmarkEnd w:id="632"/>
    <w:bookmarkEnd w:id="633"/>
    <w:bookmarkEnd w:id="634"/>
    <w:bookmarkEnd w:id="635"/>
    <w:bookmarkEnd w:id="636"/>
    <w:bookmarkEnd w:id="637"/>
    <w:bookmarkEnd w:id="638"/>
    <w:bookmarkEnd w:id="639"/>
    <w:bookmarkEnd w:id="640"/>
    <w:bookmarkEnd w:id="641"/>
    <w:bookmarkEnd w:id="642"/>
    <w:bookmarkEnd w:id="643"/>
    <w:p w:rsidR="00806C17" w:rsidRPr="00E60879" w:rsidRDefault="00806C17" w:rsidP="002D4683">
      <w:pPr>
        <w:snapToGrid w:val="0"/>
        <w:spacing w:line="360" w:lineRule="auto"/>
        <w:rPr>
          <w:rFonts w:ascii="Book Antiqua" w:eastAsia="Times New Roman" w:hAnsi="Book Antiqua"/>
          <w:b/>
          <w:sz w:val="24"/>
          <w:szCs w:val="24"/>
          <w:lang w:eastAsia="zh-CN"/>
        </w:rPr>
      </w:pPr>
    </w:p>
    <w:p w:rsidR="00806C17" w:rsidRPr="00E60879" w:rsidRDefault="00806C17">
      <w:pPr>
        <w:widowControl/>
        <w:jc w:val="left"/>
        <w:rPr>
          <w:rFonts w:ascii="Book Antiqua" w:hAnsi="Book Antiqua"/>
          <w:b/>
          <w:sz w:val="24"/>
          <w:szCs w:val="24"/>
        </w:rPr>
      </w:pPr>
      <w:r w:rsidRPr="00E60879">
        <w:rPr>
          <w:rFonts w:ascii="Book Antiqua" w:hAnsi="Book Antiqua"/>
          <w:b/>
          <w:sz w:val="24"/>
          <w:szCs w:val="24"/>
        </w:rPr>
        <w:br w:type="page"/>
      </w:r>
    </w:p>
    <w:p w:rsidR="00806C17" w:rsidRPr="00E60879" w:rsidRDefault="00806C17" w:rsidP="002D4683">
      <w:pPr>
        <w:snapToGrid w:val="0"/>
        <w:spacing w:line="360" w:lineRule="auto"/>
        <w:rPr>
          <w:rFonts w:ascii="Book Antiqua" w:eastAsia="Times New Roman" w:hAnsi="Book Antiqua"/>
          <w:b/>
          <w:sz w:val="24"/>
          <w:szCs w:val="24"/>
          <w:lang w:eastAsia="zh-CN"/>
        </w:rPr>
      </w:pPr>
      <w:r w:rsidRPr="00E60879">
        <w:rPr>
          <w:rFonts w:ascii="Book Antiqua" w:hAnsi="Book Antiqua"/>
          <w:b/>
          <w:sz w:val="24"/>
          <w:szCs w:val="24"/>
        </w:rPr>
        <w:t>INTRODUCTION</w:t>
      </w:r>
    </w:p>
    <w:p w:rsidR="00806C17" w:rsidRPr="00E60879" w:rsidRDefault="00806C17" w:rsidP="002D4683">
      <w:pPr>
        <w:snapToGrid w:val="0"/>
        <w:spacing w:line="360" w:lineRule="auto"/>
        <w:rPr>
          <w:rFonts w:ascii="Book Antiqua" w:hAnsi="Book Antiqua"/>
          <w:sz w:val="24"/>
          <w:szCs w:val="24"/>
        </w:rPr>
      </w:pPr>
      <w:r w:rsidRPr="00E60879">
        <w:rPr>
          <w:rFonts w:ascii="Book Antiqua" w:hAnsi="Book Antiqua"/>
          <w:sz w:val="24"/>
          <w:szCs w:val="24"/>
        </w:rPr>
        <w:t>As gastric varices have greater blood flow compared with esophageal varices, ruptured gastric varices can cause massive hemorrhage, and are associated with high rates of recurrent bleeding and mortality (45%–55%)</w:t>
      </w:r>
      <w:r w:rsidRPr="00E60879">
        <w:rPr>
          <w:rFonts w:ascii="Book Antiqua" w:hAnsi="Book Antiqua"/>
          <w:sz w:val="24"/>
          <w:szCs w:val="24"/>
          <w:vertAlign w:val="superscript"/>
        </w:rPr>
        <w:t>[</w:t>
      </w:r>
      <w:r w:rsidRPr="00E60879">
        <w:rPr>
          <w:rFonts w:ascii="Book Antiqua" w:eastAsia="MS Mincho" w:hAnsi="Book Antiqua"/>
          <w:sz w:val="24"/>
          <w:szCs w:val="24"/>
          <w:vertAlign w:val="superscript"/>
        </w:rPr>
        <w:t>1</w:t>
      </w:r>
      <w:r w:rsidRPr="00E60879">
        <w:rPr>
          <w:rFonts w:ascii="Book Antiqua" w:hAnsi="Book Antiqua"/>
          <w:sz w:val="24"/>
          <w:szCs w:val="24"/>
          <w:vertAlign w:val="superscript"/>
        </w:rPr>
        <w:t>,</w:t>
      </w:r>
      <w:r w:rsidRPr="00E60879">
        <w:rPr>
          <w:rFonts w:ascii="Book Antiqua" w:eastAsia="MS Mincho" w:hAnsi="Book Antiqua"/>
          <w:sz w:val="24"/>
          <w:szCs w:val="24"/>
          <w:vertAlign w:val="superscript"/>
        </w:rPr>
        <w:t>2</w:t>
      </w:r>
      <w:r w:rsidRPr="00E60879">
        <w:rPr>
          <w:rFonts w:ascii="Book Antiqua" w:hAnsi="Book Antiqua"/>
          <w:sz w:val="24"/>
          <w:szCs w:val="24"/>
          <w:vertAlign w:val="superscript"/>
        </w:rPr>
        <w:t>]</w:t>
      </w:r>
      <w:r w:rsidRPr="00E60879">
        <w:rPr>
          <w:rFonts w:ascii="Book Antiqua" w:hAnsi="Book Antiqua"/>
          <w:sz w:val="24"/>
          <w:szCs w:val="24"/>
        </w:rPr>
        <w:t>. Therefore, ruptured gastric varices must be treated as quickly as possible. Balloon-occluded retrograde transvenous obliteration (BRTO) is a minimally invasive treatment for gastric varices, with a high success rate and a low recurrence rate</w:t>
      </w:r>
      <w:r w:rsidRPr="00E60879">
        <w:rPr>
          <w:rFonts w:ascii="Book Antiqua" w:hAnsi="Book Antiqua"/>
          <w:sz w:val="24"/>
          <w:szCs w:val="24"/>
          <w:vertAlign w:val="superscript"/>
        </w:rPr>
        <w:t>[3-7]</w:t>
      </w:r>
      <w:r w:rsidRPr="00E60879">
        <w:rPr>
          <w:rFonts w:ascii="Book Antiqua" w:hAnsi="Book Antiqua"/>
          <w:sz w:val="24"/>
          <w:szCs w:val="24"/>
        </w:rPr>
        <w:t>. However, few reports have evaluated emergency BRTO for ruptured gastric varices</w:t>
      </w:r>
      <w:r w:rsidRPr="00E60879">
        <w:rPr>
          <w:rFonts w:ascii="Book Antiqua" w:hAnsi="Book Antiqua"/>
          <w:sz w:val="24"/>
          <w:szCs w:val="24"/>
          <w:vertAlign w:val="superscript"/>
        </w:rPr>
        <w:t>[8,9]</w:t>
      </w:r>
      <w:r w:rsidRPr="00E60879">
        <w:rPr>
          <w:rFonts w:ascii="Book Antiqua" w:hAnsi="Book Antiqua"/>
          <w:sz w:val="24"/>
          <w:szCs w:val="24"/>
        </w:rPr>
        <w:t>. In this study, we report the long-term outcomes of emergency BRTO performed within 24 h of hematemesis and/or tarry stool.</w:t>
      </w:r>
    </w:p>
    <w:p w:rsidR="00806C17" w:rsidRPr="00E60879" w:rsidRDefault="00806C17" w:rsidP="002D4683">
      <w:pPr>
        <w:snapToGrid w:val="0"/>
        <w:spacing w:line="360" w:lineRule="auto"/>
        <w:rPr>
          <w:rFonts w:ascii="Book Antiqua" w:hAnsi="Book Antiqua"/>
          <w:sz w:val="24"/>
          <w:szCs w:val="24"/>
        </w:rPr>
      </w:pPr>
    </w:p>
    <w:p w:rsidR="00806C17" w:rsidRPr="00E60879" w:rsidRDefault="00806C17" w:rsidP="002D4683">
      <w:pPr>
        <w:snapToGrid w:val="0"/>
        <w:spacing w:line="360" w:lineRule="auto"/>
        <w:rPr>
          <w:rFonts w:ascii="Book Antiqua" w:hAnsi="Book Antiqua"/>
          <w:b/>
          <w:sz w:val="24"/>
          <w:szCs w:val="24"/>
        </w:rPr>
      </w:pPr>
      <w:r w:rsidRPr="00E60879">
        <w:rPr>
          <w:rFonts w:ascii="Book Antiqua" w:hAnsi="Book Antiqua"/>
          <w:b/>
          <w:sz w:val="24"/>
          <w:szCs w:val="24"/>
        </w:rPr>
        <w:t>MATERIALS AND METHODS</w:t>
      </w:r>
    </w:p>
    <w:p w:rsidR="00806C17" w:rsidRPr="00E60879" w:rsidRDefault="00806C17" w:rsidP="002D4683">
      <w:pPr>
        <w:snapToGrid w:val="0"/>
        <w:spacing w:line="360" w:lineRule="auto"/>
        <w:rPr>
          <w:rFonts w:ascii="Book Antiqua" w:hAnsi="Book Antiqua"/>
          <w:sz w:val="24"/>
          <w:szCs w:val="24"/>
        </w:rPr>
      </w:pPr>
      <w:r w:rsidRPr="00E60879">
        <w:rPr>
          <w:rFonts w:ascii="Book Antiqua" w:hAnsi="Book Antiqua"/>
          <w:sz w:val="24"/>
          <w:szCs w:val="24"/>
        </w:rPr>
        <w:t>The effectiveness and safety of emergency BRTO for ruptured gastric varices were evaluated retrospectively. Between March 1998 and December 2008, BRTO was performed for gastric varices with gastrorenal or gastrocaval shunts in 79 patients. Of these patients, emergency BRTO was performed for ruptured gastric varices within 24 h of hematemesis and/or tarry stool in 17 patients. The patients’ ages ranged from 33 to 79 years, and the mean age was 58.8 years. All patients had liver cirrhosis corresponding to Child–Pugh class A in 2 patients, class B in 12 patients, and class C in 3 patients. The etiologies of liver cirrhosis were hepatitis C in seven patients, hepatitis B in three patients, alcoholic liver disease in four patients, primary biliary cirrhosis in one patient, and unknown in two patients. Mean creatinine value before BRTO was 0.82 mg/dL (normal range: 0.64-1.11</w:t>
      </w:r>
      <w:r w:rsidRPr="00E60879">
        <w:rPr>
          <w:rFonts w:ascii="Book Antiqua" w:hAnsi="Book Antiqua"/>
          <w:sz w:val="24"/>
          <w:szCs w:val="24"/>
          <w:lang w:eastAsia="zh-CN"/>
        </w:rPr>
        <w:t xml:space="preserve"> </w:t>
      </w:r>
      <w:r w:rsidRPr="00E60879">
        <w:rPr>
          <w:rFonts w:ascii="Book Antiqua" w:hAnsi="Book Antiqua"/>
          <w:sz w:val="24"/>
          <w:szCs w:val="24"/>
        </w:rPr>
        <w:t>mg/dL), and we had no patients with renal dysfunction. Informed consent for BRTO was obtained from all patients.</w:t>
      </w:r>
    </w:p>
    <w:p w:rsidR="00806C17" w:rsidRPr="00E60879" w:rsidRDefault="00806C17" w:rsidP="00937E5C">
      <w:pPr>
        <w:snapToGrid w:val="0"/>
        <w:spacing w:line="360" w:lineRule="auto"/>
        <w:ind w:firstLineChars="50" w:firstLine="120"/>
        <w:rPr>
          <w:rFonts w:ascii="Book Antiqua" w:hAnsi="Book Antiqua"/>
          <w:sz w:val="24"/>
          <w:szCs w:val="24"/>
        </w:rPr>
      </w:pPr>
      <w:r w:rsidRPr="00E60879">
        <w:rPr>
          <w:rFonts w:ascii="Book Antiqua" w:hAnsi="Book Antiqua"/>
          <w:sz w:val="24"/>
          <w:szCs w:val="24"/>
        </w:rPr>
        <w:t>The gastric varices were confirmed by endoscopy. According to Sarin classification</w:t>
      </w:r>
      <w:r w:rsidRPr="00E60879">
        <w:rPr>
          <w:rFonts w:ascii="Book Antiqua" w:hAnsi="Book Antiqua"/>
          <w:sz w:val="24"/>
          <w:szCs w:val="24"/>
          <w:vertAlign w:val="superscript"/>
        </w:rPr>
        <w:t>[</w:t>
      </w:r>
      <w:r w:rsidRPr="00E60879">
        <w:rPr>
          <w:rFonts w:ascii="Book Antiqua" w:eastAsia="MS Mincho" w:hAnsi="Book Antiqua"/>
          <w:sz w:val="24"/>
          <w:szCs w:val="24"/>
          <w:vertAlign w:val="superscript"/>
        </w:rPr>
        <w:t>2</w:t>
      </w:r>
      <w:r w:rsidRPr="00E60879">
        <w:rPr>
          <w:rFonts w:ascii="Book Antiqua" w:hAnsi="Book Antiqua"/>
          <w:sz w:val="24"/>
          <w:szCs w:val="24"/>
          <w:vertAlign w:val="superscript"/>
        </w:rPr>
        <w:t>]</w:t>
      </w:r>
      <w:r w:rsidRPr="00E60879">
        <w:rPr>
          <w:rFonts w:ascii="Book Antiqua" w:hAnsi="Book Antiqua"/>
          <w:sz w:val="24"/>
          <w:szCs w:val="24"/>
        </w:rPr>
        <w:t xml:space="preserve">, isolated varices in the fundus of the stomach were found in 13 of 17 patients, and gastroesophageal varices in the remaining 4 patients. Also, </w:t>
      </w:r>
      <w:r w:rsidRPr="00E60879">
        <w:rPr>
          <w:rFonts w:ascii="Book Antiqua" w:hAnsi="Book Antiqua"/>
          <w:sz w:val="24"/>
          <w:szCs w:val="24"/>
        </w:rPr>
        <w:lastRenderedPageBreak/>
        <w:t xml:space="preserve">white plugs which indicated bleeding sites were found in 7 patients, and oozing in 3 patients. Temporary hemostasis was achieved spontaneously in 9/17 patients and by balloon compression in 8/17 patients. The presence and diameter of the gastrorenal or gastrocaval shunts were evaluated by contrast-enhanced computed tomography (CE-CT). The gastric varices drained via the gastrorenal shunt in 16 patients, and by the gastrocaval shunt in 1 patient. An 8Fr sheath (Cobra type; Medikit, </w:t>
      </w:r>
      <w:smartTag w:uri="urn:schemas-microsoft-com:office:smarttags" w:element="place">
        <w:smartTag w:uri="urn:schemas-microsoft-com:office:smarttags" w:element="City">
          <w:r w:rsidRPr="00E60879">
            <w:rPr>
              <w:rFonts w:ascii="Book Antiqua" w:hAnsi="Book Antiqua"/>
              <w:sz w:val="24"/>
              <w:szCs w:val="24"/>
            </w:rPr>
            <w:t>Tokyo</w:t>
          </w:r>
        </w:smartTag>
        <w:r w:rsidRPr="00E60879">
          <w:rPr>
            <w:rFonts w:ascii="Book Antiqua" w:hAnsi="Book Antiqua"/>
            <w:sz w:val="24"/>
            <w:szCs w:val="24"/>
          </w:rPr>
          <w:t xml:space="preserve">, </w:t>
        </w:r>
        <w:smartTag w:uri="urn:schemas-microsoft-com:office:smarttags" w:element="country-region">
          <w:r w:rsidRPr="00E60879">
            <w:rPr>
              <w:rFonts w:ascii="Book Antiqua" w:hAnsi="Book Antiqua"/>
              <w:sz w:val="24"/>
              <w:szCs w:val="24"/>
            </w:rPr>
            <w:t>Japan</w:t>
          </w:r>
        </w:smartTag>
      </w:smartTag>
      <w:r w:rsidRPr="00E60879">
        <w:rPr>
          <w:rFonts w:ascii="Book Antiqua" w:hAnsi="Book Antiqua"/>
          <w:sz w:val="24"/>
          <w:szCs w:val="24"/>
        </w:rPr>
        <w:t xml:space="preserve">) was inserted into the left renal vein through the right internal jugular vein with ultrasound-guided puncture while an 8Fr sheath (Straight type; Medikit) was inserted into the inferior vena cava through the right femoral vein. A 6Fr balloon catheter (Cobra type; Clinical Supply, </w:t>
      </w:r>
      <w:smartTag w:uri="urn:schemas-microsoft-com:office:smarttags" w:element="place">
        <w:smartTag w:uri="urn:schemas-microsoft-com:office:smarttags" w:element="City">
          <w:r w:rsidRPr="00E60879">
            <w:rPr>
              <w:rFonts w:ascii="Book Antiqua" w:hAnsi="Book Antiqua"/>
              <w:sz w:val="24"/>
              <w:szCs w:val="24"/>
            </w:rPr>
            <w:t>Gifu</w:t>
          </w:r>
        </w:smartTag>
        <w:r w:rsidRPr="00E60879">
          <w:rPr>
            <w:rFonts w:ascii="Book Antiqua" w:hAnsi="Book Antiqua"/>
            <w:sz w:val="24"/>
            <w:szCs w:val="24"/>
          </w:rPr>
          <w:t xml:space="preserve">, </w:t>
        </w:r>
        <w:smartTag w:uri="urn:schemas-microsoft-com:office:smarttags" w:element="country-region">
          <w:r w:rsidRPr="00E60879">
            <w:rPr>
              <w:rFonts w:ascii="Book Antiqua" w:hAnsi="Book Antiqua"/>
              <w:sz w:val="24"/>
              <w:szCs w:val="24"/>
            </w:rPr>
            <w:t>Japan</w:t>
          </w:r>
        </w:smartTag>
      </w:smartTag>
      <w:r w:rsidRPr="00E60879">
        <w:rPr>
          <w:rFonts w:ascii="Book Antiqua" w:hAnsi="Book Antiqua"/>
          <w:sz w:val="24"/>
          <w:szCs w:val="24"/>
        </w:rPr>
        <w:t xml:space="preserve">) was inserted into the gastrorenal or gastrocaval shunt. The balloon diameter was 13 or </w:t>
      </w:r>
      <w:smartTag w:uri="urn:schemas-microsoft-com:office:smarttags" w:element="chmetcnv">
        <w:smartTagPr>
          <w:attr w:name="UnitName" w:val="mm"/>
          <w:attr w:name="SourceValue" w:val="20"/>
          <w:attr w:name="HasSpace" w:val="True"/>
          <w:attr w:name="Negative" w:val="False"/>
          <w:attr w:name="NumberType" w:val="1"/>
          <w:attr w:name="TCSC" w:val="0"/>
        </w:smartTagPr>
        <w:r w:rsidRPr="00E60879">
          <w:rPr>
            <w:rFonts w:ascii="Book Antiqua" w:hAnsi="Book Antiqua"/>
            <w:sz w:val="24"/>
            <w:szCs w:val="24"/>
          </w:rPr>
          <w:t>20 mm</w:t>
        </w:r>
      </w:smartTag>
      <w:r w:rsidRPr="00E60879">
        <w:rPr>
          <w:rFonts w:ascii="Book Antiqua" w:hAnsi="Book Antiqua"/>
          <w:sz w:val="24"/>
          <w:szCs w:val="24"/>
        </w:rPr>
        <w:t>. In patients with a shunt diameter ≥</w:t>
      </w:r>
      <w:r w:rsidRPr="00E60879">
        <w:rPr>
          <w:rFonts w:ascii="Book Antiqua" w:hAnsi="Book Antiqua"/>
          <w:sz w:val="24"/>
          <w:szCs w:val="24"/>
          <w:lang w:eastAsia="zh-CN"/>
        </w:rPr>
        <w:t xml:space="preserve"> </w:t>
      </w:r>
      <w:smartTag w:uri="urn:schemas-microsoft-com:office:smarttags" w:element="chmetcnv">
        <w:smartTagPr>
          <w:attr w:name="UnitName" w:val="mm"/>
          <w:attr w:name="SourceValue" w:val="13"/>
          <w:attr w:name="HasSpace" w:val="True"/>
          <w:attr w:name="Negative" w:val="False"/>
          <w:attr w:name="NumberType" w:val="1"/>
          <w:attr w:name="TCSC" w:val="0"/>
        </w:smartTagPr>
        <w:r w:rsidRPr="00E60879">
          <w:rPr>
            <w:rFonts w:ascii="Book Antiqua" w:hAnsi="Book Antiqua"/>
            <w:sz w:val="24"/>
            <w:szCs w:val="24"/>
          </w:rPr>
          <w:t>13 mm</w:t>
        </w:r>
      </w:smartTag>
      <w:r w:rsidRPr="00E60879">
        <w:rPr>
          <w:rFonts w:ascii="Book Antiqua" w:hAnsi="Book Antiqua"/>
          <w:sz w:val="24"/>
          <w:szCs w:val="24"/>
        </w:rPr>
        <w:t xml:space="preserve">, a </w:t>
      </w:r>
      <w:smartTag w:uri="urn:schemas-microsoft-com:office:smarttags" w:element="chmetcnv">
        <w:smartTagPr>
          <w:attr w:name="UnitName" w:val="mm"/>
          <w:attr w:name="SourceValue" w:val="20"/>
          <w:attr w:name="HasSpace" w:val="True"/>
          <w:attr w:name="Negative" w:val="False"/>
          <w:attr w:name="NumberType" w:val="1"/>
          <w:attr w:name="TCSC" w:val="0"/>
        </w:smartTagPr>
        <w:r w:rsidRPr="00E60879">
          <w:rPr>
            <w:rFonts w:ascii="Book Antiqua" w:hAnsi="Book Antiqua"/>
            <w:sz w:val="24"/>
            <w:szCs w:val="24"/>
          </w:rPr>
          <w:t>20 mm</w:t>
        </w:r>
      </w:smartTag>
      <w:r w:rsidRPr="00E60879">
        <w:rPr>
          <w:rFonts w:ascii="Book Antiqua" w:hAnsi="Book Antiqua"/>
          <w:sz w:val="24"/>
          <w:szCs w:val="24"/>
        </w:rPr>
        <w:t xml:space="preserve"> diameter balloon was used. A sclerosing agent, 5% ethanolamine oleate iopamidol (EOI), was infused through a balloon catheter or a microcatheter placed close to the gastric varices during balloon occlusion. In the 13 most recent cases, microcatheters were used to decrease the sclerosant dose. We prepared 5% EOI by mixing 10 mL of contrast material with 10 mL of 10% ethanolamine oleate (Oldamin; Glelan Pharmaceutical, </w:t>
      </w:r>
      <w:smartTag w:uri="urn:schemas-microsoft-com:office:smarttags" w:element="place">
        <w:smartTag w:uri="urn:schemas-microsoft-com:office:smarttags" w:element="City">
          <w:r w:rsidRPr="00E60879">
            <w:rPr>
              <w:rFonts w:ascii="Book Antiqua" w:hAnsi="Book Antiqua"/>
              <w:sz w:val="24"/>
              <w:szCs w:val="24"/>
            </w:rPr>
            <w:t>Tokyo</w:t>
          </w:r>
        </w:smartTag>
        <w:r w:rsidRPr="00E60879">
          <w:rPr>
            <w:rFonts w:ascii="Book Antiqua" w:hAnsi="Book Antiqua"/>
            <w:sz w:val="24"/>
            <w:szCs w:val="24"/>
          </w:rPr>
          <w:t xml:space="preserve">, </w:t>
        </w:r>
        <w:smartTag w:uri="urn:schemas-microsoft-com:office:smarttags" w:element="country-region">
          <w:r w:rsidRPr="00E60879">
            <w:rPr>
              <w:rFonts w:ascii="Book Antiqua" w:hAnsi="Book Antiqua"/>
              <w:sz w:val="24"/>
              <w:szCs w:val="24"/>
            </w:rPr>
            <w:t>Japan</w:t>
          </w:r>
        </w:smartTag>
      </w:smartTag>
      <w:r w:rsidRPr="00E60879">
        <w:rPr>
          <w:rFonts w:ascii="Book Antiqua" w:hAnsi="Book Antiqua"/>
          <w:sz w:val="24"/>
          <w:szCs w:val="24"/>
        </w:rPr>
        <w:t xml:space="preserve">). The infusion of 5% EOI was continued until the entire gastric varices and feeding veins were rendered opaque. The mean dose of 5% EOI per procedure was 21.3 mL (range 2–40 mL). The balloon occlusion time ranged from 12 to 48 h. The catheters were fixed in place using sterilized tape (Hogy Medical, </w:t>
      </w:r>
      <w:smartTag w:uri="urn:schemas-microsoft-com:office:smarttags" w:element="place">
        <w:smartTag w:uri="urn:schemas-microsoft-com:office:smarttags" w:element="City">
          <w:r w:rsidRPr="00E60879">
            <w:rPr>
              <w:rFonts w:ascii="Book Antiqua" w:hAnsi="Book Antiqua"/>
              <w:sz w:val="24"/>
              <w:szCs w:val="24"/>
            </w:rPr>
            <w:t>Tokyo</w:t>
          </w:r>
        </w:smartTag>
        <w:r w:rsidRPr="00E60879">
          <w:rPr>
            <w:rFonts w:ascii="Book Antiqua" w:hAnsi="Book Antiqua"/>
            <w:sz w:val="24"/>
            <w:szCs w:val="24"/>
          </w:rPr>
          <w:t xml:space="preserve">, </w:t>
        </w:r>
        <w:smartTag w:uri="urn:schemas-microsoft-com:office:smarttags" w:element="country-region">
          <w:r w:rsidRPr="00E60879">
            <w:rPr>
              <w:rFonts w:ascii="Book Antiqua" w:hAnsi="Book Antiqua"/>
              <w:sz w:val="24"/>
              <w:szCs w:val="24"/>
            </w:rPr>
            <w:t>Japan</w:t>
          </w:r>
        </w:smartTag>
      </w:smartTag>
      <w:r w:rsidRPr="00E60879">
        <w:rPr>
          <w:rFonts w:ascii="Book Antiqua" w:hAnsi="Book Antiqua"/>
          <w:sz w:val="24"/>
          <w:szCs w:val="24"/>
        </w:rPr>
        <w:t>). The morning after BRTO, thrombosis of the gastric varices was evaluated by CE-CT. In patients with incomplete thrombosis after the first BRTO, a second BRTO was performed the following day</w:t>
      </w:r>
      <w:r w:rsidRPr="00E60879">
        <w:rPr>
          <w:rFonts w:ascii="Book Antiqua" w:hAnsi="Book Antiqua"/>
          <w:sz w:val="24"/>
          <w:szCs w:val="24"/>
          <w:vertAlign w:val="superscript"/>
        </w:rPr>
        <w:t>[7]</w:t>
      </w:r>
      <w:r w:rsidRPr="00E60879">
        <w:rPr>
          <w:rFonts w:ascii="Book Antiqua" w:hAnsi="Book Antiqua"/>
          <w:sz w:val="24"/>
          <w:szCs w:val="24"/>
        </w:rPr>
        <w:t>. After complete thrombosis of gastric varices was confirmed by CE-CT, the catheters were removed. To prevent renal damage caused by EOI-related hemolysis, 4000 units of haptoglobin (Mitsubishi Pharma, Osaka, Japan) was intravenously administered to all patients</w:t>
      </w:r>
      <w:r w:rsidRPr="00E60879">
        <w:rPr>
          <w:rFonts w:ascii="Book Antiqua" w:hAnsi="Book Antiqua"/>
          <w:sz w:val="24"/>
          <w:szCs w:val="24"/>
          <w:vertAlign w:val="superscript"/>
        </w:rPr>
        <w:t>[10,11]</w:t>
      </w:r>
      <w:r w:rsidRPr="00E60879">
        <w:rPr>
          <w:rFonts w:ascii="Book Antiqua" w:hAnsi="Book Antiqua"/>
          <w:sz w:val="24"/>
          <w:szCs w:val="24"/>
        </w:rPr>
        <w:t xml:space="preserve">. Patients underwent endoscopy and CE-CT at 1 </w:t>
      </w:r>
      <w:r w:rsidRPr="00E60879">
        <w:rPr>
          <w:rFonts w:ascii="Book Antiqua" w:hAnsi="Book Antiqua"/>
          <w:sz w:val="24"/>
          <w:szCs w:val="24"/>
        </w:rPr>
        <w:lastRenderedPageBreak/>
        <w:t xml:space="preserve">d, 1 wk, and 1, 3, and 6 </w:t>
      </w:r>
      <w:bookmarkStart w:id="644" w:name="OLE_LINK2851"/>
      <w:bookmarkStart w:id="645" w:name="OLE_LINK2852"/>
      <w:r w:rsidRPr="00E60879">
        <w:rPr>
          <w:rFonts w:ascii="Book Antiqua" w:hAnsi="Book Antiqua"/>
          <w:sz w:val="24"/>
          <w:szCs w:val="24"/>
        </w:rPr>
        <w:t xml:space="preserve">mo </w:t>
      </w:r>
      <w:bookmarkEnd w:id="644"/>
      <w:bookmarkEnd w:id="645"/>
      <w:r w:rsidRPr="00E60879">
        <w:rPr>
          <w:rFonts w:ascii="Book Antiqua" w:hAnsi="Book Antiqua"/>
          <w:sz w:val="24"/>
          <w:szCs w:val="24"/>
        </w:rPr>
        <w:t>after the procedure, and every 6 mo thereafter.</w:t>
      </w:r>
    </w:p>
    <w:p w:rsidR="00806C17" w:rsidRPr="00E60879" w:rsidRDefault="00806C17" w:rsidP="002D4683">
      <w:pPr>
        <w:snapToGrid w:val="0"/>
        <w:spacing w:line="360" w:lineRule="auto"/>
        <w:rPr>
          <w:rFonts w:ascii="Book Antiqua" w:hAnsi="Book Antiqua"/>
          <w:sz w:val="24"/>
          <w:szCs w:val="24"/>
        </w:rPr>
      </w:pPr>
    </w:p>
    <w:p w:rsidR="00806C17" w:rsidRPr="00E60879" w:rsidRDefault="00806C17" w:rsidP="002D4683">
      <w:pPr>
        <w:snapToGrid w:val="0"/>
        <w:spacing w:line="360" w:lineRule="auto"/>
        <w:rPr>
          <w:rFonts w:ascii="Book Antiqua" w:eastAsia="Times New Roman" w:hAnsi="Book Antiqua"/>
          <w:b/>
          <w:sz w:val="24"/>
          <w:szCs w:val="24"/>
          <w:lang w:eastAsia="zh-CN"/>
        </w:rPr>
      </w:pPr>
      <w:r w:rsidRPr="00E60879">
        <w:rPr>
          <w:rFonts w:ascii="Book Antiqua" w:hAnsi="Book Antiqua"/>
          <w:b/>
          <w:sz w:val="24"/>
          <w:szCs w:val="24"/>
        </w:rPr>
        <w:t>RESULTS</w:t>
      </w:r>
    </w:p>
    <w:p w:rsidR="00806C17" w:rsidRPr="00E60879" w:rsidRDefault="00806C17" w:rsidP="002D4683">
      <w:pPr>
        <w:snapToGrid w:val="0"/>
        <w:spacing w:line="360" w:lineRule="auto"/>
        <w:rPr>
          <w:rFonts w:ascii="Book Antiqua" w:hAnsi="Book Antiqua"/>
          <w:sz w:val="24"/>
          <w:szCs w:val="24"/>
        </w:rPr>
      </w:pPr>
      <w:r w:rsidRPr="00E60879">
        <w:rPr>
          <w:rFonts w:ascii="Book Antiqua" w:hAnsi="Book Antiqua"/>
          <w:sz w:val="24"/>
          <w:szCs w:val="24"/>
        </w:rPr>
        <w:t>Complete thrombosis of the gastric varices was not achieved with the first BRTO in 7/17 patients because of large gastric varices. These patients underwent a second BRTO on the next day, and additional sclerosant was injected through the catheter</w:t>
      </w:r>
      <w:r w:rsidRPr="00E60879">
        <w:rPr>
          <w:rFonts w:ascii="Book Antiqua" w:hAnsi="Book Antiqua"/>
          <w:sz w:val="24"/>
          <w:szCs w:val="24"/>
          <w:vertAlign w:val="superscript"/>
        </w:rPr>
        <w:t>[7]</w:t>
      </w:r>
      <w:r w:rsidRPr="00E60879">
        <w:rPr>
          <w:rFonts w:ascii="Book Antiqua" w:hAnsi="Book Antiqua"/>
          <w:sz w:val="24"/>
          <w:szCs w:val="24"/>
        </w:rPr>
        <w:t>. Complete thrombosis which led to disappearance of the varices was achieved in 16/17 patients (Figures 1 and 2), while the other patient had incomplete thrombosis of the varices. None of the patients experienced rebleeding or recurrence of the gastric varices during a median follow-up of 1130 d (range 8–2739 d). However, esophageal varices worsened in 5/17 patients during a mean follow-up of 8.6 mo</w:t>
      </w:r>
      <w:r w:rsidRPr="00E60879">
        <w:rPr>
          <w:rFonts w:ascii="Book Antiqua" w:hAnsi="Book Antiqua"/>
          <w:sz w:val="24"/>
          <w:szCs w:val="24"/>
          <w:vertAlign w:val="superscript"/>
        </w:rPr>
        <w:t>[12-14]</w:t>
      </w:r>
      <w:r w:rsidRPr="00E60879">
        <w:rPr>
          <w:rFonts w:ascii="Book Antiqua" w:hAnsi="Book Antiqua"/>
          <w:sz w:val="24"/>
          <w:szCs w:val="24"/>
        </w:rPr>
        <w:t xml:space="preserve"> (Table 1). In two of these five patients, red-colored esophageal varices were treated by endoscopic sclerotherapy. Reddening of the variceal mucosa is associated with a high risk of variceal bleeding</w:t>
      </w:r>
      <w:r w:rsidRPr="00E60879">
        <w:rPr>
          <w:rFonts w:ascii="Book Antiqua" w:hAnsi="Book Antiqua"/>
          <w:sz w:val="24"/>
          <w:szCs w:val="24"/>
          <w:vertAlign w:val="superscript"/>
        </w:rPr>
        <w:t>[15]</w:t>
      </w:r>
      <w:r w:rsidRPr="00E60879">
        <w:rPr>
          <w:rFonts w:ascii="Book Antiqua" w:hAnsi="Book Antiqua"/>
          <w:sz w:val="24"/>
          <w:szCs w:val="24"/>
        </w:rPr>
        <w:t>.</w:t>
      </w:r>
    </w:p>
    <w:p w:rsidR="00806C17" w:rsidRPr="00E60879" w:rsidRDefault="00806C17" w:rsidP="00C07479">
      <w:pPr>
        <w:snapToGrid w:val="0"/>
        <w:spacing w:line="360" w:lineRule="auto"/>
        <w:ind w:firstLineChars="50" w:firstLine="120"/>
        <w:rPr>
          <w:rFonts w:ascii="Book Antiqua" w:hAnsi="Book Antiqua"/>
          <w:sz w:val="24"/>
          <w:szCs w:val="24"/>
        </w:rPr>
      </w:pPr>
      <w:r w:rsidRPr="00E60879">
        <w:rPr>
          <w:rFonts w:ascii="Book Antiqua" w:hAnsi="Book Antiqua"/>
          <w:sz w:val="24"/>
          <w:szCs w:val="24"/>
        </w:rPr>
        <w:t>All of the complications were transient</w:t>
      </w:r>
      <w:r w:rsidRPr="00E60879">
        <w:rPr>
          <w:rFonts w:ascii="Book Antiqua" w:hAnsi="Book Antiqua"/>
          <w:sz w:val="24"/>
          <w:szCs w:val="24"/>
          <w:vertAlign w:val="superscript"/>
        </w:rPr>
        <w:t>[16]</w:t>
      </w:r>
      <w:r w:rsidRPr="00E60879">
        <w:rPr>
          <w:rFonts w:ascii="Book Antiqua" w:hAnsi="Book Antiqua"/>
          <w:sz w:val="24"/>
          <w:szCs w:val="24"/>
        </w:rPr>
        <w:t>, and included sclerosant-induced hematuria (7/17 patients), abdominal pain (8/17), high fever (6/17), sclerosant-induced blood pressure elevation (1/17), headache (2/17), pleural effusion (15/17), and ascites (12/17). Although extravasation of the sclerosant occurred in one patient during BRTO, the procedure was continued and achieved complete thrombosis of the varices. No major complications, such as renal failure, pulmonary embolism, or liver failure, occurred after the procedure.</w:t>
      </w:r>
    </w:p>
    <w:p w:rsidR="00806C17" w:rsidRPr="00E60879" w:rsidRDefault="00806C17" w:rsidP="002D4683">
      <w:pPr>
        <w:snapToGrid w:val="0"/>
        <w:spacing w:line="360" w:lineRule="auto"/>
        <w:rPr>
          <w:rFonts w:ascii="Book Antiqua" w:hAnsi="Book Antiqua"/>
          <w:sz w:val="24"/>
          <w:szCs w:val="24"/>
        </w:rPr>
      </w:pPr>
    </w:p>
    <w:p w:rsidR="00806C17" w:rsidRPr="00E60879" w:rsidRDefault="00806C17" w:rsidP="002D4683">
      <w:pPr>
        <w:snapToGrid w:val="0"/>
        <w:spacing w:line="360" w:lineRule="auto"/>
        <w:rPr>
          <w:rFonts w:ascii="Book Antiqua" w:hAnsi="Book Antiqua"/>
          <w:b/>
          <w:sz w:val="24"/>
          <w:szCs w:val="24"/>
        </w:rPr>
      </w:pPr>
      <w:r w:rsidRPr="00E60879">
        <w:rPr>
          <w:rFonts w:ascii="Book Antiqua" w:hAnsi="Book Antiqua"/>
          <w:b/>
          <w:sz w:val="24"/>
          <w:szCs w:val="24"/>
        </w:rPr>
        <w:t>DISCUSSION</w:t>
      </w:r>
    </w:p>
    <w:p w:rsidR="00806C17" w:rsidRPr="00E60879" w:rsidRDefault="00806C17" w:rsidP="002D4683">
      <w:pPr>
        <w:snapToGrid w:val="0"/>
        <w:spacing w:line="360" w:lineRule="auto"/>
        <w:rPr>
          <w:rFonts w:ascii="Book Antiqua" w:hAnsi="Book Antiqua"/>
          <w:sz w:val="24"/>
          <w:szCs w:val="24"/>
        </w:rPr>
      </w:pPr>
      <w:r w:rsidRPr="00E60879">
        <w:rPr>
          <w:rFonts w:ascii="Book Antiqua" w:hAnsi="Book Antiqua"/>
          <w:sz w:val="24"/>
          <w:szCs w:val="24"/>
        </w:rPr>
        <w:t>The cumulative risk for hemorrhage from gastric fundal varices has been reported to be 16%, 36%, and 44% at 1, 3, and 5 years, respectively</w:t>
      </w:r>
      <w:r w:rsidRPr="00E60879">
        <w:rPr>
          <w:rFonts w:ascii="Book Antiqua" w:hAnsi="Book Antiqua"/>
          <w:sz w:val="24"/>
          <w:szCs w:val="24"/>
          <w:vertAlign w:val="superscript"/>
        </w:rPr>
        <w:t>[17]</w:t>
      </w:r>
      <w:r w:rsidRPr="00E60879">
        <w:rPr>
          <w:rFonts w:ascii="Book Antiqua" w:hAnsi="Book Antiqua"/>
          <w:sz w:val="24"/>
          <w:szCs w:val="24"/>
        </w:rPr>
        <w:t>. Ruptured gastric varices are also associated with high rates of rebleeding and mortality (45%–55%)</w:t>
      </w:r>
      <w:r w:rsidRPr="00E60879">
        <w:rPr>
          <w:rFonts w:ascii="Book Antiqua" w:hAnsi="Book Antiqua"/>
          <w:sz w:val="24"/>
          <w:szCs w:val="24"/>
          <w:vertAlign w:val="superscript"/>
        </w:rPr>
        <w:t>[1,2]</w:t>
      </w:r>
      <w:r w:rsidRPr="00E60879">
        <w:rPr>
          <w:rFonts w:ascii="Book Antiqua" w:hAnsi="Book Antiqua"/>
          <w:sz w:val="24"/>
          <w:szCs w:val="24"/>
        </w:rPr>
        <w:t xml:space="preserve">. Therefore, ruptured gastric varices must be treated as quickly as </w:t>
      </w:r>
      <w:r w:rsidRPr="00E60879">
        <w:rPr>
          <w:rFonts w:ascii="Book Antiqua" w:hAnsi="Book Antiqua"/>
          <w:sz w:val="24"/>
          <w:szCs w:val="24"/>
        </w:rPr>
        <w:lastRenderedPageBreak/>
        <w:t>possible.</w:t>
      </w:r>
    </w:p>
    <w:p w:rsidR="00806C17" w:rsidRPr="00E60879" w:rsidRDefault="00806C17" w:rsidP="00C07479">
      <w:pPr>
        <w:snapToGrid w:val="0"/>
        <w:spacing w:line="360" w:lineRule="auto"/>
        <w:ind w:firstLineChars="50" w:firstLine="120"/>
        <w:rPr>
          <w:rFonts w:ascii="Book Antiqua" w:hAnsi="Book Antiqua"/>
          <w:sz w:val="24"/>
          <w:szCs w:val="24"/>
        </w:rPr>
      </w:pPr>
      <w:r w:rsidRPr="00E60879">
        <w:rPr>
          <w:rFonts w:ascii="Book Antiqua" w:hAnsi="Book Antiqua"/>
          <w:sz w:val="24"/>
          <w:szCs w:val="24"/>
        </w:rPr>
        <w:t>As most patients with ruptured gastric varices are in a critical state because of hypovolemic shock, surgical treatment and transjugular intrahepatic portosystemic shunts (TIPS) are too invasive and risky. The mortality of patients with esophageal varices undergoing emergency surgery was reported to be 38.4%</w:t>
      </w:r>
      <w:r w:rsidRPr="00E60879">
        <w:rPr>
          <w:rFonts w:ascii="Book Antiqua" w:hAnsi="Book Antiqua"/>
          <w:sz w:val="24"/>
          <w:szCs w:val="24"/>
          <w:vertAlign w:val="superscript"/>
        </w:rPr>
        <w:t>[18]</w:t>
      </w:r>
      <w:r w:rsidRPr="00E60879">
        <w:rPr>
          <w:rFonts w:ascii="Book Antiqua" w:hAnsi="Book Antiqua"/>
          <w:sz w:val="24"/>
          <w:szCs w:val="24"/>
        </w:rPr>
        <w:t xml:space="preserve">. Although TIPS is a treatment for potal hypertension to decrease the portal pressure, </w:t>
      </w:r>
      <w:bookmarkStart w:id="646" w:name="OLE_LINK2853"/>
      <w:bookmarkStart w:id="647" w:name="OLE_LINK2854"/>
      <w:r w:rsidRPr="00E60879">
        <w:rPr>
          <w:rFonts w:ascii="Book Antiqua" w:hAnsi="Book Antiqua"/>
          <w:sz w:val="24"/>
          <w:szCs w:val="24"/>
        </w:rPr>
        <w:t>Catchpole</w:t>
      </w:r>
      <w:bookmarkEnd w:id="646"/>
      <w:bookmarkEnd w:id="647"/>
      <w:r w:rsidRPr="00E60879">
        <w:rPr>
          <w:rFonts w:ascii="Book Antiqua" w:hAnsi="Book Antiqua"/>
          <w:sz w:val="24"/>
          <w:szCs w:val="24"/>
          <w:vertAlign w:val="superscript"/>
        </w:rPr>
        <w:t>[19]</w:t>
      </w:r>
      <w:r w:rsidRPr="00E60879">
        <w:rPr>
          <w:rFonts w:ascii="Book Antiqua" w:hAnsi="Book Antiqua"/>
          <w:sz w:val="24"/>
          <w:szCs w:val="24"/>
        </w:rPr>
        <w:t xml:space="preserve"> reported some of the problems of TIPS, which included technical failure, restenosis or occlusion of the shunt, dislocation of the stent, and hepatic encephalopathy. Overall, 21% of patients (86/416) died because of bleeding, liver failure, or multiple organ failure. Only 50% of patients had improvements in gastric fundal varices after TIPS</w:t>
      </w:r>
      <w:r w:rsidRPr="00E60879">
        <w:rPr>
          <w:rFonts w:ascii="Book Antiqua" w:hAnsi="Book Antiqua"/>
          <w:sz w:val="24"/>
          <w:szCs w:val="24"/>
          <w:vertAlign w:val="superscript"/>
        </w:rPr>
        <w:t>[20]</w:t>
      </w:r>
      <w:r w:rsidRPr="00E60879">
        <w:rPr>
          <w:rFonts w:ascii="Book Antiqua" w:hAnsi="Book Antiqua"/>
          <w:sz w:val="24"/>
          <w:szCs w:val="24"/>
        </w:rPr>
        <w:t>. Furthermore, the cumulative gastric variceal bleeding rate at 1 year was 20% in patients who underwent TIPS compared with 2% in patients who underwent transcatheter sclerotherapy (</w:t>
      </w:r>
      <w:r w:rsidRPr="00E60879">
        <w:rPr>
          <w:rFonts w:ascii="Book Antiqua" w:hAnsi="Book Antiqua"/>
          <w:i/>
          <w:sz w:val="24"/>
          <w:szCs w:val="24"/>
        </w:rPr>
        <w:t>P</w:t>
      </w:r>
      <w:r w:rsidRPr="00E60879">
        <w:rPr>
          <w:rFonts w:ascii="Book Antiqua" w:hAnsi="Book Antiqua"/>
          <w:sz w:val="24"/>
          <w:szCs w:val="24"/>
        </w:rPr>
        <w:t xml:space="preserve"> &lt; 0.01)</w:t>
      </w:r>
      <w:r w:rsidRPr="00E60879">
        <w:rPr>
          <w:rFonts w:ascii="Book Antiqua" w:hAnsi="Book Antiqua"/>
          <w:sz w:val="24"/>
          <w:szCs w:val="24"/>
          <w:lang w:eastAsia="zh-CN"/>
        </w:rPr>
        <w:t xml:space="preserve"> </w:t>
      </w:r>
      <w:r w:rsidRPr="00E60879">
        <w:rPr>
          <w:rFonts w:ascii="Book Antiqua" w:hAnsi="Book Antiqua"/>
          <w:sz w:val="24"/>
          <w:szCs w:val="24"/>
        </w:rPr>
        <w:t>(Kaplan-Meier method and log-rank test)</w:t>
      </w:r>
      <w:r w:rsidRPr="00E60879">
        <w:rPr>
          <w:rFonts w:ascii="Book Antiqua" w:hAnsi="Book Antiqua"/>
          <w:sz w:val="24"/>
          <w:szCs w:val="24"/>
          <w:vertAlign w:val="superscript"/>
        </w:rPr>
        <w:t>[21]</w:t>
      </w:r>
      <w:r w:rsidRPr="00E60879">
        <w:rPr>
          <w:rFonts w:ascii="Book Antiqua" w:hAnsi="Book Antiqua"/>
          <w:sz w:val="24"/>
          <w:szCs w:val="24"/>
        </w:rPr>
        <w:t>. Although percutaneous transhepatic obliteration (PTO) may achieve temporary embolization of gastric varices, the varices recur very quickly</w:t>
      </w:r>
      <w:r w:rsidRPr="00E60879">
        <w:rPr>
          <w:rFonts w:ascii="Book Antiqua" w:hAnsi="Book Antiqua"/>
          <w:sz w:val="24"/>
          <w:szCs w:val="24"/>
          <w:vertAlign w:val="superscript"/>
        </w:rPr>
        <w:t>[22]</w:t>
      </w:r>
      <w:r w:rsidRPr="00E60879">
        <w:rPr>
          <w:rFonts w:ascii="Book Antiqua" w:hAnsi="Book Antiqua"/>
          <w:sz w:val="24"/>
          <w:szCs w:val="24"/>
        </w:rPr>
        <w:t xml:space="preserve">. Because gastric varices usually have many feeding veins, it is difficult to embolize all of them by PTO. Arai </w:t>
      </w:r>
      <w:r w:rsidRPr="00E60879">
        <w:rPr>
          <w:rFonts w:ascii="Book Antiqua" w:hAnsi="Book Antiqua"/>
          <w:i/>
          <w:sz w:val="24"/>
          <w:szCs w:val="24"/>
        </w:rPr>
        <w:t>et a</w:t>
      </w:r>
      <w:r w:rsidRPr="00E60879">
        <w:rPr>
          <w:rFonts w:ascii="Book Antiqua" w:hAnsi="Book Antiqua"/>
          <w:sz w:val="24"/>
          <w:szCs w:val="24"/>
        </w:rPr>
        <w:t>l</w:t>
      </w:r>
      <w:r w:rsidRPr="00E60879">
        <w:rPr>
          <w:rFonts w:ascii="Book Antiqua" w:hAnsi="Book Antiqua"/>
          <w:sz w:val="24"/>
          <w:szCs w:val="24"/>
          <w:vertAlign w:val="superscript"/>
        </w:rPr>
        <w:t>[23]</w:t>
      </w:r>
      <w:r w:rsidRPr="00E60879">
        <w:rPr>
          <w:rFonts w:ascii="Book Antiqua" w:hAnsi="Book Antiqua"/>
          <w:sz w:val="24"/>
          <w:szCs w:val="24"/>
        </w:rPr>
        <w:t xml:space="preserve"> reported that PTO achieved a success rate of 44% (8/18) but the recurrence rate of gastric varices was 38% (3/8). By contrast, BRTO had a success rate of 81% (75/93) and the recurrence rate of gastric varices was just 4% (3/75). Although </w:t>
      </w:r>
      <w:bookmarkStart w:id="648" w:name="OLE_LINK2855"/>
      <w:bookmarkStart w:id="649" w:name="OLE_LINK2856"/>
      <w:r w:rsidRPr="00E60879">
        <w:rPr>
          <w:rFonts w:ascii="Book Antiqua" w:hAnsi="Book Antiqua"/>
          <w:sz w:val="24"/>
          <w:szCs w:val="24"/>
        </w:rPr>
        <w:t>Baveno</w:t>
      </w:r>
      <w:bookmarkEnd w:id="648"/>
      <w:bookmarkEnd w:id="649"/>
      <w:r w:rsidRPr="00E60879">
        <w:rPr>
          <w:rFonts w:ascii="Book Antiqua" w:hAnsi="Book Antiqua"/>
          <w:sz w:val="24"/>
          <w:szCs w:val="24"/>
        </w:rPr>
        <w:t xml:space="preserve"> </w:t>
      </w:r>
      <w:bookmarkStart w:id="650" w:name="OLE_LINK2857"/>
      <w:bookmarkStart w:id="651" w:name="OLE_LINK2858"/>
      <w:r w:rsidRPr="00E60879">
        <w:rPr>
          <w:rFonts w:ascii="Book Antiqua" w:hAnsi="Book Antiqua"/>
          <w:sz w:val="24"/>
          <w:szCs w:val="24"/>
        </w:rPr>
        <w:t>Consensus</w:t>
      </w:r>
      <w:bookmarkEnd w:id="650"/>
      <w:bookmarkEnd w:id="651"/>
      <w:r w:rsidRPr="00E60879">
        <w:rPr>
          <w:rFonts w:ascii="Book Antiqua" w:hAnsi="Book Antiqua"/>
          <w:sz w:val="24"/>
          <w:szCs w:val="24"/>
          <w:vertAlign w:val="superscript"/>
        </w:rPr>
        <w:t>[24]</w:t>
      </w:r>
      <w:r w:rsidRPr="00E60879">
        <w:rPr>
          <w:rFonts w:ascii="Book Antiqua" w:hAnsi="Book Antiqua"/>
          <w:sz w:val="24"/>
          <w:szCs w:val="24"/>
        </w:rPr>
        <w:t xml:space="preserve"> suggests endoscopic cyanoacrylate injection for bleeding from isolated gastric varices, it is also difficult to apply endoscopic methods, such as endoscopic injection sclerotherapy (EIS), endoscopic variceal ligation (EVL), and sclerotherapy using cyanoacrylate, to ruptured gastric varices because of their extensive blood supply. Additionally, the mortality rate of EIS in patients with bleeding gastric varices was 55%</w:t>
      </w:r>
      <w:r w:rsidRPr="00E60879">
        <w:rPr>
          <w:rFonts w:ascii="Book Antiqua" w:hAnsi="Book Antiqua"/>
          <w:sz w:val="24"/>
          <w:szCs w:val="24"/>
          <w:vertAlign w:val="superscript"/>
        </w:rPr>
        <w:t>[1]</w:t>
      </w:r>
      <w:r w:rsidRPr="00E60879">
        <w:rPr>
          <w:rFonts w:ascii="Book Antiqua" w:hAnsi="Book Antiqua"/>
          <w:sz w:val="24"/>
          <w:szCs w:val="24"/>
        </w:rPr>
        <w:t>. EVL using a rubber band</w:t>
      </w:r>
      <w:r w:rsidRPr="00E60879">
        <w:rPr>
          <w:rFonts w:ascii="Book Antiqua" w:hAnsi="Book Antiqua"/>
          <w:sz w:val="24"/>
          <w:szCs w:val="24"/>
          <w:vertAlign w:val="superscript"/>
        </w:rPr>
        <w:t>[25]</w:t>
      </w:r>
      <w:r w:rsidRPr="00E60879">
        <w:rPr>
          <w:rFonts w:ascii="Book Antiqua" w:hAnsi="Book Antiqua"/>
          <w:sz w:val="24"/>
          <w:szCs w:val="24"/>
        </w:rPr>
        <w:t xml:space="preserve"> was also associated with a high risk of adverse outcomes for treating ruptured gastric varices, as it often causes re-rupture during the procedure, and has a high incidence of rebleeding. The rebleeding </w:t>
      </w:r>
      <w:r w:rsidRPr="00E60879">
        <w:rPr>
          <w:rFonts w:ascii="Book Antiqua" w:hAnsi="Book Antiqua"/>
          <w:sz w:val="24"/>
          <w:szCs w:val="24"/>
        </w:rPr>
        <w:lastRenderedPageBreak/>
        <w:t xml:space="preserve">rate of EVL was significantly higher than that of endoscopic obturation using cyanoacrylate (54% </w:t>
      </w:r>
      <w:r w:rsidRPr="00E60879">
        <w:rPr>
          <w:rFonts w:ascii="Book Antiqua" w:hAnsi="Book Antiqua"/>
          <w:i/>
          <w:sz w:val="24"/>
          <w:szCs w:val="24"/>
        </w:rPr>
        <w:t>vs</w:t>
      </w:r>
      <w:r w:rsidRPr="00E60879">
        <w:rPr>
          <w:rFonts w:ascii="Book Antiqua" w:hAnsi="Book Antiqua"/>
          <w:sz w:val="24"/>
          <w:szCs w:val="24"/>
        </w:rPr>
        <w:t xml:space="preserve"> 31%; </w:t>
      </w:r>
      <w:r w:rsidRPr="00E60879">
        <w:rPr>
          <w:rFonts w:ascii="Book Antiqua" w:hAnsi="Book Antiqua"/>
          <w:i/>
          <w:sz w:val="24"/>
          <w:szCs w:val="24"/>
        </w:rPr>
        <w:t>P</w:t>
      </w:r>
      <w:r w:rsidRPr="00E60879">
        <w:rPr>
          <w:rFonts w:ascii="Book Antiqua" w:hAnsi="Book Antiqua"/>
          <w:sz w:val="24"/>
          <w:szCs w:val="24"/>
        </w:rPr>
        <w:t xml:space="preserve"> = 0.0005)</w:t>
      </w:r>
      <w:r w:rsidRPr="00E60879">
        <w:rPr>
          <w:rFonts w:ascii="Book Antiqua" w:hAnsi="Book Antiqua"/>
          <w:sz w:val="24"/>
          <w:szCs w:val="24"/>
          <w:vertAlign w:val="superscript"/>
        </w:rPr>
        <w:t>[26]</w:t>
      </w:r>
      <w:r w:rsidRPr="00E60879">
        <w:rPr>
          <w:rFonts w:ascii="Book Antiqua" w:hAnsi="Book Antiqua"/>
          <w:sz w:val="24"/>
          <w:szCs w:val="24"/>
        </w:rPr>
        <w:t>. Endoscopic-guided injection of cyanoacrylate into the varices may induce multiple organ embolisms, such as cerebral infarction</w:t>
      </w:r>
      <w:r w:rsidRPr="00E60879">
        <w:rPr>
          <w:rFonts w:ascii="Book Antiqua" w:hAnsi="Book Antiqua"/>
          <w:sz w:val="24"/>
          <w:szCs w:val="24"/>
          <w:vertAlign w:val="superscript"/>
        </w:rPr>
        <w:t>[27]</w:t>
      </w:r>
      <w:r w:rsidRPr="00E60879">
        <w:rPr>
          <w:rFonts w:ascii="Book Antiqua" w:hAnsi="Book Antiqua"/>
          <w:sz w:val="24"/>
          <w:szCs w:val="24"/>
        </w:rPr>
        <w:t xml:space="preserve"> and pulmonary embolisms</w:t>
      </w:r>
      <w:r w:rsidRPr="00E60879">
        <w:rPr>
          <w:rFonts w:ascii="Book Antiqua" w:hAnsi="Book Antiqua"/>
          <w:sz w:val="24"/>
          <w:szCs w:val="24"/>
          <w:vertAlign w:val="superscript"/>
        </w:rPr>
        <w:t>[28,29]</w:t>
      </w:r>
      <w:r w:rsidRPr="00E60879">
        <w:rPr>
          <w:rFonts w:ascii="Book Antiqua" w:hAnsi="Book Antiqua"/>
          <w:sz w:val="24"/>
          <w:szCs w:val="24"/>
        </w:rPr>
        <w:t>, which are caused by leakage of the sclerosant into the systemic circulation. Furthermore, cyanoacrylate treatment of gastric variceal bleeding has a high rate of early bleeding (15.5%–20.5%)</w:t>
      </w:r>
      <w:r w:rsidRPr="00E60879">
        <w:rPr>
          <w:rFonts w:ascii="Book Antiqua" w:hAnsi="Book Antiqua"/>
          <w:sz w:val="24"/>
          <w:szCs w:val="24"/>
          <w:vertAlign w:val="superscript"/>
        </w:rPr>
        <w:t>[30,31]</w:t>
      </w:r>
      <w:r w:rsidRPr="00E60879">
        <w:rPr>
          <w:rFonts w:ascii="Book Antiqua" w:hAnsi="Book Antiqua"/>
          <w:sz w:val="24"/>
          <w:szCs w:val="24"/>
        </w:rPr>
        <w:t>. By contrast, BRTO is a minimally invasive treatment of gastric varices that is associated with a high success rate and a low recurrence rate</w:t>
      </w:r>
      <w:r w:rsidRPr="00E60879">
        <w:rPr>
          <w:rFonts w:ascii="Book Antiqua" w:hAnsi="Book Antiqua"/>
          <w:sz w:val="24"/>
          <w:szCs w:val="24"/>
          <w:vertAlign w:val="superscript"/>
        </w:rPr>
        <w:t>[3-7]</w:t>
      </w:r>
      <w:r w:rsidRPr="00E60879">
        <w:rPr>
          <w:rFonts w:ascii="Book Antiqua" w:hAnsi="Book Antiqua"/>
          <w:sz w:val="24"/>
          <w:szCs w:val="24"/>
        </w:rPr>
        <w:t>. Therefore, it may be much more effective than surgery, TIPS, PTO, or endoscopic treatment for critical patients.</w:t>
      </w:r>
    </w:p>
    <w:p w:rsidR="00806C17" w:rsidRPr="00E60879" w:rsidRDefault="00806C17" w:rsidP="00BF5A52">
      <w:pPr>
        <w:snapToGrid w:val="0"/>
        <w:spacing w:line="360" w:lineRule="auto"/>
        <w:ind w:firstLineChars="50" w:firstLine="120"/>
        <w:rPr>
          <w:rFonts w:ascii="Book Antiqua" w:hAnsi="Book Antiqua"/>
          <w:sz w:val="24"/>
          <w:szCs w:val="24"/>
        </w:rPr>
      </w:pPr>
      <w:r w:rsidRPr="00E60879">
        <w:rPr>
          <w:rFonts w:ascii="Book Antiqua" w:hAnsi="Book Antiqua"/>
          <w:sz w:val="24"/>
          <w:szCs w:val="24"/>
        </w:rPr>
        <w:t>Ethanolamine oleate is a sclerosant that damages endothelial cells and induces thrombus formation in the vessel. EOI was prepared by mixing ethanolamine oleate with contrast medium to monitor the movement of EOI under fluoroscopy. To prevent EOI-related complications caused by excess sclerosant, we believe that &lt;</w:t>
      </w:r>
      <w:r w:rsidRPr="00E60879">
        <w:rPr>
          <w:rFonts w:ascii="Book Antiqua" w:hAnsi="Book Antiqua"/>
          <w:sz w:val="24"/>
          <w:szCs w:val="24"/>
          <w:lang w:eastAsia="zh-CN"/>
        </w:rPr>
        <w:t xml:space="preserve"> </w:t>
      </w:r>
      <w:r w:rsidRPr="00E60879">
        <w:rPr>
          <w:rFonts w:ascii="Book Antiqua" w:hAnsi="Book Antiqua"/>
          <w:sz w:val="24"/>
          <w:szCs w:val="24"/>
        </w:rPr>
        <w:t>40 mL of 5% EOI should be used during individual BRTO procedures. If complete thrombosis of large gastric varices is not achieved, a second BRTO can be performed the following day, and additional sclerosant can be injected through the catheter that was left in place overnight</w:t>
      </w:r>
      <w:r w:rsidRPr="00E60879">
        <w:rPr>
          <w:rFonts w:ascii="Book Antiqua" w:hAnsi="Book Antiqua"/>
          <w:sz w:val="24"/>
          <w:szCs w:val="24"/>
          <w:vertAlign w:val="superscript"/>
        </w:rPr>
        <w:t>[7]</w:t>
      </w:r>
      <w:r w:rsidRPr="00E60879">
        <w:rPr>
          <w:rFonts w:ascii="Book Antiqua" w:hAnsi="Book Antiqua"/>
          <w:sz w:val="24"/>
          <w:szCs w:val="24"/>
        </w:rPr>
        <w:t>. To decrease the sclerosant dose, 50% glucose solution</w:t>
      </w:r>
      <w:r w:rsidRPr="00E60879">
        <w:rPr>
          <w:rFonts w:ascii="Book Antiqua" w:hAnsi="Book Antiqua"/>
          <w:sz w:val="24"/>
          <w:szCs w:val="24"/>
          <w:vertAlign w:val="superscript"/>
        </w:rPr>
        <w:t>[32]</w:t>
      </w:r>
      <w:r w:rsidRPr="00E60879">
        <w:rPr>
          <w:rFonts w:ascii="Book Antiqua" w:hAnsi="Book Antiqua"/>
          <w:sz w:val="24"/>
          <w:szCs w:val="24"/>
        </w:rPr>
        <w:t xml:space="preserve"> or polidocanol foam</w:t>
      </w:r>
      <w:r w:rsidRPr="00E60879">
        <w:rPr>
          <w:rFonts w:ascii="Book Antiqua" w:hAnsi="Book Antiqua"/>
          <w:sz w:val="24"/>
          <w:szCs w:val="24"/>
          <w:vertAlign w:val="superscript"/>
        </w:rPr>
        <w:t>[33]</w:t>
      </w:r>
      <w:r w:rsidRPr="00E60879">
        <w:rPr>
          <w:rFonts w:ascii="Book Antiqua" w:hAnsi="Book Antiqua"/>
          <w:sz w:val="24"/>
          <w:szCs w:val="24"/>
        </w:rPr>
        <w:t xml:space="preserve"> may be used during BRTO procedures. Haptoglobin was also intravenously administered to prevent renal failure</w:t>
      </w:r>
      <w:r w:rsidRPr="00E60879">
        <w:rPr>
          <w:rFonts w:ascii="Book Antiqua" w:hAnsi="Book Antiqua"/>
          <w:sz w:val="24"/>
          <w:szCs w:val="24"/>
          <w:vertAlign w:val="superscript"/>
        </w:rPr>
        <w:t>[10,11]</w:t>
      </w:r>
      <w:r w:rsidRPr="00E60879">
        <w:rPr>
          <w:rFonts w:ascii="Book Antiqua" w:hAnsi="Book Antiqua"/>
          <w:sz w:val="24"/>
          <w:szCs w:val="24"/>
        </w:rPr>
        <w:t>.</w:t>
      </w:r>
    </w:p>
    <w:p w:rsidR="00806C17" w:rsidRPr="00E60879" w:rsidRDefault="00806C17" w:rsidP="00BF5A52">
      <w:pPr>
        <w:snapToGrid w:val="0"/>
        <w:spacing w:line="360" w:lineRule="auto"/>
        <w:ind w:firstLineChars="50" w:firstLine="120"/>
        <w:rPr>
          <w:rFonts w:ascii="Book Antiqua" w:hAnsi="Book Antiqua"/>
          <w:sz w:val="24"/>
          <w:szCs w:val="24"/>
        </w:rPr>
      </w:pPr>
      <w:r w:rsidRPr="00E60879">
        <w:rPr>
          <w:rFonts w:ascii="Book Antiqua" w:hAnsi="Book Antiqua"/>
          <w:sz w:val="24"/>
          <w:szCs w:val="24"/>
        </w:rPr>
        <w:t>In our study, the BRTO procedure achieved temporary hemostasis in all of the patients. If active bleeding from the gastric varices continues during the procedure, then 5% EOI may be unable to control the bleeding, because it will leak into the gastric lumen. This displaces the sclerosant and prevents it from accumulating in the gastric varices. In such situations, transportal or transesophageal sclerotherapy with cyanoacrylate and coils may be necessary. The coils serve as a scaffold to trap the cyanoacrylate preventing pulmonary embolism</w:t>
      </w:r>
      <w:r w:rsidRPr="00E60879">
        <w:rPr>
          <w:rFonts w:ascii="Book Antiqua" w:hAnsi="Book Antiqua"/>
          <w:sz w:val="24"/>
          <w:szCs w:val="24"/>
          <w:vertAlign w:val="superscript"/>
        </w:rPr>
        <w:t>[34</w:t>
      </w:r>
      <w:r w:rsidRPr="00E60879">
        <w:rPr>
          <w:rFonts w:ascii="Book Antiqua" w:hAnsi="Book Antiqua"/>
          <w:sz w:val="24"/>
          <w:szCs w:val="24"/>
          <w:vertAlign w:val="superscript"/>
          <w:lang w:eastAsia="zh-CN"/>
        </w:rPr>
        <w:t>-</w:t>
      </w:r>
      <w:r w:rsidRPr="00E60879">
        <w:rPr>
          <w:rFonts w:ascii="Book Antiqua" w:hAnsi="Book Antiqua"/>
          <w:sz w:val="24"/>
          <w:szCs w:val="24"/>
          <w:vertAlign w:val="superscript"/>
        </w:rPr>
        <w:t>36]</w:t>
      </w:r>
      <w:r w:rsidRPr="00E60879">
        <w:rPr>
          <w:rFonts w:ascii="Book Antiqua" w:hAnsi="Book Antiqua"/>
          <w:sz w:val="24"/>
          <w:szCs w:val="24"/>
        </w:rPr>
        <w:t xml:space="preserve">. If temporary hemostasis by balloon compression is achieved, we </w:t>
      </w:r>
      <w:r w:rsidRPr="00E60879">
        <w:rPr>
          <w:rFonts w:ascii="Book Antiqua" w:hAnsi="Book Antiqua"/>
          <w:sz w:val="24"/>
          <w:szCs w:val="24"/>
        </w:rPr>
        <w:lastRenderedPageBreak/>
        <w:t>perform BRTO. On the other hand, if temporary hemostasis by balloon compression is not achieved and the gastric varices continue to spurt blood, we perform transportal or transesophageal sclerotherapy with cyanoacrylate and coils.</w:t>
      </w:r>
    </w:p>
    <w:p w:rsidR="00806C17" w:rsidRPr="00E60879" w:rsidRDefault="00806C17" w:rsidP="00BF5A52">
      <w:pPr>
        <w:snapToGrid w:val="0"/>
        <w:spacing w:line="360" w:lineRule="auto"/>
        <w:ind w:firstLineChars="50" w:firstLine="120"/>
        <w:rPr>
          <w:rFonts w:ascii="Book Antiqua" w:hAnsi="Book Antiqua"/>
          <w:sz w:val="24"/>
          <w:szCs w:val="24"/>
        </w:rPr>
      </w:pPr>
      <w:r w:rsidRPr="00E60879">
        <w:rPr>
          <w:rFonts w:ascii="Book Antiqua" w:hAnsi="Book Antiqua"/>
          <w:sz w:val="24"/>
          <w:szCs w:val="24"/>
        </w:rPr>
        <w:t>Esophageal varices worsened in 5/17 patients in this study. The occlusion of a gastrorenal shunt probably induced the esophageal varices through another collateral route. BRTO was reported to significantly increase the portal systemic pressure gradient</w:t>
      </w:r>
      <w:r w:rsidRPr="00E60879">
        <w:rPr>
          <w:rFonts w:ascii="Book Antiqua" w:hAnsi="Book Antiqua"/>
          <w:sz w:val="24"/>
          <w:szCs w:val="24"/>
          <w:vertAlign w:val="superscript"/>
        </w:rPr>
        <w:t>[13]</w:t>
      </w:r>
      <w:r w:rsidRPr="00E60879">
        <w:rPr>
          <w:rFonts w:ascii="Book Antiqua" w:hAnsi="Book Antiqua"/>
          <w:sz w:val="24"/>
          <w:szCs w:val="24"/>
        </w:rPr>
        <w:t xml:space="preserve"> and increase the bleeding rates of coexisting esophageal varices</w:t>
      </w:r>
      <w:r w:rsidRPr="00E60879">
        <w:rPr>
          <w:rFonts w:ascii="Book Antiqua" w:hAnsi="Book Antiqua"/>
          <w:sz w:val="24"/>
          <w:szCs w:val="24"/>
          <w:vertAlign w:val="superscript"/>
        </w:rPr>
        <w:t>[12]</w:t>
      </w:r>
      <w:r w:rsidRPr="00E60879">
        <w:rPr>
          <w:rFonts w:ascii="Book Antiqua" w:hAnsi="Book Antiqua"/>
          <w:sz w:val="24"/>
          <w:szCs w:val="24"/>
        </w:rPr>
        <w:t>. Other major risk factors for worsening of esophageal varices after BRTO were the presence of esophageal varices, higher Child–Pugh class, and higher resistance index assessed by endoscopic color Doppler ultrasonography before BRTO</w:t>
      </w:r>
      <w:r w:rsidRPr="00E60879">
        <w:rPr>
          <w:rFonts w:ascii="Book Antiqua" w:hAnsi="Book Antiqua"/>
          <w:sz w:val="24"/>
          <w:szCs w:val="24"/>
          <w:vertAlign w:val="superscript"/>
        </w:rPr>
        <w:t>[14]</w:t>
      </w:r>
      <w:r w:rsidRPr="00E60879">
        <w:rPr>
          <w:rFonts w:ascii="Book Antiqua" w:hAnsi="Book Antiqua"/>
          <w:sz w:val="24"/>
          <w:szCs w:val="24"/>
        </w:rPr>
        <w:t>. Therefore, esophageal varices should be endoscopically checked every 6 mo after BRTO.</w:t>
      </w:r>
    </w:p>
    <w:p w:rsidR="00806C17" w:rsidRPr="00E60879" w:rsidRDefault="00806C17" w:rsidP="00BF5A52">
      <w:pPr>
        <w:snapToGrid w:val="0"/>
        <w:spacing w:line="360" w:lineRule="auto"/>
        <w:ind w:firstLineChars="50" w:firstLine="120"/>
        <w:rPr>
          <w:rFonts w:ascii="Book Antiqua" w:hAnsi="Book Antiqua"/>
          <w:sz w:val="24"/>
          <w:szCs w:val="24"/>
        </w:rPr>
      </w:pPr>
      <w:r w:rsidRPr="00E60879">
        <w:rPr>
          <w:rFonts w:ascii="Book Antiqua" w:hAnsi="Book Antiqua"/>
          <w:sz w:val="24"/>
          <w:szCs w:val="24"/>
        </w:rPr>
        <w:t>As ruptured gastric varices are associated with high rates of recurrent bleeding and mortality, quick treatment is essential. BRTO is a minimally invasive treatment for gastric varices with a high success rate and a low recurrence rate. Emergency BRTO is an effective and safe treatment, providing temporary hemostasis of ruptured gastric varices can be achieved, allowing the sclerosant to accumulate in the varices.</w:t>
      </w:r>
    </w:p>
    <w:p w:rsidR="00806C17" w:rsidRPr="00E60879" w:rsidRDefault="00806C17" w:rsidP="002D4683">
      <w:pPr>
        <w:snapToGrid w:val="0"/>
        <w:spacing w:line="360" w:lineRule="auto"/>
        <w:rPr>
          <w:rFonts w:ascii="Book Antiqua" w:hAnsi="Book Antiqua"/>
          <w:sz w:val="24"/>
          <w:szCs w:val="24"/>
        </w:rPr>
      </w:pPr>
    </w:p>
    <w:p w:rsidR="00806C17" w:rsidRPr="00E60879" w:rsidRDefault="00806C17" w:rsidP="002D4683">
      <w:pPr>
        <w:snapToGrid w:val="0"/>
        <w:spacing w:line="360" w:lineRule="auto"/>
        <w:rPr>
          <w:rFonts w:ascii="Book Antiqua" w:hAnsi="Book Antiqua"/>
          <w:b/>
          <w:sz w:val="24"/>
          <w:szCs w:val="24"/>
        </w:rPr>
      </w:pPr>
      <w:r w:rsidRPr="00E60879">
        <w:rPr>
          <w:rFonts w:ascii="Book Antiqua" w:hAnsi="Book Antiqua"/>
          <w:b/>
          <w:sz w:val="24"/>
          <w:szCs w:val="24"/>
        </w:rPr>
        <w:t>COMMENTS</w:t>
      </w:r>
    </w:p>
    <w:p w:rsidR="00806C17" w:rsidRPr="00E60879" w:rsidRDefault="00806C17" w:rsidP="002D4683">
      <w:pPr>
        <w:snapToGrid w:val="0"/>
        <w:spacing w:line="360" w:lineRule="auto"/>
        <w:rPr>
          <w:rFonts w:ascii="Book Antiqua" w:hAnsi="Book Antiqua"/>
          <w:b/>
          <w:i/>
          <w:sz w:val="24"/>
          <w:szCs w:val="24"/>
        </w:rPr>
      </w:pPr>
      <w:r w:rsidRPr="00E60879">
        <w:rPr>
          <w:rFonts w:ascii="Book Antiqua" w:hAnsi="Book Antiqua"/>
          <w:b/>
          <w:i/>
          <w:sz w:val="24"/>
          <w:szCs w:val="24"/>
        </w:rPr>
        <w:t>Background</w:t>
      </w:r>
    </w:p>
    <w:p w:rsidR="00806C17" w:rsidRPr="00E60879" w:rsidRDefault="00806C17" w:rsidP="002D4683">
      <w:pPr>
        <w:widowControl/>
        <w:snapToGrid w:val="0"/>
        <w:spacing w:line="360" w:lineRule="auto"/>
        <w:rPr>
          <w:rFonts w:ascii="Book Antiqua" w:hAnsi="Book Antiqua"/>
          <w:sz w:val="24"/>
          <w:szCs w:val="24"/>
          <w:lang w:eastAsia="zh-CN"/>
        </w:rPr>
      </w:pPr>
      <w:r w:rsidRPr="00E60879">
        <w:rPr>
          <w:rFonts w:ascii="Book Antiqua" w:hAnsi="Book Antiqua"/>
          <w:sz w:val="24"/>
          <w:szCs w:val="24"/>
        </w:rPr>
        <w:t xml:space="preserve">As gastric varices have greater blood flow compared with esophageal varices, ruptured gastric varices can cause massive hemorrhage, and are associated with high rates of recurrent bleeding and mortality. Therefore, ruptured gastric varices must be treated as quickly as possible. </w:t>
      </w:r>
    </w:p>
    <w:p w:rsidR="00806C17" w:rsidRPr="00E60879" w:rsidRDefault="00806C17" w:rsidP="002D4683">
      <w:pPr>
        <w:widowControl/>
        <w:snapToGrid w:val="0"/>
        <w:spacing w:line="360" w:lineRule="auto"/>
        <w:rPr>
          <w:rFonts w:ascii="Book Antiqua" w:hAnsi="Book Antiqua"/>
          <w:sz w:val="24"/>
          <w:szCs w:val="24"/>
          <w:lang w:eastAsia="zh-CN"/>
        </w:rPr>
      </w:pPr>
    </w:p>
    <w:p w:rsidR="00806C17" w:rsidRPr="00E60879" w:rsidRDefault="00806C17" w:rsidP="002D4683">
      <w:pPr>
        <w:snapToGrid w:val="0"/>
        <w:spacing w:line="360" w:lineRule="auto"/>
        <w:rPr>
          <w:rFonts w:ascii="Book Antiqua" w:hAnsi="Book Antiqua"/>
          <w:b/>
          <w:i/>
          <w:sz w:val="24"/>
          <w:szCs w:val="24"/>
        </w:rPr>
      </w:pPr>
      <w:r w:rsidRPr="00E60879">
        <w:rPr>
          <w:rFonts w:ascii="Book Antiqua" w:hAnsi="Book Antiqua"/>
          <w:b/>
          <w:i/>
          <w:sz w:val="24"/>
          <w:szCs w:val="24"/>
        </w:rPr>
        <w:t>Research frontiers</w:t>
      </w:r>
    </w:p>
    <w:p w:rsidR="00806C17" w:rsidRPr="00E60879" w:rsidRDefault="00806C17" w:rsidP="002D4683">
      <w:pPr>
        <w:widowControl/>
        <w:snapToGrid w:val="0"/>
        <w:spacing w:line="360" w:lineRule="auto"/>
        <w:rPr>
          <w:rFonts w:ascii="Book Antiqua" w:hAnsi="Book Antiqua"/>
          <w:sz w:val="24"/>
          <w:szCs w:val="24"/>
          <w:lang w:eastAsia="zh-CN"/>
        </w:rPr>
      </w:pPr>
      <w:r w:rsidRPr="00E60879">
        <w:rPr>
          <w:rFonts w:ascii="Book Antiqua" w:hAnsi="Book Antiqua"/>
          <w:sz w:val="24"/>
          <w:szCs w:val="24"/>
        </w:rPr>
        <w:lastRenderedPageBreak/>
        <w:t>In this study, the authors demonstrate the long-term results of emergency balloon-occluded retrograde transvenous obliteration (BRTO) for ruptured gastric varices.</w:t>
      </w:r>
    </w:p>
    <w:p w:rsidR="00806C17" w:rsidRPr="00E60879" w:rsidRDefault="00806C17" w:rsidP="002D4683">
      <w:pPr>
        <w:widowControl/>
        <w:snapToGrid w:val="0"/>
        <w:spacing w:line="360" w:lineRule="auto"/>
        <w:rPr>
          <w:rFonts w:ascii="Book Antiqua" w:hAnsi="Book Antiqua"/>
          <w:sz w:val="24"/>
          <w:szCs w:val="24"/>
          <w:lang w:eastAsia="zh-CN"/>
        </w:rPr>
      </w:pPr>
    </w:p>
    <w:p w:rsidR="00806C17" w:rsidRPr="00E60879" w:rsidRDefault="00806C17" w:rsidP="002D4683">
      <w:pPr>
        <w:snapToGrid w:val="0"/>
        <w:spacing w:line="360" w:lineRule="auto"/>
        <w:rPr>
          <w:rFonts w:ascii="Book Antiqua" w:hAnsi="Book Antiqua"/>
          <w:b/>
          <w:i/>
          <w:sz w:val="24"/>
          <w:szCs w:val="24"/>
        </w:rPr>
      </w:pPr>
      <w:r w:rsidRPr="00E60879">
        <w:rPr>
          <w:rFonts w:ascii="Book Antiqua" w:hAnsi="Book Antiqua"/>
          <w:b/>
          <w:i/>
          <w:sz w:val="24"/>
          <w:szCs w:val="24"/>
        </w:rPr>
        <w:t>Innovations and breakthroughs</w:t>
      </w:r>
    </w:p>
    <w:p w:rsidR="00806C17" w:rsidRPr="00E60879" w:rsidRDefault="00806C17" w:rsidP="002D4683">
      <w:pPr>
        <w:widowControl/>
        <w:snapToGrid w:val="0"/>
        <w:spacing w:line="360" w:lineRule="auto"/>
        <w:rPr>
          <w:rFonts w:ascii="Book Antiqua" w:hAnsi="Book Antiqua"/>
          <w:sz w:val="24"/>
          <w:szCs w:val="24"/>
          <w:lang w:eastAsia="zh-CN"/>
        </w:rPr>
      </w:pPr>
      <w:r w:rsidRPr="00E60879">
        <w:rPr>
          <w:rFonts w:ascii="Book Antiqua" w:hAnsi="Book Antiqua"/>
          <w:sz w:val="24"/>
          <w:szCs w:val="24"/>
        </w:rPr>
        <w:t>Sixteen of 17 patients had complete thrombosis leading to disappearance of gastric varices. One patient had incomplete thrombosis leading to reduction of varices.</w:t>
      </w:r>
    </w:p>
    <w:p w:rsidR="00806C17" w:rsidRPr="00E60879" w:rsidRDefault="00806C17" w:rsidP="002D4683">
      <w:pPr>
        <w:widowControl/>
        <w:snapToGrid w:val="0"/>
        <w:spacing w:line="360" w:lineRule="auto"/>
        <w:rPr>
          <w:rFonts w:ascii="Book Antiqua" w:hAnsi="Book Antiqua"/>
          <w:sz w:val="24"/>
          <w:szCs w:val="24"/>
          <w:lang w:eastAsia="zh-CN"/>
        </w:rPr>
      </w:pPr>
    </w:p>
    <w:p w:rsidR="00806C17" w:rsidRPr="00E60879" w:rsidRDefault="00806C17" w:rsidP="002D4683">
      <w:pPr>
        <w:widowControl/>
        <w:snapToGrid w:val="0"/>
        <w:spacing w:line="360" w:lineRule="auto"/>
        <w:rPr>
          <w:rFonts w:ascii="Book Antiqua" w:hAnsi="Book Antiqua"/>
          <w:sz w:val="24"/>
          <w:szCs w:val="24"/>
        </w:rPr>
      </w:pPr>
      <w:r w:rsidRPr="00E60879">
        <w:rPr>
          <w:rFonts w:ascii="Book Antiqua" w:hAnsi="Book Antiqua"/>
          <w:b/>
          <w:i/>
          <w:sz w:val="24"/>
          <w:szCs w:val="24"/>
        </w:rPr>
        <w:t>Applications</w:t>
      </w:r>
    </w:p>
    <w:p w:rsidR="00806C17" w:rsidRPr="00E60879" w:rsidRDefault="00806C17" w:rsidP="002D4683">
      <w:pPr>
        <w:widowControl/>
        <w:snapToGrid w:val="0"/>
        <w:spacing w:line="360" w:lineRule="auto"/>
        <w:rPr>
          <w:rFonts w:ascii="Book Antiqua" w:hAnsi="Book Antiqua"/>
          <w:sz w:val="24"/>
          <w:szCs w:val="24"/>
          <w:lang w:eastAsia="zh-CN"/>
        </w:rPr>
      </w:pPr>
      <w:r w:rsidRPr="00E60879">
        <w:rPr>
          <w:rFonts w:ascii="Book Antiqua" w:hAnsi="Book Antiqua"/>
          <w:sz w:val="24"/>
          <w:szCs w:val="24"/>
        </w:rPr>
        <w:t>Patients who have ruptured gastric varices and gastrorenal or gastrocaval shunts can be treated with emergency BRTO within 24 h of hematemesis and/or tarry stool.</w:t>
      </w:r>
    </w:p>
    <w:p w:rsidR="00806C17" w:rsidRPr="00E60879" w:rsidRDefault="00806C17" w:rsidP="002D4683">
      <w:pPr>
        <w:widowControl/>
        <w:snapToGrid w:val="0"/>
        <w:spacing w:line="360" w:lineRule="auto"/>
        <w:rPr>
          <w:rFonts w:ascii="Book Antiqua" w:hAnsi="Book Antiqua"/>
          <w:sz w:val="24"/>
          <w:szCs w:val="24"/>
          <w:lang w:eastAsia="zh-CN"/>
        </w:rPr>
      </w:pPr>
    </w:p>
    <w:p w:rsidR="00806C17" w:rsidRPr="00E60879" w:rsidRDefault="00806C17" w:rsidP="002D4683">
      <w:pPr>
        <w:widowControl/>
        <w:snapToGrid w:val="0"/>
        <w:spacing w:line="360" w:lineRule="auto"/>
        <w:rPr>
          <w:rFonts w:ascii="Book Antiqua" w:hAnsi="Book Antiqua"/>
          <w:sz w:val="24"/>
          <w:szCs w:val="24"/>
        </w:rPr>
      </w:pPr>
      <w:r w:rsidRPr="00E60879">
        <w:rPr>
          <w:rFonts w:ascii="Book Antiqua" w:hAnsi="Book Antiqua"/>
          <w:b/>
          <w:i/>
          <w:sz w:val="24"/>
          <w:szCs w:val="24"/>
        </w:rPr>
        <w:t>Terminology</w:t>
      </w:r>
    </w:p>
    <w:p w:rsidR="00806C17" w:rsidRPr="00E60879" w:rsidRDefault="00806C17" w:rsidP="002D4683">
      <w:pPr>
        <w:widowControl/>
        <w:snapToGrid w:val="0"/>
        <w:spacing w:line="360" w:lineRule="auto"/>
        <w:rPr>
          <w:rFonts w:ascii="Book Antiqua" w:hAnsi="Book Antiqua"/>
          <w:sz w:val="24"/>
          <w:szCs w:val="24"/>
          <w:lang w:eastAsia="zh-CN"/>
        </w:rPr>
      </w:pPr>
      <w:r w:rsidRPr="00E60879">
        <w:rPr>
          <w:rFonts w:ascii="Book Antiqua" w:hAnsi="Book Antiqua"/>
          <w:sz w:val="24"/>
          <w:szCs w:val="24"/>
        </w:rPr>
        <w:t>Emergency BRTO is a procedure where a balloon catheter inserted into a draining vein of gastric varices, and the sclerosant can be injected into the varices through the catheter during balloon occlusion. The sclerosant damages endothelial cells of the varices resulting in the thrombosis and disappearance of the varices.</w:t>
      </w:r>
    </w:p>
    <w:p w:rsidR="00806C17" w:rsidRPr="00E60879" w:rsidRDefault="00806C17" w:rsidP="002D4683">
      <w:pPr>
        <w:widowControl/>
        <w:snapToGrid w:val="0"/>
        <w:spacing w:line="360" w:lineRule="auto"/>
        <w:rPr>
          <w:rFonts w:ascii="Book Antiqua" w:hAnsi="Book Antiqua"/>
          <w:sz w:val="24"/>
          <w:szCs w:val="24"/>
          <w:lang w:eastAsia="zh-CN"/>
        </w:rPr>
      </w:pPr>
    </w:p>
    <w:p w:rsidR="00806C17" w:rsidRPr="00E60879" w:rsidRDefault="00806C17" w:rsidP="002D4683">
      <w:pPr>
        <w:widowControl/>
        <w:snapToGrid w:val="0"/>
        <w:spacing w:line="360" w:lineRule="auto"/>
        <w:rPr>
          <w:rFonts w:ascii="Book Antiqua" w:hAnsi="Book Antiqua"/>
          <w:sz w:val="24"/>
          <w:szCs w:val="24"/>
        </w:rPr>
      </w:pPr>
      <w:r w:rsidRPr="00E60879">
        <w:rPr>
          <w:rFonts w:ascii="Book Antiqua" w:hAnsi="Book Antiqua"/>
          <w:b/>
          <w:i/>
          <w:sz w:val="24"/>
          <w:szCs w:val="24"/>
        </w:rPr>
        <w:t>Peer review</w:t>
      </w:r>
    </w:p>
    <w:p w:rsidR="00806C17" w:rsidRPr="00E60879" w:rsidRDefault="00806C17" w:rsidP="002D4683">
      <w:pPr>
        <w:widowControl/>
        <w:snapToGrid w:val="0"/>
        <w:spacing w:line="360" w:lineRule="auto"/>
        <w:rPr>
          <w:rFonts w:ascii="Book Antiqua" w:hAnsi="Book Antiqua"/>
          <w:sz w:val="24"/>
          <w:szCs w:val="24"/>
        </w:rPr>
      </w:pPr>
      <w:r w:rsidRPr="00E60879">
        <w:rPr>
          <w:rFonts w:ascii="Book Antiqua" w:hAnsi="Book Antiqua"/>
          <w:sz w:val="24"/>
          <w:szCs w:val="24"/>
        </w:rPr>
        <w:t>The authors reported the results of a retrospective study on patients who underwent emergency BRTO for ruptured gastric varices. Emergency BRTO is an effective and safe treatment, providing temporary hemostasis of ruptured gastric varices can be achieved, allowing the sclerosant to accumulate in the varices.</w:t>
      </w:r>
    </w:p>
    <w:p w:rsidR="00806C17" w:rsidRPr="00E60879" w:rsidRDefault="00806C17" w:rsidP="002D4683">
      <w:pPr>
        <w:widowControl/>
        <w:snapToGrid w:val="0"/>
        <w:spacing w:line="360" w:lineRule="auto"/>
        <w:rPr>
          <w:rFonts w:ascii="Book Antiqua" w:hAnsi="Book Antiqua"/>
          <w:sz w:val="24"/>
          <w:szCs w:val="24"/>
          <w:lang w:eastAsia="zh-CN"/>
        </w:rPr>
      </w:pPr>
    </w:p>
    <w:p w:rsidR="00806C17" w:rsidRDefault="00806C17" w:rsidP="002D4683">
      <w:pPr>
        <w:widowControl/>
        <w:snapToGrid w:val="0"/>
        <w:spacing w:line="360" w:lineRule="auto"/>
        <w:rPr>
          <w:rFonts w:ascii="Book Antiqua" w:hAnsi="Book Antiqua"/>
          <w:b/>
          <w:sz w:val="24"/>
          <w:szCs w:val="24"/>
          <w:lang w:eastAsia="zh-CN"/>
        </w:rPr>
      </w:pPr>
    </w:p>
    <w:p w:rsidR="00806C17" w:rsidRPr="00E60879" w:rsidRDefault="00806C17" w:rsidP="002D4683">
      <w:pPr>
        <w:widowControl/>
        <w:snapToGrid w:val="0"/>
        <w:spacing w:line="360" w:lineRule="auto"/>
        <w:rPr>
          <w:rFonts w:ascii="Book Antiqua" w:hAnsi="Book Antiqua"/>
          <w:sz w:val="24"/>
          <w:szCs w:val="24"/>
        </w:rPr>
      </w:pPr>
      <w:r w:rsidRPr="00E60879">
        <w:rPr>
          <w:rFonts w:ascii="Book Antiqua" w:hAnsi="Book Antiqua"/>
          <w:b/>
          <w:sz w:val="24"/>
          <w:szCs w:val="24"/>
        </w:rPr>
        <w:lastRenderedPageBreak/>
        <w:t>REFERENCES</w:t>
      </w:r>
      <w:bookmarkStart w:id="652" w:name="OLE_LINK2861"/>
      <w:bookmarkStart w:id="653" w:name="OLE_LINK2862"/>
    </w:p>
    <w:bookmarkEnd w:id="652"/>
    <w:bookmarkEnd w:id="653"/>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 </w:t>
      </w:r>
      <w:r w:rsidRPr="00E60879">
        <w:rPr>
          <w:rFonts w:ascii="Book Antiqua" w:hAnsi="Book Antiqua" w:cs="宋体"/>
          <w:b/>
          <w:bCs/>
          <w:kern w:val="0"/>
          <w:sz w:val="24"/>
          <w:szCs w:val="24"/>
          <w:lang w:eastAsia="zh-CN"/>
        </w:rPr>
        <w:t>Trudeau W</w:t>
      </w:r>
      <w:r w:rsidRPr="00E60879">
        <w:rPr>
          <w:rFonts w:ascii="Book Antiqua" w:hAnsi="Book Antiqua" w:cs="宋体"/>
          <w:kern w:val="0"/>
          <w:sz w:val="24"/>
          <w:szCs w:val="24"/>
          <w:lang w:eastAsia="zh-CN"/>
        </w:rPr>
        <w:t xml:space="preserve">, Prindiville T. Endoscopic injection sclerosis in bleeding gastric varices. </w:t>
      </w:r>
      <w:r w:rsidRPr="00E60879">
        <w:rPr>
          <w:rFonts w:ascii="Book Antiqua" w:hAnsi="Book Antiqua" w:cs="宋体"/>
          <w:i/>
          <w:iCs/>
          <w:kern w:val="0"/>
          <w:sz w:val="24"/>
          <w:szCs w:val="24"/>
          <w:lang w:eastAsia="zh-CN"/>
        </w:rPr>
        <w:t>Gastrointest Endosc</w:t>
      </w:r>
      <w:r w:rsidRPr="00E60879">
        <w:rPr>
          <w:rFonts w:ascii="Book Antiqua" w:hAnsi="Book Antiqua" w:cs="宋体"/>
          <w:kern w:val="0"/>
          <w:sz w:val="24"/>
          <w:szCs w:val="24"/>
          <w:lang w:eastAsia="zh-CN"/>
        </w:rPr>
        <w:t xml:space="preserve"> 1986; </w:t>
      </w:r>
      <w:r w:rsidRPr="00E60879">
        <w:rPr>
          <w:rFonts w:ascii="Book Antiqua" w:hAnsi="Book Antiqua" w:cs="宋体"/>
          <w:b/>
          <w:bCs/>
          <w:kern w:val="0"/>
          <w:sz w:val="24"/>
          <w:szCs w:val="24"/>
          <w:lang w:eastAsia="zh-CN"/>
        </w:rPr>
        <w:t>32</w:t>
      </w:r>
      <w:r w:rsidRPr="00E60879">
        <w:rPr>
          <w:rFonts w:ascii="Book Antiqua" w:hAnsi="Book Antiqua" w:cs="宋体"/>
          <w:kern w:val="0"/>
          <w:sz w:val="24"/>
          <w:szCs w:val="24"/>
          <w:lang w:eastAsia="zh-CN"/>
        </w:rPr>
        <w:t>: 264-268 [PMID: 3488937]</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 </w:t>
      </w:r>
      <w:r w:rsidRPr="00E60879">
        <w:rPr>
          <w:rFonts w:ascii="Book Antiqua" w:hAnsi="Book Antiqua" w:cs="宋体"/>
          <w:b/>
          <w:bCs/>
          <w:kern w:val="0"/>
          <w:sz w:val="24"/>
          <w:szCs w:val="24"/>
          <w:lang w:eastAsia="zh-CN"/>
        </w:rPr>
        <w:t>Sarin SK</w:t>
      </w:r>
      <w:r w:rsidRPr="00E60879">
        <w:rPr>
          <w:rFonts w:ascii="Book Antiqua" w:hAnsi="Book Antiqua" w:cs="宋体"/>
          <w:kern w:val="0"/>
          <w:sz w:val="24"/>
          <w:szCs w:val="24"/>
          <w:lang w:eastAsia="zh-CN"/>
        </w:rPr>
        <w:t xml:space="preserve">, Lahoti D, Saxena SP, Murthy NS, Makwana UK. Prevalence, classification and natural history of gastric varices: a long-term follow-up study in 568 portal hypertension patients. </w:t>
      </w:r>
      <w:r w:rsidRPr="00E60879">
        <w:rPr>
          <w:rFonts w:ascii="Book Antiqua" w:hAnsi="Book Antiqua" w:cs="宋体"/>
          <w:i/>
          <w:iCs/>
          <w:kern w:val="0"/>
          <w:sz w:val="24"/>
          <w:szCs w:val="24"/>
          <w:lang w:eastAsia="zh-CN"/>
        </w:rPr>
        <w:t>Hepatology</w:t>
      </w:r>
      <w:r w:rsidRPr="00E60879">
        <w:rPr>
          <w:rFonts w:ascii="Book Antiqua" w:hAnsi="Book Antiqua" w:cs="宋体"/>
          <w:kern w:val="0"/>
          <w:sz w:val="24"/>
          <w:szCs w:val="24"/>
          <w:lang w:eastAsia="zh-CN"/>
        </w:rPr>
        <w:t xml:space="preserve"> 1992; </w:t>
      </w:r>
      <w:r w:rsidRPr="00E60879">
        <w:rPr>
          <w:rFonts w:ascii="Book Antiqua" w:hAnsi="Book Antiqua" w:cs="宋体"/>
          <w:b/>
          <w:bCs/>
          <w:kern w:val="0"/>
          <w:sz w:val="24"/>
          <w:szCs w:val="24"/>
          <w:lang w:eastAsia="zh-CN"/>
        </w:rPr>
        <w:t>16</w:t>
      </w:r>
      <w:r w:rsidRPr="00E60879">
        <w:rPr>
          <w:rFonts w:ascii="Book Antiqua" w:hAnsi="Book Antiqua" w:cs="宋体"/>
          <w:kern w:val="0"/>
          <w:sz w:val="24"/>
          <w:szCs w:val="24"/>
          <w:lang w:eastAsia="zh-CN"/>
        </w:rPr>
        <w:t>: 1343-1349 [PMID: 1446890 DOI: 10.1002/hep.1840160607]</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 </w:t>
      </w:r>
      <w:r w:rsidRPr="00E60879">
        <w:rPr>
          <w:rFonts w:ascii="Book Antiqua" w:hAnsi="Book Antiqua" w:cs="宋体"/>
          <w:b/>
          <w:bCs/>
          <w:kern w:val="0"/>
          <w:sz w:val="24"/>
          <w:szCs w:val="24"/>
          <w:lang w:eastAsia="zh-CN"/>
        </w:rPr>
        <w:t>Kanagawa H</w:t>
      </w:r>
      <w:r w:rsidRPr="00E60879">
        <w:rPr>
          <w:rFonts w:ascii="Book Antiqua" w:hAnsi="Book Antiqua" w:cs="宋体"/>
          <w:kern w:val="0"/>
          <w:sz w:val="24"/>
          <w:szCs w:val="24"/>
          <w:lang w:eastAsia="zh-CN"/>
        </w:rPr>
        <w:t xml:space="preserve">, Mima S, Kouyama H, Gotoh K, Uchida T, Okuda K. Treatment of gastric fundal varices by balloon-occluded retrograde transvenous obliteration. </w:t>
      </w:r>
      <w:r w:rsidRPr="00E60879">
        <w:rPr>
          <w:rFonts w:ascii="Book Antiqua" w:hAnsi="Book Antiqua" w:cs="宋体"/>
          <w:i/>
          <w:iCs/>
          <w:kern w:val="0"/>
          <w:sz w:val="24"/>
          <w:szCs w:val="24"/>
          <w:lang w:eastAsia="zh-CN"/>
        </w:rPr>
        <w:t>J Gastroenterol Hepatol</w:t>
      </w:r>
      <w:r w:rsidRPr="00E60879">
        <w:rPr>
          <w:rFonts w:ascii="Book Antiqua" w:hAnsi="Book Antiqua" w:cs="宋体"/>
          <w:kern w:val="0"/>
          <w:sz w:val="24"/>
          <w:szCs w:val="24"/>
          <w:lang w:eastAsia="zh-CN"/>
        </w:rPr>
        <w:t xml:space="preserve"> 1996; </w:t>
      </w:r>
      <w:r w:rsidRPr="00E60879">
        <w:rPr>
          <w:rFonts w:ascii="Book Antiqua" w:hAnsi="Book Antiqua" w:cs="宋体"/>
          <w:b/>
          <w:bCs/>
          <w:kern w:val="0"/>
          <w:sz w:val="24"/>
          <w:szCs w:val="24"/>
          <w:lang w:eastAsia="zh-CN"/>
        </w:rPr>
        <w:t>11</w:t>
      </w:r>
      <w:r w:rsidRPr="00E60879">
        <w:rPr>
          <w:rFonts w:ascii="Book Antiqua" w:hAnsi="Book Antiqua" w:cs="宋体"/>
          <w:kern w:val="0"/>
          <w:sz w:val="24"/>
          <w:szCs w:val="24"/>
          <w:lang w:eastAsia="zh-CN"/>
        </w:rPr>
        <w:t>: 51-58 [PMID: 8672742 DOI: 10.1111/j.1440-1746.1996.tb00010.x]</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4 </w:t>
      </w:r>
      <w:r w:rsidRPr="00E60879">
        <w:rPr>
          <w:rFonts w:ascii="Book Antiqua" w:hAnsi="Book Antiqua" w:cs="宋体"/>
          <w:b/>
          <w:bCs/>
          <w:kern w:val="0"/>
          <w:sz w:val="24"/>
          <w:szCs w:val="24"/>
          <w:lang w:eastAsia="zh-CN"/>
        </w:rPr>
        <w:t>Koito K</w:t>
      </w:r>
      <w:r w:rsidRPr="00E60879">
        <w:rPr>
          <w:rFonts w:ascii="Book Antiqua" w:hAnsi="Book Antiqua" w:cs="宋体"/>
          <w:kern w:val="0"/>
          <w:sz w:val="24"/>
          <w:szCs w:val="24"/>
          <w:lang w:eastAsia="zh-CN"/>
        </w:rPr>
        <w:t xml:space="preserve">, Namieno T, Nagakawa T, Morita K. Balloon-occluded retrograde transvenous obliteration for gastric varices with gastrorenal or gastrocaval collaterals. </w:t>
      </w:r>
      <w:r w:rsidRPr="00E60879">
        <w:rPr>
          <w:rFonts w:ascii="Book Antiqua" w:hAnsi="Book Antiqua" w:cs="宋体"/>
          <w:i/>
          <w:iCs/>
          <w:kern w:val="0"/>
          <w:sz w:val="24"/>
          <w:szCs w:val="24"/>
          <w:lang w:eastAsia="zh-CN"/>
        </w:rPr>
        <w:t>AJR Am J Roentgenol</w:t>
      </w:r>
      <w:r w:rsidRPr="00E60879">
        <w:rPr>
          <w:rFonts w:ascii="Book Antiqua" w:hAnsi="Book Antiqua" w:cs="宋体"/>
          <w:kern w:val="0"/>
          <w:sz w:val="24"/>
          <w:szCs w:val="24"/>
          <w:lang w:eastAsia="zh-CN"/>
        </w:rPr>
        <w:t xml:space="preserve"> 1996; </w:t>
      </w:r>
      <w:r w:rsidRPr="00E60879">
        <w:rPr>
          <w:rFonts w:ascii="Book Antiqua" w:hAnsi="Book Antiqua" w:cs="宋体"/>
          <w:b/>
          <w:bCs/>
          <w:kern w:val="0"/>
          <w:sz w:val="24"/>
          <w:szCs w:val="24"/>
          <w:lang w:eastAsia="zh-CN"/>
        </w:rPr>
        <w:t>167</w:t>
      </w:r>
      <w:r w:rsidRPr="00E60879">
        <w:rPr>
          <w:rFonts w:ascii="Book Antiqua" w:hAnsi="Book Antiqua" w:cs="宋体"/>
          <w:kern w:val="0"/>
          <w:sz w:val="24"/>
          <w:szCs w:val="24"/>
          <w:lang w:eastAsia="zh-CN"/>
        </w:rPr>
        <w:t>: 1317-1320 [PMID: 8911204 DOI: 10.2214/ajr.167.5.8911204]</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5 </w:t>
      </w:r>
      <w:r w:rsidRPr="00E60879">
        <w:rPr>
          <w:rFonts w:ascii="Book Antiqua" w:hAnsi="Book Antiqua" w:cs="宋体"/>
          <w:b/>
          <w:bCs/>
          <w:kern w:val="0"/>
          <w:sz w:val="24"/>
          <w:szCs w:val="24"/>
          <w:lang w:eastAsia="zh-CN"/>
        </w:rPr>
        <w:t>Sonomura T</w:t>
      </w:r>
      <w:r w:rsidRPr="00E60879">
        <w:rPr>
          <w:rFonts w:ascii="Book Antiqua" w:hAnsi="Book Antiqua" w:cs="宋体"/>
          <w:kern w:val="0"/>
          <w:sz w:val="24"/>
          <w:szCs w:val="24"/>
          <w:lang w:eastAsia="zh-CN"/>
        </w:rPr>
        <w:t xml:space="preserve">, Sato M, Kishi K, Terada M, Shioyama Y, Kimura M, Suzuki K, Kutsukake Y, Ushimi T, Tanaka J, Hayashi S, Tanaka S. Balloon-occluded retrograde transvenous obliteration for gastric varices: a feasibility study. </w:t>
      </w:r>
      <w:r w:rsidRPr="00E60879">
        <w:rPr>
          <w:rFonts w:ascii="Book Antiqua" w:hAnsi="Book Antiqua" w:cs="宋体"/>
          <w:i/>
          <w:iCs/>
          <w:kern w:val="0"/>
          <w:sz w:val="24"/>
          <w:szCs w:val="24"/>
          <w:lang w:eastAsia="zh-CN"/>
        </w:rPr>
        <w:t>Cardiovasc Intervent Radiol</w:t>
      </w:r>
      <w:r w:rsidRPr="00E60879">
        <w:rPr>
          <w:rFonts w:ascii="Book Antiqua" w:hAnsi="Book Antiqua" w:cs="宋体"/>
          <w:kern w:val="0"/>
          <w:sz w:val="24"/>
          <w:szCs w:val="24"/>
          <w:lang w:eastAsia="zh-CN"/>
        </w:rPr>
        <w:t xml:space="preserve"> </w:t>
      </w:r>
      <w:r>
        <w:rPr>
          <w:rFonts w:ascii="Book Antiqua" w:hAnsi="Book Antiqua" w:cs="宋体"/>
          <w:kern w:val="0"/>
          <w:sz w:val="24"/>
          <w:szCs w:val="24"/>
          <w:lang w:eastAsia="zh-CN"/>
        </w:rPr>
        <w:t>1998</w:t>
      </w:r>
      <w:r w:rsidRPr="00E60879">
        <w:rPr>
          <w:rFonts w:ascii="Book Antiqua" w:hAnsi="Book Antiqua" w:cs="宋体"/>
          <w:kern w:val="0"/>
          <w:sz w:val="24"/>
          <w:szCs w:val="24"/>
          <w:lang w:eastAsia="zh-CN"/>
        </w:rPr>
        <w:t xml:space="preserve">; </w:t>
      </w:r>
      <w:r w:rsidRPr="00E60879">
        <w:rPr>
          <w:rFonts w:ascii="Book Antiqua" w:hAnsi="Book Antiqua" w:cs="宋体"/>
          <w:b/>
          <w:bCs/>
          <w:kern w:val="0"/>
          <w:sz w:val="24"/>
          <w:szCs w:val="24"/>
          <w:lang w:eastAsia="zh-CN"/>
        </w:rPr>
        <w:t>21</w:t>
      </w:r>
      <w:r w:rsidRPr="00E60879">
        <w:rPr>
          <w:rFonts w:ascii="Book Antiqua" w:hAnsi="Book Antiqua" w:cs="宋体"/>
          <w:kern w:val="0"/>
          <w:sz w:val="24"/>
          <w:szCs w:val="24"/>
          <w:lang w:eastAsia="zh-CN"/>
        </w:rPr>
        <w:t>: 27-30 [PMID: 9473542]</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6 </w:t>
      </w:r>
      <w:r w:rsidRPr="00E60879">
        <w:rPr>
          <w:rFonts w:ascii="Book Antiqua" w:hAnsi="Book Antiqua" w:cs="宋体"/>
          <w:b/>
          <w:bCs/>
          <w:kern w:val="0"/>
          <w:sz w:val="24"/>
          <w:szCs w:val="24"/>
          <w:lang w:eastAsia="zh-CN"/>
        </w:rPr>
        <w:t>Hirota S</w:t>
      </w:r>
      <w:r w:rsidRPr="00E60879">
        <w:rPr>
          <w:rFonts w:ascii="Book Antiqua" w:hAnsi="Book Antiqua" w:cs="宋体"/>
          <w:kern w:val="0"/>
          <w:sz w:val="24"/>
          <w:szCs w:val="24"/>
          <w:lang w:eastAsia="zh-CN"/>
        </w:rPr>
        <w:t xml:space="preserve">, Matsumoto S, Tomita M, Sako M, Kono M. Retrograde transvenous obliteration of gastric varices. </w:t>
      </w:r>
      <w:r w:rsidRPr="00E60879">
        <w:rPr>
          <w:rFonts w:ascii="Book Antiqua" w:hAnsi="Book Antiqua" w:cs="宋体"/>
          <w:i/>
          <w:iCs/>
          <w:kern w:val="0"/>
          <w:sz w:val="24"/>
          <w:szCs w:val="24"/>
          <w:lang w:eastAsia="zh-CN"/>
        </w:rPr>
        <w:t>Radiology</w:t>
      </w:r>
      <w:r w:rsidRPr="00E60879">
        <w:rPr>
          <w:rFonts w:ascii="Book Antiqua" w:hAnsi="Book Antiqua" w:cs="宋体"/>
          <w:kern w:val="0"/>
          <w:sz w:val="24"/>
          <w:szCs w:val="24"/>
          <w:lang w:eastAsia="zh-CN"/>
        </w:rPr>
        <w:t xml:space="preserve"> 1999; </w:t>
      </w:r>
      <w:r w:rsidRPr="00E60879">
        <w:rPr>
          <w:rFonts w:ascii="Book Antiqua" w:hAnsi="Book Antiqua" w:cs="宋体"/>
          <w:b/>
          <w:bCs/>
          <w:kern w:val="0"/>
          <w:sz w:val="24"/>
          <w:szCs w:val="24"/>
          <w:lang w:eastAsia="zh-CN"/>
        </w:rPr>
        <w:t>211</w:t>
      </w:r>
      <w:r w:rsidRPr="00E60879">
        <w:rPr>
          <w:rFonts w:ascii="Book Antiqua" w:hAnsi="Book Antiqua" w:cs="宋体"/>
          <w:kern w:val="0"/>
          <w:sz w:val="24"/>
          <w:szCs w:val="24"/>
          <w:lang w:eastAsia="zh-CN"/>
        </w:rPr>
        <w:t>: 349-356 [PMID: 10228513]</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7 </w:t>
      </w:r>
      <w:r w:rsidRPr="00E60879">
        <w:rPr>
          <w:rFonts w:ascii="Book Antiqua" w:hAnsi="Book Antiqua" w:cs="宋体"/>
          <w:b/>
          <w:bCs/>
          <w:kern w:val="0"/>
          <w:sz w:val="24"/>
          <w:szCs w:val="24"/>
          <w:lang w:eastAsia="zh-CN"/>
        </w:rPr>
        <w:t>Sonomura T</w:t>
      </w:r>
      <w:r w:rsidRPr="00E60879">
        <w:rPr>
          <w:rFonts w:ascii="Book Antiqua" w:hAnsi="Book Antiqua" w:cs="宋体"/>
          <w:kern w:val="0"/>
          <w:sz w:val="24"/>
          <w:szCs w:val="24"/>
          <w:lang w:eastAsia="zh-CN"/>
        </w:rPr>
        <w:t xml:space="preserve">, Ono W, Sato M, Sahara S, Nakata K, Sanda H, Kawai N, Minamiguchi H, Nakai M, Kishi K. Three benefits of microcatheters for retrograde transvenous obliteration of gastric varices. </w:t>
      </w:r>
      <w:r w:rsidRPr="00E60879">
        <w:rPr>
          <w:rFonts w:ascii="Book Antiqua" w:hAnsi="Book Antiqua" w:cs="宋体"/>
          <w:i/>
          <w:iCs/>
          <w:kern w:val="0"/>
          <w:sz w:val="24"/>
          <w:szCs w:val="24"/>
          <w:lang w:eastAsia="zh-CN"/>
        </w:rPr>
        <w:t>World J Gastroenterol</w:t>
      </w:r>
      <w:r w:rsidRPr="00E60879">
        <w:rPr>
          <w:rFonts w:ascii="Book Antiqua" w:hAnsi="Book Antiqua" w:cs="宋体"/>
          <w:kern w:val="0"/>
          <w:sz w:val="24"/>
          <w:szCs w:val="24"/>
          <w:lang w:eastAsia="zh-CN"/>
        </w:rPr>
        <w:t xml:space="preserve"> 2012; </w:t>
      </w:r>
      <w:r w:rsidRPr="00E60879">
        <w:rPr>
          <w:rFonts w:ascii="Book Antiqua" w:hAnsi="Book Antiqua" w:cs="宋体"/>
          <w:b/>
          <w:bCs/>
          <w:kern w:val="0"/>
          <w:sz w:val="24"/>
          <w:szCs w:val="24"/>
          <w:lang w:eastAsia="zh-CN"/>
        </w:rPr>
        <w:t>18</w:t>
      </w:r>
      <w:r w:rsidRPr="00E60879">
        <w:rPr>
          <w:rFonts w:ascii="Book Antiqua" w:hAnsi="Book Antiqua" w:cs="宋体"/>
          <w:kern w:val="0"/>
          <w:sz w:val="24"/>
          <w:szCs w:val="24"/>
          <w:lang w:eastAsia="zh-CN"/>
        </w:rPr>
        <w:t>: 1373-1378 [PMID: 22493551 DOI: 10.3748/wjg.v18.i12.1373]</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8 </w:t>
      </w:r>
      <w:r w:rsidRPr="00E60879">
        <w:rPr>
          <w:rFonts w:ascii="Book Antiqua" w:hAnsi="Book Antiqua" w:cs="宋体"/>
          <w:b/>
          <w:bCs/>
          <w:kern w:val="0"/>
          <w:sz w:val="24"/>
          <w:szCs w:val="24"/>
          <w:lang w:eastAsia="zh-CN"/>
        </w:rPr>
        <w:t>Kitamoto M</w:t>
      </w:r>
      <w:r w:rsidRPr="00E60879">
        <w:rPr>
          <w:rFonts w:ascii="Book Antiqua" w:hAnsi="Book Antiqua" w:cs="宋体"/>
          <w:kern w:val="0"/>
          <w:sz w:val="24"/>
          <w:szCs w:val="24"/>
          <w:lang w:eastAsia="zh-CN"/>
        </w:rPr>
        <w:t xml:space="preserve">, Imamura M, Kamada K, Aikata H, Kawakami Y, Matsumoto A, Kurihara Y, Kono H, Shirakawa H, Nakanishi T, Ito K, Chayama K. Balloon-occluded retrograde transvenous obliteration of gastric fundal varices with hemorrhage. </w:t>
      </w:r>
      <w:r w:rsidRPr="00E60879">
        <w:rPr>
          <w:rFonts w:ascii="Book Antiqua" w:hAnsi="Book Antiqua" w:cs="宋体"/>
          <w:i/>
          <w:iCs/>
          <w:kern w:val="0"/>
          <w:sz w:val="24"/>
          <w:szCs w:val="24"/>
          <w:lang w:eastAsia="zh-CN"/>
        </w:rPr>
        <w:t>AJR Am J Roentgenol</w:t>
      </w:r>
      <w:r w:rsidRPr="00E60879">
        <w:rPr>
          <w:rFonts w:ascii="Book Antiqua" w:hAnsi="Book Antiqua" w:cs="宋体"/>
          <w:kern w:val="0"/>
          <w:sz w:val="24"/>
          <w:szCs w:val="24"/>
          <w:lang w:eastAsia="zh-CN"/>
        </w:rPr>
        <w:t xml:space="preserve"> 2002; </w:t>
      </w:r>
      <w:r w:rsidRPr="00E60879">
        <w:rPr>
          <w:rFonts w:ascii="Book Antiqua" w:hAnsi="Book Antiqua" w:cs="宋体"/>
          <w:b/>
          <w:bCs/>
          <w:kern w:val="0"/>
          <w:sz w:val="24"/>
          <w:szCs w:val="24"/>
          <w:lang w:eastAsia="zh-CN"/>
        </w:rPr>
        <w:t>178</w:t>
      </w:r>
      <w:r w:rsidRPr="00E60879">
        <w:rPr>
          <w:rFonts w:ascii="Book Antiqua" w:hAnsi="Book Antiqua" w:cs="宋体"/>
          <w:kern w:val="0"/>
          <w:sz w:val="24"/>
          <w:szCs w:val="24"/>
          <w:lang w:eastAsia="zh-CN"/>
        </w:rPr>
        <w:t>: 1167-1174 [PMID: 11959725 DOI: 10.2214/ajr.178.5.1781167]</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9 </w:t>
      </w:r>
      <w:r w:rsidRPr="00E60879">
        <w:rPr>
          <w:rFonts w:ascii="Book Antiqua" w:hAnsi="Book Antiqua" w:cs="宋体"/>
          <w:b/>
          <w:bCs/>
          <w:kern w:val="0"/>
          <w:sz w:val="24"/>
          <w:szCs w:val="24"/>
          <w:lang w:eastAsia="zh-CN"/>
        </w:rPr>
        <w:t>Arai H</w:t>
      </w:r>
      <w:r w:rsidRPr="00E60879">
        <w:rPr>
          <w:rFonts w:ascii="Book Antiqua" w:hAnsi="Book Antiqua" w:cs="宋体"/>
          <w:kern w:val="0"/>
          <w:sz w:val="24"/>
          <w:szCs w:val="24"/>
          <w:lang w:eastAsia="zh-CN"/>
        </w:rPr>
        <w:t xml:space="preserve">, Abe T, Shimoda R, Takagi H, Yamada T, Mori M. Emergency balloon-occluded retrograde transvenous obliteration for gastric varices. </w:t>
      </w:r>
      <w:r w:rsidRPr="00E60879">
        <w:rPr>
          <w:rFonts w:ascii="Book Antiqua" w:hAnsi="Book Antiqua" w:cs="宋体"/>
          <w:i/>
          <w:iCs/>
          <w:kern w:val="0"/>
          <w:sz w:val="24"/>
          <w:szCs w:val="24"/>
          <w:lang w:eastAsia="zh-CN"/>
        </w:rPr>
        <w:t>J Gastroenterol</w:t>
      </w:r>
      <w:r w:rsidRPr="00E60879">
        <w:rPr>
          <w:rFonts w:ascii="Book Antiqua" w:hAnsi="Book Antiqua" w:cs="宋体"/>
          <w:kern w:val="0"/>
          <w:sz w:val="24"/>
          <w:szCs w:val="24"/>
          <w:lang w:eastAsia="zh-CN"/>
        </w:rPr>
        <w:t xml:space="preserve"> 2005; </w:t>
      </w:r>
      <w:r w:rsidRPr="00E60879">
        <w:rPr>
          <w:rFonts w:ascii="Book Antiqua" w:hAnsi="Book Antiqua" w:cs="宋体"/>
          <w:b/>
          <w:bCs/>
          <w:kern w:val="0"/>
          <w:sz w:val="24"/>
          <w:szCs w:val="24"/>
          <w:lang w:eastAsia="zh-CN"/>
        </w:rPr>
        <w:t>40</w:t>
      </w:r>
      <w:r w:rsidRPr="00E60879">
        <w:rPr>
          <w:rFonts w:ascii="Book Antiqua" w:hAnsi="Book Antiqua" w:cs="宋体"/>
          <w:kern w:val="0"/>
          <w:sz w:val="24"/>
          <w:szCs w:val="24"/>
          <w:lang w:eastAsia="zh-CN"/>
        </w:rPr>
        <w:t>: 964-971 [PMID: 16261433 DOI: 10.1007/s00535-005-1654-4]</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lastRenderedPageBreak/>
        <w:t xml:space="preserve">10 </w:t>
      </w:r>
      <w:r w:rsidRPr="00E60879">
        <w:rPr>
          <w:rFonts w:ascii="Book Antiqua" w:hAnsi="Book Antiqua" w:cs="宋体"/>
          <w:b/>
          <w:bCs/>
          <w:kern w:val="0"/>
          <w:sz w:val="24"/>
          <w:szCs w:val="24"/>
          <w:lang w:eastAsia="zh-CN"/>
        </w:rPr>
        <w:t>Hashizume M</w:t>
      </w:r>
      <w:r w:rsidRPr="00E60879">
        <w:rPr>
          <w:rFonts w:ascii="Book Antiqua" w:hAnsi="Book Antiqua" w:cs="宋体"/>
          <w:kern w:val="0"/>
          <w:sz w:val="24"/>
          <w:szCs w:val="24"/>
          <w:lang w:eastAsia="zh-CN"/>
        </w:rPr>
        <w:t xml:space="preserve">, Kitano S, Yamaga H, Sugimachi K. Haptoglobin to protect against renal damage from ethanolamine oleate sclerosant. </w:t>
      </w:r>
      <w:r w:rsidRPr="00E60879">
        <w:rPr>
          <w:rFonts w:ascii="Book Antiqua" w:hAnsi="Book Antiqua" w:cs="宋体"/>
          <w:i/>
          <w:iCs/>
          <w:kern w:val="0"/>
          <w:sz w:val="24"/>
          <w:szCs w:val="24"/>
          <w:lang w:eastAsia="zh-CN"/>
        </w:rPr>
        <w:t>Lancet</w:t>
      </w:r>
      <w:r w:rsidRPr="00E60879">
        <w:rPr>
          <w:rFonts w:ascii="Book Antiqua" w:hAnsi="Book Antiqua" w:cs="宋体"/>
          <w:kern w:val="0"/>
          <w:sz w:val="24"/>
          <w:szCs w:val="24"/>
          <w:lang w:eastAsia="zh-CN"/>
        </w:rPr>
        <w:t xml:space="preserve"> 1988; </w:t>
      </w:r>
      <w:r w:rsidRPr="00E60879">
        <w:rPr>
          <w:rFonts w:ascii="Book Antiqua" w:hAnsi="Book Antiqua" w:cs="宋体"/>
          <w:b/>
          <w:bCs/>
          <w:kern w:val="0"/>
          <w:sz w:val="24"/>
          <w:szCs w:val="24"/>
          <w:lang w:eastAsia="zh-CN"/>
        </w:rPr>
        <w:t>2</w:t>
      </w:r>
      <w:r w:rsidRPr="00E60879">
        <w:rPr>
          <w:rFonts w:ascii="Book Antiqua" w:hAnsi="Book Antiqua" w:cs="宋体"/>
          <w:kern w:val="0"/>
          <w:sz w:val="24"/>
          <w:szCs w:val="24"/>
          <w:lang w:eastAsia="zh-CN"/>
        </w:rPr>
        <w:t>: 340-341 [PMID: 2899760 DOI: 10.1016/S0140-6736(88)92400-2]</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11 </w:t>
      </w:r>
      <w:r w:rsidRPr="00E60879">
        <w:rPr>
          <w:rFonts w:ascii="Book Antiqua" w:hAnsi="Book Antiqua" w:cs="宋体"/>
          <w:b/>
          <w:bCs/>
          <w:kern w:val="0"/>
          <w:sz w:val="24"/>
          <w:szCs w:val="24"/>
          <w:lang w:eastAsia="zh-CN"/>
        </w:rPr>
        <w:t>Miyoshi H</w:t>
      </w:r>
      <w:r w:rsidRPr="00E60879">
        <w:rPr>
          <w:rFonts w:ascii="Book Antiqua" w:hAnsi="Book Antiqua" w:cs="宋体"/>
          <w:kern w:val="0"/>
          <w:sz w:val="24"/>
          <w:szCs w:val="24"/>
          <w:lang w:eastAsia="zh-CN"/>
        </w:rPr>
        <w:t xml:space="preserve">, Ohshiba S, Matsumoto A, Takada K, Umegaki E, Hirata I. Haptoglobin prevents renal dysfunction associated with intravariceal infusion of ethanolamine oleate. </w:t>
      </w:r>
      <w:r w:rsidRPr="00E60879">
        <w:rPr>
          <w:rFonts w:ascii="Book Antiqua" w:hAnsi="Book Antiqua" w:cs="宋体"/>
          <w:i/>
          <w:iCs/>
          <w:kern w:val="0"/>
          <w:sz w:val="24"/>
          <w:szCs w:val="24"/>
          <w:lang w:eastAsia="zh-CN"/>
        </w:rPr>
        <w:t>Am J Gastroenterol</w:t>
      </w:r>
      <w:r w:rsidRPr="00E60879">
        <w:rPr>
          <w:rFonts w:ascii="Book Antiqua" w:hAnsi="Book Antiqua" w:cs="宋体"/>
          <w:kern w:val="0"/>
          <w:sz w:val="24"/>
          <w:szCs w:val="24"/>
          <w:lang w:eastAsia="zh-CN"/>
        </w:rPr>
        <w:t xml:space="preserve"> 1991; </w:t>
      </w:r>
      <w:r w:rsidRPr="00E60879">
        <w:rPr>
          <w:rFonts w:ascii="Book Antiqua" w:hAnsi="Book Antiqua" w:cs="宋体"/>
          <w:b/>
          <w:bCs/>
          <w:kern w:val="0"/>
          <w:sz w:val="24"/>
          <w:szCs w:val="24"/>
          <w:lang w:eastAsia="zh-CN"/>
        </w:rPr>
        <w:t>86</w:t>
      </w:r>
      <w:r w:rsidRPr="00E60879">
        <w:rPr>
          <w:rFonts w:ascii="Book Antiqua" w:hAnsi="Book Antiqua" w:cs="宋体"/>
          <w:kern w:val="0"/>
          <w:sz w:val="24"/>
          <w:szCs w:val="24"/>
          <w:lang w:eastAsia="zh-CN"/>
        </w:rPr>
        <w:t>: 1638-1641 [PMID: 1951242]</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12 </w:t>
      </w:r>
      <w:r w:rsidRPr="00E60879">
        <w:rPr>
          <w:rFonts w:ascii="Book Antiqua" w:hAnsi="Book Antiqua" w:cs="宋体"/>
          <w:b/>
          <w:bCs/>
          <w:kern w:val="0"/>
          <w:sz w:val="24"/>
          <w:szCs w:val="24"/>
          <w:lang w:eastAsia="zh-CN"/>
        </w:rPr>
        <w:t>Choi YS</w:t>
      </w:r>
      <w:r w:rsidRPr="00E60879">
        <w:rPr>
          <w:rFonts w:ascii="Book Antiqua" w:hAnsi="Book Antiqua" w:cs="宋体"/>
          <w:kern w:val="0"/>
          <w:sz w:val="24"/>
          <w:szCs w:val="24"/>
          <w:lang w:eastAsia="zh-CN"/>
        </w:rPr>
        <w:t xml:space="preserve">, Lee JH, Sinn DH, Song YB, Gwak GY, Choi MS, Koh KC, Paik SW, Yoo BC. Effect of balloon-occluded retrograde transvenous obliteration on the natural history of coexisting esophageal varices. </w:t>
      </w:r>
      <w:r w:rsidRPr="00E60879">
        <w:rPr>
          <w:rFonts w:ascii="Book Antiqua" w:hAnsi="Book Antiqua" w:cs="宋体"/>
          <w:i/>
          <w:iCs/>
          <w:kern w:val="0"/>
          <w:sz w:val="24"/>
          <w:szCs w:val="24"/>
          <w:lang w:eastAsia="zh-CN"/>
        </w:rPr>
        <w:t>J Clin Gastroenterol</w:t>
      </w:r>
      <w:r w:rsidRPr="00E60879">
        <w:rPr>
          <w:rFonts w:ascii="Book Antiqua" w:hAnsi="Book Antiqua" w:cs="宋体"/>
          <w:kern w:val="0"/>
          <w:sz w:val="24"/>
          <w:szCs w:val="24"/>
          <w:lang w:eastAsia="zh-CN"/>
        </w:rPr>
        <w:t xml:space="preserve"> 2008; </w:t>
      </w:r>
      <w:r w:rsidRPr="00E60879">
        <w:rPr>
          <w:rFonts w:ascii="Book Antiqua" w:hAnsi="Book Antiqua" w:cs="宋体"/>
          <w:b/>
          <w:bCs/>
          <w:kern w:val="0"/>
          <w:sz w:val="24"/>
          <w:szCs w:val="24"/>
          <w:lang w:eastAsia="zh-CN"/>
        </w:rPr>
        <w:t>42</w:t>
      </w:r>
      <w:r w:rsidRPr="00E60879">
        <w:rPr>
          <w:rFonts w:ascii="Book Antiqua" w:hAnsi="Book Antiqua" w:cs="宋体"/>
          <w:kern w:val="0"/>
          <w:sz w:val="24"/>
          <w:szCs w:val="24"/>
          <w:lang w:eastAsia="zh-CN"/>
        </w:rPr>
        <w:t>: 974-979 [PMID: 18528292 DOI: 10.1097/MCG.0b013e318126c154]</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13 </w:t>
      </w:r>
      <w:r w:rsidRPr="00E60879">
        <w:rPr>
          <w:rFonts w:ascii="Book Antiqua" w:hAnsi="Book Antiqua" w:cs="宋体"/>
          <w:b/>
          <w:bCs/>
          <w:kern w:val="0"/>
          <w:sz w:val="24"/>
          <w:szCs w:val="24"/>
          <w:lang w:eastAsia="zh-CN"/>
        </w:rPr>
        <w:t>Tanihata H</w:t>
      </w:r>
      <w:r w:rsidRPr="00E60879">
        <w:rPr>
          <w:rFonts w:ascii="Book Antiqua" w:hAnsi="Book Antiqua" w:cs="宋体"/>
          <w:kern w:val="0"/>
          <w:sz w:val="24"/>
          <w:szCs w:val="24"/>
          <w:lang w:eastAsia="zh-CN"/>
        </w:rPr>
        <w:t xml:space="preserve">, Minamiguchi H, Sato M, Kawai N, Sonomura T, Takasaka I, Nakai M, Sahara S, Nakata K, Shirai S. Changes in portal systemic pressure gradient after balloon-occluded retrograde transvenous obliteration of gastric varices and aggravation of esophageal varices. </w:t>
      </w:r>
      <w:r w:rsidRPr="00E60879">
        <w:rPr>
          <w:rFonts w:ascii="Book Antiqua" w:hAnsi="Book Antiqua" w:cs="宋体"/>
          <w:i/>
          <w:iCs/>
          <w:kern w:val="0"/>
          <w:sz w:val="24"/>
          <w:szCs w:val="24"/>
          <w:lang w:eastAsia="zh-CN"/>
        </w:rPr>
        <w:t>Cardiovasc Intervent Radiol</w:t>
      </w:r>
      <w:r w:rsidRPr="00E60879">
        <w:rPr>
          <w:rFonts w:ascii="Book Antiqua" w:hAnsi="Book Antiqua" w:cs="宋体"/>
          <w:kern w:val="0"/>
          <w:sz w:val="24"/>
          <w:szCs w:val="24"/>
          <w:lang w:eastAsia="zh-CN"/>
        </w:rPr>
        <w:t xml:space="preserve"> 2009; </w:t>
      </w:r>
      <w:r w:rsidRPr="00E60879">
        <w:rPr>
          <w:rFonts w:ascii="Book Antiqua" w:hAnsi="Book Antiqua" w:cs="宋体"/>
          <w:b/>
          <w:bCs/>
          <w:kern w:val="0"/>
          <w:sz w:val="24"/>
          <w:szCs w:val="24"/>
          <w:lang w:eastAsia="zh-CN"/>
        </w:rPr>
        <w:t>32</w:t>
      </w:r>
      <w:r w:rsidRPr="00E60879">
        <w:rPr>
          <w:rFonts w:ascii="Book Antiqua" w:hAnsi="Book Antiqua" w:cs="宋体"/>
          <w:kern w:val="0"/>
          <w:sz w:val="24"/>
          <w:szCs w:val="24"/>
          <w:lang w:eastAsia="zh-CN"/>
        </w:rPr>
        <w:t>: 1209-1216 [PMID: 19688368 DOI: 10.1007/s00270-009-9679-3]</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14 </w:t>
      </w:r>
      <w:r w:rsidRPr="00E60879">
        <w:rPr>
          <w:rFonts w:ascii="Book Antiqua" w:hAnsi="Book Antiqua" w:cs="宋体"/>
          <w:b/>
          <w:bCs/>
          <w:kern w:val="0"/>
          <w:sz w:val="24"/>
          <w:szCs w:val="24"/>
          <w:lang w:eastAsia="zh-CN"/>
        </w:rPr>
        <w:t>Elsamman MK</w:t>
      </w:r>
      <w:r w:rsidRPr="00E60879">
        <w:rPr>
          <w:rFonts w:ascii="Book Antiqua" w:hAnsi="Book Antiqua" w:cs="宋体"/>
          <w:kern w:val="0"/>
          <w:sz w:val="24"/>
          <w:szCs w:val="24"/>
          <w:lang w:eastAsia="zh-CN"/>
        </w:rPr>
        <w:t xml:space="preserve">, Fujiwara Y, Kameda N, Okazaki H, Tanigawa T, Shiba M, Tominaga K, Watanabe T, Oshitani N, Arafa UA, El-Sayed AA, Nakamura K, Arakawa T. Predictive factors of worsening of esophageal varices after balloon-occluded retrograde transvenous obliteration in patients with gastric varices. </w:t>
      </w:r>
      <w:r w:rsidRPr="00E60879">
        <w:rPr>
          <w:rFonts w:ascii="Book Antiqua" w:hAnsi="Book Antiqua" w:cs="宋体"/>
          <w:i/>
          <w:iCs/>
          <w:kern w:val="0"/>
          <w:sz w:val="24"/>
          <w:szCs w:val="24"/>
          <w:lang w:eastAsia="zh-CN"/>
        </w:rPr>
        <w:t>Am J Gastroenterol</w:t>
      </w:r>
      <w:r w:rsidRPr="00E60879">
        <w:rPr>
          <w:rFonts w:ascii="Book Antiqua" w:hAnsi="Book Antiqua" w:cs="宋体"/>
          <w:kern w:val="0"/>
          <w:sz w:val="24"/>
          <w:szCs w:val="24"/>
          <w:lang w:eastAsia="zh-CN"/>
        </w:rPr>
        <w:t xml:space="preserve"> 2009; </w:t>
      </w:r>
      <w:r w:rsidRPr="00E60879">
        <w:rPr>
          <w:rFonts w:ascii="Book Antiqua" w:hAnsi="Book Antiqua" w:cs="宋体"/>
          <w:b/>
          <w:bCs/>
          <w:kern w:val="0"/>
          <w:sz w:val="24"/>
          <w:szCs w:val="24"/>
          <w:lang w:eastAsia="zh-CN"/>
        </w:rPr>
        <w:t>104</w:t>
      </w:r>
      <w:r w:rsidRPr="00E60879">
        <w:rPr>
          <w:rFonts w:ascii="Book Antiqua" w:hAnsi="Book Antiqua" w:cs="宋体"/>
          <w:kern w:val="0"/>
          <w:sz w:val="24"/>
          <w:szCs w:val="24"/>
          <w:lang w:eastAsia="zh-CN"/>
        </w:rPr>
        <w:t>: 2214-2221 [PMID: 19319121 DOI: 10.1038/ajg.2008.140]</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15 </w:t>
      </w:r>
      <w:r w:rsidRPr="00E60879">
        <w:rPr>
          <w:rFonts w:ascii="Book Antiqua" w:hAnsi="Book Antiqua" w:cs="宋体"/>
          <w:b/>
          <w:bCs/>
          <w:kern w:val="0"/>
          <w:sz w:val="24"/>
          <w:szCs w:val="24"/>
          <w:lang w:eastAsia="zh-CN"/>
        </w:rPr>
        <w:t>Idezuki Y</w:t>
      </w:r>
      <w:r w:rsidRPr="00E60879">
        <w:rPr>
          <w:rFonts w:ascii="Book Antiqua" w:hAnsi="Book Antiqua" w:cs="宋体"/>
          <w:kern w:val="0"/>
          <w:sz w:val="24"/>
          <w:szCs w:val="24"/>
          <w:lang w:eastAsia="zh-CN"/>
        </w:rPr>
        <w:t xml:space="preserve">. General rules for recording endoscopic findings of esophagogastric varices (1991). Japanese Society for Portal Hypertension. </w:t>
      </w:r>
      <w:r w:rsidRPr="00E60879">
        <w:rPr>
          <w:rFonts w:ascii="Book Antiqua" w:hAnsi="Book Antiqua" w:cs="宋体"/>
          <w:i/>
          <w:iCs/>
          <w:kern w:val="0"/>
          <w:sz w:val="24"/>
          <w:szCs w:val="24"/>
          <w:lang w:eastAsia="zh-CN"/>
        </w:rPr>
        <w:t>World J Surg</w:t>
      </w:r>
      <w:r w:rsidRPr="00E60879">
        <w:rPr>
          <w:rFonts w:ascii="Book Antiqua" w:hAnsi="Book Antiqua" w:cs="宋体"/>
          <w:kern w:val="0"/>
          <w:sz w:val="24"/>
          <w:szCs w:val="24"/>
          <w:lang w:eastAsia="zh-CN"/>
        </w:rPr>
        <w:t xml:space="preserve"> </w:t>
      </w:r>
      <w:r>
        <w:rPr>
          <w:rFonts w:ascii="Book Antiqua" w:hAnsi="Book Antiqua" w:cs="宋体"/>
          <w:kern w:val="0"/>
          <w:sz w:val="24"/>
          <w:szCs w:val="24"/>
          <w:lang w:eastAsia="zh-CN"/>
        </w:rPr>
        <w:t>1995</w:t>
      </w:r>
      <w:r w:rsidRPr="00E60879">
        <w:rPr>
          <w:rFonts w:ascii="Book Antiqua" w:hAnsi="Book Antiqua" w:cs="宋体"/>
          <w:kern w:val="0"/>
          <w:sz w:val="24"/>
          <w:szCs w:val="24"/>
          <w:lang w:eastAsia="zh-CN"/>
        </w:rPr>
        <w:t xml:space="preserve">; </w:t>
      </w:r>
      <w:r w:rsidRPr="00E60879">
        <w:rPr>
          <w:rFonts w:ascii="Book Antiqua" w:hAnsi="Book Antiqua" w:cs="宋体"/>
          <w:b/>
          <w:bCs/>
          <w:kern w:val="0"/>
          <w:sz w:val="24"/>
          <w:szCs w:val="24"/>
          <w:lang w:eastAsia="zh-CN"/>
        </w:rPr>
        <w:t>19</w:t>
      </w:r>
      <w:r w:rsidRPr="00E60879">
        <w:rPr>
          <w:rFonts w:ascii="Book Antiqua" w:hAnsi="Book Antiqua" w:cs="宋体"/>
          <w:kern w:val="0"/>
          <w:sz w:val="24"/>
          <w:szCs w:val="24"/>
          <w:lang w:eastAsia="zh-CN"/>
        </w:rPr>
        <w:t>: 420-42; discussion 423 [PMID: 7638999 DOI: 10.1007/BF00299178]</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16 </w:t>
      </w:r>
      <w:r w:rsidRPr="00E60879">
        <w:rPr>
          <w:rFonts w:ascii="Book Antiqua" w:hAnsi="Book Antiqua" w:cs="宋体"/>
          <w:b/>
          <w:bCs/>
          <w:kern w:val="0"/>
          <w:sz w:val="24"/>
          <w:szCs w:val="24"/>
          <w:lang w:eastAsia="zh-CN"/>
        </w:rPr>
        <w:t>Shimoda R</w:t>
      </w:r>
      <w:r w:rsidRPr="00E60879">
        <w:rPr>
          <w:rFonts w:ascii="Book Antiqua" w:hAnsi="Book Antiqua" w:cs="宋体"/>
          <w:kern w:val="0"/>
          <w:sz w:val="24"/>
          <w:szCs w:val="24"/>
          <w:lang w:eastAsia="zh-CN"/>
        </w:rPr>
        <w:t xml:space="preserve">, Horiuchi K, Hagiwara S, Suzuki H, Yamazaki Y, Kosone T, Ichikawa T, Arai H, Yamada T, Abe T, Takagi H, Mori M. Short-term complications of retrograde transvenous obliteration of gastric varices in patients with portal hypertension: effects of obliteration of major portosystemic shunts. </w:t>
      </w:r>
      <w:r w:rsidRPr="00E60879">
        <w:rPr>
          <w:rFonts w:ascii="Book Antiqua" w:hAnsi="Book Antiqua" w:cs="宋体"/>
          <w:i/>
          <w:iCs/>
          <w:kern w:val="0"/>
          <w:sz w:val="24"/>
          <w:szCs w:val="24"/>
          <w:lang w:eastAsia="zh-CN"/>
        </w:rPr>
        <w:t>Abdom Imaging</w:t>
      </w:r>
      <w:r w:rsidRPr="00E60879">
        <w:rPr>
          <w:rFonts w:ascii="Book Antiqua" w:hAnsi="Book Antiqua" w:cs="宋体"/>
          <w:kern w:val="0"/>
          <w:sz w:val="24"/>
          <w:szCs w:val="24"/>
          <w:lang w:eastAsia="zh-CN"/>
        </w:rPr>
        <w:t xml:space="preserve"> </w:t>
      </w:r>
      <w:r>
        <w:rPr>
          <w:rFonts w:ascii="Book Antiqua" w:hAnsi="Book Antiqua" w:cs="宋体"/>
          <w:kern w:val="0"/>
          <w:sz w:val="24"/>
          <w:szCs w:val="24"/>
          <w:lang w:eastAsia="zh-CN"/>
        </w:rPr>
        <w:t>2005</w:t>
      </w:r>
      <w:r w:rsidRPr="00E60879">
        <w:rPr>
          <w:rFonts w:ascii="Book Antiqua" w:hAnsi="Book Antiqua" w:cs="宋体"/>
          <w:kern w:val="0"/>
          <w:sz w:val="24"/>
          <w:szCs w:val="24"/>
          <w:lang w:eastAsia="zh-CN"/>
        </w:rPr>
        <w:t xml:space="preserve">; </w:t>
      </w:r>
      <w:r w:rsidRPr="00E60879">
        <w:rPr>
          <w:rFonts w:ascii="Book Antiqua" w:hAnsi="Book Antiqua" w:cs="宋体"/>
          <w:b/>
          <w:bCs/>
          <w:kern w:val="0"/>
          <w:sz w:val="24"/>
          <w:szCs w:val="24"/>
          <w:lang w:eastAsia="zh-CN"/>
        </w:rPr>
        <w:t>30</w:t>
      </w:r>
      <w:r w:rsidRPr="00E60879">
        <w:rPr>
          <w:rFonts w:ascii="Book Antiqua" w:hAnsi="Book Antiqua" w:cs="宋体"/>
          <w:kern w:val="0"/>
          <w:sz w:val="24"/>
          <w:szCs w:val="24"/>
          <w:lang w:eastAsia="zh-CN"/>
        </w:rPr>
        <w:t>: 306-313 [PMID: 15688111 DOI: 10.1007/s00261-004-0270-8]</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17 </w:t>
      </w:r>
      <w:r w:rsidRPr="00E60879">
        <w:rPr>
          <w:rFonts w:ascii="Book Antiqua" w:hAnsi="Book Antiqua" w:cs="宋体"/>
          <w:b/>
          <w:bCs/>
          <w:kern w:val="0"/>
          <w:sz w:val="24"/>
          <w:szCs w:val="24"/>
          <w:lang w:eastAsia="zh-CN"/>
        </w:rPr>
        <w:t>Kim T</w:t>
      </w:r>
      <w:r w:rsidRPr="00E60879">
        <w:rPr>
          <w:rFonts w:ascii="Book Antiqua" w:hAnsi="Book Antiqua" w:cs="宋体"/>
          <w:kern w:val="0"/>
          <w:sz w:val="24"/>
          <w:szCs w:val="24"/>
          <w:lang w:eastAsia="zh-CN"/>
        </w:rPr>
        <w:t xml:space="preserve">, Shijo H, Kokawa H, Tokumitsu H, Kubara K, Ota K, Akiyoshi N, Iida T, Yokoyama M, Okumura M. Risk factors for hemorrhage from gastric fundal varices. </w:t>
      </w:r>
      <w:r w:rsidRPr="00E60879">
        <w:rPr>
          <w:rFonts w:ascii="Book Antiqua" w:hAnsi="Book Antiqua" w:cs="宋体"/>
          <w:i/>
          <w:iCs/>
          <w:kern w:val="0"/>
          <w:sz w:val="24"/>
          <w:szCs w:val="24"/>
          <w:lang w:eastAsia="zh-CN"/>
        </w:rPr>
        <w:t>Hepatology</w:t>
      </w:r>
      <w:r w:rsidRPr="00E60879">
        <w:rPr>
          <w:rFonts w:ascii="Book Antiqua" w:hAnsi="Book Antiqua" w:cs="宋体"/>
          <w:kern w:val="0"/>
          <w:sz w:val="24"/>
          <w:szCs w:val="24"/>
          <w:lang w:eastAsia="zh-CN"/>
        </w:rPr>
        <w:t xml:space="preserve"> 1997; </w:t>
      </w:r>
      <w:r w:rsidRPr="00E60879">
        <w:rPr>
          <w:rFonts w:ascii="Book Antiqua" w:hAnsi="Book Antiqua" w:cs="宋体"/>
          <w:b/>
          <w:bCs/>
          <w:kern w:val="0"/>
          <w:sz w:val="24"/>
          <w:szCs w:val="24"/>
          <w:lang w:eastAsia="zh-CN"/>
        </w:rPr>
        <w:t>25</w:t>
      </w:r>
      <w:r w:rsidRPr="00E60879">
        <w:rPr>
          <w:rFonts w:ascii="Book Antiqua" w:hAnsi="Book Antiqua" w:cs="宋体"/>
          <w:kern w:val="0"/>
          <w:sz w:val="24"/>
          <w:szCs w:val="24"/>
          <w:lang w:eastAsia="zh-CN"/>
        </w:rPr>
        <w:t>: 307-312 [PMID: 9021939 DOI: 10.1053/jhep.1997.v25.pm0009021939]</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lastRenderedPageBreak/>
        <w:t xml:space="preserve">18 </w:t>
      </w:r>
      <w:r w:rsidRPr="00E60879">
        <w:rPr>
          <w:rFonts w:ascii="Book Antiqua" w:hAnsi="Book Antiqua" w:cs="宋体"/>
          <w:b/>
          <w:bCs/>
          <w:kern w:val="0"/>
          <w:sz w:val="24"/>
          <w:szCs w:val="24"/>
          <w:lang w:eastAsia="zh-CN"/>
        </w:rPr>
        <w:t>Hassab MA</w:t>
      </w:r>
      <w:r w:rsidRPr="00E60879">
        <w:rPr>
          <w:rFonts w:ascii="Book Antiqua" w:hAnsi="Book Antiqua" w:cs="宋体"/>
          <w:kern w:val="0"/>
          <w:sz w:val="24"/>
          <w:szCs w:val="24"/>
          <w:lang w:eastAsia="zh-CN"/>
        </w:rPr>
        <w:t xml:space="preserve">. Gastroesophageal decongestion and splenectomy in the treatment of esophageal varices in bilharzial cirrhosis: further studies with a report on 355 operations. </w:t>
      </w:r>
      <w:r w:rsidRPr="00E60879">
        <w:rPr>
          <w:rFonts w:ascii="Book Antiqua" w:hAnsi="Book Antiqua" w:cs="宋体"/>
          <w:i/>
          <w:iCs/>
          <w:kern w:val="0"/>
          <w:sz w:val="24"/>
          <w:szCs w:val="24"/>
          <w:lang w:eastAsia="zh-CN"/>
        </w:rPr>
        <w:t>Surgery</w:t>
      </w:r>
      <w:r w:rsidRPr="00E60879">
        <w:rPr>
          <w:rFonts w:ascii="Book Antiqua" w:hAnsi="Book Antiqua" w:cs="宋体"/>
          <w:kern w:val="0"/>
          <w:sz w:val="24"/>
          <w:szCs w:val="24"/>
          <w:lang w:eastAsia="zh-CN"/>
        </w:rPr>
        <w:t xml:space="preserve"> 1967; </w:t>
      </w:r>
      <w:r w:rsidRPr="00E60879">
        <w:rPr>
          <w:rFonts w:ascii="Book Antiqua" w:hAnsi="Book Antiqua" w:cs="宋体"/>
          <w:b/>
          <w:bCs/>
          <w:kern w:val="0"/>
          <w:sz w:val="24"/>
          <w:szCs w:val="24"/>
          <w:lang w:eastAsia="zh-CN"/>
        </w:rPr>
        <w:t>61</w:t>
      </w:r>
      <w:r w:rsidRPr="00E60879">
        <w:rPr>
          <w:rFonts w:ascii="Book Antiqua" w:hAnsi="Book Antiqua" w:cs="宋体"/>
          <w:kern w:val="0"/>
          <w:sz w:val="24"/>
          <w:szCs w:val="24"/>
          <w:lang w:eastAsia="zh-CN"/>
        </w:rPr>
        <w:t>: 169-176 [PMID: 6016965]</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19 </w:t>
      </w:r>
      <w:r w:rsidRPr="00E60879">
        <w:rPr>
          <w:rFonts w:ascii="Book Antiqua" w:hAnsi="Book Antiqua" w:cs="宋体"/>
          <w:b/>
          <w:bCs/>
          <w:kern w:val="0"/>
          <w:sz w:val="24"/>
          <w:szCs w:val="24"/>
          <w:lang w:eastAsia="zh-CN"/>
        </w:rPr>
        <w:t>Miller-Catchpole R</w:t>
      </w:r>
      <w:r w:rsidRPr="00E60879">
        <w:rPr>
          <w:rFonts w:ascii="Book Antiqua" w:hAnsi="Book Antiqua" w:cs="宋体"/>
          <w:kern w:val="0"/>
          <w:sz w:val="24"/>
          <w:szCs w:val="24"/>
          <w:lang w:eastAsia="zh-CN"/>
        </w:rPr>
        <w:t xml:space="preserve">. Diagnostic and therapeutic technology assessment. Transjugular intrahepatic portosystemic shunt (TIPS). </w:t>
      </w:r>
      <w:r w:rsidRPr="00E60879">
        <w:rPr>
          <w:rFonts w:ascii="Book Antiqua" w:hAnsi="Book Antiqua" w:cs="宋体"/>
          <w:i/>
          <w:iCs/>
          <w:kern w:val="0"/>
          <w:sz w:val="24"/>
          <w:szCs w:val="24"/>
          <w:lang w:eastAsia="zh-CN"/>
        </w:rPr>
        <w:t>JAMA</w:t>
      </w:r>
      <w:r w:rsidRPr="00E60879">
        <w:rPr>
          <w:rFonts w:ascii="Book Antiqua" w:hAnsi="Book Antiqua" w:cs="宋体"/>
          <w:kern w:val="0"/>
          <w:sz w:val="24"/>
          <w:szCs w:val="24"/>
          <w:lang w:eastAsia="zh-CN"/>
        </w:rPr>
        <w:t xml:space="preserve"> 1995; </w:t>
      </w:r>
      <w:r w:rsidRPr="00E60879">
        <w:rPr>
          <w:rFonts w:ascii="Book Antiqua" w:hAnsi="Book Antiqua" w:cs="宋体"/>
          <w:b/>
          <w:bCs/>
          <w:kern w:val="0"/>
          <w:sz w:val="24"/>
          <w:szCs w:val="24"/>
          <w:lang w:eastAsia="zh-CN"/>
        </w:rPr>
        <w:t>273</w:t>
      </w:r>
      <w:r w:rsidRPr="00E60879">
        <w:rPr>
          <w:rFonts w:ascii="Book Antiqua" w:hAnsi="Book Antiqua" w:cs="宋体"/>
          <w:kern w:val="0"/>
          <w:sz w:val="24"/>
          <w:szCs w:val="24"/>
          <w:lang w:eastAsia="zh-CN"/>
        </w:rPr>
        <w:t>: 1824-1830 [PMID: 7776491 DOI: 10.1001/jama.1995.03520470032014]</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20 </w:t>
      </w:r>
      <w:r w:rsidRPr="00E60879">
        <w:rPr>
          <w:rFonts w:ascii="Book Antiqua" w:hAnsi="Book Antiqua" w:cs="宋体"/>
          <w:b/>
          <w:bCs/>
          <w:kern w:val="0"/>
          <w:sz w:val="24"/>
          <w:szCs w:val="24"/>
          <w:lang w:eastAsia="zh-CN"/>
        </w:rPr>
        <w:t>Sanyal AJ</w:t>
      </w:r>
      <w:r w:rsidRPr="00E60879">
        <w:rPr>
          <w:rFonts w:ascii="Book Antiqua" w:hAnsi="Book Antiqua" w:cs="宋体"/>
          <w:kern w:val="0"/>
          <w:sz w:val="24"/>
          <w:szCs w:val="24"/>
          <w:lang w:eastAsia="zh-CN"/>
        </w:rPr>
        <w:t xml:space="preserve">, Freedman AM, Luketic VA, Purdum PP, Shiffman ML, DeMeo J, Cole PE, Tisnado J. The natural history of portal hypertension after transjugular intrahepatic portosystemic shunts. </w:t>
      </w:r>
      <w:r w:rsidRPr="00E60879">
        <w:rPr>
          <w:rFonts w:ascii="Book Antiqua" w:hAnsi="Book Antiqua" w:cs="宋体"/>
          <w:i/>
          <w:iCs/>
          <w:kern w:val="0"/>
          <w:sz w:val="24"/>
          <w:szCs w:val="24"/>
          <w:lang w:eastAsia="zh-CN"/>
        </w:rPr>
        <w:t>Gastroenterology</w:t>
      </w:r>
      <w:r w:rsidRPr="00E60879">
        <w:rPr>
          <w:rFonts w:ascii="Book Antiqua" w:hAnsi="Book Antiqua" w:cs="宋体"/>
          <w:kern w:val="0"/>
          <w:sz w:val="24"/>
          <w:szCs w:val="24"/>
          <w:lang w:eastAsia="zh-CN"/>
        </w:rPr>
        <w:t xml:space="preserve"> 1997; </w:t>
      </w:r>
      <w:r w:rsidRPr="00E60879">
        <w:rPr>
          <w:rFonts w:ascii="Book Antiqua" w:hAnsi="Book Antiqua" w:cs="宋体"/>
          <w:b/>
          <w:bCs/>
          <w:kern w:val="0"/>
          <w:sz w:val="24"/>
          <w:szCs w:val="24"/>
          <w:lang w:eastAsia="zh-CN"/>
        </w:rPr>
        <w:t>112</w:t>
      </w:r>
      <w:r w:rsidRPr="00E60879">
        <w:rPr>
          <w:rFonts w:ascii="Book Antiqua" w:hAnsi="Book Antiqua" w:cs="宋体"/>
          <w:kern w:val="0"/>
          <w:sz w:val="24"/>
          <w:szCs w:val="24"/>
          <w:lang w:eastAsia="zh-CN"/>
        </w:rPr>
        <w:t>: 889-898 [PMID: 9041251 DOI: 10.1053/gast.1997.v112.pm9041251]</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21 </w:t>
      </w:r>
      <w:r w:rsidRPr="00E60879">
        <w:rPr>
          <w:rFonts w:ascii="Book Antiqua" w:hAnsi="Book Antiqua" w:cs="宋体"/>
          <w:b/>
          <w:bCs/>
          <w:kern w:val="0"/>
          <w:sz w:val="24"/>
          <w:szCs w:val="24"/>
          <w:lang w:eastAsia="zh-CN"/>
        </w:rPr>
        <w:t>Ninoi T</w:t>
      </w:r>
      <w:r w:rsidRPr="00E60879">
        <w:rPr>
          <w:rFonts w:ascii="Book Antiqua" w:hAnsi="Book Antiqua" w:cs="宋体"/>
          <w:kern w:val="0"/>
          <w:sz w:val="24"/>
          <w:szCs w:val="24"/>
          <w:lang w:eastAsia="zh-CN"/>
        </w:rPr>
        <w:t xml:space="preserve">, Nakamura K, Kaminou T, Nishida N, Sakai Y, Kitayama T, Hamuro M, Yamada R, Arakawa T, Inoue Y. TIPS versus transcatheter sclerotherapy for gastric varices. </w:t>
      </w:r>
      <w:r w:rsidRPr="00E60879">
        <w:rPr>
          <w:rFonts w:ascii="Book Antiqua" w:hAnsi="Book Antiqua" w:cs="宋体"/>
          <w:i/>
          <w:iCs/>
          <w:kern w:val="0"/>
          <w:sz w:val="24"/>
          <w:szCs w:val="24"/>
          <w:lang w:eastAsia="zh-CN"/>
        </w:rPr>
        <w:t>AJR Am J Roentgenol</w:t>
      </w:r>
      <w:r w:rsidRPr="00E60879">
        <w:rPr>
          <w:rFonts w:ascii="Book Antiqua" w:hAnsi="Book Antiqua" w:cs="宋体"/>
          <w:kern w:val="0"/>
          <w:sz w:val="24"/>
          <w:szCs w:val="24"/>
          <w:lang w:eastAsia="zh-CN"/>
        </w:rPr>
        <w:t xml:space="preserve"> 2004; </w:t>
      </w:r>
      <w:r w:rsidRPr="00E60879">
        <w:rPr>
          <w:rFonts w:ascii="Book Antiqua" w:hAnsi="Book Antiqua" w:cs="宋体"/>
          <w:b/>
          <w:bCs/>
          <w:kern w:val="0"/>
          <w:sz w:val="24"/>
          <w:szCs w:val="24"/>
          <w:lang w:eastAsia="zh-CN"/>
        </w:rPr>
        <w:t>183</w:t>
      </w:r>
      <w:r w:rsidRPr="00E60879">
        <w:rPr>
          <w:rFonts w:ascii="Book Antiqua" w:hAnsi="Book Antiqua" w:cs="宋体"/>
          <w:kern w:val="0"/>
          <w:sz w:val="24"/>
          <w:szCs w:val="24"/>
          <w:lang w:eastAsia="zh-CN"/>
        </w:rPr>
        <w:t>: 369-376 [PMID: 15269027 DOI: 10.2214/ajr.183.2.1830369]</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22 </w:t>
      </w:r>
      <w:r w:rsidRPr="00E60879">
        <w:rPr>
          <w:rFonts w:ascii="Book Antiqua" w:hAnsi="Book Antiqua" w:cs="宋体"/>
          <w:b/>
          <w:bCs/>
          <w:kern w:val="0"/>
          <w:sz w:val="24"/>
          <w:szCs w:val="24"/>
          <w:lang w:eastAsia="zh-CN"/>
        </w:rPr>
        <w:t>Lunderquist A</w:t>
      </w:r>
      <w:r w:rsidRPr="00E60879">
        <w:rPr>
          <w:rFonts w:ascii="Book Antiqua" w:hAnsi="Book Antiqua" w:cs="宋体"/>
          <w:kern w:val="0"/>
          <w:sz w:val="24"/>
          <w:szCs w:val="24"/>
          <w:lang w:eastAsia="zh-CN"/>
        </w:rPr>
        <w:t xml:space="preserve">, Vang J. Transhepatic catheterization and obliteration of the coronary vein in patients with portal hypertension and esophageal varices. </w:t>
      </w:r>
      <w:r w:rsidRPr="00E60879">
        <w:rPr>
          <w:rFonts w:ascii="Book Antiqua" w:hAnsi="Book Antiqua" w:cs="宋体"/>
          <w:i/>
          <w:iCs/>
          <w:kern w:val="0"/>
          <w:sz w:val="24"/>
          <w:szCs w:val="24"/>
          <w:lang w:eastAsia="zh-CN"/>
        </w:rPr>
        <w:t>N Engl J Med</w:t>
      </w:r>
      <w:r w:rsidRPr="00E60879">
        <w:rPr>
          <w:rFonts w:ascii="Book Antiqua" w:hAnsi="Book Antiqua" w:cs="宋体"/>
          <w:kern w:val="0"/>
          <w:sz w:val="24"/>
          <w:szCs w:val="24"/>
          <w:lang w:eastAsia="zh-CN"/>
        </w:rPr>
        <w:t xml:space="preserve"> 1974; </w:t>
      </w:r>
      <w:r w:rsidRPr="00E60879">
        <w:rPr>
          <w:rFonts w:ascii="Book Antiqua" w:hAnsi="Book Antiqua" w:cs="宋体"/>
          <w:b/>
          <w:bCs/>
          <w:kern w:val="0"/>
          <w:sz w:val="24"/>
          <w:szCs w:val="24"/>
          <w:lang w:eastAsia="zh-CN"/>
        </w:rPr>
        <w:t>291</w:t>
      </w:r>
      <w:r w:rsidRPr="00E60879">
        <w:rPr>
          <w:rFonts w:ascii="Book Antiqua" w:hAnsi="Book Antiqua" w:cs="宋体"/>
          <w:kern w:val="0"/>
          <w:sz w:val="24"/>
          <w:szCs w:val="24"/>
          <w:lang w:eastAsia="zh-CN"/>
        </w:rPr>
        <w:t>: 646-649 [PMID: 4546968 DOI: 10.1056/NEJM197409262911303]</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23 </w:t>
      </w:r>
      <w:r w:rsidRPr="00E60879">
        <w:rPr>
          <w:rFonts w:ascii="Book Antiqua" w:hAnsi="Book Antiqua" w:cs="宋体"/>
          <w:b/>
          <w:bCs/>
          <w:kern w:val="0"/>
          <w:sz w:val="24"/>
          <w:szCs w:val="24"/>
          <w:lang w:eastAsia="zh-CN"/>
        </w:rPr>
        <w:t>Arai H</w:t>
      </w:r>
      <w:r w:rsidRPr="00E60879">
        <w:rPr>
          <w:rFonts w:ascii="Book Antiqua" w:hAnsi="Book Antiqua" w:cs="宋体"/>
          <w:kern w:val="0"/>
          <w:sz w:val="24"/>
          <w:szCs w:val="24"/>
          <w:lang w:eastAsia="zh-CN"/>
        </w:rPr>
        <w:t xml:space="preserve">, Abe T, Takagi H, Mori M. Efficacy of balloon-occluded retrograde transvenous obliteration, percutaneous transhepatic obliteration and combined techniques for the management of gastric fundal varices. </w:t>
      </w:r>
      <w:r w:rsidRPr="00E60879">
        <w:rPr>
          <w:rFonts w:ascii="Book Antiqua" w:hAnsi="Book Antiqua" w:cs="宋体"/>
          <w:i/>
          <w:iCs/>
          <w:kern w:val="0"/>
          <w:sz w:val="24"/>
          <w:szCs w:val="24"/>
          <w:lang w:eastAsia="zh-CN"/>
        </w:rPr>
        <w:t>World J Gastroenterol</w:t>
      </w:r>
      <w:r w:rsidRPr="00E60879">
        <w:rPr>
          <w:rFonts w:ascii="Book Antiqua" w:hAnsi="Book Antiqua" w:cs="宋体"/>
          <w:kern w:val="0"/>
          <w:sz w:val="24"/>
          <w:szCs w:val="24"/>
          <w:lang w:eastAsia="zh-CN"/>
        </w:rPr>
        <w:t xml:space="preserve"> 2006; </w:t>
      </w:r>
      <w:r w:rsidRPr="00E60879">
        <w:rPr>
          <w:rFonts w:ascii="Book Antiqua" w:hAnsi="Book Antiqua" w:cs="宋体"/>
          <w:b/>
          <w:bCs/>
          <w:kern w:val="0"/>
          <w:sz w:val="24"/>
          <w:szCs w:val="24"/>
          <w:lang w:eastAsia="zh-CN"/>
        </w:rPr>
        <w:t>12</w:t>
      </w:r>
      <w:r w:rsidRPr="00E60879">
        <w:rPr>
          <w:rFonts w:ascii="Book Antiqua" w:hAnsi="Book Antiqua" w:cs="宋体"/>
          <w:kern w:val="0"/>
          <w:sz w:val="24"/>
          <w:szCs w:val="24"/>
          <w:lang w:eastAsia="zh-CN"/>
        </w:rPr>
        <w:t>: 3866-3873 [PMID: 16804972]</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24 </w:t>
      </w:r>
      <w:r w:rsidRPr="00E60879">
        <w:rPr>
          <w:rFonts w:ascii="Book Antiqua" w:hAnsi="Book Antiqua" w:cs="宋体"/>
          <w:b/>
          <w:bCs/>
          <w:kern w:val="0"/>
          <w:sz w:val="24"/>
          <w:szCs w:val="24"/>
          <w:lang w:eastAsia="zh-CN"/>
        </w:rPr>
        <w:t>de Franchis R</w:t>
      </w:r>
      <w:r w:rsidRPr="00E60879">
        <w:rPr>
          <w:rFonts w:ascii="Book Antiqua" w:hAnsi="Book Antiqua" w:cs="宋体"/>
          <w:kern w:val="0"/>
          <w:sz w:val="24"/>
          <w:szCs w:val="24"/>
          <w:lang w:eastAsia="zh-CN"/>
        </w:rPr>
        <w:t xml:space="preserve">. Evolving consensus in portal hypertension. Report of the Baveno IV consensus workshop on methodology of diagnosis and therapy in portal hypertension. </w:t>
      </w:r>
      <w:r w:rsidRPr="00E60879">
        <w:rPr>
          <w:rFonts w:ascii="Book Antiqua" w:hAnsi="Book Antiqua" w:cs="宋体"/>
          <w:i/>
          <w:iCs/>
          <w:kern w:val="0"/>
          <w:sz w:val="24"/>
          <w:szCs w:val="24"/>
          <w:lang w:eastAsia="zh-CN"/>
        </w:rPr>
        <w:t>J Hepatol</w:t>
      </w:r>
      <w:r w:rsidRPr="00E60879">
        <w:rPr>
          <w:rFonts w:ascii="Book Antiqua" w:hAnsi="Book Antiqua" w:cs="宋体"/>
          <w:kern w:val="0"/>
          <w:sz w:val="24"/>
          <w:szCs w:val="24"/>
          <w:lang w:eastAsia="zh-CN"/>
        </w:rPr>
        <w:t xml:space="preserve"> 2005; </w:t>
      </w:r>
      <w:r w:rsidRPr="00E60879">
        <w:rPr>
          <w:rFonts w:ascii="Book Antiqua" w:hAnsi="Book Antiqua" w:cs="宋体"/>
          <w:b/>
          <w:bCs/>
          <w:kern w:val="0"/>
          <w:sz w:val="24"/>
          <w:szCs w:val="24"/>
          <w:lang w:eastAsia="zh-CN"/>
        </w:rPr>
        <w:t>43</w:t>
      </w:r>
      <w:r w:rsidRPr="00E60879">
        <w:rPr>
          <w:rFonts w:ascii="Book Antiqua" w:hAnsi="Book Antiqua" w:cs="宋体"/>
          <w:kern w:val="0"/>
          <w:sz w:val="24"/>
          <w:szCs w:val="24"/>
          <w:lang w:eastAsia="zh-CN"/>
        </w:rPr>
        <w:t>: 167-176 [PMID: 15925423 DOI: 10.1016/j.jhep.2005.05.009]</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25 </w:t>
      </w:r>
      <w:r w:rsidRPr="00E60879">
        <w:rPr>
          <w:rFonts w:ascii="Book Antiqua" w:hAnsi="Book Antiqua" w:cs="宋体"/>
          <w:b/>
          <w:bCs/>
          <w:kern w:val="0"/>
          <w:sz w:val="24"/>
          <w:szCs w:val="24"/>
          <w:lang w:eastAsia="zh-CN"/>
        </w:rPr>
        <w:t>Stiegmann GV</w:t>
      </w:r>
      <w:r w:rsidRPr="00E60879">
        <w:rPr>
          <w:rFonts w:ascii="Book Antiqua" w:hAnsi="Book Antiqua" w:cs="宋体"/>
          <w:kern w:val="0"/>
          <w:sz w:val="24"/>
          <w:szCs w:val="24"/>
          <w:lang w:eastAsia="zh-CN"/>
        </w:rPr>
        <w:t xml:space="preserve">, Sun JH, Hammond WS. Results of experimental endoscopic esophageal varix ligation. </w:t>
      </w:r>
      <w:r w:rsidRPr="00E60879">
        <w:rPr>
          <w:rFonts w:ascii="Book Antiqua" w:hAnsi="Book Antiqua" w:cs="宋体"/>
          <w:i/>
          <w:iCs/>
          <w:kern w:val="0"/>
          <w:sz w:val="24"/>
          <w:szCs w:val="24"/>
          <w:lang w:eastAsia="zh-CN"/>
        </w:rPr>
        <w:t>Am Surg</w:t>
      </w:r>
      <w:r w:rsidRPr="00E60879">
        <w:rPr>
          <w:rFonts w:ascii="Book Antiqua" w:hAnsi="Book Antiqua" w:cs="宋体"/>
          <w:kern w:val="0"/>
          <w:sz w:val="24"/>
          <w:szCs w:val="24"/>
          <w:lang w:eastAsia="zh-CN"/>
        </w:rPr>
        <w:t xml:space="preserve"> 1988; </w:t>
      </w:r>
      <w:r w:rsidRPr="00E60879">
        <w:rPr>
          <w:rFonts w:ascii="Book Antiqua" w:hAnsi="Book Antiqua" w:cs="宋体"/>
          <w:b/>
          <w:bCs/>
          <w:kern w:val="0"/>
          <w:sz w:val="24"/>
          <w:szCs w:val="24"/>
          <w:lang w:eastAsia="zh-CN"/>
        </w:rPr>
        <w:t>54</w:t>
      </w:r>
      <w:r w:rsidRPr="00E60879">
        <w:rPr>
          <w:rFonts w:ascii="Book Antiqua" w:hAnsi="Book Antiqua" w:cs="宋体"/>
          <w:kern w:val="0"/>
          <w:sz w:val="24"/>
          <w:szCs w:val="24"/>
          <w:lang w:eastAsia="zh-CN"/>
        </w:rPr>
        <w:t>: 105-108 [PMID: 3341642]</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26 </w:t>
      </w:r>
      <w:r w:rsidRPr="00E60879">
        <w:rPr>
          <w:rFonts w:ascii="Book Antiqua" w:hAnsi="Book Antiqua" w:cs="宋体"/>
          <w:b/>
          <w:bCs/>
          <w:kern w:val="0"/>
          <w:sz w:val="24"/>
          <w:szCs w:val="24"/>
          <w:lang w:eastAsia="zh-CN"/>
        </w:rPr>
        <w:t>Lo GH</w:t>
      </w:r>
      <w:r w:rsidRPr="00E60879">
        <w:rPr>
          <w:rFonts w:ascii="Book Antiqua" w:hAnsi="Book Antiqua" w:cs="宋体"/>
          <w:kern w:val="0"/>
          <w:sz w:val="24"/>
          <w:szCs w:val="24"/>
          <w:lang w:eastAsia="zh-CN"/>
        </w:rPr>
        <w:t xml:space="preserve">, Lai KH, Cheng JS, Chen MH, Chiang HT. A prospective, randomized trial of butyl cyanoacrylate injection versus band ligation in the management of bleeding gastric varices. </w:t>
      </w:r>
      <w:r w:rsidRPr="00E60879">
        <w:rPr>
          <w:rFonts w:ascii="Book Antiqua" w:hAnsi="Book Antiqua" w:cs="宋体"/>
          <w:i/>
          <w:iCs/>
          <w:kern w:val="0"/>
          <w:sz w:val="24"/>
          <w:szCs w:val="24"/>
          <w:lang w:eastAsia="zh-CN"/>
        </w:rPr>
        <w:t>Hepatology</w:t>
      </w:r>
      <w:r w:rsidRPr="00E60879">
        <w:rPr>
          <w:rFonts w:ascii="Book Antiqua" w:hAnsi="Book Antiqua" w:cs="宋体"/>
          <w:kern w:val="0"/>
          <w:sz w:val="24"/>
          <w:szCs w:val="24"/>
          <w:lang w:eastAsia="zh-CN"/>
        </w:rPr>
        <w:t xml:space="preserve"> 2001; </w:t>
      </w:r>
      <w:r w:rsidRPr="00E60879">
        <w:rPr>
          <w:rFonts w:ascii="Book Antiqua" w:hAnsi="Book Antiqua" w:cs="宋体"/>
          <w:b/>
          <w:bCs/>
          <w:kern w:val="0"/>
          <w:sz w:val="24"/>
          <w:szCs w:val="24"/>
          <w:lang w:eastAsia="zh-CN"/>
        </w:rPr>
        <w:t>33</w:t>
      </w:r>
      <w:r w:rsidRPr="00E60879">
        <w:rPr>
          <w:rFonts w:ascii="Book Antiqua" w:hAnsi="Book Antiqua" w:cs="宋体"/>
          <w:kern w:val="0"/>
          <w:sz w:val="24"/>
          <w:szCs w:val="24"/>
          <w:lang w:eastAsia="zh-CN"/>
        </w:rPr>
        <w:t>: 1060-1064 [PMID: 11343232 DOI: 10.1053/jhep.2001.24116]</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27 </w:t>
      </w:r>
      <w:r w:rsidRPr="00E60879">
        <w:rPr>
          <w:rFonts w:ascii="Book Antiqua" w:hAnsi="Book Antiqua" w:cs="宋体"/>
          <w:b/>
          <w:bCs/>
          <w:kern w:val="0"/>
          <w:sz w:val="24"/>
          <w:szCs w:val="24"/>
          <w:lang w:eastAsia="zh-CN"/>
        </w:rPr>
        <w:t>Sée A</w:t>
      </w:r>
      <w:r w:rsidRPr="00E60879">
        <w:rPr>
          <w:rFonts w:ascii="Book Antiqua" w:hAnsi="Book Antiqua" w:cs="宋体"/>
          <w:kern w:val="0"/>
          <w:sz w:val="24"/>
          <w:szCs w:val="24"/>
          <w:lang w:eastAsia="zh-CN"/>
        </w:rPr>
        <w:t xml:space="preserve">, Florent C, Lamy P, Lévy VG, Bouvry M. [Cerebrovascular accidents after endoscopic obturation of esophageal varices with isobutyl-2-cyanoacrylate in 2 patients]. </w:t>
      </w:r>
      <w:r w:rsidRPr="00E60879">
        <w:rPr>
          <w:rFonts w:ascii="Book Antiqua" w:hAnsi="Book Antiqua" w:cs="宋体"/>
          <w:i/>
          <w:iCs/>
          <w:kern w:val="0"/>
          <w:sz w:val="24"/>
          <w:szCs w:val="24"/>
          <w:lang w:eastAsia="zh-CN"/>
        </w:rPr>
        <w:t>Gastroenterol Clin Biol</w:t>
      </w:r>
      <w:r w:rsidRPr="00E60879">
        <w:rPr>
          <w:rFonts w:ascii="Book Antiqua" w:hAnsi="Book Antiqua" w:cs="宋体"/>
          <w:kern w:val="0"/>
          <w:sz w:val="24"/>
          <w:szCs w:val="24"/>
          <w:lang w:eastAsia="zh-CN"/>
        </w:rPr>
        <w:t xml:space="preserve"> </w:t>
      </w:r>
      <w:r>
        <w:rPr>
          <w:rFonts w:ascii="Book Antiqua" w:hAnsi="Book Antiqua" w:cs="宋体"/>
          <w:kern w:val="0"/>
          <w:sz w:val="24"/>
          <w:szCs w:val="24"/>
          <w:lang w:eastAsia="zh-CN"/>
        </w:rPr>
        <w:t>1986</w:t>
      </w:r>
      <w:r w:rsidRPr="00E60879">
        <w:rPr>
          <w:rFonts w:ascii="Book Antiqua" w:hAnsi="Book Antiqua" w:cs="宋体"/>
          <w:kern w:val="0"/>
          <w:sz w:val="24"/>
          <w:szCs w:val="24"/>
          <w:lang w:eastAsia="zh-CN"/>
        </w:rPr>
        <w:t xml:space="preserve">; </w:t>
      </w:r>
      <w:r w:rsidRPr="00E60879">
        <w:rPr>
          <w:rFonts w:ascii="Book Antiqua" w:hAnsi="Book Antiqua" w:cs="宋体"/>
          <w:b/>
          <w:bCs/>
          <w:kern w:val="0"/>
          <w:sz w:val="24"/>
          <w:szCs w:val="24"/>
          <w:lang w:eastAsia="zh-CN"/>
        </w:rPr>
        <w:t>10</w:t>
      </w:r>
      <w:r w:rsidRPr="00E60879">
        <w:rPr>
          <w:rFonts w:ascii="Book Antiqua" w:hAnsi="Book Antiqua" w:cs="宋体"/>
          <w:kern w:val="0"/>
          <w:sz w:val="24"/>
          <w:szCs w:val="24"/>
          <w:lang w:eastAsia="zh-CN"/>
        </w:rPr>
        <w:t>: 604-607 [PMID: 3781162]</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lastRenderedPageBreak/>
        <w:t xml:space="preserve">28 </w:t>
      </w:r>
      <w:r w:rsidRPr="00E60879">
        <w:rPr>
          <w:rFonts w:ascii="Book Antiqua" w:hAnsi="Book Antiqua" w:cs="宋体"/>
          <w:b/>
          <w:bCs/>
          <w:kern w:val="0"/>
          <w:sz w:val="24"/>
          <w:szCs w:val="24"/>
          <w:lang w:eastAsia="zh-CN"/>
        </w:rPr>
        <w:t>Hwang SS</w:t>
      </w:r>
      <w:r w:rsidRPr="00E60879">
        <w:rPr>
          <w:rFonts w:ascii="Book Antiqua" w:hAnsi="Book Antiqua" w:cs="宋体"/>
          <w:kern w:val="0"/>
          <w:sz w:val="24"/>
          <w:szCs w:val="24"/>
          <w:lang w:eastAsia="zh-CN"/>
        </w:rPr>
        <w:t xml:space="preserve">, Kim HH, Park SH, Kim SE, Jung JI, Ahn BY, Kim SH, Chung SK, Park YH, Choi KH. N-butyl-2-cyanoacrylate pulmonary embolism after endoscopic injection sclerotherapy for gastric variceal bleeding. </w:t>
      </w:r>
      <w:r w:rsidRPr="00E60879">
        <w:rPr>
          <w:rFonts w:ascii="Book Antiqua" w:hAnsi="Book Antiqua" w:cs="宋体"/>
          <w:i/>
          <w:iCs/>
          <w:kern w:val="0"/>
          <w:sz w:val="24"/>
          <w:szCs w:val="24"/>
          <w:lang w:eastAsia="zh-CN"/>
        </w:rPr>
        <w:t>J Comput Assist Tomogr</w:t>
      </w:r>
      <w:r w:rsidRPr="00E60879">
        <w:rPr>
          <w:rFonts w:ascii="Book Antiqua" w:hAnsi="Book Antiqua" w:cs="宋体"/>
          <w:kern w:val="0"/>
          <w:sz w:val="24"/>
          <w:szCs w:val="24"/>
          <w:lang w:eastAsia="zh-CN"/>
        </w:rPr>
        <w:t xml:space="preserve"> </w:t>
      </w:r>
      <w:r>
        <w:rPr>
          <w:rFonts w:ascii="Book Antiqua" w:hAnsi="Book Antiqua" w:cs="宋体"/>
          <w:kern w:val="0"/>
          <w:sz w:val="24"/>
          <w:szCs w:val="24"/>
          <w:lang w:eastAsia="zh-CN"/>
        </w:rPr>
        <w:t>2001</w:t>
      </w:r>
      <w:r w:rsidRPr="00E60879">
        <w:rPr>
          <w:rFonts w:ascii="Book Antiqua" w:hAnsi="Book Antiqua" w:cs="宋体"/>
          <w:kern w:val="0"/>
          <w:sz w:val="24"/>
          <w:szCs w:val="24"/>
          <w:lang w:eastAsia="zh-CN"/>
        </w:rPr>
        <w:t xml:space="preserve">; </w:t>
      </w:r>
      <w:r w:rsidRPr="00E60879">
        <w:rPr>
          <w:rFonts w:ascii="Book Antiqua" w:hAnsi="Book Antiqua" w:cs="宋体"/>
          <w:b/>
          <w:bCs/>
          <w:kern w:val="0"/>
          <w:sz w:val="24"/>
          <w:szCs w:val="24"/>
          <w:lang w:eastAsia="zh-CN"/>
        </w:rPr>
        <w:t>25</w:t>
      </w:r>
      <w:r w:rsidRPr="00E60879">
        <w:rPr>
          <w:rFonts w:ascii="Book Antiqua" w:hAnsi="Book Antiqua" w:cs="宋体"/>
          <w:kern w:val="0"/>
          <w:sz w:val="24"/>
          <w:szCs w:val="24"/>
          <w:lang w:eastAsia="zh-CN"/>
        </w:rPr>
        <w:t>: 16-22 [PMID: 11176287 DOI: 10.1097/00004728-200101000-00003]</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29 </w:t>
      </w:r>
      <w:r w:rsidRPr="00E60879">
        <w:rPr>
          <w:rFonts w:ascii="Book Antiqua" w:hAnsi="Book Antiqua" w:cs="宋体"/>
          <w:b/>
          <w:bCs/>
          <w:kern w:val="0"/>
          <w:sz w:val="24"/>
          <w:szCs w:val="24"/>
          <w:lang w:eastAsia="zh-CN"/>
        </w:rPr>
        <w:t>Singer AD</w:t>
      </w:r>
      <w:r w:rsidRPr="00E60879">
        <w:rPr>
          <w:rFonts w:ascii="Book Antiqua" w:hAnsi="Book Antiqua" w:cs="宋体"/>
          <w:kern w:val="0"/>
          <w:sz w:val="24"/>
          <w:szCs w:val="24"/>
          <w:lang w:eastAsia="zh-CN"/>
        </w:rPr>
        <w:t xml:space="preserve">, Fananapazir G, Maufa F, Narra S, Ascher S. Pulmonary embolism following 2-octyl-cyanoacrylate/lipiodol injection for obliteration of gastric varices: an imaging perspective. </w:t>
      </w:r>
      <w:r w:rsidRPr="00E60879">
        <w:rPr>
          <w:rFonts w:ascii="Book Antiqua" w:hAnsi="Book Antiqua" w:cs="宋体"/>
          <w:i/>
          <w:iCs/>
          <w:kern w:val="0"/>
          <w:sz w:val="24"/>
          <w:szCs w:val="24"/>
          <w:lang w:eastAsia="zh-CN"/>
        </w:rPr>
        <w:t>J Radiol Case Rep</w:t>
      </w:r>
      <w:r w:rsidRPr="00E60879">
        <w:rPr>
          <w:rFonts w:ascii="Book Antiqua" w:hAnsi="Book Antiqua" w:cs="宋体"/>
          <w:kern w:val="0"/>
          <w:sz w:val="24"/>
          <w:szCs w:val="24"/>
          <w:lang w:eastAsia="zh-CN"/>
        </w:rPr>
        <w:t xml:space="preserve"> 2012; </w:t>
      </w:r>
      <w:r w:rsidRPr="00E60879">
        <w:rPr>
          <w:rFonts w:ascii="Book Antiqua" w:hAnsi="Book Antiqua" w:cs="宋体"/>
          <w:b/>
          <w:bCs/>
          <w:kern w:val="0"/>
          <w:sz w:val="24"/>
          <w:szCs w:val="24"/>
          <w:lang w:eastAsia="zh-CN"/>
        </w:rPr>
        <w:t>6</w:t>
      </w:r>
      <w:r w:rsidRPr="00E60879">
        <w:rPr>
          <w:rFonts w:ascii="Book Antiqua" w:hAnsi="Book Antiqua" w:cs="宋体"/>
          <w:kern w:val="0"/>
          <w:sz w:val="24"/>
          <w:szCs w:val="24"/>
          <w:lang w:eastAsia="zh-CN"/>
        </w:rPr>
        <w:t>: 17-22 [PMID: 22690282 DOI: 10.3941/jrcr.v6i2.845]</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30 </w:t>
      </w:r>
      <w:r w:rsidRPr="00E60879">
        <w:rPr>
          <w:rFonts w:ascii="Book Antiqua" w:hAnsi="Book Antiqua" w:cs="宋体"/>
          <w:b/>
          <w:bCs/>
          <w:kern w:val="0"/>
          <w:sz w:val="24"/>
          <w:szCs w:val="24"/>
          <w:lang w:eastAsia="zh-CN"/>
        </w:rPr>
        <w:t>Kind R</w:t>
      </w:r>
      <w:r w:rsidRPr="00E60879">
        <w:rPr>
          <w:rFonts w:ascii="Book Antiqua" w:hAnsi="Book Antiqua" w:cs="宋体"/>
          <w:kern w:val="0"/>
          <w:sz w:val="24"/>
          <w:szCs w:val="24"/>
          <w:lang w:eastAsia="zh-CN"/>
        </w:rPr>
        <w:t xml:space="preserve">, Guglielmi A, Rodella L, Lombardo F, Catalano F, Ruzzenente A, Borzellino G, Girlanda R, Leopardi F, Pratticò F, Cordiano C. Bucrylate treatment of bleeding gastric varices: 12 years' experience. </w:t>
      </w:r>
      <w:r w:rsidRPr="00E60879">
        <w:rPr>
          <w:rFonts w:ascii="Book Antiqua" w:hAnsi="Book Antiqua" w:cs="宋体"/>
          <w:i/>
          <w:iCs/>
          <w:kern w:val="0"/>
          <w:sz w:val="24"/>
          <w:szCs w:val="24"/>
          <w:lang w:eastAsia="zh-CN"/>
        </w:rPr>
        <w:t>Endoscopy</w:t>
      </w:r>
      <w:r w:rsidRPr="00E60879">
        <w:rPr>
          <w:rFonts w:ascii="Book Antiqua" w:hAnsi="Book Antiqua" w:cs="宋体"/>
          <w:kern w:val="0"/>
          <w:sz w:val="24"/>
          <w:szCs w:val="24"/>
          <w:lang w:eastAsia="zh-CN"/>
        </w:rPr>
        <w:t xml:space="preserve"> 2000; </w:t>
      </w:r>
      <w:r w:rsidRPr="00E60879">
        <w:rPr>
          <w:rFonts w:ascii="Book Antiqua" w:hAnsi="Book Antiqua" w:cs="宋体"/>
          <w:b/>
          <w:bCs/>
          <w:kern w:val="0"/>
          <w:sz w:val="24"/>
          <w:szCs w:val="24"/>
          <w:lang w:eastAsia="zh-CN"/>
        </w:rPr>
        <w:t>32</w:t>
      </w:r>
      <w:r w:rsidRPr="00E60879">
        <w:rPr>
          <w:rFonts w:ascii="Book Antiqua" w:hAnsi="Book Antiqua" w:cs="宋体"/>
          <w:kern w:val="0"/>
          <w:sz w:val="24"/>
          <w:szCs w:val="24"/>
          <w:lang w:eastAsia="zh-CN"/>
        </w:rPr>
        <w:t>: 512-519 [PMID: 10917182 DOI: 10.1055/s-2000-3817]</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31 </w:t>
      </w:r>
      <w:r w:rsidRPr="00E60879">
        <w:rPr>
          <w:rFonts w:ascii="Book Antiqua" w:hAnsi="Book Antiqua" w:cs="宋体"/>
          <w:b/>
          <w:bCs/>
          <w:kern w:val="0"/>
          <w:sz w:val="24"/>
          <w:szCs w:val="24"/>
          <w:lang w:eastAsia="zh-CN"/>
        </w:rPr>
        <w:t>Marques P</w:t>
      </w:r>
      <w:r w:rsidRPr="00E60879">
        <w:rPr>
          <w:rFonts w:ascii="Book Antiqua" w:hAnsi="Book Antiqua" w:cs="宋体"/>
          <w:kern w:val="0"/>
          <w:sz w:val="24"/>
          <w:szCs w:val="24"/>
          <w:lang w:eastAsia="zh-CN"/>
        </w:rPr>
        <w:t xml:space="preserve">, Maluf-Filho F, Kumar A, Matuguma SE, Sakai P, Ishioka S. Long-term outcomes of acute gastric variceal bleeding in 48 patients following treatment with cyanoacrylate. </w:t>
      </w:r>
      <w:r w:rsidRPr="00E60879">
        <w:rPr>
          <w:rFonts w:ascii="Book Antiqua" w:hAnsi="Book Antiqua" w:cs="宋体"/>
          <w:i/>
          <w:iCs/>
          <w:kern w:val="0"/>
          <w:sz w:val="24"/>
          <w:szCs w:val="24"/>
          <w:lang w:eastAsia="zh-CN"/>
        </w:rPr>
        <w:t>Dig Dis Sci</w:t>
      </w:r>
      <w:r w:rsidRPr="00E60879">
        <w:rPr>
          <w:rFonts w:ascii="Book Antiqua" w:hAnsi="Book Antiqua" w:cs="宋体"/>
          <w:kern w:val="0"/>
          <w:sz w:val="24"/>
          <w:szCs w:val="24"/>
          <w:lang w:eastAsia="zh-CN"/>
        </w:rPr>
        <w:t xml:space="preserve"> 2008; </w:t>
      </w:r>
      <w:r w:rsidRPr="00E60879">
        <w:rPr>
          <w:rFonts w:ascii="Book Antiqua" w:hAnsi="Book Antiqua" w:cs="宋体"/>
          <w:b/>
          <w:bCs/>
          <w:kern w:val="0"/>
          <w:sz w:val="24"/>
          <w:szCs w:val="24"/>
          <w:lang w:eastAsia="zh-CN"/>
        </w:rPr>
        <w:t>53</w:t>
      </w:r>
      <w:r w:rsidRPr="00E60879">
        <w:rPr>
          <w:rFonts w:ascii="Book Antiqua" w:hAnsi="Book Antiqua" w:cs="宋体"/>
          <w:kern w:val="0"/>
          <w:sz w:val="24"/>
          <w:szCs w:val="24"/>
          <w:lang w:eastAsia="zh-CN"/>
        </w:rPr>
        <w:t>: 544-550 [PMID: 17597405 DOI: 10.1007/s10620-007-9882-5]</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32 </w:t>
      </w:r>
      <w:r w:rsidRPr="00E60879">
        <w:rPr>
          <w:rFonts w:ascii="Book Antiqua" w:hAnsi="Book Antiqua" w:cs="宋体"/>
          <w:b/>
          <w:bCs/>
          <w:kern w:val="0"/>
          <w:sz w:val="24"/>
          <w:szCs w:val="24"/>
          <w:lang w:eastAsia="zh-CN"/>
        </w:rPr>
        <w:t>Yamagami T</w:t>
      </w:r>
      <w:r w:rsidRPr="00E60879">
        <w:rPr>
          <w:rFonts w:ascii="Book Antiqua" w:hAnsi="Book Antiqua" w:cs="宋体"/>
          <w:kern w:val="0"/>
          <w:sz w:val="24"/>
          <w:szCs w:val="24"/>
          <w:lang w:eastAsia="zh-CN"/>
        </w:rPr>
        <w:t xml:space="preserve">, Kato T, Hirota T, Yoshimatsu R, Matsumoto T, Nishimura T. Infusion of 50% glucose solution before injection of ethanolamine oleate during balloon-occluded retrograde transvenous obliteration. </w:t>
      </w:r>
      <w:r w:rsidRPr="00E60879">
        <w:rPr>
          <w:rFonts w:ascii="Book Antiqua" w:hAnsi="Book Antiqua" w:cs="宋体"/>
          <w:i/>
          <w:iCs/>
          <w:kern w:val="0"/>
          <w:sz w:val="24"/>
          <w:szCs w:val="24"/>
          <w:lang w:eastAsia="zh-CN"/>
        </w:rPr>
        <w:t>Australas Radiol</w:t>
      </w:r>
      <w:r w:rsidRPr="00E60879">
        <w:rPr>
          <w:rFonts w:ascii="Book Antiqua" w:hAnsi="Book Antiqua" w:cs="宋体"/>
          <w:kern w:val="0"/>
          <w:sz w:val="24"/>
          <w:szCs w:val="24"/>
          <w:lang w:eastAsia="zh-CN"/>
        </w:rPr>
        <w:t xml:space="preserve"> 2007; </w:t>
      </w:r>
      <w:r w:rsidRPr="00E60879">
        <w:rPr>
          <w:rFonts w:ascii="Book Antiqua" w:hAnsi="Book Antiqua" w:cs="宋体"/>
          <w:b/>
          <w:bCs/>
          <w:kern w:val="0"/>
          <w:sz w:val="24"/>
          <w:szCs w:val="24"/>
          <w:lang w:eastAsia="zh-CN"/>
        </w:rPr>
        <w:t>51</w:t>
      </w:r>
      <w:r w:rsidRPr="00E60879">
        <w:rPr>
          <w:rFonts w:ascii="Book Antiqua" w:hAnsi="Book Antiqua" w:cs="宋体"/>
          <w:kern w:val="0"/>
          <w:sz w:val="24"/>
          <w:szCs w:val="24"/>
          <w:lang w:eastAsia="zh-CN"/>
        </w:rPr>
        <w:t>: 334-338 [PMID: 17635469 DOI: 10.1111/j.1440-1673.2007.01746.x]</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33 </w:t>
      </w:r>
      <w:r w:rsidRPr="00E60879">
        <w:rPr>
          <w:rFonts w:ascii="Book Antiqua" w:hAnsi="Book Antiqua" w:cs="宋体"/>
          <w:b/>
          <w:bCs/>
          <w:kern w:val="0"/>
          <w:sz w:val="24"/>
          <w:szCs w:val="24"/>
          <w:lang w:eastAsia="zh-CN"/>
        </w:rPr>
        <w:t>Koizumi J</w:t>
      </w:r>
      <w:r w:rsidRPr="00E60879">
        <w:rPr>
          <w:rFonts w:ascii="Book Antiqua" w:hAnsi="Book Antiqua" w:cs="宋体"/>
          <w:kern w:val="0"/>
          <w:sz w:val="24"/>
          <w:szCs w:val="24"/>
          <w:lang w:eastAsia="zh-CN"/>
        </w:rPr>
        <w:t xml:space="preserve">, Hashimoto T, Myojin K, Itou C, Kagawa T, Nishibe T, Janne d'Othée B. Balloon-occluded retrograde transvenous obliteration of gastric varices: use of CT-guided foam sclerotherapy to optimize technique. </w:t>
      </w:r>
      <w:r w:rsidRPr="00E60879">
        <w:rPr>
          <w:rFonts w:ascii="Book Antiqua" w:hAnsi="Book Antiqua" w:cs="宋体"/>
          <w:i/>
          <w:iCs/>
          <w:kern w:val="0"/>
          <w:sz w:val="24"/>
          <w:szCs w:val="24"/>
          <w:lang w:eastAsia="zh-CN"/>
        </w:rPr>
        <w:t>AJR Am J Roentgenol</w:t>
      </w:r>
      <w:r w:rsidRPr="00E60879">
        <w:rPr>
          <w:rFonts w:ascii="Book Antiqua" w:hAnsi="Book Antiqua" w:cs="宋体"/>
          <w:kern w:val="0"/>
          <w:sz w:val="24"/>
          <w:szCs w:val="24"/>
          <w:lang w:eastAsia="zh-CN"/>
        </w:rPr>
        <w:t xml:space="preserve"> 2012; </w:t>
      </w:r>
      <w:r w:rsidRPr="00E60879">
        <w:rPr>
          <w:rFonts w:ascii="Book Antiqua" w:hAnsi="Book Antiqua" w:cs="宋体"/>
          <w:b/>
          <w:bCs/>
          <w:kern w:val="0"/>
          <w:sz w:val="24"/>
          <w:szCs w:val="24"/>
          <w:lang w:eastAsia="zh-CN"/>
        </w:rPr>
        <w:t>199</w:t>
      </w:r>
      <w:r w:rsidRPr="00E60879">
        <w:rPr>
          <w:rFonts w:ascii="Book Antiqua" w:hAnsi="Book Antiqua" w:cs="宋体"/>
          <w:kern w:val="0"/>
          <w:sz w:val="24"/>
          <w:szCs w:val="24"/>
          <w:lang w:eastAsia="zh-CN"/>
        </w:rPr>
        <w:t>: 200-207 [PMID: 22733913 DOI: 10.2214/AJR.11.7002]</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34 </w:t>
      </w:r>
      <w:r w:rsidRPr="00E60879">
        <w:rPr>
          <w:rFonts w:ascii="Book Antiqua" w:hAnsi="Book Antiqua" w:cs="宋体"/>
          <w:b/>
          <w:bCs/>
          <w:kern w:val="0"/>
          <w:sz w:val="24"/>
          <w:szCs w:val="24"/>
          <w:lang w:eastAsia="zh-CN"/>
        </w:rPr>
        <w:t>Kiyosue H</w:t>
      </w:r>
      <w:r w:rsidRPr="00E60879">
        <w:rPr>
          <w:rFonts w:ascii="Book Antiqua" w:hAnsi="Book Antiqua" w:cs="宋体"/>
          <w:kern w:val="0"/>
          <w:sz w:val="24"/>
          <w:szCs w:val="24"/>
          <w:lang w:eastAsia="zh-CN"/>
        </w:rPr>
        <w:t xml:space="preserve">, Matsumoto S, Yamada Y, Hori Y, Okino Y, Okahara M, Mori H. Transportal intravariceal sclerotherapy with N-butyl-2-cyanoacrylate for gastric varices. </w:t>
      </w:r>
      <w:r w:rsidRPr="00E60879">
        <w:rPr>
          <w:rFonts w:ascii="Book Antiqua" w:hAnsi="Book Antiqua" w:cs="宋体"/>
          <w:i/>
          <w:iCs/>
          <w:kern w:val="0"/>
          <w:sz w:val="24"/>
          <w:szCs w:val="24"/>
          <w:lang w:eastAsia="zh-CN"/>
        </w:rPr>
        <w:t>J Vasc Interv Radiol</w:t>
      </w:r>
      <w:r w:rsidRPr="00E60879">
        <w:rPr>
          <w:rFonts w:ascii="Book Antiqua" w:hAnsi="Book Antiqua" w:cs="宋体"/>
          <w:kern w:val="0"/>
          <w:sz w:val="24"/>
          <w:szCs w:val="24"/>
          <w:lang w:eastAsia="zh-CN"/>
        </w:rPr>
        <w:t xml:space="preserve"> 2004; </w:t>
      </w:r>
      <w:r w:rsidRPr="00E60879">
        <w:rPr>
          <w:rFonts w:ascii="Book Antiqua" w:hAnsi="Book Antiqua" w:cs="宋体"/>
          <w:b/>
          <w:bCs/>
          <w:kern w:val="0"/>
          <w:sz w:val="24"/>
          <w:szCs w:val="24"/>
          <w:lang w:eastAsia="zh-CN"/>
        </w:rPr>
        <w:t>15</w:t>
      </w:r>
      <w:r w:rsidRPr="00E60879">
        <w:rPr>
          <w:rFonts w:ascii="Book Antiqua" w:hAnsi="Book Antiqua" w:cs="宋体"/>
          <w:kern w:val="0"/>
          <w:sz w:val="24"/>
          <w:szCs w:val="24"/>
          <w:lang w:eastAsia="zh-CN"/>
        </w:rPr>
        <w:t>: 505-509 [PMID: 15126663 DOI: 10.1097/01.RVI.0000126809.59487.88]</w:t>
      </w:r>
    </w:p>
    <w:p w:rsidR="00806C17" w:rsidRPr="00E60879"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35 </w:t>
      </w:r>
      <w:r w:rsidRPr="00E60879">
        <w:rPr>
          <w:rFonts w:ascii="Book Antiqua" w:hAnsi="Book Antiqua" w:cs="宋体"/>
          <w:b/>
          <w:bCs/>
          <w:kern w:val="0"/>
          <w:sz w:val="24"/>
          <w:szCs w:val="24"/>
          <w:lang w:eastAsia="zh-CN"/>
        </w:rPr>
        <w:t>Kwak HS</w:t>
      </w:r>
      <w:r w:rsidRPr="00E60879">
        <w:rPr>
          <w:rFonts w:ascii="Book Antiqua" w:hAnsi="Book Antiqua" w:cs="宋体"/>
          <w:kern w:val="0"/>
          <w:sz w:val="24"/>
          <w:szCs w:val="24"/>
          <w:lang w:eastAsia="zh-CN"/>
        </w:rPr>
        <w:t xml:space="preserve">, Han YM. Percutaneous transportal sclerotherapy with N-butyl-2-cyanoacrylate for gastric varices: technique and clinical efficacy. </w:t>
      </w:r>
      <w:r w:rsidRPr="00E60879">
        <w:rPr>
          <w:rFonts w:ascii="Book Antiqua" w:hAnsi="Book Antiqua" w:cs="宋体"/>
          <w:i/>
          <w:iCs/>
          <w:kern w:val="0"/>
          <w:sz w:val="24"/>
          <w:szCs w:val="24"/>
          <w:lang w:eastAsia="zh-CN"/>
        </w:rPr>
        <w:t>Korean J Radiol</w:t>
      </w:r>
      <w:r w:rsidRPr="00E60879">
        <w:rPr>
          <w:rFonts w:ascii="Book Antiqua" w:hAnsi="Book Antiqua" w:cs="宋体"/>
          <w:kern w:val="0"/>
          <w:sz w:val="24"/>
          <w:szCs w:val="24"/>
          <w:lang w:eastAsia="zh-CN"/>
        </w:rPr>
        <w:t xml:space="preserve"> </w:t>
      </w:r>
      <w:r>
        <w:rPr>
          <w:rFonts w:ascii="Book Antiqua" w:hAnsi="Book Antiqua" w:cs="宋体"/>
          <w:kern w:val="0"/>
          <w:sz w:val="24"/>
          <w:szCs w:val="24"/>
          <w:lang w:eastAsia="zh-CN"/>
        </w:rPr>
        <w:t>2008</w:t>
      </w:r>
      <w:r w:rsidRPr="00E60879">
        <w:rPr>
          <w:rFonts w:ascii="Book Antiqua" w:hAnsi="Book Antiqua" w:cs="宋体"/>
          <w:kern w:val="0"/>
          <w:sz w:val="24"/>
          <w:szCs w:val="24"/>
          <w:lang w:eastAsia="zh-CN"/>
        </w:rPr>
        <w:t xml:space="preserve">; </w:t>
      </w:r>
      <w:r w:rsidRPr="00E60879">
        <w:rPr>
          <w:rFonts w:ascii="Book Antiqua" w:hAnsi="Book Antiqua" w:cs="宋体"/>
          <w:b/>
          <w:bCs/>
          <w:kern w:val="0"/>
          <w:sz w:val="24"/>
          <w:szCs w:val="24"/>
          <w:lang w:eastAsia="zh-CN"/>
        </w:rPr>
        <w:t>9</w:t>
      </w:r>
      <w:r w:rsidRPr="00E60879">
        <w:rPr>
          <w:rFonts w:ascii="Book Antiqua" w:hAnsi="Book Antiqua" w:cs="宋体"/>
          <w:kern w:val="0"/>
          <w:sz w:val="24"/>
          <w:szCs w:val="24"/>
          <w:lang w:eastAsia="zh-CN"/>
        </w:rPr>
        <w:t>: 526-533 [PMID: 19039269 DOI: 10.3348/kjr.2008.9.6.526]</w:t>
      </w:r>
    </w:p>
    <w:p w:rsidR="00806C17" w:rsidRDefault="00806C17" w:rsidP="00E60879">
      <w:pPr>
        <w:widowControl/>
        <w:jc w:val="left"/>
        <w:rPr>
          <w:rFonts w:ascii="Book Antiqua" w:hAnsi="Book Antiqua" w:cs="宋体"/>
          <w:kern w:val="0"/>
          <w:sz w:val="24"/>
          <w:szCs w:val="24"/>
          <w:lang w:eastAsia="zh-CN"/>
        </w:rPr>
      </w:pPr>
      <w:r w:rsidRPr="00E60879">
        <w:rPr>
          <w:rFonts w:ascii="Book Antiqua" w:hAnsi="Book Antiqua" w:cs="宋体"/>
          <w:kern w:val="0"/>
          <w:sz w:val="24"/>
          <w:szCs w:val="24"/>
          <w:lang w:eastAsia="zh-CN"/>
        </w:rPr>
        <w:t xml:space="preserve">36 </w:t>
      </w:r>
      <w:r w:rsidRPr="00E60879">
        <w:rPr>
          <w:rFonts w:ascii="Book Antiqua" w:hAnsi="Book Antiqua" w:cs="宋体"/>
          <w:b/>
          <w:bCs/>
          <w:kern w:val="0"/>
          <w:sz w:val="24"/>
          <w:szCs w:val="24"/>
          <w:lang w:eastAsia="zh-CN"/>
        </w:rPr>
        <w:t>Binmoeller KF</w:t>
      </w:r>
      <w:r w:rsidRPr="00E60879">
        <w:rPr>
          <w:rFonts w:ascii="Book Antiqua" w:hAnsi="Book Antiqua" w:cs="宋体"/>
          <w:kern w:val="0"/>
          <w:sz w:val="24"/>
          <w:szCs w:val="24"/>
          <w:lang w:eastAsia="zh-CN"/>
        </w:rPr>
        <w:t xml:space="preserve">, Weilert F, Shah JN, Kim J. EUS-guided transesophageal treatment of gastric fundal varices with combined coiling and cyanoacrylate glue injection (with videos). </w:t>
      </w:r>
      <w:r w:rsidRPr="00E60879">
        <w:rPr>
          <w:rFonts w:ascii="Book Antiqua" w:hAnsi="Book Antiqua" w:cs="宋体"/>
          <w:i/>
          <w:iCs/>
          <w:kern w:val="0"/>
          <w:sz w:val="24"/>
          <w:szCs w:val="24"/>
          <w:lang w:eastAsia="zh-CN"/>
        </w:rPr>
        <w:t>Gastrointest Endosc</w:t>
      </w:r>
      <w:r w:rsidRPr="00E60879">
        <w:rPr>
          <w:rFonts w:ascii="Book Antiqua" w:hAnsi="Book Antiqua" w:cs="宋体"/>
          <w:kern w:val="0"/>
          <w:sz w:val="24"/>
          <w:szCs w:val="24"/>
          <w:lang w:eastAsia="zh-CN"/>
        </w:rPr>
        <w:t xml:space="preserve"> 2011; </w:t>
      </w:r>
      <w:r w:rsidRPr="00E60879">
        <w:rPr>
          <w:rFonts w:ascii="Book Antiqua" w:hAnsi="Book Antiqua" w:cs="宋体"/>
          <w:b/>
          <w:bCs/>
          <w:kern w:val="0"/>
          <w:sz w:val="24"/>
          <w:szCs w:val="24"/>
          <w:lang w:eastAsia="zh-CN"/>
        </w:rPr>
        <w:t>74</w:t>
      </w:r>
      <w:r w:rsidRPr="00E60879">
        <w:rPr>
          <w:rFonts w:ascii="Book Antiqua" w:hAnsi="Book Antiqua" w:cs="宋体"/>
          <w:kern w:val="0"/>
          <w:sz w:val="24"/>
          <w:szCs w:val="24"/>
          <w:lang w:eastAsia="zh-CN"/>
        </w:rPr>
        <w:t>: 1019-1025 [PMID: 21889139 DOI: 10.1016/j.gie.2011.06.030]</w:t>
      </w:r>
    </w:p>
    <w:p w:rsidR="00806C17" w:rsidRDefault="00806C17" w:rsidP="00E60879">
      <w:pPr>
        <w:widowControl/>
        <w:jc w:val="left"/>
        <w:rPr>
          <w:rFonts w:ascii="Book Antiqua" w:hAnsi="Book Antiqua" w:cs="宋体"/>
          <w:kern w:val="0"/>
          <w:sz w:val="24"/>
          <w:szCs w:val="24"/>
          <w:lang w:eastAsia="zh-CN"/>
        </w:rPr>
      </w:pPr>
    </w:p>
    <w:p w:rsidR="00806C17" w:rsidRDefault="00806C17" w:rsidP="00EA1AFA">
      <w:pPr>
        <w:tabs>
          <w:tab w:val="left" w:pos="180"/>
          <w:tab w:val="left" w:pos="360"/>
        </w:tabs>
        <w:wordWrap w:val="0"/>
        <w:adjustRightInd w:val="0"/>
        <w:snapToGrid w:val="0"/>
        <w:spacing w:line="360" w:lineRule="auto"/>
        <w:jc w:val="right"/>
        <w:rPr>
          <w:rFonts w:ascii="Book Antiqua" w:hAnsi="Book Antiqua" w:cs="Tahoma"/>
          <w:b/>
          <w:color w:val="000000"/>
          <w:sz w:val="24"/>
          <w:lang w:eastAsia="zh-CN"/>
        </w:rPr>
      </w:pPr>
      <w:bookmarkStart w:id="654" w:name="OLE_LINK874"/>
      <w:bookmarkStart w:id="655" w:name="OLE_LINK875"/>
      <w:bookmarkStart w:id="656" w:name="OLE_LINK347"/>
      <w:bookmarkStart w:id="657" w:name="OLE_LINK384"/>
      <w:bookmarkStart w:id="658" w:name="OLE_LINK557"/>
      <w:bookmarkStart w:id="659" w:name="OLE_LINK558"/>
      <w:bookmarkStart w:id="660" w:name="OLE_LINK631"/>
      <w:bookmarkStart w:id="661" w:name="OLE_LINK632"/>
      <w:bookmarkStart w:id="662" w:name="OLE_LINK386"/>
      <w:bookmarkStart w:id="663" w:name="OLE_LINK431"/>
      <w:bookmarkStart w:id="664" w:name="OLE_LINK564"/>
      <w:bookmarkStart w:id="665" w:name="OLE_LINK493"/>
      <w:bookmarkStart w:id="666" w:name="OLE_LINK442"/>
      <w:bookmarkStart w:id="667" w:name="OLE_LINK551"/>
      <w:bookmarkStart w:id="668" w:name="OLE_LINK668"/>
      <w:bookmarkStart w:id="669" w:name="OLE_LINK669"/>
      <w:bookmarkStart w:id="670" w:name="OLE_LINK725"/>
      <w:bookmarkStart w:id="671" w:name="OLE_LINK489"/>
      <w:bookmarkStart w:id="672" w:name="OLE_LINK602"/>
      <w:bookmarkStart w:id="673" w:name="OLE_LINK658"/>
      <w:bookmarkStart w:id="674" w:name="OLE_LINK747"/>
      <w:bookmarkStart w:id="675" w:name="OLE_LINK897"/>
      <w:bookmarkStart w:id="676" w:name="OLE_LINK1138"/>
      <w:bookmarkStart w:id="677" w:name="OLE_LINK1139"/>
      <w:bookmarkStart w:id="678" w:name="OLE_LINK882"/>
      <w:bookmarkStart w:id="679" w:name="OLE_LINK1095"/>
      <w:bookmarkStart w:id="680" w:name="OLE_LINK1305"/>
      <w:bookmarkStart w:id="681" w:name="OLE_LINK1390"/>
      <w:bookmarkStart w:id="682" w:name="OLE_LINK964"/>
      <w:bookmarkStart w:id="683" w:name="OLE_LINK1190"/>
      <w:bookmarkStart w:id="684" w:name="OLE_LINK1314"/>
      <w:bookmarkStart w:id="685" w:name="OLE_LINK1031"/>
      <w:bookmarkStart w:id="686" w:name="OLE_LINK1092"/>
      <w:bookmarkStart w:id="687" w:name="OLE_LINK1258"/>
      <w:bookmarkStart w:id="688" w:name="OLE_LINK1259"/>
      <w:bookmarkStart w:id="689" w:name="OLE_LINK1337"/>
      <w:bookmarkStart w:id="690" w:name="OLE_LINK1338"/>
      <w:bookmarkStart w:id="691" w:name="OLE_LINK1363"/>
      <w:bookmarkStart w:id="692" w:name="OLE_LINK1364"/>
      <w:bookmarkStart w:id="693" w:name="OLE_LINK86"/>
      <w:bookmarkStart w:id="694" w:name="OLE_LINK1595"/>
      <w:bookmarkStart w:id="695" w:name="OLE_LINK1613"/>
      <w:bookmarkStart w:id="696" w:name="OLE_LINK1708"/>
      <w:bookmarkStart w:id="697" w:name="OLE_LINK1774"/>
      <w:bookmarkStart w:id="698" w:name="OLE_LINK1872"/>
      <w:bookmarkStart w:id="699" w:name="OLE_LINK1899"/>
      <w:bookmarkStart w:id="700" w:name="OLE_LINK1492"/>
      <w:bookmarkStart w:id="701" w:name="OLE_LINK1497"/>
      <w:bookmarkStart w:id="702" w:name="OLE_LINK1498"/>
      <w:bookmarkStart w:id="703" w:name="OLE_LINK1589"/>
      <w:bookmarkStart w:id="704" w:name="OLE_LINK1666"/>
      <w:bookmarkStart w:id="705" w:name="OLE_LINK1752"/>
      <w:bookmarkStart w:id="706" w:name="OLE_LINK1616"/>
      <w:bookmarkStart w:id="707" w:name="OLE_LINK1696"/>
      <w:bookmarkStart w:id="708" w:name="OLE_LINK1855"/>
      <w:bookmarkStart w:id="709" w:name="OLE_LINK1942"/>
      <w:bookmarkStart w:id="710" w:name="OLE_LINK1943"/>
      <w:bookmarkStart w:id="711" w:name="OLE_LINK1573"/>
      <w:bookmarkStart w:id="712" w:name="OLE_LINK1574"/>
      <w:bookmarkStart w:id="713" w:name="OLE_LINK1575"/>
      <w:bookmarkStart w:id="714" w:name="OLE_LINK1739"/>
      <w:bookmarkStart w:id="715" w:name="OLE_LINK1761"/>
      <w:bookmarkStart w:id="716" w:name="OLE_LINK1743"/>
      <w:bookmarkStart w:id="717" w:name="OLE_LINK1841"/>
      <w:bookmarkStart w:id="718" w:name="OLE_LINK1858"/>
      <w:bookmarkStart w:id="719" w:name="OLE_LINK1890"/>
      <w:bookmarkStart w:id="720" w:name="OLE_LINK1915"/>
      <w:bookmarkStart w:id="721" w:name="OLE_LINK1980"/>
      <w:bookmarkStart w:id="722" w:name="OLE_LINK1883"/>
      <w:bookmarkStart w:id="723" w:name="OLE_LINK1935"/>
      <w:bookmarkStart w:id="724" w:name="OLE_LINK1936"/>
      <w:bookmarkStart w:id="725" w:name="OLE_LINK1952"/>
      <w:bookmarkStart w:id="726" w:name="OLE_LINK1953"/>
      <w:bookmarkStart w:id="727" w:name="OLE_LINK1999"/>
      <w:bookmarkStart w:id="728" w:name="OLE_LINK2050"/>
      <w:bookmarkStart w:id="729" w:name="OLE_LINK1862"/>
      <w:bookmarkStart w:id="730" w:name="OLE_LINK1963"/>
      <w:bookmarkStart w:id="731" w:name="OLE_LINK2052"/>
      <w:bookmarkStart w:id="732" w:name="OLE_LINK1906"/>
      <w:bookmarkStart w:id="733" w:name="OLE_LINK2031"/>
      <w:bookmarkStart w:id="734" w:name="OLE_LINK2032"/>
      <w:bookmarkStart w:id="735" w:name="OLE_LINK1907"/>
      <w:bookmarkStart w:id="736" w:name="OLE_LINK2004"/>
      <w:bookmarkStart w:id="737" w:name="OLE_LINK2238"/>
      <w:bookmarkStart w:id="738" w:name="OLE_LINK2239"/>
      <w:bookmarkStart w:id="739" w:name="OLE_LINK2163"/>
      <w:bookmarkStart w:id="740" w:name="OLE_LINK2207"/>
      <w:bookmarkStart w:id="741" w:name="OLE_LINK2341"/>
      <w:bookmarkStart w:id="742" w:name="OLE_LINK2417"/>
      <w:bookmarkStart w:id="743" w:name="OLE_LINK2509"/>
      <w:bookmarkStart w:id="744" w:name="OLE_LINK2510"/>
      <w:bookmarkStart w:id="745" w:name="OLE_LINK2511"/>
      <w:bookmarkStart w:id="746" w:name="OLE_LINK2512"/>
      <w:bookmarkStart w:id="747" w:name="OLE_LINK2513"/>
      <w:bookmarkStart w:id="748" w:name="OLE_LINK2514"/>
      <w:bookmarkStart w:id="749" w:name="OLE_LINK2515"/>
      <w:bookmarkStart w:id="750" w:name="OLE_LINK2516"/>
      <w:bookmarkStart w:id="751" w:name="OLE_LINK2517"/>
      <w:bookmarkStart w:id="752" w:name="OLE_LINK2518"/>
      <w:bookmarkStart w:id="753" w:name="OLE_LINK2519"/>
      <w:bookmarkStart w:id="754" w:name="OLE_LINK2520"/>
      <w:bookmarkStart w:id="755" w:name="OLE_LINK2521"/>
      <w:bookmarkStart w:id="756" w:name="OLE_LINK2522"/>
      <w:bookmarkStart w:id="757" w:name="OLE_LINK2523"/>
      <w:bookmarkStart w:id="758" w:name="OLE_LINK2524"/>
      <w:bookmarkStart w:id="759" w:name="OLE_LINK2051"/>
      <w:bookmarkStart w:id="760" w:name="OLE_LINK2109"/>
      <w:bookmarkStart w:id="761" w:name="OLE_LINK2165"/>
      <w:bookmarkStart w:id="762" w:name="OLE_LINK2385"/>
      <w:bookmarkStart w:id="763" w:name="OLE_LINK2593"/>
      <w:bookmarkStart w:id="764" w:name="OLE_LINK2332"/>
      <w:bookmarkStart w:id="765" w:name="OLE_LINK2448"/>
      <w:bookmarkStart w:id="766" w:name="OLE_LINK2525"/>
      <w:bookmarkStart w:id="767" w:name="OLE_LINK2367"/>
      <w:bookmarkStart w:id="768" w:name="OLE_LINK2544"/>
      <w:bookmarkStart w:id="769" w:name="OLE_LINK2624"/>
      <w:bookmarkStart w:id="770" w:name="OLE_LINK2710"/>
      <w:bookmarkStart w:id="771" w:name="OLE_LINK2829"/>
      <w:bookmarkStart w:id="772" w:name="OLE_LINK2830"/>
      <w:r w:rsidRPr="00C56046">
        <w:rPr>
          <w:rFonts w:ascii="Book Antiqua" w:hAnsi="Book Antiqua" w:cs="Tahoma"/>
          <w:b/>
          <w:color w:val="000000"/>
          <w:sz w:val="24"/>
        </w:rPr>
        <w:t>P-Reviewer</w:t>
      </w:r>
      <w:r>
        <w:rPr>
          <w:rFonts w:ascii="Book Antiqua" w:hAnsi="Book Antiqua" w:cs="Tahoma"/>
          <w:b/>
          <w:color w:val="000000"/>
          <w:sz w:val="24"/>
          <w:lang w:eastAsia="zh-CN"/>
        </w:rPr>
        <w:t xml:space="preserve">s </w:t>
      </w:r>
      <w:r w:rsidRPr="00EA1AFA">
        <w:rPr>
          <w:rFonts w:ascii="Book Antiqua" w:hAnsi="Book Antiqua" w:cs="Tahoma"/>
          <w:color w:val="000000"/>
          <w:sz w:val="24"/>
          <w:lang w:eastAsia="zh-CN"/>
        </w:rPr>
        <w:t>Khattab MA, Li YY, Maluf F, Sato T</w:t>
      </w:r>
      <w:r w:rsidRPr="00EA1AFA">
        <w:rPr>
          <w:rFonts w:ascii="Book Antiqua" w:hAnsi="Book Antiqua" w:cs="Tahoma"/>
          <w:color w:val="000000"/>
          <w:sz w:val="24"/>
        </w:rPr>
        <w:t xml:space="preserve"> </w:t>
      </w:r>
      <w:r w:rsidRPr="00C56046">
        <w:rPr>
          <w:rFonts w:ascii="Book Antiqua" w:hAnsi="Book Antiqua" w:cs="Tahoma"/>
          <w:b/>
          <w:color w:val="000000"/>
          <w:sz w:val="24"/>
        </w:rPr>
        <w:t xml:space="preserve">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806C17" w:rsidRPr="00C56046" w:rsidRDefault="00806C17" w:rsidP="00EA1AFA">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 xml:space="preserve"> L-Editor    E-Edito</w:t>
      </w:r>
      <w:bookmarkEnd w:id="654"/>
      <w:bookmarkEnd w:id="655"/>
      <w:r w:rsidRPr="00C56046">
        <w:rPr>
          <w:rFonts w:ascii="Book Antiqua" w:hAnsi="Book Antiqua" w:cs="Tahoma"/>
          <w:b/>
          <w:color w:val="000000"/>
          <w:sz w:val="24"/>
        </w:rPr>
        <w:t>r</w:t>
      </w:r>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rsidR="00806C17" w:rsidRDefault="00806C17" w:rsidP="00E60879">
      <w:pPr>
        <w:widowControl/>
        <w:jc w:val="left"/>
        <w:rPr>
          <w:rFonts w:ascii="Book Antiqua" w:hAnsi="Book Antiqua" w:cs="宋体"/>
          <w:kern w:val="0"/>
          <w:sz w:val="24"/>
          <w:szCs w:val="24"/>
          <w:lang w:eastAsia="zh-CN"/>
        </w:rPr>
      </w:pPr>
    </w:p>
    <w:p w:rsidR="00806C17" w:rsidRPr="00E60879" w:rsidRDefault="00EE5EDE" w:rsidP="00061E4D">
      <w:pPr>
        <w:widowControl/>
        <w:snapToGrid w:val="0"/>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5391150" cy="34391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b="13203"/>
                    <a:stretch>
                      <a:fillRect/>
                    </a:stretch>
                  </pic:blipFill>
                  <pic:spPr bwMode="auto">
                    <a:xfrm>
                      <a:off x="0" y="0"/>
                      <a:ext cx="5391150" cy="3439160"/>
                    </a:xfrm>
                    <a:prstGeom prst="rect">
                      <a:avLst/>
                    </a:prstGeom>
                    <a:noFill/>
                    <a:ln>
                      <a:noFill/>
                    </a:ln>
                  </pic:spPr>
                </pic:pic>
              </a:graphicData>
            </a:graphic>
          </wp:inline>
        </w:drawing>
      </w:r>
    </w:p>
    <w:p w:rsidR="00806C17" w:rsidRPr="00E60879" w:rsidRDefault="00806C17" w:rsidP="00061E4D">
      <w:pPr>
        <w:widowControl/>
        <w:snapToGrid w:val="0"/>
        <w:spacing w:line="360" w:lineRule="auto"/>
        <w:rPr>
          <w:rFonts w:ascii="Book Antiqua" w:hAnsi="Book Antiqua"/>
          <w:sz w:val="24"/>
          <w:szCs w:val="24"/>
        </w:rPr>
      </w:pPr>
      <w:r w:rsidRPr="00061E4D">
        <w:rPr>
          <w:rFonts w:ascii="Book Antiqua" w:hAnsi="Book Antiqua"/>
          <w:b/>
          <w:sz w:val="24"/>
          <w:szCs w:val="24"/>
        </w:rPr>
        <w:t>Figure 1 Gastric varices with a gastrorenal shunt (case 15).</w:t>
      </w:r>
      <w:r>
        <w:rPr>
          <w:rFonts w:ascii="Book Antiqua" w:hAnsi="Book Antiqua"/>
          <w:sz w:val="24"/>
          <w:szCs w:val="24"/>
        </w:rPr>
        <w:t xml:space="preserve"> </w:t>
      </w:r>
      <w:r w:rsidRPr="00E60879">
        <w:rPr>
          <w:rFonts w:ascii="Book Antiqua" w:hAnsi="Book Antiqua"/>
          <w:sz w:val="24"/>
          <w:szCs w:val="24"/>
        </w:rPr>
        <w:t>A</w:t>
      </w:r>
      <w:r>
        <w:rPr>
          <w:rFonts w:ascii="Book Antiqua" w:hAnsi="Book Antiqua"/>
          <w:sz w:val="24"/>
          <w:szCs w:val="24"/>
          <w:lang w:eastAsia="zh-CN"/>
        </w:rPr>
        <w:t>:</w:t>
      </w:r>
      <w:r w:rsidRPr="00E60879">
        <w:rPr>
          <w:rFonts w:ascii="Book Antiqua" w:hAnsi="Book Antiqua"/>
          <w:sz w:val="24"/>
          <w:szCs w:val="24"/>
        </w:rPr>
        <w:t xml:space="preserve"> Balloon-occluded retrograde transvenous obliteration (BRTO) was performed 11 h after hematemesis. The gastric varices and a gastrorenal shunt were filled with 36 mL of 5% ethanolamine oleate iopamidol. A Sengstaken–Blakemore tube was inserted into the stomach for temporary hemostasis</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B</w:t>
      </w:r>
      <w:r>
        <w:rPr>
          <w:rFonts w:ascii="Book Antiqua" w:hAnsi="Book Antiqua"/>
          <w:sz w:val="24"/>
          <w:szCs w:val="24"/>
          <w:lang w:eastAsia="zh-CN"/>
        </w:rPr>
        <w:t xml:space="preserve">: </w:t>
      </w:r>
      <w:r w:rsidRPr="00E60879">
        <w:rPr>
          <w:rFonts w:ascii="Book Antiqua" w:hAnsi="Book Antiqua"/>
          <w:sz w:val="24"/>
          <w:szCs w:val="24"/>
        </w:rPr>
        <w:t>Contrast-enhanced computed tomography (CE-CT) image taken before BRTO shows gastric varices (asterisk) with a massive hematoma</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C</w:t>
      </w:r>
      <w:r>
        <w:rPr>
          <w:rFonts w:ascii="Book Antiqua" w:hAnsi="Book Antiqua"/>
          <w:sz w:val="24"/>
          <w:szCs w:val="24"/>
          <w:lang w:eastAsia="zh-CN"/>
        </w:rPr>
        <w:t>:</w:t>
      </w:r>
      <w:r w:rsidRPr="00E60879">
        <w:rPr>
          <w:rFonts w:ascii="Book Antiqua" w:hAnsi="Book Antiqua"/>
          <w:sz w:val="24"/>
          <w:szCs w:val="24"/>
        </w:rPr>
        <w:t xml:space="preserve"> CE-CT</w:t>
      </w:r>
      <w:r>
        <w:rPr>
          <w:rFonts w:ascii="Book Antiqua" w:hAnsi="Book Antiqua"/>
          <w:sz w:val="24"/>
          <w:szCs w:val="24"/>
        </w:rPr>
        <w:t xml:space="preserve"> image taken 1 w</w:t>
      </w:r>
      <w:r w:rsidRPr="00E60879">
        <w:rPr>
          <w:rFonts w:ascii="Book Antiqua" w:hAnsi="Book Antiqua"/>
          <w:sz w:val="24"/>
          <w:szCs w:val="24"/>
        </w:rPr>
        <w:t>k after BRTO shows complete thrombosis of the varices (asterisk)</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D</w:t>
      </w:r>
      <w:r>
        <w:rPr>
          <w:rFonts w:ascii="Book Antiqua" w:hAnsi="Book Antiqua"/>
          <w:sz w:val="24"/>
          <w:szCs w:val="24"/>
          <w:lang w:eastAsia="zh-CN"/>
        </w:rPr>
        <w:t>:</w:t>
      </w:r>
      <w:r w:rsidRPr="00E60879">
        <w:rPr>
          <w:rFonts w:ascii="Book Antiqua" w:hAnsi="Book Antiqua"/>
          <w:sz w:val="24"/>
          <w:szCs w:val="24"/>
        </w:rPr>
        <w:t xml:space="preserve"> CE-CT image taken 6 mo after BRTO shows complete disappearance of the varices</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E</w:t>
      </w:r>
      <w:r>
        <w:rPr>
          <w:rFonts w:ascii="Book Antiqua" w:hAnsi="Book Antiqua"/>
          <w:sz w:val="24"/>
          <w:szCs w:val="24"/>
          <w:lang w:eastAsia="zh-CN"/>
        </w:rPr>
        <w:t>:</w:t>
      </w:r>
      <w:r w:rsidRPr="00E60879">
        <w:rPr>
          <w:rFonts w:ascii="Book Antiqua" w:hAnsi="Book Antiqua"/>
          <w:sz w:val="24"/>
          <w:szCs w:val="24"/>
        </w:rPr>
        <w:t xml:space="preserve"> Endoscopy performed before BRTO shows gastric varices (asterisk) with oozing</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F</w:t>
      </w:r>
      <w:r>
        <w:rPr>
          <w:rFonts w:ascii="Book Antiqua" w:hAnsi="Book Antiqua"/>
          <w:sz w:val="24"/>
          <w:szCs w:val="24"/>
          <w:lang w:eastAsia="zh-CN"/>
        </w:rPr>
        <w:t>:</w:t>
      </w:r>
      <w:r w:rsidRPr="00E60879">
        <w:rPr>
          <w:rFonts w:ascii="Book Antiqua" w:hAnsi="Book Antiqua"/>
          <w:sz w:val="24"/>
          <w:szCs w:val="24"/>
        </w:rPr>
        <w:t xml:space="preserve"> Endoscopy performed 6 mo after BRTO shows complete disappearance of the varices.</w:t>
      </w:r>
    </w:p>
    <w:p w:rsidR="00806C17" w:rsidRPr="00E60879" w:rsidRDefault="00806C17" w:rsidP="00061E4D">
      <w:pPr>
        <w:widowControl/>
        <w:snapToGrid w:val="0"/>
        <w:spacing w:line="360" w:lineRule="auto"/>
        <w:rPr>
          <w:rFonts w:ascii="Book Antiqua" w:hAnsi="Book Antiqua"/>
          <w:sz w:val="24"/>
          <w:szCs w:val="24"/>
        </w:rPr>
      </w:pPr>
      <w:r w:rsidRPr="00E60879">
        <w:rPr>
          <w:rFonts w:ascii="Book Antiqua" w:hAnsi="Book Antiqua"/>
          <w:sz w:val="24"/>
          <w:szCs w:val="24"/>
        </w:rPr>
        <w:br w:type="page"/>
      </w:r>
    </w:p>
    <w:p w:rsidR="00806C17" w:rsidRPr="00E60879" w:rsidRDefault="00EE5EDE" w:rsidP="00061E4D">
      <w:pPr>
        <w:widowControl/>
        <w:snapToGrid w:val="0"/>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5397500" cy="40468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06C17" w:rsidRPr="00E60879" w:rsidRDefault="00806C17" w:rsidP="00061E4D">
      <w:pPr>
        <w:widowControl/>
        <w:snapToGrid w:val="0"/>
        <w:spacing w:line="360" w:lineRule="auto"/>
        <w:rPr>
          <w:rFonts w:ascii="Book Antiqua" w:hAnsi="Book Antiqua"/>
          <w:sz w:val="24"/>
          <w:szCs w:val="24"/>
        </w:rPr>
      </w:pPr>
    </w:p>
    <w:p w:rsidR="00806C17" w:rsidRPr="00E60879" w:rsidRDefault="00806C17" w:rsidP="00061E4D">
      <w:pPr>
        <w:widowControl/>
        <w:snapToGrid w:val="0"/>
        <w:spacing w:line="360" w:lineRule="auto"/>
        <w:rPr>
          <w:rFonts w:ascii="Book Antiqua" w:hAnsi="Book Antiqua"/>
          <w:sz w:val="24"/>
          <w:szCs w:val="24"/>
        </w:rPr>
      </w:pPr>
      <w:r w:rsidRPr="002A7CBD">
        <w:rPr>
          <w:rFonts w:ascii="Book Antiqua" w:hAnsi="Book Antiqua"/>
          <w:b/>
          <w:sz w:val="24"/>
          <w:szCs w:val="24"/>
        </w:rPr>
        <w:t xml:space="preserve">Figure 2 Gastric varices with a gastrocaval shunt (case 8). </w:t>
      </w:r>
      <w:r w:rsidRPr="00E60879">
        <w:rPr>
          <w:rFonts w:ascii="Book Antiqua" w:hAnsi="Book Antiqua"/>
          <w:sz w:val="24"/>
          <w:szCs w:val="24"/>
        </w:rPr>
        <w:t>A</w:t>
      </w:r>
      <w:r>
        <w:rPr>
          <w:rFonts w:ascii="Book Antiqua" w:hAnsi="Book Antiqua"/>
          <w:sz w:val="24"/>
          <w:szCs w:val="24"/>
          <w:lang w:eastAsia="zh-CN"/>
        </w:rPr>
        <w:t>:</w:t>
      </w:r>
      <w:r w:rsidRPr="00E60879">
        <w:rPr>
          <w:rFonts w:ascii="Book Antiqua" w:hAnsi="Book Antiqua"/>
          <w:sz w:val="24"/>
          <w:szCs w:val="24"/>
        </w:rPr>
        <w:t xml:space="preserve"> A balloon catheter was inserted into a gastrocaval shunt and 18 mL of 5% EOI was injected through the microcatheter that had been advanced close to the gastric varices</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B</w:t>
      </w:r>
      <w:r>
        <w:rPr>
          <w:rFonts w:ascii="Book Antiqua" w:hAnsi="Book Antiqua"/>
          <w:sz w:val="24"/>
          <w:szCs w:val="24"/>
          <w:lang w:eastAsia="zh-CN"/>
        </w:rPr>
        <w:t>:</w:t>
      </w:r>
      <w:r w:rsidRPr="00E60879">
        <w:rPr>
          <w:rFonts w:ascii="Book Antiqua" w:hAnsi="Book Antiqua"/>
          <w:sz w:val="24"/>
          <w:szCs w:val="24"/>
        </w:rPr>
        <w:t xml:space="preserve"> Contrast-enhanced computed tomography (CE-CT) image taken before balloon-occluded retrograde transvenous obliteration (BRTO) shows gastric varices (asterisk) with a massive hematoma</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C</w:t>
      </w:r>
      <w:r>
        <w:rPr>
          <w:rFonts w:ascii="Book Antiqua" w:hAnsi="Book Antiqua"/>
          <w:sz w:val="24"/>
          <w:szCs w:val="24"/>
          <w:lang w:eastAsia="zh-CN"/>
        </w:rPr>
        <w:t>:</w:t>
      </w:r>
      <w:r w:rsidRPr="00E60879">
        <w:rPr>
          <w:rFonts w:ascii="Book Antiqua" w:hAnsi="Book Antiqua"/>
          <w:sz w:val="24"/>
          <w:szCs w:val="24"/>
        </w:rPr>
        <w:t xml:space="preserve"> CE-CT image taken the day after BRTO shows complete thrombosis of the varices (asterisk) and that the tip of the microcatheter (arrow) is close to the varices</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D</w:t>
      </w:r>
      <w:r>
        <w:rPr>
          <w:rFonts w:ascii="Book Antiqua" w:hAnsi="Book Antiqua"/>
          <w:sz w:val="24"/>
          <w:szCs w:val="24"/>
          <w:lang w:eastAsia="zh-CN"/>
        </w:rPr>
        <w:t>:</w:t>
      </w:r>
      <w:r w:rsidRPr="00E60879">
        <w:rPr>
          <w:rFonts w:ascii="Book Antiqua" w:hAnsi="Book Antiqua"/>
          <w:sz w:val="24"/>
          <w:szCs w:val="24"/>
        </w:rPr>
        <w:t xml:space="preserve"> Endoscopy performed before BRTO shows bleeding site (arrow) of the gastric varices (asterisk)</w:t>
      </w:r>
      <w:r>
        <w:rPr>
          <w:rFonts w:ascii="Book Antiqua" w:hAnsi="Book Antiqua"/>
          <w:sz w:val="24"/>
          <w:szCs w:val="24"/>
          <w:lang w:eastAsia="zh-CN"/>
        </w:rPr>
        <w:t>;</w:t>
      </w:r>
      <w:r>
        <w:rPr>
          <w:rFonts w:ascii="Book Antiqua" w:hAnsi="Book Antiqua"/>
          <w:sz w:val="24"/>
          <w:szCs w:val="24"/>
        </w:rPr>
        <w:t xml:space="preserve"> </w:t>
      </w:r>
      <w:r w:rsidRPr="00E60879">
        <w:rPr>
          <w:rFonts w:ascii="Book Antiqua" w:hAnsi="Book Antiqua"/>
          <w:sz w:val="24"/>
          <w:szCs w:val="24"/>
        </w:rPr>
        <w:t>E</w:t>
      </w:r>
      <w:r>
        <w:rPr>
          <w:rFonts w:ascii="Book Antiqua" w:hAnsi="Book Antiqua"/>
          <w:sz w:val="24"/>
          <w:szCs w:val="24"/>
          <w:lang w:eastAsia="zh-CN"/>
        </w:rPr>
        <w:t>:</w:t>
      </w:r>
      <w:r w:rsidRPr="00E60879">
        <w:rPr>
          <w:rFonts w:ascii="Book Antiqua" w:hAnsi="Book Antiqua"/>
          <w:sz w:val="24"/>
          <w:szCs w:val="24"/>
        </w:rPr>
        <w:t xml:space="preserve"> Endoscopy performed 3 mo after BRTO shows complete disappearance of the varices.</w:t>
      </w:r>
    </w:p>
    <w:p w:rsidR="00806C17" w:rsidRPr="00061E4D" w:rsidRDefault="00806C17" w:rsidP="00E60879">
      <w:pPr>
        <w:widowControl/>
        <w:jc w:val="left"/>
        <w:rPr>
          <w:rFonts w:ascii="Book Antiqua" w:hAnsi="Book Antiqua" w:cs="宋体"/>
          <w:kern w:val="0"/>
          <w:sz w:val="24"/>
          <w:szCs w:val="24"/>
          <w:lang w:eastAsia="zh-CN"/>
        </w:rPr>
        <w:sectPr w:rsidR="00806C17" w:rsidRPr="00061E4D" w:rsidSect="00AC2809">
          <w:pgSz w:w="11906" w:h="16838"/>
          <w:pgMar w:top="1985" w:right="1701" w:bottom="1701" w:left="1701" w:header="851" w:footer="992" w:gutter="0"/>
          <w:cols w:space="425"/>
          <w:docGrid w:type="lines" w:linePitch="360"/>
        </w:sectPr>
      </w:pPr>
    </w:p>
    <w:tbl>
      <w:tblPr>
        <w:tblW w:w="5000" w:type="pct"/>
        <w:jc w:val="center"/>
        <w:tblCellMar>
          <w:left w:w="99" w:type="dxa"/>
          <w:right w:w="99" w:type="dxa"/>
        </w:tblCellMar>
        <w:tblLook w:val="00A0" w:firstRow="1" w:lastRow="0" w:firstColumn="1" w:lastColumn="0" w:noHBand="0" w:noVBand="0"/>
      </w:tblPr>
      <w:tblGrid>
        <w:gridCol w:w="869"/>
        <w:gridCol w:w="786"/>
        <w:gridCol w:w="806"/>
        <w:gridCol w:w="1290"/>
        <w:gridCol w:w="1003"/>
        <w:gridCol w:w="1562"/>
        <w:gridCol w:w="1198"/>
        <w:gridCol w:w="1218"/>
        <w:gridCol w:w="1431"/>
        <w:gridCol w:w="1351"/>
        <w:gridCol w:w="1129"/>
        <w:gridCol w:w="1163"/>
      </w:tblGrid>
      <w:tr w:rsidR="00806C17" w:rsidRPr="007A45FF" w:rsidTr="00EA1AFA">
        <w:trPr>
          <w:trHeight w:val="493"/>
          <w:jc w:val="center"/>
        </w:trPr>
        <w:tc>
          <w:tcPr>
            <w:tcW w:w="5000" w:type="pct"/>
            <w:gridSpan w:val="12"/>
            <w:tcBorders>
              <w:left w:val="nil"/>
              <w:bottom w:val="single" w:sz="4" w:space="0" w:color="auto"/>
              <w:right w:val="nil"/>
            </w:tcBorders>
            <w:noWrap/>
            <w:vAlign w:val="center"/>
          </w:tcPr>
          <w:p w:rsidR="00806C17" w:rsidRPr="007A45FF" w:rsidRDefault="00806C17" w:rsidP="00EA1AFA">
            <w:pPr>
              <w:widowControl/>
              <w:snapToGrid w:val="0"/>
              <w:spacing w:line="360" w:lineRule="auto"/>
              <w:rPr>
                <w:rFonts w:ascii="Book Antiqua" w:hAnsi="Book Antiqua"/>
                <w:b/>
                <w:sz w:val="24"/>
                <w:szCs w:val="24"/>
              </w:rPr>
            </w:pPr>
            <w:r w:rsidRPr="007A45FF">
              <w:rPr>
                <w:rFonts w:ascii="Book Antiqua" w:hAnsi="Book Antiqua"/>
                <w:b/>
                <w:sz w:val="24"/>
                <w:szCs w:val="24"/>
              </w:rPr>
              <w:lastRenderedPageBreak/>
              <w:t>Table 1 Patient characteristics and clinical outcomes</w:t>
            </w:r>
          </w:p>
        </w:tc>
      </w:tr>
      <w:tr w:rsidR="00806C17" w:rsidRPr="007A45FF" w:rsidTr="00EA1AFA">
        <w:trPr>
          <w:trHeight w:val="493"/>
          <w:jc w:val="center"/>
        </w:trPr>
        <w:tc>
          <w:tcPr>
            <w:tcW w:w="303" w:type="pct"/>
            <w:tcBorders>
              <w:top w:val="single" w:sz="4" w:space="0" w:color="auto"/>
              <w:left w:val="nil"/>
              <w:bottom w:val="single" w:sz="4" w:space="0" w:color="auto"/>
              <w:right w:val="nil"/>
            </w:tcBorders>
            <w:noWrap/>
            <w:vAlign w:val="center"/>
          </w:tcPr>
          <w:p w:rsidR="00806C17" w:rsidRPr="007A45FF" w:rsidRDefault="00806C17" w:rsidP="00E0789B">
            <w:pPr>
              <w:widowControl/>
              <w:snapToGrid w:val="0"/>
              <w:spacing w:line="360" w:lineRule="auto"/>
              <w:rPr>
                <w:rFonts w:ascii="Book Antiqua" w:hAnsi="Book Antiqua"/>
                <w:b/>
                <w:sz w:val="24"/>
                <w:szCs w:val="24"/>
              </w:rPr>
            </w:pPr>
            <w:r w:rsidRPr="007A45FF">
              <w:rPr>
                <w:rFonts w:ascii="Book Antiqua" w:hAnsi="Book Antiqua"/>
                <w:b/>
                <w:sz w:val="24"/>
                <w:szCs w:val="24"/>
              </w:rPr>
              <w:t>Case</w:t>
            </w:r>
          </w:p>
        </w:tc>
        <w:tc>
          <w:tcPr>
            <w:tcW w:w="269" w:type="pct"/>
            <w:tcBorders>
              <w:top w:val="single" w:sz="4" w:space="0" w:color="auto"/>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Age</w:t>
            </w:r>
          </w:p>
        </w:tc>
        <w:tc>
          <w:tcPr>
            <w:tcW w:w="277" w:type="pct"/>
            <w:tcBorders>
              <w:top w:val="single" w:sz="4" w:space="0" w:color="auto"/>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Sex</w:t>
            </w:r>
          </w:p>
        </w:tc>
        <w:tc>
          <w:tcPr>
            <w:tcW w:w="473"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Cause of LC</w:t>
            </w:r>
          </w:p>
        </w:tc>
        <w:tc>
          <w:tcPr>
            <w:tcW w:w="357" w:type="pct"/>
            <w:tcBorders>
              <w:top w:val="single" w:sz="4" w:space="0" w:color="auto"/>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Child–Pugh class</w:t>
            </w:r>
          </w:p>
        </w:tc>
        <w:tc>
          <w:tcPr>
            <w:tcW w:w="583"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Temporary</w:t>
            </w:r>
            <w:r w:rsidRPr="007A45FF">
              <w:rPr>
                <w:rFonts w:ascii="Book Antiqua" w:hAnsi="Book Antiqua"/>
                <w:b/>
                <w:sz w:val="24"/>
                <w:szCs w:val="24"/>
              </w:rPr>
              <w:br/>
              <w:t>hemostasis</w:t>
            </w:r>
          </w:p>
        </w:tc>
        <w:tc>
          <w:tcPr>
            <w:tcW w:w="436"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Drainage</w:t>
            </w:r>
            <w:r w:rsidRPr="007A45FF">
              <w:rPr>
                <w:rFonts w:ascii="Book Antiqua" w:hAnsi="Book Antiqua"/>
                <w:b/>
                <w:sz w:val="24"/>
                <w:szCs w:val="24"/>
              </w:rPr>
              <w:br/>
              <w:t>route</w:t>
            </w:r>
          </w:p>
        </w:tc>
        <w:tc>
          <w:tcPr>
            <w:tcW w:w="444"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Dose of 5%</w:t>
            </w:r>
            <w:r w:rsidRPr="00061E4D">
              <w:rPr>
                <w:rFonts w:ascii="Book Antiqua" w:hAnsi="Book Antiqua"/>
                <w:b/>
                <w:sz w:val="24"/>
                <w:szCs w:val="24"/>
                <w:lang w:eastAsia="zh-CN"/>
              </w:rPr>
              <w:t xml:space="preserve"> </w:t>
            </w:r>
            <w:r w:rsidRPr="007A45FF">
              <w:rPr>
                <w:rFonts w:ascii="Book Antiqua" w:hAnsi="Book Antiqua"/>
                <w:b/>
                <w:sz w:val="24"/>
                <w:szCs w:val="24"/>
              </w:rPr>
              <w:t>EOI (mL)</w:t>
            </w:r>
          </w:p>
        </w:tc>
        <w:tc>
          <w:tcPr>
            <w:tcW w:w="530"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Eradication</w:t>
            </w:r>
            <w:r w:rsidRPr="007A45FF">
              <w:rPr>
                <w:rFonts w:ascii="Book Antiqua" w:hAnsi="Book Antiqua"/>
                <w:b/>
                <w:sz w:val="24"/>
                <w:szCs w:val="24"/>
              </w:rPr>
              <w:br/>
              <w:t>of GV</w:t>
            </w:r>
          </w:p>
        </w:tc>
        <w:tc>
          <w:tcPr>
            <w:tcW w:w="498"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Worsening of EV</w:t>
            </w:r>
          </w:p>
        </w:tc>
        <w:tc>
          <w:tcPr>
            <w:tcW w:w="408"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Follow-up time (d)</w:t>
            </w:r>
          </w:p>
        </w:tc>
        <w:tc>
          <w:tcPr>
            <w:tcW w:w="422" w:type="pct"/>
            <w:tcBorders>
              <w:top w:val="single" w:sz="4" w:space="0" w:color="auto"/>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Clinical</w:t>
            </w:r>
          </w:p>
          <w:p w:rsidR="00806C17" w:rsidRPr="007A45FF" w:rsidRDefault="00806C17" w:rsidP="00061E4D">
            <w:pPr>
              <w:widowControl/>
              <w:snapToGrid w:val="0"/>
              <w:spacing w:line="360" w:lineRule="auto"/>
              <w:jc w:val="center"/>
              <w:rPr>
                <w:rFonts w:ascii="Book Antiqua" w:hAnsi="Book Antiqua"/>
                <w:b/>
                <w:sz w:val="24"/>
                <w:szCs w:val="24"/>
              </w:rPr>
            </w:pPr>
            <w:r w:rsidRPr="007A45FF">
              <w:rPr>
                <w:rFonts w:ascii="Book Antiqua" w:hAnsi="Book Antiqua"/>
                <w:b/>
                <w:sz w:val="24"/>
                <w:szCs w:val="24"/>
              </w:rPr>
              <w:t>outcome</w:t>
            </w:r>
          </w:p>
        </w:tc>
      </w:tr>
      <w:tr w:rsidR="00806C17" w:rsidRPr="007A45FF" w:rsidTr="00EA1AFA">
        <w:trPr>
          <w:trHeight w:val="247"/>
          <w:jc w:val="center"/>
        </w:trPr>
        <w:tc>
          <w:tcPr>
            <w:tcW w:w="303" w:type="pct"/>
            <w:tcBorders>
              <w:top w:val="single" w:sz="4" w:space="0" w:color="auto"/>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w:t>
            </w:r>
          </w:p>
        </w:tc>
        <w:tc>
          <w:tcPr>
            <w:tcW w:w="269"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63</w:t>
            </w:r>
          </w:p>
        </w:tc>
        <w:tc>
          <w:tcPr>
            <w:tcW w:w="277"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HCV</w:t>
            </w:r>
          </w:p>
        </w:tc>
        <w:tc>
          <w:tcPr>
            <w:tcW w:w="357"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30</w:t>
            </w:r>
          </w:p>
        </w:tc>
        <w:tc>
          <w:tcPr>
            <w:tcW w:w="530"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205</w:t>
            </w:r>
          </w:p>
        </w:tc>
        <w:tc>
          <w:tcPr>
            <w:tcW w:w="422" w:type="pct"/>
            <w:tcBorders>
              <w:top w:val="single" w:sz="4" w:space="0" w:color="auto"/>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24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2</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59</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HBV</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40</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2229</w:t>
            </w:r>
          </w:p>
        </w:tc>
        <w:tc>
          <w:tcPr>
            <w:tcW w:w="422"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24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3</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58</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F</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PBC</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w:t>
            </w:r>
          </w:p>
        </w:tc>
        <w:tc>
          <w:tcPr>
            <w:tcW w:w="58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18</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2197</w:t>
            </w:r>
          </w:p>
        </w:tc>
        <w:tc>
          <w:tcPr>
            <w:tcW w:w="422" w:type="pct"/>
            <w:tcBorders>
              <w:top w:val="nil"/>
              <w:left w:val="nil"/>
              <w:bottom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HF</w:t>
            </w:r>
            <w:r>
              <w:rPr>
                <w:rFonts w:ascii="Book Antiqua" w:hAnsi="Book Antiqua"/>
                <w:sz w:val="24"/>
                <w:szCs w:val="24"/>
                <w:vertAlign w:val="superscript"/>
                <w:lang w:eastAsia="zh-CN"/>
              </w:rPr>
              <w:t>1</w:t>
            </w:r>
          </w:p>
        </w:tc>
      </w:tr>
      <w:tr w:rsidR="00806C17" w:rsidRPr="007A45FF" w:rsidTr="00EA1AFA">
        <w:trPr>
          <w:trHeight w:val="24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4</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67</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HCV</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w:t>
            </w:r>
          </w:p>
        </w:tc>
        <w:tc>
          <w:tcPr>
            <w:tcW w:w="58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12</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2529</w:t>
            </w:r>
          </w:p>
        </w:tc>
        <w:tc>
          <w:tcPr>
            <w:tcW w:w="422" w:type="pct"/>
            <w:tcBorders>
              <w:top w:val="nil"/>
              <w:left w:val="nil"/>
              <w:bottom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HCC</w:t>
            </w:r>
            <w:r>
              <w:rPr>
                <w:rFonts w:ascii="Book Antiqua" w:hAnsi="Book Antiqua"/>
                <w:sz w:val="24"/>
                <w:szCs w:val="24"/>
                <w:vertAlign w:val="superscript"/>
                <w:lang w:eastAsia="zh-CN"/>
              </w:rPr>
              <w:t>2</w:t>
            </w:r>
          </w:p>
        </w:tc>
      </w:tr>
      <w:tr w:rsidR="00806C17" w:rsidRPr="007A45FF" w:rsidTr="00EA1AFA">
        <w:trPr>
          <w:trHeight w:val="24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5</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79</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F</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Unknown</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w:t>
            </w:r>
          </w:p>
        </w:tc>
        <w:tc>
          <w:tcPr>
            <w:tcW w:w="58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35</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135</w:t>
            </w:r>
          </w:p>
        </w:tc>
        <w:tc>
          <w:tcPr>
            <w:tcW w:w="422" w:type="pct"/>
            <w:tcBorders>
              <w:top w:val="nil"/>
              <w:left w:val="nil"/>
              <w:bottom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HF</w:t>
            </w:r>
            <w:r>
              <w:rPr>
                <w:rFonts w:ascii="Book Antiqua" w:hAnsi="Book Antiqua"/>
                <w:sz w:val="24"/>
                <w:szCs w:val="24"/>
                <w:vertAlign w:val="superscript"/>
                <w:lang w:eastAsia="zh-CN"/>
              </w:rPr>
              <w:t>1</w:t>
            </w:r>
          </w:p>
        </w:tc>
      </w:tr>
      <w:tr w:rsidR="00806C17" w:rsidRPr="007A45FF" w:rsidTr="00EA1AFA">
        <w:trPr>
          <w:trHeight w:val="27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6</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46</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HCV</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36</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388</w:t>
            </w:r>
          </w:p>
        </w:tc>
        <w:tc>
          <w:tcPr>
            <w:tcW w:w="422"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24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7</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66</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F</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Alcohol</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10+17</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2739</w:t>
            </w:r>
          </w:p>
        </w:tc>
        <w:tc>
          <w:tcPr>
            <w:tcW w:w="422" w:type="pct"/>
            <w:tcBorders>
              <w:top w:val="nil"/>
              <w:left w:val="nil"/>
              <w:bottom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HF</w:t>
            </w:r>
            <w:r>
              <w:rPr>
                <w:rFonts w:ascii="Book Antiqua" w:hAnsi="Book Antiqua"/>
                <w:sz w:val="24"/>
                <w:szCs w:val="24"/>
                <w:vertAlign w:val="superscript"/>
                <w:lang w:eastAsia="zh-CN"/>
              </w:rPr>
              <w:t>1</w:t>
            </w:r>
          </w:p>
        </w:tc>
      </w:tr>
      <w:tr w:rsidR="00806C17" w:rsidRPr="007A45FF" w:rsidTr="00EA1AFA">
        <w:trPr>
          <w:trHeight w:val="24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8</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59</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Alcohol</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GC</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18</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1501</w:t>
            </w:r>
          </w:p>
        </w:tc>
        <w:tc>
          <w:tcPr>
            <w:tcW w:w="422"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247"/>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9</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70</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HCV</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Spontaneous</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17</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8</w:t>
            </w:r>
          </w:p>
        </w:tc>
        <w:tc>
          <w:tcPr>
            <w:tcW w:w="422"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259"/>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10</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33</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F</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Unknown</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30+10</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1293</w:t>
            </w:r>
          </w:p>
        </w:tc>
        <w:tc>
          <w:tcPr>
            <w:tcW w:w="422"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315"/>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11</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46</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HBV</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w:t>
            </w:r>
          </w:p>
        </w:tc>
        <w:tc>
          <w:tcPr>
            <w:tcW w:w="583"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36+23</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41</w:t>
            </w:r>
          </w:p>
        </w:tc>
        <w:tc>
          <w:tcPr>
            <w:tcW w:w="422"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242"/>
          <w:jc w:val="center"/>
        </w:trPr>
        <w:tc>
          <w:tcPr>
            <w:tcW w:w="303" w:type="pct"/>
            <w:tcBorders>
              <w:top w:val="nil"/>
              <w:left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12</w:t>
            </w:r>
          </w:p>
        </w:tc>
        <w:tc>
          <w:tcPr>
            <w:tcW w:w="269"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57</w:t>
            </w:r>
          </w:p>
        </w:tc>
        <w:tc>
          <w:tcPr>
            <w:tcW w:w="277"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HBV</w:t>
            </w:r>
          </w:p>
        </w:tc>
        <w:tc>
          <w:tcPr>
            <w:tcW w:w="357"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30+28</w:t>
            </w:r>
          </w:p>
        </w:tc>
        <w:tc>
          <w:tcPr>
            <w:tcW w:w="530"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164</w:t>
            </w:r>
          </w:p>
        </w:tc>
        <w:tc>
          <w:tcPr>
            <w:tcW w:w="422" w:type="pct"/>
            <w:tcBorders>
              <w:top w:val="nil"/>
              <w:left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HF</w:t>
            </w:r>
            <w:r>
              <w:rPr>
                <w:rFonts w:ascii="Book Antiqua" w:hAnsi="Book Antiqua"/>
                <w:sz w:val="24"/>
                <w:szCs w:val="24"/>
                <w:vertAlign w:val="superscript"/>
                <w:lang w:eastAsia="zh-CN"/>
              </w:rPr>
              <w:t>1</w:t>
            </w:r>
          </w:p>
        </w:tc>
      </w:tr>
      <w:tr w:rsidR="00806C17" w:rsidRPr="007A45FF" w:rsidTr="00EA1AFA">
        <w:trPr>
          <w:trHeight w:val="260"/>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13</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66</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Alcohol</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18+13</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Partial</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14</w:t>
            </w:r>
          </w:p>
        </w:tc>
        <w:tc>
          <w:tcPr>
            <w:tcW w:w="422" w:type="pct"/>
            <w:tcBorders>
              <w:top w:val="nil"/>
              <w:left w:val="nil"/>
              <w:bottom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HF</w:t>
            </w:r>
            <w:r>
              <w:rPr>
                <w:rFonts w:ascii="Book Antiqua" w:hAnsi="Book Antiqua"/>
                <w:sz w:val="24"/>
                <w:szCs w:val="24"/>
                <w:vertAlign w:val="superscript"/>
                <w:lang w:eastAsia="zh-CN"/>
              </w:rPr>
              <w:t>1</w:t>
            </w:r>
          </w:p>
        </w:tc>
      </w:tr>
      <w:tr w:rsidR="00806C17" w:rsidRPr="007A45FF" w:rsidTr="00EA1AFA">
        <w:trPr>
          <w:trHeight w:val="240"/>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14</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65</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F</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HCV</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10+8</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1130</w:t>
            </w:r>
          </w:p>
        </w:tc>
        <w:tc>
          <w:tcPr>
            <w:tcW w:w="422"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294"/>
          <w:jc w:val="center"/>
        </w:trPr>
        <w:tc>
          <w:tcPr>
            <w:tcW w:w="303" w:type="pct"/>
            <w:tcBorders>
              <w:top w:val="nil"/>
              <w:left w:val="nil"/>
              <w:bottom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15</w:t>
            </w:r>
          </w:p>
        </w:tc>
        <w:tc>
          <w:tcPr>
            <w:tcW w:w="269"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51</w:t>
            </w:r>
          </w:p>
        </w:tc>
        <w:tc>
          <w:tcPr>
            <w:tcW w:w="27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HCV</w:t>
            </w:r>
          </w:p>
        </w:tc>
        <w:tc>
          <w:tcPr>
            <w:tcW w:w="357"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bottom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36</w:t>
            </w:r>
          </w:p>
        </w:tc>
        <w:tc>
          <w:tcPr>
            <w:tcW w:w="530"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2466</w:t>
            </w:r>
          </w:p>
        </w:tc>
        <w:tc>
          <w:tcPr>
            <w:tcW w:w="422" w:type="pct"/>
            <w:tcBorders>
              <w:top w:val="nil"/>
              <w:left w:val="nil"/>
              <w:bottom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HF</w:t>
            </w:r>
            <w:r>
              <w:rPr>
                <w:rFonts w:ascii="Book Antiqua" w:hAnsi="Book Antiqua"/>
                <w:sz w:val="24"/>
                <w:szCs w:val="24"/>
                <w:vertAlign w:val="superscript"/>
                <w:lang w:eastAsia="zh-CN"/>
              </w:rPr>
              <w:t>1</w:t>
            </w:r>
          </w:p>
        </w:tc>
      </w:tr>
      <w:tr w:rsidR="00806C17" w:rsidRPr="007A45FF" w:rsidTr="00EA1AFA">
        <w:trPr>
          <w:trHeight w:val="353"/>
          <w:jc w:val="center"/>
        </w:trPr>
        <w:tc>
          <w:tcPr>
            <w:tcW w:w="303" w:type="pct"/>
            <w:tcBorders>
              <w:top w:val="nil"/>
              <w:left w:val="nil"/>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16</w:t>
            </w:r>
          </w:p>
        </w:tc>
        <w:tc>
          <w:tcPr>
            <w:tcW w:w="269"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53</w:t>
            </w:r>
          </w:p>
        </w:tc>
        <w:tc>
          <w:tcPr>
            <w:tcW w:w="277"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M</w:t>
            </w:r>
          </w:p>
        </w:tc>
        <w:tc>
          <w:tcPr>
            <w:tcW w:w="473"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Alcohol</w:t>
            </w:r>
          </w:p>
        </w:tc>
        <w:tc>
          <w:tcPr>
            <w:tcW w:w="357"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w:t>
            </w:r>
          </w:p>
        </w:tc>
        <w:tc>
          <w:tcPr>
            <w:tcW w:w="583" w:type="pct"/>
            <w:tcBorders>
              <w:top w:val="nil"/>
              <w:left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Balloon</w:t>
            </w:r>
          </w:p>
        </w:tc>
        <w:tc>
          <w:tcPr>
            <w:tcW w:w="436"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GR</w:t>
            </w:r>
          </w:p>
        </w:tc>
        <w:tc>
          <w:tcPr>
            <w:tcW w:w="444" w:type="pct"/>
            <w:tcBorders>
              <w:top w:val="nil"/>
              <w:left w:val="nil"/>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15</w:t>
            </w:r>
          </w:p>
        </w:tc>
        <w:tc>
          <w:tcPr>
            <w:tcW w:w="530"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545</w:t>
            </w:r>
          </w:p>
        </w:tc>
        <w:tc>
          <w:tcPr>
            <w:tcW w:w="422" w:type="pct"/>
            <w:tcBorders>
              <w:top w:val="nil"/>
              <w:left w:val="nil"/>
              <w:right w:val="nil"/>
            </w:tcBorders>
            <w:noWrap/>
            <w:vAlign w:val="center"/>
          </w:tcPr>
          <w:p w:rsidR="00806C17" w:rsidRPr="00271777" w:rsidRDefault="00806C17" w:rsidP="00271777">
            <w:pPr>
              <w:widowControl/>
              <w:snapToGrid w:val="0"/>
              <w:spacing w:line="360" w:lineRule="auto"/>
              <w:jc w:val="center"/>
              <w:rPr>
                <w:rFonts w:ascii="Book Antiqua" w:hAnsi="Book Antiqua"/>
                <w:sz w:val="24"/>
                <w:szCs w:val="24"/>
                <w:lang w:eastAsia="zh-CN"/>
              </w:rPr>
            </w:pPr>
            <w:r w:rsidRPr="007A45FF">
              <w:rPr>
                <w:rFonts w:ascii="Book Antiqua" w:hAnsi="Book Antiqua"/>
                <w:sz w:val="24"/>
                <w:szCs w:val="24"/>
              </w:rPr>
              <w:t>HF</w:t>
            </w:r>
            <w:r>
              <w:rPr>
                <w:rFonts w:ascii="Book Antiqua" w:hAnsi="Book Antiqua"/>
                <w:sz w:val="24"/>
                <w:szCs w:val="24"/>
                <w:vertAlign w:val="superscript"/>
                <w:lang w:eastAsia="zh-CN"/>
              </w:rPr>
              <w:t>1</w:t>
            </w:r>
          </w:p>
        </w:tc>
      </w:tr>
      <w:tr w:rsidR="00806C17" w:rsidRPr="007A45FF" w:rsidTr="00EA1AFA">
        <w:trPr>
          <w:trHeight w:val="252"/>
          <w:jc w:val="center"/>
        </w:trPr>
        <w:tc>
          <w:tcPr>
            <w:tcW w:w="303" w:type="pct"/>
            <w:tcBorders>
              <w:top w:val="nil"/>
              <w:left w:val="nil"/>
              <w:bottom w:val="single" w:sz="4" w:space="0" w:color="auto"/>
              <w:right w:val="nil"/>
            </w:tcBorders>
            <w:noWrap/>
            <w:vAlign w:val="center"/>
          </w:tcPr>
          <w:p w:rsidR="00806C17" w:rsidRPr="007A45FF" w:rsidRDefault="00806C17" w:rsidP="00E0789B">
            <w:pPr>
              <w:widowControl/>
              <w:snapToGrid w:val="0"/>
              <w:spacing w:line="360" w:lineRule="auto"/>
              <w:rPr>
                <w:rFonts w:ascii="Book Antiqua" w:hAnsi="Book Antiqua"/>
                <w:sz w:val="24"/>
                <w:szCs w:val="24"/>
              </w:rPr>
            </w:pPr>
            <w:r w:rsidRPr="007A45FF">
              <w:rPr>
                <w:rFonts w:ascii="Book Antiqua" w:hAnsi="Book Antiqua"/>
                <w:sz w:val="24"/>
                <w:szCs w:val="24"/>
              </w:rPr>
              <w:t>17</w:t>
            </w:r>
          </w:p>
        </w:tc>
        <w:tc>
          <w:tcPr>
            <w:tcW w:w="269"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62</w:t>
            </w:r>
          </w:p>
        </w:tc>
        <w:tc>
          <w:tcPr>
            <w:tcW w:w="277"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F</w:t>
            </w:r>
          </w:p>
        </w:tc>
        <w:tc>
          <w:tcPr>
            <w:tcW w:w="473"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HCV</w:t>
            </w:r>
          </w:p>
        </w:tc>
        <w:tc>
          <w:tcPr>
            <w:tcW w:w="357"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B</w:t>
            </w:r>
          </w:p>
        </w:tc>
        <w:tc>
          <w:tcPr>
            <w:tcW w:w="583" w:type="pct"/>
            <w:tcBorders>
              <w:top w:val="nil"/>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Spontaneou</w:t>
            </w:r>
            <w:r w:rsidRPr="007A45FF">
              <w:rPr>
                <w:rFonts w:ascii="Book Antiqua" w:hAnsi="Book Antiqua"/>
                <w:sz w:val="24"/>
                <w:szCs w:val="24"/>
              </w:rPr>
              <w:lastRenderedPageBreak/>
              <w:t>s</w:t>
            </w:r>
          </w:p>
        </w:tc>
        <w:tc>
          <w:tcPr>
            <w:tcW w:w="436"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lastRenderedPageBreak/>
              <w:t>GR</w:t>
            </w:r>
          </w:p>
        </w:tc>
        <w:tc>
          <w:tcPr>
            <w:tcW w:w="444" w:type="pct"/>
            <w:tcBorders>
              <w:top w:val="nil"/>
              <w:left w:val="nil"/>
              <w:bottom w:val="single" w:sz="4" w:space="0" w:color="auto"/>
              <w:right w:val="nil"/>
            </w:tcBorders>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20+2</w:t>
            </w:r>
          </w:p>
        </w:tc>
        <w:tc>
          <w:tcPr>
            <w:tcW w:w="530"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Complete</w:t>
            </w:r>
          </w:p>
        </w:tc>
        <w:tc>
          <w:tcPr>
            <w:tcW w:w="498"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w:t>
            </w:r>
          </w:p>
        </w:tc>
        <w:tc>
          <w:tcPr>
            <w:tcW w:w="408"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1835</w:t>
            </w:r>
          </w:p>
        </w:tc>
        <w:tc>
          <w:tcPr>
            <w:tcW w:w="422" w:type="pct"/>
            <w:tcBorders>
              <w:top w:val="nil"/>
              <w:left w:val="nil"/>
              <w:bottom w:val="single" w:sz="4" w:space="0" w:color="auto"/>
              <w:right w:val="nil"/>
            </w:tcBorders>
            <w:noWrap/>
            <w:vAlign w:val="center"/>
          </w:tcPr>
          <w:p w:rsidR="00806C17" w:rsidRPr="007A45FF" w:rsidRDefault="00806C17" w:rsidP="00061E4D">
            <w:pPr>
              <w:widowControl/>
              <w:snapToGrid w:val="0"/>
              <w:spacing w:line="360" w:lineRule="auto"/>
              <w:jc w:val="center"/>
              <w:rPr>
                <w:rFonts w:ascii="Book Antiqua" w:hAnsi="Book Antiqua"/>
                <w:sz w:val="24"/>
                <w:szCs w:val="24"/>
              </w:rPr>
            </w:pPr>
            <w:r w:rsidRPr="007A45FF">
              <w:rPr>
                <w:rFonts w:ascii="Book Antiqua" w:hAnsi="Book Antiqua"/>
                <w:sz w:val="24"/>
                <w:szCs w:val="24"/>
              </w:rPr>
              <w:t>Alive</w:t>
            </w:r>
          </w:p>
        </w:tc>
      </w:tr>
      <w:tr w:rsidR="00806C17" w:rsidRPr="007A45FF" w:rsidTr="00EA1AFA">
        <w:trPr>
          <w:trHeight w:val="478"/>
          <w:jc w:val="center"/>
        </w:trPr>
        <w:tc>
          <w:tcPr>
            <w:tcW w:w="5000" w:type="pct"/>
            <w:gridSpan w:val="12"/>
            <w:tcBorders>
              <w:top w:val="single" w:sz="4" w:space="0" w:color="auto"/>
              <w:left w:val="nil"/>
              <w:right w:val="nil"/>
            </w:tcBorders>
            <w:noWrap/>
            <w:vAlign w:val="center"/>
          </w:tcPr>
          <w:p w:rsidR="00806C17" w:rsidRPr="007A45FF" w:rsidRDefault="00806C17" w:rsidP="00271777">
            <w:pPr>
              <w:widowControl/>
              <w:snapToGrid w:val="0"/>
              <w:spacing w:line="360" w:lineRule="auto"/>
              <w:rPr>
                <w:rFonts w:ascii="Book Antiqua" w:hAnsi="Book Antiqua"/>
                <w:sz w:val="24"/>
                <w:szCs w:val="24"/>
              </w:rPr>
            </w:pPr>
            <w:r w:rsidRPr="00271777">
              <w:rPr>
                <w:rFonts w:ascii="Book Antiqua" w:hAnsi="Book Antiqua"/>
                <w:sz w:val="24"/>
                <w:szCs w:val="24"/>
                <w:vertAlign w:val="superscript"/>
                <w:lang w:eastAsia="zh-CN"/>
              </w:rPr>
              <w:lastRenderedPageBreak/>
              <w:t>1</w:t>
            </w:r>
            <w:r w:rsidRPr="007A45FF">
              <w:rPr>
                <w:rFonts w:ascii="Book Antiqua" w:hAnsi="Book Antiqua"/>
                <w:sz w:val="24"/>
                <w:szCs w:val="24"/>
              </w:rPr>
              <w:t>Died of hepatic failure</w:t>
            </w:r>
            <w:r>
              <w:rPr>
                <w:rFonts w:ascii="Book Antiqua" w:hAnsi="Book Antiqua"/>
                <w:sz w:val="24"/>
                <w:szCs w:val="24"/>
                <w:lang w:eastAsia="zh-CN"/>
              </w:rPr>
              <w:t xml:space="preserve"> (HF)</w:t>
            </w:r>
            <w:r w:rsidRPr="007A45FF">
              <w:rPr>
                <w:rFonts w:ascii="Book Antiqua" w:hAnsi="Book Antiqua"/>
                <w:sz w:val="24"/>
                <w:szCs w:val="24"/>
              </w:rPr>
              <w:t xml:space="preserve">; </w:t>
            </w:r>
            <w:r w:rsidRPr="00271777">
              <w:rPr>
                <w:rFonts w:ascii="Book Antiqua" w:hAnsi="Book Antiqua"/>
                <w:sz w:val="24"/>
                <w:szCs w:val="24"/>
                <w:vertAlign w:val="superscript"/>
                <w:lang w:eastAsia="zh-CN"/>
              </w:rPr>
              <w:t>2</w:t>
            </w:r>
            <w:r w:rsidRPr="007A45FF">
              <w:rPr>
                <w:rFonts w:ascii="Book Antiqua" w:hAnsi="Book Antiqua"/>
                <w:sz w:val="24"/>
                <w:szCs w:val="24"/>
              </w:rPr>
              <w:t>Died of hepatocellular carcinoma</w:t>
            </w:r>
            <w:r>
              <w:rPr>
                <w:rFonts w:ascii="Book Antiqua" w:hAnsi="Book Antiqua"/>
                <w:sz w:val="24"/>
                <w:szCs w:val="24"/>
                <w:lang w:eastAsia="zh-CN"/>
              </w:rPr>
              <w:t xml:space="preserve"> (HCC)</w:t>
            </w:r>
            <w:r w:rsidRPr="007A45FF">
              <w:rPr>
                <w:rFonts w:ascii="Book Antiqua" w:hAnsi="Book Antiqua"/>
                <w:sz w:val="24"/>
                <w:szCs w:val="24"/>
              </w:rPr>
              <w:t>.</w:t>
            </w:r>
            <w:r>
              <w:rPr>
                <w:rFonts w:ascii="Book Antiqua" w:hAnsi="Book Antiqua"/>
                <w:sz w:val="24"/>
                <w:szCs w:val="24"/>
                <w:lang w:eastAsia="zh-CN"/>
              </w:rPr>
              <w:t xml:space="preserve"> </w:t>
            </w:r>
            <w:r w:rsidRPr="007A45FF">
              <w:rPr>
                <w:rFonts w:ascii="Book Antiqua" w:hAnsi="Book Antiqua"/>
                <w:sz w:val="24"/>
                <w:szCs w:val="24"/>
              </w:rPr>
              <w:t>LC: Liver cirrhosis; PBC: Primary biliary cirrhosis; HCV: Hepatitis C virus; HBC: Hepatitis B virus; GR: Gastrorenel shunt; GC: Gastrocaval shunt; EOI: Ethanolamine oleate iopamidol; GV: Gastric varices; EV: Esophageal varices</w:t>
            </w:r>
            <w:r>
              <w:rPr>
                <w:rFonts w:ascii="Book Antiqua" w:hAnsi="Book Antiqua"/>
                <w:sz w:val="24"/>
                <w:szCs w:val="24"/>
                <w:lang w:eastAsia="zh-CN"/>
              </w:rPr>
              <w:t>.</w:t>
            </w:r>
            <w:r w:rsidRPr="007A45FF">
              <w:rPr>
                <w:rFonts w:ascii="Book Antiqua" w:hAnsi="Book Antiqua"/>
                <w:sz w:val="24"/>
                <w:szCs w:val="24"/>
              </w:rPr>
              <w:t xml:space="preserve"> </w:t>
            </w:r>
          </w:p>
        </w:tc>
      </w:tr>
    </w:tbl>
    <w:p w:rsidR="00806C17" w:rsidRPr="00EA1AFA" w:rsidRDefault="00806C17" w:rsidP="00E60879">
      <w:pPr>
        <w:widowControl/>
        <w:jc w:val="left"/>
        <w:rPr>
          <w:rFonts w:ascii="Book Antiqua" w:hAnsi="Book Antiqua" w:cs="宋体"/>
          <w:kern w:val="0"/>
          <w:sz w:val="24"/>
          <w:szCs w:val="24"/>
          <w:lang w:eastAsia="zh-CN"/>
        </w:rPr>
      </w:pPr>
    </w:p>
    <w:p w:rsidR="00806C17" w:rsidRPr="00061E4D" w:rsidRDefault="00806C17" w:rsidP="00061E4D">
      <w:pPr>
        <w:widowControl/>
        <w:snapToGrid w:val="0"/>
        <w:spacing w:line="360" w:lineRule="auto"/>
        <w:rPr>
          <w:rFonts w:ascii="Book Antiqua" w:hAnsi="Book Antiqua"/>
          <w:sz w:val="24"/>
          <w:szCs w:val="24"/>
          <w:lang w:eastAsia="zh-CN"/>
        </w:rPr>
      </w:pPr>
    </w:p>
    <w:sectPr w:rsidR="00806C17" w:rsidRPr="00061E4D" w:rsidSect="00EA1AFA">
      <w:pgSz w:w="17010" w:h="16840"/>
      <w:pgMar w:top="1985"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249" w:rsidRDefault="00F70249" w:rsidP="003007F3">
      <w:r>
        <w:separator/>
      </w:r>
    </w:p>
  </w:endnote>
  <w:endnote w:type="continuationSeparator" w:id="0">
    <w:p w:rsidR="00F70249" w:rsidRDefault="00F70249" w:rsidP="0030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SimSun"/>
    <w:panose1 w:val="02010600030101010101"/>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249" w:rsidRDefault="00F70249" w:rsidP="003007F3">
      <w:r>
        <w:separator/>
      </w:r>
    </w:p>
  </w:footnote>
  <w:footnote w:type="continuationSeparator" w:id="0">
    <w:p w:rsidR="00F70249" w:rsidRDefault="00F70249" w:rsidP="003007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7F3"/>
    <w:rsid w:val="0000215A"/>
    <w:rsid w:val="000147D6"/>
    <w:rsid w:val="00022D7E"/>
    <w:rsid w:val="00032167"/>
    <w:rsid w:val="00033F84"/>
    <w:rsid w:val="0003519D"/>
    <w:rsid w:val="0003579D"/>
    <w:rsid w:val="00042F97"/>
    <w:rsid w:val="00047275"/>
    <w:rsid w:val="00051973"/>
    <w:rsid w:val="000528D4"/>
    <w:rsid w:val="00057B5A"/>
    <w:rsid w:val="00061ACE"/>
    <w:rsid w:val="00061E4D"/>
    <w:rsid w:val="00073158"/>
    <w:rsid w:val="00077904"/>
    <w:rsid w:val="00087BDE"/>
    <w:rsid w:val="000A158E"/>
    <w:rsid w:val="000A3BE7"/>
    <w:rsid w:val="000B068A"/>
    <w:rsid w:val="000B38A5"/>
    <w:rsid w:val="000B4A03"/>
    <w:rsid w:val="000B502B"/>
    <w:rsid w:val="000B5823"/>
    <w:rsid w:val="000B5CC2"/>
    <w:rsid w:val="000D4699"/>
    <w:rsid w:val="000E522A"/>
    <w:rsid w:val="000F5806"/>
    <w:rsid w:val="000F643F"/>
    <w:rsid w:val="001008F6"/>
    <w:rsid w:val="00110CB0"/>
    <w:rsid w:val="00111648"/>
    <w:rsid w:val="00111B44"/>
    <w:rsid w:val="001230D3"/>
    <w:rsid w:val="0012439F"/>
    <w:rsid w:val="001372E0"/>
    <w:rsid w:val="00141152"/>
    <w:rsid w:val="00145D64"/>
    <w:rsid w:val="001550E8"/>
    <w:rsid w:val="00157092"/>
    <w:rsid w:val="001573F0"/>
    <w:rsid w:val="00166574"/>
    <w:rsid w:val="001802BC"/>
    <w:rsid w:val="00180BC0"/>
    <w:rsid w:val="001836BC"/>
    <w:rsid w:val="0018389D"/>
    <w:rsid w:val="0018536E"/>
    <w:rsid w:val="0019008E"/>
    <w:rsid w:val="00190355"/>
    <w:rsid w:val="00192678"/>
    <w:rsid w:val="0019790B"/>
    <w:rsid w:val="001A1724"/>
    <w:rsid w:val="001A3BAC"/>
    <w:rsid w:val="001A4E80"/>
    <w:rsid w:val="001A69B3"/>
    <w:rsid w:val="001B3678"/>
    <w:rsid w:val="001C299D"/>
    <w:rsid w:val="001D768F"/>
    <w:rsid w:val="001E29B3"/>
    <w:rsid w:val="001E5A73"/>
    <w:rsid w:val="001E7588"/>
    <w:rsid w:val="001F6D63"/>
    <w:rsid w:val="001F7C32"/>
    <w:rsid w:val="002170EE"/>
    <w:rsid w:val="002220A5"/>
    <w:rsid w:val="00226DE8"/>
    <w:rsid w:val="00237C21"/>
    <w:rsid w:val="00240645"/>
    <w:rsid w:val="00240E44"/>
    <w:rsid w:val="00244DD0"/>
    <w:rsid w:val="00245F6C"/>
    <w:rsid w:val="00246965"/>
    <w:rsid w:val="002509EA"/>
    <w:rsid w:val="0025390E"/>
    <w:rsid w:val="00260A75"/>
    <w:rsid w:val="00266669"/>
    <w:rsid w:val="00266F35"/>
    <w:rsid w:val="00270AEB"/>
    <w:rsid w:val="00271777"/>
    <w:rsid w:val="00276A77"/>
    <w:rsid w:val="00284246"/>
    <w:rsid w:val="0029706A"/>
    <w:rsid w:val="002A746F"/>
    <w:rsid w:val="002A7CBD"/>
    <w:rsid w:val="002B3CA3"/>
    <w:rsid w:val="002B3F6D"/>
    <w:rsid w:val="002B6723"/>
    <w:rsid w:val="002B74B6"/>
    <w:rsid w:val="002C016F"/>
    <w:rsid w:val="002C3489"/>
    <w:rsid w:val="002D11CE"/>
    <w:rsid w:val="002D1A1E"/>
    <w:rsid w:val="002D4683"/>
    <w:rsid w:val="002F032B"/>
    <w:rsid w:val="002F3608"/>
    <w:rsid w:val="002F428F"/>
    <w:rsid w:val="002F7048"/>
    <w:rsid w:val="003007F3"/>
    <w:rsid w:val="00304385"/>
    <w:rsid w:val="00312D43"/>
    <w:rsid w:val="00314DE4"/>
    <w:rsid w:val="00327497"/>
    <w:rsid w:val="00333083"/>
    <w:rsid w:val="00342C7E"/>
    <w:rsid w:val="00342EF8"/>
    <w:rsid w:val="00343416"/>
    <w:rsid w:val="003445B9"/>
    <w:rsid w:val="003502B1"/>
    <w:rsid w:val="00351E40"/>
    <w:rsid w:val="00352F2A"/>
    <w:rsid w:val="00355D15"/>
    <w:rsid w:val="003620F4"/>
    <w:rsid w:val="0037148A"/>
    <w:rsid w:val="00373876"/>
    <w:rsid w:val="00377D2C"/>
    <w:rsid w:val="00380ADE"/>
    <w:rsid w:val="0038158A"/>
    <w:rsid w:val="003822C6"/>
    <w:rsid w:val="00384912"/>
    <w:rsid w:val="003863A8"/>
    <w:rsid w:val="003936B5"/>
    <w:rsid w:val="00393B8A"/>
    <w:rsid w:val="003A0A46"/>
    <w:rsid w:val="003A23AB"/>
    <w:rsid w:val="003B08FA"/>
    <w:rsid w:val="003B1B1B"/>
    <w:rsid w:val="003B255A"/>
    <w:rsid w:val="003B25B2"/>
    <w:rsid w:val="003B2950"/>
    <w:rsid w:val="003C4272"/>
    <w:rsid w:val="003D1DF7"/>
    <w:rsid w:val="003D347A"/>
    <w:rsid w:val="003D45FE"/>
    <w:rsid w:val="003E014F"/>
    <w:rsid w:val="003E0ADB"/>
    <w:rsid w:val="003E3D07"/>
    <w:rsid w:val="003E6DE8"/>
    <w:rsid w:val="003F3553"/>
    <w:rsid w:val="003F52CB"/>
    <w:rsid w:val="003F6457"/>
    <w:rsid w:val="003F6B96"/>
    <w:rsid w:val="003F7B88"/>
    <w:rsid w:val="004150B7"/>
    <w:rsid w:val="00421233"/>
    <w:rsid w:val="00424C6A"/>
    <w:rsid w:val="00433E13"/>
    <w:rsid w:val="00444CB9"/>
    <w:rsid w:val="00453ABE"/>
    <w:rsid w:val="00471889"/>
    <w:rsid w:val="00472812"/>
    <w:rsid w:val="00472F36"/>
    <w:rsid w:val="0047386B"/>
    <w:rsid w:val="00480430"/>
    <w:rsid w:val="004830EF"/>
    <w:rsid w:val="00486300"/>
    <w:rsid w:val="004968A4"/>
    <w:rsid w:val="004A3816"/>
    <w:rsid w:val="004A3EA1"/>
    <w:rsid w:val="004A7924"/>
    <w:rsid w:val="004B100C"/>
    <w:rsid w:val="004B1E9A"/>
    <w:rsid w:val="004B55B0"/>
    <w:rsid w:val="004B7838"/>
    <w:rsid w:val="004C5918"/>
    <w:rsid w:val="004C7083"/>
    <w:rsid w:val="004C7F6F"/>
    <w:rsid w:val="004D2CBD"/>
    <w:rsid w:val="004D46A8"/>
    <w:rsid w:val="004D7C51"/>
    <w:rsid w:val="004E36EE"/>
    <w:rsid w:val="004E6EC3"/>
    <w:rsid w:val="00507751"/>
    <w:rsid w:val="00513FA8"/>
    <w:rsid w:val="00520C43"/>
    <w:rsid w:val="0052404E"/>
    <w:rsid w:val="005250F5"/>
    <w:rsid w:val="00527ED9"/>
    <w:rsid w:val="00541610"/>
    <w:rsid w:val="00544366"/>
    <w:rsid w:val="005445AF"/>
    <w:rsid w:val="00550CBF"/>
    <w:rsid w:val="00556AEB"/>
    <w:rsid w:val="00557706"/>
    <w:rsid w:val="0056321F"/>
    <w:rsid w:val="00573830"/>
    <w:rsid w:val="005750D1"/>
    <w:rsid w:val="0058023B"/>
    <w:rsid w:val="0058159B"/>
    <w:rsid w:val="00581F90"/>
    <w:rsid w:val="00583ACB"/>
    <w:rsid w:val="0058606B"/>
    <w:rsid w:val="005B0645"/>
    <w:rsid w:val="005B223A"/>
    <w:rsid w:val="005B6838"/>
    <w:rsid w:val="005B7148"/>
    <w:rsid w:val="005C1209"/>
    <w:rsid w:val="005C13A0"/>
    <w:rsid w:val="005C75AA"/>
    <w:rsid w:val="005E4E6F"/>
    <w:rsid w:val="005E574C"/>
    <w:rsid w:val="005F5924"/>
    <w:rsid w:val="005F7680"/>
    <w:rsid w:val="0060234D"/>
    <w:rsid w:val="00605D2E"/>
    <w:rsid w:val="0060620A"/>
    <w:rsid w:val="00606EC2"/>
    <w:rsid w:val="00614C15"/>
    <w:rsid w:val="00620E27"/>
    <w:rsid w:val="00621520"/>
    <w:rsid w:val="006240C6"/>
    <w:rsid w:val="00646AE6"/>
    <w:rsid w:val="00664107"/>
    <w:rsid w:val="00671AEE"/>
    <w:rsid w:val="00675367"/>
    <w:rsid w:val="0067771E"/>
    <w:rsid w:val="006813C7"/>
    <w:rsid w:val="006966BC"/>
    <w:rsid w:val="006A3D2F"/>
    <w:rsid w:val="006A5A1A"/>
    <w:rsid w:val="006B2313"/>
    <w:rsid w:val="006B4469"/>
    <w:rsid w:val="006B686B"/>
    <w:rsid w:val="006C4627"/>
    <w:rsid w:val="006C6A3E"/>
    <w:rsid w:val="006E26F6"/>
    <w:rsid w:val="006E2D85"/>
    <w:rsid w:val="006E6411"/>
    <w:rsid w:val="006F351B"/>
    <w:rsid w:val="006F4FA2"/>
    <w:rsid w:val="006F7771"/>
    <w:rsid w:val="00700866"/>
    <w:rsid w:val="00702DC9"/>
    <w:rsid w:val="00704F23"/>
    <w:rsid w:val="00712465"/>
    <w:rsid w:val="00731E54"/>
    <w:rsid w:val="007355ED"/>
    <w:rsid w:val="007420C7"/>
    <w:rsid w:val="0074354B"/>
    <w:rsid w:val="00747DE5"/>
    <w:rsid w:val="00751794"/>
    <w:rsid w:val="007524A0"/>
    <w:rsid w:val="00753B6E"/>
    <w:rsid w:val="0075588B"/>
    <w:rsid w:val="00761577"/>
    <w:rsid w:val="007653DF"/>
    <w:rsid w:val="00770918"/>
    <w:rsid w:val="00770BCE"/>
    <w:rsid w:val="00773146"/>
    <w:rsid w:val="007820A4"/>
    <w:rsid w:val="00783F19"/>
    <w:rsid w:val="00785C63"/>
    <w:rsid w:val="00791BDD"/>
    <w:rsid w:val="00792A0A"/>
    <w:rsid w:val="00794297"/>
    <w:rsid w:val="007A32CE"/>
    <w:rsid w:val="007A45FF"/>
    <w:rsid w:val="007A5597"/>
    <w:rsid w:val="007B1A65"/>
    <w:rsid w:val="007B45E4"/>
    <w:rsid w:val="007D11FB"/>
    <w:rsid w:val="007D3F38"/>
    <w:rsid w:val="007F06AE"/>
    <w:rsid w:val="00801760"/>
    <w:rsid w:val="00805EAB"/>
    <w:rsid w:val="00806992"/>
    <w:rsid w:val="00806C17"/>
    <w:rsid w:val="008119C2"/>
    <w:rsid w:val="00812230"/>
    <w:rsid w:val="00816D02"/>
    <w:rsid w:val="00823B56"/>
    <w:rsid w:val="00823E6E"/>
    <w:rsid w:val="00832D3E"/>
    <w:rsid w:val="008352B3"/>
    <w:rsid w:val="008355AE"/>
    <w:rsid w:val="0084105A"/>
    <w:rsid w:val="00842138"/>
    <w:rsid w:val="008444DB"/>
    <w:rsid w:val="00844DBB"/>
    <w:rsid w:val="0084633C"/>
    <w:rsid w:val="0085518F"/>
    <w:rsid w:val="008559F1"/>
    <w:rsid w:val="008572C3"/>
    <w:rsid w:val="0086132C"/>
    <w:rsid w:val="00863500"/>
    <w:rsid w:val="00865175"/>
    <w:rsid w:val="00870CDF"/>
    <w:rsid w:val="008734CC"/>
    <w:rsid w:val="0088557B"/>
    <w:rsid w:val="00890D6E"/>
    <w:rsid w:val="00895634"/>
    <w:rsid w:val="008B4786"/>
    <w:rsid w:val="008C68C3"/>
    <w:rsid w:val="008E210B"/>
    <w:rsid w:val="008E4721"/>
    <w:rsid w:val="008E50BB"/>
    <w:rsid w:val="008F4C39"/>
    <w:rsid w:val="008F606C"/>
    <w:rsid w:val="008F688F"/>
    <w:rsid w:val="008F7384"/>
    <w:rsid w:val="00913919"/>
    <w:rsid w:val="00915F91"/>
    <w:rsid w:val="00917C31"/>
    <w:rsid w:val="009222B3"/>
    <w:rsid w:val="0092380D"/>
    <w:rsid w:val="00931EB6"/>
    <w:rsid w:val="00937E5C"/>
    <w:rsid w:val="00943D3B"/>
    <w:rsid w:val="00945579"/>
    <w:rsid w:val="00951C49"/>
    <w:rsid w:val="00952305"/>
    <w:rsid w:val="00956269"/>
    <w:rsid w:val="009615D2"/>
    <w:rsid w:val="00967A92"/>
    <w:rsid w:val="00974FEB"/>
    <w:rsid w:val="00980809"/>
    <w:rsid w:val="009850C8"/>
    <w:rsid w:val="00992C80"/>
    <w:rsid w:val="009965B9"/>
    <w:rsid w:val="009A5154"/>
    <w:rsid w:val="009B1683"/>
    <w:rsid w:val="009B3BF6"/>
    <w:rsid w:val="009B3E43"/>
    <w:rsid w:val="009B598A"/>
    <w:rsid w:val="009B7899"/>
    <w:rsid w:val="009C4F5E"/>
    <w:rsid w:val="009D0BA9"/>
    <w:rsid w:val="009D0C58"/>
    <w:rsid w:val="009D1B9B"/>
    <w:rsid w:val="009D430A"/>
    <w:rsid w:val="009D7A8E"/>
    <w:rsid w:val="009F23A9"/>
    <w:rsid w:val="00A07C2B"/>
    <w:rsid w:val="00A11B5F"/>
    <w:rsid w:val="00A20561"/>
    <w:rsid w:val="00A323D1"/>
    <w:rsid w:val="00A3345E"/>
    <w:rsid w:val="00A371EB"/>
    <w:rsid w:val="00A37D7C"/>
    <w:rsid w:val="00A42804"/>
    <w:rsid w:val="00A44473"/>
    <w:rsid w:val="00A5172D"/>
    <w:rsid w:val="00A51AC6"/>
    <w:rsid w:val="00A574CE"/>
    <w:rsid w:val="00A66F75"/>
    <w:rsid w:val="00A70EC4"/>
    <w:rsid w:val="00A732C3"/>
    <w:rsid w:val="00A83FC2"/>
    <w:rsid w:val="00A8767D"/>
    <w:rsid w:val="00A940E4"/>
    <w:rsid w:val="00A96A30"/>
    <w:rsid w:val="00AA200A"/>
    <w:rsid w:val="00AA28B1"/>
    <w:rsid w:val="00AB0340"/>
    <w:rsid w:val="00AB13B2"/>
    <w:rsid w:val="00AB19C7"/>
    <w:rsid w:val="00AB5E9D"/>
    <w:rsid w:val="00AB75A7"/>
    <w:rsid w:val="00AC2809"/>
    <w:rsid w:val="00AC5EA6"/>
    <w:rsid w:val="00AD2C0D"/>
    <w:rsid w:val="00AD3413"/>
    <w:rsid w:val="00AD3694"/>
    <w:rsid w:val="00AD3F81"/>
    <w:rsid w:val="00AD416A"/>
    <w:rsid w:val="00AE0E73"/>
    <w:rsid w:val="00AE10C6"/>
    <w:rsid w:val="00AE521C"/>
    <w:rsid w:val="00AE66D1"/>
    <w:rsid w:val="00B0201B"/>
    <w:rsid w:val="00B06954"/>
    <w:rsid w:val="00B133E4"/>
    <w:rsid w:val="00B15ADA"/>
    <w:rsid w:val="00B319AE"/>
    <w:rsid w:val="00B32B41"/>
    <w:rsid w:val="00B336D6"/>
    <w:rsid w:val="00B404DC"/>
    <w:rsid w:val="00B436B3"/>
    <w:rsid w:val="00B453CE"/>
    <w:rsid w:val="00B564DD"/>
    <w:rsid w:val="00B578ED"/>
    <w:rsid w:val="00B64800"/>
    <w:rsid w:val="00B714F4"/>
    <w:rsid w:val="00B71782"/>
    <w:rsid w:val="00B76092"/>
    <w:rsid w:val="00B85148"/>
    <w:rsid w:val="00B87BD1"/>
    <w:rsid w:val="00B92A53"/>
    <w:rsid w:val="00BA401F"/>
    <w:rsid w:val="00BA75F0"/>
    <w:rsid w:val="00BB1FE5"/>
    <w:rsid w:val="00BB37D8"/>
    <w:rsid w:val="00BC363C"/>
    <w:rsid w:val="00BD37F5"/>
    <w:rsid w:val="00BE319C"/>
    <w:rsid w:val="00BE3A21"/>
    <w:rsid w:val="00BF5A52"/>
    <w:rsid w:val="00C04353"/>
    <w:rsid w:val="00C07479"/>
    <w:rsid w:val="00C152EB"/>
    <w:rsid w:val="00C17850"/>
    <w:rsid w:val="00C22C6F"/>
    <w:rsid w:val="00C26BE0"/>
    <w:rsid w:val="00C426FD"/>
    <w:rsid w:val="00C56046"/>
    <w:rsid w:val="00C70115"/>
    <w:rsid w:val="00C73707"/>
    <w:rsid w:val="00C772B0"/>
    <w:rsid w:val="00C77629"/>
    <w:rsid w:val="00C8297D"/>
    <w:rsid w:val="00C8356A"/>
    <w:rsid w:val="00C83784"/>
    <w:rsid w:val="00C86B37"/>
    <w:rsid w:val="00C96A3D"/>
    <w:rsid w:val="00CA6C2D"/>
    <w:rsid w:val="00CB1F92"/>
    <w:rsid w:val="00CB3FDE"/>
    <w:rsid w:val="00CD5AFF"/>
    <w:rsid w:val="00CD6BE7"/>
    <w:rsid w:val="00CE5A27"/>
    <w:rsid w:val="00CE68EE"/>
    <w:rsid w:val="00D063DC"/>
    <w:rsid w:val="00D0735E"/>
    <w:rsid w:val="00D07AAA"/>
    <w:rsid w:val="00D120B5"/>
    <w:rsid w:val="00D1273F"/>
    <w:rsid w:val="00D152EB"/>
    <w:rsid w:val="00D16B6F"/>
    <w:rsid w:val="00D17386"/>
    <w:rsid w:val="00D317B1"/>
    <w:rsid w:val="00D32326"/>
    <w:rsid w:val="00D461D0"/>
    <w:rsid w:val="00D5097B"/>
    <w:rsid w:val="00D51919"/>
    <w:rsid w:val="00D51F23"/>
    <w:rsid w:val="00D54C23"/>
    <w:rsid w:val="00D55D6D"/>
    <w:rsid w:val="00D63302"/>
    <w:rsid w:val="00D67C8C"/>
    <w:rsid w:val="00D94D9A"/>
    <w:rsid w:val="00D95177"/>
    <w:rsid w:val="00DA61CE"/>
    <w:rsid w:val="00DA68C2"/>
    <w:rsid w:val="00DC60B6"/>
    <w:rsid w:val="00DD0416"/>
    <w:rsid w:val="00DD3552"/>
    <w:rsid w:val="00DD3E21"/>
    <w:rsid w:val="00DE229B"/>
    <w:rsid w:val="00DE34FA"/>
    <w:rsid w:val="00DE7552"/>
    <w:rsid w:val="00DE769F"/>
    <w:rsid w:val="00DF0C79"/>
    <w:rsid w:val="00DF15F3"/>
    <w:rsid w:val="00DF599A"/>
    <w:rsid w:val="00DF6439"/>
    <w:rsid w:val="00DF66E2"/>
    <w:rsid w:val="00E03E65"/>
    <w:rsid w:val="00E0789B"/>
    <w:rsid w:val="00E12CF7"/>
    <w:rsid w:val="00E13675"/>
    <w:rsid w:val="00E14498"/>
    <w:rsid w:val="00E16C96"/>
    <w:rsid w:val="00E1749A"/>
    <w:rsid w:val="00E22096"/>
    <w:rsid w:val="00E27AC5"/>
    <w:rsid w:val="00E313AC"/>
    <w:rsid w:val="00E35B59"/>
    <w:rsid w:val="00E44040"/>
    <w:rsid w:val="00E453BB"/>
    <w:rsid w:val="00E4682F"/>
    <w:rsid w:val="00E51020"/>
    <w:rsid w:val="00E511B6"/>
    <w:rsid w:val="00E5661A"/>
    <w:rsid w:val="00E60879"/>
    <w:rsid w:val="00E64C66"/>
    <w:rsid w:val="00E667F4"/>
    <w:rsid w:val="00E66985"/>
    <w:rsid w:val="00E70478"/>
    <w:rsid w:val="00E72A21"/>
    <w:rsid w:val="00E743C6"/>
    <w:rsid w:val="00E92FF9"/>
    <w:rsid w:val="00E952B0"/>
    <w:rsid w:val="00EA1AFA"/>
    <w:rsid w:val="00EA2F78"/>
    <w:rsid w:val="00EA36B6"/>
    <w:rsid w:val="00EA7A27"/>
    <w:rsid w:val="00EB4AFB"/>
    <w:rsid w:val="00EC5711"/>
    <w:rsid w:val="00EC58B7"/>
    <w:rsid w:val="00EC7518"/>
    <w:rsid w:val="00ED0EC8"/>
    <w:rsid w:val="00EE3182"/>
    <w:rsid w:val="00EE5EDE"/>
    <w:rsid w:val="00EF381C"/>
    <w:rsid w:val="00EF582D"/>
    <w:rsid w:val="00EF757B"/>
    <w:rsid w:val="00F07FD0"/>
    <w:rsid w:val="00F2274E"/>
    <w:rsid w:val="00F25D33"/>
    <w:rsid w:val="00F26268"/>
    <w:rsid w:val="00F263DD"/>
    <w:rsid w:val="00F32093"/>
    <w:rsid w:val="00F3309F"/>
    <w:rsid w:val="00F36C1D"/>
    <w:rsid w:val="00F42BF7"/>
    <w:rsid w:val="00F44C95"/>
    <w:rsid w:val="00F4776A"/>
    <w:rsid w:val="00F500D5"/>
    <w:rsid w:val="00F52CAE"/>
    <w:rsid w:val="00F54169"/>
    <w:rsid w:val="00F56B3E"/>
    <w:rsid w:val="00F5707F"/>
    <w:rsid w:val="00F63A14"/>
    <w:rsid w:val="00F65579"/>
    <w:rsid w:val="00F70249"/>
    <w:rsid w:val="00F95056"/>
    <w:rsid w:val="00FA0521"/>
    <w:rsid w:val="00FA3752"/>
    <w:rsid w:val="00FA4874"/>
    <w:rsid w:val="00FB77A1"/>
    <w:rsid w:val="00FC0C19"/>
    <w:rsid w:val="00FC52EC"/>
    <w:rsid w:val="00FD6040"/>
    <w:rsid w:val="00FE2940"/>
    <w:rsid w:val="00FF1D21"/>
    <w:rsid w:val="00FF68CE"/>
    <w:rsid w:val="00FF6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7F3"/>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3007F3"/>
    <w:pPr>
      <w:tabs>
        <w:tab w:val="center" w:pos="4252"/>
        <w:tab w:val="right" w:pos="8504"/>
      </w:tabs>
      <w:snapToGrid w:val="0"/>
    </w:pPr>
  </w:style>
  <w:style w:type="character" w:customStyle="1" w:styleId="Char">
    <w:name w:val="页眉 Char"/>
    <w:basedOn w:val="a0"/>
    <w:link w:val="a3"/>
    <w:uiPriority w:val="99"/>
    <w:semiHidden/>
    <w:locked/>
    <w:rsid w:val="003007F3"/>
    <w:rPr>
      <w:rFonts w:cs="Times New Roman"/>
    </w:rPr>
  </w:style>
  <w:style w:type="paragraph" w:styleId="a4">
    <w:name w:val="footer"/>
    <w:basedOn w:val="a"/>
    <w:link w:val="Char0"/>
    <w:uiPriority w:val="99"/>
    <w:semiHidden/>
    <w:rsid w:val="003007F3"/>
    <w:pPr>
      <w:tabs>
        <w:tab w:val="center" w:pos="4252"/>
        <w:tab w:val="right" w:pos="8504"/>
      </w:tabs>
      <w:snapToGrid w:val="0"/>
    </w:pPr>
  </w:style>
  <w:style w:type="character" w:customStyle="1" w:styleId="Char0">
    <w:name w:val="页脚 Char"/>
    <w:basedOn w:val="a0"/>
    <w:link w:val="a4"/>
    <w:uiPriority w:val="99"/>
    <w:semiHidden/>
    <w:locked/>
    <w:rsid w:val="003007F3"/>
    <w:rPr>
      <w:rFonts w:cs="Times New Roman"/>
    </w:rPr>
  </w:style>
  <w:style w:type="paragraph" w:styleId="a5">
    <w:name w:val="Balloon Text"/>
    <w:basedOn w:val="a"/>
    <w:link w:val="Char1"/>
    <w:uiPriority w:val="99"/>
    <w:semiHidden/>
    <w:rsid w:val="004A3816"/>
    <w:rPr>
      <w:rFonts w:ascii="Arial" w:hAnsi="Arial"/>
      <w:sz w:val="18"/>
      <w:szCs w:val="18"/>
    </w:rPr>
  </w:style>
  <w:style w:type="character" w:customStyle="1" w:styleId="Char1">
    <w:name w:val="批注框文本 Char"/>
    <w:basedOn w:val="a0"/>
    <w:link w:val="a5"/>
    <w:uiPriority w:val="99"/>
    <w:semiHidden/>
    <w:locked/>
    <w:rsid w:val="004A3816"/>
    <w:rPr>
      <w:rFonts w:ascii="Arial" w:eastAsia="宋体" w:hAnsi="Arial" w:cs="Times New Roman"/>
      <w:sz w:val="18"/>
      <w:szCs w:val="18"/>
    </w:rPr>
  </w:style>
  <w:style w:type="character" w:styleId="a6">
    <w:name w:val="annotation reference"/>
    <w:basedOn w:val="a0"/>
    <w:uiPriority w:val="99"/>
    <w:semiHidden/>
    <w:rsid w:val="00266F35"/>
    <w:rPr>
      <w:rFonts w:cs="Times New Roman"/>
      <w:sz w:val="21"/>
      <w:szCs w:val="21"/>
    </w:rPr>
  </w:style>
  <w:style w:type="paragraph" w:styleId="a7">
    <w:name w:val="annotation text"/>
    <w:basedOn w:val="a"/>
    <w:link w:val="Char2"/>
    <w:uiPriority w:val="99"/>
    <w:rsid w:val="00266F35"/>
    <w:pPr>
      <w:jc w:val="left"/>
    </w:pPr>
  </w:style>
  <w:style w:type="character" w:customStyle="1" w:styleId="Char2">
    <w:name w:val="批注文字 Char"/>
    <w:basedOn w:val="a0"/>
    <w:link w:val="a7"/>
    <w:uiPriority w:val="99"/>
    <w:semiHidden/>
    <w:locked/>
    <w:rsid w:val="00266F35"/>
    <w:rPr>
      <w:rFonts w:cs="Times New Roman"/>
    </w:rPr>
  </w:style>
  <w:style w:type="paragraph" w:styleId="a8">
    <w:name w:val="annotation subject"/>
    <w:basedOn w:val="a7"/>
    <w:next w:val="a7"/>
    <w:link w:val="Char3"/>
    <w:uiPriority w:val="99"/>
    <w:semiHidden/>
    <w:rsid w:val="00266F35"/>
    <w:rPr>
      <w:b/>
      <w:bCs/>
    </w:rPr>
  </w:style>
  <w:style w:type="character" w:customStyle="1" w:styleId="Char3">
    <w:name w:val="批注主题 Char"/>
    <w:basedOn w:val="Char2"/>
    <w:link w:val="a8"/>
    <w:uiPriority w:val="99"/>
    <w:semiHidden/>
    <w:locked/>
    <w:rsid w:val="00266F35"/>
    <w:rPr>
      <w:rFonts w:cs="Times New Roman"/>
      <w:b/>
      <w:bCs/>
    </w:rPr>
  </w:style>
  <w:style w:type="character" w:customStyle="1" w:styleId="Char10">
    <w:name w:val="批注文字 Char1"/>
    <w:basedOn w:val="a0"/>
    <w:uiPriority w:val="99"/>
    <w:semiHidden/>
    <w:rsid w:val="00266F35"/>
    <w:rPr>
      <w:rFonts w:eastAsia="Times New Roman" w:cs="Times New Roman"/>
      <w:kern w:val="2"/>
      <w:sz w:val="24"/>
      <w:szCs w:val="24"/>
      <w:lang w:val="en-US" w:eastAsia="zh-CN" w:bidi="ar-SA"/>
    </w:rPr>
  </w:style>
  <w:style w:type="character" w:customStyle="1" w:styleId="trans">
    <w:name w:val="trans"/>
    <w:basedOn w:val="a0"/>
    <w:uiPriority w:val="99"/>
    <w:rsid w:val="00266F35"/>
    <w:rPr>
      <w:rFonts w:cs="Times New Roman"/>
    </w:rPr>
  </w:style>
  <w:style w:type="paragraph" w:customStyle="1" w:styleId="p0">
    <w:name w:val="p0"/>
    <w:basedOn w:val="a"/>
    <w:uiPriority w:val="99"/>
    <w:rsid w:val="00266F35"/>
    <w:pPr>
      <w:widowControl/>
      <w:spacing w:line="240" w:lineRule="atLeast"/>
      <w:jc w:val="left"/>
    </w:pPr>
    <w:rPr>
      <w:rFonts w:cs="Simsun"/>
      <w:kern w:val="0"/>
      <w:szCs w:val="21"/>
      <w:lang w:eastAsia="zh-CN"/>
    </w:rPr>
  </w:style>
  <w:style w:type="character" w:styleId="a9">
    <w:name w:val="Hyperlink"/>
    <w:basedOn w:val="a0"/>
    <w:uiPriority w:val="99"/>
    <w:rsid w:val="00266F3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7F3"/>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3007F3"/>
    <w:pPr>
      <w:tabs>
        <w:tab w:val="center" w:pos="4252"/>
        <w:tab w:val="right" w:pos="8504"/>
      </w:tabs>
      <w:snapToGrid w:val="0"/>
    </w:pPr>
  </w:style>
  <w:style w:type="character" w:customStyle="1" w:styleId="Char">
    <w:name w:val="页眉 Char"/>
    <w:basedOn w:val="a0"/>
    <w:link w:val="a3"/>
    <w:uiPriority w:val="99"/>
    <w:semiHidden/>
    <w:locked/>
    <w:rsid w:val="003007F3"/>
    <w:rPr>
      <w:rFonts w:cs="Times New Roman"/>
    </w:rPr>
  </w:style>
  <w:style w:type="paragraph" w:styleId="a4">
    <w:name w:val="footer"/>
    <w:basedOn w:val="a"/>
    <w:link w:val="Char0"/>
    <w:uiPriority w:val="99"/>
    <w:semiHidden/>
    <w:rsid w:val="003007F3"/>
    <w:pPr>
      <w:tabs>
        <w:tab w:val="center" w:pos="4252"/>
        <w:tab w:val="right" w:pos="8504"/>
      </w:tabs>
      <w:snapToGrid w:val="0"/>
    </w:pPr>
  </w:style>
  <w:style w:type="character" w:customStyle="1" w:styleId="Char0">
    <w:name w:val="页脚 Char"/>
    <w:basedOn w:val="a0"/>
    <w:link w:val="a4"/>
    <w:uiPriority w:val="99"/>
    <w:semiHidden/>
    <w:locked/>
    <w:rsid w:val="003007F3"/>
    <w:rPr>
      <w:rFonts w:cs="Times New Roman"/>
    </w:rPr>
  </w:style>
  <w:style w:type="paragraph" w:styleId="a5">
    <w:name w:val="Balloon Text"/>
    <w:basedOn w:val="a"/>
    <w:link w:val="Char1"/>
    <w:uiPriority w:val="99"/>
    <w:semiHidden/>
    <w:rsid w:val="004A3816"/>
    <w:rPr>
      <w:rFonts w:ascii="Arial" w:hAnsi="Arial"/>
      <w:sz w:val="18"/>
      <w:szCs w:val="18"/>
    </w:rPr>
  </w:style>
  <w:style w:type="character" w:customStyle="1" w:styleId="Char1">
    <w:name w:val="批注框文本 Char"/>
    <w:basedOn w:val="a0"/>
    <w:link w:val="a5"/>
    <w:uiPriority w:val="99"/>
    <w:semiHidden/>
    <w:locked/>
    <w:rsid w:val="004A3816"/>
    <w:rPr>
      <w:rFonts w:ascii="Arial" w:eastAsia="宋体" w:hAnsi="Arial" w:cs="Times New Roman"/>
      <w:sz w:val="18"/>
      <w:szCs w:val="18"/>
    </w:rPr>
  </w:style>
  <w:style w:type="character" w:styleId="a6">
    <w:name w:val="annotation reference"/>
    <w:basedOn w:val="a0"/>
    <w:uiPriority w:val="99"/>
    <w:semiHidden/>
    <w:rsid w:val="00266F35"/>
    <w:rPr>
      <w:rFonts w:cs="Times New Roman"/>
      <w:sz w:val="21"/>
      <w:szCs w:val="21"/>
    </w:rPr>
  </w:style>
  <w:style w:type="paragraph" w:styleId="a7">
    <w:name w:val="annotation text"/>
    <w:basedOn w:val="a"/>
    <w:link w:val="Char2"/>
    <w:uiPriority w:val="99"/>
    <w:rsid w:val="00266F35"/>
    <w:pPr>
      <w:jc w:val="left"/>
    </w:pPr>
  </w:style>
  <w:style w:type="character" w:customStyle="1" w:styleId="Char2">
    <w:name w:val="批注文字 Char"/>
    <w:basedOn w:val="a0"/>
    <w:link w:val="a7"/>
    <w:uiPriority w:val="99"/>
    <w:semiHidden/>
    <w:locked/>
    <w:rsid w:val="00266F35"/>
    <w:rPr>
      <w:rFonts w:cs="Times New Roman"/>
    </w:rPr>
  </w:style>
  <w:style w:type="paragraph" w:styleId="a8">
    <w:name w:val="annotation subject"/>
    <w:basedOn w:val="a7"/>
    <w:next w:val="a7"/>
    <w:link w:val="Char3"/>
    <w:uiPriority w:val="99"/>
    <w:semiHidden/>
    <w:rsid w:val="00266F35"/>
    <w:rPr>
      <w:b/>
      <w:bCs/>
    </w:rPr>
  </w:style>
  <w:style w:type="character" w:customStyle="1" w:styleId="Char3">
    <w:name w:val="批注主题 Char"/>
    <w:basedOn w:val="Char2"/>
    <w:link w:val="a8"/>
    <w:uiPriority w:val="99"/>
    <w:semiHidden/>
    <w:locked/>
    <w:rsid w:val="00266F35"/>
    <w:rPr>
      <w:rFonts w:cs="Times New Roman"/>
      <w:b/>
      <w:bCs/>
    </w:rPr>
  </w:style>
  <w:style w:type="character" w:customStyle="1" w:styleId="Char10">
    <w:name w:val="批注文字 Char1"/>
    <w:basedOn w:val="a0"/>
    <w:uiPriority w:val="99"/>
    <w:semiHidden/>
    <w:rsid w:val="00266F35"/>
    <w:rPr>
      <w:rFonts w:eastAsia="Times New Roman" w:cs="Times New Roman"/>
      <w:kern w:val="2"/>
      <w:sz w:val="24"/>
      <w:szCs w:val="24"/>
      <w:lang w:val="en-US" w:eastAsia="zh-CN" w:bidi="ar-SA"/>
    </w:rPr>
  </w:style>
  <w:style w:type="character" w:customStyle="1" w:styleId="trans">
    <w:name w:val="trans"/>
    <w:basedOn w:val="a0"/>
    <w:uiPriority w:val="99"/>
    <w:rsid w:val="00266F35"/>
    <w:rPr>
      <w:rFonts w:cs="Times New Roman"/>
    </w:rPr>
  </w:style>
  <w:style w:type="paragraph" w:customStyle="1" w:styleId="p0">
    <w:name w:val="p0"/>
    <w:basedOn w:val="a"/>
    <w:uiPriority w:val="99"/>
    <w:rsid w:val="00266F35"/>
    <w:pPr>
      <w:widowControl/>
      <w:spacing w:line="240" w:lineRule="atLeast"/>
      <w:jc w:val="left"/>
    </w:pPr>
    <w:rPr>
      <w:rFonts w:cs="Simsun"/>
      <w:kern w:val="0"/>
      <w:szCs w:val="21"/>
      <w:lang w:eastAsia="zh-CN"/>
    </w:rPr>
  </w:style>
  <w:style w:type="character" w:styleId="a9">
    <w:name w:val="Hyperlink"/>
    <w:basedOn w:val="a0"/>
    <w:uiPriority w:val="99"/>
    <w:rsid w:val="00266F3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58594">
      <w:marLeft w:val="0"/>
      <w:marRight w:val="0"/>
      <w:marTop w:val="0"/>
      <w:marBottom w:val="0"/>
      <w:divBdr>
        <w:top w:val="none" w:sz="0" w:space="0" w:color="auto"/>
        <w:left w:val="none" w:sz="0" w:space="0" w:color="auto"/>
        <w:bottom w:val="none" w:sz="0" w:space="0" w:color="auto"/>
        <w:right w:val="none" w:sz="0" w:space="0" w:color="auto"/>
      </w:divBdr>
      <w:divsChild>
        <w:div w:id="793058625">
          <w:marLeft w:val="0"/>
          <w:marRight w:val="0"/>
          <w:marTop w:val="0"/>
          <w:marBottom w:val="0"/>
          <w:divBdr>
            <w:top w:val="none" w:sz="0" w:space="0" w:color="auto"/>
            <w:left w:val="none" w:sz="0" w:space="0" w:color="auto"/>
            <w:bottom w:val="none" w:sz="0" w:space="0" w:color="auto"/>
            <w:right w:val="none" w:sz="0" w:space="0" w:color="auto"/>
          </w:divBdr>
          <w:divsChild>
            <w:div w:id="793058586">
              <w:marLeft w:val="0"/>
              <w:marRight w:val="0"/>
              <w:marTop w:val="0"/>
              <w:marBottom w:val="0"/>
              <w:divBdr>
                <w:top w:val="none" w:sz="0" w:space="0" w:color="auto"/>
                <w:left w:val="none" w:sz="0" w:space="0" w:color="auto"/>
                <w:bottom w:val="none" w:sz="0" w:space="0" w:color="auto"/>
                <w:right w:val="none" w:sz="0" w:space="0" w:color="auto"/>
              </w:divBdr>
            </w:div>
            <w:div w:id="793058587">
              <w:marLeft w:val="0"/>
              <w:marRight w:val="0"/>
              <w:marTop w:val="0"/>
              <w:marBottom w:val="0"/>
              <w:divBdr>
                <w:top w:val="none" w:sz="0" w:space="0" w:color="auto"/>
                <w:left w:val="none" w:sz="0" w:space="0" w:color="auto"/>
                <w:bottom w:val="none" w:sz="0" w:space="0" w:color="auto"/>
                <w:right w:val="none" w:sz="0" w:space="0" w:color="auto"/>
              </w:divBdr>
            </w:div>
            <w:div w:id="793058588">
              <w:marLeft w:val="0"/>
              <w:marRight w:val="0"/>
              <w:marTop w:val="0"/>
              <w:marBottom w:val="0"/>
              <w:divBdr>
                <w:top w:val="none" w:sz="0" w:space="0" w:color="auto"/>
                <w:left w:val="none" w:sz="0" w:space="0" w:color="auto"/>
                <w:bottom w:val="none" w:sz="0" w:space="0" w:color="auto"/>
                <w:right w:val="none" w:sz="0" w:space="0" w:color="auto"/>
              </w:divBdr>
            </w:div>
            <w:div w:id="793058589">
              <w:marLeft w:val="0"/>
              <w:marRight w:val="0"/>
              <w:marTop w:val="0"/>
              <w:marBottom w:val="0"/>
              <w:divBdr>
                <w:top w:val="none" w:sz="0" w:space="0" w:color="auto"/>
                <w:left w:val="none" w:sz="0" w:space="0" w:color="auto"/>
                <w:bottom w:val="none" w:sz="0" w:space="0" w:color="auto"/>
                <w:right w:val="none" w:sz="0" w:space="0" w:color="auto"/>
              </w:divBdr>
            </w:div>
            <w:div w:id="793058590">
              <w:marLeft w:val="0"/>
              <w:marRight w:val="0"/>
              <w:marTop w:val="0"/>
              <w:marBottom w:val="0"/>
              <w:divBdr>
                <w:top w:val="none" w:sz="0" w:space="0" w:color="auto"/>
                <w:left w:val="none" w:sz="0" w:space="0" w:color="auto"/>
                <w:bottom w:val="none" w:sz="0" w:space="0" w:color="auto"/>
                <w:right w:val="none" w:sz="0" w:space="0" w:color="auto"/>
              </w:divBdr>
            </w:div>
            <w:div w:id="793058591">
              <w:marLeft w:val="0"/>
              <w:marRight w:val="0"/>
              <w:marTop w:val="0"/>
              <w:marBottom w:val="0"/>
              <w:divBdr>
                <w:top w:val="none" w:sz="0" w:space="0" w:color="auto"/>
                <w:left w:val="none" w:sz="0" w:space="0" w:color="auto"/>
                <w:bottom w:val="none" w:sz="0" w:space="0" w:color="auto"/>
                <w:right w:val="none" w:sz="0" w:space="0" w:color="auto"/>
              </w:divBdr>
            </w:div>
            <w:div w:id="793058592">
              <w:marLeft w:val="0"/>
              <w:marRight w:val="0"/>
              <w:marTop w:val="0"/>
              <w:marBottom w:val="0"/>
              <w:divBdr>
                <w:top w:val="none" w:sz="0" w:space="0" w:color="auto"/>
                <w:left w:val="none" w:sz="0" w:space="0" w:color="auto"/>
                <w:bottom w:val="none" w:sz="0" w:space="0" w:color="auto"/>
                <w:right w:val="none" w:sz="0" w:space="0" w:color="auto"/>
              </w:divBdr>
            </w:div>
            <w:div w:id="793058593">
              <w:marLeft w:val="0"/>
              <w:marRight w:val="0"/>
              <w:marTop w:val="0"/>
              <w:marBottom w:val="0"/>
              <w:divBdr>
                <w:top w:val="none" w:sz="0" w:space="0" w:color="auto"/>
                <w:left w:val="none" w:sz="0" w:space="0" w:color="auto"/>
                <w:bottom w:val="none" w:sz="0" w:space="0" w:color="auto"/>
                <w:right w:val="none" w:sz="0" w:space="0" w:color="auto"/>
              </w:divBdr>
            </w:div>
            <w:div w:id="793058595">
              <w:marLeft w:val="0"/>
              <w:marRight w:val="0"/>
              <w:marTop w:val="0"/>
              <w:marBottom w:val="0"/>
              <w:divBdr>
                <w:top w:val="none" w:sz="0" w:space="0" w:color="auto"/>
                <w:left w:val="none" w:sz="0" w:space="0" w:color="auto"/>
                <w:bottom w:val="none" w:sz="0" w:space="0" w:color="auto"/>
                <w:right w:val="none" w:sz="0" w:space="0" w:color="auto"/>
              </w:divBdr>
            </w:div>
            <w:div w:id="793058596">
              <w:marLeft w:val="0"/>
              <w:marRight w:val="0"/>
              <w:marTop w:val="0"/>
              <w:marBottom w:val="0"/>
              <w:divBdr>
                <w:top w:val="none" w:sz="0" w:space="0" w:color="auto"/>
                <w:left w:val="none" w:sz="0" w:space="0" w:color="auto"/>
                <w:bottom w:val="none" w:sz="0" w:space="0" w:color="auto"/>
                <w:right w:val="none" w:sz="0" w:space="0" w:color="auto"/>
              </w:divBdr>
            </w:div>
            <w:div w:id="793058597">
              <w:marLeft w:val="0"/>
              <w:marRight w:val="0"/>
              <w:marTop w:val="0"/>
              <w:marBottom w:val="0"/>
              <w:divBdr>
                <w:top w:val="none" w:sz="0" w:space="0" w:color="auto"/>
                <w:left w:val="none" w:sz="0" w:space="0" w:color="auto"/>
                <w:bottom w:val="none" w:sz="0" w:space="0" w:color="auto"/>
                <w:right w:val="none" w:sz="0" w:space="0" w:color="auto"/>
              </w:divBdr>
            </w:div>
            <w:div w:id="793058598">
              <w:marLeft w:val="0"/>
              <w:marRight w:val="0"/>
              <w:marTop w:val="0"/>
              <w:marBottom w:val="0"/>
              <w:divBdr>
                <w:top w:val="none" w:sz="0" w:space="0" w:color="auto"/>
                <w:left w:val="none" w:sz="0" w:space="0" w:color="auto"/>
                <w:bottom w:val="none" w:sz="0" w:space="0" w:color="auto"/>
                <w:right w:val="none" w:sz="0" w:space="0" w:color="auto"/>
              </w:divBdr>
            </w:div>
            <w:div w:id="793058599">
              <w:marLeft w:val="0"/>
              <w:marRight w:val="0"/>
              <w:marTop w:val="0"/>
              <w:marBottom w:val="0"/>
              <w:divBdr>
                <w:top w:val="none" w:sz="0" w:space="0" w:color="auto"/>
                <w:left w:val="none" w:sz="0" w:space="0" w:color="auto"/>
                <w:bottom w:val="none" w:sz="0" w:space="0" w:color="auto"/>
                <w:right w:val="none" w:sz="0" w:space="0" w:color="auto"/>
              </w:divBdr>
            </w:div>
            <w:div w:id="793058600">
              <w:marLeft w:val="0"/>
              <w:marRight w:val="0"/>
              <w:marTop w:val="0"/>
              <w:marBottom w:val="0"/>
              <w:divBdr>
                <w:top w:val="none" w:sz="0" w:space="0" w:color="auto"/>
                <w:left w:val="none" w:sz="0" w:space="0" w:color="auto"/>
                <w:bottom w:val="none" w:sz="0" w:space="0" w:color="auto"/>
                <w:right w:val="none" w:sz="0" w:space="0" w:color="auto"/>
              </w:divBdr>
            </w:div>
            <w:div w:id="793058601">
              <w:marLeft w:val="0"/>
              <w:marRight w:val="0"/>
              <w:marTop w:val="0"/>
              <w:marBottom w:val="0"/>
              <w:divBdr>
                <w:top w:val="none" w:sz="0" w:space="0" w:color="auto"/>
                <w:left w:val="none" w:sz="0" w:space="0" w:color="auto"/>
                <w:bottom w:val="none" w:sz="0" w:space="0" w:color="auto"/>
                <w:right w:val="none" w:sz="0" w:space="0" w:color="auto"/>
              </w:divBdr>
            </w:div>
            <w:div w:id="793058603">
              <w:marLeft w:val="0"/>
              <w:marRight w:val="0"/>
              <w:marTop w:val="0"/>
              <w:marBottom w:val="0"/>
              <w:divBdr>
                <w:top w:val="none" w:sz="0" w:space="0" w:color="auto"/>
                <w:left w:val="none" w:sz="0" w:space="0" w:color="auto"/>
                <w:bottom w:val="none" w:sz="0" w:space="0" w:color="auto"/>
                <w:right w:val="none" w:sz="0" w:space="0" w:color="auto"/>
              </w:divBdr>
            </w:div>
            <w:div w:id="793058604">
              <w:marLeft w:val="0"/>
              <w:marRight w:val="0"/>
              <w:marTop w:val="0"/>
              <w:marBottom w:val="0"/>
              <w:divBdr>
                <w:top w:val="none" w:sz="0" w:space="0" w:color="auto"/>
                <w:left w:val="none" w:sz="0" w:space="0" w:color="auto"/>
                <w:bottom w:val="none" w:sz="0" w:space="0" w:color="auto"/>
                <w:right w:val="none" w:sz="0" w:space="0" w:color="auto"/>
              </w:divBdr>
            </w:div>
            <w:div w:id="793058605">
              <w:marLeft w:val="0"/>
              <w:marRight w:val="0"/>
              <w:marTop w:val="0"/>
              <w:marBottom w:val="0"/>
              <w:divBdr>
                <w:top w:val="none" w:sz="0" w:space="0" w:color="auto"/>
                <w:left w:val="none" w:sz="0" w:space="0" w:color="auto"/>
                <w:bottom w:val="none" w:sz="0" w:space="0" w:color="auto"/>
                <w:right w:val="none" w:sz="0" w:space="0" w:color="auto"/>
              </w:divBdr>
            </w:div>
            <w:div w:id="793058606">
              <w:marLeft w:val="0"/>
              <w:marRight w:val="0"/>
              <w:marTop w:val="0"/>
              <w:marBottom w:val="0"/>
              <w:divBdr>
                <w:top w:val="none" w:sz="0" w:space="0" w:color="auto"/>
                <w:left w:val="none" w:sz="0" w:space="0" w:color="auto"/>
                <w:bottom w:val="none" w:sz="0" w:space="0" w:color="auto"/>
                <w:right w:val="none" w:sz="0" w:space="0" w:color="auto"/>
              </w:divBdr>
            </w:div>
            <w:div w:id="793058607">
              <w:marLeft w:val="0"/>
              <w:marRight w:val="0"/>
              <w:marTop w:val="0"/>
              <w:marBottom w:val="0"/>
              <w:divBdr>
                <w:top w:val="none" w:sz="0" w:space="0" w:color="auto"/>
                <w:left w:val="none" w:sz="0" w:space="0" w:color="auto"/>
                <w:bottom w:val="none" w:sz="0" w:space="0" w:color="auto"/>
                <w:right w:val="none" w:sz="0" w:space="0" w:color="auto"/>
              </w:divBdr>
            </w:div>
            <w:div w:id="793058608">
              <w:marLeft w:val="0"/>
              <w:marRight w:val="0"/>
              <w:marTop w:val="0"/>
              <w:marBottom w:val="0"/>
              <w:divBdr>
                <w:top w:val="none" w:sz="0" w:space="0" w:color="auto"/>
                <w:left w:val="none" w:sz="0" w:space="0" w:color="auto"/>
                <w:bottom w:val="none" w:sz="0" w:space="0" w:color="auto"/>
                <w:right w:val="none" w:sz="0" w:space="0" w:color="auto"/>
              </w:divBdr>
            </w:div>
            <w:div w:id="793058609">
              <w:marLeft w:val="0"/>
              <w:marRight w:val="0"/>
              <w:marTop w:val="0"/>
              <w:marBottom w:val="0"/>
              <w:divBdr>
                <w:top w:val="none" w:sz="0" w:space="0" w:color="auto"/>
                <w:left w:val="none" w:sz="0" w:space="0" w:color="auto"/>
                <w:bottom w:val="none" w:sz="0" w:space="0" w:color="auto"/>
                <w:right w:val="none" w:sz="0" w:space="0" w:color="auto"/>
              </w:divBdr>
            </w:div>
            <w:div w:id="793058610">
              <w:marLeft w:val="0"/>
              <w:marRight w:val="0"/>
              <w:marTop w:val="0"/>
              <w:marBottom w:val="0"/>
              <w:divBdr>
                <w:top w:val="none" w:sz="0" w:space="0" w:color="auto"/>
                <w:left w:val="none" w:sz="0" w:space="0" w:color="auto"/>
                <w:bottom w:val="none" w:sz="0" w:space="0" w:color="auto"/>
                <w:right w:val="none" w:sz="0" w:space="0" w:color="auto"/>
              </w:divBdr>
            </w:div>
            <w:div w:id="793058611">
              <w:marLeft w:val="0"/>
              <w:marRight w:val="0"/>
              <w:marTop w:val="0"/>
              <w:marBottom w:val="0"/>
              <w:divBdr>
                <w:top w:val="none" w:sz="0" w:space="0" w:color="auto"/>
                <w:left w:val="none" w:sz="0" w:space="0" w:color="auto"/>
                <w:bottom w:val="none" w:sz="0" w:space="0" w:color="auto"/>
                <w:right w:val="none" w:sz="0" w:space="0" w:color="auto"/>
              </w:divBdr>
            </w:div>
            <w:div w:id="793058612">
              <w:marLeft w:val="0"/>
              <w:marRight w:val="0"/>
              <w:marTop w:val="0"/>
              <w:marBottom w:val="0"/>
              <w:divBdr>
                <w:top w:val="none" w:sz="0" w:space="0" w:color="auto"/>
                <w:left w:val="none" w:sz="0" w:space="0" w:color="auto"/>
                <w:bottom w:val="none" w:sz="0" w:space="0" w:color="auto"/>
                <w:right w:val="none" w:sz="0" w:space="0" w:color="auto"/>
              </w:divBdr>
            </w:div>
            <w:div w:id="793058613">
              <w:marLeft w:val="0"/>
              <w:marRight w:val="0"/>
              <w:marTop w:val="0"/>
              <w:marBottom w:val="0"/>
              <w:divBdr>
                <w:top w:val="none" w:sz="0" w:space="0" w:color="auto"/>
                <w:left w:val="none" w:sz="0" w:space="0" w:color="auto"/>
                <w:bottom w:val="none" w:sz="0" w:space="0" w:color="auto"/>
                <w:right w:val="none" w:sz="0" w:space="0" w:color="auto"/>
              </w:divBdr>
            </w:div>
            <w:div w:id="793058614">
              <w:marLeft w:val="0"/>
              <w:marRight w:val="0"/>
              <w:marTop w:val="0"/>
              <w:marBottom w:val="0"/>
              <w:divBdr>
                <w:top w:val="none" w:sz="0" w:space="0" w:color="auto"/>
                <w:left w:val="none" w:sz="0" w:space="0" w:color="auto"/>
                <w:bottom w:val="none" w:sz="0" w:space="0" w:color="auto"/>
                <w:right w:val="none" w:sz="0" w:space="0" w:color="auto"/>
              </w:divBdr>
            </w:div>
            <w:div w:id="793058617">
              <w:marLeft w:val="0"/>
              <w:marRight w:val="0"/>
              <w:marTop w:val="0"/>
              <w:marBottom w:val="0"/>
              <w:divBdr>
                <w:top w:val="none" w:sz="0" w:space="0" w:color="auto"/>
                <w:left w:val="none" w:sz="0" w:space="0" w:color="auto"/>
                <w:bottom w:val="none" w:sz="0" w:space="0" w:color="auto"/>
                <w:right w:val="none" w:sz="0" w:space="0" w:color="auto"/>
              </w:divBdr>
            </w:div>
            <w:div w:id="793058618">
              <w:marLeft w:val="0"/>
              <w:marRight w:val="0"/>
              <w:marTop w:val="0"/>
              <w:marBottom w:val="0"/>
              <w:divBdr>
                <w:top w:val="none" w:sz="0" w:space="0" w:color="auto"/>
                <w:left w:val="none" w:sz="0" w:space="0" w:color="auto"/>
                <w:bottom w:val="none" w:sz="0" w:space="0" w:color="auto"/>
                <w:right w:val="none" w:sz="0" w:space="0" w:color="auto"/>
              </w:divBdr>
            </w:div>
            <w:div w:id="793058619">
              <w:marLeft w:val="0"/>
              <w:marRight w:val="0"/>
              <w:marTop w:val="0"/>
              <w:marBottom w:val="0"/>
              <w:divBdr>
                <w:top w:val="none" w:sz="0" w:space="0" w:color="auto"/>
                <w:left w:val="none" w:sz="0" w:space="0" w:color="auto"/>
                <w:bottom w:val="none" w:sz="0" w:space="0" w:color="auto"/>
                <w:right w:val="none" w:sz="0" w:space="0" w:color="auto"/>
              </w:divBdr>
            </w:div>
            <w:div w:id="793058620">
              <w:marLeft w:val="0"/>
              <w:marRight w:val="0"/>
              <w:marTop w:val="0"/>
              <w:marBottom w:val="0"/>
              <w:divBdr>
                <w:top w:val="none" w:sz="0" w:space="0" w:color="auto"/>
                <w:left w:val="none" w:sz="0" w:space="0" w:color="auto"/>
                <w:bottom w:val="none" w:sz="0" w:space="0" w:color="auto"/>
                <w:right w:val="none" w:sz="0" w:space="0" w:color="auto"/>
              </w:divBdr>
            </w:div>
            <w:div w:id="793058622">
              <w:marLeft w:val="0"/>
              <w:marRight w:val="0"/>
              <w:marTop w:val="0"/>
              <w:marBottom w:val="0"/>
              <w:divBdr>
                <w:top w:val="none" w:sz="0" w:space="0" w:color="auto"/>
                <w:left w:val="none" w:sz="0" w:space="0" w:color="auto"/>
                <w:bottom w:val="none" w:sz="0" w:space="0" w:color="auto"/>
                <w:right w:val="none" w:sz="0" w:space="0" w:color="auto"/>
              </w:divBdr>
            </w:div>
            <w:div w:id="793058623">
              <w:marLeft w:val="0"/>
              <w:marRight w:val="0"/>
              <w:marTop w:val="0"/>
              <w:marBottom w:val="0"/>
              <w:divBdr>
                <w:top w:val="none" w:sz="0" w:space="0" w:color="auto"/>
                <w:left w:val="none" w:sz="0" w:space="0" w:color="auto"/>
                <w:bottom w:val="none" w:sz="0" w:space="0" w:color="auto"/>
                <w:right w:val="none" w:sz="0" w:space="0" w:color="auto"/>
              </w:divBdr>
            </w:div>
            <w:div w:id="793058626">
              <w:marLeft w:val="0"/>
              <w:marRight w:val="0"/>
              <w:marTop w:val="0"/>
              <w:marBottom w:val="0"/>
              <w:divBdr>
                <w:top w:val="none" w:sz="0" w:space="0" w:color="auto"/>
                <w:left w:val="none" w:sz="0" w:space="0" w:color="auto"/>
                <w:bottom w:val="none" w:sz="0" w:space="0" w:color="auto"/>
                <w:right w:val="none" w:sz="0" w:space="0" w:color="auto"/>
              </w:divBdr>
            </w:div>
            <w:div w:id="793058627">
              <w:marLeft w:val="0"/>
              <w:marRight w:val="0"/>
              <w:marTop w:val="0"/>
              <w:marBottom w:val="0"/>
              <w:divBdr>
                <w:top w:val="none" w:sz="0" w:space="0" w:color="auto"/>
                <w:left w:val="none" w:sz="0" w:space="0" w:color="auto"/>
                <w:bottom w:val="none" w:sz="0" w:space="0" w:color="auto"/>
                <w:right w:val="none" w:sz="0" w:space="0" w:color="auto"/>
              </w:divBdr>
            </w:div>
            <w:div w:id="7930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58602">
      <w:marLeft w:val="0"/>
      <w:marRight w:val="0"/>
      <w:marTop w:val="0"/>
      <w:marBottom w:val="0"/>
      <w:divBdr>
        <w:top w:val="none" w:sz="0" w:space="0" w:color="auto"/>
        <w:left w:val="none" w:sz="0" w:space="0" w:color="auto"/>
        <w:bottom w:val="none" w:sz="0" w:space="0" w:color="auto"/>
        <w:right w:val="none" w:sz="0" w:space="0" w:color="auto"/>
      </w:divBdr>
      <w:divsChild>
        <w:div w:id="793058616">
          <w:marLeft w:val="0"/>
          <w:marRight w:val="0"/>
          <w:marTop w:val="0"/>
          <w:marBottom w:val="0"/>
          <w:divBdr>
            <w:top w:val="none" w:sz="0" w:space="0" w:color="auto"/>
            <w:left w:val="none" w:sz="0" w:space="0" w:color="auto"/>
            <w:bottom w:val="none" w:sz="0" w:space="0" w:color="auto"/>
            <w:right w:val="none" w:sz="0" w:space="0" w:color="auto"/>
          </w:divBdr>
          <w:divsChild>
            <w:div w:id="793058615">
              <w:marLeft w:val="0"/>
              <w:marRight w:val="0"/>
              <w:marTop w:val="0"/>
              <w:marBottom w:val="0"/>
              <w:divBdr>
                <w:top w:val="none" w:sz="0" w:space="0" w:color="auto"/>
                <w:left w:val="none" w:sz="0" w:space="0" w:color="auto"/>
                <w:bottom w:val="none" w:sz="0" w:space="0" w:color="auto"/>
                <w:right w:val="none" w:sz="0" w:space="0" w:color="auto"/>
              </w:divBdr>
            </w:div>
            <w:div w:id="7930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586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onomura@wakayama-med.ac.jp"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4462</Words>
  <Characters>25435</Characters>
  <Application>Microsoft Office Word</Application>
  <DocSecurity>0</DocSecurity>
  <Lines>211</Lines>
  <Paragraphs>59</Paragraphs>
  <ScaleCrop>false</ScaleCrop>
  <Company>UNITCOM PC</Company>
  <LinksUpToDate>false</LinksUpToDate>
  <CharactersWithSpaces>29838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園村哲郎</dc:creator>
  <cp:lastModifiedBy>LS Ma</cp:lastModifiedBy>
  <cp:revision>2</cp:revision>
  <cp:lastPrinted>2013-06-13T08:52:00Z</cp:lastPrinted>
  <dcterms:created xsi:type="dcterms:W3CDTF">2013-07-04T16:42:00Z</dcterms:created>
  <dcterms:modified xsi:type="dcterms:W3CDTF">2013-07-04T16:42:00Z</dcterms:modified>
</cp:coreProperties>
</file>