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AB256" w14:textId="77777777" w:rsidR="00057F9D" w:rsidRPr="00A234EE" w:rsidRDefault="00057F9D" w:rsidP="00A234EE">
      <w:pPr>
        <w:adjustRightInd w:val="0"/>
        <w:snapToGrid w:val="0"/>
        <w:spacing w:after="0" w:line="360" w:lineRule="auto"/>
        <w:jc w:val="both"/>
        <w:rPr>
          <w:rFonts w:ascii="Book Antiqua" w:eastAsia="SimSun" w:hAnsi="Book Antiqua"/>
          <w:b/>
          <w:bCs/>
          <w:sz w:val="24"/>
          <w:szCs w:val="24"/>
          <w:lang w:val="en-US" w:eastAsia="zh-CN"/>
        </w:rPr>
      </w:pPr>
    </w:p>
    <w:p w14:paraId="7C4CA3AC" w14:textId="77777777" w:rsidR="003E0F90" w:rsidRPr="00A234EE" w:rsidRDefault="003E0F90" w:rsidP="00A234EE">
      <w:pPr>
        <w:adjustRightInd w:val="0"/>
        <w:snapToGrid w:val="0"/>
        <w:spacing w:after="0" w:line="360" w:lineRule="auto"/>
        <w:jc w:val="both"/>
        <w:rPr>
          <w:rFonts w:ascii="Book Antiqua" w:eastAsia="Times New Roman" w:hAnsi="Book Antiqua" w:cs="SimSun"/>
          <w:b/>
          <w:i/>
          <w:color w:val="000000"/>
          <w:sz w:val="24"/>
          <w:szCs w:val="24"/>
          <w:lang w:val="en-US"/>
        </w:rPr>
      </w:pPr>
      <w:bookmarkStart w:id="0" w:name="OLE_LINK22"/>
      <w:bookmarkStart w:id="1" w:name="OLE_LINK45"/>
      <w:bookmarkStart w:id="2" w:name="OLE_LINK1136"/>
      <w:r w:rsidRPr="00A234EE">
        <w:rPr>
          <w:rFonts w:ascii="Book Antiqua" w:eastAsia="Times New Roman" w:hAnsi="Book Antiqua" w:cs="SimSun"/>
          <w:b/>
          <w:color w:val="000000"/>
          <w:sz w:val="24"/>
          <w:szCs w:val="24"/>
          <w:lang w:val="en-US"/>
        </w:rPr>
        <w:t xml:space="preserve">Name of journal: </w:t>
      </w:r>
      <w:bookmarkStart w:id="3" w:name="OLE_LINK718"/>
      <w:bookmarkStart w:id="4" w:name="OLE_LINK719"/>
      <w:bookmarkStart w:id="5" w:name="OLE_LINK645"/>
      <w:bookmarkStart w:id="6" w:name="OLE_LINK661"/>
      <w:bookmarkStart w:id="7" w:name="OLE_LINK1068"/>
      <w:r w:rsidRPr="00A234EE">
        <w:rPr>
          <w:rFonts w:ascii="Book Antiqua" w:eastAsia="Times New Roman" w:hAnsi="Book Antiqua" w:cs="SimSun"/>
          <w:b/>
          <w:i/>
          <w:color w:val="000000"/>
          <w:sz w:val="24"/>
          <w:szCs w:val="24"/>
          <w:lang w:val="en-US"/>
        </w:rPr>
        <w:t xml:space="preserve">World Journal of </w:t>
      </w:r>
      <w:bookmarkStart w:id="8" w:name="OLE_LINK1222"/>
      <w:bookmarkStart w:id="9" w:name="OLE_LINK1223"/>
      <w:r w:rsidRPr="00A234EE">
        <w:rPr>
          <w:rFonts w:ascii="Book Antiqua" w:eastAsia="Times New Roman" w:hAnsi="Book Antiqua" w:cs="SimSun"/>
          <w:b/>
          <w:i/>
          <w:color w:val="000000"/>
          <w:sz w:val="24"/>
          <w:szCs w:val="24"/>
          <w:lang w:val="en-US"/>
        </w:rPr>
        <w:t>Gastroenterology</w:t>
      </w:r>
      <w:bookmarkEnd w:id="3"/>
      <w:bookmarkEnd w:id="4"/>
      <w:bookmarkEnd w:id="5"/>
      <w:bookmarkEnd w:id="6"/>
      <w:bookmarkEnd w:id="7"/>
      <w:bookmarkEnd w:id="8"/>
      <w:bookmarkEnd w:id="9"/>
    </w:p>
    <w:p w14:paraId="232FFA51" w14:textId="62C1C34B" w:rsidR="003E0F90" w:rsidRPr="00A234EE" w:rsidRDefault="003E0F90" w:rsidP="00A234EE">
      <w:pPr>
        <w:adjustRightInd w:val="0"/>
        <w:snapToGrid w:val="0"/>
        <w:spacing w:after="0" w:line="360" w:lineRule="auto"/>
        <w:jc w:val="both"/>
        <w:rPr>
          <w:rFonts w:ascii="Book Antiqua" w:hAnsi="Book Antiqua" w:cs="Arial"/>
          <w:color w:val="000000"/>
          <w:sz w:val="24"/>
          <w:szCs w:val="24"/>
          <w:lang w:val="en" w:eastAsia="zh-CN"/>
        </w:rPr>
      </w:pPr>
      <w:r w:rsidRPr="00A234EE">
        <w:rPr>
          <w:rFonts w:ascii="Book Antiqua" w:hAnsi="Book Antiqua" w:cs="Arial"/>
          <w:b/>
          <w:color w:val="000000"/>
          <w:sz w:val="24"/>
          <w:szCs w:val="24"/>
          <w:lang w:val="en"/>
        </w:rPr>
        <w:t xml:space="preserve">Manuscript NO: </w:t>
      </w:r>
      <w:r w:rsidRPr="00A234EE">
        <w:rPr>
          <w:rFonts w:ascii="Book Antiqua" w:hAnsi="Book Antiqua" w:cs="Arial"/>
          <w:b/>
          <w:color w:val="000000"/>
          <w:sz w:val="24"/>
          <w:szCs w:val="24"/>
          <w:lang w:val="en" w:eastAsia="zh-CN"/>
        </w:rPr>
        <w:t>36729</w:t>
      </w:r>
    </w:p>
    <w:p w14:paraId="02A2C06F" w14:textId="186E33E5" w:rsidR="003E0F90" w:rsidRPr="00A234EE" w:rsidRDefault="003E0F90" w:rsidP="00A234EE">
      <w:pPr>
        <w:adjustRightInd w:val="0"/>
        <w:snapToGrid w:val="0"/>
        <w:spacing w:after="0" w:line="360" w:lineRule="auto"/>
        <w:jc w:val="both"/>
        <w:rPr>
          <w:rFonts w:ascii="Book Antiqua" w:hAnsi="Book Antiqua"/>
          <w:b/>
          <w:sz w:val="24"/>
          <w:szCs w:val="24"/>
          <w:lang w:val="en-US"/>
        </w:rPr>
      </w:pPr>
      <w:r w:rsidRPr="00A234EE">
        <w:rPr>
          <w:rFonts w:ascii="Book Antiqua" w:hAnsi="Book Antiqua"/>
          <w:b/>
          <w:sz w:val="24"/>
          <w:szCs w:val="24"/>
          <w:lang w:val="en-US"/>
        </w:rPr>
        <w:t>Manuscript Type:</w:t>
      </w:r>
      <w:r w:rsidR="00AC18F2" w:rsidRPr="00A234EE">
        <w:rPr>
          <w:rFonts w:ascii="Book Antiqua" w:hAnsi="Book Antiqua"/>
          <w:b/>
          <w:sz w:val="24"/>
          <w:szCs w:val="24"/>
          <w:lang w:val="en-US"/>
        </w:rPr>
        <w:t xml:space="preserve"> ORIGINAL ARTICLE</w:t>
      </w:r>
    </w:p>
    <w:bookmarkEnd w:id="0"/>
    <w:bookmarkEnd w:id="1"/>
    <w:bookmarkEnd w:id="2"/>
    <w:p w14:paraId="38BD0EFB" w14:textId="77777777" w:rsidR="003E0F90" w:rsidRPr="00A234EE" w:rsidRDefault="003E0F90" w:rsidP="00A234EE">
      <w:pPr>
        <w:adjustRightInd w:val="0"/>
        <w:snapToGrid w:val="0"/>
        <w:spacing w:after="0" w:line="360" w:lineRule="auto"/>
        <w:jc w:val="both"/>
        <w:rPr>
          <w:rFonts w:ascii="Book Antiqua" w:hAnsi="Book Antiqua"/>
          <w:sz w:val="24"/>
          <w:szCs w:val="24"/>
          <w:lang w:val="en-US" w:eastAsia="zh-CN"/>
        </w:rPr>
      </w:pPr>
    </w:p>
    <w:p w14:paraId="32B94BF3" w14:textId="06C97876" w:rsidR="00E55543" w:rsidRPr="00A234EE" w:rsidRDefault="2FCCB97E" w:rsidP="00A234EE">
      <w:pPr>
        <w:adjustRightInd w:val="0"/>
        <w:snapToGrid w:val="0"/>
        <w:spacing w:after="0" w:line="360" w:lineRule="auto"/>
        <w:jc w:val="both"/>
        <w:rPr>
          <w:rFonts w:ascii="Book Antiqua" w:hAnsi="Book Antiqua"/>
          <w:b/>
          <w:i/>
          <w:sz w:val="24"/>
          <w:szCs w:val="24"/>
          <w:lang w:val="en-US" w:eastAsia="zh-CN"/>
        </w:rPr>
      </w:pPr>
      <w:r w:rsidRPr="00A234EE">
        <w:rPr>
          <w:rFonts w:ascii="Book Antiqua" w:hAnsi="Book Antiqua"/>
          <w:b/>
          <w:i/>
          <w:sz w:val="24"/>
          <w:szCs w:val="24"/>
          <w:lang w:val="en-US"/>
        </w:rPr>
        <w:t>B</w:t>
      </w:r>
      <w:r w:rsidR="003E0F90" w:rsidRPr="00A234EE">
        <w:rPr>
          <w:rFonts w:ascii="Book Antiqua" w:hAnsi="Book Antiqua"/>
          <w:b/>
          <w:i/>
          <w:sz w:val="24"/>
          <w:szCs w:val="24"/>
          <w:lang w:val="en-US"/>
        </w:rPr>
        <w:t>asic</w:t>
      </w:r>
      <w:r w:rsidRPr="00A234EE">
        <w:rPr>
          <w:rFonts w:ascii="Book Antiqua" w:hAnsi="Book Antiqua"/>
          <w:b/>
          <w:i/>
          <w:sz w:val="24"/>
          <w:szCs w:val="24"/>
          <w:lang w:val="en-US"/>
        </w:rPr>
        <w:t xml:space="preserve"> S</w:t>
      </w:r>
      <w:r w:rsidR="003E0F90" w:rsidRPr="00A234EE">
        <w:rPr>
          <w:rFonts w:ascii="Book Antiqua" w:hAnsi="Book Antiqua"/>
          <w:b/>
          <w:i/>
          <w:sz w:val="24"/>
          <w:szCs w:val="24"/>
          <w:lang w:val="en-US"/>
        </w:rPr>
        <w:t>tudy</w:t>
      </w:r>
    </w:p>
    <w:p w14:paraId="2D2AB259" w14:textId="563844BF" w:rsidR="00E66D72" w:rsidRPr="00A234EE" w:rsidRDefault="2FCCB97E" w:rsidP="00A234EE">
      <w:pPr>
        <w:adjustRightInd w:val="0"/>
        <w:snapToGrid w:val="0"/>
        <w:spacing w:after="0" w:line="360" w:lineRule="auto"/>
        <w:jc w:val="both"/>
        <w:rPr>
          <w:rFonts w:ascii="Book Antiqua" w:hAnsi="Book Antiqua"/>
          <w:b/>
          <w:bCs/>
          <w:sz w:val="24"/>
          <w:szCs w:val="24"/>
          <w:lang w:val="en-US" w:eastAsia="zh-CN"/>
        </w:rPr>
      </w:pPr>
      <w:r w:rsidRPr="00A234EE">
        <w:rPr>
          <w:rFonts w:ascii="Book Antiqua" w:hAnsi="Book Antiqua"/>
          <w:b/>
          <w:bCs/>
          <w:sz w:val="24"/>
          <w:szCs w:val="24"/>
          <w:lang w:val="en-US"/>
        </w:rPr>
        <w:t xml:space="preserve">INT-767 improves histopathological features in a diet-induced </w:t>
      </w:r>
      <w:r w:rsidRPr="00A234EE">
        <w:rPr>
          <w:rFonts w:ascii="Book Antiqua" w:hAnsi="Book Antiqua"/>
          <w:b/>
          <w:bCs/>
          <w:i/>
          <w:iCs/>
          <w:sz w:val="24"/>
          <w:szCs w:val="24"/>
          <w:lang w:val="en-US"/>
        </w:rPr>
        <w:t>ob/ob</w:t>
      </w:r>
      <w:r w:rsidRPr="00A234EE">
        <w:rPr>
          <w:rFonts w:ascii="Book Antiqua" w:hAnsi="Book Antiqua"/>
          <w:b/>
          <w:bCs/>
          <w:sz w:val="24"/>
          <w:szCs w:val="24"/>
          <w:lang w:val="en-US"/>
        </w:rPr>
        <w:t xml:space="preserve"> mouse model of biopsy-confirmed non-alcoholic steatohepatitis</w:t>
      </w:r>
    </w:p>
    <w:p w14:paraId="09A36539" w14:textId="77777777" w:rsidR="00E55543" w:rsidRPr="00A234EE" w:rsidRDefault="00E55543" w:rsidP="00A234EE">
      <w:pPr>
        <w:adjustRightInd w:val="0"/>
        <w:snapToGrid w:val="0"/>
        <w:spacing w:after="0" w:line="360" w:lineRule="auto"/>
        <w:jc w:val="both"/>
        <w:rPr>
          <w:rFonts w:ascii="Book Antiqua" w:hAnsi="Book Antiqua"/>
          <w:b/>
          <w:bCs/>
          <w:sz w:val="24"/>
          <w:szCs w:val="24"/>
          <w:lang w:val="en-US" w:eastAsia="zh-CN"/>
        </w:rPr>
      </w:pPr>
    </w:p>
    <w:p w14:paraId="2D2AB25A" w14:textId="77777777" w:rsidR="00122198"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sz w:val="24"/>
          <w:szCs w:val="24"/>
          <w:lang w:val="en-US"/>
        </w:rPr>
        <w:t xml:space="preserve">Roth JD </w:t>
      </w:r>
      <w:r w:rsidRPr="00A234EE">
        <w:rPr>
          <w:rFonts w:ascii="Book Antiqua" w:hAnsi="Book Antiqua"/>
          <w:i/>
          <w:iCs/>
          <w:sz w:val="24"/>
          <w:szCs w:val="24"/>
          <w:lang w:val="en-US"/>
        </w:rPr>
        <w:t>et al.</w:t>
      </w:r>
      <w:r w:rsidRPr="00A234EE">
        <w:rPr>
          <w:rFonts w:ascii="Book Antiqua" w:hAnsi="Book Antiqua"/>
          <w:sz w:val="24"/>
          <w:szCs w:val="24"/>
          <w:lang w:val="en-US"/>
        </w:rPr>
        <w:t xml:space="preserve"> INT-767 improves NASH in mice</w:t>
      </w:r>
    </w:p>
    <w:p w14:paraId="5C6EFB2B" w14:textId="77777777" w:rsidR="00E55543" w:rsidRPr="00A234EE" w:rsidRDefault="00E55543" w:rsidP="00A234EE">
      <w:pPr>
        <w:adjustRightInd w:val="0"/>
        <w:snapToGrid w:val="0"/>
        <w:spacing w:after="0" w:line="360" w:lineRule="auto"/>
        <w:jc w:val="both"/>
        <w:rPr>
          <w:rFonts w:ascii="Book Antiqua" w:hAnsi="Book Antiqua"/>
          <w:sz w:val="24"/>
          <w:szCs w:val="24"/>
          <w:lang w:val="en-US" w:eastAsia="zh-CN"/>
        </w:rPr>
      </w:pPr>
    </w:p>
    <w:p w14:paraId="2D2AB25B" w14:textId="43E7FF12" w:rsidR="001535AC" w:rsidRPr="00A234EE" w:rsidRDefault="2FCCB97E" w:rsidP="00A234EE">
      <w:pPr>
        <w:adjustRightInd w:val="0"/>
        <w:snapToGrid w:val="0"/>
        <w:spacing w:after="0" w:line="360" w:lineRule="auto"/>
        <w:jc w:val="both"/>
        <w:rPr>
          <w:rFonts w:ascii="Book Antiqua" w:hAnsi="Book Antiqua"/>
          <w:bCs/>
          <w:sz w:val="24"/>
          <w:szCs w:val="24"/>
          <w:lang w:val="en-US" w:eastAsia="zh-CN"/>
        </w:rPr>
      </w:pPr>
      <w:r w:rsidRPr="00A234EE">
        <w:rPr>
          <w:rFonts w:ascii="Book Antiqua" w:hAnsi="Book Antiqua"/>
          <w:bCs/>
          <w:sz w:val="24"/>
          <w:szCs w:val="24"/>
          <w:lang w:val="en-US"/>
        </w:rPr>
        <w:t>Jonathan D Roth, Michael Feigh, Sanne S Veidal, Louise K D Fensholdt, Kristoffer T Rigbolt, Henrik H Hansen, Li C Chen, Mathieu Petitjean, Weslyn Friley, Niels Vrang, Jacob Jelsing, Mark Young</w:t>
      </w:r>
    </w:p>
    <w:p w14:paraId="28A69B0E" w14:textId="77777777" w:rsidR="00E55543" w:rsidRPr="00A234EE" w:rsidRDefault="00E55543" w:rsidP="00A234EE">
      <w:pPr>
        <w:adjustRightInd w:val="0"/>
        <w:snapToGrid w:val="0"/>
        <w:spacing w:after="0" w:line="360" w:lineRule="auto"/>
        <w:jc w:val="both"/>
        <w:rPr>
          <w:rFonts w:ascii="Book Antiqua" w:hAnsi="Book Antiqua"/>
          <w:b/>
          <w:bCs/>
          <w:sz w:val="24"/>
          <w:szCs w:val="24"/>
          <w:vertAlign w:val="superscript"/>
          <w:lang w:val="en-US" w:eastAsia="zh-CN"/>
        </w:rPr>
      </w:pPr>
    </w:p>
    <w:p w14:paraId="2D2AB25C" w14:textId="3A566390" w:rsidR="00A27B4B"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bCs/>
          <w:sz w:val="24"/>
          <w:szCs w:val="24"/>
          <w:lang w:val="en-US"/>
        </w:rPr>
        <w:t xml:space="preserve">Jonathan D Roth, Mark Young, </w:t>
      </w:r>
      <w:r w:rsidRPr="00A234EE">
        <w:rPr>
          <w:rFonts w:ascii="Book Antiqua" w:hAnsi="Book Antiqua"/>
          <w:sz w:val="24"/>
          <w:szCs w:val="24"/>
          <w:lang w:val="en-US"/>
        </w:rPr>
        <w:t xml:space="preserve">Intercept Pharmaceuticals, </w:t>
      </w:r>
      <w:r w:rsidR="003E0F90" w:rsidRPr="00A234EE">
        <w:rPr>
          <w:rFonts w:ascii="Book Antiqua" w:hAnsi="Book Antiqua"/>
          <w:sz w:val="24"/>
          <w:szCs w:val="24"/>
          <w:lang w:val="en-US"/>
        </w:rPr>
        <w:t>Intercept Pharmaceuticals</w:t>
      </w:r>
      <w:r w:rsidR="003E0F90" w:rsidRPr="00A234EE">
        <w:rPr>
          <w:rFonts w:ascii="Book Antiqua" w:hAnsi="Book Antiqua"/>
          <w:sz w:val="24"/>
          <w:szCs w:val="24"/>
          <w:lang w:val="en-US" w:eastAsia="zh-CN"/>
        </w:rPr>
        <w:t>,</w:t>
      </w:r>
      <w:r w:rsidRPr="00A234EE">
        <w:rPr>
          <w:rFonts w:ascii="Book Antiqua" w:hAnsi="Book Antiqua"/>
          <w:sz w:val="24"/>
          <w:szCs w:val="24"/>
          <w:lang w:val="en-US"/>
        </w:rPr>
        <w:t xml:space="preserve"> San Diego</w:t>
      </w:r>
      <w:r w:rsidR="003E0F90" w:rsidRPr="00A234EE">
        <w:rPr>
          <w:rFonts w:ascii="Book Antiqua" w:hAnsi="Book Antiqua"/>
          <w:sz w:val="24"/>
          <w:szCs w:val="24"/>
          <w:lang w:val="en-US" w:eastAsia="zh-CN"/>
        </w:rPr>
        <w:t>,</w:t>
      </w:r>
      <w:r w:rsidRPr="00A234EE">
        <w:rPr>
          <w:rFonts w:ascii="Book Antiqua" w:hAnsi="Book Antiqua"/>
          <w:sz w:val="24"/>
          <w:szCs w:val="24"/>
          <w:lang w:val="en-US"/>
        </w:rPr>
        <w:t xml:space="preserve"> CA</w:t>
      </w:r>
      <w:r w:rsidR="003E0F90" w:rsidRPr="00A234EE">
        <w:rPr>
          <w:rFonts w:ascii="Book Antiqua" w:hAnsi="Book Antiqua"/>
          <w:sz w:val="24"/>
          <w:szCs w:val="24"/>
          <w:lang w:val="en-US" w:eastAsia="zh-CN"/>
        </w:rPr>
        <w:t xml:space="preserve"> 92121, United States</w:t>
      </w:r>
    </w:p>
    <w:p w14:paraId="1A973A49" w14:textId="77777777" w:rsidR="00E55543" w:rsidRPr="00A234EE" w:rsidRDefault="00E55543" w:rsidP="00A234EE">
      <w:pPr>
        <w:adjustRightInd w:val="0"/>
        <w:snapToGrid w:val="0"/>
        <w:spacing w:after="0" w:line="360" w:lineRule="auto"/>
        <w:jc w:val="both"/>
        <w:rPr>
          <w:rFonts w:ascii="Book Antiqua" w:hAnsi="Book Antiqua"/>
          <w:sz w:val="24"/>
          <w:szCs w:val="24"/>
          <w:lang w:val="en-US" w:eastAsia="zh-CN"/>
        </w:rPr>
      </w:pPr>
    </w:p>
    <w:p w14:paraId="2D2AB25D" w14:textId="3551BA9B" w:rsidR="00057F9D"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bCs/>
          <w:sz w:val="24"/>
          <w:szCs w:val="24"/>
          <w:lang w:val="en-US"/>
        </w:rPr>
        <w:t xml:space="preserve">Michael Feigh, Sanne Veidal, Louise K D Fensholdt, Kristoffer T Rigbolt, Henrik H Hansen, Niels Vrang, Jacob Jelsing, </w:t>
      </w:r>
      <w:r w:rsidR="003E0F90" w:rsidRPr="00A234EE">
        <w:rPr>
          <w:rFonts w:ascii="Book Antiqua" w:hAnsi="Book Antiqua"/>
          <w:bCs/>
          <w:sz w:val="24"/>
          <w:szCs w:val="24"/>
          <w:lang w:val="en-US"/>
        </w:rPr>
        <w:t>Pharmacology</w:t>
      </w:r>
      <w:r w:rsidR="003E0F90" w:rsidRPr="00A234EE">
        <w:rPr>
          <w:rFonts w:ascii="Book Antiqua" w:hAnsi="Book Antiqua"/>
          <w:bCs/>
          <w:sz w:val="24"/>
          <w:szCs w:val="24"/>
          <w:lang w:val="en-US" w:eastAsia="zh-CN"/>
        </w:rPr>
        <w:t xml:space="preserve">, </w:t>
      </w:r>
      <w:r w:rsidRPr="00A234EE">
        <w:rPr>
          <w:rFonts w:ascii="Book Antiqua" w:hAnsi="Book Antiqua"/>
          <w:sz w:val="24"/>
          <w:szCs w:val="24"/>
          <w:lang w:val="en-US"/>
        </w:rPr>
        <w:t>Gubra, Hoersholm</w:t>
      </w:r>
      <w:r w:rsidR="003E0F90" w:rsidRPr="00A234EE">
        <w:rPr>
          <w:rFonts w:ascii="Book Antiqua" w:hAnsi="Book Antiqua"/>
          <w:sz w:val="24"/>
          <w:szCs w:val="24"/>
          <w:lang w:val="en-US" w:eastAsia="zh-CN"/>
        </w:rPr>
        <w:t xml:space="preserve"> DK-2970</w:t>
      </w:r>
      <w:r w:rsidRPr="00A234EE">
        <w:rPr>
          <w:rFonts w:ascii="Book Antiqua" w:hAnsi="Book Antiqua"/>
          <w:sz w:val="24"/>
          <w:szCs w:val="24"/>
          <w:lang w:val="en-US"/>
        </w:rPr>
        <w:t>, Denmark</w:t>
      </w:r>
    </w:p>
    <w:p w14:paraId="36A3BFF6" w14:textId="77777777" w:rsidR="00E55543" w:rsidRPr="00A234EE" w:rsidRDefault="00E55543" w:rsidP="00A234EE">
      <w:pPr>
        <w:adjustRightInd w:val="0"/>
        <w:snapToGrid w:val="0"/>
        <w:spacing w:after="0" w:line="360" w:lineRule="auto"/>
        <w:jc w:val="both"/>
        <w:rPr>
          <w:rFonts w:ascii="Book Antiqua" w:hAnsi="Book Antiqua"/>
          <w:sz w:val="24"/>
          <w:szCs w:val="24"/>
          <w:lang w:val="en-US" w:eastAsia="zh-CN"/>
        </w:rPr>
      </w:pPr>
    </w:p>
    <w:p w14:paraId="4308181C" w14:textId="6A3453D2" w:rsidR="00E55543"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bCs/>
          <w:sz w:val="24"/>
          <w:szCs w:val="24"/>
          <w:lang w:val="en-US"/>
        </w:rPr>
        <w:t>Li Chen, Matthieu Petitjean,</w:t>
      </w:r>
      <w:r w:rsidRPr="00A234EE">
        <w:rPr>
          <w:rFonts w:ascii="Book Antiqua" w:hAnsi="Book Antiqua"/>
          <w:sz w:val="24"/>
          <w:szCs w:val="24"/>
          <w:lang w:val="en-US"/>
        </w:rPr>
        <w:t xml:space="preserve"> PharmaNest, LLC, dba / Genesis Imaging Services, Princeton, </w:t>
      </w:r>
      <w:r w:rsidR="003E0F90" w:rsidRPr="00A234EE">
        <w:rPr>
          <w:rFonts w:ascii="Book Antiqua" w:hAnsi="Book Antiqua"/>
          <w:sz w:val="24"/>
          <w:szCs w:val="24"/>
          <w:lang w:val="en-US"/>
        </w:rPr>
        <w:t xml:space="preserve">NJ </w:t>
      </w:r>
      <w:r w:rsidR="003E0F90" w:rsidRPr="00A234EE">
        <w:rPr>
          <w:rFonts w:ascii="Book Antiqua" w:hAnsi="Book Antiqua"/>
          <w:sz w:val="24"/>
          <w:szCs w:val="24"/>
          <w:lang w:val="en-US" w:eastAsia="zh-CN"/>
        </w:rPr>
        <w:t xml:space="preserve"> </w:t>
      </w:r>
      <w:r w:rsidR="003E0F90" w:rsidRPr="00A234EE">
        <w:rPr>
          <w:rFonts w:ascii="Book Antiqua" w:hAnsi="Book Antiqua"/>
          <w:sz w:val="24"/>
          <w:szCs w:val="24"/>
          <w:lang w:val="en-US"/>
        </w:rPr>
        <w:t>08540</w:t>
      </w:r>
      <w:r w:rsidR="003E0F90" w:rsidRPr="00A234EE">
        <w:rPr>
          <w:rFonts w:ascii="Book Antiqua" w:hAnsi="Book Antiqua"/>
          <w:sz w:val="24"/>
          <w:szCs w:val="24"/>
          <w:lang w:val="en-US" w:eastAsia="zh-CN"/>
        </w:rPr>
        <w:t>,</w:t>
      </w:r>
      <w:r w:rsidR="003E0F90" w:rsidRPr="00A234EE">
        <w:rPr>
          <w:rFonts w:ascii="Book Antiqua" w:hAnsi="Book Antiqua"/>
          <w:sz w:val="24"/>
          <w:szCs w:val="24"/>
          <w:lang w:val="en-US"/>
        </w:rPr>
        <w:t xml:space="preserve"> United States</w:t>
      </w:r>
    </w:p>
    <w:p w14:paraId="74808C28" w14:textId="77777777" w:rsidR="003E0F90" w:rsidRPr="00A234EE" w:rsidRDefault="003E0F90" w:rsidP="00A234EE">
      <w:pPr>
        <w:adjustRightInd w:val="0"/>
        <w:snapToGrid w:val="0"/>
        <w:spacing w:after="0" w:line="360" w:lineRule="auto"/>
        <w:jc w:val="both"/>
        <w:rPr>
          <w:rFonts w:ascii="Book Antiqua" w:hAnsi="Book Antiqua"/>
          <w:sz w:val="24"/>
          <w:szCs w:val="24"/>
          <w:lang w:val="en-US" w:eastAsia="zh-CN"/>
        </w:rPr>
      </w:pPr>
    </w:p>
    <w:p w14:paraId="2D2AB25F" w14:textId="22AC9C6C" w:rsidR="008B39F3"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bCs/>
          <w:sz w:val="24"/>
          <w:szCs w:val="24"/>
          <w:lang w:val="en-US"/>
        </w:rPr>
        <w:t xml:space="preserve">Weslyn </w:t>
      </w:r>
      <w:r w:rsidR="006B7200" w:rsidRPr="00A234EE">
        <w:rPr>
          <w:rFonts w:ascii="Book Antiqua" w:hAnsi="Book Antiqua"/>
          <w:b/>
          <w:bCs/>
          <w:sz w:val="24"/>
          <w:szCs w:val="24"/>
          <w:lang w:val="en-US" w:eastAsia="zh-CN"/>
        </w:rPr>
        <w:t xml:space="preserve"> </w:t>
      </w:r>
      <w:r w:rsidR="00E04869" w:rsidRPr="00A234EE">
        <w:rPr>
          <w:rFonts w:ascii="Book Antiqua" w:hAnsi="Book Antiqua"/>
          <w:b/>
          <w:bCs/>
          <w:sz w:val="24"/>
          <w:szCs w:val="24"/>
          <w:lang w:val="en-US" w:eastAsia="zh-CN"/>
        </w:rPr>
        <w:t xml:space="preserve">W </w:t>
      </w:r>
      <w:r w:rsidRPr="00A234EE">
        <w:rPr>
          <w:rFonts w:ascii="Book Antiqua" w:hAnsi="Book Antiqua"/>
          <w:b/>
          <w:bCs/>
          <w:sz w:val="24"/>
          <w:szCs w:val="24"/>
          <w:lang w:val="en-US"/>
        </w:rPr>
        <w:t>Friley,</w:t>
      </w:r>
      <w:r w:rsidRPr="00A234EE">
        <w:rPr>
          <w:rFonts w:ascii="Book Antiqua" w:hAnsi="Book Antiqua"/>
          <w:sz w:val="24"/>
          <w:szCs w:val="24"/>
          <w:lang w:val="en-US"/>
        </w:rPr>
        <w:t xml:space="preserve"> Qualyst Transporter Solutions, Durham, NC</w:t>
      </w:r>
      <w:r w:rsidR="006B7200" w:rsidRPr="00A234EE">
        <w:rPr>
          <w:rFonts w:ascii="Book Antiqua" w:hAnsi="Book Antiqua"/>
          <w:sz w:val="24"/>
          <w:szCs w:val="24"/>
          <w:lang w:val="en-US"/>
        </w:rPr>
        <w:t xml:space="preserve"> 27713</w:t>
      </w:r>
      <w:r w:rsidR="006B7200" w:rsidRPr="00A234EE">
        <w:rPr>
          <w:rFonts w:ascii="Book Antiqua" w:hAnsi="Book Antiqua"/>
          <w:sz w:val="24"/>
          <w:szCs w:val="24"/>
          <w:lang w:val="en-US" w:eastAsia="zh-CN"/>
        </w:rPr>
        <w:t>, United States</w:t>
      </w:r>
    </w:p>
    <w:p w14:paraId="2891B88C" w14:textId="77777777" w:rsidR="00E55543" w:rsidRPr="00A234EE" w:rsidRDefault="00E55543" w:rsidP="00A234EE">
      <w:pPr>
        <w:adjustRightInd w:val="0"/>
        <w:snapToGrid w:val="0"/>
        <w:spacing w:after="0" w:line="360" w:lineRule="auto"/>
        <w:jc w:val="both"/>
        <w:rPr>
          <w:rFonts w:ascii="Book Antiqua" w:hAnsi="Book Antiqua"/>
          <w:sz w:val="24"/>
          <w:szCs w:val="24"/>
          <w:lang w:val="en-US" w:eastAsia="zh-CN"/>
        </w:rPr>
      </w:pPr>
    </w:p>
    <w:p w14:paraId="61FD5AD4" w14:textId="2C20E407" w:rsidR="000723F8" w:rsidRPr="00A234EE" w:rsidRDefault="000723F8" w:rsidP="00A234EE">
      <w:pPr>
        <w:adjustRightInd w:val="0"/>
        <w:snapToGrid w:val="0"/>
        <w:spacing w:after="0" w:line="360" w:lineRule="auto"/>
        <w:jc w:val="both"/>
        <w:rPr>
          <w:rFonts w:ascii="Book Antiqua" w:hAnsi="Book Antiqua"/>
          <w:bCs/>
          <w:sz w:val="24"/>
          <w:szCs w:val="24"/>
          <w:lang w:val="en-US" w:eastAsia="zh-CN"/>
        </w:rPr>
      </w:pPr>
      <w:r w:rsidRPr="00A234EE">
        <w:rPr>
          <w:rFonts w:ascii="Book Antiqua" w:hAnsi="Book Antiqua"/>
          <w:b/>
          <w:bCs/>
          <w:sz w:val="24"/>
          <w:szCs w:val="24"/>
          <w:lang w:val="en-US"/>
        </w:rPr>
        <w:t>ORCID number:</w:t>
      </w:r>
      <w:r w:rsidRPr="00A234EE">
        <w:rPr>
          <w:rFonts w:ascii="Book Antiqua" w:hAnsi="Book Antiqua"/>
          <w:b/>
          <w:bCs/>
          <w:sz w:val="24"/>
          <w:szCs w:val="24"/>
          <w:lang w:val="en-US" w:eastAsia="zh-CN"/>
        </w:rPr>
        <w:t xml:space="preserve"> </w:t>
      </w:r>
      <w:r w:rsidRPr="00A234EE">
        <w:rPr>
          <w:rFonts w:ascii="Book Antiqua" w:hAnsi="Book Antiqua"/>
          <w:bCs/>
          <w:sz w:val="24"/>
          <w:szCs w:val="24"/>
          <w:lang w:val="en-US"/>
        </w:rPr>
        <w:t>Jonathan D Roth</w:t>
      </w:r>
      <w:r w:rsidR="00E4751A" w:rsidRPr="00A234EE">
        <w:rPr>
          <w:rFonts w:ascii="Book Antiqua" w:hAnsi="Book Antiqua"/>
          <w:sz w:val="24"/>
          <w:szCs w:val="24"/>
          <w:lang w:val="en-US" w:eastAsia="zh-CN"/>
        </w:rPr>
        <w:t xml:space="preserve"> </w:t>
      </w:r>
      <w:r w:rsidR="00E4751A" w:rsidRPr="00A234EE">
        <w:rPr>
          <w:rFonts w:ascii="Book Antiqua" w:hAnsi="Book Antiqua"/>
          <w:bCs/>
          <w:sz w:val="24"/>
          <w:szCs w:val="24"/>
          <w:lang w:val="en-US" w:eastAsia="zh-CN"/>
        </w:rPr>
        <w:t>(</w:t>
      </w:r>
      <w:r w:rsidRPr="00A234EE">
        <w:rPr>
          <w:rFonts w:ascii="Book Antiqua" w:hAnsi="Book Antiqua"/>
          <w:bCs/>
          <w:sz w:val="24"/>
          <w:szCs w:val="24"/>
          <w:lang w:val="en-US"/>
        </w:rPr>
        <w:t>0000-0002-8804-8193</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Michael Feigh</w:t>
      </w:r>
      <w:r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Pr="00A234EE">
        <w:rPr>
          <w:rFonts w:ascii="Book Antiqua" w:hAnsi="Book Antiqua"/>
          <w:bCs/>
          <w:sz w:val="24"/>
          <w:szCs w:val="24"/>
          <w:lang w:val="en-US"/>
        </w:rPr>
        <w:t>0000-0001-5274-8799</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Sanne S Veidal</w:t>
      </w:r>
      <w:r w:rsidRPr="00A234EE">
        <w:rPr>
          <w:rFonts w:ascii="Book Antiqua" w:hAnsi="Book Antiqua"/>
          <w:sz w:val="24"/>
          <w:szCs w:val="24"/>
          <w:lang w:val="en-US"/>
        </w:rPr>
        <w:t xml:space="preserve"> </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0000-0003-1240-2034</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Louise K D Fensholdt</w:t>
      </w:r>
      <w:r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Pr="00A234EE">
        <w:rPr>
          <w:rFonts w:ascii="Book Antiqua" w:hAnsi="Book Antiqua"/>
          <w:bCs/>
          <w:sz w:val="24"/>
          <w:szCs w:val="24"/>
          <w:lang w:val="en-US"/>
        </w:rPr>
        <w:t>0000-0002-9762-3903</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Kristoffer T Rigbolt</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0000-0002-9470-0993</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Henrik H Hansen</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0000-0002-3732-0281</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 xml:space="preserve">Li C </w:t>
      </w:r>
      <w:r w:rsidRPr="00A234EE">
        <w:rPr>
          <w:rFonts w:ascii="Book Antiqua" w:hAnsi="Book Antiqua"/>
          <w:bCs/>
          <w:sz w:val="24"/>
          <w:szCs w:val="24"/>
          <w:lang w:val="en-US"/>
        </w:rPr>
        <w:lastRenderedPageBreak/>
        <w:t>Chen</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0000-0002-3458-1830</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Mathieu Petitjean</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0000-0003-3468-7114</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Weslyn Friley</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0000-0002-6992-8726</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Niels Vrang</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0000-0002-7203-9532</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Jacob Jelsing</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0000-0002-4583-1022</w:t>
      </w:r>
      <w:r w:rsidR="00E4751A" w:rsidRPr="00A234EE">
        <w:rPr>
          <w:rFonts w:ascii="Book Antiqua" w:hAnsi="Book Antiqua"/>
          <w:bCs/>
          <w:sz w:val="24"/>
          <w:szCs w:val="24"/>
          <w:lang w:val="en-US" w:eastAsia="zh-CN"/>
        </w:rPr>
        <w:t xml:space="preserve">); </w:t>
      </w:r>
      <w:r w:rsidRPr="00A234EE">
        <w:rPr>
          <w:rFonts w:ascii="Book Antiqua" w:hAnsi="Book Antiqua"/>
          <w:bCs/>
          <w:sz w:val="24"/>
          <w:szCs w:val="24"/>
          <w:lang w:val="en-US"/>
        </w:rPr>
        <w:t>Mark Young</w:t>
      </w:r>
      <w:r w:rsidR="00E4751A" w:rsidRPr="00A234EE">
        <w:rPr>
          <w:rFonts w:ascii="Book Antiqua" w:hAnsi="Book Antiqua"/>
          <w:sz w:val="24"/>
          <w:szCs w:val="24"/>
          <w:lang w:val="en-US"/>
        </w:rPr>
        <w:t xml:space="preserve"> </w:t>
      </w:r>
      <w:r w:rsidR="00E4751A" w:rsidRPr="00A234EE">
        <w:rPr>
          <w:rFonts w:ascii="Book Antiqua" w:hAnsi="Book Antiqua"/>
          <w:sz w:val="24"/>
          <w:szCs w:val="24"/>
          <w:lang w:val="en-US" w:eastAsia="zh-CN"/>
        </w:rPr>
        <w:t>(</w:t>
      </w:r>
      <w:r w:rsidR="00E4751A" w:rsidRPr="00A234EE">
        <w:rPr>
          <w:rFonts w:ascii="Book Antiqua" w:hAnsi="Book Antiqua"/>
          <w:bCs/>
          <w:sz w:val="24"/>
          <w:szCs w:val="24"/>
          <w:lang w:val="en-US"/>
        </w:rPr>
        <w:t>0000-0002-9503-6211</w:t>
      </w:r>
      <w:r w:rsidR="00E4751A" w:rsidRPr="00A234EE">
        <w:rPr>
          <w:rFonts w:ascii="Book Antiqua" w:hAnsi="Book Antiqua"/>
          <w:bCs/>
          <w:sz w:val="24"/>
          <w:szCs w:val="24"/>
          <w:lang w:val="en-US" w:eastAsia="zh-CN"/>
        </w:rPr>
        <w:t>).</w:t>
      </w:r>
    </w:p>
    <w:p w14:paraId="57E7E0E3" w14:textId="1EF30F7F" w:rsidR="000723F8" w:rsidRPr="00A234EE" w:rsidRDefault="000723F8" w:rsidP="00A234EE">
      <w:pPr>
        <w:adjustRightInd w:val="0"/>
        <w:snapToGrid w:val="0"/>
        <w:spacing w:after="0" w:line="360" w:lineRule="auto"/>
        <w:jc w:val="both"/>
        <w:rPr>
          <w:rFonts w:ascii="Book Antiqua" w:hAnsi="Book Antiqua"/>
          <w:sz w:val="24"/>
          <w:szCs w:val="24"/>
          <w:lang w:val="en-US" w:eastAsia="zh-CN"/>
        </w:rPr>
      </w:pPr>
    </w:p>
    <w:p w14:paraId="2D2AB260" w14:textId="5C5702F8" w:rsidR="008B39F3"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bCs/>
          <w:sz w:val="24"/>
          <w:szCs w:val="24"/>
          <w:lang w:val="en-US"/>
        </w:rPr>
        <w:t>Author contributions</w:t>
      </w:r>
      <w:r w:rsidRPr="00A234EE">
        <w:rPr>
          <w:rFonts w:ascii="Book Antiqua" w:hAnsi="Book Antiqua"/>
          <w:sz w:val="24"/>
          <w:szCs w:val="24"/>
          <w:lang w:val="en-US"/>
        </w:rPr>
        <w:t>: Studies were designed by Jonathan D Roth, Michael Feigh, Matthieu Petitjean and Mark Young; Louise K D Fensholdt, Sanne S Veidal, Kristoffer T Rigbolt, Li Chen, Weslyn Friley performed the majority of experiments. Henrik H Hansen and Jonathan D Roth wrote the paper with significant contributions to data analyses and editing by all co-authors.</w:t>
      </w:r>
    </w:p>
    <w:p w14:paraId="3C0578A3" w14:textId="77777777" w:rsidR="00E55543" w:rsidRPr="00A234EE" w:rsidRDefault="00E55543" w:rsidP="00A234EE">
      <w:pPr>
        <w:adjustRightInd w:val="0"/>
        <w:snapToGrid w:val="0"/>
        <w:spacing w:after="0" w:line="360" w:lineRule="auto"/>
        <w:jc w:val="both"/>
        <w:rPr>
          <w:rFonts w:ascii="Book Antiqua" w:hAnsi="Book Antiqua"/>
          <w:sz w:val="24"/>
          <w:szCs w:val="24"/>
          <w:lang w:val="en-US" w:eastAsia="zh-CN"/>
        </w:rPr>
      </w:pPr>
    </w:p>
    <w:p w14:paraId="2D2AB263" w14:textId="1CE12C22" w:rsidR="008B39F3" w:rsidRPr="00A234EE" w:rsidRDefault="00E4751A"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bCs/>
          <w:iCs/>
          <w:sz w:val="24"/>
          <w:szCs w:val="24"/>
          <w:lang w:val="en-US"/>
        </w:rPr>
        <w:t>Institutional animal care and use committee statement:</w:t>
      </w:r>
      <w:r w:rsidR="2FCCB97E" w:rsidRPr="00A234EE">
        <w:rPr>
          <w:rFonts w:ascii="Book Antiqua" w:hAnsi="Book Antiqua"/>
          <w:sz w:val="24"/>
          <w:szCs w:val="24"/>
          <w:lang w:val="en-US"/>
        </w:rPr>
        <w:t xml:space="preserve"> All animal experiments conformed to the internationally accepted principles for the care and use of laboratory animals (licence no. 2013-15-2934-00784, The Animal Experiments Inspectorate, Denmark).</w:t>
      </w:r>
    </w:p>
    <w:p w14:paraId="38F1D2B1" w14:textId="77777777" w:rsidR="00E55543" w:rsidRPr="00A234EE" w:rsidRDefault="00E55543" w:rsidP="00A234EE">
      <w:pPr>
        <w:adjustRightInd w:val="0"/>
        <w:snapToGrid w:val="0"/>
        <w:spacing w:after="0" w:line="360" w:lineRule="auto"/>
        <w:jc w:val="both"/>
        <w:rPr>
          <w:rFonts w:ascii="Book Antiqua" w:hAnsi="Book Antiqua"/>
          <w:sz w:val="24"/>
          <w:szCs w:val="24"/>
          <w:lang w:val="en-US" w:eastAsia="zh-CN"/>
        </w:rPr>
      </w:pPr>
    </w:p>
    <w:p w14:paraId="2D2AB264" w14:textId="56CD60CE" w:rsidR="008B39F3" w:rsidRPr="00A234EE" w:rsidRDefault="00E4751A"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cs="TimesNewRomanPS-BoldItalicMT"/>
          <w:b/>
          <w:bCs/>
          <w:iCs/>
          <w:color w:val="000000"/>
          <w:sz w:val="24"/>
          <w:szCs w:val="24"/>
          <w:lang w:val="en-US"/>
        </w:rPr>
        <w:t>Conflict-of-interest</w:t>
      </w:r>
      <w:r w:rsidRPr="00A234EE">
        <w:rPr>
          <w:rFonts w:ascii="Book Antiqua" w:hAnsi="Book Antiqua"/>
          <w:b/>
          <w:bCs/>
          <w:iCs/>
          <w:sz w:val="24"/>
          <w:szCs w:val="24"/>
          <w:lang w:val="en-US"/>
        </w:rPr>
        <w:t xml:space="preserve"> statement</w:t>
      </w:r>
      <w:r w:rsidR="2FCCB97E" w:rsidRPr="00A234EE">
        <w:rPr>
          <w:rFonts w:ascii="Book Antiqua" w:hAnsi="Book Antiqua"/>
          <w:sz w:val="24"/>
          <w:szCs w:val="24"/>
          <w:lang w:val="en-US"/>
        </w:rPr>
        <w:t>: Jonathan Roth and Mark Young are employed by and hold equity in Intercept Pharmaceuticals, Inc. All other authors have nothing to disclose.</w:t>
      </w:r>
    </w:p>
    <w:p w14:paraId="302CA319" w14:textId="77777777" w:rsidR="00E55543" w:rsidRPr="00A234EE" w:rsidRDefault="00E55543" w:rsidP="00A234EE">
      <w:pPr>
        <w:adjustRightInd w:val="0"/>
        <w:snapToGrid w:val="0"/>
        <w:spacing w:after="0" w:line="360" w:lineRule="auto"/>
        <w:jc w:val="both"/>
        <w:rPr>
          <w:rFonts w:ascii="Book Antiqua" w:hAnsi="Book Antiqua"/>
          <w:sz w:val="24"/>
          <w:szCs w:val="24"/>
          <w:lang w:val="en-US" w:eastAsia="zh-CN"/>
        </w:rPr>
      </w:pPr>
    </w:p>
    <w:p w14:paraId="30DA811A" w14:textId="77777777" w:rsidR="00E4751A" w:rsidRPr="00A234EE" w:rsidRDefault="00E4751A" w:rsidP="00A234EE">
      <w:pPr>
        <w:autoSpaceDE w:val="0"/>
        <w:autoSpaceDN w:val="0"/>
        <w:adjustRightInd w:val="0"/>
        <w:snapToGrid w:val="0"/>
        <w:spacing w:after="0" w:line="360" w:lineRule="auto"/>
        <w:jc w:val="both"/>
        <w:rPr>
          <w:rFonts w:ascii="Book Antiqua" w:hAnsi="Book Antiqua"/>
          <w:b/>
          <w:bCs/>
          <w:iCs/>
          <w:sz w:val="24"/>
          <w:szCs w:val="24"/>
          <w:lang w:val="en-US"/>
        </w:rPr>
      </w:pPr>
      <w:r w:rsidRPr="00A234EE">
        <w:rPr>
          <w:rFonts w:ascii="Book Antiqua" w:hAnsi="Book Antiqua" w:cs="TimesNewRomanPS-BoldItalicMT"/>
          <w:b/>
          <w:bCs/>
          <w:iCs/>
          <w:color w:val="000000"/>
          <w:sz w:val="24"/>
          <w:szCs w:val="24"/>
          <w:lang w:val="en-US"/>
        </w:rPr>
        <w:t>Data sharing</w:t>
      </w:r>
      <w:r w:rsidRPr="00A234EE">
        <w:rPr>
          <w:rFonts w:ascii="Book Antiqua" w:hAnsi="Book Antiqua"/>
          <w:b/>
          <w:bCs/>
          <w:iCs/>
          <w:sz w:val="24"/>
          <w:szCs w:val="24"/>
          <w:lang w:val="en-US"/>
        </w:rPr>
        <w:t xml:space="preserve"> statement</w:t>
      </w:r>
      <w:r w:rsidRPr="00A234EE">
        <w:rPr>
          <w:rFonts w:ascii="Book Antiqua" w:hAnsi="Book Antiqua"/>
          <w:b/>
          <w:bCs/>
          <w:iCs/>
          <w:sz w:val="24"/>
          <w:szCs w:val="24"/>
          <w:lang w:val="en-US" w:eastAsia="zh-CN"/>
        </w:rPr>
        <w:t xml:space="preserve">: </w:t>
      </w:r>
      <w:r w:rsidRPr="00A234EE">
        <w:rPr>
          <w:rFonts w:ascii="Book Antiqua" w:hAnsi="Book Antiqua"/>
          <w:color w:val="000000"/>
          <w:sz w:val="24"/>
          <w:szCs w:val="24"/>
          <w:lang w:val="en-US"/>
        </w:rPr>
        <w:t>No additional data are available.</w:t>
      </w:r>
    </w:p>
    <w:p w14:paraId="1091C76B" w14:textId="6E9E4A39" w:rsidR="00E4751A" w:rsidRPr="00A234EE" w:rsidRDefault="00E4751A" w:rsidP="00A234EE">
      <w:pPr>
        <w:adjustRightInd w:val="0"/>
        <w:snapToGrid w:val="0"/>
        <w:spacing w:after="0" w:line="360" w:lineRule="auto"/>
        <w:jc w:val="both"/>
        <w:rPr>
          <w:rFonts w:ascii="Book Antiqua" w:hAnsi="Book Antiqua"/>
          <w:sz w:val="24"/>
          <w:szCs w:val="24"/>
          <w:lang w:val="en-US" w:eastAsia="zh-CN"/>
        </w:rPr>
      </w:pPr>
    </w:p>
    <w:p w14:paraId="55DBD2C7" w14:textId="0D9A5C32" w:rsidR="00E4751A" w:rsidRPr="00815062" w:rsidRDefault="00E4751A" w:rsidP="00A234EE">
      <w:pPr>
        <w:adjustRightInd w:val="0"/>
        <w:snapToGrid w:val="0"/>
        <w:spacing w:after="0" w:line="360" w:lineRule="auto"/>
        <w:jc w:val="both"/>
        <w:rPr>
          <w:rFonts w:ascii="Book Antiqua" w:hAnsi="Book Antiqua"/>
          <w:b/>
          <w:color w:val="000000"/>
          <w:sz w:val="24"/>
          <w:szCs w:val="24"/>
          <w:lang w:val="en-US" w:eastAsia="zh-CN"/>
        </w:rPr>
      </w:pPr>
      <w:bookmarkStart w:id="10" w:name="OLE_LINK155"/>
      <w:bookmarkStart w:id="11" w:name="OLE_LINK183"/>
      <w:bookmarkStart w:id="12" w:name="OLE_LINK441"/>
      <w:r w:rsidRPr="00A234EE">
        <w:rPr>
          <w:rFonts w:ascii="Book Antiqua" w:hAnsi="Book Antiqua"/>
          <w:b/>
          <w:color w:val="000000"/>
          <w:sz w:val="24"/>
          <w:szCs w:val="24"/>
          <w:lang w:val="en-US"/>
        </w:rPr>
        <w:t xml:space="preserve">Open-Access: </w:t>
      </w:r>
      <w:r w:rsidRPr="00A234EE">
        <w:rPr>
          <w:rFonts w:ascii="Book Antiqua" w:hAnsi="Book Antiqua"/>
          <w:color w:val="000000"/>
          <w:sz w:val="24"/>
          <w:szCs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0"/>
      <w:bookmarkEnd w:id="11"/>
      <w:bookmarkEnd w:id="12"/>
    </w:p>
    <w:p w14:paraId="6D31EF16" w14:textId="77777777" w:rsidR="00E4751A" w:rsidRPr="00A234EE" w:rsidRDefault="00E4751A" w:rsidP="00A234EE">
      <w:pPr>
        <w:adjustRightInd w:val="0"/>
        <w:snapToGrid w:val="0"/>
        <w:spacing w:after="0" w:line="360" w:lineRule="auto"/>
        <w:jc w:val="both"/>
        <w:rPr>
          <w:rFonts w:ascii="Book Antiqua" w:hAnsi="Book Antiqua" w:cs="Arial Unicode MS"/>
          <w:color w:val="000000"/>
          <w:sz w:val="24"/>
          <w:szCs w:val="24"/>
          <w:lang w:val="en-US"/>
        </w:rPr>
      </w:pPr>
    </w:p>
    <w:p w14:paraId="2FAE142E" w14:textId="77777777" w:rsidR="00E4751A" w:rsidRPr="00A234EE" w:rsidRDefault="00E4751A" w:rsidP="00A234EE">
      <w:pPr>
        <w:adjustRightInd w:val="0"/>
        <w:snapToGrid w:val="0"/>
        <w:spacing w:after="0" w:line="360" w:lineRule="auto"/>
        <w:jc w:val="both"/>
        <w:rPr>
          <w:rFonts w:ascii="Book Antiqua" w:hAnsi="Book Antiqua" w:cs="Arial Unicode MS"/>
          <w:color w:val="000000"/>
          <w:sz w:val="24"/>
          <w:szCs w:val="24"/>
          <w:lang w:val="en-US"/>
        </w:rPr>
      </w:pPr>
      <w:r w:rsidRPr="00A234EE">
        <w:rPr>
          <w:rFonts w:ascii="Book Antiqua" w:hAnsi="Book Antiqua" w:cs="Arial Unicode MS"/>
          <w:b/>
          <w:color w:val="000000"/>
          <w:sz w:val="24"/>
          <w:szCs w:val="24"/>
          <w:lang w:val="en-US"/>
        </w:rPr>
        <w:t>Manuscript source:</w:t>
      </w:r>
      <w:r w:rsidRPr="00A234EE">
        <w:rPr>
          <w:rFonts w:ascii="Book Antiqua" w:hAnsi="Book Antiqua" w:cs="Arial Unicode MS"/>
          <w:color w:val="000000"/>
          <w:sz w:val="24"/>
          <w:szCs w:val="24"/>
          <w:lang w:val="en-US"/>
        </w:rPr>
        <w:t xml:space="preserve"> Invited manuscript</w:t>
      </w:r>
    </w:p>
    <w:p w14:paraId="768234F5" w14:textId="77777777" w:rsidR="00E4751A" w:rsidRPr="00846A28" w:rsidRDefault="00E4751A" w:rsidP="00A234EE">
      <w:pPr>
        <w:adjustRightInd w:val="0"/>
        <w:snapToGrid w:val="0"/>
        <w:spacing w:after="0" w:line="360" w:lineRule="auto"/>
        <w:jc w:val="both"/>
        <w:rPr>
          <w:rFonts w:ascii="Book Antiqua" w:hAnsi="Book Antiqua"/>
          <w:sz w:val="24"/>
          <w:szCs w:val="24"/>
          <w:lang w:val="en-US" w:eastAsia="zh-CN"/>
        </w:rPr>
      </w:pPr>
    </w:p>
    <w:p w14:paraId="2D2AB265" w14:textId="331845E0" w:rsidR="00CE611F"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bCs/>
          <w:sz w:val="24"/>
          <w:szCs w:val="24"/>
          <w:lang w:val="en-US"/>
        </w:rPr>
        <w:lastRenderedPageBreak/>
        <w:t>Correspondence to</w:t>
      </w:r>
      <w:r w:rsidRPr="00A234EE">
        <w:rPr>
          <w:rFonts w:ascii="Book Antiqua" w:hAnsi="Book Antiqua"/>
          <w:sz w:val="24"/>
          <w:szCs w:val="24"/>
          <w:lang w:val="en-US"/>
        </w:rPr>
        <w:t xml:space="preserve">: </w:t>
      </w:r>
      <w:r w:rsidRPr="00A234EE">
        <w:rPr>
          <w:rFonts w:ascii="Book Antiqua" w:hAnsi="Book Antiqua"/>
          <w:b/>
          <w:bCs/>
          <w:sz w:val="24"/>
          <w:szCs w:val="24"/>
          <w:lang w:val="en-US"/>
        </w:rPr>
        <w:t>Henrik</w:t>
      </w:r>
      <w:r w:rsidR="00846A28">
        <w:rPr>
          <w:rFonts w:ascii="Book Antiqua" w:hAnsi="Book Antiqua" w:hint="eastAsia"/>
          <w:b/>
          <w:bCs/>
          <w:sz w:val="24"/>
          <w:szCs w:val="24"/>
          <w:lang w:val="en-US" w:eastAsia="zh-CN"/>
        </w:rPr>
        <w:t xml:space="preserve"> H</w:t>
      </w:r>
      <w:r w:rsidRPr="00A234EE">
        <w:rPr>
          <w:rFonts w:ascii="Book Antiqua" w:hAnsi="Book Antiqua"/>
          <w:b/>
          <w:bCs/>
          <w:sz w:val="24"/>
          <w:szCs w:val="24"/>
          <w:lang w:val="en-US"/>
        </w:rPr>
        <w:t xml:space="preserve"> Hansen, PhD</w:t>
      </w:r>
      <w:r w:rsidR="00E04869" w:rsidRPr="00A234EE">
        <w:rPr>
          <w:rFonts w:ascii="Book Antiqua" w:hAnsi="Book Antiqua"/>
          <w:b/>
          <w:bCs/>
          <w:sz w:val="24"/>
          <w:szCs w:val="24"/>
          <w:lang w:val="en-US" w:eastAsia="zh-CN"/>
        </w:rPr>
        <w:t>,</w:t>
      </w:r>
      <w:r w:rsidRPr="00A234EE">
        <w:rPr>
          <w:rFonts w:ascii="Book Antiqua" w:hAnsi="Book Antiqua"/>
          <w:b/>
          <w:bCs/>
          <w:sz w:val="24"/>
          <w:szCs w:val="24"/>
          <w:lang w:val="en-US"/>
        </w:rPr>
        <w:t xml:space="preserve"> Principal Scientist, </w:t>
      </w:r>
      <w:r w:rsidR="00E04869" w:rsidRPr="00A234EE">
        <w:rPr>
          <w:rFonts w:ascii="Book Antiqua" w:hAnsi="Book Antiqua"/>
          <w:bCs/>
          <w:sz w:val="24"/>
          <w:szCs w:val="24"/>
          <w:lang w:val="en-US"/>
        </w:rPr>
        <w:t>Pharmacology</w:t>
      </w:r>
      <w:r w:rsidR="00E04869" w:rsidRPr="00A234EE">
        <w:rPr>
          <w:rFonts w:ascii="Book Antiqua" w:hAnsi="Book Antiqua"/>
          <w:bCs/>
          <w:sz w:val="24"/>
          <w:szCs w:val="24"/>
          <w:lang w:val="en-US" w:eastAsia="zh-CN"/>
        </w:rPr>
        <w:t xml:space="preserve">, </w:t>
      </w:r>
      <w:r w:rsidR="00E04869" w:rsidRPr="00A234EE">
        <w:rPr>
          <w:rFonts w:ascii="Book Antiqua" w:hAnsi="Book Antiqua"/>
          <w:sz w:val="24"/>
          <w:szCs w:val="24"/>
          <w:lang w:val="en-US"/>
        </w:rPr>
        <w:t>Gubra, Kongevej 11B</w:t>
      </w:r>
      <w:r w:rsidR="00E04869" w:rsidRPr="00A234EE">
        <w:rPr>
          <w:rFonts w:ascii="Book Antiqua" w:hAnsi="Book Antiqua"/>
          <w:sz w:val="24"/>
          <w:szCs w:val="24"/>
          <w:lang w:val="en-US" w:eastAsia="zh-CN"/>
        </w:rPr>
        <w:t xml:space="preserve">, </w:t>
      </w:r>
      <w:r w:rsidR="00E04869" w:rsidRPr="00A234EE">
        <w:rPr>
          <w:rFonts w:ascii="Book Antiqua" w:hAnsi="Book Antiqua"/>
          <w:sz w:val="24"/>
          <w:szCs w:val="24"/>
          <w:lang w:val="en-US"/>
        </w:rPr>
        <w:t>Hoersholm</w:t>
      </w:r>
      <w:r w:rsidR="00E04869" w:rsidRPr="00A234EE">
        <w:rPr>
          <w:rFonts w:ascii="Book Antiqua" w:hAnsi="Book Antiqua"/>
          <w:sz w:val="24"/>
          <w:szCs w:val="24"/>
          <w:lang w:val="en-US" w:eastAsia="zh-CN"/>
        </w:rPr>
        <w:t xml:space="preserve"> DK-2970</w:t>
      </w:r>
      <w:r w:rsidR="00E04869" w:rsidRPr="00A234EE">
        <w:rPr>
          <w:rFonts w:ascii="Book Antiqua" w:hAnsi="Book Antiqua"/>
          <w:sz w:val="24"/>
          <w:szCs w:val="24"/>
          <w:lang w:val="en-US"/>
        </w:rPr>
        <w:t>, Denmark</w:t>
      </w:r>
      <w:r w:rsidR="00E04869" w:rsidRPr="00A234EE">
        <w:rPr>
          <w:rFonts w:ascii="Book Antiqua" w:hAnsi="Book Antiqua"/>
          <w:sz w:val="24"/>
          <w:szCs w:val="24"/>
          <w:lang w:val="en-US" w:eastAsia="zh-CN"/>
        </w:rPr>
        <w:t xml:space="preserve">. </w:t>
      </w:r>
      <w:r w:rsidRPr="00A234EE">
        <w:rPr>
          <w:rFonts w:ascii="Book Antiqua" w:hAnsi="Book Antiqua"/>
          <w:sz w:val="24"/>
          <w:szCs w:val="24"/>
          <w:lang w:val="en-US"/>
        </w:rPr>
        <w:t>hbh@gubra.dk</w:t>
      </w:r>
    </w:p>
    <w:p w14:paraId="5AC1D709" w14:textId="77777777" w:rsidR="00507611"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Telephone</w:t>
      </w:r>
      <w:r w:rsidRPr="00A234EE">
        <w:rPr>
          <w:rFonts w:ascii="Book Antiqua" w:hAnsi="Book Antiqua"/>
          <w:sz w:val="24"/>
          <w:szCs w:val="24"/>
          <w:lang w:val="en-US"/>
        </w:rPr>
        <w:t>: +45</w:t>
      </w:r>
      <w:r w:rsidR="00E04869" w:rsidRPr="00A234EE">
        <w:rPr>
          <w:rFonts w:ascii="Book Antiqua" w:hAnsi="Book Antiqua"/>
          <w:sz w:val="24"/>
          <w:szCs w:val="24"/>
          <w:lang w:val="en-US" w:eastAsia="zh-CN"/>
        </w:rPr>
        <w:t>-</w:t>
      </w:r>
      <w:r w:rsidRPr="00A234EE">
        <w:rPr>
          <w:rFonts w:ascii="Book Antiqua" w:hAnsi="Book Antiqua"/>
          <w:sz w:val="24"/>
          <w:szCs w:val="24"/>
          <w:lang w:val="en-US"/>
        </w:rPr>
        <w:t>31522651</w:t>
      </w:r>
    </w:p>
    <w:p w14:paraId="641141F8" w14:textId="77777777" w:rsidR="000723F8" w:rsidRPr="00A234EE" w:rsidRDefault="000723F8" w:rsidP="00A234EE">
      <w:pPr>
        <w:adjustRightInd w:val="0"/>
        <w:snapToGrid w:val="0"/>
        <w:spacing w:after="0" w:line="360" w:lineRule="auto"/>
        <w:jc w:val="both"/>
        <w:rPr>
          <w:rFonts w:ascii="Book Antiqua" w:hAnsi="Book Antiqua"/>
          <w:b/>
          <w:sz w:val="24"/>
          <w:szCs w:val="24"/>
          <w:lang w:val="en-US" w:eastAsia="zh-CN"/>
        </w:rPr>
      </w:pPr>
    </w:p>
    <w:p w14:paraId="7A8227AE" w14:textId="0894EFE6" w:rsidR="00E4751A" w:rsidRPr="00A234EE" w:rsidRDefault="00E4751A" w:rsidP="00A234EE">
      <w:pPr>
        <w:adjustRightInd w:val="0"/>
        <w:snapToGrid w:val="0"/>
        <w:spacing w:after="0" w:line="360" w:lineRule="auto"/>
        <w:jc w:val="both"/>
        <w:rPr>
          <w:rFonts w:ascii="Book Antiqua" w:hAnsi="Book Antiqua"/>
          <w:b/>
          <w:sz w:val="24"/>
          <w:szCs w:val="24"/>
          <w:lang w:val="en-US" w:eastAsia="zh-CN"/>
        </w:rPr>
      </w:pPr>
      <w:bookmarkStart w:id="13" w:name="OLE_LINK476"/>
      <w:bookmarkStart w:id="14" w:name="OLE_LINK477"/>
      <w:bookmarkStart w:id="15" w:name="OLE_LINK117"/>
      <w:bookmarkStart w:id="16" w:name="OLE_LINK528"/>
      <w:bookmarkStart w:id="17" w:name="OLE_LINK557"/>
      <w:r w:rsidRPr="00A234EE">
        <w:rPr>
          <w:rFonts w:ascii="Book Antiqua" w:hAnsi="Book Antiqua"/>
          <w:b/>
          <w:sz w:val="24"/>
          <w:szCs w:val="24"/>
          <w:lang w:val="en-US"/>
        </w:rPr>
        <w:t>Received:</w:t>
      </w:r>
      <w:r w:rsidRPr="00A234EE">
        <w:rPr>
          <w:rFonts w:ascii="Book Antiqua" w:hAnsi="Book Antiqua"/>
          <w:b/>
          <w:sz w:val="24"/>
          <w:szCs w:val="24"/>
          <w:lang w:val="en-US" w:eastAsia="zh-CN"/>
        </w:rPr>
        <w:t xml:space="preserve"> </w:t>
      </w:r>
      <w:r w:rsidRPr="00A234EE">
        <w:rPr>
          <w:rFonts w:ascii="Book Antiqua" w:hAnsi="Book Antiqua"/>
          <w:sz w:val="24"/>
          <w:szCs w:val="24"/>
          <w:lang w:val="en-US" w:eastAsia="zh-CN"/>
        </w:rPr>
        <w:t>October 23, 2017</w:t>
      </w:r>
    </w:p>
    <w:p w14:paraId="6E3926BC" w14:textId="5EED8C71" w:rsidR="00E4751A" w:rsidRPr="00A234EE" w:rsidRDefault="00E4751A" w:rsidP="00A234EE">
      <w:pPr>
        <w:adjustRightInd w:val="0"/>
        <w:snapToGrid w:val="0"/>
        <w:spacing w:after="0" w:line="360" w:lineRule="auto"/>
        <w:jc w:val="both"/>
        <w:rPr>
          <w:rFonts w:ascii="Book Antiqua" w:hAnsi="Book Antiqua"/>
          <w:b/>
          <w:sz w:val="24"/>
          <w:szCs w:val="24"/>
          <w:lang w:val="en-US" w:eastAsia="zh-CN"/>
        </w:rPr>
      </w:pPr>
      <w:r w:rsidRPr="00A234EE">
        <w:rPr>
          <w:rFonts w:ascii="Book Antiqua" w:hAnsi="Book Antiqua"/>
          <w:b/>
          <w:sz w:val="24"/>
          <w:szCs w:val="24"/>
          <w:lang w:val="en-US"/>
        </w:rPr>
        <w:t>Peer-review started:</w:t>
      </w:r>
      <w:r w:rsidRPr="00A234EE">
        <w:rPr>
          <w:rFonts w:ascii="Book Antiqua" w:hAnsi="Book Antiqua"/>
          <w:b/>
          <w:sz w:val="24"/>
          <w:szCs w:val="24"/>
          <w:lang w:val="en-US" w:eastAsia="zh-CN"/>
        </w:rPr>
        <w:t xml:space="preserve"> </w:t>
      </w:r>
      <w:r w:rsidRPr="00A234EE">
        <w:rPr>
          <w:rFonts w:ascii="Book Antiqua" w:hAnsi="Book Antiqua"/>
          <w:sz w:val="24"/>
          <w:szCs w:val="24"/>
          <w:lang w:val="en-US" w:eastAsia="zh-CN"/>
        </w:rPr>
        <w:t>October 25, 2017</w:t>
      </w:r>
    </w:p>
    <w:p w14:paraId="218FE320" w14:textId="41ABA12B" w:rsidR="00E4751A" w:rsidRPr="00A234EE" w:rsidRDefault="00E4751A" w:rsidP="00A234EE">
      <w:pPr>
        <w:adjustRightInd w:val="0"/>
        <w:snapToGrid w:val="0"/>
        <w:spacing w:after="0" w:line="360" w:lineRule="auto"/>
        <w:jc w:val="both"/>
        <w:rPr>
          <w:rFonts w:ascii="Book Antiqua" w:hAnsi="Book Antiqua"/>
          <w:b/>
          <w:sz w:val="24"/>
          <w:szCs w:val="24"/>
          <w:lang w:val="en-US" w:eastAsia="zh-CN"/>
        </w:rPr>
      </w:pPr>
      <w:r w:rsidRPr="00A234EE">
        <w:rPr>
          <w:rFonts w:ascii="Book Antiqua" w:hAnsi="Book Antiqua"/>
          <w:b/>
          <w:sz w:val="24"/>
          <w:szCs w:val="24"/>
          <w:lang w:val="en-US"/>
        </w:rPr>
        <w:t>First decision:</w:t>
      </w:r>
      <w:r w:rsidRPr="00A234EE">
        <w:rPr>
          <w:rFonts w:ascii="Book Antiqua" w:hAnsi="Book Antiqua"/>
          <w:sz w:val="24"/>
          <w:szCs w:val="24"/>
          <w:lang w:val="en-US" w:eastAsia="zh-CN"/>
        </w:rPr>
        <w:t xml:space="preserve"> November 14, 2017</w:t>
      </w:r>
    </w:p>
    <w:p w14:paraId="2808FA99" w14:textId="7B4D8E00" w:rsidR="00E4751A" w:rsidRPr="00A234EE" w:rsidRDefault="00E4751A" w:rsidP="00A234EE">
      <w:pPr>
        <w:adjustRightInd w:val="0"/>
        <w:snapToGrid w:val="0"/>
        <w:spacing w:after="0" w:line="360" w:lineRule="auto"/>
        <w:jc w:val="both"/>
        <w:rPr>
          <w:rFonts w:ascii="Book Antiqua" w:hAnsi="Book Antiqua"/>
          <w:b/>
          <w:sz w:val="24"/>
          <w:szCs w:val="24"/>
          <w:lang w:val="en-US" w:eastAsia="zh-CN"/>
        </w:rPr>
      </w:pPr>
      <w:r w:rsidRPr="00A234EE">
        <w:rPr>
          <w:rFonts w:ascii="Book Antiqua" w:hAnsi="Book Antiqua"/>
          <w:b/>
          <w:sz w:val="24"/>
          <w:szCs w:val="24"/>
          <w:lang w:val="en-US"/>
        </w:rPr>
        <w:t>Revised:</w:t>
      </w:r>
      <w:r w:rsidRPr="00A234EE">
        <w:rPr>
          <w:rFonts w:ascii="Book Antiqua" w:hAnsi="Book Antiqua"/>
          <w:b/>
          <w:sz w:val="24"/>
          <w:szCs w:val="24"/>
          <w:lang w:val="en-US" w:eastAsia="zh-CN"/>
        </w:rPr>
        <w:t xml:space="preserve"> </w:t>
      </w:r>
      <w:r w:rsidRPr="00A234EE">
        <w:rPr>
          <w:rFonts w:ascii="Book Antiqua" w:hAnsi="Book Antiqua"/>
          <w:sz w:val="24"/>
          <w:szCs w:val="24"/>
          <w:lang w:val="en-US" w:eastAsia="zh-CN"/>
        </w:rPr>
        <w:t>November 24, 2017</w:t>
      </w:r>
    </w:p>
    <w:p w14:paraId="7B828D5B" w14:textId="7281651A" w:rsidR="00E4751A" w:rsidRPr="00A234EE" w:rsidRDefault="00E4751A" w:rsidP="00A234EE">
      <w:pPr>
        <w:adjustRightInd w:val="0"/>
        <w:snapToGrid w:val="0"/>
        <w:spacing w:after="0" w:line="360" w:lineRule="auto"/>
        <w:jc w:val="both"/>
        <w:rPr>
          <w:rFonts w:ascii="Book Antiqua" w:hAnsi="Book Antiqua"/>
          <w:b/>
          <w:sz w:val="24"/>
          <w:szCs w:val="24"/>
          <w:lang w:val="en-US"/>
        </w:rPr>
      </w:pPr>
      <w:r w:rsidRPr="00A234EE">
        <w:rPr>
          <w:rFonts w:ascii="Book Antiqua" w:hAnsi="Book Antiqua"/>
          <w:b/>
          <w:sz w:val="24"/>
          <w:szCs w:val="24"/>
          <w:lang w:val="en-US"/>
        </w:rPr>
        <w:t>Accepted:</w:t>
      </w:r>
      <w:r w:rsidR="008F6B52" w:rsidRPr="008F6B52">
        <w:t xml:space="preserve"> </w:t>
      </w:r>
      <w:r w:rsidR="008F6B52" w:rsidRPr="008F6B52">
        <w:rPr>
          <w:rFonts w:ascii="Book Antiqua" w:hAnsi="Book Antiqua"/>
          <w:sz w:val="24"/>
          <w:szCs w:val="24"/>
          <w:lang w:val="en-US"/>
        </w:rPr>
        <w:t>December 5, 2017</w:t>
      </w:r>
      <w:r w:rsidRPr="00A234EE">
        <w:rPr>
          <w:rFonts w:ascii="Book Antiqua" w:hAnsi="Book Antiqua"/>
          <w:b/>
          <w:sz w:val="24"/>
          <w:szCs w:val="24"/>
          <w:lang w:val="en-US"/>
        </w:rPr>
        <w:t xml:space="preserve">  </w:t>
      </w:r>
    </w:p>
    <w:p w14:paraId="5A75CABA" w14:textId="77777777" w:rsidR="00E4751A" w:rsidRPr="00A234EE" w:rsidRDefault="00E4751A" w:rsidP="00A234EE">
      <w:pPr>
        <w:adjustRightInd w:val="0"/>
        <w:snapToGrid w:val="0"/>
        <w:spacing w:after="0" w:line="360" w:lineRule="auto"/>
        <w:jc w:val="both"/>
        <w:rPr>
          <w:rFonts w:ascii="Book Antiqua" w:hAnsi="Book Antiqua"/>
          <w:b/>
          <w:sz w:val="24"/>
          <w:szCs w:val="24"/>
          <w:lang w:val="en-US"/>
        </w:rPr>
      </w:pPr>
      <w:r w:rsidRPr="00A234EE">
        <w:rPr>
          <w:rFonts w:ascii="Book Antiqua" w:hAnsi="Book Antiqua"/>
          <w:b/>
          <w:sz w:val="24"/>
          <w:szCs w:val="24"/>
          <w:lang w:val="en-US"/>
        </w:rPr>
        <w:t>Article in press:</w:t>
      </w:r>
    </w:p>
    <w:p w14:paraId="73EF2659" w14:textId="77777777" w:rsidR="00E4751A" w:rsidRPr="00A234EE" w:rsidRDefault="00E4751A" w:rsidP="00A234EE">
      <w:pPr>
        <w:adjustRightInd w:val="0"/>
        <w:snapToGrid w:val="0"/>
        <w:spacing w:after="0" w:line="360" w:lineRule="auto"/>
        <w:jc w:val="both"/>
        <w:rPr>
          <w:rFonts w:ascii="Book Antiqua" w:hAnsi="Book Antiqua"/>
          <w:b/>
          <w:sz w:val="24"/>
          <w:szCs w:val="24"/>
          <w:lang w:val="en-US"/>
        </w:rPr>
      </w:pPr>
      <w:r w:rsidRPr="00A234EE">
        <w:rPr>
          <w:rFonts w:ascii="Book Antiqua" w:hAnsi="Book Antiqua"/>
          <w:b/>
          <w:sz w:val="24"/>
          <w:szCs w:val="24"/>
          <w:lang w:val="en-US"/>
        </w:rPr>
        <w:t>Published online:</w:t>
      </w:r>
    </w:p>
    <w:bookmarkEnd w:id="13"/>
    <w:bookmarkEnd w:id="14"/>
    <w:bookmarkEnd w:id="15"/>
    <w:bookmarkEnd w:id="16"/>
    <w:bookmarkEnd w:id="17"/>
    <w:p w14:paraId="2365267C" w14:textId="77777777" w:rsidR="00E4751A" w:rsidRPr="00A234EE" w:rsidRDefault="00E4751A" w:rsidP="00A234EE">
      <w:pPr>
        <w:adjustRightInd w:val="0"/>
        <w:snapToGrid w:val="0"/>
        <w:spacing w:after="0" w:line="360" w:lineRule="auto"/>
        <w:jc w:val="both"/>
        <w:rPr>
          <w:rFonts w:ascii="Book Antiqua" w:hAnsi="Book Antiqua"/>
          <w:b/>
          <w:sz w:val="24"/>
          <w:szCs w:val="24"/>
          <w:lang w:val="en-US" w:eastAsia="zh-CN"/>
        </w:rPr>
      </w:pPr>
    </w:p>
    <w:p w14:paraId="2D2AB266" w14:textId="0DE34D18" w:rsidR="00122198" w:rsidRPr="00A234EE" w:rsidRDefault="00CE611F"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sz w:val="24"/>
          <w:szCs w:val="24"/>
          <w:lang w:val="en-US"/>
        </w:rPr>
        <w:br w:type="page"/>
      </w:r>
    </w:p>
    <w:p w14:paraId="2D2AB267" w14:textId="7D8390C2" w:rsidR="005F69F1" w:rsidRPr="00A234EE" w:rsidRDefault="2FCCB97E"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sz w:val="24"/>
          <w:szCs w:val="24"/>
          <w:lang w:val="en-US"/>
        </w:rPr>
        <w:lastRenderedPageBreak/>
        <w:t>A</w:t>
      </w:r>
      <w:r w:rsidR="00E04869" w:rsidRPr="00A234EE">
        <w:rPr>
          <w:rFonts w:ascii="Book Antiqua" w:hAnsi="Book Antiqua"/>
          <w:b/>
          <w:bCs/>
          <w:sz w:val="24"/>
          <w:szCs w:val="24"/>
          <w:lang w:val="en-US"/>
        </w:rPr>
        <w:t>bstract</w:t>
      </w:r>
    </w:p>
    <w:p w14:paraId="57C46236" w14:textId="77777777" w:rsidR="00E04869" w:rsidRPr="00A234EE" w:rsidRDefault="2FCCB97E" w:rsidP="00A234EE">
      <w:pPr>
        <w:adjustRightInd w:val="0"/>
        <w:snapToGrid w:val="0"/>
        <w:spacing w:after="0" w:line="360" w:lineRule="auto"/>
        <w:jc w:val="both"/>
        <w:rPr>
          <w:rFonts w:ascii="Book Antiqua" w:hAnsi="Book Antiqua"/>
          <w:i/>
          <w:sz w:val="24"/>
          <w:szCs w:val="24"/>
          <w:lang w:val="en-US" w:eastAsia="zh-CN"/>
        </w:rPr>
      </w:pPr>
      <w:r w:rsidRPr="00A234EE">
        <w:rPr>
          <w:rFonts w:ascii="Book Antiqua" w:hAnsi="Book Antiqua"/>
          <w:b/>
          <w:bCs/>
          <w:i/>
          <w:sz w:val="24"/>
          <w:szCs w:val="24"/>
          <w:lang w:val="en-US"/>
        </w:rPr>
        <w:t>AIM</w:t>
      </w:r>
    </w:p>
    <w:p w14:paraId="2D2AB268" w14:textId="23B1F29E" w:rsidR="00AC0AC4"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To characterize the efficacy of the dual FXR/TGR5 receptor agonist INT-767 upon histological endpoints in a rodent model of diet-induced and biopsy-confirmed </w:t>
      </w:r>
      <w:r w:rsidR="006513F8" w:rsidRPr="00A234EE">
        <w:rPr>
          <w:rFonts w:ascii="Book Antiqua" w:hAnsi="Book Antiqua"/>
          <w:bCs/>
          <w:sz w:val="24"/>
          <w:szCs w:val="24"/>
          <w:lang w:val="en-US"/>
        </w:rPr>
        <w:t>non-alcoholic steatohepatitis</w:t>
      </w:r>
      <w:r w:rsidR="006513F8" w:rsidRPr="00A234EE">
        <w:rPr>
          <w:rFonts w:ascii="Book Antiqua" w:hAnsi="Book Antiqua"/>
          <w:b/>
          <w:bCs/>
          <w:sz w:val="24"/>
          <w:szCs w:val="24"/>
          <w:lang w:val="en-US"/>
        </w:rPr>
        <w:t xml:space="preserve"> </w:t>
      </w:r>
      <w:r w:rsidR="006513F8" w:rsidRPr="005510DD">
        <w:rPr>
          <w:rFonts w:ascii="Book Antiqua" w:hAnsi="Book Antiqua"/>
          <w:bCs/>
          <w:sz w:val="24"/>
          <w:szCs w:val="24"/>
          <w:lang w:val="en-US" w:eastAsia="zh-CN"/>
        </w:rPr>
        <w:t>(</w:t>
      </w:r>
      <w:r w:rsidRPr="005510DD">
        <w:rPr>
          <w:rFonts w:ascii="Book Antiqua" w:hAnsi="Book Antiqua"/>
          <w:sz w:val="24"/>
          <w:szCs w:val="24"/>
          <w:lang w:val="en-US"/>
        </w:rPr>
        <w:t>N</w:t>
      </w:r>
      <w:r w:rsidRPr="00A234EE">
        <w:rPr>
          <w:rFonts w:ascii="Book Antiqua" w:hAnsi="Book Antiqua"/>
          <w:sz w:val="24"/>
          <w:szCs w:val="24"/>
          <w:lang w:val="en-US"/>
        </w:rPr>
        <w:t>ASH</w:t>
      </w:r>
      <w:r w:rsidR="006513F8" w:rsidRPr="00A234EE">
        <w:rPr>
          <w:rFonts w:ascii="Book Antiqua" w:hAnsi="Book Antiqua"/>
          <w:sz w:val="24"/>
          <w:szCs w:val="24"/>
          <w:lang w:val="en-US" w:eastAsia="zh-CN"/>
        </w:rPr>
        <w:t>)</w:t>
      </w:r>
      <w:r w:rsidRPr="00A234EE">
        <w:rPr>
          <w:rFonts w:ascii="Book Antiqua" w:hAnsi="Book Antiqua"/>
          <w:sz w:val="24"/>
          <w:szCs w:val="24"/>
          <w:lang w:val="en-US"/>
        </w:rPr>
        <w:t>.</w:t>
      </w:r>
    </w:p>
    <w:p w14:paraId="3B5555A4" w14:textId="77777777" w:rsidR="00E04869" w:rsidRPr="00A234EE" w:rsidRDefault="00E04869" w:rsidP="00A234EE">
      <w:pPr>
        <w:widowControl w:val="0"/>
        <w:autoSpaceDE w:val="0"/>
        <w:autoSpaceDN w:val="0"/>
        <w:adjustRightInd w:val="0"/>
        <w:snapToGrid w:val="0"/>
        <w:spacing w:after="0" w:line="360" w:lineRule="auto"/>
        <w:jc w:val="both"/>
        <w:rPr>
          <w:rFonts w:ascii="Book Antiqua" w:hAnsi="Book Antiqua"/>
          <w:b/>
          <w:bCs/>
          <w:sz w:val="24"/>
          <w:szCs w:val="24"/>
          <w:lang w:val="en-US" w:eastAsia="zh-CN"/>
        </w:rPr>
      </w:pPr>
    </w:p>
    <w:p w14:paraId="07B26464" w14:textId="77777777" w:rsidR="00E04869" w:rsidRPr="00A234EE" w:rsidRDefault="2FCCB97E" w:rsidP="00A234EE">
      <w:pPr>
        <w:widowControl w:val="0"/>
        <w:autoSpaceDE w:val="0"/>
        <w:autoSpaceDN w:val="0"/>
        <w:adjustRightInd w:val="0"/>
        <w:snapToGrid w:val="0"/>
        <w:spacing w:after="0" w:line="360" w:lineRule="auto"/>
        <w:jc w:val="both"/>
        <w:rPr>
          <w:rFonts w:ascii="Book Antiqua" w:hAnsi="Book Antiqua"/>
          <w:i/>
          <w:sz w:val="24"/>
          <w:szCs w:val="24"/>
          <w:lang w:val="en-US" w:eastAsia="zh-CN"/>
        </w:rPr>
      </w:pPr>
      <w:r w:rsidRPr="00A234EE">
        <w:rPr>
          <w:rFonts w:ascii="Book Antiqua" w:hAnsi="Book Antiqua"/>
          <w:b/>
          <w:bCs/>
          <w:i/>
          <w:sz w:val="24"/>
          <w:szCs w:val="24"/>
          <w:lang w:val="en-US"/>
        </w:rPr>
        <w:t>METHODS</w:t>
      </w:r>
    </w:p>
    <w:p w14:paraId="6A77CEBF" w14:textId="284253B4" w:rsidR="00E04869" w:rsidRPr="00A234EE" w:rsidRDefault="2FCCB97E" w:rsidP="00A234EE">
      <w:pPr>
        <w:widowControl w:val="0"/>
        <w:autoSpaceDE w:val="0"/>
        <w:autoSpaceDN w:val="0"/>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sz w:val="24"/>
          <w:szCs w:val="24"/>
          <w:lang w:val="en-US"/>
        </w:rPr>
        <w:t xml:space="preserve">The effects of INT-767 on histological features of NASH were assessed in two studies using </w:t>
      </w:r>
      <w:r w:rsidRPr="00A234EE">
        <w:rPr>
          <w:rFonts w:ascii="Book Antiqua" w:hAnsi="Book Antiqua"/>
          <w:i/>
          <w:iCs/>
          <w:sz w:val="24"/>
          <w:szCs w:val="24"/>
          <w:lang w:val="en-US"/>
        </w:rPr>
        <w:t>Lep</w:t>
      </w:r>
      <w:r w:rsidRPr="00A234EE">
        <w:rPr>
          <w:rFonts w:ascii="Book Antiqua" w:hAnsi="Book Antiqua"/>
          <w:i/>
          <w:iCs/>
          <w:sz w:val="24"/>
          <w:szCs w:val="24"/>
          <w:vertAlign w:val="superscript"/>
          <w:lang w:val="en-US"/>
        </w:rPr>
        <w:t>ob/ob</w:t>
      </w:r>
      <w:r w:rsidRPr="00A234EE">
        <w:rPr>
          <w:rFonts w:ascii="Book Antiqua" w:hAnsi="Book Antiqua"/>
          <w:sz w:val="24"/>
          <w:szCs w:val="24"/>
          <w:lang w:val="en-US"/>
        </w:rPr>
        <w:t xml:space="preserve"> (</w:t>
      </w:r>
      <w:r w:rsidRPr="00A234EE">
        <w:rPr>
          <w:rFonts w:ascii="Book Antiqua" w:hAnsi="Book Antiqua"/>
          <w:i/>
          <w:iCs/>
          <w:sz w:val="24"/>
          <w:szCs w:val="24"/>
          <w:lang w:val="en-US"/>
        </w:rPr>
        <w:t>ob/ob</w:t>
      </w:r>
      <w:r w:rsidRPr="00A234EE">
        <w:rPr>
          <w:rFonts w:ascii="Book Antiqua" w:hAnsi="Book Antiqua"/>
          <w:sz w:val="24"/>
          <w:szCs w:val="24"/>
          <w:lang w:val="en-US"/>
        </w:rPr>
        <w:t xml:space="preserve">) NASH mice fed the AMLN diet (high fat with trans-fat, cholesterol and fructose). In a proof-of-concept study, </w:t>
      </w:r>
      <w:r w:rsidRPr="00A234EE">
        <w:rPr>
          <w:rFonts w:ascii="Book Antiqua" w:hAnsi="Book Antiqua"/>
          <w:i/>
          <w:iCs/>
          <w:sz w:val="24"/>
          <w:szCs w:val="24"/>
          <w:lang w:val="en-US"/>
        </w:rPr>
        <w:t>Lep</w:t>
      </w:r>
      <w:r w:rsidRPr="00A234EE">
        <w:rPr>
          <w:rFonts w:ascii="Book Antiqua" w:hAnsi="Book Antiqua"/>
          <w:i/>
          <w:iCs/>
          <w:sz w:val="24"/>
          <w:szCs w:val="24"/>
          <w:vertAlign w:val="superscript"/>
          <w:lang w:val="en-US"/>
        </w:rPr>
        <w:t>ob/ob</w:t>
      </w:r>
      <w:r w:rsidRPr="00A234EE">
        <w:rPr>
          <w:rFonts w:ascii="Book Antiqua" w:hAnsi="Book Antiqua"/>
          <w:sz w:val="24"/>
          <w:szCs w:val="24"/>
          <w:lang w:val="en-US"/>
        </w:rPr>
        <w:t xml:space="preserve"> (</w:t>
      </w:r>
      <w:r w:rsidRPr="00A234EE">
        <w:rPr>
          <w:rFonts w:ascii="Book Antiqua" w:hAnsi="Book Antiqua"/>
          <w:i/>
          <w:iCs/>
          <w:sz w:val="24"/>
          <w:szCs w:val="24"/>
          <w:lang w:val="en-US"/>
        </w:rPr>
        <w:t>ob/ob</w:t>
      </w:r>
      <w:r w:rsidRPr="00A234EE">
        <w:rPr>
          <w:rFonts w:ascii="Book Antiqua" w:hAnsi="Book Antiqua"/>
          <w:sz w:val="24"/>
          <w:szCs w:val="24"/>
          <w:lang w:val="en-US"/>
        </w:rPr>
        <w:t xml:space="preserve">) NASH mice were first dosed with INT-767 (3 or 10 mg/kg for 8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A second ob/ob NASH study compared INT-767 (3 and 10 mg/kg) to </w:t>
      </w:r>
      <w:r w:rsidR="0069479F" w:rsidRPr="00A234EE">
        <w:rPr>
          <w:rFonts w:ascii="Book Antiqua" w:hAnsi="Book Antiqua"/>
          <w:sz w:val="24"/>
          <w:szCs w:val="24"/>
          <w:lang w:val="en-US"/>
        </w:rPr>
        <w:t xml:space="preserve">obeticholic acid </w:t>
      </w:r>
      <w:r w:rsidR="0069479F" w:rsidRPr="00A234EE">
        <w:rPr>
          <w:rFonts w:ascii="Book Antiqua" w:hAnsi="Book Antiqua"/>
          <w:sz w:val="24"/>
          <w:szCs w:val="24"/>
          <w:lang w:val="en-US" w:eastAsia="zh-CN"/>
        </w:rPr>
        <w:t>(</w:t>
      </w:r>
      <w:r w:rsidRPr="00A234EE">
        <w:rPr>
          <w:rFonts w:ascii="Book Antiqua" w:hAnsi="Book Antiqua"/>
          <w:sz w:val="24"/>
          <w:szCs w:val="24"/>
          <w:lang w:val="en-US"/>
        </w:rPr>
        <w:t>OCA</w:t>
      </w:r>
      <w:r w:rsidR="0069479F" w:rsidRPr="00A234EE">
        <w:rPr>
          <w:rFonts w:ascii="Book Antiqua" w:hAnsi="Book Antiqua"/>
          <w:sz w:val="24"/>
          <w:szCs w:val="24"/>
          <w:lang w:val="en-US" w:eastAsia="zh-CN"/>
        </w:rPr>
        <w:t>)</w:t>
      </w:r>
      <w:r w:rsidRPr="00A234EE">
        <w:rPr>
          <w:rFonts w:ascii="Book Antiqua" w:hAnsi="Book Antiqua"/>
          <w:sz w:val="24"/>
          <w:szCs w:val="24"/>
          <w:lang w:val="en-US"/>
        </w:rPr>
        <w:t xml:space="preserve"> (10 or 30 mg/kg; 16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and expression levels of candidate genes were assessed by RNA sequencing and tissue drug levels were measured by liquid chromatography tandem-mass spectrometry. </w:t>
      </w:r>
    </w:p>
    <w:p w14:paraId="6408B344" w14:textId="77777777" w:rsidR="00E04869" w:rsidRPr="00A234EE" w:rsidRDefault="00E04869" w:rsidP="00A234EE">
      <w:pPr>
        <w:widowControl w:val="0"/>
        <w:autoSpaceDE w:val="0"/>
        <w:autoSpaceDN w:val="0"/>
        <w:adjustRightInd w:val="0"/>
        <w:snapToGrid w:val="0"/>
        <w:spacing w:after="0" w:line="360" w:lineRule="auto"/>
        <w:jc w:val="both"/>
        <w:rPr>
          <w:rFonts w:ascii="Book Antiqua" w:hAnsi="Book Antiqua"/>
          <w:sz w:val="24"/>
          <w:szCs w:val="24"/>
          <w:lang w:val="en-US" w:eastAsia="zh-CN"/>
        </w:rPr>
      </w:pPr>
    </w:p>
    <w:p w14:paraId="666A1FF4" w14:textId="77777777" w:rsidR="00E04869" w:rsidRPr="00A234EE" w:rsidRDefault="2FCCB97E" w:rsidP="00A234EE">
      <w:pPr>
        <w:widowControl w:val="0"/>
        <w:autoSpaceDE w:val="0"/>
        <w:autoSpaceDN w:val="0"/>
        <w:adjustRightInd w:val="0"/>
        <w:snapToGrid w:val="0"/>
        <w:spacing w:after="0" w:line="360" w:lineRule="auto"/>
        <w:jc w:val="both"/>
        <w:rPr>
          <w:rFonts w:ascii="Book Antiqua" w:hAnsi="Book Antiqua"/>
          <w:i/>
          <w:sz w:val="24"/>
          <w:szCs w:val="24"/>
          <w:lang w:val="en-US" w:eastAsia="zh-CN"/>
        </w:rPr>
      </w:pPr>
      <w:r w:rsidRPr="00A234EE">
        <w:rPr>
          <w:rFonts w:ascii="Book Antiqua" w:hAnsi="Book Antiqua"/>
          <w:b/>
          <w:bCs/>
          <w:i/>
          <w:sz w:val="24"/>
          <w:szCs w:val="24"/>
          <w:lang w:val="en-US"/>
        </w:rPr>
        <w:t>RESULTS</w:t>
      </w:r>
    </w:p>
    <w:p w14:paraId="2D2AB269" w14:textId="5EB5F28B" w:rsidR="0010692B" w:rsidRPr="00A234EE" w:rsidRDefault="2FCCB97E" w:rsidP="00A234EE">
      <w:pPr>
        <w:widowControl w:val="0"/>
        <w:autoSpaceDE w:val="0"/>
        <w:autoSpaceDN w:val="0"/>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INT-767 dose-dependently (3 and 10 mg/kg, PO, QD, 8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t>
      </w:r>
      <w:r w:rsidR="006513F8" w:rsidRPr="00A234EE">
        <w:rPr>
          <w:rFonts w:ascii="Book Antiqua" w:hAnsi="Book Antiqua"/>
          <w:sz w:val="24"/>
          <w:szCs w:val="24"/>
          <w:lang w:val="en-US"/>
        </w:rPr>
        <w:t>wk</w:t>
      </w:r>
      <w:r w:rsidRPr="00A234EE">
        <w:rPr>
          <w:rFonts w:ascii="Book Antiqua" w:hAnsi="Book Antiqua"/>
          <w:sz w:val="24"/>
          <w:szCs w:val="24"/>
          <w:lang w:val="en-US"/>
        </w:rPr>
        <w:t>), the FXR agonist OCA</w:t>
      </w:r>
      <w:r w:rsidR="0069479F" w:rsidRPr="00A234EE">
        <w:rPr>
          <w:rFonts w:ascii="Book Antiqua" w:hAnsi="Book Antiqua"/>
          <w:sz w:val="24"/>
          <w:szCs w:val="24"/>
          <w:lang w:val="en-US" w:eastAsia="zh-CN"/>
        </w:rPr>
        <w:t xml:space="preserve"> (</w:t>
      </w:r>
      <w:r w:rsidRPr="00A234EE">
        <w:rPr>
          <w:rFonts w:ascii="Book Antiqua" w:hAnsi="Book Antiqua"/>
          <w:sz w:val="24"/>
          <w:szCs w:val="24"/>
          <w:lang w:val="en-US"/>
        </w:rPr>
        <w:t xml:space="preserve">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w:t>
      </w:r>
    </w:p>
    <w:p w14:paraId="37993B9C" w14:textId="77777777" w:rsidR="00E04869" w:rsidRPr="00A234EE" w:rsidRDefault="00E04869" w:rsidP="00A234EE">
      <w:pPr>
        <w:adjustRightInd w:val="0"/>
        <w:snapToGrid w:val="0"/>
        <w:spacing w:after="0" w:line="360" w:lineRule="auto"/>
        <w:jc w:val="both"/>
        <w:rPr>
          <w:rFonts w:ascii="Book Antiqua" w:hAnsi="Book Antiqua"/>
          <w:b/>
          <w:bCs/>
          <w:sz w:val="24"/>
          <w:szCs w:val="24"/>
          <w:lang w:val="en-US" w:eastAsia="zh-CN"/>
        </w:rPr>
      </w:pPr>
    </w:p>
    <w:p w14:paraId="2661C5A4" w14:textId="77777777" w:rsidR="00E04869" w:rsidRPr="00A234EE" w:rsidRDefault="2FCCB97E" w:rsidP="00A234EE">
      <w:pPr>
        <w:adjustRightInd w:val="0"/>
        <w:snapToGrid w:val="0"/>
        <w:spacing w:after="0" w:line="360" w:lineRule="auto"/>
        <w:jc w:val="both"/>
        <w:rPr>
          <w:rFonts w:ascii="Book Antiqua" w:hAnsi="Book Antiqua"/>
          <w:i/>
          <w:sz w:val="24"/>
          <w:szCs w:val="24"/>
          <w:lang w:val="en-US" w:eastAsia="zh-CN"/>
        </w:rPr>
      </w:pPr>
      <w:r w:rsidRPr="00A234EE">
        <w:rPr>
          <w:rFonts w:ascii="Book Antiqua" w:hAnsi="Book Antiqua"/>
          <w:b/>
          <w:bCs/>
          <w:i/>
          <w:sz w:val="24"/>
          <w:szCs w:val="24"/>
          <w:lang w:val="en-US"/>
        </w:rPr>
        <w:t>CONCLUSION</w:t>
      </w:r>
    </w:p>
    <w:p w14:paraId="2D2AB26A" w14:textId="0FE7EBFD" w:rsidR="00550DC3" w:rsidRPr="00A234EE" w:rsidRDefault="2FCCB97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sz w:val="24"/>
          <w:szCs w:val="24"/>
          <w:lang w:val="en-US"/>
        </w:rPr>
        <w:t xml:space="preserve">These findings confirm the potential utility of FXR and dual FXR/TGR5 activation as disease intervention strategies in NASH. </w:t>
      </w:r>
    </w:p>
    <w:p w14:paraId="7CB569F7" w14:textId="77777777" w:rsidR="006513F8" w:rsidRPr="00A234EE" w:rsidRDefault="006513F8" w:rsidP="00A234EE">
      <w:pPr>
        <w:adjustRightInd w:val="0"/>
        <w:snapToGrid w:val="0"/>
        <w:spacing w:after="0" w:line="360" w:lineRule="auto"/>
        <w:jc w:val="both"/>
        <w:rPr>
          <w:rFonts w:ascii="Book Antiqua" w:hAnsi="Book Antiqua"/>
          <w:sz w:val="24"/>
          <w:szCs w:val="24"/>
          <w:lang w:val="en-US" w:eastAsia="zh-CN"/>
        </w:rPr>
      </w:pPr>
    </w:p>
    <w:p w14:paraId="56AF2F60" w14:textId="4EC58C29" w:rsidR="006513F8" w:rsidRPr="00A234EE" w:rsidRDefault="006513F8"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b/>
          <w:sz w:val="24"/>
          <w:szCs w:val="24"/>
          <w:lang w:val="en-US" w:eastAsia="zh-CN"/>
        </w:rPr>
        <w:t xml:space="preserve">Key Words: </w:t>
      </w:r>
      <w:r w:rsidRPr="00A234EE">
        <w:rPr>
          <w:rFonts w:ascii="Book Antiqua" w:hAnsi="Book Antiqua"/>
          <w:sz w:val="24"/>
          <w:szCs w:val="24"/>
          <w:lang w:val="en-US" w:eastAsia="zh-CN"/>
        </w:rPr>
        <w:t xml:space="preserve">Non-alcoholic steatohepatitis; INT-767; Obeticholic acid; </w:t>
      </w:r>
      <w:r w:rsidR="0069479F" w:rsidRPr="00A234EE">
        <w:rPr>
          <w:rFonts w:ascii="Book Antiqua" w:hAnsi="Book Antiqua"/>
          <w:sz w:val="24"/>
          <w:szCs w:val="24"/>
          <w:lang w:val="en-US" w:eastAsia="zh-CN"/>
        </w:rPr>
        <w:t>Liver biopsy;</w:t>
      </w:r>
      <w:r w:rsidRPr="00A234EE">
        <w:rPr>
          <w:rFonts w:ascii="Book Antiqua" w:hAnsi="Book Antiqua"/>
          <w:sz w:val="24"/>
          <w:szCs w:val="24"/>
          <w:lang w:val="en-US" w:eastAsia="zh-CN"/>
        </w:rPr>
        <w:t xml:space="preserve"> FXR; TGR5; </w:t>
      </w:r>
      <w:r w:rsidR="0069479F" w:rsidRPr="00A234EE">
        <w:rPr>
          <w:rFonts w:ascii="Book Antiqua" w:hAnsi="Book Antiqua"/>
          <w:sz w:val="24"/>
          <w:szCs w:val="24"/>
          <w:lang w:val="en-US" w:eastAsia="zh-CN"/>
        </w:rPr>
        <w:t>M</w:t>
      </w:r>
      <w:r w:rsidRPr="00A234EE">
        <w:rPr>
          <w:rFonts w:ascii="Book Antiqua" w:hAnsi="Book Antiqua"/>
          <w:sz w:val="24"/>
          <w:szCs w:val="24"/>
          <w:lang w:val="en-US" w:eastAsia="zh-CN"/>
        </w:rPr>
        <w:t>ouse model</w:t>
      </w:r>
    </w:p>
    <w:p w14:paraId="484CFB5A" w14:textId="77777777" w:rsidR="00E4751A" w:rsidRPr="00A234EE" w:rsidRDefault="00E4751A" w:rsidP="00A234EE">
      <w:pPr>
        <w:adjustRightInd w:val="0"/>
        <w:snapToGrid w:val="0"/>
        <w:spacing w:after="0" w:line="360" w:lineRule="auto"/>
        <w:jc w:val="both"/>
        <w:rPr>
          <w:rFonts w:ascii="Book Antiqua" w:hAnsi="Book Antiqua"/>
          <w:sz w:val="24"/>
          <w:szCs w:val="24"/>
          <w:lang w:val="en-US" w:eastAsia="zh-CN"/>
        </w:rPr>
      </w:pPr>
    </w:p>
    <w:p w14:paraId="3BEBC24B" w14:textId="77777777" w:rsidR="00E4751A" w:rsidRPr="00A234EE" w:rsidRDefault="00E4751A" w:rsidP="00A234EE">
      <w:pPr>
        <w:adjustRightInd w:val="0"/>
        <w:snapToGrid w:val="0"/>
        <w:spacing w:after="0" w:line="360" w:lineRule="auto"/>
        <w:jc w:val="both"/>
        <w:rPr>
          <w:rFonts w:ascii="Book Antiqua" w:hAnsi="Book Antiqua" w:cs="Arial"/>
          <w:sz w:val="24"/>
          <w:szCs w:val="24"/>
          <w:lang w:val="en-US"/>
        </w:rPr>
      </w:pPr>
      <w:bookmarkStart w:id="18" w:name="OLE_LINK55"/>
      <w:bookmarkStart w:id="19" w:name="OLE_LINK56"/>
      <w:bookmarkStart w:id="20" w:name="OLE_LINK105"/>
      <w:bookmarkStart w:id="21" w:name="OLE_LINK116"/>
      <w:bookmarkStart w:id="22" w:name="OLE_LINK89"/>
      <w:r w:rsidRPr="00A234EE">
        <w:rPr>
          <w:rFonts w:ascii="Book Antiqua" w:hAnsi="Book Antiqua"/>
          <w:b/>
          <w:sz w:val="24"/>
          <w:szCs w:val="24"/>
          <w:lang w:val="en-US"/>
        </w:rPr>
        <w:t>©</w:t>
      </w:r>
      <w:bookmarkEnd w:id="18"/>
      <w:bookmarkEnd w:id="19"/>
      <w:r w:rsidRPr="00A234EE">
        <w:rPr>
          <w:rFonts w:ascii="Book Antiqua" w:hAnsi="Book Antiqua"/>
          <w:b/>
          <w:sz w:val="24"/>
          <w:szCs w:val="24"/>
          <w:lang w:val="en-US"/>
        </w:rPr>
        <w:t xml:space="preserve"> </w:t>
      </w:r>
      <w:r w:rsidRPr="00A234EE">
        <w:rPr>
          <w:rFonts w:ascii="Book Antiqua" w:hAnsi="Book Antiqua" w:cs="Arial"/>
          <w:b/>
          <w:sz w:val="24"/>
          <w:szCs w:val="24"/>
          <w:lang w:val="en-US"/>
        </w:rPr>
        <w:t xml:space="preserve">The Author(s) 2017. </w:t>
      </w:r>
      <w:r w:rsidRPr="00A234EE">
        <w:rPr>
          <w:rFonts w:ascii="Book Antiqua" w:hAnsi="Book Antiqua" w:cs="Arial"/>
          <w:sz w:val="24"/>
          <w:szCs w:val="24"/>
          <w:lang w:val="en-US"/>
        </w:rPr>
        <w:t>Published by Baishideng Publishing Group Inc. All rights reserved.</w:t>
      </w:r>
    </w:p>
    <w:bookmarkEnd w:id="20"/>
    <w:bookmarkEnd w:id="21"/>
    <w:bookmarkEnd w:id="22"/>
    <w:p w14:paraId="4C538A41" w14:textId="77777777" w:rsidR="00E4751A" w:rsidRPr="00A234EE" w:rsidRDefault="00E4751A" w:rsidP="00A234EE">
      <w:pPr>
        <w:adjustRightInd w:val="0"/>
        <w:snapToGrid w:val="0"/>
        <w:spacing w:after="0" w:line="360" w:lineRule="auto"/>
        <w:jc w:val="both"/>
        <w:rPr>
          <w:rFonts w:ascii="Book Antiqua" w:hAnsi="Book Antiqua"/>
          <w:sz w:val="24"/>
          <w:szCs w:val="24"/>
          <w:lang w:val="en-US" w:eastAsia="zh-CN"/>
        </w:rPr>
      </w:pPr>
    </w:p>
    <w:p w14:paraId="7A7372CA" w14:textId="68021729" w:rsidR="00E4751A" w:rsidRPr="00A234EE" w:rsidRDefault="00E4751A" w:rsidP="00A234EE">
      <w:pPr>
        <w:adjustRightInd w:val="0"/>
        <w:snapToGrid w:val="0"/>
        <w:spacing w:after="0" w:line="360" w:lineRule="auto"/>
        <w:jc w:val="both"/>
        <w:rPr>
          <w:rFonts w:ascii="Book Antiqua" w:hAnsi="Book Antiqua" w:cs="Arial Unicode MS"/>
          <w:sz w:val="24"/>
          <w:szCs w:val="24"/>
          <w:lang w:val="en-US" w:eastAsia="zh-CN"/>
        </w:rPr>
      </w:pPr>
      <w:bookmarkStart w:id="23" w:name="OLE_LINK156"/>
      <w:bookmarkStart w:id="24" w:name="OLE_LINK158"/>
      <w:bookmarkStart w:id="25" w:name="OLE_LINK206"/>
      <w:bookmarkStart w:id="26" w:name="OLE_LINK210"/>
      <w:bookmarkStart w:id="27" w:name="OLE_LINK230"/>
      <w:bookmarkStart w:id="28" w:name="OLE_LINK522"/>
      <w:r w:rsidRPr="00A234EE">
        <w:rPr>
          <w:rFonts w:ascii="Book Antiqua" w:eastAsia="Times New Roman" w:hAnsi="Book Antiqua" w:cs="Arial Unicode MS"/>
          <w:b/>
          <w:sz w:val="24"/>
          <w:szCs w:val="24"/>
          <w:lang w:val="en-US"/>
        </w:rPr>
        <w:t>Core tip:</w:t>
      </w:r>
      <w:r w:rsidRPr="00A234EE">
        <w:rPr>
          <w:rFonts w:ascii="Book Antiqua" w:eastAsia="Times New Roman" w:hAnsi="Book Antiqua" w:cs="Arial Unicode MS"/>
          <w:b/>
          <w:sz w:val="24"/>
          <w:szCs w:val="24"/>
          <w:lang w:val="en-US" w:eastAsia="zh-CN"/>
        </w:rPr>
        <w:t xml:space="preserve"> </w:t>
      </w:r>
      <w:r w:rsidRPr="00A234EE">
        <w:rPr>
          <w:rFonts w:ascii="Book Antiqua" w:eastAsia="Times New Roman" w:hAnsi="Book Antiqua" w:cs="Arial Unicode MS"/>
          <w:sz w:val="24"/>
          <w:szCs w:val="24"/>
          <w:lang w:val="en-US" w:eastAsia="zh-CN"/>
        </w:rPr>
        <w:t xml:space="preserve">The studies contained herein evaluated the preclinical efficacy of INT-767, a dual FXR/TGR5 agonist, in a mouse model of diet-induced and biopsy-confirmed </w:t>
      </w:r>
      <w:r w:rsidRPr="00A234EE">
        <w:rPr>
          <w:rFonts w:ascii="Book Antiqua" w:hAnsi="Book Antiqua"/>
          <w:bCs/>
          <w:sz w:val="24"/>
          <w:szCs w:val="24"/>
          <w:lang w:val="en-US"/>
        </w:rPr>
        <w:t>non-alcoholic steatohepatitis</w:t>
      </w:r>
      <w:r w:rsidRPr="00A234EE">
        <w:rPr>
          <w:rFonts w:ascii="Book Antiqua" w:hAnsi="Book Antiqua"/>
          <w:b/>
          <w:bCs/>
          <w:sz w:val="24"/>
          <w:szCs w:val="24"/>
          <w:lang w:val="en-US"/>
        </w:rPr>
        <w:t xml:space="preserve"> </w:t>
      </w:r>
      <w:r w:rsidRPr="00A234EE">
        <w:rPr>
          <w:rFonts w:ascii="Book Antiqua" w:hAnsi="Book Antiqua"/>
          <w:b/>
          <w:bCs/>
          <w:sz w:val="24"/>
          <w:szCs w:val="24"/>
          <w:lang w:val="en-US" w:eastAsia="zh-CN"/>
        </w:rPr>
        <w:t>(</w:t>
      </w:r>
      <w:r w:rsidRPr="00A234EE">
        <w:rPr>
          <w:rFonts w:ascii="Book Antiqua" w:eastAsia="Times New Roman" w:hAnsi="Book Antiqua" w:cs="Arial Unicode MS"/>
          <w:sz w:val="24"/>
          <w:szCs w:val="24"/>
          <w:lang w:val="en-US" w:eastAsia="zh-CN"/>
        </w:rPr>
        <w:t>NASH). Rigorous analyses for NASH histological endpoints and markers were conducted including blinded qualitative and quantitative scoring using standard microscopy as well as advanced morphometric fibrosis and steatosis features using second harmonic generation imaging and two-photon fluorescence excitation. INT-767 promoted dose-dependent improvements in fibrosis, steatosis, inflammation and ballooning degeneration. The effects of INT-767 and obeticholic acid (OCA) were also compared for histological efficacy, gene expression and tissue distribution. The nonclinical data suggest that INT-767 is a more potent FXR receptor agonist, and is expected to have therapeutic effect at lower doses than OCA.</w:t>
      </w:r>
    </w:p>
    <w:p w14:paraId="144CC10C" w14:textId="77777777" w:rsidR="00E4751A" w:rsidRPr="00A234EE" w:rsidRDefault="00E4751A" w:rsidP="00A234EE">
      <w:pPr>
        <w:adjustRightInd w:val="0"/>
        <w:snapToGrid w:val="0"/>
        <w:spacing w:after="0" w:line="360" w:lineRule="auto"/>
        <w:jc w:val="both"/>
        <w:rPr>
          <w:rFonts w:ascii="Book Antiqua" w:hAnsi="Book Antiqua" w:cs="Arial Unicode MS"/>
          <w:sz w:val="24"/>
          <w:szCs w:val="24"/>
          <w:lang w:val="en-US" w:eastAsia="zh-CN"/>
        </w:rPr>
      </w:pPr>
    </w:p>
    <w:p w14:paraId="42F8B0E8" w14:textId="37A2A563" w:rsidR="00E4751A" w:rsidRPr="00A234EE" w:rsidRDefault="00E4751A" w:rsidP="00A234EE">
      <w:pPr>
        <w:adjustRightInd w:val="0"/>
        <w:snapToGrid w:val="0"/>
        <w:spacing w:after="0" w:line="360" w:lineRule="auto"/>
        <w:jc w:val="both"/>
        <w:rPr>
          <w:rFonts w:ascii="Book Antiqua" w:hAnsi="Book Antiqua"/>
          <w:sz w:val="24"/>
          <w:szCs w:val="24"/>
        </w:rPr>
      </w:pPr>
      <w:r w:rsidRPr="00A234EE">
        <w:rPr>
          <w:rFonts w:ascii="Book Antiqua" w:hAnsi="Book Antiqua"/>
          <w:bCs/>
          <w:sz w:val="24"/>
          <w:szCs w:val="24"/>
          <w:lang w:val="en-US"/>
        </w:rPr>
        <w:t>Roth</w:t>
      </w:r>
      <w:r w:rsidRPr="00A234EE">
        <w:rPr>
          <w:rFonts w:ascii="Book Antiqua" w:hAnsi="Book Antiqua"/>
          <w:bCs/>
          <w:sz w:val="24"/>
          <w:szCs w:val="24"/>
          <w:lang w:val="en-US" w:eastAsia="zh-CN"/>
        </w:rPr>
        <w:t xml:space="preserve"> JD</w:t>
      </w:r>
      <w:r w:rsidRPr="00A234EE">
        <w:rPr>
          <w:rFonts w:ascii="Book Antiqua" w:hAnsi="Book Antiqua"/>
          <w:bCs/>
          <w:sz w:val="24"/>
          <w:szCs w:val="24"/>
          <w:lang w:val="en-US"/>
        </w:rPr>
        <w:t>, Feigh</w:t>
      </w:r>
      <w:r w:rsidRPr="00A234EE">
        <w:rPr>
          <w:rFonts w:ascii="Book Antiqua" w:hAnsi="Book Antiqua"/>
          <w:bCs/>
          <w:sz w:val="24"/>
          <w:szCs w:val="24"/>
          <w:lang w:val="en-US" w:eastAsia="zh-CN"/>
        </w:rPr>
        <w:t xml:space="preserve"> M</w:t>
      </w:r>
      <w:r w:rsidRPr="00A234EE">
        <w:rPr>
          <w:rFonts w:ascii="Book Antiqua" w:hAnsi="Book Antiqua"/>
          <w:bCs/>
          <w:sz w:val="24"/>
          <w:szCs w:val="24"/>
          <w:lang w:val="en-US"/>
        </w:rPr>
        <w:t>, Veidal</w:t>
      </w:r>
      <w:r w:rsidRPr="00A234EE">
        <w:rPr>
          <w:rFonts w:ascii="Book Antiqua" w:hAnsi="Book Antiqua"/>
          <w:bCs/>
          <w:sz w:val="24"/>
          <w:szCs w:val="24"/>
          <w:lang w:val="en-US" w:eastAsia="zh-CN"/>
        </w:rPr>
        <w:t xml:space="preserve"> SS</w:t>
      </w:r>
      <w:r w:rsidRPr="00A234EE">
        <w:rPr>
          <w:rFonts w:ascii="Book Antiqua" w:hAnsi="Book Antiqua"/>
          <w:bCs/>
          <w:sz w:val="24"/>
          <w:szCs w:val="24"/>
          <w:lang w:val="en-US"/>
        </w:rPr>
        <w:t>, Fensholdt</w:t>
      </w:r>
      <w:r w:rsidRPr="00A234EE">
        <w:rPr>
          <w:rFonts w:ascii="Book Antiqua" w:hAnsi="Book Antiqua"/>
          <w:bCs/>
          <w:sz w:val="24"/>
          <w:szCs w:val="24"/>
          <w:lang w:val="en-US" w:eastAsia="zh-CN"/>
        </w:rPr>
        <w:t xml:space="preserve"> LKD</w:t>
      </w:r>
      <w:r w:rsidRPr="00A234EE">
        <w:rPr>
          <w:rFonts w:ascii="Book Antiqua" w:hAnsi="Book Antiqua"/>
          <w:bCs/>
          <w:sz w:val="24"/>
          <w:szCs w:val="24"/>
          <w:lang w:val="en-US"/>
        </w:rPr>
        <w:t>, Rigbolt</w:t>
      </w:r>
      <w:r w:rsidRPr="00A234EE">
        <w:rPr>
          <w:rFonts w:ascii="Book Antiqua" w:hAnsi="Book Antiqua"/>
          <w:bCs/>
          <w:sz w:val="24"/>
          <w:szCs w:val="24"/>
          <w:lang w:val="en-US" w:eastAsia="zh-CN"/>
        </w:rPr>
        <w:t xml:space="preserve"> KT</w:t>
      </w:r>
      <w:r w:rsidRPr="00A234EE">
        <w:rPr>
          <w:rFonts w:ascii="Book Antiqua" w:hAnsi="Book Antiqua"/>
          <w:bCs/>
          <w:sz w:val="24"/>
          <w:szCs w:val="24"/>
          <w:lang w:val="en-US"/>
        </w:rPr>
        <w:t>, Hansen</w:t>
      </w:r>
      <w:r w:rsidRPr="00A234EE">
        <w:rPr>
          <w:rFonts w:ascii="Book Antiqua" w:hAnsi="Book Antiqua"/>
          <w:bCs/>
          <w:sz w:val="24"/>
          <w:szCs w:val="24"/>
          <w:lang w:val="en-US" w:eastAsia="zh-CN"/>
        </w:rPr>
        <w:t xml:space="preserve"> HH</w:t>
      </w:r>
      <w:r w:rsidRPr="00A234EE">
        <w:rPr>
          <w:rFonts w:ascii="Book Antiqua" w:hAnsi="Book Antiqua"/>
          <w:bCs/>
          <w:sz w:val="24"/>
          <w:szCs w:val="24"/>
          <w:lang w:val="en-US"/>
        </w:rPr>
        <w:t>, Chen</w:t>
      </w:r>
      <w:r w:rsidRPr="00A234EE">
        <w:rPr>
          <w:rFonts w:ascii="Book Antiqua" w:hAnsi="Book Antiqua"/>
          <w:bCs/>
          <w:sz w:val="24"/>
          <w:szCs w:val="24"/>
          <w:lang w:val="en-US" w:eastAsia="zh-CN"/>
        </w:rPr>
        <w:t xml:space="preserve"> LC</w:t>
      </w:r>
      <w:r w:rsidRPr="00A234EE">
        <w:rPr>
          <w:rFonts w:ascii="Book Antiqua" w:hAnsi="Book Antiqua"/>
          <w:bCs/>
          <w:sz w:val="24"/>
          <w:szCs w:val="24"/>
          <w:lang w:val="en-US"/>
        </w:rPr>
        <w:t>, Petitjean</w:t>
      </w:r>
      <w:r w:rsidRPr="00A234EE">
        <w:rPr>
          <w:rFonts w:ascii="Book Antiqua" w:hAnsi="Book Antiqua"/>
          <w:bCs/>
          <w:sz w:val="24"/>
          <w:szCs w:val="24"/>
          <w:lang w:val="en-US" w:eastAsia="zh-CN"/>
        </w:rPr>
        <w:t xml:space="preserve"> M</w:t>
      </w:r>
      <w:r w:rsidRPr="00A234EE">
        <w:rPr>
          <w:rFonts w:ascii="Book Antiqua" w:hAnsi="Book Antiqua"/>
          <w:bCs/>
          <w:sz w:val="24"/>
          <w:szCs w:val="24"/>
          <w:lang w:val="en-US"/>
        </w:rPr>
        <w:t>, Friley</w:t>
      </w:r>
      <w:r w:rsidRPr="00A234EE">
        <w:rPr>
          <w:rFonts w:ascii="Book Antiqua" w:hAnsi="Book Antiqua"/>
          <w:bCs/>
          <w:sz w:val="24"/>
          <w:szCs w:val="24"/>
          <w:lang w:val="en-US" w:eastAsia="zh-CN"/>
        </w:rPr>
        <w:t xml:space="preserve"> W</w:t>
      </w:r>
      <w:r w:rsidRPr="00A234EE">
        <w:rPr>
          <w:rFonts w:ascii="Book Antiqua" w:hAnsi="Book Antiqua"/>
          <w:bCs/>
          <w:sz w:val="24"/>
          <w:szCs w:val="24"/>
          <w:lang w:val="en-US"/>
        </w:rPr>
        <w:t>, Vrang</w:t>
      </w:r>
      <w:r w:rsidRPr="00A234EE">
        <w:rPr>
          <w:rFonts w:ascii="Book Antiqua" w:hAnsi="Book Antiqua"/>
          <w:bCs/>
          <w:sz w:val="24"/>
          <w:szCs w:val="24"/>
          <w:lang w:val="en-US" w:eastAsia="zh-CN"/>
        </w:rPr>
        <w:t xml:space="preserve"> N</w:t>
      </w:r>
      <w:r w:rsidRPr="00A234EE">
        <w:rPr>
          <w:rFonts w:ascii="Book Antiqua" w:hAnsi="Book Antiqua"/>
          <w:bCs/>
          <w:sz w:val="24"/>
          <w:szCs w:val="24"/>
          <w:lang w:val="en-US"/>
        </w:rPr>
        <w:t>, Jelsing</w:t>
      </w:r>
      <w:r w:rsidRPr="00A234EE">
        <w:rPr>
          <w:rFonts w:ascii="Book Antiqua" w:hAnsi="Book Antiqua"/>
          <w:bCs/>
          <w:sz w:val="24"/>
          <w:szCs w:val="24"/>
          <w:lang w:val="en-US" w:eastAsia="zh-CN"/>
        </w:rPr>
        <w:t xml:space="preserve"> J</w:t>
      </w:r>
      <w:r w:rsidRPr="00A234EE">
        <w:rPr>
          <w:rFonts w:ascii="Book Antiqua" w:hAnsi="Book Antiqua"/>
          <w:bCs/>
          <w:sz w:val="24"/>
          <w:szCs w:val="24"/>
          <w:lang w:val="en-US"/>
        </w:rPr>
        <w:t>, Young</w:t>
      </w:r>
      <w:r w:rsidRPr="00A234EE">
        <w:rPr>
          <w:rFonts w:ascii="Book Antiqua" w:hAnsi="Book Antiqua"/>
          <w:bCs/>
          <w:sz w:val="24"/>
          <w:szCs w:val="24"/>
          <w:lang w:val="en-US" w:eastAsia="zh-CN"/>
        </w:rPr>
        <w:t xml:space="preserve"> M. </w:t>
      </w:r>
      <w:r w:rsidRPr="00A234EE">
        <w:rPr>
          <w:rFonts w:ascii="Book Antiqua" w:hAnsi="Book Antiqua"/>
          <w:bCs/>
          <w:sz w:val="24"/>
          <w:szCs w:val="24"/>
          <w:lang w:val="en-US"/>
        </w:rPr>
        <w:t xml:space="preserve">INT-767 improves histopathological features in a diet-induced </w:t>
      </w:r>
      <w:r w:rsidRPr="00A234EE">
        <w:rPr>
          <w:rFonts w:ascii="Book Antiqua" w:hAnsi="Book Antiqua"/>
          <w:bCs/>
          <w:i/>
          <w:iCs/>
          <w:sz w:val="24"/>
          <w:szCs w:val="24"/>
          <w:lang w:val="en-US"/>
        </w:rPr>
        <w:t>ob/ob</w:t>
      </w:r>
      <w:r w:rsidRPr="00A234EE">
        <w:rPr>
          <w:rFonts w:ascii="Book Antiqua" w:hAnsi="Book Antiqua"/>
          <w:bCs/>
          <w:sz w:val="24"/>
          <w:szCs w:val="24"/>
          <w:lang w:val="en-US"/>
        </w:rPr>
        <w:t xml:space="preserve"> mouse model of biopsy-confirmed non-alcoholic steatohepatitis</w:t>
      </w:r>
      <w:r w:rsidRPr="00A234EE">
        <w:rPr>
          <w:rFonts w:ascii="Book Antiqua" w:hAnsi="Book Antiqua"/>
          <w:bCs/>
          <w:sz w:val="24"/>
          <w:szCs w:val="24"/>
          <w:lang w:val="en-US" w:eastAsia="zh-CN"/>
        </w:rPr>
        <w:t xml:space="preserve">. </w:t>
      </w:r>
      <w:bookmarkStart w:id="29" w:name="OLE_LINK424"/>
      <w:bookmarkStart w:id="30" w:name="OLE_LINK425"/>
      <w:r w:rsidRPr="00A234EE">
        <w:rPr>
          <w:rFonts w:ascii="Book Antiqua" w:hAnsi="Book Antiqua"/>
          <w:i/>
          <w:sz w:val="24"/>
          <w:szCs w:val="24"/>
        </w:rPr>
        <w:t>World J Gastroenterol</w:t>
      </w:r>
      <w:r w:rsidRPr="00A234EE">
        <w:rPr>
          <w:rFonts w:ascii="Book Antiqua" w:hAnsi="Book Antiqua"/>
          <w:sz w:val="24"/>
          <w:szCs w:val="24"/>
        </w:rPr>
        <w:t xml:space="preserve"> 2017; </w:t>
      </w:r>
      <w:bookmarkStart w:id="31" w:name="OLE_LINK1689"/>
      <w:bookmarkStart w:id="32" w:name="OLE_LINK1298"/>
      <w:bookmarkStart w:id="33" w:name="OLE_LINK1297"/>
      <w:r w:rsidRPr="00A234EE">
        <w:rPr>
          <w:rFonts w:ascii="Book Antiqua" w:hAnsi="Book Antiqua"/>
          <w:sz w:val="24"/>
          <w:szCs w:val="24"/>
        </w:rPr>
        <w:t>In press</w:t>
      </w:r>
      <w:bookmarkEnd w:id="31"/>
      <w:bookmarkEnd w:id="32"/>
      <w:bookmarkEnd w:id="33"/>
    </w:p>
    <w:bookmarkEnd w:id="29"/>
    <w:bookmarkEnd w:id="30"/>
    <w:p w14:paraId="66FD312B" w14:textId="1A542D71" w:rsidR="00E4751A" w:rsidRPr="00A234EE" w:rsidRDefault="00E4751A" w:rsidP="00A234EE">
      <w:pPr>
        <w:adjustRightInd w:val="0"/>
        <w:snapToGrid w:val="0"/>
        <w:spacing w:after="0" w:line="360" w:lineRule="auto"/>
        <w:jc w:val="both"/>
        <w:rPr>
          <w:rFonts w:ascii="Book Antiqua" w:hAnsi="Book Antiqua"/>
          <w:bCs/>
          <w:sz w:val="24"/>
          <w:szCs w:val="24"/>
          <w:lang w:val="en-US" w:eastAsia="zh-CN"/>
        </w:rPr>
      </w:pPr>
    </w:p>
    <w:p w14:paraId="5DC1A61D" w14:textId="70CC4197" w:rsidR="00E4751A" w:rsidRPr="00A234EE" w:rsidRDefault="00E4751A" w:rsidP="00A234EE">
      <w:pPr>
        <w:adjustRightInd w:val="0"/>
        <w:snapToGrid w:val="0"/>
        <w:spacing w:after="0" w:line="360" w:lineRule="auto"/>
        <w:jc w:val="both"/>
        <w:rPr>
          <w:rFonts w:ascii="Book Antiqua" w:hAnsi="Book Antiqua"/>
          <w:bCs/>
          <w:sz w:val="24"/>
          <w:szCs w:val="24"/>
          <w:lang w:val="en-US" w:eastAsia="zh-CN"/>
        </w:rPr>
      </w:pPr>
    </w:p>
    <w:p w14:paraId="3E4E528C" w14:textId="77777777" w:rsidR="00E4751A" w:rsidRPr="00A234EE" w:rsidRDefault="00E4751A" w:rsidP="00A234EE">
      <w:pPr>
        <w:adjustRightInd w:val="0"/>
        <w:snapToGrid w:val="0"/>
        <w:spacing w:after="0" w:line="360" w:lineRule="auto"/>
        <w:jc w:val="both"/>
        <w:rPr>
          <w:rFonts w:ascii="Book Antiqua" w:hAnsi="Book Antiqua" w:cs="Arial Unicode MS"/>
          <w:sz w:val="24"/>
          <w:szCs w:val="24"/>
          <w:lang w:val="en-US" w:eastAsia="zh-CN"/>
        </w:rPr>
      </w:pPr>
    </w:p>
    <w:p w14:paraId="75EC0735" w14:textId="77777777" w:rsidR="00E4751A" w:rsidRPr="00A234EE" w:rsidRDefault="00E4751A" w:rsidP="00A234EE">
      <w:pPr>
        <w:adjustRightInd w:val="0"/>
        <w:snapToGrid w:val="0"/>
        <w:spacing w:after="0" w:line="360" w:lineRule="auto"/>
        <w:jc w:val="both"/>
        <w:rPr>
          <w:rFonts w:ascii="Book Antiqua" w:hAnsi="Book Antiqua" w:cs="Arial Unicode MS"/>
          <w:sz w:val="24"/>
          <w:szCs w:val="24"/>
          <w:lang w:eastAsia="zh-CN"/>
        </w:rPr>
      </w:pPr>
    </w:p>
    <w:bookmarkEnd w:id="23"/>
    <w:bookmarkEnd w:id="24"/>
    <w:bookmarkEnd w:id="25"/>
    <w:bookmarkEnd w:id="26"/>
    <w:bookmarkEnd w:id="27"/>
    <w:bookmarkEnd w:id="28"/>
    <w:p w14:paraId="2D2AB26C" w14:textId="3F730F1A" w:rsidR="005F69F1"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lastRenderedPageBreak/>
        <w:t>INTRODUCTION</w:t>
      </w:r>
    </w:p>
    <w:p w14:paraId="2D2AB26D" w14:textId="1F7144E5" w:rsidR="006F1CAC" w:rsidRPr="00A234EE" w:rsidRDefault="0001584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Nonalcoholic fatty liver disease (</w:t>
      </w:r>
      <w:r w:rsidR="7E1455FE" w:rsidRPr="00A234EE">
        <w:rPr>
          <w:rFonts w:ascii="Book Antiqua" w:hAnsi="Book Antiqua"/>
          <w:sz w:val="24"/>
          <w:szCs w:val="24"/>
          <w:lang w:val="en-US"/>
        </w:rPr>
        <w:t>NAFLD</w:t>
      </w:r>
      <w:r w:rsidRPr="00A234EE">
        <w:rPr>
          <w:rFonts w:ascii="Book Antiqua" w:hAnsi="Book Antiqua"/>
          <w:sz w:val="24"/>
          <w:szCs w:val="24"/>
          <w:lang w:val="en-US"/>
        </w:rPr>
        <w:t>)</w:t>
      </w:r>
      <w:r w:rsidR="7E1455FE" w:rsidRPr="00A234EE">
        <w:rPr>
          <w:rFonts w:ascii="Book Antiqua" w:hAnsi="Book Antiqua"/>
          <w:sz w:val="24"/>
          <w:szCs w:val="24"/>
          <w:lang w:val="en-US"/>
        </w:rPr>
        <w:t xml:space="preserve"> is considered the hepatic manifestation of the metabolic syndrome, a cluster of closely related clinical features linked to visceral obesity and characterized by insulin resistance, </w:t>
      </w:r>
      <w:r w:rsidR="00AD7078" w:rsidRPr="00A234EE">
        <w:rPr>
          <w:rFonts w:ascii="Book Antiqua" w:hAnsi="Book Antiqua"/>
          <w:sz w:val="24"/>
          <w:szCs w:val="24"/>
          <w:lang w:val="en-US"/>
        </w:rPr>
        <w:t xml:space="preserve">dyslipidemia, and hypertension. </w:t>
      </w:r>
      <w:r w:rsidR="7E1455FE" w:rsidRPr="00A234EE">
        <w:rPr>
          <w:rFonts w:ascii="Book Antiqua" w:hAnsi="Book Antiqua"/>
          <w:sz w:val="24"/>
          <w:szCs w:val="24"/>
          <w:lang w:val="en-US"/>
        </w:rPr>
        <w:t xml:space="preserve">While steatosis can be considered a relatively benign liver disease, for reasons that are still incompletely understood, a subgroup of </w:t>
      </w:r>
      <w:r w:rsidR="00E76092" w:rsidRPr="00A234EE">
        <w:rPr>
          <w:rFonts w:ascii="Book Antiqua" w:hAnsi="Book Antiqua"/>
          <w:sz w:val="24"/>
          <w:szCs w:val="24"/>
          <w:lang w:val="en-US"/>
        </w:rPr>
        <w:t>NAFLD</w:t>
      </w:r>
      <w:r w:rsidR="7E1455FE" w:rsidRPr="00A234EE">
        <w:rPr>
          <w:rFonts w:ascii="Book Antiqua" w:hAnsi="Book Antiqua"/>
          <w:sz w:val="24"/>
          <w:szCs w:val="24"/>
          <w:lang w:val="en-US"/>
        </w:rPr>
        <w:t xml:space="preserve"> patients go on to develop </w:t>
      </w:r>
      <w:r w:rsidR="006513F8" w:rsidRPr="00A234EE">
        <w:rPr>
          <w:rFonts w:ascii="Book Antiqua" w:hAnsi="Book Antiqua"/>
          <w:bCs/>
          <w:sz w:val="24"/>
          <w:szCs w:val="24"/>
          <w:lang w:val="en-US"/>
        </w:rPr>
        <w:t>non-alcoholic steatohepatitis</w:t>
      </w:r>
      <w:r w:rsidR="006513F8" w:rsidRPr="00A234EE">
        <w:rPr>
          <w:rFonts w:ascii="Book Antiqua" w:hAnsi="Book Antiqua"/>
          <w:b/>
          <w:bCs/>
          <w:sz w:val="24"/>
          <w:szCs w:val="24"/>
          <w:lang w:val="en-US"/>
        </w:rPr>
        <w:t xml:space="preserve"> </w:t>
      </w:r>
      <w:r w:rsidR="006513F8" w:rsidRPr="00A234EE">
        <w:rPr>
          <w:rFonts w:ascii="Book Antiqua" w:hAnsi="Book Antiqua"/>
          <w:b/>
          <w:bCs/>
          <w:sz w:val="24"/>
          <w:szCs w:val="24"/>
          <w:lang w:val="en-US" w:eastAsia="zh-CN"/>
        </w:rPr>
        <w:t>(</w:t>
      </w:r>
      <w:r w:rsidR="006513F8" w:rsidRPr="00A234EE">
        <w:rPr>
          <w:rFonts w:ascii="Book Antiqua" w:hAnsi="Book Antiqua"/>
          <w:sz w:val="24"/>
          <w:szCs w:val="24"/>
          <w:lang w:val="en-US"/>
        </w:rPr>
        <w:t>NASH</w:t>
      </w:r>
      <w:r w:rsidR="006513F8" w:rsidRPr="00A234EE">
        <w:rPr>
          <w:rFonts w:ascii="Book Antiqua" w:hAnsi="Book Antiqua"/>
          <w:sz w:val="24"/>
          <w:szCs w:val="24"/>
          <w:lang w:val="en-US" w:eastAsia="zh-CN"/>
        </w:rPr>
        <w:t>)</w:t>
      </w:r>
      <w:r w:rsidR="7E1455FE" w:rsidRPr="00A234EE">
        <w:rPr>
          <w:rFonts w:ascii="Book Antiqua" w:hAnsi="Book Antiqua"/>
          <w:sz w:val="24"/>
          <w:szCs w:val="24"/>
          <w:lang w:val="en-US"/>
        </w:rPr>
        <w:t xml:space="preserve">, which is marked by hepatocellular injury, inflammation, and progressive fibrosis.  </w:t>
      </w:r>
      <w:r w:rsidR="00091D04" w:rsidRPr="00A234EE">
        <w:rPr>
          <w:rFonts w:ascii="Book Antiqua" w:hAnsi="Book Antiqua"/>
          <w:sz w:val="24"/>
          <w:szCs w:val="24"/>
          <w:lang w:val="en-US"/>
        </w:rPr>
        <w:t>I</w:t>
      </w:r>
      <w:r w:rsidR="7E1455FE" w:rsidRPr="00A234EE">
        <w:rPr>
          <w:rFonts w:ascii="Book Antiqua" w:hAnsi="Book Antiqua"/>
          <w:sz w:val="24"/>
          <w:szCs w:val="24"/>
          <w:lang w:val="en-US"/>
        </w:rPr>
        <w:t>t is estimated that the prevalence of progression from NAFLD to NASH is 10% to 20% in the general population; 37% in the high-risk, severe obese population; and 40% to 55% in patients at tertiary care centers</w:t>
      </w:r>
      <w:r w:rsidR="00E04869" w:rsidRPr="00A234EE">
        <w:rPr>
          <w:rFonts w:ascii="Book Antiqua" w:hAnsi="Book Antiqua"/>
          <w:sz w:val="24"/>
          <w:szCs w:val="24"/>
          <w:vertAlign w:val="superscript"/>
          <w:lang w:val="en-US" w:eastAsia="zh-CN"/>
        </w:rPr>
        <w:t>[1]</w:t>
      </w:r>
      <w:r w:rsidR="7E1455FE" w:rsidRPr="00A234EE">
        <w:rPr>
          <w:rFonts w:ascii="Book Antiqua" w:hAnsi="Book Antiqua"/>
          <w:color w:val="000000" w:themeColor="text1"/>
          <w:sz w:val="24"/>
          <w:szCs w:val="24"/>
          <w:lang w:val="en-US"/>
        </w:rPr>
        <w:t>. Sev</w:t>
      </w:r>
      <w:r w:rsidR="7E1455FE" w:rsidRPr="00A234EE">
        <w:rPr>
          <w:rFonts w:ascii="Book Antiqua" w:hAnsi="Book Antiqua"/>
          <w:sz w:val="24"/>
          <w:szCs w:val="24"/>
          <w:lang w:val="en-US"/>
        </w:rPr>
        <w:t>eral factors have been implicated in the development of NAFLD, including sensitization due to excessive liver triglyceride accumulation coupled with insulin resistance</w:t>
      </w:r>
      <w:r w:rsidR="00E04869" w:rsidRPr="00A234EE">
        <w:rPr>
          <w:rFonts w:ascii="Book Antiqua" w:hAnsi="Book Antiqua"/>
          <w:sz w:val="24"/>
          <w:szCs w:val="24"/>
          <w:vertAlign w:val="superscript"/>
          <w:lang w:val="en-US" w:eastAsia="zh-CN"/>
        </w:rPr>
        <w:t>[2]</w:t>
      </w:r>
      <w:r w:rsidR="7E1455FE" w:rsidRPr="00A234EE">
        <w:rPr>
          <w:rFonts w:ascii="Book Antiqua" w:hAnsi="Book Antiqua"/>
          <w:sz w:val="24"/>
          <w:szCs w:val="24"/>
          <w:lang w:val="en-US"/>
        </w:rPr>
        <w:t xml:space="preserve">. </w:t>
      </w:r>
    </w:p>
    <w:p w14:paraId="2D2AB26E" w14:textId="0EED5D27" w:rsidR="00756711" w:rsidRPr="00A234EE" w:rsidRDefault="006F1CAC"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In addition to their roles in dietary lipid absorption and cholesterol</w:t>
      </w:r>
      <w:r w:rsidR="00500B5A" w:rsidRPr="00A234EE">
        <w:rPr>
          <w:rFonts w:ascii="Book Antiqua" w:hAnsi="Book Antiqua"/>
          <w:sz w:val="24"/>
          <w:szCs w:val="24"/>
          <w:lang w:val="en-US"/>
        </w:rPr>
        <w:t xml:space="preserve"> homeostasis</w:t>
      </w:r>
      <w:r w:rsidRPr="00A234EE">
        <w:rPr>
          <w:rFonts w:ascii="Book Antiqua" w:hAnsi="Book Antiqua"/>
          <w:sz w:val="24"/>
          <w:szCs w:val="24"/>
          <w:lang w:val="en-US"/>
        </w:rPr>
        <w:t>, bile acids a</w:t>
      </w:r>
      <w:r w:rsidR="00E76092" w:rsidRPr="00A234EE">
        <w:rPr>
          <w:rFonts w:ascii="Book Antiqua" w:hAnsi="Book Antiqua"/>
          <w:sz w:val="24"/>
          <w:szCs w:val="24"/>
          <w:lang w:val="en-US"/>
        </w:rPr>
        <w:t>ctivate many signaling pathways</w:t>
      </w:r>
      <w:r w:rsidR="003127D5" w:rsidRPr="00A234EE">
        <w:rPr>
          <w:rFonts w:ascii="Book Antiqua" w:hAnsi="Book Antiqua"/>
          <w:sz w:val="24"/>
          <w:szCs w:val="24"/>
          <w:lang w:val="en-US"/>
        </w:rPr>
        <w:t>,</w:t>
      </w:r>
      <w:r w:rsidRPr="00A234EE">
        <w:rPr>
          <w:rFonts w:ascii="Book Antiqua" w:hAnsi="Book Antiqua"/>
          <w:sz w:val="24"/>
          <w:szCs w:val="24"/>
          <w:lang w:val="en-US"/>
        </w:rPr>
        <w:t xml:space="preserve"> </w:t>
      </w:r>
      <w:r w:rsidR="00E76092" w:rsidRPr="00A234EE">
        <w:rPr>
          <w:rFonts w:ascii="Book Antiqua" w:hAnsi="Book Antiqua"/>
          <w:sz w:val="24"/>
          <w:szCs w:val="24"/>
          <w:lang w:val="en-US"/>
        </w:rPr>
        <w:t>including</w:t>
      </w:r>
      <w:r w:rsidRPr="00A234EE">
        <w:rPr>
          <w:rFonts w:ascii="Book Antiqua" w:hAnsi="Book Antiqua"/>
          <w:sz w:val="24"/>
          <w:szCs w:val="24"/>
          <w:lang w:val="en-US"/>
        </w:rPr>
        <w:t xml:space="preserve"> the </w:t>
      </w:r>
      <w:r w:rsidR="00091D04" w:rsidRPr="00A234EE">
        <w:rPr>
          <w:rFonts w:ascii="Book Antiqua" w:hAnsi="Book Antiqua"/>
          <w:sz w:val="24"/>
          <w:szCs w:val="24"/>
          <w:lang w:val="en-US"/>
        </w:rPr>
        <w:t xml:space="preserve">ligand-activated </w:t>
      </w:r>
      <w:r w:rsidRPr="00A234EE">
        <w:rPr>
          <w:rFonts w:ascii="Book Antiqua" w:hAnsi="Book Antiqua"/>
          <w:sz w:val="24"/>
          <w:szCs w:val="24"/>
          <w:lang w:val="en-US"/>
        </w:rPr>
        <w:t xml:space="preserve">nuclear </w:t>
      </w:r>
      <w:r w:rsidR="00091D04" w:rsidRPr="00A234EE">
        <w:rPr>
          <w:rFonts w:ascii="Book Antiqua" w:hAnsi="Book Antiqua"/>
          <w:sz w:val="24"/>
          <w:szCs w:val="24"/>
          <w:lang w:val="en-US"/>
        </w:rPr>
        <w:t xml:space="preserve">farnesoid X </w:t>
      </w:r>
      <w:r w:rsidRPr="00A234EE">
        <w:rPr>
          <w:rFonts w:ascii="Book Antiqua" w:hAnsi="Book Antiqua"/>
          <w:sz w:val="24"/>
          <w:szCs w:val="24"/>
          <w:lang w:val="en-US"/>
        </w:rPr>
        <w:t>receptor FXR</w:t>
      </w:r>
      <w:r w:rsidR="00E04869" w:rsidRPr="00A234EE">
        <w:rPr>
          <w:rFonts w:ascii="Book Antiqua" w:hAnsi="Book Antiqua"/>
          <w:sz w:val="24"/>
          <w:szCs w:val="24"/>
          <w:vertAlign w:val="superscript"/>
          <w:lang w:val="en-US" w:eastAsia="zh-CN"/>
        </w:rPr>
        <w:t xml:space="preserve">[3] </w:t>
      </w:r>
      <w:r w:rsidRPr="00A234EE">
        <w:rPr>
          <w:rFonts w:ascii="Book Antiqua" w:hAnsi="Book Antiqua"/>
          <w:sz w:val="24"/>
          <w:szCs w:val="24"/>
          <w:lang w:val="en-US"/>
        </w:rPr>
        <w:t xml:space="preserve">and the </w:t>
      </w:r>
      <w:r w:rsidR="00091D04" w:rsidRPr="00A234EE">
        <w:rPr>
          <w:rFonts w:ascii="Book Antiqua" w:hAnsi="Book Antiqua"/>
          <w:sz w:val="24"/>
          <w:szCs w:val="24"/>
          <w:lang w:val="en-US"/>
        </w:rPr>
        <w:t xml:space="preserve">plasma membrane-bound G protein-coupled </w:t>
      </w:r>
      <w:r w:rsidRPr="00A234EE">
        <w:rPr>
          <w:rFonts w:ascii="Book Antiqua" w:hAnsi="Book Antiqua"/>
          <w:sz w:val="24"/>
          <w:szCs w:val="24"/>
          <w:lang w:val="en-US"/>
        </w:rPr>
        <w:t>receptor TGR5</w:t>
      </w:r>
      <w:r w:rsidR="00E04869" w:rsidRPr="00A234EE">
        <w:rPr>
          <w:rFonts w:ascii="Book Antiqua" w:hAnsi="Book Antiqua"/>
          <w:sz w:val="24"/>
          <w:szCs w:val="24"/>
          <w:vertAlign w:val="superscript"/>
          <w:lang w:val="en-US" w:eastAsia="zh-CN"/>
        </w:rPr>
        <w:t>[4,5]</w:t>
      </w:r>
      <w:r w:rsidRPr="00A234EE">
        <w:rPr>
          <w:rFonts w:ascii="Book Antiqua" w:hAnsi="Book Antiqua"/>
          <w:sz w:val="24"/>
          <w:szCs w:val="24"/>
          <w:lang w:val="en-US"/>
        </w:rPr>
        <w:t xml:space="preserve">. FXR and TGR5 represent attractive targets for the treatment of metabolic and chronic liver diseases. </w:t>
      </w:r>
      <w:r w:rsidR="00D9049F" w:rsidRPr="00A234EE">
        <w:rPr>
          <w:rFonts w:ascii="Book Antiqua" w:hAnsi="Book Antiqua"/>
          <w:sz w:val="24"/>
          <w:szCs w:val="24"/>
          <w:lang w:val="en-US"/>
        </w:rPr>
        <w:t xml:space="preserve">FXR is predominantly expressed in the liver, kidney and intestine, with a major role in controlling </w:t>
      </w:r>
      <w:r w:rsidR="003127D5" w:rsidRPr="00A234EE">
        <w:rPr>
          <w:rFonts w:ascii="Book Antiqua" w:hAnsi="Book Antiqua"/>
          <w:sz w:val="24"/>
          <w:szCs w:val="24"/>
          <w:lang w:val="en-US"/>
        </w:rPr>
        <w:t>bile acid</w:t>
      </w:r>
      <w:r w:rsidR="00D9049F" w:rsidRPr="00A234EE">
        <w:rPr>
          <w:rFonts w:ascii="Book Antiqua" w:hAnsi="Book Antiqua"/>
          <w:sz w:val="24"/>
          <w:szCs w:val="24"/>
          <w:lang w:val="en-US"/>
        </w:rPr>
        <w:t xml:space="preserve"> homeostasis. </w:t>
      </w:r>
      <w:r w:rsidR="00756711" w:rsidRPr="00A234EE">
        <w:rPr>
          <w:rFonts w:ascii="Book Antiqua" w:hAnsi="Book Antiqua"/>
          <w:sz w:val="24"/>
          <w:szCs w:val="24"/>
          <w:lang w:val="en-US"/>
        </w:rPr>
        <w:t>FXR activation suppresses NF</w:t>
      </w:r>
      <w:r w:rsidR="00756711" w:rsidRPr="00A234EE">
        <w:rPr>
          <w:rFonts w:ascii="Book Antiqua" w:hAnsi="Book Antiqua"/>
          <w:sz w:val="24"/>
          <w:szCs w:val="24"/>
          <w:lang w:val="en-US"/>
        </w:rPr>
        <w:noBreakHyphen/>
      </w:r>
      <w:r w:rsidR="00756711" w:rsidRPr="00A234EE">
        <w:rPr>
          <w:rFonts w:ascii="Book Antiqua" w:hAnsi="Book Antiqua"/>
          <w:sz w:val="24"/>
          <w:szCs w:val="24"/>
        </w:rPr>
        <w:t>κ</w:t>
      </w:r>
      <w:r w:rsidR="00756711" w:rsidRPr="00A234EE">
        <w:rPr>
          <w:rFonts w:ascii="Book Antiqua" w:hAnsi="Book Antiqua"/>
          <w:sz w:val="24"/>
          <w:szCs w:val="24"/>
          <w:lang w:val="en-US"/>
        </w:rPr>
        <w:t>B–regulated pro-inflammatory genes in hepatocytes and vascular cells</w:t>
      </w:r>
      <w:r w:rsidR="001A67BA" w:rsidRPr="00A234EE">
        <w:rPr>
          <w:rFonts w:ascii="Book Antiqua" w:hAnsi="Book Antiqua"/>
          <w:sz w:val="24"/>
          <w:szCs w:val="24"/>
          <w:lang w:val="en-US"/>
        </w:rPr>
        <w:t>, as well as</w:t>
      </w:r>
      <w:r w:rsidR="00756711" w:rsidRPr="00A234EE">
        <w:rPr>
          <w:rFonts w:ascii="Book Antiqua" w:hAnsi="Book Antiqua"/>
          <w:sz w:val="24"/>
          <w:szCs w:val="24"/>
          <w:lang w:val="en-US"/>
        </w:rPr>
        <w:t xml:space="preserve"> inflammatory mediators such as cyclooxygenase-2 (COX-2) and inducible nitric oxide synthase (iNOS)</w:t>
      </w:r>
      <w:r w:rsidR="00E04869" w:rsidRPr="00A234EE">
        <w:rPr>
          <w:rFonts w:ascii="Book Antiqua" w:hAnsi="Book Antiqua"/>
          <w:sz w:val="24"/>
          <w:szCs w:val="24"/>
          <w:vertAlign w:val="superscript"/>
          <w:lang w:val="en-US" w:eastAsia="zh-CN"/>
        </w:rPr>
        <w:t>[6-8]</w:t>
      </w:r>
      <w:r w:rsidR="00756711" w:rsidRPr="00A234EE">
        <w:rPr>
          <w:rFonts w:ascii="Book Antiqua" w:hAnsi="Book Antiqua"/>
          <w:sz w:val="24"/>
          <w:szCs w:val="24"/>
          <w:lang w:val="en-US"/>
        </w:rPr>
        <w:t xml:space="preserve">. FXR activation also inhibits production of </w:t>
      </w:r>
      <w:r w:rsidR="003127D5" w:rsidRPr="00A234EE">
        <w:rPr>
          <w:rFonts w:ascii="Book Antiqua" w:hAnsi="Book Antiqua"/>
          <w:sz w:val="24"/>
          <w:szCs w:val="24"/>
          <w:lang w:val="en-US"/>
        </w:rPr>
        <w:t>tumour necrosis factor-(</w:t>
      </w:r>
      <w:r w:rsidR="00756711" w:rsidRPr="00A234EE">
        <w:rPr>
          <w:rFonts w:ascii="Book Antiqua" w:hAnsi="Book Antiqua"/>
          <w:sz w:val="24"/>
          <w:szCs w:val="24"/>
          <w:lang w:val="en-US"/>
        </w:rPr>
        <w:t>TNF-</w:t>
      </w:r>
      <w:r w:rsidR="00756711" w:rsidRPr="00A234EE">
        <w:rPr>
          <w:rFonts w:ascii="Book Antiqua" w:hAnsi="Book Antiqua"/>
          <w:sz w:val="24"/>
          <w:szCs w:val="24"/>
        </w:rPr>
        <w:t>α</w:t>
      </w:r>
      <w:r w:rsidR="003127D5" w:rsidRPr="00A234EE">
        <w:rPr>
          <w:rFonts w:ascii="Book Antiqua" w:hAnsi="Book Antiqua"/>
          <w:sz w:val="24"/>
          <w:szCs w:val="24"/>
          <w:lang w:val="en-US"/>
        </w:rPr>
        <w:t>)</w:t>
      </w:r>
      <w:r w:rsidR="00756711" w:rsidRPr="00A234EE">
        <w:rPr>
          <w:rFonts w:ascii="Book Antiqua" w:hAnsi="Book Antiqua"/>
          <w:sz w:val="24"/>
          <w:szCs w:val="24"/>
          <w:lang w:val="en-US"/>
        </w:rPr>
        <w:t xml:space="preserve"> by human peripheral blood mononuclear cells and human monocytes, and inhibits differentiation of human monocytes into dendritic cells</w:t>
      </w:r>
      <w:r w:rsidR="00E04869" w:rsidRPr="00A234EE">
        <w:rPr>
          <w:rFonts w:ascii="Book Antiqua" w:hAnsi="Book Antiqua"/>
          <w:sz w:val="24"/>
          <w:szCs w:val="24"/>
          <w:vertAlign w:val="superscript"/>
          <w:lang w:val="en-US" w:eastAsia="zh-CN"/>
        </w:rPr>
        <w:t>[8]</w:t>
      </w:r>
      <w:r w:rsidR="00756711" w:rsidRPr="00A234EE">
        <w:rPr>
          <w:rFonts w:ascii="Book Antiqua" w:hAnsi="Book Antiqua"/>
          <w:sz w:val="24"/>
          <w:szCs w:val="24"/>
          <w:lang w:val="en-US"/>
        </w:rPr>
        <w:t>. Furthermore, FXR activation inhibits production of TNF-</w:t>
      </w:r>
      <w:r w:rsidR="00756711" w:rsidRPr="00A234EE">
        <w:rPr>
          <w:rFonts w:ascii="Book Antiqua" w:hAnsi="Book Antiqua"/>
          <w:sz w:val="24"/>
          <w:szCs w:val="24"/>
        </w:rPr>
        <w:t>α</w:t>
      </w:r>
      <w:r w:rsidR="00756711" w:rsidRPr="00A234EE">
        <w:rPr>
          <w:rFonts w:ascii="Book Antiqua" w:hAnsi="Book Antiqua"/>
          <w:sz w:val="24"/>
          <w:szCs w:val="24"/>
          <w:lang w:val="en-US"/>
        </w:rPr>
        <w:t>, interleukin (IL)-17, and interferon gamma (IFN-</w:t>
      </w:r>
      <w:r w:rsidR="00756711" w:rsidRPr="00A234EE">
        <w:rPr>
          <w:rFonts w:ascii="Book Antiqua" w:hAnsi="Book Antiqua"/>
          <w:sz w:val="24"/>
          <w:szCs w:val="24"/>
        </w:rPr>
        <w:t>γ</w:t>
      </w:r>
      <w:r w:rsidR="00756711" w:rsidRPr="00A234EE">
        <w:rPr>
          <w:rFonts w:ascii="Book Antiqua" w:hAnsi="Book Antiqua"/>
          <w:sz w:val="24"/>
          <w:szCs w:val="24"/>
          <w:lang w:val="en-US"/>
        </w:rPr>
        <w:t>) in lymphocyte-enriched human</w:t>
      </w:r>
      <w:r w:rsidR="003127D5" w:rsidRPr="00A234EE">
        <w:rPr>
          <w:rFonts w:ascii="Book Antiqua" w:hAnsi="Book Antiqua"/>
          <w:sz w:val="24"/>
          <w:szCs w:val="24"/>
          <w:lang w:val="en-US"/>
        </w:rPr>
        <w:t xml:space="preserve"> intestinal</w:t>
      </w:r>
      <w:r w:rsidR="00756711" w:rsidRPr="00A234EE">
        <w:rPr>
          <w:rFonts w:ascii="Book Antiqua" w:hAnsi="Book Antiqua"/>
          <w:sz w:val="24"/>
          <w:szCs w:val="24"/>
          <w:lang w:val="en-US"/>
        </w:rPr>
        <w:t xml:space="preserve"> lamina propria cells</w:t>
      </w:r>
      <w:r w:rsidR="003127D5" w:rsidRPr="00A234EE">
        <w:rPr>
          <w:rFonts w:ascii="Book Antiqua" w:hAnsi="Book Antiqua"/>
          <w:sz w:val="24"/>
          <w:szCs w:val="24"/>
          <w:lang w:val="en-US"/>
        </w:rPr>
        <w:t>, suggesting that FXR function participates in preserving the intestinal barrier</w:t>
      </w:r>
      <w:r w:rsidR="00E04869" w:rsidRPr="00A234EE">
        <w:rPr>
          <w:rFonts w:ascii="Book Antiqua" w:hAnsi="Book Antiqua"/>
          <w:sz w:val="24"/>
          <w:szCs w:val="24"/>
          <w:vertAlign w:val="superscript"/>
          <w:lang w:val="en-US" w:eastAsia="zh-CN"/>
        </w:rPr>
        <w:t>[9]</w:t>
      </w:r>
      <w:r w:rsidR="00756711" w:rsidRPr="00A234EE">
        <w:rPr>
          <w:rFonts w:ascii="Book Antiqua" w:hAnsi="Book Antiqua"/>
          <w:sz w:val="24"/>
          <w:szCs w:val="24"/>
          <w:lang w:val="en-US"/>
        </w:rPr>
        <w:t>. Althoug</w:t>
      </w:r>
      <w:r w:rsidR="003127D5" w:rsidRPr="00A234EE">
        <w:rPr>
          <w:rFonts w:ascii="Book Antiqua" w:hAnsi="Book Antiqua"/>
          <w:sz w:val="24"/>
          <w:szCs w:val="24"/>
          <w:lang w:val="en-US"/>
        </w:rPr>
        <w:t xml:space="preserve">h </w:t>
      </w:r>
      <w:r w:rsidR="00756711" w:rsidRPr="00A234EE">
        <w:rPr>
          <w:rFonts w:ascii="Book Antiqua" w:hAnsi="Book Antiqua"/>
          <w:sz w:val="24"/>
          <w:szCs w:val="24"/>
          <w:lang w:val="en-US"/>
        </w:rPr>
        <w:t xml:space="preserve">not expressed in hepatocytes, TGR5 is detected in many </w:t>
      </w:r>
      <w:r w:rsidR="001A67BA" w:rsidRPr="00A234EE">
        <w:rPr>
          <w:rFonts w:ascii="Book Antiqua" w:hAnsi="Book Antiqua"/>
          <w:sz w:val="24"/>
          <w:szCs w:val="24"/>
          <w:lang w:val="en-US"/>
        </w:rPr>
        <w:t xml:space="preserve">liver </w:t>
      </w:r>
      <w:r w:rsidR="00756711" w:rsidRPr="00A234EE">
        <w:rPr>
          <w:rFonts w:ascii="Book Antiqua" w:hAnsi="Book Antiqua"/>
          <w:sz w:val="24"/>
          <w:szCs w:val="24"/>
          <w:lang w:val="en-US"/>
        </w:rPr>
        <w:t xml:space="preserve">cell types where it could directly or indirectly modulate hepatic </w:t>
      </w:r>
      <w:r w:rsidR="001A67BA" w:rsidRPr="00A234EE">
        <w:rPr>
          <w:rFonts w:ascii="Book Antiqua" w:hAnsi="Book Antiqua"/>
          <w:sz w:val="24"/>
          <w:szCs w:val="24"/>
          <w:lang w:val="en-US"/>
        </w:rPr>
        <w:t>lipid</w:t>
      </w:r>
      <w:r w:rsidR="00756711" w:rsidRPr="00A234EE">
        <w:rPr>
          <w:rFonts w:ascii="Book Antiqua" w:hAnsi="Book Antiqua"/>
          <w:sz w:val="24"/>
          <w:szCs w:val="24"/>
          <w:lang w:val="en-US"/>
        </w:rPr>
        <w:t xml:space="preserve"> metabolism</w:t>
      </w:r>
      <w:r w:rsidR="00E04869" w:rsidRPr="00A234EE">
        <w:rPr>
          <w:rFonts w:ascii="Book Antiqua" w:hAnsi="Book Antiqua"/>
          <w:sz w:val="24"/>
          <w:szCs w:val="24"/>
          <w:vertAlign w:val="superscript"/>
          <w:lang w:val="en-US" w:eastAsia="zh-CN"/>
        </w:rPr>
        <w:t>[10]</w:t>
      </w:r>
      <w:r w:rsidR="00756711" w:rsidRPr="00A234EE">
        <w:rPr>
          <w:rFonts w:ascii="Book Antiqua" w:hAnsi="Book Antiqua"/>
          <w:sz w:val="24"/>
          <w:szCs w:val="24"/>
          <w:lang w:val="en-US"/>
        </w:rPr>
        <w:t>. TGR5 is highly expressed in Kupffer cells, which are resident liver macrophages</w:t>
      </w:r>
      <w:r w:rsidR="00E04869" w:rsidRPr="00A234EE">
        <w:rPr>
          <w:rFonts w:ascii="Book Antiqua" w:hAnsi="Book Antiqua"/>
          <w:sz w:val="24"/>
          <w:szCs w:val="24"/>
          <w:vertAlign w:val="superscript"/>
          <w:lang w:val="en-US" w:eastAsia="zh-CN"/>
        </w:rPr>
        <w:t>[11]</w:t>
      </w:r>
      <w:r w:rsidR="00756711" w:rsidRPr="00A234EE">
        <w:rPr>
          <w:rFonts w:ascii="Book Antiqua" w:hAnsi="Book Antiqua"/>
          <w:sz w:val="24"/>
          <w:szCs w:val="24"/>
          <w:lang w:val="en-US"/>
        </w:rPr>
        <w:t xml:space="preserve"> and their proinflammatory cytokine secretion </w:t>
      </w:r>
      <w:r w:rsidR="003127D5" w:rsidRPr="00A234EE">
        <w:rPr>
          <w:rFonts w:ascii="Book Antiqua" w:hAnsi="Book Antiqua"/>
          <w:sz w:val="24"/>
          <w:szCs w:val="24"/>
          <w:lang w:val="en-US"/>
        </w:rPr>
        <w:t>has been</w:t>
      </w:r>
      <w:r w:rsidR="00756711" w:rsidRPr="00A234EE">
        <w:rPr>
          <w:rFonts w:ascii="Book Antiqua" w:hAnsi="Book Antiqua"/>
          <w:sz w:val="24"/>
          <w:szCs w:val="24"/>
          <w:lang w:val="en-US"/>
        </w:rPr>
        <w:t xml:space="preserve"> implicated in the progression of NAFLD</w:t>
      </w:r>
      <w:r w:rsidR="00E04869" w:rsidRPr="00A234EE">
        <w:rPr>
          <w:rFonts w:ascii="Book Antiqua" w:hAnsi="Book Antiqua"/>
          <w:sz w:val="24"/>
          <w:szCs w:val="24"/>
          <w:vertAlign w:val="superscript"/>
          <w:lang w:val="en-US" w:eastAsia="zh-CN"/>
        </w:rPr>
        <w:t>[12]</w:t>
      </w:r>
      <w:r w:rsidR="00756711" w:rsidRPr="00A234EE">
        <w:rPr>
          <w:rFonts w:ascii="Book Antiqua" w:hAnsi="Book Antiqua"/>
          <w:sz w:val="24"/>
          <w:szCs w:val="24"/>
          <w:lang w:val="en-US"/>
        </w:rPr>
        <w:t xml:space="preserve">. In Kupffer cells, bile acids inhibit lipopolysaccharide-induced cytokine </w:t>
      </w:r>
      <w:r w:rsidR="00756711" w:rsidRPr="00A234EE">
        <w:rPr>
          <w:rFonts w:ascii="Book Antiqua" w:hAnsi="Book Antiqua"/>
          <w:sz w:val="24"/>
          <w:szCs w:val="24"/>
          <w:lang w:val="en-US"/>
        </w:rPr>
        <w:lastRenderedPageBreak/>
        <w:t>expression via TGR5-cAMP-dependent pathways</w:t>
      </w:r>
      <w:r w:rsidR="00E04869" w:rsidRPr="00A234EE">
        <w:rPr>
          <w:rFonts w:ascii="Book Antiqua" w:hAnsi="Book Antiqua"/>
          <w:sz w:val="24"/>
          <w:szCs w:val="24"/>
          <w:vertAlign w:val="superscript"/>
          <w:lang w:val="en-US" w:eastAsia="zh-CN"/>
        </w:rPr>
        <w:t>[11]</w:t>
      </w:r>
      <w:r w:rsidR="00756711" w:rsidRPr="00A234EE">
        <w:rPr>
          <w:rFonts w:ascii="Book Antiqua" w:hAnsi="Book Antiqua"/>
          <w:sz w:val="24"/>
          <w:szCs w:val="24"/>
          <w:lang w:val="en-US"/>
        </w:rPr>
        <w:t>. The increased TGR5 expression in Kupffer cells after bile duct ligation suggests a protective role for TGR5 in obstructive cholestasis, preventing excessive proinflammatory cytokine production and thereby reducing liver injury</w:t>
      </w:r>
      <w:r w:rsidR="00E04869" w:rsidRPr="00A234EE">
        <w:rPr>
          <w:rFonts w:ascii="Book Antiqua" w:hAnsi="Book Antiqua"/>
          <w:sz w:val="24"/>
          <w:szCs w:val="24"/>
          <w:vertAlign w:val="superscript"/>
          <w:lang w:val="en-US" w:eastAsia="zh-CN"/>
        </w:rPr>
        <w:t>[11]</w:t>
      </w:r>
      <w:r w:rsidR="00756711" w:rsidRPr="00A234EE">
        <w:rPr>
          <w:rFonts w:ascii="Book Antiqua" w:hAnsi="Book Antiqua"/>
          <w:sz w:val="24"/>
          <w:szCs w:val="24"/>
          <w:lang w:val="en-US"/>
        </w:rPr>
        <w:t>.</w:t>
      </w:r>
    </w:p>
    <w:p w14:paraId="2D2AB26F" w14:textId="36340D31" w:rsidR="005F69F1" w:rsidRPr="00A234EE" w:rsidRDefault="7E1455F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INT-767 is a semisynthetic bile acid derivative</w:t>
      </w:r>
      <w:r w:rsidR="00E04869" w:rsidRPr="00A234EE">
        <w:rPr>
          <w:rFonts w:ascii="Book Antiqua" w:hAnsi="Book Antiqua"/>
          <w:sz w:val="24"/>
          <w:szCs w:val="24"/>
          <w:vertAlign w:val="superscript"/>
          <w:lang w:val="en-US" w:eastAsia="zh-CN"/>
        </w:rPr>
        <w:t>[13]</w:t>
      </w:r>
      <w:r w:rsidRPr="00A234EE">
        <w:rPr>
          <w:rFonts w:ascii="Book Antiqua" w:hAnsi="Book Antiqua"/>
          <w:sz w:val="24"/>
          <w:szCs w:val="24"/>
          <w:lang w:val="en-US"/>
        </w:rPr>
        <w:t xml:space="preserve"> being developed for the treatment of liver and metabolic diseases and is the first compound described that potently and selectively activates both bile acid receptors (FXR</w:t>
      </w:r>
      <w:r w:rsidR="00DA1E69" w:rsidRPr="00A234EE">
        <w:rPr>
          <w:rFonts w:ascii="Book Antiqua" w:hAnsi="Book Antiqua"/>
          <w:sz w:val="24"/>
          <w:szCs w:val="24"/>
          <w:lang w:val="en-US"/>
        </w:rPr>
        <w:t>,</w:t>
      </w:r>
      <w:r w:rsidRPr="00A234EE">
        <w:rPr>
          <w:rFonts w:ascii="Book Antiqua" w:hAnsi="Book Antiqua"/>
          <w:sz w:val="24"/>
          <w:szCs w:val="24"/>
          <w:lang w:val="en-US"/>
        </w:rPr>
        <w:t xml:space="preserve"> EC</w:t>
      </w:r>
      <w:r w:rsidRPr="00A234EE">
        <w:rPr>
          <w:rFonts w:ascii="Book Antiqua" w:hAnsi="Book Antiqua"/>
          <w:sz w:val="24"/>
          <w:szCs w:val="24"/>
          <w:vertAlign w:val="subscript"/>
          <w:lang w:val="en-US"/>
        </w:rPr>
        <w:t>50</w:t>
      </w:r>
      <w:r w:rsidRPr="00A234EE">
        <w:rPr>
          <w:rFonts w:ascii="Book Antiqua" w:hAnsi="Book Antiqua"/>
          <w:sz w:val="24"/>
          <w:szCs w:val="24"/>
          <w:lang w:val="en-US"/>
        </w:rPr>
        <w:t xml:space="preserve"> of ~30 nM; TGR5</w:t>
      </w:r>
      <w:r w:rsidR="00DA1E69" w:rsidRPr="00A234EE">
        <w:rPr>
          <w:rFonts w:ascii="Book Antiqua" w:hAnsi="Book Antiqua"/>
          <w:sz w:val="24"/>
          <w:szCs w:val="24"/>
          <w:lang w:val="en-US"/>
        </w:rPr>
        <w:t>,</w:t>
      </w:r>
      <w:r w:rsidRPr="00A234EE">
        <w:rPr>
          <w:rFonts w:ascii="Book Antiqua" w:hAnsi="Book Antiqua"/>
          <w:sz w:val="24"/>
          <w:szCs w:val="24"/>
          <w:lang w:val="en-US"/>
        </w:rPr>
        <w:t xml:space="preserve"> EC</w:t>
      </w:r>
      <w:r w:rsidRPr="00A234EE">
        <w:rPr>
          <w:rFonts w:ascii="Book Antiqua" w:hAnsi="Book Antiqua"/>
          <w:sz w:val="24"/>
          <w:szCs w:val="24"/>
          <w:vertAlign w:val="subscript"/>
          <w:lang w:val="en-US"/>
        </w:rPr>
        <w:t>50</w:t>
      </w:r>
      <w:r w:rsidRPr="00A234EE">
        <w:rPr>
          <w:rFonts w:ascii="Book Antiqua" w:hAnsi="Book Antiqua"/>
          <w:sz w:val="24"/>
          <w:szCs w:val="24"/>
          <w:lang w:val="en-US"/>
        </w:rPr>
        <w:t xml:space="preserve"> of 0.6 µM</w:t>
      </w:r>
      <w:r w:rsidR="00056BE8" w:rsidRPr="00A234EE">
        <w:rPr>
          <w:rFonts w:ascii="Book Antiqua" w:hAnsi="Book Antiqua"/>
          <w:sz w:val="24"/>
          <w:szCs w:val="24"/>
          <w:lang w:val="en-US"/>
        </w:rPr>
        <w:t>)</w:t>
      </w:r>
      <w:r w:rsidR="00C555DE" w:rsidRPr="00A234EE">
        <w:rPr>
          <w:rFonts w:ascii="Book Antiqua" w:hAnsi="Book Antiqua"/>
          <w:sz w:val="24"/>
          <w:szCs w:val="24"/>
          <w:lang w:val="en-US"/>
        </w:rPr>
        <w:t xml:space="preserve">.  </w:t>
      </w:r>
      <w:r w:rsidR="00056BE8" w:rsidRPr="00A234EE">
        <w:rPr>
          <w:rFonts w:ascii="Book Antiqua" w:hAnsi="Book Antiqua"/>
          <w:sz w:val="24"/>
          <w:szCs w:val="24"/>
          <w:lang w:val="en-US"/>
        </w:rPr>
        <w:t>INT-767 is</w:t>
      </w:r>
      <w:r w:rsidRPr="00A234EE">
        <w:rPr>
          <w:rFonts w:ascii="Book Antiqua" w:hAnsi="Book Antiqua"/>
          <w:sz w:val="24"/>
          <w:szCs w:val="24"/>
          <w:lang w:val="en-US"/>
        </w:rPr>
        <w:t xml:space="preserve"> ~300-fold more potent at FXR than the natural </w:t>
      </w:r>
      <w:r w:rsidR="009C7F76" w:rsidRPr="00A234EE">
        <w:rPr>
          <w:rFonts w:ascii="Book Antiqua" w:hAnsi="Book Antiqua"/>
          <w:sz w:val="24"/>
          <w:szCs w:val="24"/>
          <w:lang w:val="en-US"/>
        </w:rPr>
        <w:t>homologue,</w:t>
      </w:r>
      <w:r w:rsidR="00056BE8" w:rsidRPr="00A234EE">
        <w:rPr>
          <w:rFonts w:ascii="Book Antiqua" w:hAnsi="Book Antiqua"/>
          <w:sz w:val="24"/>
          <w:szCs w:val="24"/>
          <w:lang w:val="en-US"/>
        </w:rPr>
        <w:t xml:space="preserve"> chenodeoxycholic acid</w:t>
      </w:r>
      <w:r w:rsidRPr="00A234EE">
        <w:rPr>
          <w:rFonts w:ascii="Book Antiqua" w:hAnsi="Book Antiqua"/>
          <w:sz w:val="24"/>
          <w:szCs w:val="24"/>
          <w:lang w:val="en-US"/>
        </w:rPr>
        <w:t xml:space="preserve"> </w:t>
      </w:r>
      <w:r w:rsidR="009C7F76" w:rsidRPr="00A234EE">
        <w:rPr>
          <w:rFonts w:ascii="Book Antiqua" w:hAnsi="Book Antiqua"/>
          <w:sz w:val="24"/>
          <w:szCs w:val="24"/>
          <w:lang w:val="en-US"/>
        </w:rPr>
        <w:t>(</w:t>
      </w:r>
      <w:r w:rsidRPr="00A234EE">
        <w:rPr>
          <w:rFonts w:ascii="Book Antiqua" w:hAnsi="Book Antiqua"/>
          <w:sz w:val="24"/>
          <w:szCs w:val="24"/>
          <w:lang w:val="en-US"/>
        </w:rPr>
        <w:t>CDCA</w:t>
      </w:r>
      <w:r w:rsidR="009C7F76" w:rsidRPr="00A234EE">
        <w:rPr>
          <w:rFonts w:ascii="Book Antiqua" w:hAnsi="Book Antiqua"/>
          <w:sz w:val="24"/>
          <w:szCs w:val="24"/>
          <w:lang w:val="en-US"/>
        </w:rPr>
        <w:t>)</w:t>
      </w:r>
      <w:r w:rsidRPr="00A234EE">
        <w:rPr>
          <w:rFonts w:ascii="Book Antiqua" w:hAnsi="Book Antiqua"/>
          <w:sz w:val="24"/>
          <w:szCs w:val="24"/>
          <w:lang w:val="en-US"/>
        </w:rPr>
        <w:t>, and 4- to 12-fold more potent at TGR5 that the natural TGR5 ist</w:t>
      </w:r>
      <w:r w:rsidR="009C7F76" w:rsidRPr="00A234EE">
        <w:rPr>
          <w:rFonts w:ascii="Book Antiqua" w:hAnsi="Book Antiqua"/>
          <w:sz w:val="24"/>
          <w:szCs w:val="24"/>
          <w:lang w:val="en-US"/>
        </w:rPr>
        <w:t xml:space="preserve"> lithocholic acid</w:t>
      </w:r>
      <w:r w:rsidRPr="00A234EE">
        <w:rPr>
          <w:rFonts w:ascii="Book Antiqua" w:hAnsi="Book Antiqua"/>
          <w:sz w:val="24"/>
          <w:szCs w:val="24"/>
          <w:lang w:val="en-US"/>
        </w:rPr>
        <w:t xml:space="preserve"> </w:t>
      </w:r>
      <w:r w:rsidR="009C7F76" w:rsidRPr="00A234EE">
        <w:rPr>
          <w:rFonts w:ascii="Book Antiqua" w:hAnsi="Book Antiqua"/>
          <w:sz w:val="24"/>
          <w:szCs w:val="24"/>
          <w:lang w:val="en-US"/>
        </w:rPr>
        <w:t>(</w:t>
      </w:r>
      <w:r w:rsidRPr="00A234EE">
        <w:rPr>
          <w:rFonts w:ascii="Book Antiqua" w:hAnsi="Book Antiqua"/>
          <w:sz w:val="24"/>
          <w:szCs w:val="24"/>
          <w:lang w:val="en-US"/>
        </w:rPr>
        <w:t>LCA</w:t>
      </w:r>
      <w:r w:rsidR="009C7F76" w:rsidRPr="00A234EE">
        <w:rPr>
          <w:rFonts w:ascii="Book Antiqua" w:hAnsi="Book Antiqua"/>
          <w:sz w:val="24"/>
          <w:szCs w:val="24"/>
          <w:lang w:val="en-US"/>
        </w:rPr>
        <w:t>)</w:t>
      </w:r>
      <w:r w:rsidR="00E04869" w:rsidRPr="00A234EE">
        <w:rPr>
          <w:rFonts w:ascii="Book Antiqua" w:hAnsi="Book Antiqua"/>
          <w:sz w:val="24"/>
          <w:szCs w:val="24"/>
          <w:vertAlign w:val="superscript"/>
          <w:lang w:val="en-US" w:eastAsia="zh-CN"/>
        </w:rPr>
        <w:t>[13]</w:t>
      </w:r>
      <w:r w:rsidRPr="00A234EE">
        <w:rPr>
          <w:rFonts w:ascii="Book Antiqua" w:hAnsi="Book Antiqua"/>
          <w:sz w:val="24"/>
          <w:szCs w:val="24"/>
          <w:lang w:val="en-US"/>
        </w:rPr>
        <w:t xml:space="preserve">. INT-767 has been profiled in several animal models and shown to improve metabolism and decrease inflammation and fibrosis. For example, INT-767 </w:t>
      </w:r>
      <w:r w:rsidR="00DA1E69" w:rsidRPr="00A234EE">
        <w:rPr>
          <w:rFonts w:ascii="Book Antiqua" w:hAnsi="Book Antiqua"/>
          <w:sz w:val="24"/>
          <w:szCs w:val="24"/>
          <w:lang w:val="en-US"/>
        </w:rPr>
        <w:t xml:space="preserve">reduced </w:t>
      </w:r>
      <w:r w:rsidRPr="00A234EE">
        <w:rPr>
          <w:rFonts w:ascii="Book Antiqua" w:hAnsi="Book Antiqua"/>
          <w:sz w:val="24"/>
          <w:szCs w:val="24"/>
          <w:lang w:val="en-US"/>
        </w:rPr>
        <w:t xml:space="preserve">atherosclerotic plaque formation by preventing hyperlipidemia and inhibiting pro-inflammatory cytokine production in macrophages in a </w:t>
      </w:r>
      <w:r w:rsidR="00DA1E69" w:rsidRPr="00A234EE">
        <w:rPr>
          <w:rFonts w:ascii="Book Antiqua" w:hAnsi="Book Antiqua"/>
          <w:sz w:val="24"/>
          <w:szCs w:val="24"/>
          <w:lang w:val="en-US"/>
        </w:rPr>
        <w:t xml:space="preserve">mouse model of </w:t>
      </w:r>
      <w:r w:rsidRPr="00A234EE">
        <w:rPr>
          <w:rFonts w:ascii="Book Antiqua" w:hAnsi="Book Antiqua"/>
          <w:sz w:val="24"/>
          <w:szCs w:val="24"/>
          <w:lang w:val="en-US"/>
        </w:rPr>
        <w:t>hypercholesterolemi</w:t>
      </w:r>
      <w:r w:rsidR="00DA1E69" w:rsidRPr="00A234EE">
        <w:rPr>
          <w:rFonts w:ascii="Book Antiqua" w:hAnsi="Book Antiqua"/>
          <w:sz w:val="24"/>
          <w:szCs w:val="24"/>
          <w:lang w:val="en-US"/>
        </w:rPr>
        <w:t>a</w:t>
      </w:r>
      <w:r w:rsidR="00E04869" w:rsidRPr="00A234EE">
        <w:rPr>
          <w:rFonts w:ascii="Book Antiqua" w:hAnsi="Book Antiqua"/>
          <w:sz w:val="24"/>
          <w:szCs w:val="24"/>
          <w:vertAlign w:val="superscript"/>
          <w:lang w:val="en-US" w:eastAsia="zh-CN"/>
        </w:rPr>
        <w:t>[14]</w:t>
      </w:r>
      <w:r w:rsidRPr="00A234EE">
        <w:rPr>
          <w:rFonts w:ascii="Book Antiqua" w:hAnsi="Book Antiqua"/>
          <w:sz w:val="24"/>
          <w:szCs w:val="24"/>
          <w:lang w:val="en-US"/>
        </w:rPr>
        <w:t xml:space="preserve">. INT-767 </w:t>
      </w:r>
      <w:r w:rsidR="00DA1E69" w:rsidRPr="00A234EE">
        <w:rPr>
          <w:rFonts w:ascii="Book Antiqua" w:hAnsi="Book Antiqua"/>
          <w:sz w:val="24"/>
          <w:szCs w:val="24"/>
          <w:lang w:val="en-US"/>
        </w:rPr>
        <w:t xml:space="preserve">also </w:t>
      </w:r>
      <w:r w:rsidRPr="00A234EE">
        <w:rPr>
          <w:rFonts w:ascii="Book Antiqua" w:hAnsi="Book Antiqua"/>
          <w:sz w:val="24"/>
          <w:szCs w:val="24"/>
          <w:lang w:val="en-US"/>
        </w:rPr>
        <w:t>prevented proteinuria, podocyte injury, fibronectin accumulation and TGF-</w:t>
      </w:r>
      <w:r w:rsidR="005659DC" w:rsidRPr="00A234EE">
        <w:rPr>
          <w:rFonts w:ascii="Book Antiqua" w:hAnsi="Book Antiqua"/>
          <w:sz w:val="24"/>
          <w:szCs w:val="24"/>
          <w:lang w:val="en-US"/>
        </w:rPr>
        <w:t></w:t>
      </w:r>
      <w:r w:rsidRPr="00A234EE">
        <w:rPr>
          <w:rFonts w:ascii="Book Antiqua" w:hAnsi="Book Antiqua"/>
          <w:sz w:val="24"/>
          <w:szCs w:val="24"/>
          <w:lang w:val="en-US"/>
        </w:rPr>
        <w:t xml:space="preserve"> accumulation associated with age-related kidney disease</w:t>
      </w:r>
      <w:r w:rsidR="00E048A8" w:rsidRPr="00A234EE">
        <w:rPr>
          <w:rFonts w:ascii="Book Antiqua" w:hAnsi="Book Antiqua"/>
          <w:sz w:val="24"/>
          <w:szCs w:val="24"/>
          <w:vertAlign w:val="superscript"/>
          <w:lang w:val="en-US" w:eastAsia="zh-CN"/>
        </w:rPr>
        <w:t>[15]</w:t>
      </w:r>
      <w:r w:rsidRPr="00A234EE">
        <w:rPr>
          <w:rFonts w:ascii="Book Antiqua" w:hAnsi="Book Antiqua"/>
          <w:sz w:val="24"/>
          <w:szCs w:val="24"/>
          <w:lang w:val="en-US"/>
        </w:rPr>
        <w:t xml:space="preserve">. Most relevant to NASH was the </w:t>
      </w:r>
      <w:r w:rsidR="00E76092" w:rsidRPr="00A234EE">
        <w:rPr>
          <w:rFonts w:ascii="Book Antiqua" w:hAnsi="Book Antiqua"/>
          <w:sz w:val="24"/>
          <w:szCs w:val="24"/>
          <w:lang w:val="en-US"/>
        </w:rPr>
        <w:t>finding</w:t>
      </w:r>
      <w:r w:rsidRPr="00A234EE">
        <w:rPr>
          <w:rFonts w:ascii="Book Antiqua" w:hAnsi="Book Antiqua"/>
          <w:sz w:val="24"/>
          <w:szCs w:val="24"/>
          <w:lang w:val="en-US"/>
        </w:rPr>
        <w:t xml:space="preserve"> that</w:t>
      </w:r>
      <w:r w:rsidR="004348A1" w:rsidRPr="00A234EE">
        <w:rPr>
          <w:rFonts w:ascii="Book Antiqua" w:hAnsi="Book Antiqua"/>
          <w:sz w:val="24"/>
          <w:szCs w:val="24"/>
          <w:lang w:val="en-US"/>
        </w:rPr>
        <w:t xml:space="preserve"> INT-767</w:t>
      </w:r>
      <w:r w:rsidRPr="00A234EE">
        <w:rPr>
          <w:rFonts w:ascii="Book Antiqua" w:hAnsi="Book Antiqua"/>
          <w:sz w:val="24"/>
          <w:szCs w:val="24"/>
          <w:lang w:val="en-US"/>
        </w:rPr>
        <w:t xml:space="preserve"> treatment of obese </w:t>
      </w:r>
      <w:r w:rsidRPr="00A234EE">
        <w:rPr>
          <w:rFonts w:ascii="Book Antiqua" w:hAnsi="Book Antiqua"/>
          <w:i/>
          <w:iCs/>
          <w:sz w:val="24"/>
          <w:szCs w:val="24"/>
          <w:lang w:val="en-US"/>
        </w:rPr>
        <w:t>db/db</w:t>
      </w:r>
      <w:r w:rsidR="004348A1" w:rsidRPr="00A234EE">
        <w:rPr>
          <w:rFonts w:ascii="Book Antiqua" w:hAnsi="Book Antiqua"/>
          <w:sz w:val="24"/>
          <w:szCs w:val="24"/>
          <w:lang w:val="en-US"/>
        </w:rPr>
        <w:t xml:space="preserve"> mice with</w:t>
      </w:r>
      <w:r w:rsidRPr="00A234EE">
        <w:rPr>
          <w:rFonts w:ascii="Book Antiqua" w:hAnsi="Book Antiqua"/>
          <w:sz w:val="24"/>
          <w:szCs w:val="24"/>
          <w:lang w:val="en-US"/>
        </w:rPr>
        <w:t xml:space="preserve"> NAFLD improved </w:t>
      </w:r>
      <w:r w:rsidR="00DA1E69" w:rsidRPr="00A234EE">
        <w:rPr>
          <w:rFonts w:ascii="Book Antiqua" w:hAnsi="Book Antiqua"/>
          <w:sz w:val="24"/>
          <w:szCs w:val="24"/>
          <w:lang w:val="en-US"/>
        </w:rPr>
        <w:t xml:space="preserve">liver </w:t>
      </w:r>
      <w:r w:rsidRPr="00A234EE">
        <w:rPr>
          <w:rFonts w:ascii="Book Antiqua" w:hAnsi="Book Antiqua"/>
          <w:sz w:val="24"/>
          <w:szCs w:val="24"/>
          <w:lang w:val="en-US"/>
        </w:rPr>
        <w:t>histo</w:t>
      </w:r>
      <w:r w:rsidR="0001584E" w:rsidRPr="00A234EE">
        <w:rPr>
          <w:rFonts w:ascii="Book Antiqua" w:hAnsi="Book Antiqua"/>
          <w:sz w:val="24"/>
          <w:szCs w:val="24"/>
          <w:lang w:val="en-US"/>
        </w:rPr>
        <w:t>pathology</w:t>
      </w:r>
      <w:r w:rsidRPr="00A234EE">
        <w:rPr>
          <w:rFonts w:ascii="Book Antiqua" w:hAnsi="Book Antiqua"/>
          <w:sz w:val="24"/>
          <w:szCs w:val="24"/>
          <w:lang w:val="en-US"/>
        </w:rPr>
        <w:t>, and modulated intrahepatic macrophage populations to a less inflammatory phenotype</w:t>
      </w:r>
      <w:r w:rsidR="00E048A8" w:rsidRPr="00A234EE">
        <w:rPr>
          <w:rFonts w:ascii="Book Antiqua" w:hAnsi="Book Antiqua"/>
          <w:sz w:val="24"/>
          <w:szCs w:val="24"/>
          <w:vertAlign w:val="superscript"/>
          <w:lang w:val="en-US" w:eastAsia="zh-CN"/>
        </w:rPr>
        <w:t>[16]</w:t>
      </w:r>
      <w:r w:rsidRPr="00A234EE">
        <w:rPr>
          <w:rFonts w:ascii="Book Antiqua" w:hAnsi="Book Antiqua"/>
          <w:sz w:val="24"/>
          <w:szCs w:val="24"/>
          <w:lang w:val="en-US"/>
        </w:rPr>
        <w:t xml:space="preserve">. </w:t>
      </w:r>
    </w:p>
    <w:p w14:paraId="2D2AB270" w14:textId="516269FB" w:rsidR="005F69F1" w:rsidRPr="00A234EE" w:rsidRDefault="00E76092"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 xml:space="preserve">While </w:t>
      </w:r>
      <w:r w:rsidR="7E1455FE" w:rsidRPr="00A234EE">
        <w:rPr>
          <w:rFonts w:ascii="Book Antiqua" w:hAnsi="Book Antiqua"/>
          <w:sz w:val="24"/>
          <w:szCs w:val="24"/>
          <w:lang w:val="en-US"/>
        </w:rPr>
        <w:t>these result</w:t>
      </w:r>
      <w:r w:rsidR="00A52B3A" w:rsidRPr="00A234EE">
        <w:rPr>
          <w:rFonts w:ascii="Book Antiqua" w:hAnsi="Book Antiqua"/>
          <w:sz w:val="24"/>
          <w:szCs w:val="24"/>
          <w:lang w:val="en-US"/>
        </w:rPr>
        <w:t>s are encouraging, prior</w:t>
      </w:r>
      <w:r w:rsidR="7E1455FE" w:rsidRPr="00A234EE">
        <w:rPr>
          <w:rFonts w:ascii="Book Antiqua" w:hAnsi="Book Antiqua"/>
          <w:sz w:val="24"/>
          <w:szCs w:val="24"/>
          <w:lang w:val="en-US"/>
        </w:rPr>
        <w:t xml:space="preserve"> studies</w:t>
      </w:r>
      <w:r w:rsidR="00A52B3A" w:rsidRPr="00A234EE">
        <w:rPr>
          <w:rFonts w:ascii="Book Antiqua" w:hAnsi="Book Antiqua"/>
          <w:sz w:val="24"/>
          <w:szCs w:val="24"/>
          <w:lang w:val="en-US"/>
        </w:rPr>
        <w:t xml:space="preserve"> have not</w:t>
      </w:r>
      <w:r w:rsidR="7E1455FE" w:rsidRPr="00A234EE">
        <w:rPr>
          <w:rFonts w:ascii="Book Antiqua" w:hAnsi="Book Antiqua"/>
          <w:sz w:val="24"/>
          <w:szCs w:val="24"/>
          <w:lang w:val="en-US"/>
        </w:rPr>
        <w:t xml:space="preserve"> explicitly assessed the effects of INT-767 in mice with biopsy</w:t>
      </w:r>
      <w:r w:rsidR="0001584E" w:rsidRPr="00A234EE">
        <w:rPr>
          <w:rFonts w:ascii="Book Antiqua" w:hAnsi="Book Antiqua"/>
          <w:sz w:val="24"/>
          <w:szCs w:val="24"/>
          <w:lang w:val="en-US"/>
        </w:rPr>
        <w:t>-</w:t>
      </w:r>
      <w:r w:rsidR="7E1455FE" w:rsidRPr="00A234EE">
        <w:rPr>
          <w:rFonts w:ascii="Book Antiqua" w:hAnsi="Book Antiqua"/>
          <w:sz w:val="24"/>
          <w:szCs w:val="24"/>
          <w:lang w:val="en-US"/>
        </w:rPr>
        <w:t xml:space="preserve">confirmed histological features of NASH. </w:t>
      </w:r>
      <w:r w:rsidR="7E1455FE" w:rsidRPr="00A234EE">
        <w:rPr>
          <w:rFonts w:ascii="Book Antiqua" w:hAnsi="Book Antiqua"/>
          <w:i/>
          <w:iCs/>
          <w:sz w:val="24"/>
          <w:szCs w:val="24"/>
          <w:lang w:val="en-US"/>
        </w:rPr>
        <w:t>Lep</w:t>
      </w:r>
      <w:r w:rsidR="7E1455FE" w:rsidRPr="00A234EE">
        <w:rPr>
          <w:rFonts w:ascii="Book Antiqua" w:hAnsi="Book Antiqua"/>
          <w:i/>
          <w:iCs/>
          <w:sz w:val="24"/>
          <w:szCs w:val="24"/>
          <w:vertAlign w:val="superscript"/>
          <w:lang w:val="en-US"/>
        </w:rPr>
        <w:t>ob/ob</w:t>
      </w:r>
      <w:r w:rsidR="7E1455FE" w:rsidRPr="00A234EE">
        <w:rPr>
          <w:rFonts w:ascii="Book Antiqua" w:hAnsi="Book Antiqua"/>
          <w:sz w:val="24"/>
          <w:szCs w:val="24"/>
          <w:lang w:val="en-US"/>
        </w:rPr>
        <w:t xml:space="preserve"> </w:t>
      </w:r>
      <w:r w:rsidR="00195AAA" w:rsidRPr="00A234EE">
        <w:rPr>
          <w:rFonts w:ascii="Book Antiqua" w:hAnsi="Book Antiqua"/>
          <w:sz w:val="24"/>
          <w:szCs w:val="24"/>
          <w:lang w:val="en-US"/>
        </w:rPr>
        <w:t>(</w:t>
      </w:r>
      <w:r w:rsidR="00195AAA" w:rsidRPr="00A234EE">
        <w:rPr>
          <w:rFonts w:ascii="Book Antiqua" w:hAnsi="Book Antiqua"/>
          <w:i/>
          <w:iCs/>
          <w:sz w:val="24"/>
          <w:szCs w:val="24"/>
          <w:lang w:val="en-US"/>
        </w:rPr>
        <w:t>ob/ob</w:t>
      </w:r>
      <w:r w:rsidR="00195AAA" w:rsidRPr="00A234EE">
        <w:rPr>
          <w:rFonts w:ascii="Book Antiqua" w:hAnsi="Book Antiqua"/>
          <w:sz w:val="24"/>
          <w:szCs w:val="24"/>
          <w:lang w:val="en-US"/>
        </w:rPr>
        <w:t xml:space="preserve">) </w:t>
      </w:r>
      <w:r w:rsidR="7E1455FE" w:rsidRPr="00A234EE">
        <w:rPr>
          <w:rFonts w:ascii="Book Antiqua" w:hAnsi="Book Antiqua"/>
          <w:sz w:val="24"/>
          <w:szCs w:val="24"/>
          <w:lang w:val="en-US"/>
        </w:rPr>
        <w:t xml:space="preserve">mice have been shown to be consistently </w:t>
      </w:r>
      <w:r w:rsidR="00C555DE" w:rsidRPr="00A234EE">
        <w:rPr>
          <w:rFonts w:ascii="Book Antiqua" w:hAnsi="Book Antiqua"/>
          <w:sz w:val="24"/>
          <w:szCs w:val="24"/>
          <w:lang w:val="en-US"/>
        </w:rPr>
        <w:t xml:space="preserve">prone to </w:t>
      </w:r>
      <w:r w:rsidR="7E1455FE" w:rsidRPr="00A234EE">
        <w:rPr>
          <w:rFonts w:ascii="Book Antiqua" w:hAnsi="Book Antiqua"/>
          <w:sz w:val="24"/>
          <w:szCs w:val="24"/>
          <w:lang w:val="en-US"/>
        </w:rPr>
        <w:t>fibrosis when cholesterol (2%) and trans-fatty acids (45% of total fat amount) are added to a high-caloric diet (</w:t>
      </w:r>
      <w:r w:rsidR="00C375DD" w:rsidRPr="00A234EE">
        <w:rPr>
          <w:rFonts w:ascii="Book Antiqua" w:hAnsi="Book Antiqua"/>
          <w:i/>
          <w:sz w:val="24"/>
          <w:szCs w:val="24"/>
          <w:lang w:val="en-US"/>
        </w:rPr>
        <w:t>e.g.</w:t>
      </w:r>
      <w:r w:rsidR="7E1455FE" w:rsidRPr="00A234EE">
        <w:rPr>
          <w:rFonts w:ascii="Book Antiqua" w:hAnsi="Book Antiqua"/>
          <w:sz w:val="24"/>
          <w:szCs w:val="24"/>
          <w:lang w:val="en-US"/>
        </w:rPr>
        <w:t>, AMLN diet; Trevaskis, 2012; based on the American Lifestyle-Induced Obesity Syndrome mouse model developed by Tetri and colleagues</w:t>
      </w:r>
      <w:r w:rsidR="00E048A8" w:rsidRPr="00A234EE">
        <w:rPr>
          <w:rFonts w:ascii="Book Antiqua" w:hAnsi="Book Antiqua"/>
          <w:sz w:val="24"/>
          <w:szCs w:val="24"/>
          <w:vertAlign w:val="superscript"/>
          <w:lang w:val="en-US" w:eastAsia="zh-CN"/>
        </w:rPr>
        <w:t>[17]</w:t>
      </w:r>
      <w:r w:rsidR="7E1455FE" w:rsidRPr="00A234EE">
        <w:rPr>
          <w:rFonts w:ascii="Book Antiqua" w:hAnsi="Book Antiqua"/>
          <w:sz w:val="24"/>
          <w:szCs w:val="24"/>
          <w:lang w:val="en-US"/>
        </w:rPr>
        <w:t xml:space="preserve">). With reference to standard clinical practice, biopsy-confirmation procedures have successfully been applied to </w:t>
      </w:r>
      <w:r w:rsidR="00195AAA" w:rsidRPr="00A234EE">
        <w:rPr>
          <w:rFonts w:ascii="Book Antiqua" w:hAnsi="Book Antiqua"/>
          <w:i/>
          <w:iCs/>
          <w:sz w:val="24"/>
          <w:szCs w:val="24"/>
          <w:lang w:val="en-US"/>
        </w:rPr>
        <w:t>ob/ob</w:t>
      </w:r>
      <w:r w:rsidR="7E1455FE" w:rsidRPr="00A234EE">
        <w:rPr>
          <w:rFonts w:ascii="Book Antiqua" w:hAnsi="Book Antiqua"/>
          <w:sz w:val="24"/>
          <w:szCs w:val="24"/>
          <w:lang w:val="en-US"/>
        </w:rPr>
        <w:t xml:space="preserve"> mice fed the AMLN diet (hereafter referred to as </w:t>
      </w:r>
      <w:r w:rsidR="00195AAA" w:rsidRPr="00A234EE">
        <w:rPr>
          <w:rFonts w:ascii="Book Antiqua" w:hAnsi="Book Antiqua"/>
          <w:i/>
          <w:iCs/>
          <w:sz w:val="24"/>
          <w:szCs w:val="24"/>
          <w:lang w:val="en-US"/>
        </w:rPr>
        <w:t>ob/ob</w:t>
      </w:r>
      <w:r w:rsidR="00195AAA" w:rsidRPr="00A234EE">
        <w:rPr>
          <w:rFonts w:ascii="Book Antiqua" w:hAnsi="Book Antiqua"/>
          <w:sz w:val="24"/>
          <w:szCs w:val="24"/>
          <w:lang w:val="en-US"/>
        </w:rPr>
        <w:t xml:space="preserve">-NASH </w:t>
      </w:r>
      <w:r w:rsidR="7E1455FE" w:rsidRPr="00A234EE">
        <w:rPr>
          <w:rFonts w:ascii="Book Antiqua" w:hAnsi="Book Antiqua"/>
          <w:sz w:val="24"/>
          <w:szCs w:val="24"/>
          <w:lang w:val="en-US"/>
        </w:rPr>
        <w:t xml:space="preserve">mice) for staging of baseline liver pathology to equalize NASH severity in the experimental groups and </w:t>
      </w:r>
      <w:r w:rsidR="00DA1E69" w:rsidRPr="00A234EE">
        <w:rPr>
          <w:rFonts w:ascii="Book Antiqua" w:hAnsi="Book Antiqua"/>
          <w:sz w:val="24"/>
          <w:szCs w:val="24"/>
          <w:lang w:val="en-US"/>
        </w:rPr>
        <w:t>perform</w:t>
      </w:r>
      <w:r w:rsidR="7E1455FE" w:rsidRPr="00A234EE">
        <w:rPr>
          <w:rFonts w:ascii="Book Antiqua" w:hAnsi="Book Antiqua"/>
          <w:sz w:val="24"/>
          <w:szCs w:val="24"/>
          <w:lang w:val="en-US"/>
        </w:rPr>
        <w:t xml:space="preserve"> within-subject comparisons during the course of drug treatment</w:t>
      </w:r>
      <w:r w:rsidR="00E048A8" w:rsidRPr="00A234EE">
        <w:rPr>
          <w:rFonts w:ascii="Book Antiqua" w:hAnsi="Book Antiqua"/>
          <w:sz w:val="24"/>
          <w:szCs w:val="24"/>
          <w:vertAlign w:val="superscript"/>
          <w:lang w:val="en-US" w:eastAsia="zh-CN"/>
        </w:rPr>
        <w:t>[18,19]</w:t>
      </w:r>
      <w:r w:rsidR="7E1455FE" w:rsidRPr="00A234EE">
        <w:rPr>
          <w:rFonts w:ascii="Book Antiqua" w:hAnsi="Book Antiqua"/>
          <w:sz w:val="24"/>
          <w:szCs w:val="24"/>
          <w:lang w:val="en-US"/>
        </w:rPr>
        <w:t xml:space="preserve">. Thus, the present studies evaluated the efficacy of INT-767, administered for 8 </w:t>
      </w:r>
      <w:r w:rsidR="006513F8" w:rsidRPr="00A234EE">
        <w:rPr>
          <w:rFonts w:ascii="Book Antiqua" w:hAnsi="Book Antiqua"/>
          <w:sz w:val="24"/>
          <w:szCs w:val="24"/>
          <w:lang w:val="en-US"/>
        </w:rPr>
        <w:t>wk</w:t>
      </w:r>
      <w:r w:rsidR="7E1455FE" w:rsidRPr="00A234EE">
        <w:rPr>
          <w:rFonts w:ascii="Book Antiqua" w:hAnsi="Book Antiqua"/>
          <w:sz w:val="24"/>
          <w:szCs w:val="24"/>
          <w:lang w:val="en-US"/>
        </w:rPr>
        <w:t xml:space="preserve"> in </w:t>
      </w:r>
      <w:r w:rsidR="00195AAA" w:rsidRPr="00A234EE">
        <w:rPr>
          <w:rFonts w:ascii="Book Antiqua" w:hAnsi="Book Antiqua"/>
          <w:i/>
          <w:iCs/>
          <w:sz w:val="24"/>
          <w:szCs w:val="24"/>
          <w:lang w:val="en-US"/>
        </w:rPr>
        <w:t>ob/ob</w:t>
      </w:r>
      <w:r w:rsidR="00195AAA" w:rsidRPr="00A234EE">
        <w:rPr>
          <w:rFonts w:ascii="Book Antiqua" w:hAnsi="Book Antiqua"/>
          <w:sz w:val="24"/>
          <w:szCs w:val="24"/>
          <w:lang w:val="en-US"/>
        </w:rPr>
        <w:t>-NASH</w:t>
      </w:r>
      <w:r w:rsidR="00A52B3A" w:rsidRPr="00A234EE">
        <w:rPr>
          <w:rFonts w:ascii="Book Antiqua" w:hAnsi="Book Antiqua"/>
          <w:sz w:val="24"/>
          <w:szCs w:val="24"/>
          <w:lang w:val="en-US"/>
        </w:rPr>
        <w:t xml:space="preserve"> mice. Rigorous </w:t>
      </w:r>
      <w:r w:rsidR="7E1455FE" w:rsidRPr="00A234EE">
        <w:rPr>
          <w:rFonts w:ascii="Book Antiqua" w:hAnsi="Book Antiqua"/>
          <w:sz w:val="24"/>
          <w:szCs w:val="24"/>
          <w:lang w:val="en-US"/>
        </w:rPr>
        <w:t xml:space="preserve">analyses for NASH </w:t>
      </w:r>
      <w:r w:rsidR="0001584E" w:rsidRPr="00A234EE">
        <w:rPr>
          <w:rFonts w:ascii="Book Antiqua" w:hAnsi="Book Antiqua"/>
          <w:sz w:val="24"/>
          <w:szCs w:val="24"/>
          <w:lang w:val="en-US"/>
        </w:rPr>
        <w:t xml:space="preserve">histological </w:t>
      </w:r>
      <w:r w:rsidR="7E1455FE" w:rsidRPr="00A234EE">
        <w:rPr>
          <w:rFonts w:ascii="Book Antiqua" w:hAnsi="Book Antiqua"/>
          <w:sz w:val="24"/>
          <w:szCs w:val="24"/>
          <w:lang w:val="en-US"/>
        </w:rPr>
        <w:t xml:space="preserve">endpoints and markers were conducted including blinded </w:t>
      </w:r>
      <w:r w:rsidR="7E1455FE" w:rsidRPr="00A234EE">
        <w:rPr>
          <w:rFonts w:ascii="Book Antiqua" w:hAnsi="Book Antiqua"/>
          <w:sz w:val="24"/>
          <w:szCs w:val="24"/>
          <w:lang w:val="en-US"/>
        </w:rPr>
        <w:lastRenderedPageBreak/>
        <w:t xml:space="preserve">qualitative and quantitative scoring using standard microscopy as well as advanced morphometric fibrosis and steatosis features using second harmonic </w:t>
      </w:r>
      <w:r w:rsidR="00853B69" w:rsidRPr="00A234EE">
        <w:rPr>
          <w:rFonts w:ascii="Book Antiqua" w:hAnsi="Book Antiqua"/>
          <w:sz w:val="24"/>
          <w:szCs w:val="24"/>
          <w:lang w:val="en-US"/>
        </w:rPr>
        <w:t xml:space="preserve">generation </w:t>
      </w:r>
      <w:r w:rsidR="7E1455FE" w:rsidRPr="00A234EE">
        <w:rPr>
          <w:rFonts w:ascii="Book Antiqua" w:hAnsi="Book Antiqua"/>
          <w:sz w:val="24"/>
          <w:szCs w:val="24"/>
          <w:lang w:val="en-US"/>
        </w:rPr>
        <w:t xml:space="preserve">imaging and two-photon </w:t>
      </w:r>
      <w:r w:rsidR="00853B69" w:rsidRPr="00A234EE">
        <w:rPr>
          <w:rFonts w:ascii="Book Antiqua" w:hAnsi="Book Antiqua"/>
          <w:sz w:val="24"/>
          <w:szCs w:val="24"/>
          <w:lang w:val="en-US"/>
        </w:rPr>
        <w:t>fluorescence excitation</w:t>
      </w:r>
      <w:r w:rsidR="7E1455FE" w:rsidRPr="00A234EE">
        <w:rPr>
          <w:rFonts w:ascii="Book Antiqua" w:hAnsi="Book Antiqua"/>
          <w:sz w:val="24"/>
          <w:szCs w:val="24"/>
          <w:lang w:val="en-US"/>
        </w:rPr>
        <w:t xml:space="preserve"> (SHG/2</w:t>
      </w:r>
      <w:r w:rsidR="00DA1E69" w:rsidRPr="00A234EE">
        <w:rPr>
          <w:rFonts w:ascii="Book Antiqua" w:hAnsi="Book Antiqua"/>
          <w:sz w:val="24"/>
          <w:szCs w:val="24"/>
          <w:lang w:val="en-US"/>
        </w:rPr>
        <w:t>-</w:t>
      </w:r>
      <w:r w:rsidR="7E1455FE" w:rsidRPr="00A234EE">
        <w:rPr>
          <w:rFonts w:ascii="Book Antiqua" w:hAnsi="Book Antiqua"/>
          <w:sz w:val="24"/>
          <w:szCs w:val="24"/>
          <w:lang w:val="en-US"/>
        </w:rPr>
        <w:t xml:space="preserve">PE). The effects of INT-767 and </w:t>
      </w:r>
      <w:r w:rsidR="0069479F" w:rsidRPr="00A234EE">
        <w:rPr>
          <w:rFonts w:ascii="Book Antiqua" w:hAnsi="Book Antiqua"/>
          <w:sz w:val="24"/>
          <w:szCs w:val="24"/>
          <w:lang w:val="en-US"/>
        </w:rPr>
        <w:t xml:space="preserve">obeticholic acid </w:t>
      </w:r>
      <w:r w:rsidR="0069479F" w:rsidRPr="00A234EE">
        <w:rPr>
          <w:rFonts w:ascii="Book Antiqua" w:hAnsi="Book Antiqua"/>
          <w:sz w:val="24"/>
          <w:szCs w:val="24"/>
          <w:lang w:val="en-US" w:eastAsia="zh-CN"/>
        </w:rPr>
        <w:t>(</w:t>
      </w:r>
      <w:r w:rsidR="7E1455FE" w:rsidRPr="00A234EE">
        <w:rPr>
          <w:rFonts w:ascii="Book Antiqua" w:hAnsi="Book Antiqua"/>
          <w:sz w:val="24"/>
          <w:szCs w:val="24"/>
          <w:lang w:val="en-US"/>
        </w:rPr>
        <w:t>OCA</w:t>
      </w:r>
      <w:r w:rsidR="0069479F" w:rsidRPr="00A234EE">
        <w:rPr>
          <w:rFonts w:ascii="Book Antiqua" w:hAnsi="Book Antiqua"/>
          <w:sz w:val="24"/>
          <w:szCs w:val="24"/>
          <w:lang w:val="en-US" w:eastAsia="zh-CN"/>
        </w:rPr>
        <w:t>)</w:t>
      </w:r>
      <w:r w:rsidR="7E1455FE" w:rsidRPr="00A234EE">
        <w:rPr>
          <w:rFonts w:ascii="Book Antiqua" w:hAnsi="Book Antiqua"/>
          <w:sz w:val="24"/>
          <w:szCs w:val="24"/>
          <w:lang w:val="en-US"/>
        </w:rPr>
        <w:t xml:space="preserve"> were also compared in a longer-term (16 </w:t>
      </w:r>
      <w:r w:rsidR="00C375DD" w:rsidRPr="00A234EE">
        <w:rPr>
          <w:rFonts w:ascii="Book Antiqua" w:hAnsi="Book Antiqua"/>
          <w:sz w:val="24"/>
          <w:szCs w:val="24"/>
          <w:lang w:val="en-US"/>
        </w:rPr>
        <w:t>wk</w:t>
      </w:r>
      <w:r w:rsidR="7E1455FE" w:rsidRPr="00A234EE">
        <w:rPr>
          <w:rFonts w:ascii="Book Antiqua" w:hAnsi="Book Antiqua"/>
          <w:sz w:val="24"/>
          <w:szCs w:val="24"/>
          <w:lang w:val="en-US"/>
        </w:rPr>
        <w:t xml:space="preserve">) </w:t>
      </w:r>
      <w:r w:rsidR="00DA1E69" w:rsidRPr="00A234EE">
        <w:rPr>
          <w:rFonts w:ascii="Book Antiqua" w:hAnsi="Book Antiqua"/>
          <w:sz w:val="24"/>
          <w:szCs w:val="24"/>
          <w:lang w:val="en-US"/>
        </w:rPr>
        <w:t xml:space="preserve">head-to-head </w:t>
      </w:r>
      <w:r w:rsidR="7E1455FE" w:rsidRPr="00A234EE">
        <w:rPr>
          <w:rFonts w:ascii="Book Antiqua" w:hAnsi="Book Antiqua"/>
          <w:sz w:val="24"/>
          <w:szCs w:val="24"/>
          <w:lang w:val="en-US"/>
        </w:rPr>
        <w:t>study</w:t>
      </w:r>
      <w:r w:rsidR="0001584E" w:rsidRPr="00A234EE">
        <w:rPr>
          <w:rFonts w:ascii="Book Antiqua" w:hAnsi="Book Antiqua"/>
          <w:sz w:val="24"/>
          <w:szCs w:val="24"/>
          <w:lang w:val="en-US"/>
        </w:rPr>
        <w:t>, as well as</w:t>
      </w:r>
      <w:r w:rsidR="7E1455FE" w:rsidRPr="00A234EE">
        <w:rPr>
          <w:rFonts w:ascii="Book Antiqua" w:hAnsi="Book Antiqua"/>
          <w:sz w:val="24"/>
          <w:szCs w:val="24"/>
          <w:lang w:val="en-US"/>
        </w:rPr>
        <w:t xml:space="preserve"> in shorter studies (2 </w:t>
      </w:r>
      <w:r w:rsidR="006513F8" w:rsidRPr="00A234EE">
        <w:rPr>
          <w:rFonts w:ascii="Book Antiqua" w:hAnsi="Book Antiqua"/>
          <w:sz w:val="24"/>
          <w:szCs w:val="24"/>
          <w:lang w:val="en-US"/>
        </w:rPr>
        <w:t>wk</w:t>
      </w:r>
      <w:r w:rsidR="7E1455FE" w:rsidRPr="00A234EE">
        <w:rPr>
          <w:rFonts w:ascii="Book Antiqua" w:hAnsi="Book Antiqua"/>
          <w:sz w:val="24"/>
          <w:szCs w:val="24"/>
          <w:lang w:val="en-US"/>
        </w:rPr>
        <w:t>) comparing hepatic and ileal tissue drug concentration and gene expression profiles.</w:t>
      </w:r>
    </w:p>
    <w:p w14:paraId="76148297" w14:textId="77777777" w:rsidR="00A03F1C" w:rsidRPr="00A234EE" w:rsidRDefault="00A03F1C" w:rsidP="00A234EE">
      <w:pPr>
        <w:adjustRightInd w:val="0"/>
        <w:snapToGrid w:val="0"/>
        <w:spacing w:after="0" w:line="360" w:lineRule="auto"/>
        <w:jc w:val="both"/>
        <w:rPr>
          <w:rFonts w:ascii="Book Antiqua" w:hAnsi="Book Antiqua"/>
          <w:b/>
          <w:bCs/>
          <w:sz w:val="24"/>
          <w:szCs w:val="24"/>
          <w:lang w:val="en-US"/>
        </w:rPr>
      </w:pPr>
    </w:p>
    <w:p w14:paraId="2D2AB272" w14:textId="1EA8EB47" w:rsidR="005F69F1"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 xml:space="preserve">MATERIALS </w:t>
      </w:r>
      <w:r w:rsidR="00C375DD" w:rsidRPr="00A234EE">
        <w:rPr>
          <w:rFonts w:ascii="Book Antiqua" w:hAnsi="Book Antiqua"/>
          <w:b/>
          <w:bCs/>
          <w:sz w:val="24"/>
          <w:szCs w:val="24"/>
          <w:lang w:val="en-US" w:eastAsia="zh-CN"/>
        </w:rPr>
        <w:t>AND</w:t>
      </w:r>
      <w:r w:rsidRPr="00A234EE">
        <w:rPr>
          <w:rFonts w:ascii="Book Antiqua" w:hAnsi="Book Antiqua"/>
          <w:b/>
          <w:bCs/>
          <w:sz w:val="24"/>
          <w:szCs w:val="24"/>
          <w:lang w:val="en-US"/>
        </w:rPr>
        <w:t xml:space="preserve"> METHODS</w:t>
      </w:r>
    </w:p>
    <w:p w14:paraId="2D2AB273" w14:textId="77777777" w:rsidR="00A4608E"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Animals</w:t>
      </w:r>
    </w:p>
    <w:p w14:paraId="2D2AB274" w14:textId="21F22A22" w:rsidR="00672E6A" w:rsidRPr="00A234EE" w:rsidRDefault="7E1455F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All animal experiments </w:t>
      </w:r>
      <w:r w:rsidR="00904BAC" w:rsidRPr="00A234EE">
        <w:rPr>
          <w:rFonts w:ascii="Book Antiqua" w:hAnsi="Book Antiqua"/>
          <w:sz w:val="24"/>
          <w:szCs w:val="24"/>
          <w:lang w:val="en-US"/>
        </w:rPr>
        <w:t xml:space="preserve">conformed to the </w:t>
      </w:r>
      <w:r w:rsidRPr="00A234EE">
        <w:rPr>
          <w:rFonts w:ascii="Book Antiqua" w:hAnsi="Book Antiqua"/>
          <w:sz w:val="24"/>
          <w:szCs w:val="24"/>
          <w:lang w:val="en-US"/>
        </w:rPr>
        <w:t>internationally accepted principles for the care and use of laboratory animals (licen</w:t>
      </w:r>
      <w:r w:rsidR="00853B69" w:rsidRPr="00A234EE">
        <w:rPr>
          <w:rFonts w:ascii="Book Antiqua" w:hAnsi="Book Antiqua"/>
          <w:sz w:val="24"/>
          <w:szCs w:val="24"/>
          <w:lang w:val="en-US"/>
        </w:rPr>
        <w:t>s</w:t>
      </w:r>
      <w:r w:rsidRPr="00A234EE">
        <w:rPr>
          <w:rFonts w:ascii="Book Antiqua" w:hAnsi="Book Antiqua"/>
          <w:sz w:val="24"/>
          <w:szCs w:val="24"/>
          <w:lang w:val="en-US"/>
        </w:rPr>
        <w:t xml:space="preserve">e no. 2013-15-2934-00784, The Animal Experiments Inspectorate, Denmark). </w:t>
      </w:r>
      <w:r w:rsidR="00195AAA" w:rsidRPr="00A234EE">
        <w:rPr>
          <w:rFonts w:ascii="Book Antiqua" w:hAnsi="Book Antiqua"/>
          <w:sz w:val="24"/>
          <w:szCs w:val="24"/>
          <w:lang w:val="en-US"/>
        </w:rPr>
        <w:t xml:space="preserve">C57Bl6/J and </w:t>
      </w:r>
      <w:r w:rsidRPr="00A234EE">
        <w:rPr>
          <w:rFonts w:ascii="Book Antiqua" w:hAnsi="Book Antiqua"/>
          <w:sz w:val="24"/>
          <w:szCs w:val="24"/>
          <w:lang w:val="en-US"/>
        </w:rPr>
        <w:t>B6.V-Lep</w:t>
      </w:r>
      <w:r w:rsidRPr="00A234EE">
        <w:rPr>
          <w:rFonts w:ascii="Book Antiqua" w:hAnsi="Book Antiqua"/>
          <w:sz w:val="24"/>
          <w:szCs w:val="24"/>
          <w:vertAlign w:val="superscript"/>
          <w:lang w:val="en-US"/>
        </w:rPr>
        <w:t>ob</w:t>
      </w:r>
      <w:r w:rsidRPr="00A234EE">
        <w:rPr>
          <w:rFonts w:ascii="Book Antiqua" w:hAnsi="Book Antiqua"/>
          <w:sz w:val="24"/>
          <w:szCs w:val="24"/>
          <w:lang w:val="en-US"/>
        </w:rPr>
        <w:t>/JRj (</w:t>
      </w:r>
      <w:r w:rsidRPr="00A234EE">
        <w:rPr>
          <w:rFonts w:ascii="Book Antiqua" w:hAnsi="Book Antiqua"/>
          <w:i/>
          <w:iCs/>
          <w:sz w:val="24"/>
          <w:szCs w:val="24"/>
          <w:lang w:val="en-US"/>
        </w:rPr>
        <w:t>ob/ob</w:t>
      </w:r>
      <w:r w:rsidRPr="00A234EE">
        <w:rPr>
          <w:rFonts w:ascii="Book Antiqua" w:hAnsi="Book Antiqua"/>
          <w:sz w:val="24"/>
          <w:szCs w:val="24"/>
          <w:lang w:val="en-US"/>
        </w:rPr>
        <w:t xml:space="preserve">) mice (5-6 </w:t>
      </w:r>
      <w:r w:rsidR="006513F8" w:rsidRPr="00A234EE">
        <w:rPr>
          <w:rFonts w:ascii="Book Antiqua" w:hAnsi="Book Antiqua"/>
          <w:sz w:val="24"/>
          <w:szCs w:val="24"/>
          <w:lang w:val="en-US"/>
        </w:rPr>
        <w:t>wk</w:t>
      </w:r>
      <w:r w:rsidRPr="00A234EE">
        <w:rPr>
          <w:rFonts w:ascii="Book Antiqua" w:hAnsi="Book Antiqua"/>
          <w:sz w:val="24"/>
          <w:szCs w:val="24"/>
          <w:lang w:val="en-US"/>
        </w:rPr>
        <w:t>-old) were from Janvier Labs (Le Genest Saint Isle, France) and housed in a controlled environment (12</w:t>
      </w:r>
      <w:r w:rsidR="00C375DD" w:rsidRPr="00A234EE">
        <w:rPr>
          <w:rFonts w:ascii="Book Antiqua" w:hAnsi="Book Antiqua"/>
          <w:sz w:val="24"/>
          <w:szCs w:val="24"/>
          <w:lang w:val="en-US" w:eastAsia="zh-CN"/>
        </w:rPr>
        <w:t xml:space="preserve"> </w:t>
      </w:r>
      <w:r w:rsidRPr="00A234EE">
        <w:rPr>
          <w:rFonts w:ascii="Book Antiqua" w:hAnsi="Book Antiqua"/>
          <w:sz w:val="24"/>
          <w:szCs w:val="24"/>
          <w:lang w:val="en-US"/>
        </w:rPr>
        <w:t>h light/dark cycle, light on at 3 AM, 21</w:t>
      </w:r>
      <w:r w:rsidR="00C375DD" w:rsidRPr="00A234EE">
        <w:rPr>
          <w:rFonts w:ascii="Book Antiqua" w:hAnsi="Book Antiqua"/>
          <w:sz w:val="24"/>
          <w:szCs w:val="24"/>
          <w:lang w:val="en-US" w:eastAsia="zh-CN"/>
        </w:rPr>
        <w:t xml:space="preserve"> </w:t>
      </w:r>
      <w:r w:rsidRPr="00A234EE">
        <w:rPr>
          <w:rFonts w:ascii="Book Antiqua" w:hAnsi="Book Antiqua"/>
          <w:sz w:val="24"/>
          <w:szCs w:val="24"/>
          <w:lang w:val="en-US"/>
        </w:rPr>
        <w:t>°C ± 2</w:t>
      </w:r>
      <w:r w:rsidR="00C375DD" w:rsidRPr="00A234EE">
        <w:rPr>
          <w:rFonts w:ascii="Book Antiqua" w:hAnsi="Book Antiqua"/>
          <w:sz w:val="24"/>
          <w:szCs w:val="24"/>
          <w:lang w:val="en-US" w:eastAsia="zh-CN"/>
        </w:rPr>
        <w:t xml:space="preserve"> </w:t>
      </w:r>
      <w:r w:rsidRPr="00A234EE">
        <w:rPr>
          <w:rFonts w:ascii="Book Antiqua" w:hAnsi="Book Antiqua"/>
          <w:sz w:val="24"/>
          <w:szCs w:val="24"/>
          <w:lang w:val="en-US"/>
        </w:rPr>
        <w:t xml:space="preserve">°C, humidity 50 % ± 10 %). Each animal was identified by an implantable microchip (PetID Microchip, E-vet, Haderslev, Denmark). Mice had </w:t>
      </w:r>
      <w:r w:rsidRPr="00A234EE">
        <w:rPr>
          <w:rFonts w:ascii="Book Antiqua" w:hAnsi="Book Antiqua"/>
          <w:i/>
          <w:iCs/>
          <w:sz w:val="24"/>
          <w:szCs w:val="24"/>
          <w:lang w:val="en-US"/>
        </w:rPr>
        <w:t>ad libitum</w:t>
      </w:r>
      <w:r w:rsidRPr="00A234EE">
        <w:rPr>
          <w:rFonts w:ascii="Book Antiqua" w:hAnsi="Book Antiqua"/>
          <w:sz w:val="24"/>
          <w:szCs w:val="24"/>
          <w:lang w:val="en-US"/>
        </w:rPr>
        <w:t xml:space="preserve"> access to tap water and either regular rodent chow (</w:t>
      </w:r>
      <w:r w:rsidR="00195AAA" w:rsidRPr="00A234EE">
        <w:rPr>
          <w:rFonts w:ascii="Book Antiqua" w:hAnsi="Book Antiqua"/>
          <w:sz w:val="24"/>
          <w:szCs w:val="24"/>
          <w:lang w:val="en-US"/>
        </w:rPr>
        <w:t xml:space="preserve">C57Bl6/J mice, </w:t>
      </w:r>
      <w:r w:rsidRPr="00A234EE">
        <w:rPr>
          <w:rFonts w:ascii="Book Antiqua" w:hAnsi="Book Antiqua"/>
          <w:sz w:val="24"/>
          <w:szCs w:val="24"/>
          <w:lang w:val="en-US"/>
        </w:rPr>
        <w:t>Altromin 1324, Brogaarden, Hoersholm, Denmark), or a diet high in fat (</w:t>
      </w:r>
      <w:r w:rsidR="00195AAA" w:rsidRPr="00A234EE">
        <w:rPr>
          <w:rFonts w:ascii="Book Antiqua" w:hAnsi="Book Antiqua"/>
          <w:i/>
          <w:iCs/>
          <w:sz w:val="24"/>
          <w:szCs w:val="24"/>
          <w:lang w:val="en-US"/>
        </w:rPr>
        <w:t>ob/ob</w:t>
      </w:r>
      <w:r w:rsidR="00195AAA" w:rsidRPr="00A234EE">
        <w:rPr>
          <w:rFonts w:ascii="Book Antiqua" w:hAnsi="Book Antiqua"/>
          <w:sz w:val="24"/>
          <w:szCs w:val="24"/>
          <w:lang w:val="en-US"/>
        </w:rPr>
        <w:t xml:space="preserve"> mice, </w:t>
      </w:r>
      <w:r w:rsidRPr="00A234EE">
        <w:rPr>
          <w:rFonts w:ascii="Book Antiqua" w:hAnsi="Book Antiqua"/>
          <w:sz w:val="24"/>
          <w:szCs w:val="24"/>
          <w:lang w:val="en-US"/>
        </w:rPr>
        <w:t>40%, containing 18% trans-fat), 40% carbohydrates (20% fructose) and 2% cholesterol (AMLN diet; D09100301, Research Diets, New Brunswick, NJ)</w:t>
      </w:r>
      <w:r w:rsidR="00E048A8" w:rsidRPr="00A234EE">
        <w:rPr>
          <w:rFonts w:ascii="Book Antiqua" w:hAnsi="Book Antiqua"/>
          <w:sz w:val="24"/>
          <w:szCs w:val="24"/>
          <w:vertAlign w:val="superscript"/>
          <w:lang w:val="en-US" w:eastAsia="zh-CN"/>
        </w:rPr>
        <w:t>[19]</w:t>
      </w:r>
      <w:r w:rsidRPr="00A234EE">
        <w:rPr>
          <w:rFonts w:ascii="Book Antiqua" w:hAnsi="Book Antiqua"/>
          <w:sz w:val="24"/>
          <w:szCs w:val="24"/>
          <w:lang w:val="en-US"/>
        </w:rPr>
        <w:t>.</w:t>
      </w:r>
      <w:r w:rsidR="00195AAA" w:rsidRPr="00A234EE">
        <w:rPr>
          <w:rFonts w:ascii="Book Antiqua" w:hAnsi="Book Antiqua"/>
          <w:sz w:val="24"/>
          <w:szCs w:val="24"/>
          <w:lang w:val="en-US"/>
        </w:rPr>
        <w:t xml:space="preserve"> ob/ob m</w:t>
      </w:r>
      <w:r w:rsidRPr="00A234EE">
        <w:rPr>
          <w:rFonts w:ascii="Book Antiqua" w:hAnsi="Book Antiqua"/>
          <w:sz w:val="24"/>
          <w:szCs w:val="24"/>
          <w:lang w:val="en-US"/>
        </w:rPr>
        <w:t xml:space="preserve">ice </w:t>
      </w:r>
      <w:r w:rsidR="00195AAA" w:rsidRPr="00A234EE">
        <w:rPr>
          <w:rFonts w:ascii="Book Antiqua" w:hAnsi="Book Antiqua"/>
          <w:sz w:val="24"/>
          <w:szCs w:val="24"/>
          <w:lang w:val="en-US"/>
        </w:rPr>
        <w:t>(</w:t>
      </w:r>
      <w:r w:rsidR="00C375DD" w:rsidRPr="00A234EE">
        <w:rPr>
          <w:rFonts w:ascii="Book Antiqua" w:hAnsi="Book Antiqua"/>
          <w:i/>
          <w:sz w:val="24"/>
          <w:szCs w:val="24"/>
          <w:lang w:val="en-US"/>
        </w:rPr>
        <w:t xml:space="preserve">n = </w:t>
      </w:r>
      <w:r w:rsidR="00195AAA" w:rsidRPr="00A234EE">
        <w:rPr>
          <w:rFonts w:ascii="Book Antiqua" w:hAnsi="Book Antiqua"/>
          <w:sz w:val="24"/>
          <w:szCs w:val="24"/>
          <w:lang w:val="en-US"/>
        </w:rPr>
        <w:t xml:space="preserve">87) </w:t>
      </w:r>
      <w:r w:rsidRPr="00A234EE">
        <w:rPr>
          <w:rFonts w:ascii="Book Antiqua" w:hAnsi="Book Antiqua"/>
          <w:sz w:val="24"/>
          <w:szCs w:val="24"/>
          <w:lang w:val="en-US"/>
        </w:rPr>
        <w:t xml:space="preserve">were fed AMLN diet for 9 or 15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prior to treatment start</w:t>
      </w:r>
      <w:r w:rsidR="00377F03" w:rsidRPr="00A234EE">
        <w:rPr>
          <w:rFonts w:ascii="Book Antiqua" w:hAnsi="Book Antiqua"/>
          <w:sz w:val="24"/>
          <w:szCs w:val="24"/>
          <w:lang w:val="en-US"/>
        </w:rPr>
        <w:t xml:space="preserve"> and during drug treatment</w:t>
      </w:r>
      <w:r w:rsidRPr="00A234EE">
        <w:rPr>
          <w:rFonts w:ascii="Book Antiqua" w:hAnsi="Book Antiqua"/>
          <w:sz w:val="24"/>
          <w:szCs w:val="24"/>
          <w:lang w:val="en-US"/>
        </w:rPr>
        <w:t xml:space="preserve">. All </w:t>
      </w:r>
      <w:r w:rsidR="00195AAA" w:rsidRPr="00A234EE">
        <w:rPr>
          <w:rFonts w:ascii="Book Antiqua" w:hAnsi="Book Antiqua"/>
          <w:i/>
          <w:iCs/>
          <w:sz w:val="24"/>
          <w:szCs w:val="24"/>
          <w:lang w:val="en-US"/>
        </w:rPr>
        <w:t>ob/ob</w:t>
      </w:r>
      <w:r w:rsidR="00195AAA" w:rsidRPr="00A234EE">
        <w:rPr>
          <w:rFonts w:ascii="Book Antiqua" w:hAnsi="Book Antiqua"/>
          <w:sz w:val="24"/>
          <w:szCs w:val="24"/>
          <w:lang w:val="en-US"/>
        </w:rPr>
        <w:t xml:space="preserve"> </w:t>
      </w:r>
      <w:r w:rsidRPr="00A234EE">
        <w:rPr>
          <w:rFonts w:ascii="Book Antiqua" w:hAnsi="Book Antiqua"/>
          <w:sz w:val="24"/>
          <w:szCs w:val="24"/>
          <w:lang w:val="en-US"/>
        </w:rPr>
        <w:t>animals underwent liver biopsy</w:t>
      </w:r>
      <w:r w:rsidR="00195AAA" w:rsidRPr="00A234EE">
        <w:rPr>
          <w:rFonts w:ascii="Book Antiqua" w:hAnsi="Book Antiqua"/>
          <w:sz w:val="24"/>
          <w:szCs w:val="24"/>
          <w:lang w:val="en-US"/>
        </w:rPr>
        <w:t xml:space="preserve"> prior to treatment</w:t>
      </w:r>
      <w:r w:rsidRPr="00A234EE">
        <w:rPr>
          <w:rFonts w:ascii="Book Antiqua" w:hAnsi="Book Antiqua"/>
          <w:sz w:val="24"/>
          <w:szCs w:val="24"/>
          <w:lang w:val="en-US"/>
        </w:rPr>
        <w:t>, see below.</w:t>
      </w:r>
    </w:p>
    <w:p w14:paraId="2D2AB275" w14:textId="77777777" w:rsidR="00A14089" w:rsidRPr="00A234EE" w:rsidRDefault="00A14089" w:rsidP="00A234EE">
      <w:pPr>
        <w:adjustRightInd w:val="0"/>
        <w:snapToGrid w:val="0"/>
        <w:spacing w:after="0" w:line="360" w:lineRule="auto"/>
        <w:jc w:val="both"/>
        <w:rPr>
          <w:rFonts w:ascii="Book Antiqua" w:hAnsi="Book Antiqua"/>
          <w:sz w:val="24"/>
          <w:szCs w:val="24"/>
          <w:lang w:val="en-US"/>
        </w:rPr>
      </w:pPr>
    </w:p>
    <w:p w14:paraId="2D2AB276" w14:textId="77777777" w:rsidR="00A14089"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Baseline liver biopsy</w:t>
      </w:r>
    </w:p>
    <w:p w14:paraId="2D2AB277" w14:textId="010322CC" w:rsidR="009B7E15" w:rsidRPr="00A234EE" w:rsidRDefault="7E1455F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The biopsy procedure was applied to all mice approximately three weeks before completion of the dieting period, as de</w:t>
      </w:r>
      <w:r w:rsidR="00904BAC" w:rsidRPr="00A234EE">
        <w:rPr>
          <w:rFonts w:ascii="Book Antiqua" w:hAnsi="Book Antiqua"/>
          <w:sz w:val="24"/>
          <w:szCs w:val="24"/>
          <w:lang w:val="en-US"/>
        </w:rPr>
        <w:t xml:space="preserve">tailed </w:t>
      </w:r>
      <w:r w:rsidRPr="00A234EE">
        <w:rPr>
          <w:rFonts w:ascii="Book Antiqua" w:hAnsi="Book Antiqua"/>
          <w:sz w:val="24"/>
          <w:szCs w:val="24"/>
          <w:lang w:val="en-US"/>
        </w:rPr>
        <w:t>previously</w:t>
      </w:r>
      <w:r w:rsidR="00E048A8" w:rsidRPr="00A234EE">
        <w:rPr>
          <w:rFonts w:ascii="Book Antiqua" w:hAnsi="Book Antiqua"/>
          <w:sz w:val="24"/>
          <w:szCs w:val="24"/>
          <w:vertAlign w:val="superscript"/>
          <w:lang w:val="en-US" w:eastAsia="zh-CN"/>
        </w:rPr>
        <w:t>[19]</w:t>
      </w:r>
      <w:r w:rsidRPr="00A234EE">
        <w:rPr>
          <w:rFonts w:ascii="Book Antiqua" w:hAnsi="Book Antiqua"/>
          <w:sz w:val="24"/>
          <w:szCs w:val="24"/>
          <w:lang w:val="en-US"/>
        </w:rPr>
        <w:t xml:space="preserve">. In brief, </w:t>
      </w:r>
      <w:r w:rsidR="00A234EE" w:rsidRPr="00A234EE">
        <w:rPr>
          <w:rFonts w:ascii="Book Antiqua" w:hAnsi="Book Antiqua"/>
          <w:sz w:val="24"/>
          <w:szCs w:val="24"/>
          <w:lang w:val="en-US"/>
        </w:rPr>
        <w:t>m</w:t>
      </w:r>
      <w:r w:rsidRPr="00A234EE">
        <w:rPr>
          <w:rFonts w:ascii="Book Antiqua" w:hAnsi="Book Antiqua"/>
          <w:sz w:val="24"/>
          <w:szCs w:val="24"/>
          <w:lang w:val="en-US"/>
        </w:rPr>
        <w:t>ice were anesthetized with isoflurane, a small abdominal incision in the midline was made, and the left lateral lobe of the liver was exposed. A cone-shaped wedge of liver tissue (50-100 mg) was excised from the distal part of the lobe. The cut surface of the liver was closed by electrosurgical bipolar coagulation. The liver was returned to the abdominal cavity, the abdominal wall was sutured and skin stapled. Carprofen (Rimadyl®, 5 mg/</w:t>
      </w:r>
      <w:r w:rsidR="00C375DD" w:rsidRPr="00A234EE">
        <w:rPr>
          <w:rFonts w:ascii="Book Antiqua" w:hAnsi="Book Antiqua"/>
          <w:sz w:val="24"/>
          <w:szCs w:val="24"/>
          <w:lang w:val="en-US"/>
        </w:rPr>
        <w:t>mL</w:t>
      </w:r>
      <w:r w:rsidRPr="00A234EE">
        <w:rPr>
          <w:rFonts w:ascii="Book Antiqua" w:hAnsi="Book Antiqua"/>
          <w:sz w:val="24"/>
          <w:szCs w:val="24"/>
          <w:lang w:val="en-US"/>
        </w:rPr>
        <w:t xml:space="preserve">, 0.01 </w:t>
      </w:r>
      <w:r w:rsidR="00C375DD" w:rsidRPr="00A234EE">
        <w:rPr>
          <w:rFonts w:ascii="Book Antiqua" w:hAnsi="Book Antiqua"/>
          <w:sz w:val="24"/>
          <w:szCs w:val="24"/>
          <w:lang w:val="en-US"/>
        </w:rPr>
        <w:lastRenderedPageBreak/>
        <w:t>mL</w:t>
      </w:r>
      <w:r w:rsidRPr="00A234EE">
        <w:rPr>
          <w:rFonts w:ascii="Book Antiqua" w:hAnsi="Book Antiqua"/>
          <w:sz w:val="24"/>
          <w:szCs w:val="24"/>
          <w:lang w:val="en-US"/>
        </w:rPr>
        <w:t>/10 g; Pfizer, NY) and enrofloxazin (5 mg/</w:t>
      </w:r>
      <w:r w:rsidR="00C375DD" w:rsidRPr="00A234EE">
        <w:rPr>
          <w:rFonts w:ascii="Book Antiqua" w:hAnsi="Book Antiqua"/>
          <w:sz w:val="24"/>
          <w:szCs w:val="24"/>
          <w:lang w:val="en-US"/>
        </w:rPr>
        <w:t>mL</w:t>
      </w:r>
      <w:r w:rsidRPr="00A234EE">
        <w:rPr>
          <w:rFonts w:ascii="Book Antiqua" w:hAnsi="Book Antiqua"/>
          <w:sz w:val="24"/>
          <w:szCs w:val="24"/>
          <w:lang w:val="en-US"/>
        </w:rPr>
        <w:t xml:space="preserve">, 1 </w:t>
      </w:r>
      <w:r w:rsidR="00C375DD" w:rsidRPr="00A234EE">
        <w:rPr>
          <w:rFonts w:ascii="Book Antiqua" w:hAnsi="Book Antiqua"/>
          <w:sz w:val="24"/>
          <w:szCs w:val="24"/>
          <w:lang w:val="en-US"/>
        </w:rPr>
        <w:t>mL</w:t>
      </w:r>
      <w:r w:rsidRPr="00A234EE">
        <w:rPr>
          <w:rFonts w:ascii="Book Antiqua" w:hAnsi="Book Antiqua"/>
          <w:sz w:val="24"/>
          <w:szCs w:val="24"/>
          <w:lang w:val="en-US"/>
        </w:rPr>
        <w:t xml:space="preserve">/kg, </w:t>
      </w:r>
      <w:r w:rsidRPr="00A234EE">
        <w:rPr>
          <w:rFonts w:ascii="Book Antiqua" w:hAnsi="Book Antiqua"/>
          <w:i/>
          <w:sz w:val="24"/>
          <w:szCs w:val="24"/>
          <w:lang w:val="en-US"/>
        </w:rPr>
        <w:t>i.p.</w:t>
      </w:r>
      <w:r w:rsidRPr="00A234EE">
        <w:rPr>
          <w:rFonts w:ascii="Book Antiqua" w:hAnsi="Book Antiqua"/>
          <w:sz w:val="24"/>
          <w:szCs w:val="24"/>
          <w:lang w:val="en-US"/>
        </w:rPr>
        <w:t xml:space="preserve">) were administered at the time of surgery and at post-operative day one and two. Animals were single-housed after the procedure and recovered for three weeks prior to treatment. </w:t>
      </w:r>
    </w:p>
    <w:p w14:paraId="01B246DF" w14:textId="77777777" w:rsidR="00A03F1C" w:rsidRPr="00A234EE" w:rsidRDefault="00A03F1C" w:rsidP="00A234EE">
      <w:pPr>
        <w:adjustRightInd w:val="0"/>
        <w:snapToGrid w:val="0"/>
        <w:spacing w:after="0" w:line="360" w:lineRule="auto"/>
        <w:jc w:val="both"/>
        <w:rPr>
          <w:rFonts w:ascii="Book Antiqua" w:hAnsi="Book Antiqua"/>
          <w:i/>
          <w:iCs/>
          <w:sz w:val="24"/>
          <w:szCs w:val="24"/>
          <w:lang w:val="en-US"/>
        </w:rPr>
      </w:pPr>
    </w:p>
    <w:p w14:paraId="2D2AB278" w14:textId="26937312" w:rsidR="009B7E15"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Drug treatment</w:t>
      </w:r>
    </w:p>
    <w:p w14:paraId="2D2AB279" w14:textId="019A5E1F" w:rsidR="009B7E15" w:rsidRPr="00A234EE" w:rsidRDefault="00904BAC"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INT-767 and</w:t>
      </w:r>
      <w:r w:rsidR="0069479F" w:rsidRPr="00A234EE">
        <w:rPr>
          <w:rFonts w:ascii="Book Antiqua" w:hAnsi="Book Antiqua"/>
          <w:sz w:val="24"/>
          <w:szCs w:val="24"/>
          <w:lang w:val="en-US" w:eastAsia="zh-CN"/>
        </w:rPr>
        <w:t xml:space="preserve"> </w:t>
      </w:r>
      <w:r w:rsidR="7E1455FE" w:rsidRPr="00A234EE">
        <w:rPr>
          <w:rFonts w:ascii="Book Antiqua" w:hAnsi="Book Antiqua"/>
          <w:sz w:val="24"/>
          <w:szCs w:val="24"/>
          <w:lang w:val="en-US"/>
        </w:rPr>
        <w:t xml:space="preserve">OCA </w:t>
      </w:r>
      <w:r w:rsidR="00DC2D2E" w:rsidRPr="00A234EE">
        <w:rPr>
          <w:rFonts w:ascii="Book Antiqua" w:hAnsi="Book Antiqua"/>
          <w:sz w:val="24"/>
          <w:szCs w:val="24"/>
          <w:lang w:val="en-US"/>
        </w:rPr>
        <w:t>(</w:t>
      </w:r>
      <w:r w:rsidR="7E1455FE" w:rsidRPr="00A234EE">
        <w:rPr>
          <w:rFonts w:ascii="Book Antiqua" w:hAnsi="Book Antiqua"/>
          <w:sz w:val="24"/>
          <w:szCs w:val="24"/>
          <w:lang w:val="en-US"/>
        </w:rPr>
        <w:t>Intercept Pharmaceuticals</w:t>
      </w:r>
      <w:r w:rsidR="00DC2D2E" w:rsidRPr="00A234EE">
        <w:rPr>
          <w:rFonts w:ascii="Book Antiqua" w:hAnsi="Book Antiqua"/>
          <w:sz w:val="24"/>
          <w:szCs w:val="24"/>
          <w:lang w:val="en-US"/>
        </w:rPr>
        <w:t>,</w:t>
      </w:r>
      <w:r w:rsidRPr="00A234EE">
        <w:rPr>
          <w:rFonts w:ascii="Book Antiqua" w:hAnsi="Book Antiqua"/>
          <w:sz w:val="24"/>
          <w:szCs w:val="24"/>
          <w:lang w:val="en-US"/>
        </w:rPr>
        <w:t xml:space="preserve"> </w:t>
      </w:r>
      <w:r w:rsidR="7E1455FE" w:rsidRPr="00A234EE">
        <w:rPr>
          <w:rFonts w:ascii="Book Antiqua" w:hAnsi="Book Antiqua"/>
          <w:sz w:val="24"/>
          <w:szCs w:val="24"/>
          <w:lang w:val="en-US"/>
        </w:rPr>
        <w:t xml:space="preserve">New York, NY), dissolved in 0.5% carboxymethyl cellulose, and </w:t>
      </w:r>
      <w:r w:rsidR="000E3464" w:rsidRPr="00A234EE">
        <w:rPr>
          <w:rFonts w:ascii="Book Antiqua" w:hAnsi="Book Antiqua"/>
          <w:sz w:val="24"/>
          <w:szCs w:val="24"/>
          <w:lang w:val="en-US"/>
        </w:rPr>
        <w:t xml:space="preserve">orally </w:t>
      </w:r>
      <w:r w:rsidR="7E1455FE" w:rsidRPr="00A234EE">
        <w:rPr>
          <w:rFonts w:ascii="Book Antiqua" w:hAnsi="Book Antiqua"/>
          <w:sz w:val="24"/>
          <w:szCs w:val="24"/>
          <w:lang w:val="en-US"/>
        </w:rPr>
        <w:t xml:space="preserve">administered in a dosing volume of 5 </w:t>
      </w:r>
      <w:r w:rsidR="00C375DD" w:rsidRPr="00A234EE">
        <w:rPr>
          <w:rFonts w:ascii="Book Antiqua" w:hAnsi="Book Antiqua"/>
          <w:sz w:val="24"/>
          <w:szCs w:val="24"/>
          <w:lang w:val="en-US"/>
        </w:rPr>
        <w:t>mL</w:t>
      </w:r>
      <w:r w:rsidR="7E1455FE" w:rsidRPr="00A234EE">
        <w:rPr>
          <w:rFonts w:ascii="Book Antiqua" w:hAnsi="Book Antiqua"/>
          <w:sz w:val="24"/>
          <w:szCs w:val="24"/>
          <w:lang w:val="en-US"/>
        </w:rPr>
        <w:t>/kg. Animals were stratified (</w:t>
      </w:r>
      <w:r w:rsidR="00C375DD" w:rsidRPr="00A234EE">
        <w:rPr>
          <w:rFonts w:ascii="Book Antiqua" w:hAnsi="Book Antiqua"/>
          <w:i/>
          <w:sz w:val="24"/>
          <w:szCs w:val="24"/>
          <w:lang w:val="en-US"/>
        </w:rPr>
        <w:t xml:space="preserve">n = </w:t>
      </w:r>
      <w:r w:rsidR="7E1455FE" w:rsidRPr="00A234EE">
        <w:rPr>
          <w:rFonts w:ascii="Book Antiqua" w:hAnsi="Book Antiqua"/>
          <w:sz w:val="24"/>
          <w:szCs w:val="24"/>
          <w:lang w:val="en-US"/>
        </w:rPr>
        <w:t xml:space="preserve">11-12 per group) based on mean fibrosis </w:t>
      </w:r>
      <w:r w:rsidRPr="00A234EE">
        <w:rPr>
          <w:rFonts w:ascii="Book Antiqua" w:hAnsi="Book Antiqua"/>
          <w:sz w:val="24"/>
          <w:szCs w:val="24"/>
          <w:lang w:val="en-US"/>
        </w:rPr>
        <w:t>as assessed by collagen 1a1 staining.</w:t>
      </w:r>
      <w:r w:rsidR="7E1455FE" w:rsidRPr="00A234EE">
        <w:rPr>
          <w:rFonts w:ascii="Book Antiqua" w:hAnsi="Book Antiqua"/>
          <w:sz w:val="24"/>
          <w:szCs w:val="24"/>
          <w:lang w:val="en-US"/>
        </w:rPr>
        <w:t xml:space="preserve"> </w:t>
      </w:r>
      <w:r w:rsidR="000E3464" w:rsidRPr="00A234EE">
        <w:rPr>
          <w:rFonts w:ascii="Book Antiqua" w:hAnsi="Book Antiqua"/>
          <w:sz w:val="24"/>
          <w:szCs w:val="24"/>
          <w:lang w:val="en-US"/>
        </w:rPr>
        <w:t xml:space="preserve">In one study, after 15 </w:t>
      </w:r>
      <w:r w:rsidR="006513F8" w:rsidRPr="00A234EE">
        <w:rPr>
          <w:rFonts w:ascii="Book Antiqua" w:hAnsi="Book Antiqua"/>
          <w:sz w:val="24"/>
          <w:szCs w:val="24"/>
          <w:lang w:val="en-US"/>
        </w:rPr>
        <w:t>wk</w:t>
      </w:r>
      <w:r w:rsidR="000E3464" w:rsidRPr="00A234EE">
        <w:rPr>
          <w:rFonts w:ascii="Book Antiqua" w:hAnsi="Book Antiqua"/>
          <w:sz w:val="24"/>
          <w:szCs w:val="24"/>
          <w:lang w:val="en-US"/>
        </w:rPr>
        <w:t xml:space="preserve"> on diet mice were treated with INT-767 (3.0 or 10 mg/kg) for 8 </w:t>
      </w:r>
      <w:r w:rsidR="006513F8" w:rsidRPr="00A234EE">
        <w:rPr>
          <w:rFonts w:ascii="Book Antiqua" w:hAnsi="Book Antiqua"/>
          <w:sz w:val="24"/>
          <w:szCs w:val="24"/>
          <w:lang w:val="en-US"/>
        </w:rPr>
        <w:t>wk</w:t>
      </w:r>
      <w:r w:rsidR="000E3464" w:rsidRPr="00A234EE">
        <w:rPr>
          <w:rFonts w:ascii="Book Antiqua" w:hAnsi="Book Antiqua"/>
          <w:sz w:val="24"/>
          <w:szCs w:val="24"/>
          <w:lang w:val="en-US"/>
        </w:rPr>
        <w:t xml:space="preserve">. In a second study, after 9 </w:t>
      </w:r>
      <w:r w:rsidR="006513F8" w:rsidRPr="00A234EE">
        <w:rPr>
          <w:rFonts w:ascii="Book Antiqua" w:hAnsi="Book Antiqua"/>
          <w:sz w:val="24"/>
          <w:szCs w:val="24"/>
          <w:lang w:val="en-US"/>
        </w:rPr>
        <w:t>wk</w:t>
      </w:r>
      <w:r w:rsidR="000E3464" w:rsidRPr="00A234EE">
        <w:rPr>
          <w:rFonts w:ascii="Book Antiqua" w:hAnsi="Book Antiqua"/>
          <w:sz w:val="24"/>
          <w:szCs w:val="24"/>
          <w:lang w:val="en-US"/>
        </w:rPr>
        <w:t xml:space="preserve"> on diet mice were treated with </w:t>
      </w:r>
      <w:r w:rsidR="7E1455FE" w:rsidRPr="00A234EE">
        <w:rPr>
          <w:rFonts w:ascii="Book Antiqua" w:hAnsi="Book Antiqua"/>
          <w:sz w:val="24"/>
          <w:szCs w:val="24"/>
          <w:lang w:val="en-US"/>
        </w:rPr>
        <w:t>either vehicle, INT-767 (3.0 or 10 mg/kg), or OCA (10 or 30 mg/kg)</w:t>
      </w:r>
      <w:r w:rsidR="000E3464" w:rsidRPr="00A234EE">
        <w:rPr>
          <w:rFonts w:ascii="Book Antiqua" w:hAnsi="Book Antiqua"/>
          <w:sz w:val="24"/>
          <w:szCs w:val="24"/>
          <w:lang w:val="en-US"/>
        </w:rPr>
        <w:t xml:space="preserve"> for 16 </w:t>
      </w:r>
      <w:r w:rsidR="006513F8" w:rsidRPr="00A234EE">
        <w:rPr>
          <w:rFonts w:ascii="Book Antiqua" w:hAnsi="Book Antiqua"/>
          <w:sz w:val="24"/>
          <w:szCs w:val="24"/>
          <w:lang w:val="en-US"/>
        </w:rPr>
        <w:t>wk</w:t>
      </w:r>
      <w:r w:rsidR="7E1455FE" w:rsidRPr="00A234EE">
        <w:rPr>
          <w:rFonts w:ascii="Book Antiqua" w:hAnsi="Book Antiqua"/>
          <w:sz w:val="24"/>
          <w:szCs w:val="24"/>
          <w:lang w:val="en-US"/>
        </w:rPr>
        <w:t xml:space="preserve">. </w:t>
      </w:r>
      <w:bookmarkStart w:id="34" w:name="_Hlk498938770"/>
      <w:bookmarkStart w:id="35" w:name="_Hlk499042656"/>
      <w:r w:rsidR="00096BFF" w:rsidRPr="00A234EE">
        <w:rPr>
          <w:rFonts w:ascii="Book Antiqua" w:hAnsi="Book Antiqua"/>
          <w:sz w:val="24"/>
          <w:szCs w:val="24"/>
          <w:lang w:val="en-US"/>
        </w:rPr>
        <w:t xml:space="preserve">A longer duration of administration was selected for this second study to (a) examine the durability of INT-767 NASH histological improvements, and (b) because </w:t>
      </w:r>
      <w:r w:rsidR="00290502" w:rsidRPr="00A234EE">
        <w:rPr>
          <w:rFonts w:ascii="Book Antiqua" w:hAnsi="Book Antiqua"/>
          <w:sz w:val="24"/>
          <w:szCs w:val="24"/>
          <w:lang w:val="en-US"/>
        </w:rPr>
        <w:t xml:space="preserve">in our experience </w:t>
      </w:r>
      <w:r w:rsidR="00096BFF" w:rsidRPr="00A234EE">
        <w:rPr>
          <w:rFonts w:ascii="Book Antiqua" w:hAnsi="Book Antiqua"/>
          <w:sz w:val="24"/>
          <w:szCs w:val="24"/>
          <w:lang w:val="en-US"/>
        </w:rPr>
        <w:t>OCA requires extended dosing (</w:t>
      </w:r>
      <w:r w:rsidR="00C375DD" w:rsidRPr="00A234EE">
        <w:rPr>
          <w:rFonts w:ascii="Book Antiqua" w:hAnsi="Book Antiqua"/>
          <w:i/>
          <w:sz w:val="24"/>
          <w:szCs w:val="24"/>
          <w:lang w:val="en-US"/>
        </w:rPr>
        <w:t>e.g.</w:t>
      </w:r>
      <w:r w:rsidR="00096BFF" w:rsidRPr="00A234EE">
        <w:rPr>
          <w:rFonts w:ascii="Book Antiqua" w:hAnsi="Book Antiqua"/>
          <w:sz w:val="24"/>
          <w:szCs w:val="24"/>
          <w:lang w:val="en-US"/>
        </w:rPr>
        <w:t xml:space="preserve">, at least 12 </w:t>
      </w:r>
      <w:r w:rsidR="006513F8" w:rsidRPr="00A234EE">
        <w:rPr>
          <w:rFonts w:ascii="Book Antiqua" w:hAnsi="Book Antiqua"/>
          <w:sz w:val="24"/>
          <w:szCs w:val="24"/>
          <w:lang w:val="en-US"/>
        </w:rPr>
        <w:t>wk</w:t>
      </w:r>
      <w:r w:rsidR="00096BFF" w:rsidRPr="00A234EE">
        <w:rPr>
          <w:rFonts w:ascii="Book Antiqua" w:hAnsi="Book Antiqua"/>
          <w:sz w:val="24"/>
          <w:szCs w:val="24"/>
          <w:lang w:val="en-US"/>
        </w:rPr>
        <w:t xml:space="preserve"> at 10-30 mg/kg) to elicit histological </w:t>
      </w:r>
      <w:r w:rsidR="00290502" w:rsidRPr="00A234EE">
        <w:rPr>
          <w:rFonts w:ascii="Book Antiqua" w:hAnsi="Book Antiqua"/>
          <w:sz w:val="24"/>
          <w:szCs w:val="24"/>
          <w:lang w:val="en-US"/>
        </w:rPr>
        <w:t xml:space="preserve">anti-fibrotic </w:t>
      </w:r>
      <w:r w:rsidR="00096BFF" w:rsidRPr="00A234EE">
        <w:rPr>
          <w:rFonts w:ascii="Book Antiqua" w:hAnsi="Book Antiqua"/>
          <w:sz w:val="24"/>
          <w:szCs w:val="24"/>
          <w:lang w:val="en-US"/>
        </w:rPr>
        <w:t>responses (data on file</w:t>
      </w:r>
      <w:r w:rsidR="008F26E7" w:rsidRPr="00A234EE">
        <w:rPr>
          <w:rFonts w:ascii="Book Antiqua" w:hAnsi="Book Antiqua"/>
          <w:sz w:val="24"/>
          <w:szCs w:val="24"/>
          <w:lang w:val="en-US"/>
        </w:rPr>
        <w:t>)</w:t>
      </w:r>
      <w:r w:rsidR="00096BFF" w:rsidRPr="00A234EE">
        <w:rPr>
          <w:rFonts w:ascii="Book Antiqua" w:hAnsi="Book Antiqua"/>
          <w:sz w:val="24"/>
          <w:szCs w:val="24"/>
          <w:lang w:val="en-US"/>
        </w:rPr>
        <w:t xml:space="preserve"> and</w:t>
      </w:r>
      <w:r w:rsidR="00290502" w:rsidRPr="00A234EE">
        <w:rPr>
          <w:rFonts w:ascii="Book Antiqua" w:hAnsi="Book Antiqua"/>
          <w:sz w:val="24"/>
          <w:szCs w:val="24"/>
          <w:lang w:val="en-US"/>
        </w:rPr>
        <w:t xml:space="preserve"> shorter </w:t>
      </w:r>
      <w:r w:rsidR="008F26E7" w:rsidRPr="00A234EE">
        <w:rPr>
          <w:rFonts w:ascii="Book Antiqua" w:hAnsi="Book Antiqua"/>
          <w:sz w:val="24"/>
          <w:szCs w:val="24"/>
          <w:lang w:val="en-US"/>
        </w:rPr>
        <w:t>treatment periods</w:t>
      </w:r>
      <w:r w:rsidR="00290502" w:rsidRPr="00A234EE">
        <w:rPr>
          <w:rFonts w:ascii="Book Antiqua" w:hAnsi="Book Antiqua"/>
          <w:sz w:val="24"/>
          <w:szCs w:val="24"/>
          <w:lang w:val="en-US"/>
        </w:rPr>
        <w:t xml:space="preserve"> </w:t>
      </w:r>
      <w:r w:rsidR="00443505" w:rsidRPr="00A234EE">
        <w:rPr>
          <w:rFonts w:ascii="Book Antiqua" w:hAnsi="Book Antiqua"/>
          <w:sz w:val="24"/>
          <w:szCs w:val="24"/>
          <w:lang w:val="en-US"/>
        </w:rPr>
        <w:t>with</w:t>
      </w:r>
      <w:r w:rsidR="008F26E7" w:rsidRPr="00A234EE">
        <w:rPr>
          <w:rFonts w:ascii="Book Antiqua" w:hAnsi="Book Antiqua"/>
          <w:sz w:val="24"/>
          <w:szCs w:val="24"/>
          <w:lang w:val="en-US"/>
        </w:rPr>
        <w:t xml:space="preserve"> OCA </w:t>
      </w:r>
      <w:r w:rsidR="00290502" w:rsidRPr="00A234EE">
        <w:rPr>
          <w:rFonts w:ascii="Book Antiqua" w:hAnsi="Book Antiqua"/>
          <w:sz w:val="24"/>
          <w:szCs w:val="24"/>
          <w:lang w:val="en-US"/>
        </w:rPr>
        <w:t>are not always sufficient</w:t>
      </w:r>
      <w:r w:rsidR="008F26E7" w:rsidRPr="00A234EE">
        <w:rPr>
          <w:rFonts w:ascii="Book Antiqua" w:hAnsi="Book Antiqua"/>
          <w:sz w:val="24"/>
          <w:szCs w:val="24"/>
          <w:lang w:val="en-US"/>
        </w:rPr>
        <w:t xml:space="preserve"> to promote antifibrotic effects</w:t>
      </w:r>
      <w:r w:rsidR="00096BFF" w:rsidRPr="00A234EE">
        <w:rPr>
          <w:rFonts w:ascii="Book Antiqua" w:hAnsi="Book Antiqua"/>
          <w:sz w:val="24"/>
          <w:szCs w:val="24"/>
          <w:lang w:val="en-US"/>
        </w:rPr>
        <w:t xml:space="preserve"> </w:t>
      </w:r>
      <w:r w:rsidR="008F26E7" w:rsidRPr="00A234EE">
        <w:rPr>
          <w:rFonts w:ascii="Book Antiqua" w:hAnsi="Book Antiqua"/>
          <w:sz w:val="24"/>
          <w:szCs w:val="24"/>
          <w:lang w:val="en-US"/>
        </w:rPr>
        <w:t xml:space="preserve">in </w:t>
      </w:r>
      <w:r w:rsidR="008F26E7" w:rsidRPr="00A234EE">
        <w:rPr>
          <w:rFonts w:ascii="Book Antiqua" w:hAnsi="Book Antiqua"/>
          <w:i/>
          <w:iCs/>
          <w:sz w:val="24"/>
          <w:szCs w:val="24"/>
          <w:lang w:val="en-US"/>
        </w:rPr>
        <w:t>ob/ob</w:t>
      </w:r>
      <w:r w:rsidR="008F26E7" w:rsidRPr="00A234EE">
        <w:rPr>
          <w:rFonts w:ascii="Book Antiqua" w:hAnsi="Book Antiqua"/>
          <w:sz w:val="24"/>
          <w:szCs w:val="24"/>
          <w:lang w:val="en-US"/>
        </w:rPr>
        <w:t>-NASH mice</w:t>
      </w:r>
      <w:r w:rsidR="00C375DD" w:rsidRPr="00A234EE">
        <w:rPr>
          <w:rFonts w:ascii="Book Antiqua" w:hAnsi="Book Antiqua"/>
          <w:sz w:val="24"/>
          <w:szCs w:val="24"/>
          <w:vertAlign w:val="superscript"/>
          <w:lang w:val="en-US" w:eastAsia="zh-CN"/>
        </w:rPr>
        <w:t>[20]</w:t>
      </w:r>
      <w:r w:rsidR="00096BFF" w:rsidRPr="00A234EE">
        <w:rPr>
          <w:rFonts w:ascii="Book Antiqua" w:hAnsi="Book Antiqua"/>
          <w:sz w:val="24"/>
          <w:szCs w:val="24"/>
          <w:lang w:val="en-US"/>
        </w:rPr>
        <w:t>.</w:t>
      </w:r>
      <w:bookmarkEnd w:id="34"/>
      <w:r w:rsidR="00096BFF" w:rsidRPr="00A234EE">
        <w:rPr>
          <w:rFonts w:ascii="Book Antiqua" w:hAnsi="Book Antiqua"/>
          <w:sz w:val="24"/>
          <w:szCs w:val="24"/>
          <w:lang w:val="en-US"/>
        </w:rPr>
        <w:t xml:space="preserve"> </w:t>
      </w:r>
      <w:bookmarkEnd w:id="35"/>
      <w:r w:rsidR="0029455C" w:rsidRPr="00A234EE">
        <w:rPr>
          <w:rFonts w:ascii="Book Antiqua" w:hAnsi="Book Antiqua"/>
          <w:sz w:val="24"/>
          <w:szCs w:val="24"/>
          <w:lang w:val="en-US"/>
        </w:rPr>
        <w:t>For analysis of liver and intestinal compound levels, as well as hepatic gene expression, lean C57Bl6 mice received INT-767 (1-3-10</w:t>
      </w:r>
      <w:r w:rsidR="00752127" w:rsidRPr="00A234EE">
        <w:rPr>
          <w:rFonts w:ascii="Book Antiqua" w:hAnsi="Book Antiqua"/>
          <w:sz w:val="24"/>
          <w:szCs w:val="24"/>
          <w:lang w:val="en-US"/>
        </w:rPr>
        <w:t>-30</w:t>
      </w:r>
      <w:r w:rsidR="0029455C" w:rsidRPr="00A234EE">
        <w:rPr>
          <w:rFonts w:ascii="Book Antiqua" w:hAnsi="Book Antiqua"/>
          <w:sz w:val="24"/>
          <w:szCs w:val="24"/>
          <w:lang w:val="en-US"/>
        </w:rPr>
        <w:t xml:space="preserve"> mg/kg, PO, QD) or OCA (</w:t>
      </w:r>
      <w:r w:rsidR="00752127" w:rsidRPr="00A234EE">
        <w:rPr>
          <w:rFonts w:ascii="Book Antiqua" w:hAnsi="Book Antiqua"/>
          <w:sz w:val="24"/>
          <w:szCs w:val="24"/>
          <w:lang w:val="en-US"/>
        </w:rPr>
        <w:t>1-</w:t>
      </w:r>
      <w:r w:rsidR="0029455C" w:rsidRPr="00A234EE">
        <w:rPr>
          <w:rFonts w:ascii="Book Antiqua" w:hAnsi="Book Antiqua"/>
          <w:sz w:val="24"/>
          <w:szCs w:val="24"/>
          <w:lang w:val="en-US"/>
        </w:rPr>
        <w:t xml:space="preserve">3-10-30 mg/kg, PO, QD) for 14 </w:t>
      </w:r>
      <w:r w:rsidR="00C375DD" w:rsidRPr="00A234EE">
        <w:rPr>
          <w:rFonts w:ascii="Book Antiqua" w:hAnsi="Book Antiqua"/>
          <w:sz w:val="24"/>
          <w:szCs w:val="24"/>
          <w:lang w:val="en-US"/>
        </w:rPr>
        <w:t>d</w:t>
      </w:r>
      <w:r w:rsidR="0029455C" w:rsidRPr="00A234EE">
        <w:rPr>
          <w:rFonts w:ascii="Book Antiqua" w:hAnsi="Book Antiqua"/>
          <w:sz w:val="24"/>
          <w:szCs w:val="24"/>
          <w:lang w:val="en-US"/>
        </w:rPr>
        <w:t>.</w:t>
      </w:r>
    </w:p>
    <w:p w14:paraId="2D2AB27A" w14:textId="77777777" w:rsidR="00672E6A" w:rsidRPr="00A234EE" w:rsidRDefault="00672E6A" w:rsidP="00A234EE">
      <w:pPr>
        <w:adjustRightInd w:val="0"/>
        <w:snapToGrid w:val="0"/>
        <w:spacing w:after="0" w:line="360" w:lineRule="auto"/>
        <w:jc w:val="both"/>
        <w:rPr>
          <w:rFonts w:ascii="Book Antiqua" w:hAnsi="Book Antiqua"/>
          <w:sz w:val="24"/>
          <w:szCs w:val="24"/>
          <w:lang w:val="en-US"/>
        </w:rPr>
      </w:pPr>
    </w:p>
    <w:p w14:paraId="2D2AB27B" w14:textId="77777777" w:rsidR="00A14089"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Body weight and body composition analysis</w:t>
      </w:r>
    </w:p>
    <w:p w14:paraId="2D2AB27C" w14:textId="705A8D86" w:rsidR="00A14089"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Body weight was monitored once daily during the intervention period. Whole-body fat mass was analyzed at baseline (week -1) and week 8 of the intervention period by non-invasive EchoMRI scanning using EchoMRI-900 (EchoMRI, United States)..</w:t>
      </w:r>
    </w:p>
    <w:p w14:paraId="2D2AB27D" w14:textId="77777777" w:rsidR="009B7E15" w:rsidRPr="00A234EE" w:rsidRDefault="009B7E15" w:rsidP="00A234EE">
      <w:pPr>
        <w:adjustRightInd w:val="0"/>
        <w:snapToGrid w:val="0"/>
        <w:spacing w:after="0" w:line="360" w:lineRule="auto"/>
        <w:jc w:val="both"/>
        <w:rPr>
          <w:rFonts w:ascii="Book Antiqua" w:hAnsi="Book Antiqua"/>
          <w:sz w:val="24"/>
          <w:szCs w:val="24"/>
          <w:lang w:val="en-US"/>
        </w:rPr>
      </w:pPr>
    </w:p>
    <w:p w14:paraId="2D2AB27E" w14:textId="77777777" w:rsidR="000F3470"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Plasma and liver biochemistry</w:t>
      </w:r>
    </w:p>
    <w:p w14:paraId="2D2AB27F" w14:textId="3FC5654F" w:rsidR="000F3470" w:rsidRPr="00A234EE" w:rsidRDefault="00CB16F6"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Plasma and liver biochemistry was assessed according to methods described in detail previously</w:t>
      </w:r>
      <w:r w:rsidRPr="00A234EE">
        <w:rPr>
          <w:rFonts w:ascii="Book Antiqua" w:hAnsi="Book Antiqua"/>
          <w:sz w:val="24"/>
          <w:szCs w:val="24"/>
          <w:vertAlign w:val="superscript"/>
          <w:lang w:val="en-US" w:eastAsia="zh-CN"/>
        </w:rPr>
        <w:t>[19].</w:t>
      </w:r>
      <w:r w:rsidRPr="00A234EE">
        <w:rPr>
          <w:rFonts w:ascii="Book Antiqua" w:hAnsi="Book Antiqua"/>
          <w:sz w:val="24"/>
          <w:szCs w:val="24"/>
          <w:lang w:val="en-US" w:eastAsia="zh-CN"/>
        </w:rPr>
        <w:t xml:space="preserve"> Baseline and terminal blood samples from non-fasted mice were assayed for blood glucose levels as well as plasma concentrations of </w:t>
      </w:r>
      <w:r w:rsidRPr="00A234EE">
        <w:rPr>
          <w:rFonts w:ascii="Book Antiqua" w:hAnsi="Book Antiqua"/>
          <w:sz w:val="24"/>
          <w:szCs w:val="24"/>
          <w:lang w:val="en-US"/>
        </w:rPr>
        <w:t>alanine aminotransferase (ALT), aspartate aminotransferase (AST), triglycerides (TG), total cholesterol (TC), and insulin.</w:t>
      </w:r>
      <w:r w:rsidRPr="00A234EE">
        <w:rPr>
          <w:rFonts w:ascii="Book Antiqua" w:hAnsi="Book Antiqua"/>
          <w:sz w:val="24"/>
          <w:szCs w:val="24"/>
          <w:lang w:val="en-US" w:eastAsia="zh-CN"/>
        </w:rPr>
        <w:t xml:space="preserve"> </w:t>
      </w:r>
      <w:r w:rsidRPr="00A234EE">
        <w:rPr>
          <w:rFonts w:ascii="Book Antiqua" w:hAnsi="Book Antiqua"/>
          <w:sz w:val="24"/>
          <w:szCs w:val="24"/>
          <w:lang w:val="en-US"/>
        </w:rPr>
        <w:t xml:space="preserve">Terminal liver samples (about 100 mg) were analyzed for TG and TC content. </w:t>
      </w:r>
    </w:p>
    <w:p w14:paraId="2D2AB280" w14:textId="77777777" w:rsidR="00F71C00" w:rsidRPr="00A234EE" w:rsidRDefault="00F71C00" w:rsidP="00A234EE">
      <w:pPr>
        <w:adjustRightInd w:val="0"/>
        <w:snapToGrid w:val="0"/>
        <w:spacing w:after="0" w:line="360" w:lineRule="auto"/>
        <w:jc w:val="both"/>
        <w:rPr>
          <w:rFonts w:ascii="Book Antiqua" w:hAnsi="Book Antiqua"/>
          <w:sz w:val="24"/>
          <w:szCs w:val="24"/>
          <w:lang w:val="en-US"/>
        </w:rPr>
      </w:pPr>
    </w:p>
    <w:p w14:paraId="2D2AB281" w14:textId="77777777" w:rsidR="00F71C00"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Oral glucose tolerance test</w:t>
      </w:r>
    </w:p>
    <w:p w14:paraId="2D2AB282" w14:textId="4BE9B48F" w:rsidR="00F71C00"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An oral glucose tolerance test (OGTT) was performed</w:t>
      </w:r>
      <w:r w:rsidR="00CB16F6" w:rsidRPr="00A234EE">
        <w:rPr>
          <w:rFonts w:ascii="Book Antiqua" w:hAnsi="Book Antiqua"/>
          <w:sz w:val="24"/>
          <w:szCs w:val="24"/>
          <w:lang w:val="en-US"/>
        </w:rPr>
        <w:t xml:space="preserve"> in week 4 of the treatment period</w:t>
      </w:r>
      <w:r w:rsidRPr="00A234EE">
        <w:rPr>
          <w:rFonts w:ascii="Book Antiqua" w:hAnsi="Book Antiqua"/>
          <w:sz w:val="24"/>
          <w:szCs w:val="24"/>
          <w:lang w:val="en-US"/>
        </w:rPr>
        <w:t xml:space="preserve"> </w:t>
      </w:r>
      <w:r w:rsidR="00CB16F6" w:rsidRPr="00A234EE">
        <w:rPr>
          <w:rFonts w:ascii="Book Antiqua" w:hAnsi="Book Antiqua"/>
          <w:sz w:val="24"/>
          <w:szCs w:val="24"/>
          <w:lang w:val="en-US"/>
        </w:rPr>
        <w:t>according to previously reported procedures</w:t>
      </w:r>
      <w:r w:rsidR="00CB16F6" w:rsidRPr="00A234EE">
        <w:rPr>
          <w:rFonts w:ascii="Book Antiqua" w:hAnsi="Book Antiqua"/>
          <w:sz w:val="24"/>
          <w:szCs w:val="24"/>
          <w:vertAlign w:val="superscript"/>
          <w:lang w:val="en-US" w:eastAsia="zh-CN"/>
        </w:rPr>
        <w:t>[19]</w:t>
      </w:r>
      <w:r w:rsidRPr="00A234EE">
        <w:rPr>
          <w:rFonts w:ascii="Book Antiqua" w:hAnsi="Book Antiqua"/>
          <w:sz w:val="24"/>
          <w:szCs w:val="24"/>
          <w:lang w:val="en-US"/>
        </w:rPr>
        <w:t xml:space="preserve">. </w:t>
      </w:r>
      <w:r w:rsidR="006507CD" w:rsidRPr="00A234EE">
        <w:rPr>
          <w:rFonts w:ascii="Book Antiqua" w:hAnsi="Book Antiqua"/>
          <w:sz w:val="24"/>
          <w:szCs w:val="24"/>
          <w:lang w:val="en-US"/>
        </w:rPr>
        <w:t>In brief, a</w:t>
      </w:r>
      <w:r w:rsidRPr="00A234EE">
        <w:rPr>
          <w:rFonts w:ascii="Book Antiqua" w:hAnsi="Book Antiqua"/>
          <w:sz w:val="24"/>
          <w:szCs w:val="24"/>
          <w:lang w:val="en-US"/>
        </w:rPr>
        <w:t xml:space="preserve">nimals were fasted for 4 h prior to </w:t>
      </w:r>
      <w:r w:rsidR="006507CD" w:rsidRPr="00A234EE">
        <w:rPr>
          <w:rFonts w:ascii="Book Antiqua" w:hAnsi="Book Antiqua"/>
          <w:sz w:val="24"/>
          <w:szCs w:val="24"/>
          <w:lang w:val="en-US"/>
        </w:rPr>
        <w:t xml:space="preserve">the </w:t>
      </w:r>
      <w:r w:rsidRPr="00A234EE">
        <w:rPr>
          <w:rFonts w:ascii="Book Antiqua" w:hAnsi="Book Antiqua"/>
          <w:sz w:val="24"/>
          <w:szCs w:val="24"/>
          <w:lang w:val="en-US"/>
        </w:rPr>
        <w:t>OGTT. At t = 0 an oral glucose load (2 g</w:t>
      </w:r>
      <w:r w:rsidR="006507CD" w:rsidRPr="00A234EE">
        <w:rPr>
          <w:rFonts w:ascii="Book Antiqua" w:hAnsi="Book Antiqua"/>
          <w:sz w:val="24"/>
          <w:szCs w:val="24"/>
          <w:lang w:val="en-US"/>
        </w:rPr>
        <w:t xml:space="preserve"> glucose</w:t>
      </w:r>
      <w:r w:rsidRPr="00A234EE">
        <w:rPr>
          <w:rFonts w:ascii="Book Antiqua" w:hAnsi="Book Antiqua"/>
          <w:sz w:val="24"/>
          <w:szCs w:val="24"/>
          <w:lang w:val="en-US"/>
        </w:rPr>
        <w:t xml:space="preserve">/kg) was administered via oral gavage. </w:t>
      </w:r>
      <w:r w:rsidR="006507CD" w:rsidRPr="00A234EE">
        <w:rPr>
          <w:rFonts w:ascii="Book Antiqua" w:hAnsi="Book Antiqua"/>
          <w:sz w:val="24"/>
          <w:szCs w:val="24"/>
          <w:lang w:val="en-US"/>
        </w:rPr>
        <w:t>Succesive b</w:t>
      </w:r>
      <w:r w:rsidRPr="00A234EE">
        <w:rPr>
          <w:rFonts w:ascii="Book Antiqua" w:hAnsi="Book Antiqua"/>
          <w:sz w:val="24"/>
          <w:szCs w:val="24"/>
          <w:lang w:val="en-US"/>
        </w:rPr>
        <w:t>lood samples for measuring blood glucose (BG) were collected from the tail vein at t=0, 15, 30, 60 and 120 min. Glucose area</w:t>
      </w:r>
      <w:r w:rsidR="006507CD" w:rsidRPr="00A234EE">
        <w:rPr>
          <w:rFonts w:ascii="Book Antiqua" w:hAnsi="Book Antiqua"/>
          <w:sz w:val="24"/>
          <w:szCs w:val="24"/>
          <w:lang w:val="en-US"/>
        </w:rPr>
        <w:t>-</w:t>
      </w:r>
      <w:r w:rsidRPr="00A234EE">
        <w:rPr>
          <w:rFonts w:ascii="Book Antiqua" w:hAnsi="Book Antiqua"/>
          <w:sz w:val="24"/>
          <w:szCs w:val="24"/>
          <w:lang w:val="en-US"/>
        </w:rPr>
        <w:t>under</w:t>
      </w:r>
      <w:r w:rsidR="006507CD" w:rsidRPr="00A234EE">
        <w:rPr>
          <w:rFonts w:ascii="Book Antiqua" w:hAnsi="Book Antiqua"/>
          <w:sz w:val="24"/>
          <w:szCs w:val="24"/>
          <w:lang w:val="en-US"/>
        </w:rPr>
        <w:t>-</w:t>
      </w:r>
      <w:r w:rsidRPr="00A234EE">
        <w:rPr>
          <w:rFonts w:ascii="Book Antiqua" w:hAnsi="Book Antiqua"/>
          <w:sz w:val="24"/>
          <w:szCs w:val="24"/>
          <w:lang w:val="en-US"/>
        </w:rPr>
        <w:t>the</w:t>
      </w:r>
      <w:r w:rsidR="006507CD" w:rsidRPr="00A234EE">
        <w:rPr>
          <w:rFonts w:ascii="Book Antiqua" w:hAnsi="Book Antiqua"/>
          <w:sz w:val="24"/>
          <w:szCs w:val="24"/>
          <w:lang w:val="en-US"/>
        </w:rPr>
        <w:t>-</w:t>
      </w:r>
      <w:r w:rsidRPr="00A234EE">
        <w:rPr>
          <w:rFonts w:ascii="Book Antiqua" w:hAnsi="Book Antiqua"/>
          <w:sz w:val="24"/>
          <w:szCs w:val="24"/>
          <w:lang w:val="en-US"/>
        </w:rPr>
        <w:t>curve (AUC) w</w:t>
      </w:r>
      <w:r w:rsidR="006507CD" w:rsidRPr="00A234EE">
        <w:rPr>
          <w:rFonts w:ascii="Book Antiqua" w:hAnsi="Book Antiqua"/>
          <w:sz w:val="24"/>
          <w:szCs w:val="24"/>
          <w:lang w:val="en-US"/>
        </w:rPr>
        <w:t>as</w:t>
      </w:r>
      <w:r w:rsidRPr="00A234EE">
        <w:rPr>
          <w:rFonts w:ascii="Book Antiqua" w:hAnsi="Book Antiqua"/>
          <w:sz w:val="24"/>
          <w:szCs w:val="24"/>
          <w:lang w:val="en-US"/>
        </w:rPr>
        <w:t xml:space="preserve"> determined from the sampling period of 0 to 120 min. </w:t>
      </w:r>
    </w:p>
    <w:p w14:paraId="2D2AB283" w14:textId="77777777" w:rsidR="003778D6" w:rsidRPr="00A234EE" w:rsidRDefault="003778D6" w:rsidP="00A234EE">
      <w:pPr>
        <w:adjustRightInd w:val="0"/>
        <w:snapToGrid w:val="0"/>
        <w:spacing w:after="0" w:line="360" w:lineRule="auto"/>
        <w:jc w:val="both"/>
        <w:rPr>
          <w:rFonts w:ascii="Book Antiqua" w:hAnsi="Book Antiqua"/>
          <w:sz w:val="24"/>
          <w:szCs w:val="24"/>
          <w:lang w:val="en-US"/>
        </w:rPr>
      </w:pPr>
    </w:p>
    <w:p w14:paraId="2D2AB284" w14:textId="77777777" w:rsidR="003778D6"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Liver histology and digital image analysis</w:t>
      </w:r>
    </w:p>
    <w:p w14:paraId="2D2AB285" w14:textId="6E193F3E" w:rsidR="0059221C" w:rsidRPr="00A234EE" w:rsidRDefault="7E1455FE" w:rsidP="00A234EE">
      <w:pPr>
        <w:adjustRightInd w:val="0"/>
        <w:snapToGrid w:val="0"/>
        <w:spacing w:after="0" w:line="360" w:lineRule="auto"/>
        <w:jc w:val="both"/>
        <w:rPr>
          <w:rFonts w:ascii="Book Antiqua" w:hAnsi="Book Antiqua"/>
          <w:i/>
          <w:iCs/>
          <w:sz w:val="24"/>
          <w:szCs w:val="24"/>
          <w:lang w:val="en-US"/>
        </w:rPr>
      </w:pPr>
      <w:r w:rsidRPr="00A234EE">
        <w:rPr>
          <w:rFonts w:ascii="Book Antiqua" w:hAnsi="Book Antiqua"/>
          <w:sz w:val="24"/>
          <w:szCs w:val="24"/>
          <w:lang w:val="en-US"/>
        </w:rPr>
        <w:t>Baseline liver biopsy and terminal samples (both from the left lateral lobe) were fixed overnight in 4% paraformaldehyde. Liver tissue was paraffin-embedded and sectioned (3 µm thickness). Sections were stained with hematoxylin-eosin (HE), PicroSirius Red (PSR, Sigma-Aldrich, Broendby, Denmark), anti-type I collagen (Col1a1; cat. 1310-01, Southern Biotech, Birmingham, AL), anti-galectin-3 (cat. 125402, Biolegend, San Diego, CA), or anti-laminin (cat. Z0097, Agilent Technologies, Glostrup, Denmark) using standard procedures</w:t>
      </w:r>
      <w:r w:rsidR="00E048A8" w:rsidRPr="00A234EE">
        <w:rPr>
          <w:rFonts w:ascii="Book Antiqua" w:hAnsi="Book Antiqua"/>
          <w:sz w:val="24"/>
          <w:szCs w:val="24"/>
          <w:vertAlign w:val="superscript"/>
          <w:lang w:val="en-US" w:eastAsia="zh-CN"/>
        </w:rPr>
        <w:t>[19]</w:t>
      </w:r>
      <w:r w:rsidR="00AF4386" w:rsidRPr="00A234EE">
        <w:rPr>
          <w:rFonts w:ascii="Book Antiqua" w:hAnsi="Book Antiqua"/>
          <w:sz w:val="24"/>
          <w:szCs w:val="24"/>
          <w:lang w:val="en-US"/>
        </w:rPr>
        <w:t>.</w:t>
      </w:r>
      <w:r w:rsidRPr="00A234EE">
        <w:rPr>
          <w:rFonts w:ascii="Book Antiqua" w:hAnsi="Book Antiqua"/>
          <w:color w:val="FF0000"/>
          <w:sz w:val="24"/>
          <w:szCs w:val="24"/>
          <w:lang w:val="en-US"/>
        </w:rPr>
        <w:t xml:space="preserve"> </w:t>
      </w:r>
      <w:r w:rsidRPr="00A234EE">
        <w:rPr>
          <w:rFonts w:ascii="Book Antiqua" w:hAnsi="Book Antiqua"/>
          <w:sz w:val="24"/>
          <w:szCs w:val="24"/>
          <w:lang w:val="en-US"/>
        </w:rPr>
        <w:t>The NAFLD activity score (NAS) and fibrosis staging system was applied for scoring of steatosis (score 0-3), lobular inflammation (score 0-3), hepatocyte ballooning (score 0-2), and fibrosis (stage 0-4)</w:t>
      </w:r>
      <w:r w:rsidR="00E048A8" w:rsidRPr="00A234EE">
        <w:rPr>
          <w:rFonts w:ascii="Book Antiqua" w:hAnsi="Book Antiqua"/>
          <w:sz w:val="24"/>
          <w:szCs w:val="24"/>
          <w:vertAlign w:val="superscript"/>
          <w:lang w:val="en-US" w:eastAsia="zh-CN"/>
        </w:rPr>
        <w:t>[21]</w:t>
      </w:r>
      <w:r w:rsidRPr="00A234EE">
        <w:rPr>
          <w:rFonts w:ascii="Book Antiqua" w:hAnsi="Book Antiqua"/>
          <w:sz w:val="24"/>
          <w:szCs w:val="24"/>
          <w:lang w:val="en-US"/>
        </w:rPr>
        <w:t>. Mice with fibrosis stage ≥</w:t>
      </w:r>
      <w:r w:rsidR="00C375DD" w:rsidRPr="00A234EE">
        <w:rPr>
          <w:rFonts w:ascii="Book Antiqua" w:hAnsi="Book Antiqua"/>
          <w:sz w:val="24"/>
          <w:szCs w:val="24"/>
          <w:lang w:val="en-US" w:eastAsia="zh-CN"/>
        </w:rPr>
        <w:t xml:space="preserve"> </w:t>
      </w:r>
      <w:r w:rsidRPr="00A234EE">
        <w:rPr>
          <w:rFonts w:ascii="Book Antiqua" w:hAnsi="Book Antiqua"/>
          <w:sz w:val="24"/>
          <w:szCs w:val="24"/>
          <w:lang w:val="en-US"/>
        </w:rPr>
        <w:t>1 and steatosis score ≥</w:t>
      </w:r>
      <w:r w:rsidR="00C375DD" w:rsidRPr="00A234EE">
        <w:rPr>
          <w:rFonts w:ascii="Book Antiqua" w:hAnsi="Book Antiqua"/>
          <w:sz w:val="24"/>
          <w:szCs w:val="24"/>
          <w:lang w:val="en-US" w:eastAsia="zh-CN"/>
        </w:rPr>
        <w:t xml:space="preserve"> </w:t>
      </w:r>
      <w:r w:rsidR="00853B69" w:rsidRPr="00A234EE">
        <w:rPr>
          <w:rFonts w:ascii="Book Antiqua" w:hAnsi="Book Antiqua"/>
          <w:sz w:val="24"/>
          <w:szCs w:val="24"/>
          <w:lang w:val="en-US"/>
        </w:rPr>
        <w:t>2</w:t>
      </w:r>
      <w:r w:rsidRPr="00A234EE">
        <w:rPr>
          <w:rFonts w:ascii="Book Antiqua" w:hAnsi="Book Antiqua"/>
          <w:sz w:val="24"/>
          <w:szCs w:val="24"/>
          <w:lang w:val="en-US"/>
        </w:rPr>
        <w:t xml:space="preserve"> were included in the study. Liver sections stained for fat (HE),</w:t>
      </w:r>
      <w:r w:rsidR="00151D3D" w:rsidRPr="00A234EE">
        <w:rPr>
          <w:rFonts w:ascii="Book Antiqua" w:hAnsi="Book Antiqua"/>
          <w:sz w:val="24"/>
          <w:szCs w:val="24"/>
          <w:lang w:val="en-US"/>
        </w:rPr>
        <w:t xml:space="preserve"> Col1a1, galectin-3 and laminin </w:t>
      </w:r>
      <w:r w:rsidR="004934CE" w:rsidRPr="00A234EE">
        <w:rPr>
          <w:rFonts w:ascii="Book Antiqua" w:hAnsi="Book Antiqua"/>
          <w:sz w:val="24"/>
          <w:szCs w:val="24"/>
          <w:lang w:val="en-US"/>
        </w:rPr>
        <w:t xml:space="preserve">were </w:t>
      </w:r>
      <w:r w:rsidR="00151D3D" w:rsidRPr="00A234EE">
        <w:rPr>
          <w:rFonts w:ascii="Book Antiqua" w:hAnsi="Book Antiqua"/>
          <w:sz w:val="24"/>
          <w:szCs w:val="24"/>
          <w:lang w:val="en-US"/>
        </w:rPr>
        <w:t>analyzed</w:t>
      </w:r>
      <w:r w:rsidRPr="00A234EE">
        <w:rPr>
          <w:rFonts w:ascii="Book Antiqua" w:hAnsi="Book Antiqua"/>
          <w:sz w:val="24"/>
          <w:szCs w:val="24"/>
          <w:lang w:val="en-US"/>
        </w:rPr>
        <w:t xml:space="preserve"> using digital imaging software (Visiomorph®, Visiopharm, Hørsholm, Denmark). Immunoreactive fractional area was expressed relative (%) to total parenchymal area by subtracting corresponding fat area determined on adjacent HE-sections. </w:t>
      </w:r>
      <w:r w:rsidR="00853B69" w:rsidRPr="00A234EE">
        <w:rPr>
          <w:rFonts w:ascii="Book Antiqua" w:hAnsi="Book Antiqua"/>
          <w:sz w:val="24"/>
          <w:szCs w:val="24"/>
          <w:lang w:val="en-US"/>
        </w:rPr>
        <w:t>In addition, deparaffinized and unstained tissue sections of similar thickness where imaged by second harmonic generation (SHG, label free, specific to collagens I and III, in transmission at 780nm) and concurrently by 2-photon fluorescence excitation (2-PE at 780</w:t>
      </w:r>
      <w:r w:rsidR="00C375DD" w:rsidRPr="00A234EE">
        <w:rPr>
          <w:rFonts w:ascii="Book Antiqua" w:hAnsi="Book Antiqua"/>
          <w:sz w:val="24"/>
          <w:szCs w:val="24"/>
          <w:lang w:val="en-US" w:eastAsia="zh-CN"/>
        </w:rPr>
        <w:t xml:space="preserve"> </w:t>
      </w:r>
      <w:r w:rsidR="00853B69" w:rsidRPr="00A234EE">
        <w:rPr>
          <w:rFonts w:ascii="Book Antiqua" w:hAnsi="Book Antiqua"/>
          <w:sz w:val="24"/>
          <w:szCs w:val="24"/>
          <w:lang w:val="en-US"/>
        </w:rPr>
        <w:t>nm, collected at 550 ± 88 nm to delineate the tissue structure).  Both optical methods were performed on a mid-throughput, fully automated, nonlinear optical imaging system at 20</w:t>
      </w:r>
      <w:r w:rsidR="00C375DD" w:rsidRPr="00A234EE">
        <w:rPr>
          <w:rFonts w:ascii="Book Antiqua" w:hAnsi="Book Antiqua"/>
          <w:sz w:val="24"/>
          <w:szCs w:val="24"/>
          <w:lang w:val="en-US" w:eastAsia="zh-CN"/>
        </w:rPr>
        <w:t xml:space="preserve"> </w:t>
      </w:r>
      <w:r w:rsidR="00853B69" w:rsidRPr="00A234EE">
        <w:rPr>
          <w:rFonts w:ascii="Book Antiqua" w:hAnsi="Book Antiqua"/>
          <w:sz w:val="24"/>
          <w:szCs w:val="24"/>
          <w:lang w:val="en-US"/>
        </w:rPr>
        <w:t>X objective and 0.39 micron resolution (Genesis 200®, HistoIndex, Singapore), as described previously</w:t>
      </w:r>
      <w:r w:rsidR="00E048A8" w:rsidRPr="00A234EE">
        <w:rPr>
          <w:rFonts w:ascii="Book Antiqua" w:hAnsi="Book Antiqua"/>
          <w:sz w:val="24"/>
          <w:szCs w:val="24"/>
          <w:vertAlign w:val="superscript"/>
          <w:lang w:val="en-US" w:eastAsia="zh-CN"/>
        </w:rPr>
        <w:t>[22]</w:t>
      </w:r>
      <w:r w:rsidR="00853B69" w:rsidRPr="00A234EE">
        <w:rPr>
          <w:rFonts w:ascii="Book Antiqua" w:hAnsi="Book Antiqua"/>
          <w:sz w:val="24"/>
          <w:szCs w:val="24"/>
          <w:lang w:val="en-US"/>
        </w:rPr>
        <w:t xml:space="preserve">. Fat droplets appear as circular dark objects (no intrinsic </w:t>
      </w:r>
      <w:r w:rsidR="00853B69" w:rsidRPr="00A234EE">
        <w:rPr>
          <w:rFonts w:ascii="Book Antiqua" w:hAnsi="Book Antiqua"/>
          <w:sz w:val="24"/>
          <w:szCs w:val="24"/>
          <w:lang w:val="en-US"/>
        </w:rPr>
        <w:lastRenderedPageBreak/>
        <w:t>fluorescence) and can thus be segregated from the parenchyma and quantified (droplet count, area, eccentricity, and size), Collagen fiber data (area, density, reticulation index) were expressed relative (%) to corresponding parenchymal area. The collagen fiber network complexity (reticulation index) was expressed after skeletonization is performed, as the ratio of skeleton fibers nodes to the total length of the equivalent skeleton. Imaging parameters (laser intensity, PMT gains, scanning parameters) and image analysis parameters (for intensity and morphometric thresholding and pruning) where kept constant for the entire study after optimization. SHG was optimized to use the full 8-bit dynamic range of the instrument and avoid saturation. All histological assessments were performed by pathologists and operators blinded to the experimental groups.</w:t>
      </w:r>
    </w:p>
    <w:p w14:paraId="404887ED" w14:textId="77777777" w:rsidR="00A03F1C" w:rsidRPr="00A234EE" w:rsidRDefault="00A03F1C" w:rsidP="00A234EE">
      <w:pPr>
        <w:adjustRightInd w:val="0"/>
        <w:snapToGrid w:val="0"/>
        <w:spacing w:after="0" w:line="360" w:lineRule="auto"/>
        <w:jc w:val="both"/>
        <w:rPr>
          <w:rFonts w:ascii="Book Antiqua" w:hAnsi="Book Antiqua"/>
          <w:i/>
          <w:iCs/>
          <w:sz w:val="24"/>
          <w:szCs w:val="24"/>
          <w:lang w:val="en-US"/>
        </w:rPr>
      </w:pPr>
    </w:p>
    <w:p w14:paraId="2D2AB286" w14:textId="247F3CB4" w:rsidR="0059221C"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LC/MS/S determination of compound levels in liver and ileum</w:t>
      </w:r>
    </w:p>
    <w:p w14:paraId="2D2AB287" w14:textId="17AE1A5A" w:rsidR="00151D3D"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A mass dependent volume of homogenization solution (seven volumes of 80/20 ACN/HBSS) was added to each tube containing a pre-weighed, intact tissue specimen. Tissue samples were homogenized using an Omni Bead Ruptor 24 tissue homogenizer set to 4 m/s for two cycles of 30 s each. Sam</w:t>
      </w:r>
      <w:r w:rsidR="00C375DD" w:rsidRPr="00A234EE">
        <w:rPr>
          <w:rFonts w:ascii="Book Antiqua" w:hAnsi="Book Antiqua"/>
          <w:sz w:val="24"/>
          <w:szCs w:val="24"/>
          <w:lang w:val="en-US"/>
        </w:rPr>
        <w:t>ple tubes were centrifuged at 3</w:t>
      </w:r>
      <w:r w:rsidRPr="00A234EE">
        <w:rPr>
          <w:rFonts w:ascii="Book Antiqua" w:hAnsi="Book Antiqua"/>
          <w:sz w:val="24"/>
          <w:szCs w:val="24"/>
          <w:lang w:val="en-US"/>
        </w:rPr>
        <w:t xml:space="preserve">500 rcf for 3 </w:t>
      </w:r>
      <w:r w:rsidR="00C375DD" w:rsidRPr="00A234EE">
        <w:rPr>
          <w:rFonts w:ascii="Book Antiqua" w:hAnsi="Book Antiqua"/>
          <w:sz w:val="24"/>
          <w:szCs w:val="24"/>
          <w:lang w:val="en-US"/>
        </w:rPr>
        <w:t>min</w:t>
      </w:r>
      <w:r w:rsidRPr="00A234EE">
        <w:rPr>
          <w:rFonts w:ascii="Book Antiqua" w:hAnsi="Book Antiqua"/>
          <w:sz w:val="24"/>
          <w:szCs w:val="24"/>
          <w:lang w:val="en-US"/>
        </w:rPr>
        <w:t xml:space="preserve"> and a 200 µL aliquot of supernatant was transferred to a 96 deep-well plate. Samples were dried down under nitrogen and reconstituted in 60/40 methanol/10 mM ammonium acetate containing 25 n</w:t>
      </w:r>
      <w:r w:rsidR="00C375DD" w:rsidRPr="00A234EE">
        <w:rPr>
          <w:rFonts w:ascii="Book Antiqua" w:hAnsi="Book Antiqua"/>
          <w:sz w:val="24"/>
          <w:szCs w:val="24"/>
          <w:lang w:val="en-US" w:eastAsia="zh-CN"/>
        </w:rPr>
        <w:t>mol/L</w:t>
      </w:r>
      <w:r w:rsidRPr="00A234EE">
        <w:rPr>
          <w:rFonts w:ascii="Book Antiqua" w:hAnsi="Book Antiqua"/>
          <w:sz w:val="24"/>
          <w:szCs w:val="24"/>
          <w:lang w:val="en-US"/>
        </w:rPr>
        <w:t xml:space="preserve"> of d5-GCA internal standard. Reconstituted samples were transferred to a Millipore 0.45 µm filter plate (Millipore MSHVN45) and filtered into a Costar 3957 plate by centrifugation and sealed with a silicone capmat prior to LC-MS/MS analysis.  This extract was injected onto an UHPLC system equipped with a ultra-high resolution, accurate mass, mass spectrometer (UHRAM) (Thermo Fisher Scientific Q Exactive with Ion Max M2 with HESI-II probe) detector operated in negative electrospray mode. Separation of test article from extracted matrix materials was accomplished using a Thermo Fisher Hypersil Gold C18 column (1 x 100 mm, 1.9 µm particle size) operating at 45°C. The gradient mobile phase system consisted of 0.25 mM ammonium acetate in 40% methanol (mobile phase A) and 0.25 m</w:t>
      </w:r>
      <w:r w:rsidR="003238D2" w:rsidRPr="00A234EE">
        <w:rPr>
          <w:rFonts w:ascii="Book Antiqua" w:hAnsi="Book Antiqua"/>
          <w:sz w:val="24"/>
          <w:szCs w:val="24"/>
          <w:lang w:val="en-US" w:eastAsia="zh-CN"/>
        </w:rPr>
        <w:t>mol/L</w:t>
      </w:r>
      <w:r w:rsidRPr="00A234EE">
        <w:rPr>
          <w:rFonts w:ascii="Book Antiqua" w:hAnsi="Book Antiqua"/>
          <w:sz w:val="24"/>
          <w:szCs w:val="24"/>
          <w:lang w:val="en-US"/>
        </w:rPr>
        <w:t xml:space="preserve"> ammonium acetate in 95% methanol (mobile phase B) at a total flow rate of 0.100 </w:t>
      </w:r>
      <w:r w:rsidR="00C375DD" w:rsidRPr="00A234EE">
        <w:rPr>
          <w:rFonts w:ascii="Book Antiqua" w:hAnsi="Book Antiqua"/>
          <w:sz w:val="24"/>
          <w:szCs w:val="24"/>
          <w:lang w:val="en-US"/>
        </w:rPr>
        <w:t>mL</w:t>
      </w:r>
      <w:r w:rsidRPr="00A234EE">
        <w:rPr>
          <w:rFonts w:ascii="Book Antiqua" w:hAnsi="Book Antiqua"/>
          <w:sz w:val="24"/>
          <w:szCs w:val="24"/>
          <w:lang w:val="en-US"/>
        </w:rPr>
        <w:t>/min.</w:t>
      </w:r>
    </w:p>
    <w:p w14:paraId="2D2AB288" w14:textId="77777777" w:rsidR="00203D0F" w:rsidRPr="00A234EE" w:rsidRDefault="2FCCB97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lastRenderedPageBreak/>
        <w:t xml:space="preserve">Twenty analytical runs were performed during the study sample analysis.  Calibration standards, prepared in matrix matched mouse control tissues purchased from BioreclamationIVT (Baltimore, MD), were used to construct standard curves for all analytes. Typically, quadratic weighted (1/x) regression analysis of peak area ratio versus theoretical concentration was used to produce calibration curves.  </w:t>
      </w:r>
    </w:p>
    <w:p w14:paraId="6FDC5798" w14:textId="77777777" w:rsidR="00A03F1C" w:rsidRPr="00A234EE" w:rsidRDefault="00A03F1C" w:rsidP="00A234EE">
      <w:pPr>
        <w:adjustRightInd w:val="0"/>
        <w:snapToGrid w:val="0"/>
        <w:spacing w:after="0" w:line="360" w:lineRule="auto"/>
        <w:jc w:val="both"/>
        <w:rPr>
          <w:rFonts w:ascii="Book Antiqua" w:hAnsi="Book Antiqua"/>
          <w:i/>
          <w:iCs/>
          <w:sz w:val="24"/>
          <w:szCs w:val="24"/>
          <w:lang w:val="en-US"/>
        </w:rPr>
      </w:pPr>
    </w:p>
    <w:p w14:paraId="2D2AB289" w14:textId="5831216E" w:rsidR="00A468F8"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RNA sequencing</w:t>
      </w:r>
    </w:p>
    <w:p w14:paraId="6E5AFCB1" w14:textId="0D35AC24" w:rsidR="00A03F1C" w:rsidRPr="00A234EE" w:rsidRDefault="7E1455FE"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sz w:val="24"/>
          <w:szCs w:val="24"/>
          <w:lang w:val="en-US"/>
        </w:rPr>
        <w:t>Hepatic and ileal transcriptome analysis was performed by RNA sequencing on RNA extracts from terminal liver samples, as described</w:t>
      </w:r>
      <w:r w:rsidR="00E048A8" w:rsidRPr="00A234EE">
        <w:rPr>
          <w:rFonts w:ascii="Book Antiqua" w:hAnsi="Book Antiqua"/>
          <w:sz w:val="24"/>
          <w:szCs w:val="24"/>
          <w:vertAlign w:val="superscript"/>
          <w:lang w:val="en-US" w:eastAsia="zh-CN"/>
        </w:rPr>
        <w:t>[19]</w:t>
      </w:r>
      <w:r w:rsidRPr="00A234EE">
        <w:rPr>
          <w:rFonts w:ascii="Book Antiqua" w:hAnsi="Book Antiqua"/>
          <w:sz w:val="24"/>
          <w:szCs w:val="24"/>
          <w:lang w:val="en-US"/>
        </w:rPr>
        <w:t>. RNA sequence libraries were prepared with NeoPrep (Illumina, San Diego, CA) using Illumina TruSeq stranded mRNA Library kit for NeoPrep (Illumina, San Diego, CA) and sequenced on the NextSeq 500 (Illumina, San Diego, CA) with NSQ 500 hi-Output KT v2 (75 CYS, Illumina, San Diego, CA). Reads were aligned to the GRCm38 v84 Ensembl Mus musculus genome using STAR v.2.5.2a with default parameters</w:t>
      </w:r>
      <w:r w:rsidR="00E048A8" w:rsidRPr="00A234EE">
        <w:rPr>
          <w:rFonts w:ascii="Book Antiqua" w:hAnsi="Book Antiqua"/>
          <w:sz w:val="24"/>
          <w:szCs w:val="24"/>
          <w:vertAlign w:val="superscript"/>
          <w:lang w:val="en-US" w:eastAsia="zh-CN"/>
        </w:rPr>
        <w:t>[23]</w:t>
      </w:r>
      <w:r w:rsidRPr="00A234EE">
        <w:rPr>
          <w:rFonts w:ascii="Book Antiqua" w:hAnsi="Book Antiqua"/>
          <w:sz w:val="24"/>
          <w:szCs w:val="24"/>
          <w:lang w:val="en-US"/>
        </w:rPr>
        <w:t>. Differential gene expression analysis was performed with DEseq215</w:t>
      </w:r>
      <w:r w:rsidR="00E048A8" w:rsidRPr="00A234EE">
        <w:rPr>
          <w:rFonts w:ascii="Book Antiqua" w:hAnsi="Book Antiqua"/>
          <w:sz w:val="24"/>
          <w:szCs w:val="24"/>
          <w:vertAlign w:val="superscript"/>
          <w:lang w:val="en-US" w:eastAsia="zh-CN"/>
        </w:rPr>
        <w:t>[24]</w:t>
      </w:r>
      <w:r w:rsidR="00095F75" w:rsidRPr="00A234EE">
        <w:rPr>
          <w:rFonts w:ascii="Book Antiqua" w:hAnsi="Book Antiqua"/>
          <w:sz w:val="24"/>
          <w:szCs w:val="24"/>
          <w:lang w:val="en-US"/>
        </w:rPr>
        <w:t>.</w:t>
      </w:r>
    </w:p>
    <w:p w14:paraId="5F199274" w14:textId="77777777" w:rsidR="003238D2" w:rsidRPr="00A234EE" w:rsidRDefault="003238D2" w:rsidP="00A234EE">
      <w:pPr>
        <w:adjustRightInd w:val="0"/>
        <w:snapToGrid w:val="0"/>
        <w:spacing w:after="0" w:line="360" w:lineRule="auto"/>
        <w:jc w:val="both"/>
        <w:rPr>
          <w:rFonts w:ascii="Book Antiqua" w:hAnsi="Book Antiqua"/>
          <w:b/>
          <w:sz w:val="24"/>
          <w:szCs w:val="24"/>
          <w:lang w:val="en-US" w:eastAsia="zh-CN"/>
        </w:rPr>
      </w:pPr>
    </w:p>
    <w:p w14:paraId="2D2AB28C" w14:textId="3EE83C38" w:rsidR="004E1B60" w:rsidRPr="00A234EE" w:rsidRDefault="2FCCB97E" w:rsidP="00A234EE">
      <w:pPr>
        <w:adjustRightInd w:val="0"/>
        <w:snapToGrid w:val="0"/>
        <w:spacing w:after="0" w:line="360" w:lineRule="auto"/>
        <w:jc w:val="both"/>
        <w:rPr>
          <w:rFonts w:ascii="Book Antiqua" w:hAnsi="Book Antiqua"/>
          <w:b/>
          <w:i/>
          <w:iCs/>
          <w:sz w:val="24"/>
          <w:szCs w:val="24"/>
          <w:lang w:val="en-US"/>
        </w:rPr>
      </w:pPr>
      <w:r w:rsidRPr="00A234EE">
        <w:rPr>
          <w:rFonts w:ascii="Book Antiqua" w:hAnsi="Book Antiqua"/>
          <w:b/>
          <w:i/>
          <w:iCs/>
          <w:sz w:val="24"/>
          <w:szCs w:val="24"/>
          <w:lang w:val="en-US"/>
        </w:rPr>
        <w:t>Statistical analysis</w:t>
      </w:r>
    </w:p>
    <w:p w14:paraId="2D2AB28D" w14:textId="5E5A936A" w:rsidR="004E1B60"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All data were analyzed using GraphPad Prism 5.0 (GraphPad Software, La Jolla, CA). Results are presented as mean ± </w:t>
      </w:r>
      <w:r w:rsidR="003238D2" w:rsidRPr="00A234EE">
        <w:rPr>
          <w:rFonts w:ascii="Book Antiqua" w:hAnsi="Book Antiqua"/>
          <w:sz w:val="24"/>
          <w:szCs w:val="24"/>
          <w:lang w:val="en-US" w:eastAsia="zh-CN"/>
        </w:rPr>
        <w:t>SEM</w:t>
      </w:r>
      <w:r w:rsidRPr="00A234EE">
        <w:rPr>
          <w:rFonts w:ascii="Book Antiqua" w:hAnsi="Book Antiqua"/>
          <w:sz w:val="24"/>
          <w:szCs w:val="24"/>
          <w:lang w:val="en-US"/>
        </w:rPr>
        <w:t xml:space="preserve">. A </w:t>
      </w:r>
      <w:r w:rsidR="0062019A" w:rsidRPr="00A234EE">
        <w:rPr>
          <w:rFonts w:ascii="Book Antiqua" w:hAnsi="Book Antiqua"/>
          <w:i/>
          <w:sz w:val="24"/>
          <w:szCs w:val="24"/>
          <w:lang w:val="en-US"/>
        </w:rPr>
        <w:t>χ</w:t>
      </w:r>
      <w:r w:rsidR="003238D2" w:rsidRPr="00A234EE">
        <w:rPr>
          <w:rFonts w:ascii="Book Antiqua" w:hAnsi="Book Antiqua"/>
          <w:sz w:val="24"/>
          <w:szCs w:val="24"/>
          <w:vertAlign w:val="superscript"/>
          <w:lang w:val="en-US"/>
        </w:rPr>
        <w:t>2</w:t>
      </w:r>
      <w:r w:rsidRPr="00A234EE">
        <w:rPr>
          <w:rFonts w:ascii="Book Antiqua" w:hAnsi="Book Antiqua"/>
          <w:sz w:val="24"/>
          <w:szCs w:val="24"/>
          <w:lang w:val="en-US"/>
        </w:rPr>
        <w:t xml:space="preserve"> test was used to test for within-subject changes in qualitative histology scores before and after treatment, compared to vehicle controls. Responders were defined as having a </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 xml:space="preserve">1 point change in the indicated score. An unpaired two-tailed </w:t>
      </w:r>
      <w:r w:rsidR="003238D2" w:rsidRPr="00A234EE">
        <w:rPr>
          <w:rFonts w:ascii="Book Antiqua" w:hAnsi="Book Antiqua"/>
          <w:i/>
          <w:sz w:val="24"/>
          <w:szCs w:val="24"/>
          <w:lang w:val="en-US"/>
        </w:rPr>
        <w:t>t-test</w:t>
      </w:r>
      <w:r w:rsidRPr="00A234EE">
        <w:rPr>
          <w:rFonts w:ascii="Book Antiqua" w:hAnsi="Book Antiqua"/>
          <w:sz w:val="24"/>
          <w:szCs w:val="24"/>
          <w:lang w:val="en-US"/>
        </w:rPr>
        <w:t xml:space="preserve"> was applied to quantitative histological analyses after treatment. A two-way ANOVA with Bonferroni’s post-hoc test was used for analysis of changes in gene expression and quantitative histology analytes (fractional area of fat, galectin-3, and Col1a1) before and after treatment, compared to vehicle controls. A </w:t>
      </w:r>
      <w:r w:rsidR="003238D2" w:rsidRPr="00A234EE">
        <w:rPr>
          <w:rFonts w:ascii="Book Antiqua" w:hAnsi="Book Antiqua"/>
          <w:i/>
          <w:sz w:val="24"/>
          <w:szCs w:val="24"/>
          <w:lang w:val="en-US"/>
        </w:rPr>
        <w:t>P</w:t>
      </w:r>
      <w:r w:rsidRPr="00A234EE">
        <w:rPr>
          <w:rFonts w:ascii="Book Antiqua" w:hAnsi="Book Antiqua"/>
          <w:sz w:val="24"/>
          <w:szCs w:val="24"/>
          <w:lang w:val="en-US"/>
        </w:rPr>
        <w:t>-value less than 0.05 was considered statistically significant.</w:t>
      </w:r>
    </w:p>
    <w:p w14:paraId="2D2AB28E" w14:textId="77777777" w:rsidR="00A14089" w:rsidRPr="00A234EE" w:rsidRDefault="00A14089" w:rsidP="00A234EE">
      <w:pPr>
        <w:adjustRightInd w:val="0"/>
        <w:snapToGrid w:val="0"/>
        <w:spacing w:after="0" w:line="360" w:lineRule="auto"/>
        <w:jc w:val="both"/>
        <w:rPr>
          <w:rFonts w:ascii="Book Antiqua" w:hAnsi="Book Antiqua"/>
          <w:i/>
          <w:sz w:val="24"/>
          <w:szCs w:val="24"/>
          <w:lang w:val="en-US"/>
        </w:rPr>
      </w:pPr>
    </w:p>
    <w:p w14:paraId="5C3527CB" w14:textId="57CE109B" w:rsidR="00A03F1C"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RESULTS</w:t>
      </w:r>
    </w:p>
    <w:p w14:paraId="2D2AB291" w14:textId="2B5E8039" w:rsidR="0071356B" w:rsidRPr="00A234EE" w:rsidRDefault="2FCCB97E" w:rsidP="00A234EE">
      <w:pPr>
        <w:adjustRightInd w:val="0"/>
        <w:snapToGrid w:val="0"/>
        <w:spacing w:after="0" w:line="360" w:lineRule="auto"/>
        <w:jc w:val="both"/>
        <w:rPr>
          <w:rFonts w:ascii="Book Antiqua" w:hAnsi="Book Antiqua"/>
          <w:b/>
          <w:bCs/>
          <w:i/>
          <w:sz w:val="24"/>
          <w:szCs w:val="24"/>
          <w:lang w:val="en-US"/>
        </w:rPr>
      </w:pPr>
      <w:r w:rsidRPr="00A234EE">
        <w:rPr>
          <w:rFonts w:ascii="Book Antiqua" w:hAnsi="Book Antiqua"/>
          <w:b/>
          <w:bCs/>
          <w:i/>
          <w:sz w:val="24"/>
          <w:szCs w:val="24"/>
          <w:lang w:val="en-US"/>
        </w:rPr>
        <w:t xml:space="preserve">INT-767 improves liver histopathology after 8 </w:t>
      </w:r>
      <w:r w:rsidR="006513F8" w:rsidRPr="00A234EE">
        <w:rPr>
          <w:rFonts w:ascii="Book Antiqua" w:hAnsi="Book Antiqua"/>
          <w:b/>
          <w:bCs/>
          <w:i/>
          <w:sz w:val="24"/>
          <w:szCs w:val="24"/>
          <w:lang w:val="en-US"/>
        </w:rPr>
        <w:t>wk</w:t>
      </w:r>
      <w:r w:rsidRPr="00A234EE">
        <w:rPr>
          <w:rFonts w:ascii="Book Antiqua" w:hAnsi="Book Antiqua"/>
          <w:b/>
          <w:bCs/>
          <w:i/>
          <w:sz w:val="24"/>
          <w:szCs w:val="24"/>
          <w:lang w:val="en-US"/>
        </w:rPr>
        <w:t xml:space="preserve"> of treatment in </w:t>
      </w:r>
      <w:r w:rsidRPr="00A234EE">
        <w:rPr>
          <w:rFonts w:ascii="Book Antiqua" w:hAnsi="Book Antiqua"/>
          <w:b/>
          <w:bCs/>
          <w:i/>
          <w:iCs/>
          <w:sz w:val="24"/>
          <w:szCs w:val="24"/>
          <w:lang w:val="en-US"/>
        </w:rPr>
        <w:t>ob/ob</w:t>
      </w:r>
      <w:r w:rsidRPr="00A234EE">
        <w:rPr>
          <w:rFonts w:ascii="Book Antiqua" w:hAnsi="Book Antiqua"/>
          <w:b/>
          <w:bCs/>
          <w:i/>
          <w:sz w:val="24"/>
          <w:szCs w:val="24"/>
          <w:lang w:val="en-US"/>
        </w:rPr>
        <w:t>-</w:t>
      </w:r>
      <w:r w:rsidR="00E4751A" w:rsidRPr="00A234EE">
        <w:rPr>
          <w:rFonts w:ascii="Book Antiqua" w:hAnsi="Book Antiqua"/>
          <w:b/>
          <w:bCs/>
          <w:i/>
          <w:sz w:val="24"/>
          <w:szCs w:val="24"/>
          <w:lang w:val="en-US"/>
        </w:rPr>
        <w:t>non-alcoholic steatohepatitis</w:t>
      </w:r>
      <w:r w:rsidRPr="00A234EE">
        <w:rPr>
          <w:rFonts w:ascii="Book Antiqua" w:hAnsi="Book Antiqua"/>
          <w:b/>
          <w:bCs/>
          <w:i/>
          <w:sz w:val="24"/>
          <w:szCs w:val="24"/>
          <w:lang w:val="en-US"/>
        </w:rPr>
        <w:t xml:space="preserve"> mice</w:t>
      </w:r>
    </w:p>
    <w:p w14:paraId="2D2AB292" w14:textId="77777777" w:rsidR="00B04BC7"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lastRenderedPageBreak/>
        <w:t xml:space="preserve">All </w:t>
      </w:r>
      <w:r w:rsidRPr="00A234EE">
        <w:rPr>
          <w:rFonts w:ascii="Book Antiqua" w:hAnsi="Book Antiqua"/>
          <w:i/>
          <w:iCs/>
          <w:sz w:val="24"/>
          <w:szCs w:val="24"/>
          <w:lang w:val="en-US"/>
        </w:rPr>
        <w:t>ob/ob</w:t>
      </w:r>
      <w:r w:rsidRPr="00A234EE">
        <w:rPr>
          <w:rFonts w:ascii="Book Antiqua" w:hAnsi="Book Antiqua"/>
          <w:sz w:val="24"/>
          <w:szCs w:val="24"/>
          <w:lang w:val="en-US"/>
        </w:rPr>
        <w:t xml:space="preserve">-NASH mice included in the experiment had liver biopsy-confirmed NASH (NAS 5-7) and fibrosis (stage 1-4) prior to initiation of treatment (Table 1). </w:t>
      </w:r>
    </w:p>
    <w:p w14:paraId="5103881F" w14:textId="5B2A333E" w:rsidR="000C22AB" w:rsidRPr="00A234EE" w:rsidRDefault="2FCCB97E" w:rsidP="00A234EE">
      <w:pPr>
        <w:adjustRightInd w:val="0"/>
        <w:snapToGrid w:val="0"/>
        <w:spacing w:after="0" w:line="360" w:lineRule="auto"/>
        <w:ind w:firstLineChars="100" w:firstLine="240"/>
        <w:jc w:val="both"/>
        <w:rPr>
          <w:rFonts w:ascii="Book Antiqua" w:hAnsi="Book Antiqua"/>
          <w:sz w:val="24"/>
          <w:szCs w:val="24"/>
          <w:lang w:val="en-US" w:eastAsia="zh-CN"/>
        </w:rPr>
      </w:pPr>
      <w:r w:rsidRPr="00A234EE">
        <w:rPr>
          <w:rFonts w:ascii="Book Antiqua" w:hAnsi="Book Antiqua"/>
          <w:sz w:val="24"/>
          <w:szCs w:val="24"/>
          <w:lang w:val="en-US"/>
        </w:rPr>
        <w:t xml:space="preserve">INT-767 promoted dose-dependent improvements in liver histopathology after eight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of treatment in </w:t>
      </w:r>
      <w:r w:rsidRPr="00A234EE">
        <w:rPr>
          <w:rFonts w:ascii="Book Antiqua" w:hAnsi="Book Antiqua"/>
          <w:i/>
          <w:iCs/>
          <w:sz w:val="24"/>
          <w:szCs w:val="24"/>
          <w:lang w:val="en-US"/>
        </w:rPr>
        <w:t>ob/ob</w:t>
      </w:r>
      <w:r w:rsidRPr="00A234EE">
        <w:rPr>
          <w:rFonts w:ascii="Book Antiqua" w:hAnsi="Book Antiqua"/>
          <w:sz w:val="24"/>
          <w:szCs w:val="24"/>
          <w:lang w:val="en-US"/>
        </w:rPr>
        <w:t xml:space="preserve">-NASH mice. INT-767 10 mg/kg significantly reduced steatosis, inflammation and hepatocyte ballooning degeneration scores compared to vehicle controls (Table 1). All INT-767 (10 mg/kg) treated mice exhibited reductions in NAS and fibrosis stage (Figure 1, Table 1). In contrast, </w:t>
      </w:r>
      <w:r w:rsidRPr="00A234EE">
        <w:rPr>
          <w:rFonts w:ascii="Book Antiqua" w:hAnsi="Book Antiqua"/>
          <w:i/>
          <w:iCs/>
          <w:sz w:val="24"/>
          <w:szCs w:val="24"/>
          <w:lang w:val="en-US"/>
        </w:rPr>
        <w:t>ob/ob</w:t>
      </w:r>
      <w:r w:rsidRPr="00A234EE">
        <w:rPr>
          <w:rFonts w:ascii="Book Antiqua" w:hAnsi="Book Antiqua"/>
          <w:sz w:val="24"/>
          <w:szCs w:val="24"/>
          <w:lang w:val="en-US"/>
        </w:rPr>
        <w:t>-NASH control mice maintained composite NAS and fibrosis scores compared to pre-treatment levels. INT-767 also reduced quantitative hepatic collagen and fat, as indicated by lowered Col1a1 immunoreactivity (Figure 2B) and liver fat area (Figure 3B). This reduction of collagen and fat by INT-767 was also shown in the IHC staining images (Figure 2A and 3A, respectively) and confirmed by label free SHG/2-PE images and processed images for fat content (Figure 2C and 3C, respectively).</w:t>
      </w:r>
    </w:p>
    <w:p w14:paraId="06F55B72" w14:textId="57EAF301" w:rsidR="000C22AB" w:rsidRPr="00A234EE" w:rsidRDefault="7E1455FE" w:rsidP="00A234EE">
      <w:pPr>
        <w:adjustRightInd w:val="0"/>
        <w:snapToGrid w:val="0"/>
        <w:spacing w:after="0" w:line="360" w:lineRule="auto"/>
        <w:ind w:firstLineChars="100" w:firstLine="240"/>
        <w:jc w:val="both"/>
        <w:rPr>
          <w:rFonts w:ascii="Book Antiqua" w:hAnsi="Book Antiqua"/>
          <w:sz w:val="24"/>
          <w:szCs w:val="24"/>
          <w:lang w:val="en-US" w:eastAsia="zh-CN"/>
        </w:rPr>
      </w:pPr>
      <w:r w:rsidRPr="00A234EE">
        <w:rPr>
          <w:rFonts w:ascii="Book Antiqua" w:hAnsi="Book Antiqua"/>
          <w:sz w:val="24"/>
          <w:szCs w:val="24"/>
          <w:lang w:val="en-US"/>
        </w:rPr>
        <w:t>SHG</w:t>
      </w:r>
      <w:r w:rsidR="00EE6F8A" w:rsidRPr="00A234EE">
        <w:rPr>
          <w:rFonts w:ascii="Book Antiqua" w:hAnsi="Book Antiqua"/>
          <w:sz w:val="24"/>
          <w:szCs w:val="24"/>
          <w:lang w:val="en-US"/>
        </w:rPr>
        <w:t>/</w:t>
      </w:r>
      <w:r w:rsidRPr="00A234EE">
        <w:rPr>
          <w:rFonts w:ascii="Book Antiqua" w:hAnsi="Book Antiqua"/>
          <w:sz w:val="24"/>
          <w:szCs w:val="24"/>
          <w:lang w:val="en-US"/>
        </w:rPr>
        <w:t>2</w:t>
      </w:r>
      <w:r w:rsidR="00EE6F8A" w:rsidRPr="00A234EE">
        <w:rPr>
          <w:rFonts w:ascii="Book Antiqua" w:hAnsi="Book Antiqua"/>
          <w:sz w:val="24"/>
          <w:szCs w:val="24"/>
          <w:lang w:val="en-US"/>
        </w:rPr>
        <w:t>-</w:t>
      </w:r>
      <w:r w:rsidRPr="00A234EE">
        <w:rPr>
          <w:rFonts w:ascii="Book Antiqua" w:hAnsi="Book Antiqua"/>
          <w:sz w:val="24"/>
          <w:szCs w:val="24"/>
          <w:lang w:val="en-US"/>
        </w:rPr>
        <w:t xml:space="preserve">PE </w:t>
      </w:r>
      <w:r w:rsidR="00724DEC" w:rsidRPr="00A234EE">
        <w:rPr>
          <w:rFonts w:ascii="Book Antiqua" w:hAnsi="Book Antiqua"/>
          <w:sz w:val="24"/>
          <w:szCs w:val="24"/>
          <w:lang w:val="en-US"/>
        </w:rPr>
        <w:t xml:space="preserve">morphometric assessments of collagen were positively correlated with Col1a1 assessment by immunohistochemistry (R2 = 0.88, </w:t>
      </w:r>
      <w:r w:rsidR="003238D2" w:rsidRPr="00A234EE">
        <w:rPr>
          <w:rFonts w:ascii="Book Antiqua" w:hAnsi="Book Antiqua"/>
          <w:i/>
          <w:sz w:val="24"/>
          <w:szCs w:val="24"/>
          <w:lang w:val="en-US"/>
        </w:rPr>
        <w:t>P &lt;</w:t>
      </w:r>
      <w:r w:rsidR="00724DEC" w:rsidRPr="00A234EE">
        <w:rPr>
          <w:rFonts w:ascii="Book Antiqua" w:hAnsi="Book Antiqua"/>
          <w:sz w:val="24"/>
          <w:szCs w:val="24"/>
          <w:lang w:val="en-US"/>
        </w:rPr>
        <w:t xml:space="preserve">0.0001) and demonstrated that </w:t>
      </w:r>
      <w:r w:rsidRPr="00A234EE">
        <w:rPr>
          <w:rFonts w:ascii="Book Antiqua" w:hAnsi="Book Antiqua"/>
          <w:sz w:val="24"/>
          <w:szCs w:val="24"/>
          <w:lang w:val="en-US"/>
        </w:rPr>
        <w:t>INT-767</w:t>
      </w:r>
      <w:r w:rsidR="004874F9" w:rsidRPr="00A234EE">
        <w:rPr>
          <w:rFonts w:ascii="Book Antiqua" w:hAnsi="Book Antiqua"/>
          <w:sz w:val="24"/>
          <w:szCs w:val="24"/>
          <w:lang w:val="en-US"/>
        </w:rPr>
        <w:t xml:space="preserve"> predominantly impacted</w:t>
      </w:r>
      <w:r w:rsidRPr="00A234EE">
        <w:rPr>
          <w:rFonts w:ascii="Book Antiqua" w:hAnsi="Book Antiqua"/>
          <w:sz w:val="24"/>
          <w:szCs w:val="24"/>
          <w:lang w:val="en-US"/>
        </w:rPr>
        <w:t xml:space="preserve"> collagen fiber density, but not collagen fiber network complexity (</w:t>
      </w:r>
      <w:r w:rsidR="00D342D7" w:rsidRPr="00A234EE">
        <w:rPr>
          <w:rFonts w:ascii="Book Antiqua" w:hAnsi="Book Antiqua"/>
          <w:sz w:val="24"/>
          <w:szCs w:val="24"/>
          <w:lang w:val="en-US"/>
        </w:rPr>
        <w:t>reticulation</w:t>
      </w:r>
      <w:r w:rsidR="00D853BF" w:rsidRPr="00A234EE">
        <w:rPr>
          <w:rFonts w:ascii="Book Antiqua" w:hAnsi="Book Antiqua"/>
          <w:sz w:val="24"/>
          <w:szCs w:val="24"/>
          <w:lang w:val="en-US"/>
        </w:rPr>
        <w:t xml:space="preserve"> index</w:t>
      </w:r>
      <w:r w:rsidR="00D342D7" w:rsidRPr="00A234EE">
        <w:rPr>
          <w:rFonts w:ascii="Book Antiqua" w:hAnsi="Book Antiqua"/>
          <w:sz w:val="24"/>
          <w:szCs w:val="24"/>
          <w:lang w:val="en-US"/>
        </w:rPr>
        <w:t>, Figure 2</w:t>
      </w:r>
      <w:r w:rsidR="00D853BF" w:rsidRPr="00A234EE">
        <w:rPr>
          <w:rFonts w:ascii="Book Antiqua" w:hAnsi="Book Antiqua"/>
          <w:sz w:val="24"/>
          <w:szCs w:val="24"/>
          <w:lang w:val="en-US"/>
        </w:rPr>
        <w:t>D</w:t>
      </w:r>
      <w:r w:rsidR="00D342D7" w:rsidRPr="00A234EE">
        <w:rPr>
          <w:rFonts w:ascii="Book Antiqua" w:hAnsi="Book Antiqua"/>
          <w:sz w:val="24"/>
          <w:szCs w:val="24"/>
          <w:lang w:val="en-US"/>
        </w:rPr>
        <w:t>). W</w:t>
      </w:r>
      <w:r w:rsidR="004874F9" w:rsidRPr="00A234EE">
        <w:rPr>
          <w:rFonts w:ascii="Book Antiqua" w:hAnsi="Book Antiqua"/>
          <w:sz w:val="24"/>
          <w:szCs w:val="24"/>
          <w:lang w:val="en-US"/>
        </w:rPr>
        <w:t xml:space="preserve">ith respect to steatosis, </w:t>
      </w:r>
      <w:r w:rsidRPr="00A234EE">
        <w:rPr>
          <w:rFonts w:ascii="Book Antiqua" w:hAnsi="Book Antiqua"/>
          <w:sz w:val="24"/>
          <w:szCs w:val="24"/>
          <w:lang w:val="en-US"/>
        </w:rPr>
        <w:t xml:space="preserve">INT-767 </w:t>
      </w:r>
      <w:r w:rsidR="004874F9" w:rsidRPr="00A234EE">
        <w:rPr>
          <w:rFonts w:ascii="Book Antiqua" w:hAnsi="Book Antiqua"/>
          <w:sz w:val="24"/>
          <w:szCs w:val="24"/>
          <w:lang w:val="en-US"/>
        </w:rPr>
        <w:t>reduced</w:t>
      </w:r>
      <w:r w:rsidRPr="00A234EE">
        <w:rPr>
          <w:rFonts w:ascii="Book Antiqua" w:hAnsi="Book Antiqua"/>
          <w:sz w:val="24"/>
          <w:szCs w:val="24"/>
          <w:lang w:val="en-US"/>
        </w:rPr>
        <w:t xml:space="preserve"> </w:t>
      </w:r>
      <w:r w:rsidR="005C6CB9" w:rsidRPr="00A234EE">
        <w:rPr>
          <w:rFonts w:ascii="Book Antiqua" w:hAnsi="Book Antiqua"/>
          <w:sz w:val="24"/>
          <w:szCs w:val="24"/>
          <w:lang w:val="en-US"/>
        </w:rPr>
        <w:t xml:space="preserve">mean </w:t>
      </w:r>
      <w:r w:rsidR="00D342D7" w:rsidRPr="00A234EE">
        <w:rPr>
          <w:rFonts w:ascii="Book Antiqua" w:hAnsi="Book Antiqua"/>
          <w:sz w:val="24"/>
          <w:szCs w:val="24"/>
          <w:lang w:val="en-US"/>
        </w:rPr>
        <w:t xml:space="preserve">fat droplet </w:t>
      </w:r>
      <w:r w:rsidR="00D853BF" w:rsidRPr="00A234EE">
        <w:rPr>
          <w:rFonts w:ascii="Book Antiqua" w:hAnsi="Book Antiqua"/>
          <w:sz w:val="24"/>
          <w:szCs w:val="24"/>
          <w:lang w:val="en-US"/>
        </w:rPr>
        <w:t>area</w:t>
      </w:r>
      <w:r w:rsidR="00D342D7" w:rsidRPr="00A234EE">
        <w:rPr>
          <w:rFonts w:ascii="Book Antiqua" w:hAnsi="Book Antiqua"/>
          <w:sz w:val="24"/>
          <w:szCs w:val="24"/>
          <w:lang w:val="en-US"/>
        </w:rPr>
        <w:t xml:space="preserve">, </w:t>
      </w:r>
      <w:r w:rsidR="005C6CB9" w:rsidRPr="00A234EE">
        <w:rPr>
          <w:rFonts w:ascii="Book Antiqua" w:hAnsi="Book Antiqua"/>
          <w:sz w:val="24"/>
          <w:szCs w:val="24"/>
          <w:lang w:val="en-US"/>
        </w:rPr>
        <w:t xml:space="preserve">but not </w:t>
      </w:r>
      <w:r w:rsidRPr="00A234EE">
        <w:rPr>
          <w:rFonts w:ascii="Book Antiqua" w:hAnsi="Book Antiqua"/>
          <w:sz w:val="24"/>
          <w:szCs w:val="24"/>
          <w:lang w:val="en-US"/>
        </w:rPr>
        <w:t xml:space="preserve">droplet </w:t>
      </w:r>
      <w:r w:rsidR="00D853BF" w:rsidRPr="00A234EE">
        <w:rPr>
          <w:rFonts w:ascii="Book Antiqua" w:hAnsi="Book Antiqua"/>
          <w:sz w:val="24"/>
          <w:szCs w:val="24"/>
          <w:lang w:val="en-US"/>
        </w:rPr>
        <w:t>count (Figure 3D</w:t>
      </w:r>
      <w:r w:rsidRPr="00A234EE">
        <w:rPr>
          <w:rFonts w:ascii="Book Antiqua" w:hAnsi="Book Antiqua"/>
          <w:sz w:val="24"/>
          <w:szCs w:val="24"/>
          <w:lang w:val="en-US"/>
        </w:rPr>
        <w:t>).</w:t>
      </w:r>
      <w:r w:rsidR="008D2C7F" w:rsidRPr="00A234EE">
        <w:rPr>
          <w:rFonts w:ascii="Book Antiqua" w:hAnsi="Book Antiqua"/>
          <w:sz w:val="24"/>
          <w:szCs w:val="24"/>
          <w:lang w:val="en-US"/>
        </w:rPr>
        <w:t xml:space="preserve"> </w:t>
      </w:r>
      <w:r w:rsidR="005C6CB9" w:rsidRPr="00A234EE">
        <w:rPr>
          <w:rFonts w:ascii="Book Antiqua" w:hAnsi="Book Antiqua"/>
          <w:sz w:val="24"/>
          <w:szCs w:val="24"/>
          <w:lang w:val="en-US"/>
        </w:rPr>
        <w:t>The</w:t>
      </w:r>
      <w:r w:rsidR="007E63EB" w:rsidRPr="00A234EE">
        <w:rPr>
          <w:rFonts w:ascii="Book Antiqua" w:hAnsi="Book Antiqua"/>
          <w:sz w:val="24"/>
          <w:szCs w:val="24"/>
          <w:lang w:val="en-US"/>
        </w:rPr>
        <w:t xml:space="preserve"> size distribution of fat droplets in </w:t>
      </w:r>
      <w:r w:rsidR="00C03582" w:rsidRPr="00A234EE">
        <w:rPr>
          <w:rFonts w:ascii="Book Antiqua" w:hAnsi="Book Antiqua"/>
          <w:sz w:val="24"/>
          <w:szCs w:val="24"/>
          <w:lang w:val="en-US"/>
        </w:rPr>
        <w:t>INT-767 treat</w:t>
      </w:r>
      <w:r w:rsidR="007E63EB" w:rsidRPr="00A234EE">
        <w:rPr>
          <w:rFonts w:ascii="Book Antiqua" w:hAnsi="Book Antiqua"/>
          <w:sz w:val="24"/>
          <w:szCs w:val="24"/>
          <w:lang w:val="en-US"/>
        </w:rPr>
        <w:t xml:space="preserve">ed </w:t>
      </w:r>
      <w:r w:rsidR="007E63EB" w:rsidRPr="00A234EE">
        <w:rPr>
          <w:rFonts w:ascii="Book Antiqua" w:hAnsi="Book Antiqua"/>
          <w:i/>
          <w:iCs/>
          <w:sz w:val="24"/>
          <w:szCs w:val="24"/>
          <w:lang w:val="en-US"/>
        </w:rPr>
        <w:t>ob/ob</w:t>
      </w:r>
      <w:r w:rsidR="007E63EB" w:rsidRPr="00A234EE">
        <w:rPr>
          <w:rFonts w:ascii="Book Antiqua" w:hAnsi="Book Antiqua"/>
          <w:sz w:val="24"/>
          <w:szCs w:val="24"/>
          <w:lang w:val="en-US"/>
        </w:rPr>
        <w:t xml:space="preserve">-NASH mice were left-shifted, suggesting a vesicular fat </w:t>
      </w:r>
      <w:r w:rsidR="005C6CB9" w:rsidRPr="00A234EE">
        <w:rPr>
          <w:rFonts w:ascii="Book Antiqua" w:hAnsi="Book Antiqua"/>
          <w:sz w:val="24"/>
          <w:szCs w:val="24"/>
          <w:lang w:val="en-US"/>
        </w:rPr>
        <w:t>re</w:t>
      </w:r>
      <w:r w:rsidR="007E63EB" w:rsidRPr="00A234EE">
        <w:rPr>
          <w:rFonts w:ascii="Book Antiqua" w:hAnsi="Book Antiqua"/>
          <w:sz w:val="24"/>
          <w:szCs w:val="24"/>
          <w:lang w:val="en-US"/>
        </w:rPr>
        <w:t xml:space="preserve">distribution towards </w:t>
      </w:r>
      <w:r w:rsidR="005C6CB9" w:rsidRPr="00A234EE">
        <w:rPr>
          <w:rFonts w:ascii="Book Antiqua" w:hAnsi="Book Antiqua"/>
          <w:sz w:val="24"/>
          <w:szCs w:val="24"/>
          <w:lang w:val="en-US"/>
        </w:rPr>
        <w:t xml:space="preserve">a </w:t>
      </w:r>
      <w:r w:rsidR="007E63EB" w:rsidRPr="00A234EE">
        <w:rPr>
          <w:rFonts w:ascii="Book Antiqua" w:hAnsi="Book Antiqua"/>
          <w:sz w:val="24"/>
          <w:szCs w:val="24"/>
          <w:lang w:val="en-US"/>
        </w:rPr>
        <w:t>less macro</w:t>
      </w:r>
      <w:r w:rsidR="00324B9B" w:rsidRPr="00A234EE">
        <w:rPr>
          <w:rFonts w:ascii="Book Antiqua" w:hAnsi="Book Antiqua"/>
          <w:sz w:val="24"/>
          <w:szCs w:val="24"/>
          <w:lang w:val="en-US"/>
        </w:rPr>
        <w:t>-</w:t>
      </w:r>
      <w:r w:rsidR="007E63EB" w:rsidRPr="00A234EE">
        <w:rPr>
          <w:rFonts w:ascii="Book Antiqua" w:hAnsi="Book Antiqua"/>
          <w:sz w:val="24"/>
          <w:szCs w:val="24"/>
          <w:lang w:val="en-US"/>
        </w:rPr>
        <w:t xml:space="preserve">steatotic </w:t>
      </w:r>
      <w:r w:rsidR="005C6CB9" w:rsidRPr="00A234EE">
        <w:rPr>
          <w:rFonts w:ascii="Book Antiqua" w:hAnsi="Book Antiqua"/>
          <w:sz w:val="24"/>
          <w:szCs w:val="24"/>
          <w:lang w:val="en-US"/>
        </w:rPr>
        <w:t xml:space="preserve">phenotype </w:t>
      </w:r>
      <w:r w:rsidR="007E63EB" w:rsidRPr="00A234EE">
        <w:rPr>
          <w:rFonts w:ascii="Book Antiqua" w:hAnsi="Book Antiqua"/>
          <w:sz w:val="24"/>
          <w:szCs w:val="24"/>
          <w:lang w:val="en-US"/>
        </w:rPr>
        <w:t>(Figure 4).</w:t>
      </w:r>
      <w:r w:rsidR="001814AF" w:rsidRPr="00A234EE">
        <w:rPr>
          <w:rFonts w:ascii="Book Antiqua" w:hAnsi="Book Antiqua"/>
          <w:sz w:val="24"/>
          <w:szCs w:val="24"/>
          <w:lang w:val="en-US"/>
        </w:rPr>
        <w:t xml:space="preserve"> </w:t>
      </w:r>
      <w:bookmarkStart w:id="36" w:name="_Hlk498959438"/>
    </w:p>
    <w:p w14:paraId="2D2AB294" w14:textId="55023FFE" w:rsidR="007E63EB" w:rsidRPr="00A234EE" w:rsidRDefault="001814AF"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In line with these morphometric changes,</w:t>
      </w:r>
      <w:r w:rsidR="008120A0" w:rsidRPr="00A234EE">
        <w:rPr>
          <w:rFonts w:ascii="Book Antiqua" w:hAnsi="Book Antiqua"/>
          <w:sz w:val="24"/>
          <w:szCs w:val="24"/>
          <w:lang w:val="en-US"/>
        </w:rPr>
        <w:t xml:space="preserve"> and similar to PPAR agonists</w:t>
      </w:r>
      <w:r w:rsidR="003238D2" w:rsidRPr="00A234EE">
        <w:rPr>
          <w:rFonts w:ascii="Book Antiqua" w:hAnsi="Book Antiqua"/>
          <w:sz w:val="24"/>
          <w:szCs w:val="24"/>
          <w:vertAlign w:val="superscript"/>
          <w:lang w:val="en-US" w:eastAsia="zh-CN"/>
        </w:rPr>
        <w:t>[25]</w:t>
      </w:r>
      <w:r w:rsidR="008120A0" w:rsidRPr="00A234EE">
        <w:rPr>
          <w:rFonts w:ascii="Book Antiqua" w:hAnsi="Book Antiqua"/>
          <w:sz w:val="24"/>
          <w:szCs w:val="24"/>
          <w:lang w:val="en-US"/>
        </w:rPr>
        <w:t>,</w:t>
      </w:r>
      <w:r w:rsidRPr="00A234EE">
        <w:rPr>
          <w:rFonts w:ascii="Book Antiqua" w:hAnsi="Book Antiqua"/>
          <w:sz w:val="24"/>
          <w:szCs w:val="24"/>
          <w:lang w:val="en-US"/>
        </w:rPr>
        <w:t xml:space="preserve"> INT-767 </w:t>
      </w:r>
      <w:r w:rsidR="008120A0" w:rsidRPr="00A234EE">
        <w:rPr>
          <w:rFonts w:ascii="Book Antiqua" w:hAnsi="Book Antiqua"/>
          <w:sz w:val="24"/>
          <w:szCs w:val="24"/>
          <w:lang w:val="en-US"/>
        </w:rPr>
        <w:t xml:space="preserve">10 mg/kg </w:t>
      </w:r>
      <w:r w:rsidRPr="00A234EE">
        <w:rPr>
          <w:rFonts w:ascii="Book Antiqua" w:hAnsi="Book Antiqua"/>
          <w:sz w:val="24"/>
          <w:szCs w:val="24"/>
          <w:lang w:val="en-US"/>
        </w:rPr>
        <w:t>significantly reduced mRNA levels of cell death-inducing DNA fragmentation factor alpha-like effector c (CIDEC; a lipid-droplet assoc</w:t>
      </w:r>
      <w:r w:rsidR="00E3279E" w:rsidRPr="00A234EE">
        <w:rPr>
          <w:rFonts w:ascii="Book Antiqua" w:hAnsi="Book Antiqua"/>
          <w:sz w:val="24"/>
          <w:szCs w:val="24"/>
          <w:lang w:val="en-US"/>
        </w:rPr>
        <w:t>i</w:t>
      </w:r>
      <w:r w:rsidRPr="00A234EE">
        <w:rPr>
          <w:rFonts w:ascii="Book Antiqua" w:hAnsi="Book Antiqua"/>
          <w:sz w:val="24"/>
          <w:szCs w:val="24"/>
          <w:lang w:val="en-US"/>
        </w:rPr>
        <w:t>ated protein that promotes intracellular storage) relative to vehicle (</w:t>
      </w:r>
      <w:bookmarkStart w:id="37" w:name="_Hlk499043713"/>
      <w:r w:rsidRPr="00A234EE">
        <w:rPr>
          <w:rFonts w:ascii="Book Antiqua" w:hAnsi="Book Antiqua"/>
          <w:sz w:val="24"/>
          <w:szCs w:val="24"/>
          <w:lang w:val="en-US"/>
        </w:rPr>
        <w:t>in RPKM</w:t>
      </w:r>
      <w:r w:rsidR="00E3279E" w:rsidRPr="00A234EE">
        <w:rPr>
          <w:rFonts w:ascii="Book Antiqua" w:hAnsi="Book Antiqua"/>
          <w:sz w:val="24"/>
          <w:szCs w:val="24"/>
          <w:lang w:val="en-US"/>
        </w:rPr>
        <w:t xml:space="preserve">, </w:t>
      </w:r>
      <w:r w:rsidRPr="00A234EE">
        <w:rPr>
          <w:rFonts w:ascii="Book Antiqua" w:hAnsi="Book Antiqua"/>
          <w:sz w:val="24"/>
          <w:szCs w:val="24"/>
          <w:lang w:val="en-US"/>
        </w:rPr>
        <w:t>109.4</w:t>
      </w:r>
      <w:r w:rsidR="00E3279E" w:rsidRPr="00A234EE">
        <w:rPr>
          <w:rFonts w:ascii="Book Antiqua" w:hAnsi="Book Antiqua"/>
          <w:sz w:val="24"/>
          <w:szCs w:val="24"/>
          <w:lang w:val="en-US"/>
        </w:rPr>
        <w:t xml:space="preserve"> ± </w:t>
      </w:r>
      <w:r w:rsidRPr="00A234EE">
        <w:rPr>
          <w:rFonts w:ascii="Book Antiqua" w:hAnsi="Book Antiqua"/>
          <w:sz w:val="24"/>
          <w:szCs w:val="24"/>
          <w:lang w:val="en-US"/>
        </w:rPr>
        <w:t xml:space="preserve">10 </w:t>
      </w:r>
      <w:r w:rsidR="00E3279E" w:rsidRPr="00A234EE">
        <w:rPr>
          <w:rFonts w:ascii="Book Antiqua" w:hAnsi="Book Antiqua"/>
          <w:sz w:val="24"/>
          <w:szCs w:val="24"/>
          <w:lang w:val="en-US"/>
        </w:rPr>
        <w:t xml:space="preserve">(vehicle) </w:t>
      </w:r>
      <w:r w:rsidR="003238D2" w:rsidRPr="00A234EE">
        <w:rPr>
          <w:rFonts w:ascii="Book Antiqua" w:hAnsi="Book Antiqua"/>
          <w:i/>
          <w:sz w:val="24"/>
          <w:szCs w:val="24"/>
          <w:lang w:val="en-US"/>
        </w:rPr>
        <w:t>vs</w:t>
      </w:r>
      <w:r w:rsidRPr="00A234EE">
        <w:rPr>
          <w:rFonts w:ascii="Book Antiqua" w:hAnsi="Book Antiqua"/>
          <w:sz w:val="24"/>
          <w:szCs w:val="24"/>
          <w:lang w:val="en-US"/>
        </w:rPr>
        <w:t xml:space="preserve"> 40.8</w:t>
      </w:r>
      <w:r w:rsidR="00E3279E" w:rsidRPr="00A234EE">
        <w:rPr>
          <w:rFonts w:ascii="Book Antiqua" w:hAnsi="Book Antiqua"/>
          <w:sz w:val="24"/>
          <w:szCs w:val="24"/>
          <w:lang w:val="en-US"/>
        </w:rPr>
        <w:t xml:space="preserve"> </w:t>
      </w:r>
      <w:r w:rsidRPr="00A234EE">
        <w:rPr>
          <w:rFonts w:ascii="Book Antiqua" w:hAnsi="Book Antiqua"/>
          <w:sz w:val="24"/>
          <w:szCs w:val="24"/>
          <w:lang w:val="en-US"/>
        </w:rPr>
        <w:t>± 10.8</w:t>
      </w:r>
      <w:r w:rsidR="00E3279E" w:rsidRPr="00A234EE">
        <w:rPr>
          <w:rFonts w:ascii="Book Antiqua" w:hAnsi="Book Antiqua"/>
          <w:sz w:val="24"/>
          <w:szCs w:val="24"/>
          <w:lang w:val="en-US"/>
        </w:rPr>
        <w:t xml:space="preserve"> (INT-767)</w:t>
      </w:r>
      <w:r w:rsidRPr="00A234EE">
        <w:rPr>
          <w:rFonts w:ascii="Book Antiqua" w:hAnsi="Book Antiqua"/>
          <w:sz w:val="24"/>
          <w:szCs w:val="24"/>
          <w:lang w:val="en-US"/>
        </w:rPr>
        <w:t xml:space="preserve">, </w:t>
      </w:r>
      <w:r w:rsidR="003238D2" w:rsidRPr="00A234EE">
        <w:rPr>
          <w:rFonts w:ascii="Book Antiqua" w:hAnsi="Book Antiqua"/>
          <w:i/>
          <w:sz w:val="24"/>
          <w:szCs w:val="24"/>
          <w:lang w:val="en-US"/>
        </w:rPr>
        <w:t>P</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0.0018</w:t>
      </w:r>
      <w:bookmarkEnd w:id="37"/>
      <w:r w:rsidRPr="00A234EE">
        <w:rPr>
          <w:rFonts w:ascii="Book Antiqua" w:hAnsi="Book Antiqua"/>
          <w:sz w:val="24"/>
          <w:szCs w:val="24"/>
          <w:lang w:val="en-US"/>
        </w:rPr>
        <w:t>)</w:t>
      </w:r>
      <w:bookmarkEnd w:id="36"/>
      <w:r w:rsidR="008120A0" w:rsidRPr="00A234EE">
        <w:rPr>
          <w:rFonts w:ascii="Book Antiqua" w:hAnsi="Book Antiqua"/>
          <w:sz w:val="24"/>
          <w:szCs w:val="24"/>
          <w:lang w:val="en-US"/>
        </w:rPr>
        <w:t xml:space="preserve">. </w:t>
      </w:r>
    </w:p>
    <w:p w14:paraId="2D2AB295" w14:textId="688A0AE1" w:rsidR="0071356B" w:rsidRPr="00A234EE" w:rsidRDefault="2FCCB97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The liver histological changes with INT-767 (10 mg/kg) treatment were accompanied by significant improvements in liver enzymes (ALT and AST). INT-767 also reduced, whole-body fat mass (without changing body weight), hepatomegaly and intrahepatic concentrations of TC and TG (Table 1). In addition, INT-767 reduced terminal liver concentrations of TC and TG, and plasma TC (Table 1).</w:t>
      </w:r>
    </w:p>
    <w:p w14:paraId="2D2AB296" w14:textId="3A8E23BB" w:rsidR="00124EFB" w:rsidRPr="00A234EE" w:rsidRDefault="00124EFB" w:rsidP="00A234EE">
      <w:pPr>
        <w:adjustRightInd w:val="0"/>
        <w:snapToGrid w:val="0"/>
        <w:spacing w:after="0" w:line="360" w:lineRule="auto"/>
        <w:jc w:val="both"/>
        <w:rPr>
          <w:rFonts w:ascii="Book Antiqua" w:hAnsi="Book Antiqua"/>
          <w:b/>
          <w:sz w:val="24"/>
          <w:szCs w:val="24"/>
          <w:lang w:val="en-US"/>
        </w:rPr>
      </w:pPr>
    </w:p>
    <w:p w14:paraId="2D2AB297" w14:textId="31458C8F" w:rsidR="00124EFB" w:rsidRPr="00A234EE" w:rsidRDefault="2FCCB97E" w:rsidP="00A234EE">
      <w:pPr>
        <w:adjustRightInd w:val="0"/>
        <w:snapToGrid w:val="0"/>
        <w:spacing w:after="0" w:line="360" w:lineRule="auto"/>
        <w:jc w:val="both"/>
        <w:rPr>
          <w:rFonts w:ascii="Book Antiqua" w:hAnsi="Book Antiqua"/>
          <w:b/>
          <w:bCs/>
          <w:i/>
          <w:sz w:val="24"/>
          <w:szCs w:val="24"/>
          <w:lang w:val="en-US"/>
        </w:rPr>
      </w:pPr>
      <w:r w:rsidRPr="00A234EE">
        <w:rPr>
          <w:rFonts w:ascii="Book Antiqua" w:hAnsi="Book Antiqua"/>
          <w:b/>
          <w:bCs/>
          <w:i/>
          <w:sz w:val="24"/>
          <w:szCs w:val="24"/>
          <w:lang w:val="en-US"/>
        </w:rPr>
        <w:t xml:space="preserve">INT-767 and </w:t>
      </w:r>
      <w:r w:rsidR="0069479F" w:rsidRPr="00A234EE">
        <w:rPr>
          <w:rFonts w:ascii="Book Antiqua" w:hAnsi="Book Antiqua"/>
          <w:b/>
          <w:bCs/>
          <w:i/>
          <w:sz w:val="24"/>
          <w:szCs w:val="24"/>
          <w:lang w:val="en-US"/>
        </w:rPr>
        <w:t>obeticholic acid</w:t>
      </w:r>
      <w:r w:rsidRPr="00A234EE">
        <w:rPr>
          <w:rFonts w:ascii="Book Antiqua" w:hAnsi="Book Antiqua"/>
          <w:b/>
          <w:bCs/>
          <w:i/>
          <w:sz w:val="24"/>
          <w:szCs w:val="24"/>
          <w:lang w:val="en-US"/>
        </w:rPr>
        <w:t xml:space="preserve"> show similar hepatic and ileal distribution in C57Bl6 mice</w:t>
      </w:r>
    </w:p>
    <w:p w14:paraId="2D2AB298" w14:textId="5EFD6BE2" w:rsidR="00124EFB"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Hepatic and ileal concentrations of INT-767 and OCA were determined after 14 </w:t>
      </w:r>
      <w:r w:rsidR="00C375DD" w:rsidRPr="00A234EE">
        <w:rPr>
          <w:rFonts w:ascii="Book Antiqua" w:hAnsi="Book Antiqua"/>
          <w:sz w:val="24"/>
          <w:szCs w:val="24"/>
          <w:lang w:val="en-US"/>
        </w:rPr>
        <w:t>d</w:t>
      </w:r>
      <w:r w:rsidRPr="00A234EE">
        <w:rPr>
          <w:rFonts w:ascii="Book Antiqua" w:hAnsi="Book Antiqua"/>
          <w:sz w:val="24"/>
          <w:szCs w:val="24"/>
          <w:lang w:val="en-US"/>
        </w:rPr>
        <w:t xml:space="preserve"> of dosing (1-30 mg/kg, PO) in chow-fed C57Bl6 mice only. Both compounds showed similar dose-dependent increases in hepatic and ileal exposure. For both compounds, ileal drug concentrations were approximately two-fold higher compared to the liver (Figure 5).</w:t>
      </w:r>
    </w:p>
    <w:p w14:paraId="21DEDFB0" w14:textId="77777777" w:rsidR="000C22AB" w:rsidRPr="00A234EE" w:rsidRDefault="000C22AB" w:rsidP="00A234EE">
      <w:pPr>
        <w:adjustRightInd w:val="0"/>
        <w:snapToGrid w:val="0"/>
        <w:spacing w:after="0" w:line="360" w:lineRule="auto"/>
        <w:jc w:val="both"/>
        <w:rPr>
          <w:rFonts w:ascii="Book Antiqua" w:hAnsi="Book Antiqua"/>
          <w:sz w:val="24"/>
          <w:szCs w:val="24"/>
          <w:lang w:val="en-US" w:eastAsia="zh-CN"/>
        </w:rPr>
      </w:pPr>
    </w:p>
    <w:p w14:paraId="2D2AB29B" w14:textId="71948814" w:rsidR="00AC7612" w:rsidRPr="00A234EE" w:rsidRDefault="2FCCB97E" w:rsidP="00A234EE">
      <w:pPr>
        <w:adjustRightInd w:val="0"/>
        <w:snapToGrid w:val="0"/>
        <w:spacing w:after="0" w:line="360" w:lineRule="auto"/>
        <w:jc w:val="both"/>
        <w:rPr>
          <w:rFonts w:ascii="Book Antiqua" w:hAnsi="Book Antiqua"/>
          <w:b/>
          <w:bCs/>
          <w:i/>
          <w:sz w:val="24"/>
          <w:szCs w:val="24"/>
          <w:lang w:val="en-US"/>
        </w:rPr>
      </w:pPr>
      <w:r w:rsidRPr="00A234EE">
        <w:rPr>
          <w:rFonts w:ascii="Book Antiqua" w:hAnsi="Book Antiqua"/>
          <w:b/>
          <w:bCs/>
          <w:i/>
          <w:sz w:val="24"/>
          <w:szCs w:val="24"/>
          <w:lang w:val="en-US"/>
        </w:rPr>
        <w:t xml:space="preserve">Impact on INT-767 and </w:t>
      </w:r>
      <w:r w:rsidR="0069479F" w:rsidRPr="00A234EE">
        <w:rPr>
          <w:rFonts w:ascii="Book Antiqua" w:hAnsi="Book Antiqua"/>
          <w:b/>
          <w:bCs/>
          <w:i/>
          <w:sz w:val="24"/>
          <w:szCs w:val="24"/>
          <w:lang w:val="en-US"/>
        </w:rPr>
        <w:t>obeticholic acid</w:t>
      </w:r>
      <w:r w:rsidRPr="00A234EE">
        <w:rPr>
          <w:rFonts w:ascii="Book Antiqua" w:hAnsi="Book Antiqua"/>
          <w:b/>
          <w:bCs/>
          <w:i/>
          <w:sz w:val="24"/>
          <w:szCs w:val="24"/>
          <w:lang w:val="en-US"/>
        </w:rPr>
        <w:t xml:space="preserve"> on ileal and hepatic FXR target gene expression in C57Bl6 mice</w:t>
      </w:r>
    </w:p>
    <w:p w14:paraId="2D2AB29C" w14:textId="6B3F9694" w:rsidR="00730F4B"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Based on RNAseq data, prototypic FXR target genes were selected for analysis upon acute dosing of INT-767 and OCA (1-30 mg/kg, PO) in C57Bl6 mice. Both INT-767 and OCA regulated hepatic FXR genes, however, INT-767 more strongly regulated these genes at the highest dose administered (Figure 6A-D). By contrast, within the ileum, OCA had more pronounced effects that INT-767 to stimulate SHP and FGF-15 (</w:t>
      </w:r>
      <w:r w:rsidR="000C22AB" w:rsidRPr="00A234EE">
        <w:rPr>
          <w:rFonts w:ascii="Book Antiqua" w:hAnsi="Book Antiqua"/>
          <w:sz w:val="24"/>
          <w:szCs w:val="24"/>
          <w:lang w:val="en-US"/>
        </w:rPr>
        <w:t xml:space="preserve">Figure </w:t>
      </w:r>
      <w:r w:rsidRPr="00A234EE">
        <w:rPr>
          <w:rFonts w:ascii="Book Antiqua" w:hAnsi="Book Antiqua"/>
          <w:sz w:val="24"/>
          <w:szCs w:val="24"/>
          <w:lang w:val="en-US"/>
        </w:rPr>
        <w:t>6E</w:t>
      </w:r>
      <w:r w:rsidR="003238D2" w:rsidRPr="00A234EE">
        <w:rPr>
          <w:rFonts w:ascii="Book Antiqua" w:hAnsi="Book Antiqua"/>
          <w:sz w:val="24"/>
          <w:szCs w:val="24"/>
          <w:lang w:val="en-US" w:eastAsia="zh-CN"/>
        </w:rPr>
        <w:t xml:space="preserve"> and </w:t>
      </w:r>
      <w:r w:rsidRPr="00A234EE">
        <w:rPr>
          <w:rFonts w:ascii="Book Antiqua" w:hAnsi="Book Antiqua"/>
          <w:sz w:val="24"/>
          <w:szCs w:val="24"/>
          <w:lang w:val="en-US"/>
        </w:rPr>
        <w:t>F).</w:t>
      </w:r>
    </w:p>
    <w:p w14:paraId="0C44F223" w14:textId="77777777" w:rsidR="000C22AB" w:rsidRPr="00A234EE" w:rsidRDefault="000C22AB" w:rsidP="00A234EE">
      <w:pPr>
        <w:adjustRightInd w:val="0"/>
        <w:snapToGrid w:val="0"/>
        <w:spacing w:after="0" w:line="360" w:lineRule="auto"/>
        <w:jc w:val="both"/>
        <w:rPr>
          <w:rFonts w:ascii="Book Antiqua" w:hAnsi="Book Antiqua"/>
          <w:b/>
          <w:bCs/>
          <w:sz w:val="24"/>
          <w:szCs w:val="24"/>
          <w:lang w:val="en-US" w:eastAsia="zh-CN"/>
        </w:rPr>
      </w:pPr>
    </w:p>
    <w:p w14:paraId="2D2AB29E" w14:textId="52DECBDE" w:rsidR="001D5C21" w:rsidRPr="00A234EE" w:rsidRDefault="2FCCB97E" w:rsidP="00A234EE">
      <w:pPr>
        <w:adjustRightInd w:val="0"/>
        <w:snapToGrid w:val="0"/>
        <w:spacing w:after="0" w:line="360" w:lineRule="auto"/>
        <w:jc w:val="both"/>
        <w:rPr>
          <w:rFonts w:ascii="Book Antiqua" w:hAnsi="Book Antiqua"/>
          <w:i/>
          <w:sz w:val="24"/>
          <w:szCs w:val="24"/>
          <w:lang w:val="en-US"/>
        </w:rPr>
      </w:pPr>
      <w:r w:rsidRPr="00A234EE">
        <w:rPr>
          <w:rFonts w:ascii="Book Antiqua" w:hAnsi="Book Antiqua"/>
          <w:b/>
          <w:bCs/>
          <w:i/>
          <w:sz w:val="24"/>
          <w:szCs w:val="24"/>
          <w:lang w:val="en-US"/>
        </w:rPr>
        <w:t xml:space="preserve">INT-767 shows greater efficacy than </w:t>
      </w:r>
      <w:r w:rsidR="0069479F" w:rsidRPr="00A234EE">
        <w:rPr>
          <w:rFonts w:ascii="Book Antiqua" w:hAnsi="Book Antiqua"/>
          <w:b/>
          <w:bCs/>
          <w:i/>
          <w:sz w:val="24"/>
          <w:szCs w:val="24"/>
          <w:lang w:val="en-US"/>
        </w:rPr>
        <w:t>obeticholic acid</w:t>
      </w:r>
      <w:r w:rsidRPr="00A234EE">
        <w:rPr>
          <w:rFonts w:ascii="Book Antiqua" w:hAnsi="Book Antiqua"/>
          <w:b/>
          <w:bCs/>
          <w:i/>
          <w:sz w:val="24"/>
          <w:szCs w:val="24"/>
          <w:lang w:val="en-US"/>
        </w:rPr>
        <w:t xml:space="preserve"> on liver histopathology after 16 </w:t>
      </w:r>
      <w:r w:rsidR="006513F8" w:rsidRPr="00A234EE">
        <w:rPr>
          <w:rFonts w:ascii="Book Antiqua" w:hAnsi="Book Antiqua"/>
          <w:b/>
          <w:bCs/>
          <w:i/>
          <w:sz w:val="24"/>
          <w:szCs w:val="24"/>
          <w:lang w:val="en-US"/>
        </w:rPr>
        <w:t>wk</w:t>
      </w:r>
      <w:r w:rsidRPr="00A234EE">
        <w:rPr>
          <w:rFonts w:ascii="Book Antiqua" w:hAnsi="Book Antiqua"/>
          <w:b/>
          <w:bCs/>
          <w:i/>
          <w:sz w:val="24"/>
          <w:szCs w:val="24"/>
          <w:lang w:val="en-US"/>
        </w:rPr>
        <w:t xml:space="preserve"> of treatment in </w:t>
      </w:r>
      <w:r w:rsidRPr="00A234EE">
        <w:rPr>
          <w:rFonts w:ascii="Book Antiqua" w:hAnsi="Book Antiqua"/>
          <w:b/>
          <w:bCs/>
          <w:i/>
          <w:iCs/>
          <w:sz w:val="24"/>
          <w:szCs w:val="24"/>
          <w:lang w:val="en-US"/>
        </w:rPr>
        <w:t>ob/ob</w:t>
      </w:r>
      <w:r w:rsidRPr="00A234EE">
        <w:rPr>
          <w:rFonts w:ascii="Book Antiqua" w:hAnsi="Book Antiqua"/>
          <w:b/>
          <w:bCs/>
          <w:i/>
          <w:sz w:val="24"/>
          <w:szCs w:val="24"/>
          <w:lang w:val="en-US"/>
        </w:rPr>
        <w:t>-</w:t>
      </w:r>
      <w:r w:rsidR="006513F8" w:rsidRPr="00A234EE">
        <w:rPr>
          <w:rFonts w:ascii="Book Antiqua" w:hAnsi="Book Antiqua"/>
          <w:i/>
          <w:sz w:val="24"/>
          <w:szCs w:val="24"/>
          <w:lang w:val="en-US"/>
        </w:rPr>
        <w:t xml:space="preserve"> </w:t>
      </w:r>
      <w:r w:rsidR="006513F8" w:rsidRPr="00A234EE">
        <w:rPr>
          <w:rFonts w:ascii="Book Antiqua" w:hAnsi="Book Antiqua"/>
          <w:b/>
          <w:bCs/>
          <w:i/>
          <w:sz w:val="24"/>
          <w:szCs w:val="24"/>
          <w:lang w:val="en-US"/>
        </w:rPr>
        <w:t>non-alcoholic steatohepatitis</w:t>
      </w:r>
      <w:r w:rsidR="006513F8" w:rsidRPr="00A234EE">
        <w:rPr>
          <w:rFonts w:ascii="Book Antiqua" w:hAnsi="Book Antiqua"/>
          <w:b/>
          <w:bCs/>
          <w:i/>
          <w:sz w:val="24"/>
          <w:szCs w:val="24"/>
          <w:lang w:val="en-US" w:eastAsia="zh-CN"/>
        </w:rPr>
        <w:t xml:space="preserve"> </w:t>
      </w:r>
      <w:r w:rsidRPr="00A234EE">
        <w:rPr>
          <w:rFonts w:ascii="Book Antiqua" w:hAnsi="Book Antiqua"/>
          <w:b/>
          <w:bCs/>
          <w:i/>
          <w:sz w:val="24"/>
          <w:szCs w:val="24"/>
          <w:lang w:val="en-US"/>
        </w:rPr>
        <w:t>mice</w:t>
      </w:r>
    </w:p>
    <w:p w14:paraId="2D2AB29F" w14:textId="1346A62C" w:rsidR="00A50E40"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Given that INT-767 showed similar efficacy on hepatic FXR target gene expression, albeit at a lower dose compared to OCA (see above), a comparative study on the pharmacodynamics of potency-adjusted doses of INT-767 (3.0, 10 mg/kg) and OCA (10, 30 mg/kg) was performed in </w:t>
      </w:r>
      <w:r w:rsidRPr="00A234EE">
        <w:rPr>
          <w:rFonts w:ascii="Book Antiqua" w:hAnsi="Book Antiqua"/>
          <w:i/>
          <w:iCs/>
          <w:sz w:val="24"/>
          <w:szCs w:val="24"/>
          <w:lang w:val="en-US"/>
        </w:rPr>
        <w:t>ob/ob</w:t>
      </w:r>
      <w:r w:rsidRPr="00A234EE">
        <w:rPr>
          <w:rFonts w:ascii="Book Antiqua" w:hAnsi="Book Antiqua"/>
          <w:sz w:val="24"/>
          <w:szCs w:val="24"/>
          <w:lang w:val="en-US"/>
        </w:rPr>
        <w:t xml:space="preserve">-NASH mice. To better capture effects on progression of fibrosis treatment was initiated in </w:t>
      </w:r>
      <w:r w:rsidRPr="00A234EE">
        <w:rPr>
          <w:rFonts w:ascii="Book Antiqua" w:hAnsi="Book Antiqua"/>
          <w:i/>
          <w:iCs/>
          <w:sz w:val="24"/>
          <w:szCs w:val="24"/>
          <w:lang w:val="en-US"/>
        </w:rPr>
        <w:t>ob/ob</w:t>
      </w:r>
      <w:r w:rsidRPr="00A234EE">
        <w:rPr>
          <w:rFonts w:ascii="Book Antiqua" w:hAnsi="Book Antiqua"/>
          <w:sz w:val="24"/>
          <w:szCs w:val="24"/>
          <w:lang w:val="en-US"/>
        </w:rPr>
        <w:t xml:space="preserve">-NASH mice fed AMLN diet for 6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w:t>
      </w:r>
      <w:r w:rsidR="003238D2" w:rsidRPr="00A234EE">
        <w:rPr>
          <w:rFonts w:ascii="Book Antiqua" w:hAnsi="Book Antiqua"/>
          <w:i/>
          <w:sz w:val="24"/>
          <w:szCs w:val="24"/>
          <w:lang w:val="en-US"/>
        </w:rPr>
        <w:t>vs</w:t>
      </w:r>
      <w:r w:rsidRPr="00A234EE">
        <w:rPr>
          <w:rFonts w:ascii="Book Antiqua" w:hAnsi="Book Antiqua"/>
          <w:sz w:val="24"/>
          <w:szCs w:val="24"/>
          <w:lang w:val="en-US"/>
        </w:rPr>
        <w:t xml:space="preserve"> 12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in the previous study) and these mice presented with milder baseline NASH (NAS ≥</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4, fibrosis ≥</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stage 1). All tested doses of INT-767 and OCA significantly reduced composite NAS, as compared to baseline (Figure 7</w:t>
      </w:r>
      <w:r w:rsidR="003238D2" w:rsidRPr="00A234EE">
        <w:rPr>
          <w:rFonts w:ascii="Book Antiqua" w:hAnsi="Book Antiqua"/>
          <w:sz w:val="24"/>
          <w:szCs w:val="24"/>
          <w:lang w:val="en-US" w:eastAsia="zh-CN"/>
        </w:rPr>
        <w:t xml:space="preserve"> and </w:t>
      </w:r>
      <w:r w:rsidRPr="00A234EE">
        <w:rPr>
          <w:rFonts w:ascii="Book Antiqua" w:hAnsi="Book Antiqua"/>
          <w:sz w:val="24"/>
          <w:szCs w:val="24"/>
          <w:lang w:val="en-US"/>
        </w:rPr>
        <w:t xml:space="preserve">8). Administration of the highest doses of each compound effectively reduced NAS in all treated </w:t>
      </w:r>
      <w:r w:rsidRPr="00A234EE">
        <w:rPr>
          <w:rFonts w:ascii="Book Antiqua" w:hAnsi="Book Antiqua"/>
          <w:i/>
          <w:iCs/>
          <w:sz w:val="24"/>
          <w:szCs w:val="24"/>
          <w:lang w:val="en-US"/>
        </w:rPr>
        <w:t>ob/ob</w:t>
      </w:r>
      <w:r w:rsidRPr="00A234EE">
        <w:rPr>
          <w:rFonts w:ascii="Book Antiqua" w:hAnsi="Book Antiqua"/>
          <w:sz w:val="24"/>
          <w:szCs w:val="24"/>
          <w:lang w:val="en-US"/>
        </w:rPr>
        <w:t>-NASH mice (Table 2), but also significantly reduced fibrosis scores in the animals (Figure 7</w:t>
      </w:r>
      <w:r w:rsidR="003238D2" w:rsidRPr="00A234EE">
        <w:rPr>
          <w:rFonts w:ascii="Book Antiqua" w:hAnsi="Book Antiqua"/>
          <w:sz w:val="24"/>
          <w:szCs w:val="24"/>
          <w:lang w:val="en-US" w:eastAsia="zh-CN"/>
        </w:rPr>
        <w:t xml:space="preserve"> and </w:t>
      </w:r>
      <w:r w:rsidRPr="00A234EE">
        <w:rPr>
          <w:rFonts w:ascii="Book Antiqua" w:hAnsi="Book Antiqua"/>
          <w:sz w:val="24"/>
          <w:szCs w:val="24"/>
          <w:lang w:val="en-US"/>
        </w:rPr>
        <w:t>8). The ratio of mice achieving &gt;</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1 points improvement in score from baseline were 82% (9/11 animals, INT-767 10 mg/kg) and 57% (4/7 animals, OCA 30 mg/kg), see Table 2.</w:t>
      </w:r>
    </w:p>
    <w:p w14:paraId="263E2003" w14:textId="4A93F647" w:rsidR="000C22AB" w:rsidRPr="00A234EE" w:rsidRDefault="000C22AB" w:rsidP="00A234EE">
      <w:pPr>
        <w:adjustRightInd w:val="0"/>
        <w:snapToGrid w:val="0"/>
        <w:spacing w:after="0" w:line="360" w:lineRule="auto"/>
        <w:ind w:firstLineChars="100" w:firstLine="240"/>
        <w:jc w:val="both"/>
        <w:rPr>
          <w:rFonts w:ascii="Book Antiqua" w:hAnsi="Book Antiqua"/>
          <w:b/>
          <w:bCs/>
          <w:sz w:val="24"/>
          <w:szCs w:val="24"/>
          <w:lang w:val="en-US"/>
        </w:rPr>
      </w:pPr>
      <w:r w:rsidRPr="00A234EE">
        <w:rPr>
          <w:rFonts w:ascii="Book Antiqua" w:hAnsi="Book Antiqua"/>
          <w:sz w:val="24"/>
          <w:szCs w:val="24"/>
          <w:lang w:val="en-US"/>
        </w:rPr>
        <w:lastRenderedPageBreak/>
        <w:t xml:space="preserve">INT-767 and OCA showed corresponding effects on quantitative measures (fractional area) of hepatic steatosis (lipid %), inflammation (galectin-3 %), and collagen deposition (Col1a1 %) in </w:t>
      </w:r>
      <w:r w:rsidRPr="00A234EE">
        <w:rPr>
          <w:rFonts w:ascii="Book Antiqua" w:hAnsi="Book Antiqua"/>
          <w:i/>
          <w:iCs/>
          <w:sz w:val="24"/>
          <w:szCs w:val="24"/>
          <w:lang w:val="en-US"/>
        </w:rPr>
        <w:t>ob/ob</w:t>
      </w:r>
      <w:r w:rsidRPr="00A234EE">
        <w:rPr>
          <w:rFonts w:ascii="Book Antiqua" w:hAnsi="Book Antiqua"/>
          <w:sz w:val="24"/>
          <w:szCs w:val="24"/>
          <w:lang w:val="en-US"/>
        </w:rPr>
        <w:t>-NASH mice. INT-767 showed consistently greater maximal effects on all three parameters, as compared to OCA (Figure 9, Table 3).</w:t>
      </w:r>
    </w:p>
    <w:p w14:paraId="0A3EBF8B" w14:textId="77777777" w:rsidR="00A03F1C" w:rsidRPr="00A234EE" w:rsidRDefault="00A03F1C" w:rsidP="00A234EE">
      <w:pPr>
        <w:adjustRightInd w:val="0"/>
        <w:snapToGrid w:val="0"/>
        <w:spacing w:after="0" w:line="360" w:lineRule="auto"/>
        <w:jc w:val="both"/>
        <w:rPr>
          <w:rFonts w:ascii="Book Antiqua" w:hAnsi="Book Antiqua"/>
          <w:b/>
          <w:bCs/>
          <w:sz w:val="24"/>
          <w:szCs w:val="24"/>
          <w:lang w:val="en-US"/>
        </w:rPr>
      </w:pPr>
    </w:p>
    <w:p w14:paraId="2D2AB2A2" w14:textId="05362BE6" w:rsidR="005F69F1" w:rsidRPr="00A234EE" w:rsidRDefault="2FCCB97E"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sz w:val="24"/>
          <w:szCs w:val="24"/>
          <w:lang w:val="en-US"/>
        </w:rPr>
        <w:t>DISCUSSION</w:t>
      </w:r>
    </w:p>
    <w:p w14:paraId="2D2AB2A3" w14:textId="77777777" w:rsidR="00507969" w:rsidRPr="00A234EE" w:rsidRDefault="2FCCB97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Multiple methods were used to rigorously characterize the effects of INT-767 on liver histopathology in a preclinical mouse model of NASH, alone and in comparison, with OCA, and to determine potential mechanisms underlying INT-767 efficacy on NASH pathology.</w:t>
      </w:r>
    </w:p>
    <w:p w14:paraId="2D2AB2A4" w14:textId="4CC3A2D0" w:rsidR="00160B5C" w:rsidRPr="00A234EE" w:rsidRDefault="7E1455F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The NAS</w:t>
      </w:r>
      <w:r w:rsidR="00E53C34" w:rsidRPr="00A234EE">
        <w:rPr>
          <w:rFonts w:ascii="Book Antiqua" w:hAnsi="Book Antiqua"/>
          <w:sz w:val="24"/>
          <w:szCs w:val="24"/>
          <w:lang w:val="en-US"/>
        </w:rPr>
        <w:t xml:space="preserve"> system and fibrosis staging</w:t>
      </w:r>
      <w:r w:rsidRPr="00A234EE">
        <w:rPr>
          <w:rFonts w:ascii="Book Antiqua" w:hAnsi="Book Antiqua"/>
          <w:sz w:val="24"/>
          <w:szCs w:val="24"/>
          <w:lang w:val="en-US"/>
        </w:rPr>
        <w:t xml:space="preserve"> (developed by the</w:t>
      </w:r>
      <w:r w:rsidR="00607294" w:rsidRPr="00A234EE">
        <w:rPr>
          <w:rFonts w:ascii="Book Antiqua" w:hAnsi="Book Antiqua"/>
          <w:sz w:val="24"/>
          <w:szCs w:val="24"/>
          <w:lang w:val="en-US"/>
        </w:rPr>
        <w:t xml:space="preserve"> NASH Clinical Research Network</w:t>
      </w:r>
      <w:r w:rsidR="00607294" w:rsidRPr="00A234EE">
        <w:rPr>
          <w:rFonts w:ascii="Book Antiqua" w:hAnsi="Book Antiqua"/>
          <w:sz w:val="24"/>
          <w:szCs w:val="24"/>
          <w:vertAlign w:val="superscript"/>
          <w:lang w:val="en-US" w:eastAsia="zh-CN"/>
        </w:rPr>
        <w:t>[21]</w:t>
      </w:r>
      <w:r w:rsidRPr="00A234EE">
        <w:rPr>
          <w:rFonts w:ascii="Book Antiqua" w:hAnsi="Book Antiqua"/>
          <w:sz w:val="24"/>
          <w:szCs w:val="24"/>
          <w:lang w:val="en-US"/>
        </w:rPr>
        <w:t xml:space="preserve">) is a validated </w:t>
      </w:r>
      <w:r w:rsidR="00E53C34" w:rsidRPr="00A234EE">
        <w:rPr>
          <w:rFonts w:ascii="Book Antiqua" w:hAnsi="Book Antiqua"/>
          <w:sz w:val="24"/>
          <w:szCs w:val="24"/>
          <w:lang w:val="en-US"/>
        </w:rPr>
        <w:t xml:space="preserve">morphometric system </w:t>
      </w:r>
      <w:r w:rsidRPr="00A234EE">
        <w:rPr>
          <w:rFonts w:ascii="Book Antiqua" w:hAnsi="Book Antiqua"/>
          <w:sz w:val="24"/>
          <w:szCs w:val="24"/>
          <w:lang w:val="en-US"/>
        </w:rPr>
        <w:t xml:space="preserve">for monitoring histopathological changes </w:t>
      </w:r>
      <w:r w:rsidR="00E53C34" w:rsidRPr="00A234EE">
        <w:rPr>
          <w:rFonts w:ascii="Book Antiqua" w:hAnsi="Book Antiqua"/>
          <w:sz w:val="24"/>
          <w:szCs w:val="24"/>
          <w:lang w:val="en-US"/>
        </w:rPr>
        <w:t xml:space="preserve">in </w:t>
      </w:r>
      <w:r w:rsidRPr="00A234EE">
        <w:rPr>
          <w:rFonts w:ascii="Book Antiqua" w:hAnsi="Book Antiqua"/>
          <w:sz w:val="24"/>
          <w:szCs w:val="24"/>
          <w:lang w:val="en-US"/>
        </w:rPr>
        <w:t>clinical trials</w:t>
      </w:r>
      <w:r w:rsidR="00E53C34" w:rsidRPr="00A234EE">
        <w:rPr>
          <w:rFonts w:ascii="Book Antiqua" w:hAnsi="Book Antiqua"/>
          <w:sz w:val="24"/>
          <w:szCs w:val="24"/>
          <w:lang w:val="en-US"/>
        </w:rPr>
        <w:t xml:space="preserve"> for NASH</w:t>
      </w:r>
      <w:r w:rsidR="005B57B6" w:rsidRPr="00A234EE">
        <w:rPr>
          <w:rFonts w:ascii="Book Antiqua" w:hAnsi="Book Antiqua"/>
          <w:sz w:val="24"/>
          <w:szCs w:val="24"/>
          <w:lang w:val="en-US"/>
        </w:rPr>
        <w:t>.</w:t>
      </w:r>
      <w:r w:rsidR="00240EBB" w:rsidRPr="00A234EE">
        <w:rPr>
          <w:rFonts w:ascii="Book Antiqua" w:hAnsi="Book Antiqua"/>
          <w:sz w:val="24"/>
          <w:szCs w:val="24"/>
          <w:lang w:val="en-US"/>
        </w:rPr>
        <w:t xml:space="preserve"> </w:t>
      </w:r>
      <w:r w:rsidR="00E53C34" w:rsidRPr="00A234EE">
        <w:rPr>
          <w:rFonts w:ascii="Book Antiqua" w:hAnsi="Book Antiqua"/>
          <w:sz w:val="24"/>
          <w:szCs w:val="24"/>
          <w:lang w:val="en-US"/>
        </w:rPr>
        <w:t xml:space="preserve">In the clinic, the incorporation of a baseline biopsy affords the opportunity to further characterize within-subject changes in these parameters, and therefore also applied to </w:t>
      </w:r>
      <w:r w:rsidR="00E53C34" w:rsidRPr="00A234EE">
        <w:rPr>
          <w:rFonts w:ascii="Book Antiqua" w:hAnsi="Book Antiqua"/>
          <w:i/>
          <w:iCs/>
          <w:sz w:val="24"/>
          <w:szCs w:val="24"/>
          <w:lang w:val="en-US"/>
        </w:rPr>
        <w:t>ob/ob</w:t>
      </w:r>
      <w:r w:rsidR="00240EBB" w:rsidRPr="00A234EE">
        <w:rPr>
          <w:rFonts w:ascii="Book Antiqua" w:hAnsi="Book Antiqua"/>
          <w:sz w:val="24"/>
          <w:szCs w:val="24"/>
          <w:lang w:val="en-US"/>
        </w:rPr>
        <w:t>-</w:t>
      </w:r>
      <w:r w:rsidR="00E53C34" w:rsidRPr="00A234EE">
        <w:rPr>
          <w:rFonts w:ascii="Book Antiqua" w:hAnsi="Book Antiqua"/>
          <w:sz w:val="24"/>
          <w:szCs w:val="24"/>
          <w:lang w:val="en-US"/>
        </w:rPr>
        <w:t xml:space="preserve">NASH mice in the present study. </w:t>
      </w:r>
      <w:r w:rsidR="0099667F" w:rsidRPr="00A234EE">
        <w:rPr>
          <w:rFonts w:ascii="Book Antiqua" w:hAnsi="Book Antiqua"/>
          <w:sz w:val="24"/>
          <w:szCs w:val="24"/>
          <w:lang w:val="en-US"/>
        </w:rPr>
        <w:t>H</w:t>
      </w:r>
      <w:r w:rsidR="00E53C34" w:rsidRPr="00A234EE">
        <w:rPr>
          <w:rFonts w:ascii="Book Antiqua" w:hAnsi="Book Antiqua"/>
          <w:sz w:val="24"/>
          <w:szCs w:val="24"/>
          <w:lang w:val="en-US"/>
        </w:rPr>
        <w:t>epatopathology</w:t>
      </w:r>
      <w:r w:rsidRPr="00A234EE">
        <w:rPr>
          <w:rFonts w:ascii="Book Antiqua" w:hAnsi="Book Antiqua"/>
          <w:sz w:val="24"/>
          <w:szCs w:val="24"/>
          <w:lang w:val="en-US"/>
        </w:rPr>
        <w:t xml:space="preserve"> was evident in </w:t>
      </w:r>
      <w:r w:rsidR="00507969" w:rsidRPr="00A234EE">
        <w:rPr>
          <w:rFonts w:ascii="Book Antiqua" w:hAnsi="Book Antiqua"/>
          <w:i/>
          <w:iCs/>
          <w:sz w:val="24"/>
          <w:szCs w:val="24"/>
          <w:lang w:val="en-US"/>
        </w:rPr>
        <w:t>ob/ob</w:t>
      </w:r>
      <w:r w:rsidR="00507969" w:rsidRPr="00A234EE">
        <w:rPr>
          <w:rFonts w:ascii="Book Antiqua" w:hAnsi="Book Antiqua"/>
          <w:sz w:val="24"/>
          <w:szCs w:val="24"/>
          <w:lang w:val="en-US"/>
        </w:rPr>
        <w:t xml:space="preserve">-NASH </w:t>
      </w:r>
      <w:r w:rsidRPr="00A234EE">
        <w:rPr>
          <w:rFonts w:ascii="Book Antiqua" w:hAnsi="Book Antiqua"/>
          <w:sz w:val="24"/>
          <w:szCs w:val="24"/>
          <w:lang w:val="en-US"/>
        </w:rPr>
        <w:t xml:space="preserve">mice maintained on </w:t>
      </w:r>
      <w:r w:rsidR="00E53C34" w:rsidRPr="00A234EE">
        <w:rPr>
          <w:rFonts w:ascii="Book Antiqua" w:hAnsi="Book Antiqua"/>
          <w:sz w:val="24"/>
          <w:szCs w:val="24"/>
          <w:lang w:val="en-US"/>
        </w:rPr>
        <w:t xml:space="preserve">AMLN </w:t>
      </w:r>
      <w:r w:rsidRPr="00A234EE">
        <w:rPr>
          <w:rFonts w:ascii="Book Antiqua" w:hAnsi="Book Antiqua"/>
          <w:sz w:val="24"/>
          <w:szCs w:val="24"/>
          <w:lang w:val="en-US"/>
        </w:rPr>
        <w:t>diet</w:t>
      </w:r>
      <w:r w:rsidR="0099667F" w:rsidRPr="00A234EE">
        <w:rPr>
          <w:rFonts w:ascii="Book Antiqua" w:hAnsi="Book Antiqua"/>
          <w:sz w:val="24"/>
          <w:szCs w:val="24"/>
          <w:lang w:val="en-US"/>
        </w:rPr>
        <w:t xml:space="preserve"> for 12 </w:t>
      </w:r>
      <w:r w:rsidR="006513F8" w:rsidRPr="00A234EE">
        <w:rPr>
          <w:rFonts w:ascii="Book Antiqua" w:hAnsi="Book Antiqua"/>
          <w:sz w:val="24"/>
          <w:szCs w:val="24"/>
          <w:lang w:val="en-US"/>
        </w:rPr>
        <w:t>wk</w:t>
      </w:r>
      <w:r w:rsidRPr="00A234EE">
        <w:rPr>
          <w:rFonts w:ascii="Book Antiqua" w:hAnsi="Book Antiqua"/>
          <w:sz w:val="24"/>
          <w:szCs w:val="24"/>
          <w:lang w:val="en-US"/>
        </w:rPr>
        <w:t>. Consistent with previous publications using this model</w:t>
      </w:r>
      <w:r w:rsidR="00607294" w:rsidRPr="00A234EE">
        <w:rPr>
          <w:rFonts w:ascii="Book Antiqua" w:hAnsi="Book Antiqua"/>
          <w:sz w:val="24"/>
          <w:szCs w:val="24"/>
          <w:vertAlign w:val="superscript"/>
          <w:lang w:val="en-US" w:eastAsia="zh-CN"/>
        </w:rPr>
        <w:t>[18,19,26]</w:t>
      </w:r>
      <w:r w:rsidRPr="00A234EE">
        <w:rPr>
          <w:rFonts w:ascii="Book Antiqua" w:hAnsi="Book Antiqua"/>
          <w:sz w:val="24"/>
          <w:szCs w:val="24"/>
          <w:lang w:val="en-US"/>
        </w:rPr>
        <w:t xml:space="preserve">, </w:t>
      </w:r>
      <w:r w:rsidR="00E74610" w:rsidRPr="00A234EE">
        <w:rPr>
          <w:rFonts w:ascii="Book Antiqua" w:hAnsi="Book Antiqua"/>
          <w:i/>
          <w:iCs/>
          <w:sz w:val="24"/>
          <w:szCs w:val="24"/>
          <w:lang w:val="en-US"/>
        </w:rPr>
        <w:t>ob/ob</w:t>
      </w:r>
      <w:r w:rsidR="00E74610" w:rsidRPr="00A234EE">
        <w:rPr>
          <w:rFonts w:ascii="Book Antiqua" w:hAnsi="Book Antiqua"/>
          <w:sz w:val="24"/>
          <w:szCs w:val="24"/>
          <w:lang w:val="en-US"/>
        </w:rPr>
        <w:t xml:space="preserve">-NASH </w:t>
      </w:r>
      <w:r w:rsidRPr="00A234EE">
        <w:rPr>
          <w:rFonts w:ascii="Book Antiqua" w:hAnsi="Book Antiqua"/>
          <w:sz w:val="24"/>
          <w:szCs w:val="24"/>
          <w:lang w:val="en-US"/>
        </w:rPr>
        <w:t xml:space="preserve">mice present with </w:t>
      </w:r>
      <w:r w:rsidR="00E74610" w:rsidRPr="00A234EE">
        <w:rPr>
          <w:rFonts w:ascii="Book Antiqua" w:hAnsi="Book Antiqua"/>
          <w:sz w:val="24"/>
          <w:szCs w:val="24"/>
          <w:lang w:val="en-US"/>
        </w:rPr>
        <w:t xml:space="preserve">marked </w:t>
      </w:r>
      <w:r w:rsidRPr="00A234EE">
        <w:rPr>
          <w:rFonts w:ascii="Book Antiqua" w:hAnsi="Book Antiqua"/>
          <w:sz w:val="24"/>
          <w:szCs w:val="24"/>
          <w:lang w:val="en-US"/>
        </w:rPr>
        <w:t>steatosis</w:t>
      </w:r>
      <w:r w:rsidR="00F768EE" w:rsidRPr="00A234EE">
        <w:rPr>
          <w:rFonts w:ascii="Book Antiqua" w:hAnsi="Book Antiqua"/>
          <w:sz w:val="24"/>
          <w:szCs w:val="24"/>
          <w:lang w:val="en-US"/>
        </w:rPr>
        <w:t xml:space="preserve"> and</w:t>
      </w:r>
      <w:r w:rsidRPr="00A234EE">
        <w:rPr>
          <w:rFonts w:ascii="Book Antiqua" w:hAnsi="Book Antiqua"/>
          <w:sz w:val="24"/>
          <w:szCs w:val="24"/>
          <w:lang w:val="en-US"/>
        </w:rPr>
        <w:t xml:space="preserve"> inflammation</w:t>
      </w:r>
      <w:r w:rsidR="00F768EE" w:rsidRPr="00A234EE">
        <w:rPr>
          <w:rFonts w:ascii="Book Antiqua" w:hAnsi="Book Antiqua"/>
          <w:sz w:val="24"/>
          <w:szCs w:val="24"/>
          <w:lang w:val="en-US"/>
        </w:rPr>
        <w:t xml:space="preserve">, mild-stage </w:t>
      </w:r>
      <w:r w:rsidRPr="00A234EE">
        <w:rPr>
          <w:rFonts w:ascii="Book Antiqua" w:hAnsi="Book Antiqua"/>
          <w:sz w:val="24"/>
          <w:szCs w:val="24"/>
          <w:lang w:val="en-US"/>
        </w:rPr>
        <w:t xml:space="preserve"> ballooning</w:t>
      </w:r>
      <w:r w:rsidR="00F768EE" w:rsidRPr="00A234EE">
        <w:rPr>
          <w:rFonts w:ascii="Book Antiqua" w:hAnsi="Book Antiqua"/>
          <w:sz w:val="24"/>
          <w:szCs w:val="24"/>
          <w:lang w:val="en-US"/>
        </w:rPr>
        <w:t xml:space="preserve"> </w:t>
      </w:r>
      <w:r w:rsidRPr="00A234EE">
        <w:rPr>
          <w:rFonts w:ascii="Book Antiqua" w:hAnsi="Book Antiqua"/>
          <w:sz w:val="24"/>
          <w:szCs w:val="24"/>
          <w:lang w:val="en-US"/>
        </w:rPr>
        <w:t xml:space="preserve">and </w:t>
      </w:r>
      <w:r w:rsidR="005B57B6" w:rsidRPr="00A234EE">
        <w:rPr>
          <w:rFonts w:ascii="Book Antiqua" w:hAnsi="Book Antiqua"/>
          <w:sz w:val="24"/>
          <w:szCs w:val="24"/>
          <w:lang w:val="en-US"/>
        </w:rPr>
        <w:t>moderate-marked</w:t>
      </w:r>
      <w:r w:rsidR="00F768EE" w:rsidRPr="00A234EE">
        <w:rPr>
          <w:rFonts w:ascii="Book Antiqua" w:hAnsi="Book Antiqua"/>
          <w:sz w:val="24"/>
          <w:szCs w:val="24"/>
          <w:lang w:val="en-US"/>
        </w:rPr>
        <w:t xml:space="preserve"> </w:t>
      </w:r>
      <w:r w:rsidR="005B57B6" w:rsidRPr="00A234EE">
        <w:rPr>
          <w:rFonts w:ascii="Book Antiqua" w:hAnsi="Book Antiqua"/>
          <w:sz w:val="24"/>
          <w:szCs w:val="24"/>
          <w:lang w:val="en-US"/>
        </w:rPr>
        <w:t xml:space="preserve">grades of </w:t>
      </w:r>
      <w:r w:rsidRPr="00A234EE">
        <w:rPr>
          <w:rFonts w:ascii="Book Antiqua" w:hAnsi="Book Antiqua"/>
          <w:sz w:val="24"/>
          <w:szCs w:val="24"/>
          <w:lang w:val="en-US"/>
        </w:rPr>
        <w:t xml:space="preserve">fibrosis. </w:t>
      </w:r>
    </w:p>
    <w:p w14:paraId="2D2AB2A5" w14:textId="3DA82EED" w:rsidR="00C63B56" w:rsidRPr="00A234EE" w:rsidRDefault="2FCCB97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In the initial 8-</w:t>
      </w:r>
      <w:r w:rsidR="00C375DD" w:rsidRPr="00A234EE">
        <w:rPr>
          <w:rFonts w:ascii="Book Antiqua" w:hAnsi="Book Antiqua"/>
          <w:sz w:val="24"/>
          <w:szCs w:val="24"/>
          <w:lang w:val="en-US"/>
        </w:rPr>
        <w:t>wk</w:t>
      </w:r>
      <w:r w:rsidRPr="00A234EE">
        <w:rPr>
          <w:rFonts w:ascii="Book Antiqua" w:hAnsi="Book Antiqua"/>
          <w:sz w:val="24"/>
          <w:szCs w:val="24"/>
          <w:lang w:val="en-US"/>
        </w:rPr>
        <w:t xml:space="preserve"> dose-response study, INT-767 10 mg/kg reduced fibrosis stage (~1 point) and total NAS (~3 points). There was a high responder rate for improvement for steatosis (8/10 mice), inflammation (10/10 mice), hepatocyte ballooning (6/10 mice) scores, and fibrosis stage (10/10 mice). Eight weeks of treatment with INT-767 3 mg/kg was a subthreshold dose for eliciting changes in liver histology in </w:t>
      </w:r>
      <w:r w:rsidRPr="00A234EE">
        <w:rPr>
          <w:rFonts w:ascii="Book Antiqua" w:hAnsi="Book Antiqua"/>
          <w:i/>
          <w:iCs/>
          <w:sz w:val="24"/>
          <w:szCs w:val="24"/>
          <w:lang w:val="en-US"/>
        </w:rPr>
        <w:t>ob/ob-</w:t>
      </w:r>
      <w:r w:rsidRPr="00A234EE">
        <w:rPr>
          <w:rFonts w:ascii="Book Antiqua" w:hAnsi="Book Antiqua"/>
          <w:sz w:val="24"/>
          <w:szCs w:val="24"/>
          <w:lang w:val="en-US"/>
        </w:rPr>
        <w:t xml:space="preserve">NASH mice, which is consistent with low levels of hepatic and ileal exposure of INT-767 (see below) and minimal transcriptional regulation of FXR target genes. Although 3 mg/kg INT-767 was ineffective when initiated after 12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on the diet, some efficacy was noted when this lower dose was initiated after 6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on the diet and over a longer duration in </w:t>
      </w:r>
      <w:r w:rsidRPr="00A234EE">
        <w:rPr>
          <w:rFonts w:ascii="Book Antiqua" w:hAnsi="Book Antiqua"/>
          <w:i/>
          <w:iCs/>
          <w:sz w:val="24"/>
          <w:szCs w:val="24"/>
          <w:lang w:val="en-US"/>
        </w:rPr>
        <w:t>ob/ob</w:t>
      </w:r>
      <w:r w:rsidRPr="00A234EE">
        <w:rPr>
          <w:rFonts w:ascii="Book Antiqua" w:hAnsi="Book Antiqua"/>
          <w:sz w:val="24"/>
          <w:szCs w:val="24"/>
          <w:lang w:val="en-US"/>
        </w:rPr>
        <w:t xml:space="preserve">-NASH mice (OCA </w:t>
      </w:r>
      <w:r w:rsidR="003238D2" w:rsidRPr="00A234EE">
        <w:rPr>
          <w:rFonts w:ascii="Book Antiqua" w:hAnsi="Book Antiqua"/>
          <w:i/>
          <w:sz w:val="24"/>
          <w:szCs w:val="24"/>
          <w:lang w:val="en-US"/>
        </w:rPr>
        <w:t>vs</w:t>
      </w:r>
      <w:r w:rsidRPr="00A234EE">
        <w:rPr>
          <w:rFonts w:ascii="Book Antiqua" w:hAnsi="Book Antiqua"/>
          <w:sz w:val="24"/>
          <w:szCs w:val="24"/>
          <w:lang w:val="en-US"/>
        </w:rPr>
        <w:t xml:space="preserve"> INT-767 comparison study). In sum, blinded qualitative histological assessments </w:t>
      </w:r>
      <w:r w:rsidRPr="00A234EE">
        <w:rPr>
          <w:rFonts w:ascii="Book Antiqua" w:hAnsi="Book Antiqua"/>
          <w:sz w:val="24"/>
          <w:szCs w:val="24"/>
          <w:lang w:val="en-US"/>
        </w:rPr>
        <w:lastRenderedPageBreak/>
        <w:t>of NAS and fibrosis confirmed the efficacy of INT-767 in diet-induced and biopsy-confirmed NASH mice.</w:t>
      </w:r>
    </w:p>
    <w:p w14:paraId="2D2AB2A6" w14:textId="1861AD05" w:rsidR="007D72CF" w:rsidRPr="00A234EE" w:rsidRDefault="004D62F8"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Although not validated for preclinical use, t</w:t>
      </w:r>
      <w:r w:rsidR="00E421EB" w:rsidRPr="00A234EE">
        <w:rPr>
          <w:rFonts w:ascii="Book Antiqua" w:hAnsi="Book Antiqua"/>
          <w:sz w:val="24"/>
          <w:szCs w:val="24"/>
          <w:lang w:val="en-US"/>
        </w:rPr>
        <w:t xml:space="preserve">he human NAS system </w:t>
      </w:r>
      <w:r w:rsidR="00F02414" w:rsidRPr="00A234EE">
        <w:rPr>
          <w:rFonts w:ascii="Book Antiqua" w:hAnsi="Book Antiqua"/>
          <w:sz w:val="24"/>
          <w:szCs w:val="24"/>
          <w:lang w:val="en-US"/>
        </w:rPr>
        <w:t xml:space="preserve">is largely reproducible in NAFLD mouse models </w:t>
      </w:r>
      <w:r w:rsidR="00E421EB" w:rsidRPr="00A234EE">
        <w:rPr>
          <w:rFonts w:ascii="Book Antiqua" w:hAnsi="Book Antiqua"/>
          <w:sz w:val="24"/>
          <w:szCs w:val="24"/>
          <w:lang w:val="en-US"/>
        </w:rPr>
        <w:t>and</w:t>
      </w:r>
      <w:r w:rsidRPr="00A234EE">
        <w:rPr>
          <w:rFonts w:ascii="Book Antiqua" w:hAnsi="Book Antiqua"/>
          <w:sz w:val="24"/>
          <w:szCs w:val="24"/>
          <w:lang w:val="en-US"/>
        </w:rPr>
        <w:t xml:space="preserve"> has been </w:t>
      </w:r>
      <w:r w:rsidR="00F02414" w:rsidRPr="00A234EE">
        <w:rPr>
          <w:rFonts w:ascii="Book Antiqua" w:hAnsi="Book Antiqua"/>
          <w:sz w:val="24"/>
          <w:szCs w:val="24"/>
          <w:lang w:val="en-US"/>
        </w:rPr>
        <w:t>applied in the preclinical assessment of liver histological responses to test compounds</w:t>
      </w:r>
      <w:r w:rsidR="00607294" w:rsidRPr="00A234EE">
        <w:rPr>
          <w:rFonts w:ascii="Book Antiqua" w:hAnsi="Book Antiqua"/>
          <w:sz w:val="24"/>
          <w:szCs w:val="24"/>
          <w:vertAlign w:val="superscript"/>
          <w:lang w:val="en-US" w:eastAsia="zh-CN"/>
        </w:rPr>
        <w:t>[27]</w:t>
      </w:r>
      <w:r w:rsidR="7E1455FE" w:rsidRPr="00A234EE">
        <w:rPr>
          <w:rFonts w:ascii="Book Antiqua" w:hAnsi="Book Antiqua"/>
          <w:sz w:val="24"/>
          <w:szCs w:val="24"/>
          <w:lang w:val="en-US"/>
        </w:rPr>
        <w:t xml:space="preserve">. </w:t>
      </w:r>
      <w:r w:rsidR="00E31E54" w:rsidRPr="00A234EE">
        <w:rPr>
          <w:rFonts w:ascii="Book Antiqua" w:hAnsi="Book Antiqua"/>
          <w:sz w:val="24"/>
          <w:szCs w:val="24"/>
          <w:lang w:val="en-US"/>
        </w:rPr>
        <w:t xml:space="preserve">Despite widespread use, </w:t>
      </w:r>
      <w:r w:rsidR="00E421EB" w:rsidRPr="00A234EE">
        <w:rPr>
          <w:rFonts w:ascii="Book Antiqua" w:hAnsi="Book Antiqua"/>
          <w:sz w:val="24"/>
          <w:szCs w:val="24"/>
          <w:lang w:val="en-US"/>
        </w:rPr>
        <w:t>i</w:t>
      </w:r>
      <w:r w:rsidR="7E1455FE" w:rsidRPr="00A234EE">
        <w:rPr>
          <w:rFonts w:ascii="Book Antiqua" w:hAnsi="Book Antiqua"/>
          <w:sz w:val="24"/>
          <w:szCs w:val="24"/>
          <w:lang w:val="en-US"/>
        </w:rPr>
        <w:t>nherent limitations of this method</w:t>
      </w:r>
      <w:r w:rsidR="005274A6" w:rsidRPr="00A234EE">
        <w:rPr>
          <w:rFonts w:ascii="Book Antiqua" w:hAnsi="Book Antiqua"/>
          <w:sz w:val="24"/>
          <w:szCs w:val="24"/>
          <w:lang w:val="en-US"/>
        </w:rPr>
        <w:t xml:space="preserve"> are</w:t>
      </w:r>
      <w:r w:rsidR="00E31E54" w:rsidRPr="00A234EE">
        <w:rPr>
          <w:rFonts w:ascii="Book Antiqua" w:hAnsi="Book Antiqua"/>
          <w:sz w:val="24"/>
          <w:szCs w:val="24"/>
          <w:lang w:val="en-US"/>
        </w:rPr>
        <w:t xml:space="preserve"> associated with the subjective qualitative scoring technique</w:t>
      </w:r>
      <w:r w:rsidR="7E1455FE" w:rsidRPr="00A234EE">
        <w:rPr>
          <w:rFonts w:ascii="Book Antiqua" w:hAnsi="Book Antiqua"/>
          <w:sz w:val="24"/>
          <w:szCs w:val="24"/>
          <w:lang w:val="en-US"/>
        </w:rPr>
        <w:t xml:space="preserve"> </w:t>
      </w:r>
      <w:r w:rsidR="00E31E54" w:rsidRPr="00A234EE">
        <w:rPr>
          <w:rFonts w:ascii="Book Antiqua" w:hAnsi="Book Antiqua"/>
          <w:sz w:val="24"/>
          <w:szCs w:val="24"/>
          <w:lang w:val="en-US"/>
        </w:rPr>
        <w:t>(</w:t>
      </w:r>
      <w:r w:rsidR="00C375DD" w:rsidRPr="00A234EE">
        <w:rPr>
          <w:rFonts w:ascii="Book Antiqua" w:hAnsi="Book Antiqua"/>
          <w:i/>
          <w:sz w:val="24"/>
          <w:szCs w:val="24"/>
          <w:lang w:val="en-US"/>
        </w:rPr>
        <w:t>e.g.</w:t>
      </w:r>
      <w:r w:rsidR="00E31E54" w:rsidRPr="00A234EE">
        <w:rPr>
          <w:rFonts w:ascii="Book Antiqua" w:hAnsi="Book Antiqua"/>
          <w:sz w:val="24"/>
          <w:szCs w:val="24"/>
          <w:lang w:val="en-US"/>
        </w:rPr>
        <w:t xml:space="preserve">, </w:t>
      </w:r>
      <w:r w:rsidR="7E1455FE" w:rsidRPr="00A234EE">
        <w:rPr>
          <w:rFonts w:ascii="Book Antiqua" w:hAnsi="Book Antiqua"/>
          <w:sz w:val="24"/>
          <w:szCs w:val="24"/>
          <w:lang w:val="en-US"/>
        </w:rPr>
        <w:t xml:space="preserve"> intra- and inter-observer error, mistaking stage scores for measurements</w:t>
      </w:r>
      <w:r w:rsidR="00E31E54" w:rsidRPr="00A234EE">
        <w:rPr>
          <w:rFonts w:ascii="Book Antiqua" w:hAnsi="Book Antiqua"/>
          <w:sz w:val="24"/>
          <w:szCs w:val="24"/>
          <w:lang w:val="en-US"/>
        </w:rPr>
        <w:t>)</w:t>
      </w:r>
      <w:r w:rsidR="7E1455FE" w:rsidRPr="00A234EE">
        <w:rPr>
          <w:rFonts w:ascii="Book Antiqua" w:hAnsi="Book Antiqua"/>
          <w:sz w:val="24"/>
          <w:szCs w:val="24"/>
          <w:lang w:val="en-US"/>
        </w:rPr>
        <w:t xml:space="preserve"> misapplication of statistical </w:t>
      </w:r>
      <w:r w:rsidR="004F202F" w:rsidRPr="00A234EE">
        <w:rPr>
          <w:rFonts w:ascii="Book Antiqua" w:hAnsi="Book Antiqua"/>
          <w:sz w:val="24"/>
          <w:szCs w:val="24"/>
          <w:lang w:val="en-US"/>
        </w:rPr>
        <w:t>analyses</w:t>
      </w:r>
      <w:r w:rsidR="00E31E54" w:rsidRPr="00A234EE">
        <w:rPr>
          <w:rFonts w:ascii="Book Antiqua" w:hAnsi="Book Antiqua"/>
          <w:sz w:val="24"/>
          <w:szCs w:val="24"/>
          <w:lang w:val="en-US"/>
        </w:rPr>
        <w:t xml:space="preserve"> </w:t>
      </w:r>
      <w:r w:rsidR="7E1455FE" w:rsidRPr="00A234EE">
        <w:rPr>
          <w:rFonts w:ascii="Book Antiqua" w:hAnsi="Book Antiqua"/>
          <w:sz w:val="24"/>
          <w:szCs w:val="24"/>
          <w:lang w:val="en-US"/>
        </w:rPr>
        <w:t>(</w:t>
      </w:r>
      <w:r w:rsidR="7E1455FE" w:rsidRPr="00A234EE">
        <w:rPr>
          <w:rFonts w:ascii="Book Antiqua" w:hAnsi="Book Antiqua"/>
          <w:i/>
          <w:sz w:val="24"/>
          <w:szCs w:val="24"/>
          <w:lang w:val="en-US"/>
        </w:rPr>
        <w:t>e.g</w:t>
      </w:r>
      <w:r w:rsidR="003238D2" w:rsidRPr="00A234EE">
        <w:rPr>
          <w:rFonts w:ascii="Book Antiqua" w:hAnsi="Book Antiqua"/>
          <w:i/>
          <w:sz w:val="24"/>
          <w:szCs w:val="24"/>
          <w:lang w:val="en-US" w:eastAsia="zh-CN"/>
        </w:rPr>
        <w:t>.</w:t>
      </w:r>
      <w:r w:rsidR="7E1455FE" w:rsidRPr="00A234EE">
        <w:rPr>
          <w:rFonts w:ascii="Book Antiqua" w:hAnsi="Book Antiqua"/>
          <w:sz w:val="24"/>
          <w:szCs w:val="24"/>
          <w:lang w:val="en-US"/>
        </w:rPr>
        <w:t>, ANOVAs on non-numerical data)</w:t>
      </w:r>
      <w:r w:rsidR="00240EBB" w:rsidRPr="00A234EE">
        <w:rPr>
          <w:rFonts w:ascii="Book Antiqua" w:hAnsi="Book Antiqua"/>
          <w:sz w:val="24"/>
          <w:szCs w:val="24"/>
          <w:lang w:val="en-US"/>
        </w:rPr>
        <w:t>,</w:t>
      </w:r>
      <w:r w:rsidR="7E1455FE" w:rsidRPr="00A234EE">
        <w:rPr>
          <w:rFonts w:ascii="Book Antiqua" w:hAnsi="Book Antiqua"/>
          <w:sz w:val="24"/>
          <w:szCs w:val="24"/>
          <w:lang w:val="en-US"/>
        </w:rPr>
        <w:t xml:space="preserve"> and categorical data tend to provide a relative narrow window for detecting treatment effect</w:t>
      </w:r>
      <w:r w:rsidR="7E1455FE" w:rsidRPr="00A234EE">
        <w:rPr>
          <w:rFonts w:ascii="Book Antiqua" w:hAnsi="Book Antiqua"/>
          <w:sz w:val="24"/>
          <w:szCs w:val="24"/>
          <w:vertAlign w:val="superscript"/>
          <w:lang w:val="en-US"/>
        </w:rPr>
        <w:t>s</w:t>
      </w:r>
      <w:r w:rsidR="00607294" w:rsidRPr="00A234EE">
        <w:rPr>
          <w:rFonts w:ascii="Book Antiqua" w:hAnsi="Book Antiqua"/>
          <w:sz w:val="24"/>
          <w:szCs w:val="24"/>
          <w:vertAlign w:val="superscript"/>
          <w:lang w:val="en-US" w:eastAsia="zh-CN"/>
        </w:rPr>
        <w:t>[28]</w:t>
      </w:r>
      <w:r w:rsidR="7E1455FE" w:rsidRPr="00A234EE">
        <w:rPr>
          <w:rFonts w:ascii="Book Antiqua" w:hAnsi="Book Antiqua"/>
          <w:sz w:val="24"/>
          <w:szCs w:val="24"/>
          <w:lang w:val="en-US"/>
        </w:rPr>
        <w:t>. Additionally, qualitative scoring of disease stage largely assesses architectu</w:t>
      </w:r>
      <w:r w:rsidR="003604DE" w:rsidRPr="00A234EE">
        <w:rPr>
          <w:rFonts w:ascii="Book Antiqua" w:hAnsi="Book Antiqua"/>
          <w:sz w:val="24"/>
          <w:szCs w:val="24"/>
          <w:lang w:val="en-US"/>
        </w:rPr>
        <w:t>r</w:t>
      </w:r>
      <w:r w:rsidR="7E1455FE" w:rsidRPr="00A234EE">
        <w:rPr>
          <w:rFonts w:ascii="Book Antiqua" w:hAnsi="Book Antiqua"/>
          <w:sz w:val="24"/>
          <w:szCs w:val="24"/>
          <w:lang w:val="en-US"/>
        </w:rPr>
        <w:t xml:space="preserve">al changes but is not a </w:t>
      </w:r>
      <w:r w:rsidR="005274A6" w:rsidRPr="00A234EE">
        <w:rPr>
          <w:rFonts w:ascii="Book Antiqua" w:hAnsi="Book Antiqua"/>
          <w:sz w:val="24"/>
          <w:szCs w:val="24"/>
          <w:lang w:val="en-US"/>
        </w:rPr>
        <w:t xml:space="preserve">quantitative </w:t>
      </w:r>
      <w:r w:rsidR="7E1455FE" w:rsidRPr="00A234EE">
        <w:rPr>
          <w:rFonts w:ascii="Book Antiqua" w:hAnsi="Book Antiqua"/>
          <w:sz w:val="24"/>
          <w:szCs w:val="24"/>
          <w:lang w:val="en-US"/>
        </w:rPr>
        <w:t xml:space="preserve">measurement of </w:t>
      </w:r>
      <w:r w:rsidR="005274A6" w:rsidRPr="00A234EE">
        <w:rPr>
          <w:rFonts w:ascii="Book Antiqua" w:hAnsi="Book Antiqua"/>
          <w:sz w:val="24"/>
          <w:szCs w:val="24"/>
          <w:lang w:val="en-US"/>
        </w:rPr>
        <w:t>the</w:t>
      </w:r>
      <w:r w:rsidR="7E1455FE" w:rsidRPr="00A234EE">
        <w:rPr>
          <w:rFonts w:ascii="Book Antiqua" w:hAnsi="Book Antiqua"/>
          <w:sz w:val="24"/>
          <w:szCs w:val="24"/>
          <w:lang w:val="en-US"/>
        </w:rPr>
        <w:t xml:space="preserve"> degree of fibrosis. Given the link between fibrosis progression and long-term outcomes in NASH</w:t>
      </w:r>
      <w:r w:rsidR="00607294" w:rsidRPr="00A234EE">
        <w:rPr>
          <w:rFonts w:ascii="Book Antiqua" w:hAnsi="Book Antiqua"/>
          <w:sz w:val="24"/>
          <w:szCs w:val="24"/>
          <w:vertAlign w:val="superscript"/>
          <w:lang w:val="en-US" w:eastAsia="zh-CN"/>
        </w:rPr>
        <w:t>[29]</w:t>
      </w:r>
      <w:r w:rsidR="7E1455FE" w:rsidRPr="00A234EE">
        <w:rPr>
          <w:rFonts w:ascii="Book Antiqua" w:hAnsi="Book Antiqua"/>
          <w:sz w:val="24"/>
          <w:szCs w:val="24"/>
          <w:lang w:val="en-US"/>
        </w:rPr>
        <w:t xml:space="preserve">, more detailed </w:t>
      </w:r>
      <w:r w:rsidRPr="00A234EE">
        <w:rPr>
          <w:rFonts w:ascii="Book Antiqua" w:hAnsi="Book Antiqua"/>
          <w:sz w:val="24"/>
          <w:szCs w:val="24"/>
          <w:lang w:val="en-US"/>
        </w:rPr>
        <w:t xml:space="preserve">and quantitative </w:t>
      </w:r>
      <w:r w:rsidR="7E1455FE" w:rsidRPr="00A234EE">
        <w:rPr>
          <w:rFonts w:ascii="Book Antiqua" w:hAnsi="Book Antiqua"/>
          <w:sz w:val="24"/>
          <w:szCs w:val="24"/>
          <w:lang w:val="en-US"/>
        </w:rPr>
        <w:t>assessments of fibrosis are warranted.</w:t>
      </w:r>
    </w:p>
    <w:p w14:paraId="2D2AB2A7" w14:textId="254632BD" w:rsidR="00532C48" w:rsidRPr="00A234EE" w:rsidRDefault="7E1455F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To gain further insight into INT-767</w:t>
      </w:r>
      <w:r w:rsidR="00753E38" w:rsidRPr="00A234EE">
        <w:rPr>
          <w:rFonts w:ascii="Book Antiqua" w:hAnsi="Book Antiqua"/>
          <w:sz w:val="24"/>
          <w:szCs w:val="24"/>
          <w:lang w:val="en-US"/>
        </w:rPr>
        <w:t>-induced</w:t>
      </w:r>
      <w:r w:rsidRPr="00A234EE">
        <w:rPr>
          <w:rFonts w:ascii="Book Antiqua" w:hAnsi="Book Antiqua"/>
          <w:sz w:val="24"/>
          <w:szCs w:val="24"/>
          <w:lang w:val="en-US"/>
        </w:rPr>
        <w:t xml:space="preserve"> histologic</w:t>
      </w:r>
      <w:r w:rsidR="00753E38" w:rsidRPr="00A234EE">
        <w:rPr>
          <w:rFonts w:ascii="Book Antiqua" w:hAnsi="Book Antiqua"/>
          <w:sz w:val="24"/>
          <w:szCs w:val="24"/>
          <w:lang w:val="en-US"/>
        </w:rPr>
        <w:t>al</w:t>
      </w:r>
      <w:r w:rsidRPr="00A234EE">
        <w:rPr>
          <w:rFonts w:ascii="Book Antiqua" w:hAnsi="Book Antiqua"/>
          <w:sz w:val="24"/>
          <w:szCs w:val="24"/>
          <w:lang w:val="en-US"/>
        </w:rPr>
        <w:t xml:space="preserve"> improvements</w:t>
      </w:r>
      <w:r w:rsidR="00753E38" w:rsidRPr="00A234EE">
        <w:rPr>
          <w:rFonts w:ascii="Book Antiqua" w:hAnsi="Book Antiqua"/>
          <w:sz w:val="24"/>
          <w:szCs w:val="24"/>
          <w:lang w:val="en-US"/>
        </w:rPr>
        <w:t xml:space="preserve"> in </w:t>
      </w:r>
      <w:r w:rsidR="00753E38" w:rsidRPr="00A234EE">
        <w:rPr>
          <w:rFonts w:ascii="Book Antiqua" w:hAnsi="Book Antiqua"/>
          <w:i/>
          <w:iCs/>
          <w:sz w:val="24"/>
          <w:szCs w:val="24"/>
          <w:lang w:val="en-US"/>
        </w:rPr>
        <w:t>ob/ob</w:t>
      </w:r>
      <w:r w:rsidR="00240EBB" w:rsidRPr="00A234EE">
        <w:rPr>
          <w:rFonts w:ascii="Book Antiqua" w:hAnsi="Book Antiqua"/>
          <w:sz w:val="24"/>
          <w:szCs w:val="24"/>
          <w:lang w:val="en-US"/>
        </w:rPr>
        <w:t>-</w:t>
      </w:r>
      <w:r w:rsidR="00753E38" w:rsidRPr="00A234EE">
        <w:rPr>
          <w:rFonts w:ascii="Book Antiqua" w:hAnsi="Book Antiqua"/>
          <w:sz w:val="24"/>
          <w:szCs w:val="24"/>
          <w:lang w:val="en-US"/>
        </w:rPr>
        <w:t>NASH mice</w:t>
      </w:r>
      <w:r w:rsidRPr="00A234EE">
        <w:rPr>
          <w:rFonts w:ascii="Book Antiqua" w:hAnsi="Book Antiqua"/>
          <w:sz w:val="24"/>
          <w:szCs w:val="24"/>
          <w:lang w:val="en-US"/>
        </w:rPr>
        <w:t>, morphometric features of fibrosis were measured using SHG</w:t>
      </w:r>
      <w:r w:rsidR="00240EBB" w:rsidRPr="00A234EE">
        <w:rPr>
          <w:rFonts w:ascii="Book Antiqua" w:hAnsi="Book Antiqua"/>
          <w:sz w:val="24"/>
          <w:szCs w:val="24"/>
          <w:lang w:val="en-US"/>
        </w:rPr>
        <w:t>/</w:t>
      </w:r>
      <w:r w:rsidRPr="00A234EE">
        <w:rPr>
          <w:rFonts w:ascii="Book Antiqua" w:hAnsi="Book Antiqua"/>
          <w:sz w:val="24"/>
          <w:szCs w:val="24"/>
          <w:lang w:val="en-US"/>
        </w:rPr>
        <w:t>2</w:t>
      </w:r>
      <w:r w:rsidR="00240EBB" w:rsidRPr="00A234EE">
        <w:rPr>
          <w:rFonts w:ascii="Book Antiqua" w:hAnsi="Book Antiqua"/>
          <w:sz w:val="24"/>
          <w:szCs w:val="24"/>
          <w:lang w:val="en-US"/>
        </w:rPr>
        <w:t>-</w:t>
      </w:r>
      <w:r w:rsidRPr="00A234EE">
        <w:rPr>
          <w:rFonts w:ascii="Book Antiqua" w:hAnsi="Book Antiqua"/>
          <w:sz w:val="24"/>
          <w:szCs w:val="24"/>
          <w:lang w:val="en-US"/>
        </w:rPr>
        <w:t>PE microscopy</w:t>
      </w:r>
      <w:r w:rsidR="00607294" w:rsidRPr="00A234EE">
        <w:rPr>
          <w:rFonts w:ascii="Book Antiqua" w:hAnsi="Book Antiqua"/>
          <w:sz w:val="24"/>
          <w:szCs w:val="24"/>
          <w:vertAlign w:val="superscript"/>
          <w:lang w:val="en-US" w:eastAsia="zh-CN"/>
        </w:rPr>
        <w:t>[22]</w:t>
      </w:r>
      <w:r w:rsidRPr="00A234EE">
        <w:rPr>
          <w:rFonts w:ascii="Book Antiqua" w:hAnsi="Book Antiqua"/>
          <w:sz w:val="24"/>
          <w:szCs w:val="24"/>
          <w:lang w:val="en-US"/>
        </w:rPr>
        <w:t>. SHG-2PE is a</w:t>
      </w:r>
      <w:r w:rsidR="00532C48" w:rsidRPr="00A234EE">
        <w:rPr>
          <w:rFonts w:ascii="Book Antiqua" w:hAnsi="Book Antiqua"/>
          <w:sz w:val="24"/>
          <w:szCs w:val="24"/>
          <w:lang w:val="en-US"/>
        </w:rPr>
        <w:t xml:space="preserve"> label-free</w:t>
      </w:r>
      <w:r w:rsidRPr="00A234EE">
        <w:rPr>
          <w:rFonts w:ascii="Book Antiqua" w:hAnsi="Book Antiqua"/>
          <w:sz w:val="24"/>
          <w:szCs w:val="24"/>
          <w:lang w:val="en-US"/>
        </w:rPr>
        <w:t xml:space="preserve"> sensitive </w:t>
      </w:r>
      <w:r w:rsidR="0027188C" w:rsidRPr="00A234EE">
        <w:rPr>
          <w:rFonts w:ascii="Book Antiqua" w:hAnsi="Book Antiqua"/>
          <w:sz w:val="24"/>
          <w:szCs w:val="24"/>
          <w:lang w:val="en-US"/>
        </w:rPr>
        <w:t xml:space="preserve">imaging </w:t>
      </w:r>
      <w:r w:rsidRPr="00A234EE">
        <w:rPr>
          <w:rFonts w:ascii="Book Antiqua" w:hAnsi="Book Antiqua"/>
          <w:sz w:val="24"/>
          <w:szCs w:val="24"/>
          <w:lang w:val="en-US"/>
        </w:rPr>
        <w:t xml:space="preserve">method </w:t>
      </w:r>
      <w:r w:rsidR="0027188C" w:rsidRPr="00A234EE">
        <w:rPr>
          <w:rFonts w:ascii="Book Antiqua" w:hAnsi="Book Antiqua"/>
          <w:sz w:val="24"/>
          <w:szCs w:val="24"/>
          <w:lang w:val="en-US"/>
        </w:rPr>
        <w:t>for the detection of</w:t>
      </w:r>
      <w:r w:rsidRPr="00A234EE">
        <w:rPr>
          <w:rFonts w:ascii="Book Antiqua" w:hAnsi="Book Antiqua"/>
          <w:sz w:val="24"/>
          <w:szCs w:val="24"/>
          <w:lang w:val="en-US"/>
        </w:rPr>
        <w:t xml:space="preserve"> </w:t>
      </w:r>
      <w:r w:rsidR="0027188C" w:rsidRPr="00A234EE">
        <w:rPr>
          <w:rFonts w:ascii="Book Antiqua" w:hAnsi="Book Antiqua"/>
          <w:sz w:val="24"/>
          <w:szCs w:val="24"/>
          <w:lang w:val="en-US"/>
        </w:rPr>
        <w:t xml:space="preserve">tissue structural </w:t>
      </w:r>
      <w:r w:rsidRPr="00A234EE">
        <w:rPr>
          <w:rFonts w:ascii="Book Antiqua" w:hAnsi="Book Antiqua"/>
          <w:sz w:val="24"/>
          <w:szCs w:val="24"/>
          <w:lang w:val="en-US"/>
        </w:rPr>
        <w:t>dissym</w:t>
      </w:r>
      <w:r w:rsidR="00934166" w:rsidRPr="00A234EE">
        <w:rPr>
          <w:rFonts w:ascii="Book Antiqua" w:hAnsi="Book Antiqua"/>
          <w:sz w:val="24"/>
          <w:szCs w:val="24"/>
          <w:lang w:val="en-US"/>
        </w:rPr>
        <w:t>m</w:t>
      </w:r>
      <w:r w:rsidRPr="00A234EE">
        <w:rPr>
          <w:rFonts w:ascii="Book Antiqua" w:hAnsi="Book Antiqua"/>
          <w:sz w:val="24"/>
          <w:szCs w:val="24"/>
          <w:lang w:val="en-US"/>
        </w:rPr>
        <w:t xml:space="preserve">etry </w:t>
      </w:r>
      <w:r w:rsidR="00A80952" w:rsidRPr="00A234EE">
        <w:rPr>
          <w:rFonts w:ascii="Book Antiqua" w:hAnsi="Book Antiqua"/>
          <w:sz w:val="24"/>
          <w:szCs w:val="24"/>
          <w:lang w:val="en-US"/>
        </w:rPr>
        <w:t>and</w:t>
      </w:r>
      <w:r w:rsidRPr="00A234EE">
        <w:rPr>
          <w:rFonts w:ascii="Book Antiqua" w:hAnsi="Book Antiqua"/>
          <w:sz w:val="24"/>
          <w:szCs w:val="24"/>
          <w:lang w:val="en-US"/>
        </w:rPr>
        <w:t xml:space="preserve"> </w:t>
      </w:r>
      <w:r w:rsidR="00532C48" w:rsidRPr="00A234EE">
        <w:rPr>
          <w:rFonts w:ascii="Book Antiqua" w:hAnsi="Book Antiqua"/>
          <w:sz w:val="24"/>
          <w:szCs w:val="24"/>
          <w:lang w:val="en-US"/>
        </w:rPr>
        <w:t>for imaging and</w:t>
      </w:r>
      <w:r w:rsidR="0027188C" w:rsidRPr="00A234EE">
        <w:rPr>
          <w:rFonts w:ascii="Book Antiqua" w:hAnsi="Book Antiqua"/>
          <w:sz w:val="24"/>
          <w:szCs w:val="24"/>
          <w:lang w:val="en-US"/>
        </w:rPr>
        <w:t xml:space="preserve"> quantitative assessment of </w:t>
      </w:r>
      <w:r w:rsidRPr="00A234EE">
        <w:rPr>
          <w:rFonts w:ascii="Book Antiqua" w:hAnsi="Book Antiqua"/>
          <w:sz w:val="24"/>
          <w:szCs w:val="24"/>
          <w:lang w:val="en-US"/>
        </w:rPr>
        <w:t>collagen fiber</w:t>
      </w:r>
      <w:r w:rsidR="00532C48" w:rsidRPr="00A234EE">
        <w:rPr>
          <w:rFonts w:ascii="Book Antiqua" w:hAnsi="Book Antiqua"/>
          <w:sz w:val="24"/>
          <w:szCs w:val="24"/>
          <w:lang w:val="en-US"/>
        </w:rPr>
        <w:t xml:space="preserve"> specifically</w:t>
      </w:r>
      <w:r w:rsidRPr="00A234EE">
        <w:rPr>
          <w:rFonts w:ascii="Book Antiqua" w:hAnsi="Book Antiqua"/>
          <w:sz w:val="24"/>
          <w:szCs w:val="24"/>
          <w:lang w:val="en-US"/>
        </w:rPr>
        <w:t xml:space="preserve"> with non-centrosymmetric structures like collagen 1 and 3 which are key contributors for hepatic fibrosis</w:t>
      </w:r>
      <w:r w:rsidR="00607294" w:rsidRPr="00A234EE">
        <w:rPr>
          <w:rFonts w:ascii="Book Antiqua" w:hAnsi="Book Antiqua"/>
          <w:sz w:val="24"/>
          <w:szCs w:val="24"/>
          <w:vertAlign w:val="superscript"/>
          <w:lang w:val="en-US" w:eastAsia="zh-CN"/>
        </w:rPr>
        <w:t>[30]</w:t>
      </w:r>
      <w:r w:rsidRPr="00A234EE">
        <w:rPr>
          <w:rFonts w:ascii="Book Antiqua" w:hAnsi="Book Antiqua"/>
          <w:sz w:val="24"/>
          <w:szCs w:val="24"/>
          <w:lang w:val="en-US"/>
        </w:rPr>
        <w:t xml:space="preserve">. </w:t>
      </w:r>
      <w:r w:rsidR="00532C48" w:rsidRPr="00A234EE">
        <w:rPr>
          <w:rFonts w:ascii="Book Antiqua" w:hAnsi="Book Antiqua"/>
          <w:sz w:val="24"/>
          <w:szCs w:val="24"/>
          <w:lang w:val="en-US"/>
        </w:rPr>
        <w:t xml:space="preserve">Accordingly, a significant correlation was observed between quantitative liver collagen levels (expressed as percent collagen area of total parenchymal area) using label free SHG and the collagen 1a1 immunoreactivity. SHG imaging also demonstrated that INT-767 reduced the intensity of the collagen fiber signal (collagen fiber density), but did not affect collagen network complexity (reticulation index). </w:t>
      </w:r>
    </w:p>
    <w:p w14:paraId="2D2AB2A8" w14:textId="0E8DCB61" w:rsidR="00660A07" w:rsidRPr="00A234EE" w:rsidRDefault="7E1455F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The present studies also inc</w:t>
      </w:r>
      <w:r w:rsidR="00B07EFC" w:rsidRPr="00A234EE">
        <w:rPr>
          <w:rFonts w:ascii="Book Antiqua" w:hAnsi="Book Antiqua"/>
          <w:sz w:val="24"/>
          <w:szCs w:val="24"/>
          <w:lang w:val="en-US"/>
        </w:rPr>
        <w:t>luded</w:t>
      </w:r>
      <w:r w:rsidRPr="00A234EE">
        <w:rPr>
          <w:rFonts w:ascii="Book Antiqua" w:hAnsi="Book Antiqua"/>
          <w:sz w:val="24"/>
          <w:szCs w:val="24"/>
          <w:lang w:val="en-US"/>
        </w:rPr>
        <w:t xml:space="preserve"> biochemical</w:t>
      </w:r>
      <w:r w:rsidR="00DD509C" w:rsidRPr="00A234EE">
        <w:rPr>
          <w:rFonts w:ascii="Book Antiqua" w:hAnsi="Book Antiqua"/>
          <w:sz w:val="24"/>
          <w:szCs w:val="24"/>
          <w:lang w:val="en-US"/>
        </w:rPr>
        <w:t xml:space="preserve"> assessments</w:t>
      </w:r>
      <w:r w:rsidRPr="00A234EE">
        <w:rPr>
          <w:rFonts w:ascii="Book Antiqua" w:hAnsi="Book Antiqua"/>
          <w:sz w:val="24"/>
          <w:szCs w:val="24"/>
          <w:lang w:val="en-US"/>
        </w:rPr>
        <w:t xml:space="preserve">, </w:t>
      </w:r>
      <w:r w:rsidR="00B07EFC" w:rsidRPr="00A234EE">
        <w:rPr>
          <w:rFonts w:ascii="Book Antiqua" w:hAnsi="Book Antiqua"/>
          <w:sz w:val="24"/>
          <w:szCs w:val="24"/>
          <w:lang w:val="en-US"/>
        </w:rPr>
        <w:t>HE staining</w:t>
      </w:r>
      <w:r w:rsidRPr="00A234EE">
        <w:rPr>
          <w:rFonts w:ascii="Book Antiqua" w:hAnsi="Book Antiqua"/>
          <w:sz w:val="24"/>
          <w:szCs w:val="24"/>
          <w:lang w:val="en-US"/>
        </w:rPr>
        <w:t xml:space="preserve"> and label-free SHG</w:t>
      </w:r>
      <w:r w:rsidR="00240EBB" w:rsidRPr="00A234EE">
        <w:rPr>
          <w:rFonts w:ascii="Book Antiqua" w:hAnsi="Book Antiqua"/>
          <w:sz w:val="24"/>
          <w:szCs w:val="24"/>
          <w:lang w:val="en-US"/>
        </w:rPr>
        <w:t>/</w:t>
      </w:r>
      <w:r w:rsidRPr="00A234EE">
        <w:rPr>
          <w:rFonts w:ascii="Book Antiqua" w:hAnsi="Book Antiqua"/>
          <w:sz w:val="24"/>
          <w:szCs w:val="24"/>
          <w:lang w:val="en-US"/>
        </w:rPr>
        <w:t>2</w:t>
      </w:r>
      <w:r w:rsidR="00240EBB" w:rsidRPr="00A234EE">
        <w:rPr>
          <w:rFonts w:ascii="Book Antiqua" w:hAnsi="Book Antiqua"/>
          <w:sz w:val="24"/>
          <w:szCs w:val="24"/>
          <w:lang w:val="en-US"/>
        </w:rPr>
        <w:t>-</w:t>
      </w:r>
      <w:r w:rsidRPr="00A234EE">
        <w:rPr>
          <w:rFonts w:ascii="Book Antiqua" w:hAnsi="Book Antiqua"/>
          <w:sz w:val="24"/>
          <w:szCs w:val="24"/>
          <w:lang w:val="en-US"/>
        </w:rPr>
        <w:t xml:space="preserve">PE </w:t>
      </w:r>
      <w:r w:rsidR="008533C5" w:rsidRPr="00A234EE">
        <w:rPr>
          <w:rFonts w:ascii="Book Antiqua" w:hAnsi="Book Antiqua"/>
          <w:sz w:val="24"/>
          <w:szCs w:val="24"/>
          <w:lang w:val="en-US"/>
        </w:rPr>
        <w:t xml:space="preserve">analyses </w:t>
      </w:r>
      <w:r w:rsidRPr="00A234EE">
        <w:rPr>
          <w:rFonts w:ascii="Book Antiqua" w:hAnsi="Book Antiqua"/>
          <w:sz w:val="24"/>
          <w:szCs w:val="24"/>
          <w:lang w:val="en-US"/>
        </w:rPr>
        <w:t xml:space="preserve">to </w:t>
      </w:r>
      <w:r w:rsidR="008533C5" w:rsidRPr="00A234EE">
        <w:rPr>
          <w:rFonts w:ascii="Book Antiqua" w:hAnsi="Book Antiqua"/>
          <w:sz w:val="24"/>
          <w:szCs w:val="24"/>
          <w:lang w:val="en-US"/>
        </w:rPr>
        <w:t>determine</w:t>
      </w:r>
      <w:r w:rsidRPr="00A234EE">
        <w:rPr>
          <w:rFonts w:ascii="Book Antiqua" w:hAnsi="Book Antiqua"/>
          <w:sz w:val="24"/>
          <w:szCs w:val="24"/>
          <w:lang w:val="en-US"/>
        </w:rPr>
        <w:t xml:space="preserve"> effects of INT-767 on hepatic lipid</w:t>
      </w:r>
      <w:r w:rsidR="00DD509C" w:rsidRPr="00A234EE">
        <w:rPr>
          <w:rFonts w:ascii="Book Antiqua" w:hAnsi="Book Antiqua"/>
          <w:sz w:val="24"/>
          <w:szCs w:val="24"/>
          <w:lang w:val="en-US"/>
        </w:rPr>
        <w:t xml:space="preserve"> </w:t>
      </w:r>
      <w:r w:rsidR="004D62F8" w:rsidRPr="00A234EE">
        <w:rPr>
          <w:rFonts w:ascii="Book Antiqua" w:hAnsi="Book Antiqua"/>
          <w:sz w:val="24"/>
          <w:szCs w:val="24"/>
          <w:lang w:val="en-US"/>
        </w:rPr>
        <w:t>parameters</w:t>
      </w:r>
      <w:r w:rsidRPr="00A234EE">
        <w:rPr>
          <w:rFonts w:ascii="Book Antiqua" w:hAnsi="Book Antiqua"/>
          <w:sz w:val="24"/>
          <w:szCs w:val="24"/>
          <w:lang w:val="en-US"/>
        </w:rPr>
        <w:t xml:space="preserve">. </w:t>
      </w:r>
      <w:r w:rsidR="00DD509C" w:rsidRPr="00A234EE">
        <w:rPr>
          <w:rFonts w:ascii="Book Antiqua" w:hAnsi="Book Antiqua"/>
          <w:sz w:val="24"/>
          <w:szCs w:val="24"/>
          <w:lang w:val="en-US"/>
        </w:rPr>
        <w:t xml:space="preserve">INT-767 </w:t>
      </w:r>
      <w:r w:rsidR="00A80952" w:rsidRPr="00A234EE">
        <w:rPr>
          <w:rFonts w:ascii="Book Antiqua" w:hAnsi="Book Antiqua"/>
          <w:sz w:val="24"/>
          <w:szCs w:val="24"/>
          <w:lang w:val="en-US"/>
        </w:rPr>
        <w:t>dose-dependently reduced</w:t>
      </w:r>
      <w:r w:rsidR="00B07EFC" w:rsidRPr="00A234EE">
        <w:rPr>
          <w:rFonts w:ascii="Book Antiqua" w:hAnsi="Book Antiqua"/>
          <w:sz w:val="24"/>
          <w:szCs w:val="24"/>
          <w:lang w:val="en-US"/>
        </w:rPr>
        <w:t xml:space="preserve"> hepatic total cholesterol and liver triglyceride </w:t>
      </w:r>
      <w:r w:rsidR="00A80952" w:rsidRPr="00A234EE">
        <w:rPr>
          <w:rFonts w:ascii="Book Antiqua" w:hAnsi="Book Antiqua"/>
          <w:sz w:val="24"/>
          <w:szCs w:val="24"/>
          <w:lang w:val="en-US"/>
        </w:rPr>
        <w:t>levels</w:t>
      </w:r>
      <w:r w:rsidRPr="00A234EE">
        <w:rPr>
          <w:rFonts w:ascii="Book Antiqua" w:hAnsi="Book Antiqua"/>
          <w:sz w:val="24"/>
          <w:szCs w:val="24"/>
          <w:lang w:val="en-US"/>
        </w:rPr>
        <w:t>. In addition to improv</w:t>
      </w:r>
      <w:r w:rsidR="00A80952" w:rsidRPr="00A234EE">
        <w:rPr>
          <w:rFonts w:ascii="Book Antiqua" w:hAnsi="Book Antiqua"/>
          <w:sz w:val="24"/>
          <w:szCs w:val="24"/>
          <w:lang w:val="en-US"/>
        </w:rPr>
        <w:t>ing</w:t>
      </w:r>
      <w:r w:rsidRPr="00A234EE">
        <w:rPr>
          <w:rFonts w:ascii="Book Antiqua" w:hAnsi="Book Antiqua"/>
          <w:sz w:val="24"/>
          <w:szCs w:val="24"/>
          <w:lang w:val="en-US"/>
        </w:rPr>
        <w:t xml:space="preserve"> steatosis scor</w:t>
      </w:r>
      <w:r w:rsidR="00B07EFC" w:rsidRPr="00A234EE">
        <w:rPr>
          <w:rFonts w:ascii="Book Antiqua" w:hAnsi="Book Antiqua"/>
          <w:sz w:val="24"/>
          <w:szCs w:val="24"/>
          <w:lang w:val="en-US"/>
        </w:rPr>
        <w:t>es</w:t>
      </w:r>
      <w:r w:rsidRPr="00A234EE">
        <w:rPr>
          <w:rFonts w:ascii="Book Antiqua" w:hAnsi="Book Antiqua"/>
          <w:sz w:val="24"/>
          <w:szCs w:val="24"/>
          <w:lang w:val="en-US"/>
        </w:rPr>
        <w:t xml:space="preserve">, liver lipid fractional area </w:t>
      </w:r>
      <w:r w:rsidR="008533C5" w:rsidRPr="00A234EE">
        <w:rPr>
          <w:rFonts w:ascii="Book Antiqua" w:hAnsi="Book Antiqua"/>
          <w:sz w:val="24"/>
          <w:szCs w:val="24"/>
          <w:lang w:val="en-US"/>
        </w:rPr>
        <w:t xml:space="preserve">(HE staining) </w:t>
      </w:r>
      <w:r w:rsidRPr="00A234EE">
        <w:rPr>
          <w:rFonts w:ascii="Book Antiqua" w:hAnsi="Book Antiqua"/>
          <w:sz w:val="24"/>
          <w:szCs w:val="24"/>
          <w:lang w:val="en-US"/>
        </w:rPr>
        <w:t xml:space="preserve">was </w:t>
      </w:r>
      <w:r w:rsidR="00DD509C" w:rsidRPr="00A234EE">
        <w:rPr>
          <w:rFonts w:ascii="Book Antiqua" w:hAnsi="Book Antiqua"/>
          <w:sz w:val="24"/>
          <w:szCs w:val="24"/>
          <w:lang w:val="en-US"/>
        </w:rPr>
        <w:t xml:space="preserve">also </w:t>
      </w:r>
      <w:r w:rsidR="008533C5" w:rsidRPr="00A234EE">
        <w:rPr>
          <w:rFonts w:ascii="Book Antiqua" w:hAnsi="Book Antiqua"/>
          <w:sz w:val="24"/>
          <w:szCs w:val="24"/>
          <w:lang w:val="en-US"/>
        </w:rPr>
        <w:t xml:space="preserve">markedly </w:t>
      </w:r>
      <w:r w:rsidRPr="00A234EE">
        <w:rPr>
          <w:rFonts w:ascii="Book Antiqua" w:hAnsi="Book Antiqua"/>
          <w:sz w:val="24"/>
          <w:szCs w:val="24"/>
          <w:lang w:val="en-US"/>
        </w:rPr>
        <w:t xml:space="preserve">reduced by INT-767. </w:t>
      </w:r>
      <w:r w:rsidR="00DD509C" w:rsidRPr="00A234EE">
        <w:rPr>
          <w:rFonts w:ascii="Book Antiqua" w:hAnsi="Book Antiqua"/>
          <w:sz w:val="24"/>
          <w:szCs w:val="24"/>
          <w:lang w:val="en-US"/>
        </w:rPr>
        <w:t>Quantitative m</w:t>
      </w:r>
      <w:r w:rsidRPr="00A234EE">
        <w:rPr>
          <w:rFonts w:ascii="Book Antiqua" w:hAnsi="Book Antiqua"/>
          <w:sz w:val="24"/>
          <w:szCs w:val="24"/>
          <w:lang w:val="en-US"/>
        </w:rPr>
        <w:t>orphometric analyses</w:t>
      </w:r>
      <w:r w:rsidR="00DD509C" w:rsidRPr="00A234EE">
        <w:rPr>
          <w:rFonts w:ascii="Book Antiqua" w:hAnsi="Book Antiqua"/>
          <w:sz w:val="24"/>
          <w:szCs w:val="24"/>
          <w:lang w:val="en-US"/>
        </w:rPr>
        <w:t xml:space="preserve"> by SHG</w:t>
      </w:r>
      <w:r w:rsidR="00240EBB" w:rsidRPr="00A234EE">
        <w:rPr>
          <w:rFonts w:ascii="Book Antiqua" w:hAnsi="Book Antiqua"/>
          <w:sz w:val="24"/>
          <w:szCs w:val="24"/>
          <w:lang w:val="en-US"/>
        </w:rPr>
        <w:t>/</w:t>
      </w:r>
      <w:r w:rsidR="00DD509C" w:rsidRPr="00A234EE">
        <w:rPr>
          <w:rFonts w:ascii="Book Antiqua" w:hAnsi="Book Antiqua"/>
          <w:sz w:val="24"/>
          <w:szCs w:val="24"/>
          <w:lang w:val="en-US"/>
        </w:rPr>
        <w:t>2</w:t>
      </w:r>
      <w:r w:rsidR="00240EBB" w:rsidRPr="00A234EE">
        <w:rPr>
          <w:rFonts w:ascii="Book Antiqua" w:hAnsi="Book Antiqua"/>
          <w:sz w:val="24"/>
          <w:szCs w:val="24"/>
          <w:lang w:val="en-US"/>
        </w:rPr>
        <w:t>-</w:t>
      </w:r>
      <w:r w:rsidR="00DD509C" w:rsidRPr="00A234EE">
        <w:rPr>
          <w:rFonts w:ascii="Book Antiqua" w:hAnsi="Book Antiqua"/>
          <w:sz w:val="24"/>
          <w:szCs w:val="24"/>
          <w:lang w:val="en-US"/>
        </w:rPr>
        <w:t>PE imaging</w:t>
      </w:r>
      <w:r w:rsidRPr="00A234EE">
        <w:rPr>
          <w:rFonts w:ascii="Book Antiqua" w:hAnsi="Book Antiqua"/>
          <w:sz w:val="24"/>
          <w:szCs w:val="24"/>
          <w:lang w:val="en-US"/>
        </w:rPr>
        <w:t xml:space="preserve"> </w:t>
      </w:r>
      <w:r w:rsidR="00DD509C" w:rsidRPr="00A234EE">
        <w:rPr>
          <w:rFonts w:ascii="Book Antiqua" w:hAnsi="Book Antiqua"/>
          <w:sz w:val="24"/>
          <w:szCs w:val="24"/>
          <w:lang w:val="en-US"/>
        </w:rPr>
        <w:t>confirmed this observation, and</w:t>
      </w:r>
      <w:r w:rsidR="00240EBB" w:rsidRPr="00A234EE">
        <w:rPr>
          <w:rFonts w:ascii="Book Antiqua" w:hAnsi="Book Antiqua"/>
          <w:sz w:val="24"/>
          <w:szCs w:val="24"/>
          <w:lang w:val="en-US"/>
        </w:rPr>
        <w:t xml:space="preserve"> </w:t>
      </w:r>
      <w:r w:rsidRPr="00A234EE">
        <w:rPr>
          <w:rFonts w:ascii="Book Antiqua" w:hAnsi="Book Antiqua"/>
          <w:sz w:val="24"/>
          <w:szCs w:val="24"/>
          <w:lang w:val="en-US"/>
        </w:rPr>
        <w:t xml:space="preserve">revealed that INT-767 </w:t>
      </w:r>
      <w:r w:rsidR="00DD509C" w:rsidRPr="00A234EE">
        <w:rPr>
          <w:rFonts w:ascii="Book Antiqua" w:hAnsi="Book Antiqua"/>
          <w:sz w:val="24"/>
          <w:szCs w:val="24"/>
          <w:lang w:val="en-US"/>
        </w:rPr>
        <w:t xml:space="preserve">significantly </w:t>
      </w:r>
      <w:r w:rsidR="00A85875" w:rsidRPr="00A234EE">
        <w:rPr>
          <w:rFonts w:ascii="Book Antiqua" w:hAnsi="Book Antiqua"/>
          <w:sz w:val="24"/>
          <w:szCs w:val="24"/>
          <w:lang w:val="en-US"/>
        </w:rPr>
        <w:t xml:space="preserve">reduced </w:t>
      </w:r>
      <w:r w:rsidR="00DD509C" w:rsidRPr="00A234EE">
        <w:rPr>
          <w:rFonts w:ascii="Book Antiqua" w:hAnsi="Book Antiqua"/>
          <w:sz w:val="24"/>
          <w:szCs w:val="24"/>
          <w:lang w:val="en-US"/>
        </w:rPr>
        <w:t>ves</w:t>
      </w:r>
      <w:r w:rsidR="00A85875" w:rsidRPr="00A234EE">
        <w:rPr>
          <w:rFonts w:ascii="Book Antiqua" w:hAnsi="Book Antiqua"/>
          <w:sz w:val="24"/>
          <w:szCs w:val="24"/>
          <w:lang w:val="en-US"/>
        </w:rPr>
        <w:t xml:space="preserve">icular </w:t>
      </w:r>
      <w:r w:rsidR="00DD509C" w:rsidRPr="00A234EE">
        <w:rPr>
          <w:rFonts w:ascii="Book Antiqua" w:hAnsi="Book Antiqua"/>
          <w:sz w:val="24"/>
          <w:szCs w:val="24"/>
          <w:lang w:val="en-US"/>
        </w:rPr>
        <w:t xml:space="preserve">lipid droplet size </w:t>
      </w:r>
      <w:r w:rsidRPr="00A234EE">
        <w:rPr>
          <w:rFonts w:ascii="Book Antiqua" w:hAnsi="Book Antiqua"/>
          <w:sz w:val="24"/>
          <w:szCs w:val="24"/>
          <w:lang w:val="en-US"/>
        </w:rPr>
        <w:t xml:space="preserve">with a clear shift towards smaller size lipid droplet across the </w:t>
      </w:r>
      <w:r w:rsidRPr="00A234EE">
        <w:rPr>
          <w:rFonts w:ascii="Book Antiqua" w:hAnsi="Book Antiqua"/>
          <w:sz w:val="24"/>
          <w:szCs w:val="24"/>
          <w:lang w:val="en-US"/>
        </w:rPr>
        <w:lastRenderedPageBreak/>
        <w:t xml:space="preserve">range of possible </w:t>
      </w:r>
      <w:r w:rsidR="00DD509C" w:rsidRPr="00A234EE">
        <w:rPr>
          <w:rFonts w:ascii="Book Antiqua" w:hAnsi="Book Antiqua"/>
          <w:sz w:val="24"/>
          <w:szCs w:val="24"/>
          <w:lang w:val="en-US"/>
        </w:rPr>
        <w:t xml:space="preserve">droplet </w:t>
      </w:r>
      <w:r w:rsidRPr="00A234EE">
        <w:rPr>
          <w:rFonts w:ascii="Book Antiqua" w:hAnsi="Book Antiqua"/>
          <w:sz w:val="24"/>
          <w:szCs w:val="24"/>
          <w:lang w:val="en-US"/>
        </w:rPr>
        <w:t>diameters</w:t>
      </w:r>
      <w:r w:rsidR="00A80952" w:rsidRPr="00A234EE">
        <w:rPr>
          <w:rFonts w:ascii="Book Antiqua" w:hAnsi="Book Antiqua"/>
          <w:sz w:val="24"/>
          <w:szCs w:val="24"/>
          <w:lang w:val="en-US"/>
        </w:rPr>
        <w:t xml:space="preserve">. </w:t>
      </w:r>
      <w:r w:rsidRPr="00A234EE">
        <w:rPr>
          <w:rFonts w:ascii="Book Antiqua" w:hAnsi="Book Antiqua"/>
          <w:sz w:val="24"/>
          <w:szCs w:val="24"/>
          <w:lang w:val="en-US"/>
        </w:rPr>
        <w:t xml:space="preserve">These findings are consistent with FXR/TGR5 stimulation of hepatic fatty acid </w:t>
      </w:r>
      <w:r w:rsidR="00A03F1C" w:rsidRPr="00A234EE">
        <w:rPr>
          <w:rFonts w:ascii="Book Antiqua" w:hAnsi="Book Antiqua"/>
          <w:sz w:val="24"/>
          <w:szCs w:val="24"/>
          <w:lang w:val="en-US"/>
        </w:rPr>
        <w:t></w:t>
      </w:r>
      <w:r w:rsidR="00474A75" w:rsidRPr="00A234EE">
        <w:rPr>
          <w:rFonts w:ascii="Book Antiqua" w:hAnsi="Book Antiqua"/>
          <w:sz w:val="24"/>
          <w:szCs w:val="24"/>
          <w:lang w:val="en-US"/>
        </w:rPr>
        <w:t>-</w:t>
      </w:r>
      <w:r w:rsidRPr="00A234EE">
        <w:rPr>
          <w:rFonts w:ascii="Book Antiqua" w:hAnsi="Book Antiqua"/>
          <w:sz w:val="24"/>
          <w:szCs w:val="24"/>
          <w:lang w:val="en-US"/>
        </w:rPr>
        <w:t>oxidation and reduced triglyceride synthesis</w:t>
      </w:r>
      <w:r w:rsidR="00A85875" w:rsidRPr="00A234EE">
        <w:rPr>
          <w:rFonts w:ascii="Book Antiqua" w:hAnsi="Book Antiqua"/>
          <w:sz w:val="24"/>
          <w:szCs w:val="24"/>
          <w:lang w:val="en-US"/>
        </w:rPr>
        <w:t>,</w:t>
      </w:r>
      <w:r w:rsidRPr="00A234EE">
        <w:rPr>
          <w:rFonts w:ascii="Book Antiqua" w:hAnsi="Book Antiqua"/>
          <w:sz w:val="24"/>
          <w:szCs w:val="24"/>
          <w:lang w:val="en-US"/>
        </w:rPr>
        <w:t xml:space="preserve"> and mirror anti-steatotic effects of INT-767 reported </w:t>
      </w:r>
      <w:r w:rsidR="004D62F8" w:rsidRPr="00A234EE">
        <w:rPr>
          <w:rFonts w:ascii="Book Antiqua" w:hAnsi="Book Antiqua"/>
          <w:sz w:val="24"/>
          <w:szCs w:val="24"/>
          <w:lang w:val="en-US"/>
        </w:rPr>
        <w:t>with</w:t>
      </w:r>
      <w:r w:rsidRPr="00A234EE">
        <w:rPr>
          <w:rFonts w:ascii="Book Antiqua" w:hAnsi="Book Antiqua"/>
          <w:sz w:val="24"/>
          <w:szCs w:val="24"/>
          <w:lang w:val="en-US"/>
        </w:rPr>
        <w:t xml:space="preserve">in </w:t>
      </w:r>
      <w:r w:rsidR="00474A75" w:rsidRPr="00A234EE">
        <w:rPr>
          <w:rFonts w:ascii="Book Antiqua" w:hAnsi="Book Antiqua"/>
          <w:sz w:val="24"/>
          <w:szCs w:val="24"/>
          <w:lang w:val="en-US"/>
        </w:rPr>
        <w:t>other models of NAFLD</w:t>
      </w:r>
      <w:r w:rsidR="003238D2" w:rsidRPr="00A234EE">
        <w:rPr>
          <w:rFonts w:ascii="Book Antiqua" w:hAnsi="Book Antiqua"/>
          <w:sz w:val="24"/>
          <w:szCs w:val="24"/>
          <w:vertAlign w:val="superscript"/>
          <w:lang w:val="en-US" w:eastAsia="zh-CN"/>
        </w:rPr>
        <w:t>[13,16]</w:t>
      </w:r>
      <w:r w:rsidR="008120A0" w:rsidRPr="00A234EE">
        <w:rPr>
          <w:rFonts w:ascii="Book Antiqua" w:hAnsi="Book Antiqua"/>
          <w:sz w:val="24"/>
          <w:szCs w:val="24"/>
          <w:lang w:val="en-US"/>
        </w:rPr>
        <w:t xml:space="preserve"> and are reminiscent of some of the lipid-lowering effects of PPARs</w:t>
      </w:r>
      <w:r w:rsidR="00A85875" w:rsidRPr="00A234EE">
        <w:rPr>
          <w:rFonts w:ascii="Book Antiqua" w:hAnsi="Book Antiqua"/>
          <w:sz w:val="24"/>
          <w:szCs w:val="24"/>
          <w:lang w:val="en-US"/>
        </w:rPr>
        <w:t xml:space="preserve">. </w:t>
      </w:r>
      <w:r w:rsidR="00A80952" w:rsidRPr="00A234EE">
        <w:rPr>
          <w:rFonts w:ascii="Book Antiqua" w:hAnsi="Book Antiqua"/>
          <w:sz w:val="24"/>
          <w:szCs w:val="24"/>
          <w:lang w:val="en-US"/>
        </w:rPr>
        <w:t>As m</w:t>
      </w:r>
      <w:r w:rsidR="00AA2276" w:rsidRPr="00A234EE">
        <w:rPr>
          <w:rFonts w:ascii="Book Antiqua" w:hAnsi="Book Antiqua"/>
          <w:sz w:val="24"/>
          <w:szCs w:val="24"/>
          <w:lang w:val="en-US"/>
        </w:rPr>
        <w:t xml:space="preserve">acrovesicular steatosis </w:t>
      </w:r>
      <w:r w:rsidR="00A80952" w:rsidRPr="00A234EE">
        <w:rPr>
          <w:rFonts w:ascii="Book Antiqua" w:hAnsi="Book Antiqua"/>
          <w:sz w:val="24"/>
          <w:szCs w:val="24"/>
          <w:lang w:val="en-US"/>
        </w:rPr>
        <w:t>positively</w:t>
      </w:r>
      <w:r w:rsidR="00AA2276" w:rsidRPr="00A234EE">
        <w:rPr>
          <w:rFonts w:ascii="Book Antiqua" w:hAnsi="Book Antiqua"/>
          <w:sz w:val="24"/>
          <w:szCs w:val="24"/>
          <w:lang w:val="en-US"/>
        </w:rPr>
        <w:t xml:space="preserve"> correlated to the severity of lobular inflammation in NASH patients</w:t>
      </w:r>
      <w:r w:rsidR="00607294" w:rsidRPr="00A234EE">
        <w:rPr>
          <w:rFonts w:ascii="Book Antiqua" w:hAnsi="Book Antiqua"/>
          <w:sz w:val="24"/>
          <w:szCs w:val="24"/>
          <w:vertAlign w:val="superscript"/>
          <w:lang w:val="en-US" w:eastAsia="zh-CN"/>
        </w:rPr>
        <w:t>[31]</w:t>
      </w:r>
      <w:r w:rsidR="00AA2276" w:rsidRPr="00A234EE">
        <w:rPr>
          <w:rFonts w:ascii="Book Antiqua" w:hAnsi="Book Antiqua"/>
          <w:sz w:val="24"/>
          <w:szCs w:val="24"/>
          <w:lang w:val="en-US"/>
        </w:rPr>
        <w:t xml:space="preserve">, as well as </w:t>
      </w:r>
      <w:r w:rsidR="00954991" w:rsidRPr="00A234EE">
        <w:rPr>
          <w:rFonts w:ascii="Book Antiqua" w:hAnsi="Book Antiqua"/>
          <w:sz w:val="24"/>
          <w:szCs w:val="24"/>
          <w:lang w:val="en-US"/>
        </w:rPr>
        <w:t>impaired hepatic microcirculation in experimental NASH</w:t>
      </w:r>
      <w:r w:rsidR="00607294" w:rsidRPr="00A234EE">
        <w:rPr>
          <w:rFonts w:ascii="Book Antiqua" w:hAnsi="Book Antiqua"/>
          <w:sz w:val="24"/>
          <w:szCs w:val="24"/>
          <w:vertAlign w:val="superscript"/>
          <w:lang w:val="en-US" w:eastAsia="zh-CN"/>
        </w:rPr>
        <w:t>[32]</w:t>
      </w:r>
      <w:r w:rsidR="00A80952" w:rsidRPr="00A234EE">
        <w:rPr>
          <w:rFonts w:ascii="Book Antiqua" w:hAnsi="Book Antiqua"/>
          <w:sz w:val="24"/>
          <w:szCs w:val="24"/>
          <w:lang w:val="en-US"/>
        </w:rPr>
        <w:t>, t</w:t>
      </w:r>
      <w:r w:rsidR="00AA2276" w:rsidRPr="00A234EE">
        <w:rPr>
          <w:rFonts w:ascii="Book Antiqua" w:hAnsi="Book Antiqua"/>
          <w:sz w:val="24"/>
          <w:szCs w:val="24"/>
          <w:lang w:val="en-US"/>
        </w:rPr>
        <w:t xml:space="preserve">he lowering of lipid droplet </w:t>
      </w:r>
      <w:r w:rsidR="00D853BF" w:rsidRPr="00A234EE">
        <w:rPr>
          <w:rFonts w:ascii="Book Antiqua" w:hAnsi="Book Antiqua"/>
          <w:sz w:val="24"/>
          <w:szCs w:val="24"/>
          <w:lang w:val="en-US"/>
        </w:rPr>
        <w:t>area (</w:t>
      </w:r>
      <w:r w:rsidR="00AA2276" w:rsidRPr="00A234EE">
        <w:rPr>
          <w:rFonts w:ascii="Book Antiqua" w:hAnsi="Book Antiqua"/>
          <w:sz w:val="24"/>
          <w:szCs w:val="24"/>
          <w:lang w:val="en-US"/>
        </w:rPr>
        <w:t>diameters</w:t>
      </w:r>
      <w:r w:rsidR="00D853BF" w:rsidRPr="00A234EE">
        <w:rPr>
          <w:rFonts w:ascii="Book Antiqua" w:hAnsi="Book Antiqua"/>
          <w:sz w:val="24"/>
          <w:szCs w:val="24"/>
          <w:lang w:val="en-US"/>
        </w:rPr>
        <w:t>)</w:t>
      </w:r>
      <w:r w:rsidR="00AA2276" w:rsidRPr="00A234EE">
        <w:rPr>
          <w:rFonts w:ascii="Book Antiqua" w:hAnsi="Book Antiqua"/>
          <w:sz w:val="24"/>
          <w:szCs w:val="24"/>
          <w:lang w:val="en-US"/>
        </w:rPr>
        <w:t xml:space="preserve"> by INT-767 </w:t>
      </w:r>
      <w:r w:rsidR="00A80952" w:rsidRPr="00A234EE">
        <w:rPr>
          <w:rFonts w:ascii="Book Antiqua" w:hAnsi="Book Antiqua"/>
          <w:sz w:val="24"/>
          <w:szCs w:val="24"/>
          <w:lang w:val="en-US"/>
        </w:rPr>
        <w:t>is</w:t>
      </w:r>
      <w:r w:rsidR="00474A75" w:rsidRPr="00A234EE">
        <w:rPr>
          <w:rFonts w:ascii="Book Antiqua" w:hAnsi="Book Antiqua"/>
          <w:sz w:val="24"/>
          <w:szCs w:val="24"/>
          <w:lang w:val="en-US"/>
        </w:rPr>
        <w:t xml:space="preserve"> </w:t>
      </w:r>
      <w:r w:rsidR="00AA2276" w:rsidRPr="00A234EE">
        <w:rPr>
          <w:rFonts w:ascii="Book Antiqua" w:hAnsi="Book Antiqua"/>
          <w:sz w:val="24"/>
          <w:szCs w:val="24"/>
          <w:lang w:val="en-US"/>
        </w:rPr>
        <w:t xml:space="preserve">suggestive of </w:t>
      </w:r>
      <w:r w:rsidR="00954991" w:rsidRPr="00A234EE">
        <w:rPr>
          <w:rFonts w:ascii="Book Antiqua" w:hAnsi="Book Antiqua"/>
          <w:sz w:val="24"/>
          <w:szCs w:val="24"/>
          <w:lang w:val="en-US"/>
        </w:rPr>
        <w:t xml:space="preserve">improved liver function in </w:t>
      </w:r>
      <w:r w:rsidR="00954991" w:rsidRPr="00A234EE">
        <w:rPr>
          <w:rFonts w:ascii="Book Antiqua" w:hAnsi="Book Antiqua"/>
          <w:i/>
          <w:iCs/>
          <w:sz w:val="24"/>
          <w:szCs w:val="24"/>
          <w:lang w:val="en-US"/>
        </w:rPr>
        <w:t>ob/ob</w:t>
      </w:r>
      <w:r w:rsidR="00954991" w:rsidRPr="00A234EE">
        <w:rPr>
          <w:rFonts w:ascii="Book Antiqua" w:hAnsi="Book Antiqua"/>
          <w:sz w:val="24"/>
          <w:szCs w:val="24"/>
          <w:lang w:val="en-US"/>
        </w:rPr>
        <w:t>-NASH mice</w:t>
      </w:r>
      <w:r w:rsidR="00240EBB" w:rsidRPr="00A234EE">
        <w:rPr>
          <w:rFonts w:ascii="Book Antiqua" w:hAnsi="Book Antiqua"/>
          <w:sz w:val="24"/>
          <w:szCs w:val="24"/>
          <w:lang w:val="en-US"/>
        </w:rPr>
        <w:t>.</w:t>
      </w:r>
      <w:r w:rsidR="00A85875" w:rsidRPr="00A234EE">
        <w:rPr>
          <w:rFonts w:ascii="Book Antiqua" w:hAnsi="Book Antiqua"/>
          <w:sz w:val="24"/>
          <w:szCs w:val="24"/>
          <w:lang w:val="en-US"/>
        </w:rPr>
        <w:t xml:space="preserve"> </w:t>
      </w:r>
    </w:p>
    <w:p w14:paraId="2D2AB2A9" w14:textId="77777777" w:rsidR="003B05D1" w:rsidRPr="00A234EE" w:rsidRDefault="2FCCB97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 xml:space="preserve">The mechanism of action and relative efficacy of INT-767 and OCA was explored. When drawing mechanistic conclusions an important first step is to account for the distribution of each drug within target tissues. INT-767 and OCA are semisynthetic bile acids and exhibits a similar pharmacokinetic profile as endogenous bile acids. These compounds are absorbed from the small intestine, transported into the liver where they undergo biliary excretion and enterohepatic recirculation and are ultimately excreted in the feces. Both compounds were administered to lean mice once daily for two weeks (a duration sufficient to achieve steady-state) and drug levels within the liver and ileum were measured. Both drugs achieved similar levels within similar dose ranges. Likewise, except for the 10 mg/kg dose, levels of INT-767 and OCA were similar within the ileum. Thus, interpretation of differences in hepatic and ileal gene expression within these samples are unlikely to be explained by differences in INT-767 versus OCA distribution. </w:t>
      </w:r>
    </w:p>
    <w:p w14:paraId="2D2AB2AA" w14:textId="10538B37" w:rsidR="00CD5A7B" w:rsidRPr="00A234EE" w:rsidRDefault="003238D2"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i/>
          <w:sz w:val="24"/>
          <w:szCs w:val="24"/>
          <w:lang w:val="en-US"/>
        </w:rPr>
        <w:t>In vivo</w:t>
      </w:r>
      <w:r w:rsidR="7E1455FE" w:rsidRPr="00A234EE">
        <w:rPr>
          <w:rFonts w:ascii="Book Antiqua" w:hAnsi="Book Antiqua"/>
          <w:sz w:val="24"/>
          <w:szCs w:val="24"/>
          <w:lang w:val="en-US"/>
        </w:rPr>
        <w:t xml:space="preserve"> gene expression studies revealed that relative to OCA, INT-767 regulated hepatic FXR target genes to a greater degree at equivalent doses. These include upregulation of the bile salt efflux transporter </w:t>
      </w:r>
      <w:r w:rsidR="7E1455FE" w:rsidRPr="00A234EE">
        <w:rPr>
          <w:rFonts w:ascii="Book Antiqua" w:hAnsi="Book Antiqua"/>
          <w:i/>
          <w:iCs/>
          <w:sz w:val="24"/>
          <w:szCs w:val="24"/>
          <w:lang w:val="en-US"/>
        </w:rPr>
        <w:t>BSEP</w:t>
      </w:r>
      <w:r w:rsidR="7E1455FE" w:rsidRPr="00A234EE">
        <w:rPr>
          <w:rFonts w:ascii="Book Antiqua" w:hAnsi="Book Antiqua"/>
          <w:sz w:val="24"/>
          <w:szCs w:val="24"/>
          <w:lang w:val="en-US"/>
        </w:rPr>
        <w:t xml:space="preserve">, critically involved in the secretion of bile salts into bile, and the organic solute transporter </w:t>
      </w:r>
      <w:r w:rsidR="7E1455FE" w:rsidRPr="00A234EE">
        <w:rPr>
          <w:rFonts w:ascii="Book Antiqua" w:hAnsi="Book Antiqua"/>
          <w:i/>
          <w:iCs/>
          <w:sz w:val="24"/>
          <w:szCs w:val="24"/>
          <w:lang w:val="en-US"/>
        </w:rPr>
        <w:t>OST</w:t>
      </w:r>
      <w:r w:rsidR="7E1455FE" w:rsidRPr="00A234EE">
        <w:rPr>
          <w:rFonts w:ascii="Book Antiqua" w:hAnsi="Book Antiqua"/>
          <w:i/>
          <w:iCs/>
          <w:sz w:val="24"/>
          <w:szCs w:val="24"/>
        </w:rPr>
        <w:t></w:t>
      </w:r>
      <w:r w:rsidR="7E1455FE" w:rsidRPr="00A234EE">
        <w:rPr>
          <w:rFonts w:ascii="Book Antiqua" w:hAnsi="Book Antiqua"/>
          <w:sz w:val="24"/>
          <w:szCs w:val="24"/>
          <w:lang w:val="en-US"/>
        </w:rPr>
        <w:t>, which mediates both cellular efflux and uptake of bile acids. Additionally, the cytochrome P450 Family 8 Subfamily B Member 1 (</w:t>
      </w:r>
      <w:r w:rsidR="7E1455FE" w:rsidRPr="00A234EE">
        <w:rPr>
          <w:rFonts w:ascii="Book Antiqua" w:hAnsi="Book Antiqua"/>
          <w:i/>
          <w:iCs/>
          <w:sz w:val="24"/>
          <w:szCs w:val="24"/>
          <w:lang w:val="en-US"/>
        </w:rPr>
        <w:t>Cyp8b1</w:t>
      </w:r>
      <w:r w:rsidR="0019029B" w:rsidRPr="00A234EE">
        <w:rPr>
          <w:rFonts w:ascii="Book Antiqua" w:hAnsi="Book Antiqua"/>
          <w:sz w:val="24"/>
          <w:szCs w:val="24"/>
          <w:lang w:val="en-US"/>
        </w:rPr>
        <w:t xml:space="preserve">, whose catalytic activity determines solubility of cholesterol in bile by controlling the ratio of cholic acid over CDCA synthesis) </w:t>
      </w:r>
      <w:r w:rsidR="7E1455FE" w:rsidRPr="00A234EE">
        <w:rPr>
          <w:rFonts w:ascii="Book Antiqua" w:hAnsi="Book Antiqua"/>
          <w:sz w:val="24"/>
          <w:szCs w:val="24"/>
          <w:lang w:val="en-US"/>
        </w:rPr>
        <w:t xml:space="preserve">was more potently downregulated by INT-767 relative to OCA. These findings are not surprising, given that </w:t>
      </w:r>
      <w:r w:rsidR="7E1455FE" w:rsidRPr="00A234EE">
        <w:rPr>
          <w:rFonts w:ascii="Book Antiqua" w:hAnsi="Book Antiqua"/>
          <w:i/>
          <w:iCs/>
          <w:sz w:val="24"/>
          <w:szCs w:val="24"/>
          <w:lang w:val="en-US"/>
        </w:rPr>
        <w:t>in vitro</w:t>
      </w:r>
      <w:r w:rsidR="7E1455FE" w:rsidRPr="00A234EE">
        <w:rPr>
          <w:rFonts w:ascii="Book Antiqua" w:hAnsi="Book Antiqua"/>
          <w:sz w:val="24"/>
          <w:szCs w:val="24"/>
          <w:lang w:val="en-US"/>
        </w:rPr>
        <w:t>, INT-767 (EC</w:t>
      </w:r>
      <w:r w:rsidR="7E1455FE" w:rsidRPr="00A234EE">
        <w:rPr>
          <w:rFonts w:ascii="Book Antiqua" w:hAnsi="Book Antiqua"/>
          <w:sz w:val="24"/>
          <w:szCs w:val="24"/>
          <w:vertAlign w:val="subscript"/>
          <w:lang w:val="en-US"/>
        </w:rPr>
        <w:t>50</w:t>
      </w:r>
      <w:r w:rsidR="7E1455FE" w:rsidRPr="00A234EE">
        <w:rPr>
          <w:rFonts w:ascii="Book Antiqua" w:hAnsi="Book Antiqua"/>
          <w:sz w:val="24"/>
          <w:szCs w:val="24"/>
          <w:lang w:val="en-US"/>
        </w:rPr>
        <w:t xml:space="preserve"> ~30 nM)</w:t>
      </w:r>
      <w:r w:rsidR="0031085D" w:rsidRPr="00A234EE">
        <w:rPr>
          <w:rFonts w:ascii="Book Antiqua" w:hAnsi="Book Antiqua"/>
          <w:sz w:val="24"/>
          <w:szCs w:val="24"/>
          <w:lang w:val="en-US"/>
        </w:rPr>
        <w:t xml:space="preserve"> </w:t>
      </w:r>
      <w:r w:rsidR="7E1455FE" w:rsidRPr="00A234EE">
        <w:rPr>
          <w:rFonts w:ascii="Book Antiqua" w:hAnsi="Book Antiqua"/>
          <w:sz w:val="24"/>
          <w:szCs w:val="24"/>
          <w:lang w:val="en-US"/>
        </w:rPr>
        <w:t xml:space="preserve">is about 300-fold more potent than </w:t>
      </w:r>
      <w:r w:rsidR="0019029B" w:rsidRPr="00A234EE">
        <w:rPr>
          <w:rFonts w:ascii="Book Antiqua" w:hAnsi="Book Antiqua"/>
          <w:sz w:val="24"/>
          <w:szCs w:val="24"/>
          <w:lang w:val="en-US"/>
        </w:rPr>
        <w:t>CDCA</w:t>
      </w:r>
      <w:r w:rsidR="7E1455FE" w:rsidRPr="00A234EE">
        <w:rPr>
          <w:rFonts w:ascii="Book Antiqua" w:hAnsi="Book Antiqua"/>
          <w:sz w:val="24"/>
          <w:szCs w:val="24"/>
          <w:lang w:val="en-US"/>
        </w:rPr>
        <w:t xml:space="preserve"> and 3-fold more potent than OCA at the FXR receptor</w:t>
      </w:r>
      <w:r w:rsidR="00607294" w:rsidRPr="00A234EE">
        <w:rPr>
          <w:rFonts w:ascii="Book Antiqua" w:hAnsi="Book Antiqua"/>
          <w:sz w:val="24"/>
          <w:szCs w:val="24"/>
          <w:vertAlign w:val="superscript"/>
          <w:lang w:val="en-US" w:eastAsia="zh-CN"/>
        </w:rPr>
        <w:t>[13]</w:t>
      </w:r>
      <w:r w:rsidR="7E1455FE" w:rsidRPr="00A234EE">
        <w:rPr>
          <w:rFonts w:ascii="Book Antiqua" w:hAnsi="Book Antiqua"/>
          <w:sz w:val="24"/>
          <w:szCs w:val="24"/>
          <w:lang w:val="en-US"/>
        </w:rPr>
        <w:t xml:space="preserve">. </w:t>
      </w:r>
    </w:p>
    <w:p w14:paraId="2D2AB2AB" w14:textId="00061B45" w:rsidR="00A34EAC" w:rsidRPr="00A234EE" w:rsidRDefault="7E1455F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lastRenderedPageBreak/>
        <w:t>Likewise, for TGR5, INT-767 (EC</w:t>
      </w:r>
      <w:r w:rsidRPr="00A234EE">
        <w:rPr>
          <w:rFonts w:ascii="Book Antiqua" w:hAnsi="Book Antiqua"/>
          <w:sz w:val="24"/>
          <w:szCs w:val="24"/>
          <w:vertAlign w:val="subscript"/>
          <w:lang w:val="en-US"/>
        </w:rPr>
        <w:t>50</w:t>
      </w:r>
      <w:r w:rsidRPr="00A234EE">
        <w:rPr>
          <w:rFonts w:ascii="Book Antiqua" w:hAnsi="Book Antiqua"/>
          <w:sz w:val="24"/>
          <w:szCs w:val="24"/>
          <w:lang w:val="en-US"/>
        </w:rPr>
        <w:t xml:space="preserve"> ~0.63 µ</w:t>
      </w:r>
      <w:r w:rsidR="003238D2" w:rsidRPr="00A234EE">
        <w:rPr>
          <w:rFonts w:ascii="Book Antiqua" w:hAnsi="Book Antiqua"/>
          <w:sz w:val="24"/>
          <w:szCs w:val="24"/>
          <w:lang w:val="en-US" w:eastAsia="zh-CN"/>
        </w:rPr>
        <w:t>mol/L</w:t>
      </w:r>
      <w:r w:rsidRPr="00A234EE">
        <w:rPr>
          <w:rFonts w:ascii="Book Antiqua" w:hAnsi="Book Antiqua"/>
          <w:sz w:val="24"/>
          <w:szCs w:val="24"/>
          <w:lang w:val="en-US"/>
        </w:rPr>
        <w:t>) is about 12-fold more potent than the endoge</w:t>
      </w:r>
      <w:r w:rsidR="0025686C" w:rsidRPr="00A234EE">
        <w:rPr>
          <w:rFonts w:ascii="Book Antiqua" w:hAnsi="Book Antiqua"/>
          <w:sz w:val="24"/>
          <w:szCs w:val="24"/>
          <w:lang w:val="en-US"/>
        </w:rPr>
        <w:t>n</w:t>
      </w:r>
      <w:r w:rsidRPr="00A234EE">
        <w:rPr>
          <w:rFonts w:ascii="Book Antiqua" w:hAnsi="Book Antiqua"/>
          <w:sz w:val="24"/>
          <w:szCs w:val="24"/>
          <w:lang w:val="en-US"/>
        </w:rPr>
        <w:t xml:space="preserve">ous TGR5 agonist </w:t>
      </w:r>
      <w:r w:rsidR="00DE5FA8" w:rsidRPr="00A234EE">
        <w:rPr>
          <w:rFonts w:ascii="Book Antiqua" w:hAnsi="Book Antiqua"/>
          <w:sz w:val="24"/>
          <w:szCs w:val="24"/>
          <w:lang w:val="en-US"/>
        </w:rPr>
        <w:t>LCA</w:t>
      </w:r>
      <w:r w:rsidRPr="00A234EE">
        <w:rPr>
          <w:rFonts w:ascii="Book Antiqua" w:hAnsi="Book Antiqua"/>
          <w:sz w:val="24"/>
          <w:szCs w:val="24"/>
          <w:lang w:val="en-US"/>
        </w:rPr>
        <w:t xml:space="preserve"> (EC</w:t>
      </w:r>
      <w:r w:rsidRPr="00A234EE">
        <w:rPr>
          <w:rFonts w:ascii="Book Antiqua" w:hAnsi="Book Antiqua"/>
          <w:sz w:val="24"/>
          <w:szCs w:val="24"/>
          <w:vertAlign w:val="subscript"/>
          <w:lang w:val="en-US"/>
        </w:rPr>
        <w:t>50</w:t>
      </w:r>
      <w:r w:rsidRPr="00A234EE">
        <w:rPr>
          <w:rFonts w:ascii="Book Antiqua" w:hAnsi="Book Antiqua"/>
          <w:sz w:val="24"/>
          <w:szCs w:val="24"/>
          <w:lang w:val="en-US"/>
        </w:rPr>
        <w:t xml:space="preserve"> ~8 µ</w:t>
      </w:r>
      <w:r w:rsidR="003238D2" w:rsidRPr="00A234EE">
        <w:rPr>
          <w:rFonts w:ascii="Book Antiqua" w:hAnsi="Book Antiqua"/>
          <w:sz w:val="24"/>
          <w:szCs w:val="24"/>
          <w:lang w:val="en-US" w:eastAsia="zh-CN"/>
        </w:rPr>
        <w:t>mol/L</w:t>
      </w:r>
      <w:r w:rsidRPr="00A234EE">
        <w:rPr>
          <w:rFonts w:ascii="Book Antiqua" w:hAnsi="Book Antiqua"/>
          <w:sz w:val="24"/>
          <w:szCs w:val="24"/>
          <w:lang w:val="en-US"/>
        </w:rPr>
        <w:t>) and comparable to the selective TGR5 agonist INT-777 (EC</w:t>
      </w:r>
      <w:r w:rsidRPr="00A234EE">
        <w:rPr>
          <w:rFonts w:ascii="Book Antiqua" w:hAnsi="Book Antiqua"/>
          <w:sz w:val="24"/>
          <w:szCs w:val="24"/>
          <w:vertAlign w:val="subscript"/>
          <w:lang w:val="en-US"/>
        </w:rPr>
        <w:t>50</w:t>
      </w:r>
      <w:r w:rsidRPr="00A234EE">
        <w:rPr>
          <w:rFonts w:ascii="Book Antiqua" w:hAnsi="Book Antiqua"/>
          <w:sz w:val="24"/>
          <w:szCs w:val="24"/>
          <w:lang w:val="en-US"/>
        </w:rPr>
        <w:t xml:space="preserve"> 0.9 µ</w:t>
      </w:r>
      <w:r w:rsidR="003238D2" w:rsidRPr="00A234EE">
        <w:rPr>
          <w:rFonts w:ascii="Book Antiqua" w:hAnsi="Book Antiqua"/>
          <w:sz w:val="24"/>
          <w:szCs w:val="24"/>
          <w:lang w:val="en-US" w:eastAsia="zh-CN"/>
        </w:rPr>
        <w:t>mol/L</w:t>
      </w:r>
      <w:r w:rsidR="00607294" w:rsidRPr="00A234EE">
        <w:rPr>
          <w:rFonts w:ascii="Book Antiqua" w:hAnsi="Book Antiqua"/>
          <w:sz w:val="24"/>
          <w:szCs w:val="24"/>
          <w:vertAlign w:val="superscript"/>
          <w:lang w:val="en-US" w:eastAsia="zh-CN"/>
        </w:rPr>
        <w:t>[13]</w:t>
      </w:r>
      <w:r w:rsidR="00B25B9E" w:rsidRPr="00A234EE">
        <w:rPr>
          <w:rFonts w:ascii="Book Antiqua" w:hAnsi="Book Antiqua"/>
          <w:sz w:val="24"/>
          <w:szCs w:val="24"/>
          <w:lang w:val="en-US"/>
        </w:rPr>
        <w:t>)</w:t>
      </w:r>
      <w:r w:rsidRPr="00A234EE">
        <w:rPr>
          <w:rFonts w:ascii="Book Antiqua" w:hAnsi="Book Antiqua"/>
          <w:sz w:val="24"/>
          <w:szCs w:val="24"/>
          <w:lang w:val="en-US"/>
        </w:rPr>
        <w:t xml:space="preserve">. Unfortunately, we were unable to demonstrate specific functional or differential activation of TGR5 with INT-767 and OCA; TGR5 hepatic and ileal mRNA target genes are non-specific and future studies should consider examining effects in other </w:t>
      </w:r>
      <w:r w:rsidR="00636405" w:rsidRPr="00A234EE">
        <w:rPr>
          <w:rFonts w:ascii="Book Antiqua" w:hAnsi="Book Antiqua"/>
          <w:sz w:val="24"/>
          <w:szCs w:val="24"/>
          <w:lang w:val="en-US"/>
        </w:rPr>
        <w:t xml:space="preserve">TGR5 expressing </w:t>
      </w:r>
      <w:r w:rsidRPr="00A234EE">
        <w:rPr>
          <w:rFonts w:ascii="Book Antiqua" w:hAnsi="Book Antiqua"/>
          <w:sz w:val="24"/>
          <w:szCs w:val="24"/>
          <w:lang w:val="en-US"/>
        </w:rPr>
        <w:t>tissues</w:t>
      </w:r>
      <w:r w:rsidR="00636405" w:rsidRPr="00A234EE">
        <w:rPr>
          <w:rFonts w:ascii="Book Antiqua" w:hAnsi="Book Antiqua"/>
          <w:sz w:val="24"/>
          <w:szCs w:val="24"/>
          <w:lang w:val="en-US"/>
        </w:rPr>
        <w:t>,</w:t>
      </w:r>
      <w:r w:rsidRPr="00A234EE">
        <w:rPr>
          <w:rFonts w:ascii="Book Antiqua" w:hAnsi="Book Antiqua"/>
          <w:sz w:val="24"/>
          <w:szCs w:val="24"/>
          <w:lang w:val="en-US"/>
        </w:rPr>
        <w:t xml:space="preserve"> such as brown adipose, pancreas or colon</w:t>
      </w:r>
      <w:r w:rsidR="00636405" w:rsidRPr="00A234EE">
        <w:rPr>
          <w:rFonts w:ascii="Book Antiqua" w:hAnsi="Book Antiqua"/>
          <w:sz w:val="24"/>
          <w:szCs w:val="24"/>
          <w:lang w:val="en-US"/>
        </w:rPr>
        <w:t>,</w:t>
      </w:r>
      <w:r w:rsidRPr="00A234EE">
        <w:rPr>
          <w:rFonts w:ascii="Book Antiqua" w:hAnsi="Book Antiqua"/>
          <w:sz w:val="24"/>
          <w:szCs w:val="24"/>
          <w:lang w:val="en-US"/>
        </w:rPr>
        <w:t xml:space="preserve"> using techniques more appropriate for </w:t>
      </w:r>
      <w:r w:rsidR="0025686C" w:rsidRPr="00A234EE">
        <w:rPr>
          <w:rFonts w:ascii="Book Antiqua" w:hAnsi="Book Antiqua"/>
          <w:sz w:val="24"/>
          <w:szCs w:val="24"/>
          <w:lang w:val="en-US"/>
        </w:rPr>
        <w:t xml:space="preserve">assessing </w:t>
      </w:r>
      <w:r w:rsidRPr="00A234EE">
        <w:rPr>
          <w:rFonts w:ascii="Book Antiqua" w:hAnsi="Book Antiqua"/>
          <w:sz w:val="24"/>
          <w:szCs w:val="24"/>
          <w:lang w:val="en-US"/>
        </w:rPr>
        <w:t>GPCR activati</w:t>
      </w:r>
      <w:r w:rsidR="0031085D" w:rsidRPr="00A234EE">
        <w:rPr>
          <w:rFonts w:ascii="Book Antiqua" w:hAnsi="Book Antiqua"/>
          <w:sz w:val="24"/>
          <w:szCs w:val="24"/>
          <w:lang w:val="en-US"/>
        </w:rPr>
        <w:t>on</w:t>
      </w:r>
      <w:r w:rsidR="00607294" w:rsidRPr="00A234EE">
        <w:rPr>
          <w:rFonts w:ascii="Book Antiqua" w:hAnsi="Book Antiqua"/>
          <w:sz w:val="24"/>
          <w:szCs w:val="24"/>
          <w:vertAlign w:val="superscript"/>
          <w:lang w:val="en-US" w:eastAsia="zh-CN"/>
        </w:rPr>
        <w:t>[5]</w:t>
      </w:r>
      <w:r w:rsidRPr="00A234EE">
        <w:rPr>
          <w:rFonts w:ascii="Book Antiqua" w:hAnsi="Book Antiqua"/>
          <w:sz w:val="24"/>
          <w:szCs w:val="24"/>
          <w:lang w:val="en-US"/>
        </w:rPr>
        <w:t xml:space="preserve">. </w:t>
      </w:r>
    </w:p>
    <w:p w14:paraId="2D2AB2AC" w14:textId="78E1559F" w:rsidR="003B05D1" w:rsidRPr="00A234EE" w:rsidRDefault="7E1455F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Intestinal FXR activation also impacts hepatic signaling events</w:t>
      </w:r>
      <w:r w:rsidR="002B174E" w:rsidRPr="00A234EE">
        <w:rPr>
          <w:rFonts w:ascii="Book Antiqua" w:hAnsi="Book Antiqua"/>
          <w:sz w:val="24"/>
          <w:szCs w:val="24"/>
          <w:lang w:val="en-US"/>
        </w:rPr>
        <w:t>,</w:t>
      </w:r>
      <w:r w:rsidRPr="00A234EE">
        <w:rPr>
          <w:rFonts w:ascii="Book Antiqua" w:hAnsi="Book Antiqua"/>
          <w:sz w:val="24"/>
          <w:szCs w:val="24"/>
          <w:lang w:val="en-US"/>
        </w:rPr>
        <w:t xml:space="preserve"> and </w:t>
      </w:r>
      <w:r w:rsidR="009B53BE" w:rsidRPr="00A234EE">
        <w:rPr>
          <w:rFonts w:ascii="Book Antiqua" w:hAnsi="Book Antiqua"/>
          <w:sz w:val="24"/>
          <w:szCs w:val="24"/>
          <w:lang w:val="en-US"/>
        </w:rPr>
        <w:t xml:space="preserve">liver transcriptome analysis in chow-fed C57Bl6/J mice </w:t>
      </w:r>
      <w:r w:rsidRPr="00A234EE">
        <w:rPr>
          <w:rFonts w:ascii="Book Antiqua" w:hAnsi="Book Antiqua"/>
          <w:sz w:val="24"/>
          <w:szCs w:val="24"/>
          <w:lang w:val="en-US"/>
        </w:rPr>
        <w:t>revealed an important difference between INT-767 and OCA. Fibroblast growth factor 15 (FGF-15</w:t>
      </w:r>
      <w:r w:rsidR="009B53BE" w:rsidRPr="00A234EE">
        <w:rPr>
          <w:rFonts w:ascii="Book Antiqua" w:hAnsi="Book Antiqua"/>
          <w:sz w:val="24"/>
          <w:szCs w:val="24"/>
          <w:lang w:val="en-US"/>
        </w:rPr>
        <w:t>,</w:t>
      </w:r>
      <w:r w:rsidRPr="00A234EE">
        <w:rPr>
          <w:rFonts w:ascii="Book Antiqua" w:hAnsi="Book Antiqua"/>
          <w:sz w:val="24"/>
          <w:szCs w:val="24"/>
          <w:lang w:val="en-US"/>
        </w:rPr>
        <w:t xml:space="preserve"> </w:t>
      </w:r>
      <w:r w:rsidR="009B53BE" w:rsidRPr="00A234EE">
        <w:rPr>
          <w:rFonts w:ascii="Book Antiqua" w:hAnsi="Book Antiqua"/>
          <w:sz w:val="24"/>
          <w:szCs w:val="24"/>
          <w:lang w:val="en-US"/>
        </w:rPr>
        <w:t>equivalent to</w:t>
      </w:r>
      <w:r w:rsidRPr="00A234EE">
        <w:rPr>
          <w:rFonts w:ascii="Book Antiqua" w:hAnsi="Book Antiqua"/>
          <w:sz w:val="24"/>
          <w:szCs w:val="24"/>
          <w:lang w:val="en-US"/>
        </w:rPr>
        <w:t xml:space="preserve"> </w:t>
      </w:r>
      <w:r w:rsidR="002B174E" w:rsidRPr="00A234EE">
        <w:rPr>
          <w:rFonts w:ascii="Book Antiqua" w:hAnsi="Book Antiqua"/>
          <w:sz w:val="24"/>
          <w:szCs w:val="24"/>
          <w:lang w:val="en-US"/>
        </w:rPr>
        <w:t xml:space="preserve">human </w:t>
      </w:r>
      <w:r w:rsidRPr="00A234EE">
        <w:rPr>
          <w:rFonts w:ascii="Book Antiqua" w:hAnsi="Book Antiqua"/>
          <w:sz w:val="24"/>
          <w:szCs w:val="24"/>
          <w:lang w:val="en-US"/>
        </w:rPr>
        <w:t>FGF-19) is highly expressed the small intestine and upon secretion, c</w:t>
      </w:r>
      <w:r w:rsidR="009B53BE" w:rsidRPr="00A234EE">
        <w:rPr>
          <w:rFonts w:ascii="Book Antiqua" w:hAnsi="Book Antiqua"/>
          <w:sz w:val="24"/>
          <w:szCs w:val="24"/>
          <w:lang w:val="en-US"/>
        </w:rPr>
        <w:t>ir</w:t>
      </w:r>
      <w:r w:rsidRPr="00A234EE">
        <w:rPr>
          <w:rFonts w:ascii="Book Antiqua" w:hAnsi="Book Antiqua"/>
          <w:sz w:val="24"/>
          <w:szCs w:val="24"/>
          <w:lang w:val="en-US"/>
        </w:rPr>
        <w:t xml:space="preserve">culates to the liver and attenuates bile acid production via </w:t>
      </w:r>
      <w:r w:rsidR="00F90469" w:rsidRPr="00A234EE">
        <w:rPr>
          <w:rFonts w:ascii="Book Antiqua" w:hAnsi="Book Antiqua"/>
          <w:sz w:val="24"/>
          <w:szCs w:val="24"/>
          <w:lang w:val="en-US"/>
        </w:rPr>
        <w:t xml:space="preserve">binding to </w:t>
      </w:r>
      <w:r w:rsidRPr="00A234EE">
        <w:rPr>
          <w:rFonts w:ascii="Book Antiqua" w:hAnsi="Book Antiqua"/>
          <w:sz w:val="24"/>
          <w:szCs w:val="24"/>
          <w:lang w:val="en-US"/>
        </w:rPr>
        <w:t xml:space="preserve">the </w:t>
      </w:r>
      <w:r w:rsidR="009B53BE" w:rsidRPr="00A234EE">
        <w:rPr>
          <w:rFonts w:ascii="Book Antiqua" w:hAnsi="Book Antiqua"/>
          <w:sz w:val="24"/>
          <w:szCs w:val="24"/>
          <w:lang w:val="en-US"/>
        </w:rPr>
        <w:t></w:t>
      </w:r>
      <w:r w:rsidRPr="00A234EE">
        <w:rPr>
          <w:rFonts w:ascii="Book Antiqua" w:hAnsi="Book Antiqua"/>
          <w:sz w:val="24"/>
          <w:szCs w:val="24"/>
          <w:lang w:val="en-US"/>
        </w:rPr>
        <w:t xml:space="preserve">-Klotho </w:t>
      </w:r>
      <w:r w:rsidR="00F90469" w:rsidRPr="00A234EE">
        <w:rPr>
          <w:rFonts w:ascii="Book Antiqua" w:hAnsi="Book Antiqua"/>
          <w:sz w:val="24"/>
          <w:szCs w:val="24"/>
          <w:lang w:val="en-US"/>
        </w:rPr>
        <w:t xml:space="preserve">receptors </w:t>
      </w:r>
      <w:r w:rsidRPr="00A234EE">
        <w:rPr>
          <w:rFonts w:ascii="Book Antiqua" w:hAnsi="Book Antiqua"/>
          <w:sz w:val="24"/>
          <w:szCs w:val="24"/>
          <w:lang w:val="en-US"/>
        </w:rPr>
        <w:t>located on the surface of hepatocytes and other endothelial cells</w:t>
      </w:r>
      <w:r w:rsidR="00607294" w:rsidRPr="00A234EE">
        <w:rPr>
          <w:rFonts w:ascii="Book Antiqua" w:hAnsi="Book Antiqua"/>
          <w:sz w:val="24"/>
          <w:szCs w:val="24"/>
          <w:vertAlign w:val="superscript"/>
          <w:lang w:val="en-US" w:eastAsia="zh-CN"/>
        </w:rPr>
        <w:t>[33]</w:t>
      </w:r>
      <w:r w:rsidRPr="00A234EE">
        <w:rPr>
          <w:rFonts w:ascii="Book Antiqua" w:hAnsi="Book Antiqua"/>
          <w:sz w:val="24"/>
          <w:szCs w:val="24"/>
          <w:lang w:val="en-US"/>
        </w:rPr>
        <w:t xml:space="preserve">. </w:t>
      </w:r>
      <w:r w:rsidR="00F90469" w:rsidRPr="00A234EE">
        <w:rPr>
          <w:rFonts w:ascii="Book Antiqua" w:hAnsi="Book Antiqua"/>
          <w:sz w:val="24"/>
          <w:szCs w:val="24"/>
          <w:lang w:val="en-US"/>
        </w:rPr>
        <w:t>It is therefore argued that enhanced gut-liver FGF-15/19 signaling could contribute to anti-NASH effects of bile acid sensing receptors</w:t>
      </w:r>
      <w:r w:rsidR="00607294" w:rsidRPr="00A234EE">
        <w:rPr>
          <w:rFonts w:ascii="Book Antiqua" w:hAnsi="Book Antiqua"/>
          <w:sz w:val="24"/>
          <w:szCs w:val="24"/>
          <w:vertAlign w:val="superscript"/>
          <w:lang w:val="en-US" w:eastAsia="zh-CN"/>
        </w:rPr>
        <w:t>[34,35]</w:t>
      </w:r>
      <w:r w:rsidR="00F90469" w:rsidRPr="00A234EE">
        <w:rPr>
          <w:rFonts w:ascii="Book Antiqua" w:hAnsi="Book Antiqua"/>
          <w:sz w:val="24"/>
          <w:szCs w:val="24"/>
          <w:lang w:val="en-US"/>
        </w:rPr>
        <w:t xml:space="preserve">. </w:t>
      </w:r>
      <w:r w:rsidR="009C67FD" w:rsidRPr="00A234EE">
        <w:rPr>
          <w:rFonts w:ascii="Book Antiqua" w:hAnsi="Book Antiqua"/>
          <w:sz w:val="24"/>
          <w:szCs w:val="24"/>
          <w:lang w:val="en-US"/>
        </w:rPr>
        <w:t xml:space="preserve">However, the same mice that experienced robust hepatic activation, </w:t>
      </w:r>
      <w:r w:rsidRPr="00A234EE">
        <w:rPr>
          <w:rFonts w:ascii="Book Antiqua" w:hAnsi="Book Antiqua"/>
          <w:sz w:val="24"/>
          <w:szCs w:val="24"/>
          <w:lang w:val="en-US"/>
        </w:rPr>
        <w:t xml:space="preserve">INT-767 only modestly increased </w:t>
      </w:r>
      <w:r w:rsidR="000231AB" w:rsidRPr="00A234EE">
        <w:rPr>
          <w:rFonts w:ascii="Book Antiqua" w:hAnsi="Book Antiqua"/>
          <w:sz w:val="24"/>
          <w:szCs w:val="24"/>
          <w:lang w:val="en-US"/>
        </w:rPr>
        <w:t xml:space="preserve">ileal </w:t>
      </w:r>
      <w:r w:rsidRPr="00A234EE">
        <w:rPr>
          <w:rFonts w:ascii="Book Antiqua" w:hAnsi="Book Antiqua"/>
          <w:sz w:val="24"/>
          <w:szCs w:val="24"/>
          <w:lang w:val="en-US"/>
        </w:rPr>
        <w:t xml:space="preserve">FGF-15 mRNA </w:t>
      </w:r>
      <w:r w:rsidR="000231AB" w:rsidRPr="00A234EE">
        <w:rPr>
          <w:rFonts w:ascii="Book Antiqua" w:hAnsi="Book Antiqua"/>
          <w:sz w:val="24"/>
          <w:szCs w:val="24"/>
          <w:lang w:val="en-US"/>
        </w:rPr>
        <w:t>compared to</w:t>
      </w:r>
      <w:r w:rsidRPr="00A234EE">
        <w:rPr>
          <w:rFonts w:ascii="Book Antiqua" w:hAnsi="Book Antiqua"/>
          <w:sz w:val="24"/>
          <w:szCs w:val="24"/>
          <w:lang w:val="en-US"/>
        </w:rPr>
        <w:t xml:space="preserve"> OCA. These findings suggest that relative to OCA, hepatic </w:t>
      </w:r>
      <w:r w:rsidR="000231AB" w:rsidRPr="00A234EE">
        <w:rPr>
          <w:rFonts w:ascii="Book Antiqua" w:hAnsi="Book Antiqua"/>
          <w:sz w:val="24"/>
          <w:szCs w:val="24"/>
          <w:lang w:val="en-US"/>
        </w:rPr>
        <w:t xml:space="preserve">FXR </w:t>
      </w:r>
      <w:r w:rsidRPr="00A234EE">
        <w:rPr>
          <w:rFonts w:ascii="Book Antiqua" w:hAnsi="Book Antiqua"/>
          <w:sz w:val="24"/>
          <w:szCs w:val="24"/>
          <w:lang w:val="en-US"/>
        </w:rPr>
        <w:t>signaling may be a greater driver of</w:t>
      </w:r>
      <w:r w:rsidR="000231AB" w:rsidRPr="00A234EE">
        <w:rPr>
          <w:rFonts w:ascii="Book Antiqua" w:hAnsi="Book Antiqua"/>
          <w:sz w:val="24"/>
          <w:szCs w:val="24"/>
          <w:lang w:val="en-US"/>
        </w:rPr>
        <w:t xml:space="preserve"> INT-767 induced</w:t>
      </w:r>
      <w:r w:rsidRPr="00A234EE">
        <w:rPr>
          <w:rFonts w:ascii="Book Antiqua" w:hAnsi="Book Antiqua"/>
          <w:sz w:val="24"/>
          <w:szCs w:val="24"/>
          <w:lang w:val="en-US"/>
        </w:rPr>
        <w:t xml:space="preserve"> </w:t>
      </w:r>
      <w:r w:rsidR="00F90469" w:rsidRPr="00A234EE">
        <w:rPr>
          <w:rFonts w:ascii="Book Antiqua" w:hAnsi="Book Antiqua"/>
          <w:sz w:val="24"/>
          <w:szCs w:val="24"/>
          <w:lang w:val="en-US"/>
        </w:rPr>
        <w:t xml:space="preserve">anti-NASH </w:t>
      </w:r>
      <w:r w:rsidR="000231AB" w:rsidRPr="00A234EE">
        <w:rPr>
          <w:rFonts w:ascii="Book Antiqua" w:hAnsi="Book Antiqua"/>
          <w:sz w:val="24"/>
          <w:szCs w:val="24"/>
          <w:lang w:val="en-US"/>
        </w:rPr>
        <w:t>effects</w:t>
      </w:r>
      <w:r w:rsidRPr="00A234EE">
        <w:rPr>
          <w:rFonts w:ascii="Book Antiqua" w:hAnsi="Book Antiqua"/>
          <w:sz w:val="24"/>
          <w:szCs w:val="24"/>
          <w:lang w:val="en-US"/>
        </w:rPr>
        <w:t xml:space="preserve">. At present, we do not have a mechanistic explanation </w:t>
      </w:r>
      <w:r w:rsidR="002B174E" w:rsidRPr="00A234EE">
        <w:rPr>
          <w:rFonts w:ascii="Book Antiqua" w:hAnsi="Book Antiqua"/>
          <w:sz w:val="24"/>
          <w:szCs w:val="24"/>
          <w:lang w:val="en-US"/>
        </w:rPr>
        <w:t xml:space="preserve">as to </w:t>
      </w:r>
      <w:r w:rsidRPr="00A234EE">
        <w:rPr>
          <w:rFonts w:ascii="Book Antiqua" w:hAnsi="Book Antiqua"/>
          <w:sz w:val="24"/>
          <w:szCs w:val="24"/>
          <w:lang w:val="en-US"/>
        </w:rPr>
        <w:t>why INT-767 exerts divergent effects on ileal FXR target genes despite being more potent than OCA and demonstrating clear accumulation within the target tissue.</w:t>
      </w:r>
    </w:p>
    <w:p w14:paraId="2D2AB2AD" w14:textId="6DE8993D" w:rsidR="00640811" w:rsidRPr="00A234EE" w:rsidRDefault="2FCCB97E" w:rsidP="00A234EE">
      <w:pPr>
        <w:adjustRightInd w:val="0"/>
        <w:snapToGrid w:val="0"/>
        <w:spacing w:after="0" w:line="360" w:lineRule="auto"/>
        <w:ind w:firstLineChars="100" w:firstLine="240"/>
        <w:jc w:val="both"/>
        <w:rPr>
          <w:rFonts w:ascii="Book Antiqua" w:hAnsi="Book Antiqua"/>
          <w:sz w:val="24"/>
          <w:szCs w:val="24"/>
          <w:lang w:val="en-US"/>
        </w:rPr>
      </w:pPr>
      <w:r w:rsidRPr="00A234EE">
        <w:rPr>
          <w:rFonts w:ascii="Book Antiqua" w:hAnsi="Book Antiqua"/>
          <w:sz w:val="24"/>
          <w:szCs w:val="24"/>
          <w:lang w:val="en-US"/>
        </w:rPr>
        <w:t xml:space="preserve">An extended dosing period (16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was employed in </w:t>
      </w:r>
      <w:r w:rsidRPr="00A234EE">
        <w:rPr>
          <w:rFonts w:ascii="Book Antiqua" w:hAnsi="Book Antiqua"/>
          <w:i/>
          <w:iCs/>
          <w:sz w:val="24"/>
          <w:szCs w:val="24"/>
          <w:lang w:val="en-US"/>
        </w:rPr>
        <w:t>ob/ob</w:t>
      </w:r>
      <w:r w:rsidRPr="00A234EE">
        <w:rPr>
          <w:rFonts w:ascii="Book Antiqua" w:hAnsi="Book Antiqua"/>
          <w:sz w:val="24"/>
          <w:szCs w:val="24"/>
          <w:lang w:val="en-US"/>
        </w:rPr>
        <w:t xml:space="preserve">-NASH mice to assess the durability of INT-767-induced anti-NASH efficacy as well as comparing the efficacy of INT-767 and OCA at equipotent doses for FXR activation. After 16 </w:t>
      </w:r>
      <w:r w:rsidR="006513F8" w:rsidRPr="00A234EE">
        <w:rPr>
          <w:rFonts w:ascii="Book Antiqua" w:hAnsi="Book Antiqua"/>
          <w:sz w:val="24"/>
          <w:szCs w:val="24"/>
          <w:lang w:val="en-US"/>
        </w:rPr>
        <w:t>wk</w:t>
      </w:r>
      <w:r w:rsidRPr="00A234EE">
        <w:rPr>
          <w:rFonts w:ascii="Book Antiqua" w:hAnsi="Book Antiqua"/>
          <w:sz w:val="24"/>
          <w:szCs w:val="24"/>
          <w:lang w:val="en-US"/>
        </w:rPr>
        <w:t xml:space="preserve"> of treatment OCA and INT-767 significantly improved all histological parameters relative to vehicle control. In general, the drug treatment effects were dose dependent and the high dose of INT-767 outperformed the high dose of OCA. These findings confirm durable histological benefits of INT-767 with continued drug administration in a preclinical model of NASH and suggest that INT-767 may exert greater efficacy than OCA at both matched and (</w:t>
      </w:r>
      <w:r w:rsidRPr="00A234EE">
        <w:rPr>
          <w:rFonts w:ascii="Book Antiqua" w:hAnsi="Book Antiqua"/>
          <w:i/>
          <w:iCs/>
          <w:sz w:val="24"/>
          <w:szCs w:val="24"/>
          <w:lang w:val="en-US"/>
        </w:rPr>
        <w:t>in vitro</w:t>
      </w:r>
      <w:r w:rsidRPr="00A234EE">
        <w:rPr>
          <w:rFonts w:ascii="Book Antiqua" w:hAnsi="Book Antiqua"/>
          <w:sz w:val="24"/>
          <w:szCs w:val="24"/>
          <w:lang w:val="en-US"/>
        </w:rPr>
        <w:t xml:space="preserve">) potency-adjusted doses. </w:t>
      </w:r>
      <w:bookmarkStart w:id="38" w:name="_Hlk498950244"/>
      <w:bookmarkEnd w:id="38"/>
    </w:p>
    <w:p w14:paraId="2D2AB2AE" w14:textId="68BBFC64" w:rsidR="001535AC" w:rsidRPr="00A234EE" w:rsidRDefault="2FCCB97E" w:rsidP="00A234EE">
      <w:pPr>
        <w:adjustRightInd w:val="0"/>
        <w:snapToGrid w:val="0"/>
        <w:spacing w:after="0" w:line="360" w:lineRule="auto"/>
        <w:ind w:firstLineChars="100" w:firstLine="240"/>
        <w:jc w:val="both"/>
        <w:rPr>
          <w:rFonts w:ascii="Book Antiqua" w:hAnsi="Book Antiqua"/>
          <w:sz w:val="24"/>
          <w:szCs w:val="24"/>
          <w:lang w:val="en-US" w:eastAsia="zh-CN"/>
        </w:rPr>
      </w:pPr>
      <w:r w:rsidRPr="00A234EE">
        <w:rPr>
          <w:rFonts w:ascii="Book Antiqua" w:hAnsi="Book Antiqua"/>
          <w:sz w:val="24"/>
          <w:szCs w:val="24"/>
          <w:lang w:val="en-US"/>
        </w:rPr>
        <w:lastRenderedPageBreak/>
        <w:t>The therapeutic armamentarium for NAFLD and NASH is limited largely to lifestyle modifications and treatment of concurrent conditions, such as diabetes and obesity, with no currently approved medical treatments for the disease. Based on the nonclinical data presented herein, INT-767 is a more potent FXR receptor agonist, and is expected to have a therapeutic effect at lower doses than OCA. Ongoing clinical studies will allow a more comprehensive assessment of the benefit-risk profile of INT-767 for the treatment of NASH.</w:t>
      </w:r>
    </w:p>
    <w:p w14:paraId="274F5838" w14:textId="77777777" w:rsidR="007D4AE3" w:rsidRPr="00A234EE" w:rsidRDefault="007D4AE3" w:rsidP="00A234EE">
      <w:pPr>
        <w:adjustRightInd w:val="0"/>
        <w:snapToGrid w:val="0"/>
        <w:spacing w:after="0" w:line="360" w:lineRule="auto"/>
        <w:jc w:val="both"/>
        <w:rPr>
          <w:rFonts w:ascii="Book Antiqua" w:hAnsi="Book Antiqua"/>
          <w:sz w:val="24"/>
          <w:szCs w:val="24"/>
          <w:lang w:val="en-US" w:eastAsia="zh-CN"/>
        </w:rPr>
      </w:pPr>
    </w:p>
    <w:p w14:paraId="45EF8437" w14:textId="6A99E5EC" w:rsidR="007D4AE3" w:rsidRPr="007E3836" w:rsidRDefault="007E3836" w:rsidP="00A234EE">
      <w:pPr>
        <w:adjustRightInd w:val="0"/>
        <w:snapToGrid w:val="0"/>
        <w:spacing w:after="0" w:line="360" w:lineRule="auto"/>
        <w:jc w:val="both"/>
        <w:rPr>
          <w:rFonts w:ascii="Book Antiqua" w:hAnsi="Book Antiqua" w:cs="Segoe UI"/>
          <w:b/>
          <w:color w:val="000000"/>
          <w:sz w:val="24"/>
          <w:szCs w:val="24"/>
          <w:lang w:val="en-US"/>
        </w:rPr>
      </w:pPr>
      <w:r w:rsidRPr="007E3836">
        <w:rPr>
          <w:rFonts w:ascii="Book Antiqua" w:hAnsi="Book Antiqua" w:cs="Segoe UI"/>
          <w:b/>
          <w:color w:val="000000"/>
          <w:sz w:val="24"/>
          <w:szCs w:val="24"/>
          <w:lang w:val="en-US"/>
        </w:rPr>
        <w:t>ARTICLE HIGHLIGHTS</w:t>
      </w:r>
    </w:p>
    <w:p w14:paraId="10B01DA8" w14:textId="67198649" w:rsidR="007D4AE3" w:rsidRPr="00A234EE" w:rsidRDefault="007D4AE3" w:rsidP="00A234EE">
      <w:pPr>
        <w:adjustRightInd w:val="0"/>
        <w:snapToGrid w:val="0"/>
        <w:spacing w:after="0" w:line="360" w:lineRule="auto"/>
        <w:jc w:val="both"/>
        <w:rPr>
          <w:rFonts w:ascii="Book Antiqua" w:hAnsi="Book Antiqua"/>
          <w:b/>
          <w:i/>
          <w:color w:val="000000"/>
          <w:sz w:val="24"/>
          <w:szCs w:val="24"/>
          <w:lang w:val="en-US"/>
        </w:rPr>
      </w:pPr>
      <w:r w:rsidRPr="00A234EE">
        <w:rPr>
          <w:rFonts w:ascii="Book Antiqua" w:hAnsi="Book Antiqua"/>
          <w:b/>
          <w:i/>
          <w:color w:val="000000"/>
          <w:sz w:val="24"/>
          <w:szCs w:val="24"/>
          <w:lang w:val="en-US"/>
        </w:rPr>
        <w:t xml:space="preserve">Research </w:t>
      </w:r>
      <w:r w:rsidR="007E3836" w:rsidRPr="00A234EE">
        <w:rPr>
          <w:rFonts w:ascii="Book Antiqua" w:hAnsi="Book Antiqua"/>
          <w:b/>
          <w:i/>
          <w:color w:val="000000"/>
          <w:sz w:val="24"/>
          <w:szCs w:val="24"/>
          <w:lang w:val="en-US"/>
        </w:rPr>
        <w:t>background</w:t>
      </w:r>
    </w:p>
    <w:p w14:paraId="4F6E6A2E" w14:textId="1540EB1C" w:rsidR="007D4AE3" w:rsidRPr="00A234EE" w:rsidRDefault="00006070" w:rsidP="00A234EE">
      <w:pPr>
        <w:adjustRightInd w:val="0"/>
        <w:snapToGrid w:val="0"/>
        <w:spacing w:after="0" w:line="360" w:lineRule="auto"/>
        <w:jc w:val="both"/>
        <w:rPr>
          <w:rFonts w:ascii="Book Antiqua" w:hAnsi="Book Antiqua"/>
          <w:color w:val="000000"/>
          <w:sz w:val="24"/>
          <w:szCs w:val="24"/>
          <w:lang w:val="en-US"/>
        </w:rPr>
      </w:pPr>
      <w:r w:rsidRPr="00A234EE">
        <w:rPr>
          <w:rFonts w:ascii="Book Antiqua" w:hAnsi="Book Antiqua"/>
          <w:color w:val="000000"/>
          <w:sz w:val="24"/>
          <w:szCs w:val="24"/>
          <w:lang w:val="en-US"/>
        </w:rPr>
        <w:t>Studies within this manuscript</w:t>
      </w:r>
      <w:r w:rsidR="003120D4" w:rsidRPr="00A234EE">
        <w:rPr>
          <w:rFonts w:ascii="Book Antiqua" w:hAnsi="Book Antiqua"/>
          <w:color w:val="000000"/>
          <w:sz w:val="24"/>
          <w:szCs w:val="24"/>
          <w:lang w:val="en-US"/>
        </w:rPr>
        <w:t xml:space="preserve"> de</w:t>
      </w:r>
      <w:r w:rsidRPr="00A234EE">
        <w:rPr>
          <w:rFonts w:ascii="Book Antiqua" w:hAnsi="Book Antiqua"/>
          <w:color w:val="000000"/>
          <w:sz w:val="24"/>
          <w:szCs w:val="24"/>
          <w:lang w:val="en-US"/>
        </w:rPr>
        <w:t xml:space="preserve">tail the </w:t>
      </w:r>
      <w:r w:rsidR="003120D4" w:rsidRPr="00A234EE">
        <w:rPr>
          <w:rFonts w:ascii="Book Antiqua" w:hAnsi="Book Antiqua"/>
          <w:color w:val="000000"/>
          <w:sz w:val="24"/>
          <w:szCs w:val="24"/>
          <w:lang w:val="en-US"/>
        </w:rPr>
        <w:t xml:space="preserve">efficacy of the dual in vitro FXR/TGR5 agonist INT-767 </w:t>
      </w:r>
      <w:r w:rsidRPr="00A234EE">
        <w:rPr>
          <w:rFonts w:ascii="Book Antiqua" w:hAnsi="Book Antiqua"/>
          <w:color w:val="000000"/>
          <w:sz w:val="24"/>
          <w:szCs w:val="24"/>
          <w:lang w:val="en-US"/>
        </w:rPr>
        <w:t xml:space="preserve">upon multiple </w:t>
      </w:r>
      <w:r w:rsidR="003120D4" w:rsidRPr="00A234EE">
        <w:rPr>
          <w:rFonts w:ascii="Book Antiqua" w:hAnsi="Book Antiqua"/>
          <w:color w:val="000000"/>
          <w:sz w:val="24"/>
          <w:szCs w:val="24"/>
          <w:lang w:val="en-US"/>
        </w:rPr>
        <w:t xml:space="preserve">histological endpoints in a mouse model of diet-induced </w:t>
      </w:r>
      <w:r w:rsidR="00E4751A" w:rsidRPr="00A234EE">
        <w:rPr>
          <w:rFonts w:ascii="Book Antiqua" w:hAnsi="Book Antiqua"/>
          <w:bCs/>
          <w:sz w:val="24"/>
          <w:szCs w:val="24"/>
          <w:lang w:val="en-US"/>
        </w:rPr>
        <w:t>non-alcoholic steatohepatitis</w:t>
      </w:r>
      <w:r w:rsidR="00E4751A" w:rsidRPr="009D4DB4">
        <w:rPr>
          <w:rFonts w:ascii="Book Antiqua" w:hAnsi="Book Antiqua"/>
          <w:bCs/>
          <w:sz w:val="24"/>
          <w:szCs w:val="24"/>
          <w:lang w:val="en-US"/>
        </w:rPr>
        <w:t xml:space="preserve"> </w:t>
      </w:r>
      <w:r w:rsidR="00E4751A" w:rsidRPr="009D4DB4">
        <w:rPr>
          <w:rFonts w:ascii="Book Antiqua" w:hAnsi="Book Antiqua"/>
          <w:bCs/>
          <w:sz w:val="24"/>
          <w:szCs w:val="24"/>
          <w:lang w:val="en-US" w:eastAsia="zh-CN"/>
        </w:rPr>
        <w:t>(</w:t>
      </w:r>
      <w:r w:rsidR="003120D4" w:rsidRPr="00A234EE">
        <w:rPr>
          <w:rFonts w:ascii="Book Antiqua" w:hAnsi="Book Antiqua"/>
          <w:color w:val="000000"/>
          <w:sz w:val="24"/>
          <w:szCs w:val="24"/>
          <w:lang w:val="en-US"/>
        </w:rPr>
        <w:t>NASH</w:t>
      </w:r>
      <w:r w:rsidR="00E4751A" w:rsidRPr="00A234EE">
        <w:rPr>
          <w:rFonts w:ascii="Book Antiqua" w:hAnsi="Book Antiqua"/>
          <w:color w:val="000000"/>
          <w:sz w:val="24"/>
          <w:szCs w:val="24"/>
          <w:lang w:val="en-US" w:eastAsia="zh-CN"/>
        </w:rPr>
        <w:t>)</w:t>
      </w:r>
      <w:r w:rsidR="003120D4" w:rsidRPr="00A234EE">
        <w:rPr>
          <w:rFonts w:ascii="Book Antiqua" w:hAnsi="Book Antiqua"/>
          <w:color w:val="000000"/>
          <w:sz w:val="24"/>
          <w:szCs w:val="24"/>
          <w:lang w:val="en-US"/>
        </w:rPr>
        <w:t>. Pr</w:t>
      </w:r>
      <w:r w:rsidR="00E23F19" w:rsidRPr="00A234EE">
        <w:rPr>
          <w:rFonts w:ascii="Book Antiqua" w:hAnsi="Book Antiqua"/>
          <w:color w:val="000000"/>
          <w:sz w:val="24"/>
          <w:szCs w:val="24"/>
          <w:lang w:val="en-US"/>
        </w:rPr>
        <w:t>ior</w:t>
      </w:r>
      <w:r w:rsidR="003120D4" w:rsidRPr="00A234EE">
        <w:rPr>
          <w:rFonts w:ascii="Book Antiqua" w:hAnsi="Book Antiqua"/>
          <w:color w:val="000000"/>
          <w:sz w:val="24"/>
          <w:szCs w:val="24"/>
          <w:lang w:val="en-US"/>
        </w:rPr>
        <w:t xml:space="preserve"> pharmacology studies using INT-767 had not been conducted in models of established </w:t>
      </w:r>
      <w:r w:rsidR="00E1284F" w:rsidRPr="00A234EE">
        <w:rPr>
          <w:rFonts w:ascii="Book Antiqua" w:hAnsi="Book Antiqua"/>
          <w:color w:val="000000"/>
          <w:sz w:val="24"/>
          <w:szCs w:val="24"/>
          <w:lang w:val="en-US"/>
        </w:rPr>
        <w:t>and</w:t>
      </w:r>
      <w:r w:rsidRPr="00A234EE">
        <w:rPr>
          <w:rFonts w:ascii="Book Antiqua" w:hAnsi="Book Antiqua"/>
          <w:color w:val="000000"/>
          <w:sz w:val="24"/>
          <w:szCs w:val="24"/>
          <w:lang w:val="en-US"/>
        </w:rPr>
        <w:t xml:space="preserve"> </w:t>
      </w:r>
      <w:r w:rsidR="003120D4" w:rsidRPr="00A234EE">
        <w:rPr>
          <w:rFonts w:ascii="Book Antiqua" w:hAnsi="Book Antiqua"/>
          <w:color w:val="000000"/>
          <w:sz w:val="24"/>
          <w:szCs w:val="24"/>
          <w:lang w:val="en-US"/>
        </w:rPr>
        <w:t xml:space="preserve">biopsy-confirmed NASH with </w:t>
      </w:r>
      <w:r w:rsidR="00E1284F" w:rsidRPr="00A234EE">
        <w:rPr>
          <w:rFonts w:ascii="Book Antiqua" w:hAnsi="Book Antiqua"/>
          <w:color w:val="000000"/>
          <w:sz w:val="24"/>
          <w:szCs w:val="24"/>
          <w:lang w:val="en-US"/>
        </w:rPr>
        <w:t xml:space="preserve">sufficient </w:t>
      </w:r>
      <w:r w:rsidR="003120D4" w:rsidRPr="00A234EE">
        <w:rPr>
          <w:rFonts w:ascii="Book Antiqua" w:hAnsi="Book Antiqua"/>
          <w:color w:val="000000"/>
          <w:sz w:val="24"/>
          <w:szCs w:val="24"/>
          <w:lang w:val="en-US"/>
        </w:rPr>
        <w:t>fibrosis</w:t>
      </w:r>
      <w:r w:rsidRPr="00A234EE">
        <w:rPr>
          <w:rFonts w:ascii="Book Antiqua" w:hAnsi="Book Antiqua"/>
          <w:color w:val="000000"/>
          <w:sz w:val="24"/>
          <w:szCs w:val="24"/>
          <w:lang w:val="en-US"/>
        </w:rPr>
        <w:t>.</w:t>
      </w:r>
      <w:r w:rsidR="006502D6" w:rsidRPr="00A234EE">
        <w:rPr>
          <w:rFonts w:ascii="Book Antiqua" w:hAnsi="Book Antiqua"/>
          <w:color w:val="000000"/>
          <w:sz w:val="24"/>
          <w:szCs w:val="24"/>
          <w:lang w:val="en-US"/>
        </w:rPr>
        <w:t xml:space="preserve"> </w:t>
      </w:r>
    </w:p>
    <w:p w14:paraId="59EC50BC" w14:textId="77777777" w:rsidR="007D4AE3" w:rsidRPr="00A234EE" w:rsidRDefault="007D4AE3" w:rsidP="00A234EE">
      <w:pPr>
        <w:adjustRightInd w:val="0"/>
        <w:snapToGrid w:val="0"/>
        <w:spacing w:after="0" w:line="360" w:lineRule="auto"/>
        <w:jc w:val="both"/>
        <w:rPr>
          <w:rFonts w:ascii="Book Antiqua" w:hAnsi="Book Antiqua"/>
          <w:color w:val="000000"/>
          <w:sz w:val="24"/>
          <w:szCs w:val="24"/>
          <w:lang w:val="en-US"/>
        </w:rPr>
      </w:pPr>
    </w:p>
    <w:p w14:paraId="59E216F5" w14:textId="77777777" w:rsidR="007D4AE3" w:rsidRPr="00A234EE" w:rsidRDefault="007D4AE3" w:rsidP="00A234EE">
      <w:pPr>
        <w:adjustRightInd w:val="0"/>
        <w:snapToGrid w:val="0"/>
        <w:spacing w:after="0" w:line="360" w:lineRule="auto"/>
        <w:jc w:val="both"/>
        <w:rPr>
          <w:rFonts w:ascii="Book Antiqua" w:hAnsi="Book Antiqua"/>
          <w:b/>
          <w:i/>
          <w:color w:val="000000"/>
          <w:sz w:val="24"/>
          <w:szCs w:val="24"/>
          <w:lang w:val="en-US"/>
        </w:rPr>
      </w:pPr>
      <w:r w:rsidRPr="00A234EE">
        <w:rPr>
          <w:rFonts w:ascii="Book Antiqua" w:hAnsi="Book Antiqua"/>
          <w:b/>
          <w:i/>
          <w:color w:val="000000"/>
          <w:sz w:val="24"/>
          <w:szCs w:val="24"/>
          <w:lang w:val="en-US"/>
        </w:rPr>
        <w:t>Research motivation</w:t>
      </w:r>
    </w:p>
    <w:p w14:paraId="5197ACF7" w14:textId="0AC1BD89" w:rsidR="007D4AE3" w:rsidRPr="00A234EE" w:rsidRDefault="00006070" w:rsidP="00A234EE">
      <w:pPr>
        <w:adjustRightInd w:val="0"/>
        <w:snapToGrid w:val="0"/>
        <w:spacing w:after="0" w:line="360" w:lineRule="auto"/>
        <w:jc w:val="both"/>
        <w:rPr>
          <w:rFonts w:ascii="Book Antiqua" w:hAnsi="Book Antiqua"/>
          <w:color w:val="000000"/>
          <w:sz w:val="24"/>
          <w:szCs w:val="24"/>
          <w:lang w:val="en-US"/>
        </w:rPr>
      </w:pPr>
      <w:r w:rsidRPr="00A234EE">
        <w:rPr>
          <w:rFonts w:ascii="Book Antiqua" w:hAnsi="Book Antiqua"/>
          <w:color w:val="000000"/>
          <w:sz w:val="24"/>
          <w:szCs w:val="24"/>
          <w:lang w:val="en-US"/>
        </w:rPr>
        <w:t xml:space="preserve">INT-767 is in early clinical development for NASH. These preclinical studies provide proof-of-concept for efficacy in NASH and preclinical superiority relative to obeticholic acid (OCA; an FXR agonist in late stage development for NASH). </w:t>
      </w:r>
      <w:r w:rsidR="00506EA3" w:rsidRPr="00A234EE">
        <w:rPr>
          <w:rFonts w:ascii="Book Antiqua" w:hAnsi="Book Antiqua"/>
          <w:color w:val="000000"/>
          <w:sz w:val="24"/>
          <w:szCs w:val="24"/>
          <w:lang w:val="en-US"/>
        </w:rPr>
        <w:t>The present studies also aimed to shed light on the</w:t>
      </w:r>
      <w:r w:rsidRPr="00A234EE">
        <w:rPr>
          <w:rFonts w:ascii="Book Antiqua" w:hAnsi="Book Antiqua"/>
          <w:color w:val="000000"/>
          <w:sz w:val="24"/>
          <w:szCs w:val="24"/>
          <w:lang w:val="en-US"/>
        </w:rPr>
        <w:t xml:space="preserve"> impact of INT-767 on morphometric features of steatosis (droplet size and number) and fibrosis (</w:t>
      </w:r>
      <w:r w:rsidR="00EE3D2B" w:rsidRPr="00A234EE">
        <w:rPr>
          <w:rFonts w:ascii="Book Antiqua" w:hAnsi="Book Antiqua"/>
          <w:color w:val="000000"/>
          <w:sz w:val="24"/>
          <w:szCs w:val="24"/>
          <w:lang w:val="en-US"/>
        </w:rPr>
        <w:t xml:space="preserve">fiber </w:t>
      </w:r>
      <w:r w:rsidRPr="00A234EE">
        <w:rPr>
          <w:rFonts w:ascii="Book Antiqua" w:hAnsi="Book Antiqua"/>
          <w:color w:val="000000"/>
          <w:sz w:val="24"/>
          <w:szCs w:val="24"/>
          <w:lang w:val="en-US"/>
        </w:rPr>
        <w:t>density</w:t>
      </w:r>
      <w:r w:rsidR="00EE3D2B" w:rsidRPr="00A234EE">
        <w:rPr>
          <w:rFonts w:ascii="Book Antiqua" w:hAnsi="Book Antiqua"/>
          <w:color w:val="000000"/>
          <w:sz w:val="24"/>
          <w:szCs w:val="24"/>
          <w:lang w:val="en-US"/>
        </w:rPr>
        <w:t xml:space="preserve">) using quantitative histological methods. </w:t>
      </w:r>
    </w:p>
    <w:p w14:paraId="42D35227" w14:textId="77777777" w:rsidR="007D4AE3" w:rsidRPr="00A234EE" w:rsidRDefault="007D4AE3" w:rsidP="00A234EE">
      <w:pPr>
        <w:adjustRightInd w:val="0"/>
        <w:snapToGrid w:val="0"/>
        <w:spacing w:after="0" w:line="360" w:lineRule="auto"/>
        <w:jc w:val="both"/>
        <w:rPr>
          <w:rFonts w:ascii="Book Antiqua" w:hAnsi="Book Antiqua"/>
          <w:b/>
          <w:color w:val="000000"/>
          <w:sz w:val="24"/>
          <w:szCs w:val="24"/>
          <w:lang w:val="en-US"/>
        </w:rPr>
      </w:pPr>
    </w:p>
    <w:p w14:paraId="40037484" w14:textId="77777777" w:rsidR="007D4AE3" w:rsidRPr="00A234EE" w:rsidRDefault="007D4AE3" w:rsidP="00A234EE">
      <w:pPr>
        <w:adjustRightInd w:val="0"/>
        <w:snapToGrid w:val="0"/>
        <w:spacing w:after="0" w:line="360" w:lineRule="auto"/>
        <w:jc w:val="both"/>
        <w:rPr>
          <w:rFonts w:ascii="Book Antiqua" w:hAnsi="Book Antiqua"/>
          <w:b/>
          <w:i/>
          <w:color w:val="000000"/>
          <w:sz w:val="24"/>
          <w:szCs w:val="24"/>
          <w:lang w:val="en-US"/>
        </w:rPr>
      </w:pPr>
      <w:r w:rsidRPr="00A234EE">
        <w:rPr>
          <w:rFonts w:ascii="Book Antiqua" w:hAnsi="Book Antiqua"/>
          <w:b/>
          <w:i/>
          <w:color w:val="000000"/>
          <w:sz w:val="24"/>
          <w:szCs w:val="24"/>
          <w:lang w:val="en-US"/>
        </w:rPr>
        <w:t>Research objectives</w:t>
      </w:r>
    </w:p>
    <w:p w14:paraId="312D4109" w14:textId="3382A510" w:rsidR="00E23F19" w:rsidRPr="00A234EE" w:rsidRDefault="00EE3D2B" w:rsidP="00A234EE">
      <w:pPr>
        <w:adjustRightInd w:val="0"/>
        <w:snapToGrid w:val="0"/>
        <w:spacing w:after="0" w:line="360" w:lineRule="auto"/>
        <w:jc w:val="both"/>
        <w:rPr>
          <w:rFonts w:ascii="Book Antiqua" w:hAnsi="Book Antiqua"/>
          <w:color w:val="000000"/>
          <w:sz w:val="24"/>
          <w:szCs w:val="24"/>
          <w:lang w:val="en-US"/>
        </w:rPr>
      </w:pPr>
      <w:r w:rsidRPr="00A234EE">
        <w:rPr>
          <w:rFonts w:ascii="Book Antiqua" w:hAnsi="Book Antiqua"/>
          <w:color w:val="000000"/>
          <w:sz w:val="24"/>
          <w:szCs w:val="24"/>
          <w:lang w:val="en-US"/>
        </w:rPr>
        <w:t>The primary object</w:t>
      </w:r>
      <w:r w:rsidR="00750DB4" w:rsidRPr="00A234EE">
        <w:rPr>
          <w:rFonts w:ascii="Book Antiqua" w:hAnsi="Book Antiqua"/>
          <w:color w:val="000000"/>
          <w:sz w:val="24"/>
          <w:szCs w:val="24"/>
          <w:lang w:val="en-US"/>
        </w:rPr>
        <w:t>ive</w:t>
      </w:r>
      <w:r w:rsidRPr="00A234EE">
        <w:rPr>
          <w:rFonts w:ascii="Book Antiqua" w:hAnsi="Book Antiqua"/>
          <w:color w:val="000000"/>
          <w:sz w:val="24"/>
          <w:szCs w:val="24"/>
          <w:lang w:val="en-US"/>
        </w:rPr>
        <w:t xml:space="preserve"> was to characterize improvements in NASH </w:t>
      </w:r>
      <w:r w:rsidR="006C7411" w:rsidRPr="00A234EE">
        <w:rPr>
          <w:rFonts w:ascii="Book Antiqua" w:hAnsi="Book Antiqua"/>
          <w:color w:val="000000"/>
          <w:sz w:val="24"/>
          <w:szCs w:val="24"/>
          <w:lang w:val="en-US"/>
        </w:rPr>
        <w:t xml:space="preserve">histopathology </w:t>
      </w:r>
      <w:r w:rsidRPr="00A234EE">
        <w:rPr>
          <w:rFonts w:ascii="Book Antiqua" w:hAnsi="Book Antiqua"/>
          <w:color w:val="000000"/>
          <w:sz w:val="24"/>
          <w:szCs w:val="24"/>
          <w:lang w:val="en-US"/>
        </w:rPr>
        <w:t>using qualitative (</w:t>
      </w:r>
      <w:r w:rsidR="00C375DD" w:rsidRPr="00A234EE">
        <w:rPr>
          <w:rFonts w:ascii="Book Antiqua" w:hAnsi="Book Antiqua"/>
          <w:i/>
          <w:color w:val="000000"/>
          <w:sz w:val="24"/>
          <w:szCs w:val="24"/>
          <w:lang w:val="en-US"/>
        </w:rPr>
        <w:t>e.g.</w:t>
      </w:r>
      <w:r w:rsidRPr="00A234EE">
        <w:rPr>
          <w:rFonts w:ascii="Book Antiqua" w:hAnsi="Book Antiqua"/>
          <w:color w:val="000000"/>
          <w:sz w:val="24"/>
          <w:szCs w:val="24"/>
          <w:lang w:val="en-US"/>
        </w:rPr>
        <w:t>, NAS stage scoring for steatosis, inflammation, and ballooning and fibrosis) and</w:t>
      </w:r>
      <w:r w:rsidR="007D4AE3" w:rsidRPr="00A234EE">
        <w:rPr>
          <w:rFonts w:ascii="Book Antiqua" w:hAnsi="Book Antiqua"/>
          <w:color w:val="000000"/>
          <w:sz w:val="24"/>
          <w:szCs w:val="24"/>
          <w:lang w:val="en-US"/>
        </w:rPr>
        <w:t xml:space="preserve"> </w:t>
      </w:r>
      <w:r w:rsidRPr="00A234EE">
        <w:rPr>
          <w:rFonts w:ascii="Book Antiqua" w:hAnsi="Book Antiqua"/>
          <w:color w:val="000000"/>
          <w:sz w:val="24"/>
          <w:szCs w:val="24"/>
          <w:lang w:val="en-US"/>
        </w:rPr>
        <w:t>quantitative (percent fractional area; %FA</w:t>
      </w:r>
      <w:r w:rsidR="00750DB4" w:rsidRPr="00A234EE">
        <w:rPr>
          <w:rFonts w:ascii="Book Antiqua" w:hAnsi="Book Antiqua"/>
          <w:color w:val="000000"/>
          <w:sz w:val="24"/>
          <w:szCs w:val="24"/>
          <w:lang w:val="en-US"/>
        </w:rPr>
        <w:t xml:space="preserve">) </w:t>
      </w:r>
      <w:r w:rsidRPr="00A234EE">
        <w:rPr>
          <w:rFonts w:ascii="Book Antiqua" w:hAnsi="Book Antiqua"/>
          <w:color w:val="000000"/>
          <w:sz w:val="24"/>
          <w:szCs w:val="24"/>
          <w:lang w:val="en-US"/>
        </w:rPr>
        <w:t xml:space="preserve">endpoints. The secondary objective was to understand </w:t>
      </w:r>
      <w:r w:rsidR="00750DB4" w:rsidRPr="00A234EE">
        <w:rPr>
          <w:rFonts w:ascii="Book Antiqua" w:hAnsi="Book Antiqua"/>
          <w:color w:val="000000"/>
          <w:sz w:val="24"/>
          <w:szCs w:val="24"/>
          <w:lang w:val="en-US"/>
        </w:rPr>
        <w:t xml:space="preserve">the </w:t>
      </w:r>
      <w:r w:rsidR="00E23F19" w:rsidRPr="00A234EE">
        <w:rPr>
          <w:rFonts w:ascii="Book Antiqua" w:hAnsi="Book Antiqua"/>
          <w:color w:val="000000"/>
          <w:sz w:val="24"/>
          <w:szCs w:val="24"/>
          <w:lang w:val="en-US"/>
        </w:rPr>
        <w:t xml:space="preserve">relative efficacy </w:t>
      </w:r>
      <w:r w:rsidR="00750DB4" w:rsidRPr="00A234EE">
        <w:rPr>
          <w:rFonts w:ascii="Book Antiqua" w:hAnsi="Book Antiqua"/>
          <w:color w:val="000000"/>
          <w:sz w:val="24"/>
          <w:szCs w:val="24"/>
          <w:lang w:val="en-US"/>
        </w:rPr>
        <w:t xml:space="preserve">of INT-767 </w:t>
      </w:r>
      <w:r w:rsidR="00E23F19" w:rsidRPr="00A234EE">
        <w:rPr>
          <w:rFonts w:ascii="Book Antiqua" w:hAnsi="Book Antiqua"/>
          <w:color w:val="000000"/>
          <w:sz w:val="24"/>
          <w:szCs w:val="24"/>
          <w:lang w:val="en-US"/>
        </w:rPr>
        <w:t xml:space="preserve">to and </w:t>
      </w:r>
      <w:r w:rsidRPr="00A234EE">
        <w:rPr>
          <w:rFonts w:ascii="Book Antiqua" w:hAnsi="Book Antiqua"/>
          <w:color w:val="000000"/>
          <w:sz w:val="24"/>
          <w:szCs w:val="24"/>
          <w:lang w:val="en-US"/>
        </w:rPr>
        <w:t>mechanistic difference</w:t>
      </w:r>
      <w:r w:rsidR="00E23F19" w:rsidRPr="00A234EE">
        <w:rPr>
          <w:rFonts w:ascii="Book Antiqua" w:hAnsi="Book Antiqua"/>
          <w:color w:val="000000"/>
          <w:sz w:val="24"/>
          <w:szCs w:val="24"/>
          <w:lang w:val="en-US"/>
        </w:rPr>
        <w:t>s from OCA.</w:t>
      </w:r>
      <w:r w:rsidR="00750DB4" w:rsidRPr="00A234EE">
        <w:rPr>
          <w:rFonts w:ascii="Book Antiqua" w:hAnsi="Book Antiqua"/>
          <w:color w:val="000000"/>
          <w:sz w:val="24"/>
          <w:szCs w:val="24"/>
          <w:lang w:val="en-US"/>
        </w:rPr>
        <w:t xml:space="preserve"> </w:t>
      </w:r>
      <w:r w:rsidR="00E23F19" w:rsidRPr="00A234EE">
        <w:rPr>
          <w:rFonts w:ascii="Book Antiqua" w:hAnsi="Book Antiqua"/>
          <w:color w:val="000000"/>
          <w:sz w:val="24"/>
          <w:szCs w:val="24"/>
          <w:lang w:val="en-US"/>
        </w:rPr>
        <w:t xml:space="preserve">This objective was achieved by </w:t>
      </w:r>
      <w:r w:rsidR="00750DB4" w:rsidRPr="00A234EE">
        <w:rPr>
          <w:rFonts w:ascii="Book Antiqua" w:hAnsi="Book Antiqua"/>
          <w:color w:val="000000"/>
          <w:sz w:val="24"/>
          <w:szCs w:val="24"/>
          <w:lang w:val="en-US"/>
        </w:rPr>
        <w:t xml:space="preserve">comparing drug distribution and gene expression profiles in the liver and ileum. </w:t>
      </w:r>
    </w:p>
    <w:p w14:paraId="4C4C30E8" w14:textId="77777777" w:rsidR="00014871" w:rsidRPr="00A234EE" w:rsidRDefault="00014871" w:rsidP="00A234EE">
      <w:pPr>
        <w:adjustRightInd w:val="0"/>
        <w:snapToGrid w:val="0"/>
        <w:spacing w:after="0" w:line="360" w:lineRule="auto"/>
        <w:jc w:val="both"/>
        <w:rPr>
          <w:rFonts w:ascii="Book Antiqua" w:hAnsi="Book Antiqua"/>
          <w:b/>
          <w:i/>
          <w:color w:val="000000"/>
          <w:sz w:val="24"/>
          <w:szCs w:val="24"/>
          <w:lang w:val="en-US"/>
        </w:rPr>
      </w:pPr>
    </w:p>
    <w:p w14:paraId="52F6E35D" w14:textId="5165DFEC" w:rsidR="007D4AE3" w:rsidRPr="00A234EE" w:rsidRDefault="007D4AE3" w:rsidP="00A234EE">
      <w:pPr>
        <w:adjustRightInd w:val="0"/>
        <w:snapToGrid w:val="0"/>
        <w:spacing w:after="0" w:line="360" w:lineRule="auto"/>
        <w:jc w:val="both"/>
        <w:rPr>
          <w:rFonts w:ascii="Book Antiqua" w:hAnsi="Book Antiqua"/>
          <w:b/>
          <w:i/>
          <w:color w:val="000000"/>
          <w:sz w:val="24"/>
          <w:szCs w:val="24"/>
          <w:lang w:val="en-US"/>
        </w:rPr>
      </w:pPr>
      <w:r w:rsidRPr="00A234EE">
        <w:rPr>
          <w:rFonts w:ascii="Book Antiqua" w:hAnsi="Book Antiqua"/>
          <w:b/>
          <w:i/>
          <w:color w:val="000000"/>
          <w:sz w:val="24"/>
          <w:szCs w:val="24"/>
          <w:lang w:val="en-US"/>
        </w:rPr>
        <w:t>Research methods</w:t>
      </w:r>
    </w:p>
    <w:p w14:paraId="4A552BB0" w14:textId="45B41A7D" w:rsidR="00014871" w:rsidRPr="00A234EE" w:rsidRDefault="00014871" w:rsidP="00A234EE">
      <w:pPr>
        <w:adjustRightInd w:val="0"/>
        <w:snapToGrid w:val="0"/>
        <w:spacing w:after="0" w:line="360" w:lineRule="auto"/>
        <w:jc w:val="both"/>
        <w:rPr>
          <w:rFonts w:ascii="Book Antiqua" w:hAnsi="Book Antiqua"/>
          <w:color w:val="000000"/>
          <w:sz w:val="24"/>
          <w:szCs w:val="24"/>
          <w:lang w:val="en-US"/>
        </w:rPr>
      </w:pPr>
      <w:r w:rsidRPr="00A234EE">
        <w:rPr>
          <w:rFonts w:ascii="Book Antiqua" w:hAnsi="Book Antiqua"/>
          <w:color w:val="000000"/>
          <w:sz w:val="24"/>
          <w:szCs w:val="24"/>
          <w:lang w:val="en-US"/>
        </w:rPr>
        <w:t>Therapeutic effects in NASH were measured usin</w:t>
      </w:r>
      <w:r w:rsidR="003238D2" w:rsidRPr="00A234EE">
        <w:rPr>
          <w:rFonts w:ascii="Book Antiqua" w:hAnsi="Book Antiqua"/>
          <w:color w:val="000000"/>
          <w:sz w:val="24"/>
          <w:szCs w:val="24"/>
          <w:lang w:val="en-US"/>
        </w:rPr>
        <w:t>g blinded qualitative (H</w:t>
      </w:r>
      <w:r w:rsidRPr="00A234EE">
        <w:rPr>
          <w:rFonts w:ascii="Book Antiqua" w:hAnsi="Book Antiqua"/>
          <w:color w:val="000000"/>
          <w:sz w:val="24"/>
          <w:szCs w:val="24"/>
          <w:lang w:val="en-US"/>
        </w:rPr>
        <w:t xml:space="preserve">E stained sections) and quantitative (%FA of IHC-stained sections) methods. </w:t>
      </w:r>
      <w:r w:rsidR="006502D6" w:rsidRPr="00A234EE">
        <w:rPr>
          <w:rFonts w:ascii="Book Antiqua" w:hAnsi="Book Antiqua"/>
          <w:color w:val="000000"/>
          <w:sz w:val="24"/>
          <w:szCs w:val="24"/>
          <w:lang w:val="en-US"/>
        </w:rPr>
        <w:t xml:space="preserve">The inclusion of a biopsy at both baseline and endpoint </w:t>
      </w:r>
      <w:r w:rsidR="00DC2732" w:rsidRPr="00A234EE">
        <w:rPr>
          <w:rFonts w:ascii="Book Antiqua" w:hAnsi="Book Antiqua"/>
          <w:color w:val="000000"/>
          <w:sz w:val="24"/>
          <w:szCs w:val="24"/>
          <w:lang w:val="en-US"/>
        </w:rPr>
        <w:t xml:space="preserve">is unique and </w:t>
      </w:r>
      <w:r w:rsidR="006502D6" w:rsidRPr="00A234EE">
        <w:rPr>
          <w:rFonts w:ascii="Book Antiqua" w:hAnsi="Book Antiqua"/>
          <w:color w:val="000000"/>
          <w:sz w:val="24"/>
          <w:szCs w:val="24"/>
          <w:lang w:val="en-US"/>
        </w:rPr>
        <w:t>enabled a within-subjects, repeated</w:t>
      </w:r>
      <w:r w:rsidR="005B12C0" w:rsidRPr="00A234EE">
        <w:rPr>
          <w:rFonts w:ascii="Book Antiqua" w:hAnsi="Book Antiqua"/>
          <w:color w:val="000000"/>
          <w:sz w:val="24"/>
          <w:szCs w:val="24"/>
          <w:lang w:val="en-US"/>
        </w:rPr>
        <w:t>-</w:t>
      </w:r>
      <w:r w:rsidR="006502D6" w:rsidRPr="00A234EE">
        <w:rPr>
          <w:rFonts w:ascii="Book Antiqua" w:hAnsi="Book Antiqua"/>
          <w:color w:val="000000"/>
          <w:sz w:val="24"/>
          <w:szCs w:val="24"/>
          <w:lang w:val="en-US"/>
        </w:rPr>
        <w:t xml:space="preserve">measures study design. </w:t>
      </w:r>
      <w:r w:rsidR="00DC2732" w:rsidRPr="00A234EE">
        <w:rPr>
          <w:rFonts w:ascii="Book Antiqua" w:hAnsi="Book Antiqua"/>
          <w:color w:val="000000"/>
          <w:sz w:val="24"/>
          <w:szCs w:val="24"/>
          <w:lang w:val="en-US"/>
        </w:rPr>
        <w:t>M</w:t>
      </w:r>
      <w:r w:rsidR="006502D6" w:rsidRPr="00A234EE">
        <w:rPr>
          <w:rFonts w:ascii="Book Antiqua" w:hAnsi="Book Antiqua"/>
          <w:color w:val="000000"/>
          <w:sz w:val="24"/>
          <w:szCs w:val="24"/>
          <w:lang w:val="en-US"/>
        </w:rPr>
        <w:t xml:space="preserve">ost studies do not include a biopsy and rely on endpoint measurements only. </w:t>
      </w:r>
      <w:r w:rsidR="005B12C0" w:rsidRPr="00A234EE">
        <w:rPr>
          <w:rFonts w:ascii="Book Antiqua" w:hAnsi="Book Antiqua"/>
          <w:color w:val="000000"/>
          <w:sz w:val="24"/>
          <w:szCs w:val="24"/>
          <w:lang w:val="en-US"/>
        </w:rPr>
        <w:t>M</w:t>
      </w:r>
      <w:r w:rsidRPr="00A234EE">
        <w:rPr>
          <w:rFonts w:ascii="Book Antiqua" w:hAnsi="Book Antiqua"/>
          <w:color w:val="000000"/>
          <w:sz w:val="24"/>
          <w:szCs w:val="24"/>
          <w:lang w:val="en-US"/>
        </w:rPr>
        <w:t xml:space="preserve">orphometric assessments were </w:t>
      </w:r>
      <w:r w:rsidR="005B12C0" w:rsidRPr="00A234EE">
        <w:rPr>
          <w:rFonts w:ascii="Book Antiqua" w:hAnsi="Book Antiqua"/>
          <w:color w:val="000000"/>
          <w:sz w:val="24"/>
          <w:szCs w:val="24"/>
          <w:lang w:val="en-US"/>
        </w:rPr>
        <w:t xml:space="preserve">also </w:t>
      </w:r>
      <w:r w:rsidRPr="00A234EE">
        <w:rPr>
          <w:rFonts w:ascii="Book Antiqua" w:hAnsi="Book Antiqua"/>
          <w:color w:val="000000"/>
          <w:sz w:val="24"/>
          <w:szCs w:val="24"/>
          <w:lang w:val="en-US"/>
        </w:rPr>
        <w:t>performed using label-free second harmonic generation imaging (for fibrosis) and two-photon emission (for steatosis)</w:t>
      </w:r>
      <w:r w:rsidR="006502D6" w:rsidRPr="00A234EE">
        <w:rPr>
          <w:rFonts w:ascii="Book Antiqua" w:hAnsi="Book Antiqua"/>
          <w:color w:val="000000"/>
          <w:sz w:val="24"/>
          <w:szCs w:val="24"/>
          <w:lang w:val="en-US"/>
        </w:rPr>
        <w:t xml:space="preserve"> which are novel in NASH</w:t>
      </w:r>
      <w:r w:rsidRPr="00A234EE">
        <w:rPr>
          <w:rFonts w:ascii="Book Antiqua" w:hAnsi="Book Antiqua"/>
          <w:color w:val="000000"/>
          <w:sz w:val="24"/>
          <w:szCs w:val="24"/>
          <w:lang w:val="en-US"/>
        </w:rPr>
        <w:t xml:space="preserve">. </w:t>
      </w:r>
      <w:r w:rsidR="00750DB4" w:rsidRPr="00A234EE">
        <w:rPr>
          <w:rFonts w:ascii="Book Antiqua" w:hAnsi="Book Antiqua"/>
          <w:color w:val="000000"/>
          <w:sz w:val="24"/>
          <w:szCs w:val="24"/>
          <w:lang w:val="en-US"/>
        </w:rPr>
        <w:t xml:space="preserve">The rigor of measuring the same samples </w:t>
      </w:r>
      <w:r w:rsidRPr="00A234EE">
        <w:rPr>
          <w:rFonts w:ascii="Book Antiqua" w:hAnsi="Book Antiqua"/>
          <w:color w:val="000000"/>
          <w:sz w:val="24"/>
          <w:szCs w:val="24"/>
          <w:lang w:val="en-US"/>
        </w:rPr>
        <w:t xml:space="preserve">using multiple </w:t>
      </w:r>
      <w:r w:rsidR="00750DB4" w:rsidRPr="00A234EE">
        <w:rPr>
          <w:rFonts w:ascii="Book Antiqua" w:hAnsi="Book Antiqua"/>
          <w:color w:val="000000"/>
          <w:sz w:val="24"/>
          <w:szCs w:val="24"/>
          <w:lang w:val="en-US"/>
        </w:rPr>
        <w:t xml:space="preserve">histological </w:t>
      </w:r>
      <w:r w:rsidRPr="00A234EE">
        <w:rPr>
          <w:rFonts w:ascii="Book Antiqua" w:hAnsi="Book Antiqua"/>
          <w:color w:val="000000"/>
          <w:sz w:val="24"/>
          <w:szCs w:val="24"/>
          <w:lang w:val="en-US"/>
        </w:rPr>
        <w:t>techniques</w:t>
      </w:r>
      <w:r w:rsidR="00750DB4" w:rsidRPr="00A234EE">
        <w:rPr>
          <w:rFonts w:ascii="Book Antiqua" w:hAnsi="Book Antiqua"/>
          <w:color w:val="000000"/>
          <w:sz w:val="24"/>
          <w:szCs w:val="24"/>
          <w:lang w:val="en-US"/>
        </w:rPr>
        <w:t xml:space="preserve"> also allows the reader to consider how</w:t>
      </w:r>
      <w:r w:rsidR="006502D6" w:rsidRPr="00A234EE">
        <w:rPr>
          <w:rFonts w:ascii="Book Antiqua" w:hAnsi="Book Antiqua"/>
          <w:color w:val="000000"/>
          <w:sz w:val="24"/>
          <w:szCs w:val="24"/>
          <w:lang w:val="en-US"/>
        </w:rPr>
        <w:t xml:space="preserve"> well these methods correlate with one another. </w:t>
      </w:r>
      <w:r w:rsidR="007705F9" w:rsidRPr="00A234EE">
        <w:rPr>
          <w:rFonts w:ascii="Book Antiqua" w:hAnsi="Book Antiqua"/>
          <w:color w:val="000000"/>
          <w:sz w:val="24"/>
          <w:szCs w:val="24"/>
          <w:lang w:val="en-US"/>
        </w:rPr>
        <w:t>m</w:t>
      </w:r>
      <w:r w:rsidRPr="00A234EE">
        <w:rPr>
          <w:rFonts w:ascii="Book Antiqua" w:hAnsi="Book Antiqua"/>
          <w:color w:val="000000"/>
          <w:sz w:val="24"/>
          <w:szCs w:val="24"/>
          <w:lang w:val="en-US"/>
        </w:rPr>
        <w:t xml:space="preserve">RNA levels of </w:t>
      </w:r>
      <w:r w:rsidR="009C0BB9" w:rsidRPr="00A234EE">
        <w:rPr>
          <w:rFonts w:ascii="Book Antiqua" w:hAnsi="Book Antiqua"/>
          <w:color w:val="000000"/>
          <w:sz w:val="24"/>
          <w:szCs w:val="24"/>
          <w:lang w:val="en-US"/>
        </w:rPr>
        <w:t xml:space="preserve">FXR </w:t>
      </w:r>
      <w:r w:rsidR="00750DB4" w:rsidRPr="00A234EE">
        <w:rPr>
          <w:rFonts w:ascii="Book Antiqua" w:hAnsi="Book Antiqua"/>
          <w:color w:val="000000"/>
          <w:sz w:val="24"/>
          <w:szCs w:val="24"/>
          <w:lang w:val="en-US"/>
        </w:rPr>
        <w:t xml:space="preserve">regulated </w:t>
      </w:r>
      <w:r w:rsidRPr="00A234EE">
        <w:rPr>
          <w:rFonts w:ascii="Book Antiqua" w:hAnsi="Book Antiqua"/>
          <w:color w:val="000000"/>
          <w:sz w:val="24"/>
          <w:szCs w:val="24"/>
          <w:lang w:val="en-US"/>
        </w:rPr>
        <w:t>candidate genes were measured us</w:t>
      </w:r>
      <w:r w:rsidR="007705F9" w:rsidRPr="00A234EE">
        <w:rPr>
          <w:rFonts w:ascii="Book Antiqua" w:hAnsi="Book Antiqua"/>
          <w:color w:val="000000"/>
          <w:sz w:val="24"/>
          <w:szCs w:val="24"/>
          <w:lang w:val="en-US"/>
        </w:rPr>
        <w:t>ing RNA sequencing.</w:t>
      </w:r>
      <w:r w:rsidRPr="00A234EE">
        <w:rPr>
          <w:rFonts w:ascii="Book Antiqua" w:hAnsi="Book Antiqua"/>
          <w:color w:val="000000"/>
          <w:sz w:val="24"/>
          <w:szCs w:val="24"/>
          <w:lang w:val="en-US"/>
        </w:rPr>
        <w:t xml:space="preserve"> LC/MS/</w:t>
      </w:r>
      <w:r w:rsidR="007705F9" w:rsidRPr="00A234EE">
        <w:rPr>
          <w:rFonts w:ascii="Book Antiqua" w:hAnsi="Book Antiqua"/>
          <w:color w:val="000000"/>
          <w:sz w:val="24"/>
          <w:szCs w:val="24"/>
          <w:lang w:val="en-US"/>
        </w:rPr>
        <w:t>M</w:t>
      </w:r>
      <w:r w:rsidRPr="00A234EE">
        <w:rPr>
          <w:rFonts w:ascii="Book Antiqua" w:hAnsi="Book Antiqua"/>
          <w:color w:val="000000"/>
          <w:sz w:val="24"/>
          <w:szCs w:val="24"/>
          <w:lang w:val="en-US"/>
        </w:rPr>
        <w:t>S was used to de</w:t>
      </w:r>
      <w:r w:rsidR="007705F9" w:rsidRPr="00A234EE">
        <w:rPr>
          <w:rFonts w:ascii="Book Antiqua" w:hAnsi="Book Antiqua"/>
          <w:color w:val="000000"/>
          <w:sz w:val="24"/>
          <w:szCs w:val="24"/>
          <w:lang w:val="en-US"/>
        </w:rPr>
        <w:t>te</w:t>
      </w:r>
      <w:r w:rsidRPr="00A234EE">
        <w:rPr>
          <w:rFonts w:ascii="Book Antiqua" w:hAnsi="Book Antiqua"/>
          <w:color w:val="000000"/>
          <w:sz w:val="24"/>
          <w:szCs w:val="24"/>
          <w:lang w:val="en-US"/>
        </w:rPr>
        <w:t>rmine compound levels in liver and ileum.</w:t>
      </w:r>
    </w:p>
    <w:p w14:paraId="4C27B233" w14:textId="77777777" w:rsidR="00A03F1C" w:rsidRPr="00A234EE" w:rsidRDefault="00A03F1C" w:rsidP="00A234EE">
      <w:pPr>
        <w:adjustRightInd w:val="0"/>
        <w:snapToGrid w:val="0"/>
        <w:spacing w:after="0" w:line="360" w:lineRule="auto"/>
        <w:jc w:val="both"/>
        <w:rPr>
          <w:rFonts w:ascii="Book Antiqua" w:hAnsi="Book Antiqua"/>
          <w:b/>
          <w:i/>
          <w:color w:val="000000"/>
          <w:sz w:val="24"/>
          <w:szCs w:val="24"/>
          <w:lang w:val="en-US"/>
        </w:rPr>
      </w:pPr>
    </w:p>
    <w:p w14:paraId="31DAB4FF" w14:textId="3BF1F3ED" w:rsidR="007D4AE3" w:rsidRPr="00A234EE" w:rsidRDefault="007D4AE3" w:rsidP="00A234EE">
      <w:pPr>
        <w:adjustRightInd w:val="0"/>
        <w:snapToGrid w:val="0"/>
        <w:spacing w:after="0" w:line="360" w:lineRule="auto"/>
        <w:jc w:val="both"/>
        <w:rPr>
          <w:rFonts w:ascii="Book Antiqua" w:hAnsi="Book Antiqua"/>
          <w:b/>
          <w:i/>
          <w:color w:val="000000"/>
          <w:sz w:val="24"/>
          <w:szCs w:val="24"/>
          <w:lang w:val="en-US"/>
        </w:rPr>
      </w:pPr>
      <w:r w:rsidRPr="00A234EE">
        <w:rPr>
          <w:rFonts w:ascii="Book Antiqua" w:hAnsi="Book Antiqua"/>
          <w:b/>
          <w:i/>
          <w:color w:val="000000"/>
          <w:sz w:val="24"/>
          <w:szCs w:val="24"/>
          <w:lang w:val="en-US"/>
        </w:rPr>
        <w:t>Research results</w:t>
      </w:r>
    </w:p>
    <w:p w14:paraId="1F45A335" w14:textId="26B0B003" w:rsidR="00DC2732" w:rsidRPr="00A234EE" w:rsidRDefault="007705F9" w:rsidP="00A234EE">
      <w:pPr>
        <w:adjustRightInd w:val="0"/>
        <w:snapToGrid w:val="0"/>
        <w:spacing w:after="0" w:line="360" w:lineRule="auto"/>
        <w:jc w:val="both"/>
        <w:rPr>
          <w:rFonts w:ascii="Book Antiqua" w:hAnsi="Book Antiqua"/>
          <w:color w:val="000000"/>
          <w:sz w:val="24"/>
          <w:szCs w:val="24"/>
          <w:lang w:val="en-US"/>
        </w:rPr>
      </w:pPr>
      <w:r w:rsidRPr="00A234EE">
        <w:rPr>
          <w:rFonts w:ascii="Book Antiqua" w:hAnsi="Book Antiqua"/>
          <w:color w:val="000000"/>
          <w:sz w:val="24"/>
          <w:szCs w:val="24"/>
          <w:lang w:val="en-US"/>
        </w:rPr>
        <w:t>In an 8-</w:t>
      </w:r>
      <w:r w:rsidR="00C375DD" w:rsidRPr="00A234EE">
        <w:rPr>
          <w:rFonts w:ascii="Book Antiqua" w:hAnsi="Book Antiqua"/>
          <w:color w:val="000000"/>
          <w:sz w:val="24"/>
          <w:szCs w:val="24"/>
          <w:lang w:val="en-US"/>
        </w:rPr>
        <w:t>wk</w:t>
      </w:r>
      <w:r w:rsidR="00DC2732" w:rsidRPr="00A234EE">
        <w:rPr>
          <w:rFonts w:ascii="Book Antiqua" w:hAnsi="Book Antiqua"/>
          <w:color w:val="000000"/>
          <w:sz w:val="24"/>
          <w:szCs w:val="24"/>
          <w:lang w:val="en-US"/>
        </w:rPr>
        <w:t xml:space="preserve"> monotherapy study, INT-767 significantly improved qualitative features of NASH as demonstrated by a blinded assessment of NAS and fibrosis stage scores. Quantitatively, INT-767 significantly improved %FA for steatosis, inflammation (assesse</w:t>
      </w:r>
      <w:r w:rsidR="005B12C0" w:rsidRPr="00A234EE">
        <w:rPr>
          <w:rFonts w:ascii="Book Antiqua" w:hAnsi="Book Antiqua"/>
          <w:color w:val="000000"/>
          <w:sz w:val="24"/>
          <w:szCs w:val="24"/>
          <w:lang w:val="en-US"/>
        </w:rPr>
        <w:t>d by galectin-3 immunohistochem</w:t>
      </w:r>
      <w:r w:rsidR="00DC2732" w:rsidRPr="00A234EE">
        <w:rPr>
          <w:rFonts w:ascii="Book Antiqua" w:hAnsi="Book Antiqua"/>
          <w:color w:val="000000"/>
          <w:sz w:val="24"/>
          <w:szCs w:val="24"/>
          <w:lang w:val="en-US"/>
        </w:rPr>
        <w:t>i</w:t>
      </w:r>
      <w:r w:rsidR="005B12C0" w:rsidRPr="00A234EE">
        <w:rPr>
          <w:rFonts w:ascii="Book Antiqua" w:hAnsi="Book Antiqua"/>
          <w:color w:val="000000"/>
          <w:sz w:val="24"/>
          <w:szCs w:val="24"/>
          <w:lang w:val="en-US"/>
        </w:rPr>
        <w:t>s</w:t>
      </w:r>
      <w:r w:rsidR="00DC2732" w:rsidRPr="00A234EE">
        <w:rPr>
          <w:rFonts w:ascii="Book Antiqua" w:hAnsi="Book Antiqua"/>
          <w:color w:val="000000"/>
          <w:sz w:val="24"/>
          <w:szCs w:val="24"/>
          <w:lang w:val="en-US"/>
        </w:rPr>
        <w:t>try; IHC), fibrosis (Col1a1 IHC) and key components of basement membrane f</w:t>
      </w:r>
      <w:r w:rsidRPr="00A234EE">
        <w:rPr>
          <w:rFonts w:ascii="Book Antiqua" w:hAnsi="Book Antiqua"/>
          <w:color w:val="000000"/>
          <w:sz w:val="24"/>
          <w:szCs w:val="24"/>
          <w:lang w:val="en-US"/>
        </w:rPr>
        <w:t>ormation (laminin IHC). In a 16-</w:t>
      </w:r>
      <w:r w:rsidR="00C375DD" w:rsidRPr="00A234EE">
        <w:rPr>
          <w:rFonts w:ascii="Book Antiqua" w:hAnsi="Book Antiqua"/>
          <w:color w:val="000000"/>
          <w:sz w:val="24"/>
          <w:szCs w:val="24"/>
          <w:lang w:val="en-US"/>
        </w:rPr>
        <w:t>wk</w:t>
      </w:r>
      <w:r w:rsidR="00DC2732" w:rsidRPr="00A234EE">
        <w:rPr>
          <w:rFonts w:ascii="Book Antiqua" w:hAnsi="Book Antiqua"/>
          <w:color w:val="000000"/>
          <w:sz w:val="24"/>
          <w:szCs w:val="24"/>
          <w:lang w:val="en-US"/>
        </w:rPr>
        <w:t xml:space="preserve"> comparative </w:t>
      </w:r>
      <w:r w:rsidRPr="00A234EE">
        <w:rPr>
          <w:rFonts w:ascii="Book Antiqua" w:hAnsi="Book Antiqua"/>
          <w:color w:val="000000"/>
          <w:sz w:val="24"/>
          <w:szCs w:val="24"/>
          <w:lang w:val="en-US"/>
        </w:rPr>
        <w:t xml:space="preserve">treatment </w:t>
      </w:r>
      <w:r w:rsidR="00DC2732" w:rsidRPr="00A234EE">
        <w:rPr>
          <w:rFonts w:ascii="Book Antiqua" w:hAnsi="Book Antiqua"/>
          <w:color w:val="000000"/>
          <w:sz w:val="24"/>
          <w:szCs w:val="24"/>
          <w:lang w:val="en-US"/>
        </w:rPr>
        <w:t xml:space="preserve">study, NASH mice </w:t>
      </w:r>
      <w:r w:rsidRPr="00A234EE">
        <w:rPr>
          <w:rFonts w:ascii="Book Antiqua" w:hAnsi="Book Antiqua"/>
          <w:color w:val="000000"/>
          <w:sz w:val="24"/>
          <w:szCs w:val="24"/>
          <w:lang w:val="en-US"/>
        </w:rPr>
        <w:t xml:space="preserve">treated with </w:t>
      </w:r>
      <w:r w:rsidR="00DC2732" w:rsidRPr="00A234EE">
        <w:rPr>
          <w:rFonts w:ascii="Book Antiqua" w:hAnsi="Book Antiqua"/>
          <w:color w:val="000000"/>
          <w:sz w:val="24"/>
          <w:szCs w:val="24"/>
          <w:lang w:val="en-US"/>
        </w:rPr>
        <w:t>INT-767 (3 and 10 mg/kg) exerted greater therapeutic potency and efficacy than OCA (10 and 30 mg/kg). Mechanistically, both OCA and INT-767 accumulate to a similar extent within the liver and ileum. INT-767 drives hepatic</w:t>
      </w:r>
      <w:r w:rsidRPr="00A234EE">
        <w:rPr>
          <w:rFonts w:ascii="Book Antiqua" w:hAnsi="Book Antiqua"/>
          <w:color w:val="000000"/>
          <w:sz w:val="24"/>
          <w:szCs w:val="24"/>
          <w:lang w:val="en-US"/>
        </w:rPr>
        <w:t>,</w:t>
      </w:r>
      <w:r w:rsidR="00DC2732" w:rsidRPr="00A234EE">
        <w:rPr>
          <w:rFonts w:ascii="Book Antiqua" w:hAnsi="Book Antiqua"/>
          <w:color w:val="000000"/>
          <w:sz w:val="24"/>
          <w:szCs w:val="24"/>
          <w:lang w:val="en-US"/>
        </w:rPr>
        <w:t xml:space="preserve"> but not ileal</w:t>
      </w:r>
      <w:r w:rsidRPr="00A234EE">
        <w:rPr>
          <w:rFonts w:ascii="Book Antiqua" w:hAnsi="Book Antiqua"/>
          <w:color w:val="000000"/>
          <w:sz w:val="24"/>
          <w:szCs w:val="24"/>
          <w:lang w:val="en-US"/>
        </w:rPr>
        <w:t>,</w:t>
      </w:r>
      <w:r w:rsidR="00DC2732" w:rsidRPr="00A234EE">
        <w:rPr>
          <w:rFonts w:ascii="Book Antiqua" w:hAnsi="Book Antiqua"/>
          <w:color w:val="000000"/>
          <w:sz w:val="24"/>
          <w:szCs w:val="24"/>
          <w:lang w:val="en-US"/>
        </w:rPr>
        <w:t xml:space="preserve"> FXR gene expression profiles more strongly than OCA</w:t>
      </w:r>
      <w:r w:rsidRPr="00A234EE">
        <w:rPr>
          <w:rFonts w:ascii="Book Antiqua" w:hAnsi="Book Antiqua"/>
          <w:color w:val="000000"/>
          <w:sz w:val="24"/>
          <w:szCs w:val="24"/>
          <w:lang w:val="en-US"/>
        </w:rPr>
        <w:t>,</w:t>
      </w:r>
      <w:r w:rsidR="00DC2732" w:rsidRPr="00A234EE">
        <w:rPr>
          <w:rFonts w:ascii="Book Antiqua" w:hAnsi="Book Antiqua"/>
          <w:color w:val="000000"/>
          <w:sz w:val="24"/>
          <w:szCs w:val="24"/>
          <w:lang w:val="en-US"/>
        </w:rPr>
        <w:t xml:space="preserve"> implying that the liver is a key site of action for INT-767. </w:t>
      </w:r>
    </w:p>
    <w:p w14:paraId="7745ADE5" w14:textId="77777777" w:rsidR="007D4AE3" w:rsidRPr="00A234EE" w:rsidRDefault="007D4AE3" w:rsidP="00A234EE">
      <w:pPr>
        <w:adjustRightInd w:val="0"/>
        <w:snapToGrid w:val="0"/>
        <w:spacing w:after="0" w:line="360" w:lineRule="auto"/>
        <w:jc w:val="both"/>
        <w:rPr>
          <w:rFonts w:ascii="Book Antiqua" w:hAnsi="Book Antiqua" w:cs="Segoe UI"/>
          <w:color w:val="333333"/>
          <w:sz w:val="24"/>
          <w:szCs w:val="24"/>
          <w:shd w:val="clear" w:color="auto" w:fill="FFFFFF"/>
          <w:lang w:val="en-US"/>
        </w:rPr>
      </w:pPr>
    </w:p>
    <w:p w14:paraId="472D321C" w14:textId="1D0CB9D2" w:rsidR="007D4AE3" w:rsidRPr="00A234EE" w:rsidRDefault="007D4AE3" w:rsidP="00A234EE">
      <w:pPr>
        <w:adjustRightInd w:val="0"/>
        <w:snapToGrid w:val="0"/>
        <w:spacing w:after="0" w:line="360" w:lineRule="auto"/>
        <w:jc w:val="both"/>
        <w:rPr>
          <w:rFonts w:ascii="Book Antiqua" w:hAnsi="Book Antiqua"/>
          <w:color w:val="000000"/>
          <w:sz w:val="24"/>
          <w:szCs w:val="24"/>
          <w:lang w:val="en-US"/>
        </w:rPr>
      </w:pPr>
      <w:r w:rsidRPr="00A234EE">
        <w:rPr>
          <w:rFonts w:ascii="Book Antiqua" w:hAnsi="Book Antiqua"/>
          <w:b/>
          <w:i/>
          <w:color w:val="000000"/>
          <w:sz w:val="24"/>
          <w:szCs w:val="24"/>
          <w:lang w:val="en-US"/>
        </w:rPr>
        <w:t>Research conclusions</w:t>
      </w:r>
    </w:p>
    <w:p w14:paraId="1C0903D5" w14:textId="4EDBB899" w:rsidR="005B12C0" w:rsidRPr="00A234EE" w:rsidRDefault="00903304" w:rsidP="00A234EE">
      <w:pPr>
        <w:adjustRightInd w:val="0"/>
        <w:snapToGrid w:val="0"/>
        <w:spacing w:after="0" w:line="360" w:lineRule="auto"/>
        <w:jc w:val="both"/>
        <w:rPr>
          <w:rFonts w:ascii="Book Antiqua" w:hAnsi="Book Antiqua" w:cs="Segoe UI"/>
          <w:color w:val="333333"/>
          <w:sz w:val="24"/>
          <w:szCs w:val="24"/>
          <w:lang w:val="en-US"/>
        </w:rPr>
      </w:pPr>
      <w:r w:rsidRPr="00A234EE">
        <w:rPr>
          <w:rFonts w:ascii="Book Antiqua" w:hAnsi="Book Antiqua"/>
          <w:color w:val="000000"/>
          <w:sz w:val="24"/>
          <w:szCs w:val="24"/>
          <w:lang w:val="en-US"/>
        </w:rPr>
        <w:t xml:space="preserve">INT-767 improved key histological features of diet-induced and biopsy-confirmed NASH across studies using </w:t>
      </w:r>
      <w:r w:rsidR="00E611F2" w:rsidRPr="00A234EE">
        <w:rPr>
          <w:rFonts w:ascii="Book Antiqua" w:hAnsi="Book Antiqua"/>
          <w:color w:val="000000"/>
          <w:sz w:val="24"/>
          <w:szCs w:val="24"/>
          <w:lang w:val="en-US"/>
        </w:rPr>
        <w:t>multiple</w:t>
      </w:r>
      <w:r w:rsidRPr="00A234EE">
        <w:rPr>
          <w:rFonts w:ascii="Book Antiqua" w:hAnsi="Book Antiqua"/>
          <w:color w:val="000000"/>
          <w:sz w:val="24"/>
          <w:szCs w:val="24"/>
          <w:lang w:val="en-US"/>
        </w:rPr>
        <w:t xml:space="preserve"> methods</w:t>
      </w:r>
      <w:r w:rsidR="005B12C0" w:rsidRPr="00A234EE">
        <w:rPr>
          <w:rFonts w:ascii="Book Antiqua" w:hAnsi="Book Antiqua"/>
          <w:color w:val="000000"/>
          <w:sz w:val="24"/>
          <w:szCs w:val="24"/>
          <w:lang w:val="en-US"/>
        </w:rPr>
        <w:t xml:space="preserve"> and was shown to be more potent and efficacious than OCA</w:t>
      </w:r>
      <w:r w:rsidRPr="00A234EE">
        <w:rPr>
          <w:rFonts w:ascii="Book Antiqua" w:hAnsi="Book Antiqua"/>
          <w:color w:val="000000"/>
          <w:sz w:val="24"/>
          <w:szCs w:val="24"/>
          <w:lang w:val="en-US"/>
        </w:rPr>
        <w:t xml:space="preserve">. </w:t>
      </w:r>
      <w:r w:rsidR="005B12C0" w:rsidRPr="00A234EE">
        <w:rPr>
          <w:rFonts w:ascii="Book Antiqua" w:hAnsi="Book Antiqua"/>
          <w:color w:val="000000"/>
          <w:sz w:val="24"/>
          <w:szCs w:val="24"/>
          <w:lang w:val="en-US"/>
        </w:rPr>
        <w:t>Novel insights from m</w:t>
      </w:r>
      <w:r w:rsidR="00E611F2" w:rsidRPr="00A234EE">
        <w:rPr>
          <w:rFonts w:ascii="Book Antiqua" w:hAnsi="Book Antiqua"/>
          <w:color w:val="000000"/>
          <w:sz w:val="24"/>
          <w:szCs w:val="24"/>
          <w:lang w:val="en-US"/>
        </w:rPr>
        <w:t xml:space="preserve">orphometric analyses </w:t>
      </w:r>
      <w:r w:rsidR="005B12C0" w:rsidRPr="00A234EE">
        <w:rPr>
          <w:rFonts w:ascii="Book Antiqua" w:hAnsi="Book Antiqua"/>
          <w:color w:val="000000"/>
          <w:sz w:val="24"/>
          <w:szCs w:val="24"/>
          <w:lang w:val="en-US"/>
        </w:rPr>
        <w:t xml:space="preserve">include: (1) not only does </w:t>
      </w:r>
      <w:r w:rsidRPr="00A234EE">
        <w:rPr>
          <w:rFonts w:ascii="Book Antiqua" w:hAnsi="Book Antiqua"/>
          <w:color w:val="000000"/>
          <w:sz w:val="24"/>
          <w:szCs w:val="24"/>
          <w:lang w:val="en-US"/>
        </w:rPr>
        <w:t xml:space="preserve">INT-767 </w:t>
      </w:r>
      <w:r w:rsidR="00B24C3D" w:rsidRPr="00A234EE">
        <w:rPr>
          <w:rFonts w:ascii="Book Antiqua" w:hAnsi="Book Antiqua"/>
          <w:color w:val="000000"/>
          <w:sz w:val="24"/>
          <w:szCs w:val="24"/>
          <w:lang w:val="en-US"/>
        </w:rPr>
        <w:lastRenderedPageBreak/>
        <w:t>improve</w:t>
      </w:r>
      <w:r w:rsidR="005B12C0" w:rsidRPr="00A234EE">
        <w:rPr>
          <w:rFonts w:ascii="Book Antiqua" w:hAnsi="Book Antiqua"/>
          <w:color w:val="000000"/>
          <w:sz w:val="24"/>
          <w:szCs w:val="24"/>
          <w:lang w:val="en-US"/>
        </w:rPr>
        <w:t xml:space="preserve"> fibrosis %FA, but also the intensity of the collagen fiber signal consistent with reducing fiber density, and (2) in addition to reducing steatosis %FA, INT-767 </w:t>
      </w:r>
      <w:r w:rsidR="00E611F2" w:rsidRPr="00A234EE">
        <w:rPr>
          <w:rFonts w:ascii="Book Antiqua" w:hAnsi="Book Antiqua"/>
          <w:color w:val="000000"/>
          <w:sz w:val="24"/>
          <w:szCs w:val="24"/>
          <w:lang w:val="en-US"/>
        </w:rPr>
        <w:t xml:space="preserve">induced a clear shift to reduce vesicular lipid droplet size believed to be more a healthful form of steatosis. </w:t>
      </w:r>
      <w:r w:rsidR="00A03F1C" w:rsidRPr="00A234EE">
        <w:rPr>
          <w:rFonts w:ascii="Book Antiqua" w:hAnsi="Book Antiqua"/>
          <w:color w:val="000000"/>
          <w:sz w:val="24"/>
          <w:szCs w:val="24"/>
          <w:lang w:val="en-US"/>
        </w:rPr>
        <w:t>Together, these</w:t>
      </w:r>
      <w:r w:rsidR="005B12C0" w:rsidRPr="00A234EE">
        <w:rPr>
          <w:rFonts w:ascii="Book Antiqua" w:hAnsi="Book Antiqua"/>
          <w:color w:val="000000"/>
          <w:sz w:val="24"/>
          <w:szCs w:val="24"/>
          <w:lang w:val="en-US"/>
        </w:rPr>
        <w:t xml:space="preserve"> preclinical findings confirm durable histological benefits with INT-767 dosing and suggest that INT-767 may exert greater efficacy than OCA. </w:t>
      </w:r>
    </w:p>
    <w:p w14:paraId="12085CE6" w14:textId="37167D70" w:rsidR="007D4AE3" w:rsidRPr="00A234EE" w:rsidRDefault="007D4AE3" w:rsidP="00A234EE">
      <w:pPr>
        <w:adjustRightInd w:val="0"/>
        <w:snapToGrid w:val="0"/>
        <w:spacing w:after="0" w:line="360" w:lineRule="auto"/>
        <w:jc w:val="both"/>
        <w:rPr>
          <w:rFonts w:ascii="Book Antiqua" w:hAnsi="Book Antiqua" w:cs="Segoe UI"/>
          <w:color w:val="333333"/>
          <w:sz w:val="24"/>
          <w:szCs w:val="24"/>
          <w:lang w:val="en-US"/>
        </w:rPr>
      </w:pPr>
    </w:p>
    <w:p w14:paraId="19BA7ECD" w14:textId="34CD4B5B" w:rsidR="00B24C3D" w:rsidRPr="00A234EE" w:rsidRDefault="007D4AE3" w:rsidP="00A234EE">
      <w:pPr>
        <w:adjustRightInd w:val="0"/>
        <w:snapToGrid w:val="0"/>
        <w:spacing w:after="0" w:line="360" w:lineRule="auto"/>
        <w:jc w:val="both"/>
        <w:rPr>
          <w:rFonts w:ascii="Book Antiqua" w:hAnsi="Book Antiqua" w:cs="Segoe UI"/>
          <w:b/>
          <w:i/>
          <w:color w:val="333333"/>
          <w:sz w:val="24"/>
          <w:szCs w:val="24"/>
          <w:lang w:val="en-US"/>
        </w:rPr>
      </w:pPr>
      <w:r w:rsidRPr="00A234EE">
        <w:rPr>
          <w:rFonts w:ascii="Book Antiqua" w:hAnsi="Book Antiqua" w:cs="Segoe UI"/>
          <w:b/>
          <w:i/>
          <w:color w:val="333333"/>
          <w:sz w:val="24"/>
          <w:szCs w:val="24"/>
          <w:lang w:val="en-US"/>
        </w:rPr>
        <w:t>Research perspectives</w:t>
      </w:r>
    </w:p>
    <w:p w14:paraId="2D2AB2B0" w14:textId="43E4B116" w:rsidR="006A0FF6" w:rsidRPr="00A234EE" w:rsidRDefault="00B24C3D" w:rsidP="00A234EE">
      <w:pPr>
        <w:adjustRightInd w:val="0"/>
        <w:snapToGrid w:val="0"/>
        <w:spacing w:after="0" w:line="360" w:lineRule="auto"/>
        <w:jc w:val="both"/>
        <w:rPr>
          <w:rFonts w:ascii="Book Antiqua" w:hAnsi="Book Antiqua"/>
          <w:color w:val="000000"/>
          <w:sz w:val="24"/>
          <w:szCs w:val="24"/>
          <w:lang w:val="en-US" w:eastAsia="zh-CN"/>
        </w:rPr>
      </w:pPr>
      <w:r w:rsidRPr="00A234EE">
        <w:rPr>
          <w:rFonts w:ascii="Book Antiqua" w:hAnsi="Book Antiqua"/>
          <w:color w:val="000000"/>
          <w:sz w:val="24"/>
          <w:szCs w:val="24"/>
          <w:lang w:val="en-US"/>
        </w:rPr>
        <w:t>The present studies confirm and extend upon the extant literature validating FXR as a  pharmacologic</w:t>
      </w:r>
      <w:r w:rsidR="00A03F1C" w:rsidRPr="00A234EE">
        <w:rPr>
          <w:rFonts w:ascii="Book Antiqua" w:hAnsi="Book Antiqua"/>
          <w:color w:val="000000"/>
          <w:sz w:val="24"/>
          <w:szCs w:val="24"/>
          <w:lang w:val="en-US"/>
        </w:rPr>
        <w:t>al</w:t>
      </w:r>
      <w:r w:rsidRPr="00A234EE">
        <w:rPr>
          <w:rFonts w:ascii="Book Antiqua" w:hAnsi="Book Antiqua"/>
          <w:color w:val="000000"/>
          <w:sz w:val="24"/>
          <w:szCs w:val="24"/>
          <w:lang w:val="en-US"/>
        </w:rPr>
        <w:t xml:space="preserve"> target for NASH. </w:t>
      </w:r>
      <w:r w:rsidR="00DC2732" w:rsidRPr="00A234EE">
        <w:rPr>
          <w:rFonts w:ascii="Book Antiqua" w:hAnsi="Book Antiqua"/>
          <w:color w:val="000000"/>
          <w:sz w:val="24"/>
          <w:szCs w:val="24"/>
          <w:lang w:val="en-US"/>
        </w:rPr>
        <w:t>Future research sh</w:t>
      </w:r>
      <w:r w:rsidRPr="00A234EE">
        <w:rPr>
          <w:rFonts w:ascii="Book Antiqua" w:hAnsi="Book Antiqua"/>
          <w:color w:val="000000"/>
          <w:sz w:val="24"/>
          <w:szCs w:val="24"/>
          <w:lang w:val="en-US"/>
        </w:rPr>
        <w:t xml:space="preserve">ould consider (1) the mechanistic </w:t>
      </w:r>
      <w:r w:rsidR="00DC2732" w:rsidRPr="00A234EE">
        <w:rPr>
          <w:rFonts w:ascii="Book Antiqua" w:hAnsi="Book Antiqua"/>
          <w:color w:val="000000"/>
          <w:sz w:val="24"/>
          <w:szCs w:val="24"/>
          <w:lang w:val="en-US"/>
        </w:rPr>
        <w:t xml:space="preserve">contribution of TGR5 to </w:t>
      </w:r>
      <w:r w:rsidRPr="00A234EE">
        <w:rPr>
          <w:rFonts w:ascii="Book Antiqua" w:hAnsi="Book Antiqua"/>
          <w:color w:val="000000"/>
          <w:sz w:val="24"/>
          <w:szCs w:val="24"/>
          <w:lang w:val="en-US"/>
        </w:rPr>
        <w:t xml:space="preserve">the </w:t>
      </w:r>
      <w:r w:rsidR="003238D2" w:rsidRPr="00A234EE">
        <w:rPr>
          <w:rFonts w:ascii="Book Antiqua" w:hAnsi="Book Antiqua"/>
          <w:i/>
          <w:color w:val="000000"/>
          <w:sz w:val="24"/>
          <w:szCs w:val="24"/>
          <w:lang w:val="en-US"/>
        </w:rPr>
        <w:t>In vivo</w:t>
      </w:r>
      <w:r w:rsidRPr="00A234EE">
        <w:rPr>
          <w:rFonts w:ascii="Book Antiqua" w:hAnsi="Book Antiqua"/>
          <w:color w:val="000000"/>
          <w:sz w:val="24"/>
          <w:szCs w:val="24"/>
          <w:lang w:val="en-US"/>
        </w:rPr>
        <w:t xml:space="preserve"> effects of INT-767, and (2) the necessity and sufficiency of </w:t>
      </w:r>
      <w:r w:rsidR="00770149" w:rsidRPr="00A234EE">
        <w:rPr>
          <w:rFonts w:ascii="Book Antiqua" w:hAnsi="Book Antiqua"/>
          <w:color w:val="000000"/>
          <w:sz w:val="24"/>
          <w:szCs w:val="24"/>
          <w:lang w:val="en-US"/>
        </w:rPr>
        <w:t xml:space="preserve">activating </w:t>
      </w:r>
      <w:r w:rsidRPr="00A234EE">
        <w:rPr>
          <w:rFonts w:ascii="Book Antiqua" w:hAnsi="Book Antiqua"/>
          <w:color w:val="000000"/>
          <w:sz w:val="24"/>
          <w:szCs w:val="24"/>
          <w:lang w:val="en-US"/>
        </w:rPr>
        <w:t xml:space="preserve">hepatic </w:t>
      </w:r>
      <w:r w:rsidR="003238D2" w:rsidRPr="00A234EE">
        <w:rPr>
          <w:rFonts w:ascii="Book Antiqua" w:hAnsi="Book Antiqua"/>
          <w:i/>
          <w:color w:val="000000"/>
          <w:sz w:val="24"/>
          <w:szCs w:val="24"/>
          <w:lang w:val="en-US"/>
        </w:rPr>
        <w:t>vs</w:t>
      </w:r>
      <w:r w:rsidRPr="00A234EE">
        <w:rPr>
          <w:rFonts w:ascii="Book Antiqua" w:hAnsi="Book Antiqua"/>
          <w:color w:val="000000"/>
          <w:sz w:val="24"/>
          <w:szCs w:val="24"/>
          <w:lang w:val="en-US"/>
        </w:rPr>
        <w:t xml:space="preserve"> i</w:t>
      </w:r>
      <w:r w:rsidR="00770149" w:rsidRPr="00A234EE">
        <w:rPr>
          <w:rFonts w:ascii="Book Antiqua" w:hAnsi="Book Antiqua"/>
          <w:color w:val="000000"/>
          <w:sz w:val="24"/>
          <w:szCs w:val="24"/>
          <w:lang w:val="en-US"/>
        </w:rPr>
        <w:t xml:space="preserve">leal FXR when targeting NASH, as INT-767 was more efficacious </w:t>
      </w:r>
      <w:bookmarkStart w:id="39" w:name="_GoBack"/>
      <w:bookmarkEnd w:id="39"/>
      <w:r w:rsidR="00770149" w:rsidRPr="00A234EE">
        <w:rPr>
          <w:rFonts w:ascii="Book Antiqua" w:hAnsi="Book Antiqua"/>
          <w:color w:val="000000"/>
          <w:sz w:val="24"/>
          <w:szCs w:val="24"/>
          <w:lang w:val="en-US"/>
        </w:rPr>
        <w:t>than OCA yet elicited only minimal ileal FXR activation. Finally, other models of diet- or toxin-induced NASH should consider incorporating a baseline biopsy to exclude mice that did not develop the desired phenotype prior to treatment initiation and gain a deeper mechanistic understanding of any pharmacologic intervention.</w:t>
      </w:r>
      <w:r w:rsidR="006A0FF6" w:rsidRPr="00A234EE">
        <w:rPr>
          <w:rFonts w:ascii="Book Antiqua" w:hAnsi="Book Antiqua"/>
          <w:color w:val="000000"/>
          <w:sz w:val="24"/>
          <w:szCs w:val="24"/>
          <w:lang w:val="en-US"/>
        </w:rPr>
        <w:t xml:space="preserve"> Ongoing research continues to elucidate the role of FXR agonism on features of the basement membrane in NASH. </w:t>
      </w:r>
    </w:p>
    <w:p w14:paraId="29690920" w14:textId="77777777" w:rsidR="003238D2" w:rsidRPr="00A234EE" w:rsidRDefault="003238D2" w:rsidP="00A234EE">
      <w:pPr>
        <w:adjustRightInd w:val="0"/>
        <w:snapToGrid w:val="0"/>
        <w:spacing w:after="0" w:line="360" w:lineRule="auto"/>
        <w:jc w:val="both"/>
        <w:rPr>
          <w:rFonts w:ascii="Book Antiqua" w:hAnsi="Book Antiqua"/>
          <w:color w:val="000000"/>
          <w:sz w:val="24"/>
          <w:szCs w:val="24"/>
          <w:lang w:val="en-US" w:eastAsia="zh-CN"/>
        </w:rPr>
      </w:pPr>
    </w:p>
    <w:p w14:paraId="404A341A" w14:textId="7CDA45EB" w:rsidR="00482D19" w:rsidRPr="00A234EE" w:rsidRDefault="00482D19" w:rsidP="00A234EE">
      <w:pPr>
        <w:adjustRightInd w:val="0"/>
        <w:snapToGrid w:val="0"/>
        <w:spacing w:after="0" w:line="360" w:lineRule="auto"/>
        <w:jc w:val="both"/>
        <w:rPr>
          <w:rFonts w:ascii="Book Antiqua" w:hAnsi="Book Antiqua"/>
          <w:b/>
          <w:bCs/>
          <w:sz w:val="24"/>
          <w:szCs w:val="24"/>
          <w:lang w:val="en-US" w:eastAsia="zh-CN"/>
        </w:rPr>
      </w:pPr>
      <w:r w:rsidRPr="00A234EE">
        <w:rPr>
          <w:rFonts w:ascii="Book Antiqua" w:hAnsi="Book Antiqua"/>
          <w:b/>
          <w:bCs/>
          <w:sz w:val="24"/>
          <w:szCs w:val="24"/>
          <w:lang w:val="en-US"/>
        </w:rPr>
        <w:t>REFERENCES</w:t>
      </w:r>
    </w:p>
    <w:p w14:paraId="6052735A" w14:textId="5CA4A13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 </w:t>
      </w:r>
      <w:r w:rsidR="009D4DB4">
        <w:rPr>
          <w:rFonts w:ascii="Book Antiqua" w:hAnsi="Book Antiqua"/>
          <w:b/>
          <w:sz w:val="24"/>
          <w:szCs w:val="24"/>
          <w:lang w:val="en-US"/>
        </w:rPr>
        <w:t>Review Team</w:t>
      </w:r>
      <w:r w:rsidRPr="00A234EE">
        <w:rPr>
          <w:rFonts w:ascii="Book Antiqua" w:hAnsi="Book Antiqua"/>
          <w:sz w:val="24"/>
          <w:szCs w:val="24"/>
          <w:lang w:val="en-US"/>
        </w:rPr>
        <w:t xml:space="preserve">, LaBrecque DR, Abbas Z, Anania F, Ferenci P, Khan AG, Goh KL, Hamid SS, Isakov V, Lizarzabal M, Peñaranda MM, Ramos JF, Sarin S, Stimac D, Thomson AB, Umar M, Krabshuis J, LeMair A; World Gastroenterology Organisation. World Gastroenterology Organisation global guidelines: Nonalcoholic fatty liver disease and nonalcoholic steatohepatitis. </w:t>
      </w:r>
      <w:r w:rsidRPr="00A234EE">
        <w:rPr>
          <w:rFonts w:ascii="Book Antiqua" w:hAnsi="Book Antiqua"/>
          <w:i/>
          <w:sz w:val="24"/>
          <w:szCs w:val="24"/>
          <w:lang w:val="en-US"/>
        </w:rPr>
        <w:t>J Clin Gastroenterol</w:t>
      </w:r>
      <w:r w:rsidRPr="00A234EE">
        <w:rPr>
          <w:rFonts w:ascii="Book Antiqua" w:hAnsi="Book Antiqua"/>
          <w:sz w:val="24"/>
          <w:szCs w:val="24"/>
          <w:lang w:val="en-US"/>
        </w:rPr>
        <w:t xml:space="preserve"> 2014; </w:t>
      </w:r>
      <w:r w:rsidRPr="00A234EE">
        <w:rPr>
          <w:rFonts w:ascii="Book Antiqua" w:hAnsi="Book Antiqua"/>
          <w:b/>
          <w:sz w:val="24"/>
          <w:szCs w:val="24"/>
          <w:lang w:val="en-US"/>
        </w:rPr>
        <w:t>48</w:t>
      </w:r>
      <w:r w:rsidRPr="00A234EE">
        <w:rPr>
          <w:rFonts w:ascii="Book Antiqua" w:hAnsi="Book Antiqua"/>
          <w:sz w:val="24"/>
          <w:szCs w:val="24"/>
          <w:lang w:val="en-US"/>
        </w:rPr>
        <w:t>: 467-473 [PMID: 24921212]</w:t>
      </w:r>
    </w:p>
    <w:p w14:paraId="56203596"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 </w:t>
      </w:r>
      <w:r w:rsidRPr="00A234EE">
        <w:rPr>
          <w:rFonts w:ascii="Book Antiqua" w:hAnsi="Book Antiqua"/>
          <w:b/>
          <w:sz w:val="24"/>
          <w:szCs w:val="24"/>
          <w:lang w:val="en-US"/>
        </w:rPr>
        <w:t>Farrell GC</w:t>
      </w:r>
      <w:r w:rsidRPr="00A234EE">
        <w:rPr>
          <w:rFonts w:ascii="Book Antiqua" w:hAnsi="Book Antiqua"/>
          <w:sz w:val="24"/>
          <w:szCs w:val="24"/>
          <w:lang w:val="en-US"/>
        </w:rPr>
        <w:t xml:space="preserve">, Larter CZ. Nonalcoholic fatty liver disease: from steatosis to cirrhosis. </w:t>
      </w:r>
      <w:r w:rsidRPr="00A234EE">
        <w:rPr>
          <w:rFonts w:ascii="Book Antiqua" w:hAnsi="Book Antiqua"/>
          <w:i/>
          <w:sz w:val="24"/>
          <w:szCs w:val="24"/>
          <w:lang w:val="en-US"/>
        </w:rPr>
        <w:t>Hepatology</w:t>
      </w:r>
      <w:r w:rsidRPr="00A234EE">
        <w:rPr>
          <w:rFonts w:ascii="Book Antiqua" w:hAnsi="Book Antiqua"/>
          <w:sz w:val="24"/>
          <w:szCs w:val="24"/>
          <w:lang w:val="en-US"/>
        </w:rPr>
        <w:t xml:space="preserve"> 2006; </w:t>
      </w:r>
      <w:r w:rsidRPr="00A234EE">
        <w:rPr>
          <w:rFonts w:ascii="Book Antiqua" w:hAnsi="Book Antiqua"/>
          <w:b/>
          <w:sz w:val="24"/>
          <w:szCs w:val="24"/>
          <w:lang w:val="en-US"/>
        </w:rPr>
        <w:t>43</w:t>
      </w:r>
      <w:r w:rsidRPr="00A234EE">
        <w:rPr>
          <w:rFonts w:ascii="Book Antiqua" w:hAnsi="Book Antiqua"/>
          <w:sz w:val="24"/>
          <w:szCs w:val="24"/>
          <w:lang w:val="en-US"/>
        </w:rPr>
        <w:t>: S99-S112 [PMID: 16447287 DOI: 10.1002/hep.20973]</w:t>
      </w:r>
    </w:p>
    <w:p w14:paraId="2CB498EE"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3 </w:t>
      </w:r>
      <w:r w:rsidRPr="00A234EE">
        <w:rPr>
          <w:rFonts w:ascii="Book Antiqua" w:hAnsi="Book Antiqua"/>
          <w:b/>
          <w:sz w:val="24"/>
          <w:szCs w:val="24"/>
          <w:lang w:val="en-US"/>
        </w:rPr>
        <w:t>Lefebvre P</w:t>
      </w:r>
      <w:r w:rsidRPr="00A234EE">
        <w:rPr>
          <w:rFonts w:ascii="Book Antiqua" w:hAnsi="Book Antiqua"/>
          <w:sz w:val="24"/>
          <w:szCs w:val="24"/>
          <w:lang w:val="en-US"/>
        </w:rPr>
        <w:t xml:space="preserve">, Cariou B, Lien F, Kuipers F, Staels B. Role of bile acids and bile acid receptors in metabolic regulation. </w:t>
      </w:r>
      <w:r w:rsidRPr="00A234EE">
        <w:rPr>
          <w:rFonts w:ascii="Book Antiqua" w:hAnsi="Book Antiqua"/>
          <w:i/>
          <w:sz w:val="24"/>
          <w:szCs w:val="24"/>
          <w:lang w:val="en-US"/>
        </w:rPr>
        <w:t>Physiol Rev</w:t>
      </w:r>
      <w:r w:rsidRPr="00A234EE">
        <w:rPr>
          <w:rFonts w:ascii="Book Antiqua" w:hAnsi="Book Antiqua"/>
          <w:sz w:val="24"/>
          <w:szCs w:val="24"/>
          <w:lang w:val="en-US"/>
        </w:rPr>
        <w:t xml:space="preserve"> 2009; </w:t>
      </w:r>
      <w:r w:rsidRPr="00A234EE">
        <w:rPr>
          <w:rFonts w:ascii="Book Antiqua" w:hAnsi="Book Antiqua"/>
          <w:b/>
          <w:sz w:val="24"/>
          <w:szCs w:val="24"/>
          <w:lang w:val="en-US"/>
        </w:rPr>
        <w:t>89</w:t>
      </w:r>
      <w:r w:rsidRPr="00A234EE">
        <w:rPr>
          <w:rFonts w:ascii="Book Antiqua" w:hAnsi="Book Antiqua"/>
          <w:sz w:val="24"/>
          <w:szCs w:val="24"/>
          <w:lang w:val="en-US"/>
        </w:rPr>
        <w:t>: 147-191 [PMID: 19126757 DOI: 10.1152/physrev.00010.2008]</w:t>
      </w:r>
    </w:p>
    <w:p w14:paraId="275BA958"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lastRenderedPageBreak/>
        <w:t xml:space="preserve">4 </w:t>
      </w:r>
      <w:r w:rsidRPr="00A234EE">
        <w:rPr>
          <w:rFonts w:ascii="Book Antiqua" w:hAnsi="Book Antiqua"/>
          <w:b/>
          <w:sz w:val="24"/>
          <w:szCs w:val="24"/>
          <w:lang w:val="en-US"/>
        </w:rPr>
        <w:t>Maruyama T</w:t>
      </w:r>
      <w:r w:rsidRPr="00A234EE">
        <w:rPr>
          <w:rFonts w:ascii="Book Antiqua" w:hAnsi="Book Antiqua"/>
          <w:sz w:val="24"/>
          <w:szCs w:val="24"/>
          <w:lang w:val="en-US"/>
        </w:rPr>
        <w:t xml:space="preserve">, Miyamoto Y, Nakamura T, Tamai Y, Okada H, Sugiyama E, Nakamura T, Itadani H, Tanaka K. Identification of membrane-type receptor for bile acids (M-BAR). </w:t>
      </w:r>
      <w:r w:rsidRPr="00A234EE">
        <w:rPr>
          <w:rFonts w:ascii="Book Antiqua" w:hAnsi="Book Antiqua"/>
          <w:i/>
          <w:sz w:val="24"/>
          <w:szCs w:val="24"/>
          <w:lang w:val="en-US"/>
        </w:rPr>
        <w:t>Biochem Biophys Res Commun</w:t>
      </w:r>
      <w:r w:rsidRPr="00A234EE">
        <w:rPr>
          <w:rFonts w:ascii="Book Antiqua" w:hAnsi="Book Antiqua"/>
          <w:sz w:val="24"/>
          <w:szCs w:val="24"/>
          <w:lang w:val="en-US"/>
        </w:rPr>
        <w:t xml:space="preserve"> 2002; </w:t>
      </w:r>
      <w:r w:rsidRPr="00A234EE">
        <w:rPr>
          <w:rFonts w:ascii="Book Antiqua" w:hAnsi="Book Antiqua"/>
          <w:b/>
          <w:sz w:val="24"/>
          <w:szCs w:val="24"/>
          <w:lang w:val="en-US"/>
        </w:rPr>
        <w:t>298</w:t>
      </w:r>
      <w:r w:rsidRPr="00A234EE">
        <w:rPr>
          <w:rFonts w:ascii="Book Antiqua" w:hAnsi="Book Antiqua"/>
          <w:sz w:val="24"/>
          <w:szCs w:val="24"/>
          <w:lang w:val="en-US"/>
        </w:rPr>
        <w:t>: 714-719 [PMID: 12419312 DOI: 10.1016/S0006-291X(02)02550-0]</w:t>
      </w:r>
    </w:p>
    <w:p w14:paraId="027C685E"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5 </w:t>
      </w:r>
      <w:r w:rsidRPr="00A234EE">
        <w:rPr>
          <w:rFonts w:ascii="Book Antiqua" w:hAnsi="Book Antiqua"/>
          <w:b/>
          <w:sz w:val="24"/>
          <w:szCs w:val="24"/>
          <w:lang w:val="en-US"/>
        </w:rPr>
        <w:t>Kawamata Y</w:t>
      </w:r>
      <w:r w:rsidRPr="00A234EE">
        <w:rPr>
          <w:rFonts w:ascii="Book Antiqua" w:hAnsi="Book Antiqua"/>
          <w:sz w:val="24"/>
          <w:szCs w:val="24"/>
          <w:lang w:val="en-US"/>
        </w:rPr>
        <w:t xml:space="preserve">, Fujii R, Hosoya M, Harada M, Yoshida H, Miwa M, Fukusumi S, Habata Y, Itoh T, Shintani Y, Hinuma S, Fujisawa Y, Fujino M. A G protein-coupled receptor responsive to bile acids. </w:t>
      </w:r>
      <w:r w:rsidRPr="00A234EE">
        <w:rPr>
          <w:rFonts w:ascii="Book Antiqua" w:hAnsi="Book Antiqua"/>
          <w:i/>
          <w:sz w:val="24"/>
          <w:szCs w:val="24"/>
          <w:lang w:val="en-US"/>
        </w:rPr>
        <w:t>J Biol Chem</w:t>
      </w:r>
      <w:r w:rsidRPr="00A234EE">
        <w:rPr>
          <w:rFonts w:ascii="Book Antiqua" w:hAnsi="Book Antiqua"/>
          <w:sz w:val="24"/>
          <w:szCs w:val="24"/>
          <w:lang w:val="en-US"/>
        </w:rPr>
        <w:t xml:space="preserve"> 2003; </w:t>
      </w:r>
      <w:r w:rsidRPr="00A234EE">
        <w:rPr>
          <w:rFonts w:ascii="Book Antiqua" w:hAnsi="Book Antiqua"/>
          <w:b/>
          <w:sz w:val="24"/>
          <w:szCs w:val="24"/>
          <w:lang w:val="en-US"/>
        </w:rPr>
        <w:t>278</w:t>
      </w:r>
      <w:r w:rsidRPr="00A234EE">
        <w:rPr>
          <w:rFonts w:ascii="Book Antiqua" w:hAnsi="Book Antiqua"/>
          <w:sz w:val="24"/>
          <w:szCs w:val="24"/>
          <w:lang w:val="en-US"/>
        </w:rPr>
        <w:t>: 9435-9440 [PMID: 12524422 DOI: 10.1074/jbc.M209706200]</w:t>
      </w:r>
    </w:p>
    <w:p w14:paraId="79BC97FD"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6 </w:t>
      </w:r>
      <w:r w:rsidRPr="00A234EE">
        <w:rPr>
          <w:rFonts w:ascii="Book Antiqua" w:hAnsi="Book Antiqua"/>
          <w:b/>
          <w:sz w:val="24"/>
          <w:szCs w:val="24"/>
          <w:lang w:val="en-US"/>
        </w:rPr>
        <w:t>Li YT</w:t>
      </w:r>
      <w:r w:rsidRPr="00A234EE">
        <w:rPr>
          <w:rFonts w:ascii="Book Antiqua" w:hAnsi="Book Antiqua"/>
          <w:sz w:val="24"/>
          <w:szCs w:val="24"/>
          <w:lang w:val="en-US"/>
        </w:rPr>
        <w:t xml:space="preserve">, Swales KE, Thomas GJ, Warner TD, Bishop-Bailey D. Farnesoid x receptor ligands inhibit vascular smooth muscle cell inflammation and migration. </w:t>
      </w:r>
      <w:r w:rsidRPr="00A234EE">
        <w:rPr>
          <w:rFonts w:ascii="Book Antiqua" w:hAnsi="Book Antiqua"/>
          <w:i/>
          <w:sz w:val="24"/>
          <w:szCs w:val="24"/>
          <w:lang w:val="en-US"/>
        </w:rPr>
        <w:t>Arterioscler Thromb Vasc Biol</w:t>
      </w:r>
      <w:r w:rsidRPr="00A234EE">
        <w:rPr>
          <w:rFonts w:ascii="Book Antiqua" w:hAnsi="Book Antiqua"/>
          <w:sz w:val="24"/>
          <w:szCs w:val="24"/>
          <w:lang w:val="en-US"/>
        </w:rPr>
        <w:t xml:space="preserve"> 2007; </w:t>
      </w:r>
      <w:r w:rsidRPr="00A234EE">
        <w:rPr>
          <w:rFonts w:ascii="Book Antiqua" w:hAnsi="Book Antiqua"/>
          <w:b/>
          <w:sz w:val="24"/>
          <w:szCs w:val="24"/>
          <w:lang w:val="en-US"/>
        </w:rPr>
        <w:t>27</w:t>
      </w:r>
      <w:r w:rsidRPr="00A234EE">
        <w:rPr>
          <w:rFonts w:ascii="Book Antiqua" w:hAnsi="Book Antiqua"/>
          <w:sz w:val="24"/>
          <w:szCs w:val="24"/>
          <w:lang w:val="en-US"/>
        </w:rPr>
        <w:t>: 2606-2611 [PMID: 18029909 DOI: 10.1161/ATVBAHA.107.152694]</w:t>
      </w:r>
    </w:p>
    <w:p w14:paraId="531FCDCE"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7 </w:t>
      </w:r>
      <w:r w:rsidRPr="00A234EE">
        <w:rPr>
          <w:rFonts w:ascii="Book Antiqua" w:hAnsi="Book Antiqua"/>
          <w:b/>
          <w:sz w:val="24"/>
          <w:szCs w:val="24"/>
          <w:lang w:val="en-US"/>
        </w:rPr>
        <w:t>Wang YD</w:t>
      </w:r>
      <w:r w:rsidRPr="00A234EE">
        <w:rPr>
          <w:rFonts w:ascii="Book Antiqua" w:hAnsi="Book Antiqua"/>
          <w:sz w:val="24"/>
          <w:szCs w:val="24"/>
          <w:lang w:val="en-US"/>
        </w:rPr>
        <w:t xml:space="preserve">, Chen WD, Wang M, Yu D, Forman BM, Huang W. Farnesoid X receptor antagonizes nuclear factor kappaB in hepatic inflammatory response. </w:t>
      </w:r>
      <w:r w:rsidRPr="00A234EE">
        <w:rPr>
          <w:rFonts w:ascii="Book Antiqua" w:hAnsi="Book Antiqua"/>
          <w:i/>
          <w:sz w:val="24"/>
          <w:szCs w:val="24"/>
          <w:lang w:val="en-US"/>
        </w:rPr>
        <w:t>Hepatology</w:t>
      </w:r>
      <w:r w:rsidRPr="00A234EE">
        <w:rPr>
          <w:rFonts w:ascii="Book Antiqua" w:hAnsi="Book Antiqua"/>
          <w:sz w:val="24"/>
          <w:szCs w:val="24"/>
          <w:lang w:val="en-US"/>
        </w:rPr>
        <w:t xml:space="preserve"> 2008; </w:t>
      </w:r>
      <w:r w:rsidRPr="00A234EE">
        <w:rPr>
          <w:rFonts w:ascii="Book Antiqua" w:hAnsi="Book Antiqua"/>
          <w:b/>
          <w:sz w:val="24"/>
          <w:szCs w:val="24"/>
          <w:lang w:val="en-US"/>
        </w:rPr>
        <w:t>48</w:t>
      </w:r>
      <w:r w:rsidRPr="00A234EE">
        <w:rPr>
          <w:rFonts w:ascii="Book Antiqua" w:hAnsi="Book Antiqua"/>
          <w:sz w:val="24"/>
          <w:szCs w:val="24"/>
          <w:lang w:val="en-US"/>
        </w:rPr>
        <w:t>: 1632-1643 [PMID: 18972444 DOI: 10.1002/hep.22519]</w:t>
      </w:r>
    </w:p>
    <w:p w14:paraId="06274336"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8 </w:t>
      </w:r>
      <w:r w:rsidRPr="00A234EE">
        <w:rPr>
          <w:rFonts w:ascii="Book Antiqua" w:hAnsi="Book Antiqua"/>
          <w:b/>
          <w:sz w:val="24"/>
          <w:szCs w:val="24"/>
          <w:lang w:val="en-US"/>
        </w:rPr>
        <w:t>Gadaleta RM</w:t>
      </w:r>
      <w:r w:rsidRPr="00A234EE">
        <w:rPr>
          <w:rFonts w:ascii="Book Antiqua" w:hAnsi="Book Antiqua"/>
          <w:sz w:val="24"/>
          <w:szCs w:val="24"/>
          <w:lang w:val="en-US"/>
        </w:rPr>
        <w:t>, Oldenburg B, Willemsen EC, Spit M, Murzilli S, Salvatore L, Klomp LW, Siersema PD, van Erpecum KJ, van Mil SW. Activation of bile salt nuclear receptor FXR is repressed by pro-inflammatory cytokines activating NF-</w:t>
      </w:r>
      <w:r w:rsidRPr="00A234EE">
        <w:rPr>
          <w:rFonts w:ascii="Book Antiqua" w:hAnsi="Book Antiqua"/>
          <w:sz w:val="24"/>
          <w:szCs w:val="24"/>
        </w:rPr>
        <w:t>κ</w:t>
      </w:r>
      <w:r w:rsidRPr="00A234EE">
        <w:rPr>
          <w:rFonts w:ascii="Book Antiqua" w:hAnsi="Book Antiqua"/>
          <w:sz w:val="24"/>
          <w:szCs w:val="24"/>
          <w:lang w:val="en-US"/>
        </w:rPr>
        <w:t xml:space="preserve">B signaling in the intestine. </w:t>
      </w:r>
      <w:r w:rsidRPr="00A234EE">
        <w:rPr>
          <w:rFonts w:ascii="Book Antiqua" w:hAnsi="Book Antiqua"/>
          <w:i/>
          <w:sz w:val="24"/>
          <w:szCs w:val="24"/>
          <w:lang w:val="en-US"/>
        </w:rPr>
        <w:t>Biochim Biophys Acta</w:t>
      </w:r>
      <w:r w:rsidRPr="00A234EE">
        <w:rPr>
          <w:rFonts w:ascii="Book Antiqua" w:hAnsi="Book Antiqua"/>
          <w:sz w:val="24"/>
          <w:szCs w:val="24"/>
          <w:lang w:val="en-US"/>
        </w:rPr>
        <w:t xml:space="preserve"> 2011; </w:t>
      </w:r>
      <w:r w:rsidRPr="00A234EE">
        <w:rPr>
          <w:rFonts w:ascii="Book Antiqua" w:hAnsi="Book Antiqua"/>
          <w:b/>
          <w:sz w:val="24"/>
          <w:szCs w:val="24"/>
          <w:lang w:val="en-US"/>
        </w:rPr>
        <w:t>1812</w:t>
      </w:r>
      <w:r w:rsidRPr="00A234EE">
        <w:rPr>
          <w:rFonts w:ascii="Book Antiqua" w:hAnsi="Book Antiqua"/>
          <w:sz w:val="24"/>
          <w:szCs w:val="24"/>
          <w:lang w:val="en-US"/>
        </w:rPr>
        <w:t>: 851-858 [PMID: 21540105 DOI: 10.1016/j.bbadis.2011.04.005]</w:t>
      </w:r>
    </w:p>
    <w:p w14:paraId="2B4A2D42"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9 </w:t>
      </w:r>
      <w:r w:rsidRPr="00A234EE">
        <w:rPr>
          <w:rFonts w:ascii="Book Antiqua" w:hAnsi="Book Antiqua"/>
          <w:b/>
          <w:sz w:val="24"/>
          <w:szCs w:val="24"/>
          <w:lang w:val="en-US"/>
        </w:rPr>
        <w:t>Gadaleta RM</w:t>
      </w:r>
      <w:r w:rsidRPr="00A234EE">
        <w:rPr>
          <w:rFonts w:ascii="Book Antiqua" w:hAnsi="Book Antiqua"/>
          <w:sz w:val="24"/>
          <w:szCs w:val="24"/>
          <w:lang w:val="en-US"/>
        </w:rPr>
        <w:t xml:space="preserve">, van Erpecum KJ, Oldenburg B, Willemsen EC, Renooij W, Murzilli S, Klomp LW, Siersema PD, Schipper ME, Danese S, Penna G, Laverny G, Adorini L, Moschetta A, van Mil SW. Farnesoid X receptor activation inhibits inflammation and preserves the intestinal barrier in inflammatory bowel disease. </w:t>
      </w:r>
      <w:r w:rsidRPr="00A234EE">
        <w:rPr>
          <w:rFonts w:ascii="Book Antiqua" w:hAnsi="Book Antiqua"/>
          <w:i/>
          <w:sz w:val="24"/>
          <w:szCs w:val="24"/>
          <w:lang w:val="en-US"/>
        </w:rPr>
        <w:t>Gut</w:t>
      </w:r>
      <w:r w:rsidRPr="00A234EE">
        <w:rPr>
          <w:rFonts w:ascii="Book Antiqua" w:hAnsi="Book Antiqua"/>
          <w:sz w:val="24"/>
          <w:szCs w:val="24"/>
          <w:lang w:val="en-US"/>
        </w:rPr>
        <w:t xml:space="preserve"> 2011; </w:t>
      </w:r>
      <w:r w:rsidRPr="00A234EE">
        <w:rPr>
          <w:rFonts w:ascii="Book Antiqua" w:hAnsi="Book Antiqua"/>
          <w:b/>
          <w:sz w:val="24"/>
          <w:szCs w:val="24"/>
          <w:lang w:val="en-US"/>
        </w:rPr>
        <w:t>60</w:t>
      </w:r>
      <w:r w:rsidRPr="00A234EE">
        <w:rPr>
          <w:rFonts w:ascii="Book Antiqua" w:hAnsi="Book Antiqua"/>
          <w:sz w:val="24"/>
          <w:szCs w:val="24"/>
          <w:lang w:val="en-US"/>
        </w:rPr>
        <w:t>: 463-472 [PMID: 21242261 DOI: 10.1136/gut.2010.212159]</w:t>
      </w:r>
    </w:p>
    <w:p w14:paraId="57B7111F"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10 </w:t>
      </w:r>
      <w:r w:rsidRPr="00A234EE">
        <w:rPr>
          <w:rFonts w:ascii="Book Antiqua" w:hAnsi="Book Antiqua"/>
          <w:b/>
          <w:sz w:val="24"/>
          <w:szCs w:val="24"/>
          <w:lang w:val="en-US"/>
        </w:rPr>
        <w:t>Mells JE</w:t>
      </w:r>
      <w:r w:rsidRPr="00A234EE">
        <w:rPr>
          <w:rFonts w:ascii="Book Antiqua" w:hAnsi="Book Antiqua"/>
          <w:sz w:val="24"/>
          <w:szCs w:val="24"/>
          <w:lang w:val="en-US"/>
        </w:rPr>
        <w:t xml:space="preserve">, Anania FA. The role of gastrointestinal hormones in hepatic lipid metabolism. </w:t>
      </w:r>
      <w:r w:rsidRPr="00A234EE">
        <w:rPr>
          <w:rFonts w:ascii="Book Antiqua" w:hAnsi="Book Antiqua"/>
          <w:i/>
          <w:sz w:val="24"/>
          <w:szCs w:val="24"/>
          <w:lang w:val="en-US"/>
        </w:rPr>
        <w:t>Semin Liver Dis</w:t>
      </w:r>
      <w:r w:rsidRPr="00A234EE">
        <w:rPr>
          <w:rFonts w:ascii="Book Antiqua" w:hAnsi="Book Antiqua"/>
          <w:sz w:val="24"/>
          <w:szCs w:val="24"/>
          <w:lang w:val="en-US"/>
        </w:rPr>
        <w:t xml:space="preserve"> 2013; </w:t>
      </w:r>
      <w:r w:rsidRPr="00A234EE">
        <w:rPr>
          <w:rFonts w:ascii="Book Antiqua" w:hAnsi="Book Antiqua"/>
          <w:b/>
          <w:sz w:val="24"/>
          <w:szCs w:val="24"/>
          <w:lang w:val="en-US"/>
        </w:rPr>
        <w:t>33</w:t>
      </w:r>
      <w:r w:rsidRPr="00A234EE">
        <w:rPr>
          <w:rFonts w:ascii="Book Antiqua" w:hAnsi="Book Antiqua"/>
          <w:sz w:val="24"/>
          <w:szCs w:val="24"/>
          <w:lang w:val="en-US"/>
        </w:rPr>
        <w:t>: 343-357 [PMID: 24222092 DOI: 10.1055/s-0033-1358527]</w:t>
      </w:r>
    </w:p>
    <w:p w14:paraId="2518AB6E"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11 </w:t>
      </w:r>
      <w:r w:rsidRPr="00A234EE">
        <w:rPr>
          <w:rFonts w:ascii="Book Antiqua" w:hAnsi="Book Antiqua"/>
          <w:b/>
          <w:sz w:val="24"/>
          <w:szCs w:val="24"/>
          <w:lang w:val="en-US"/>
        </w:rPr>
        <w:t>Keitel V</w:t>
      </w:r>
      <w:r w:rsidRPr="00A234EE">
        <w:rPr>
          <w:rFonts w:ascii="Book Antiqua" w:hAnsi="Book Antiqua"/>
          <w:sz w:val="24"/>
          <w:szCs w:val="24"/>
          <w:lang w:val="en-US"/>
        </w:rPr>
        <w:t xml:space="preserve">, Donner M, Winandy S, Kubitz R, Häussinger D. Expression and function of the bile acid receptor TGR5 in Kupffer cells. </w:t>
      </w:r>
      <w:r w:rsidRPr="00A234EE">
        <w:rPr>
          <w:rFonts w:ascii="Book Antiqua" w:hAnsi="Book Antiqua"/>
          <w:i/>
          <w:sz w:val="24"/>
          <w:szCs w:val="24"/>
          <w:lang w:val="en-US"/>
        </w:rPr>
        <w:t>Biochem Biophys Res Commun</w:t>
      </w:r>
      <w:r w:rsidRPr="00A234EE">
        <w:rPr>
          <w:rFonts w:ascii="Book Antiqua" w:hAnsi="Book Antiqua"/>
          <w:sz w:val="24"/>
          <w:szCs w:val="24"/>
          <w:lang w:val="en-US"/>
        </w:rPr>
        <w:t xml:space="preserve"> 2008; </w:t>
      </w:r>
      <w:r w:rsidRPr="00A234EE">
        <w:rPr>
          <w:rFonts w:ascii="Book Antiqua" w:hAnsi="Book Antiqua"/>
          <w:b/>
          <w:sz w:val="24"/>
          <w:szCs w:val="24"/>
          <w:lang w:val="en-US"/>
        </w:rPr>
        <w:t>372</w:t>
      </w:r>
      <w:r w:rsidRPr="00A234EE">
        <w:rPr>
          <w:rFonts w:ascii="Book Antiqua" w:hAnsi="Book Antiqua"/>
          <w:sz w:val="24"/>
          <w:szCs w:val="24"/>
          <w:lang w:val="en-US"/>
        </w:rPr>
        <w:t>: 78-84 [PMID: 18468513 DOI: 10.1016/j.bbrc.2008.04.171]</w:t>
      </w:r>
    </w:p>
    <w:p w14:paraId="3E755448" w14:textId="77777777" w:rsidR="00482D19" w:rsidRPr="00A234EE" w:rsidRDefault="00482D19" w:rsidP="00A234EE">
      <w:pPr>
        <w:adjustRightInd w:val="0"/>
        <w:snapToGrid w:val="0"/>
        <w:spacing w:after="0" w:line="360" w:lineRule="auto"/>
        <w:jc w:val="both"/>
        <w:rPr>
          <w:rFonts w:ascii="Book Antiqua" w:hAnsi="Book Antiqua"/>
          <w:sz w:val="24"/>
          <w:szCs w:val="24"/>
        </w:rPr>
      </w:pPr>
      <w:r w:rsidRPr="00A234EE">
        <w:rPr>
          <w:rFonts w:ascii="Book Antiqua" w:hAnsi="Book Antiqua"/>
          <w:sz w:val="24"/>
          <w:szCs w:val="24"/>
          <w:lang w:val="en-US"/>
        </w:rPr>
        <w:lastRenderedPageBreak/>
        <w:t xml:space="preserve">12 </w:t>
      </w:r>
      <w:r w:rsidRPr="00A234EE">
        <w:rPr>
          <w:rFonts w:ascii="Book Antiqua" w:hAnsi="Book Antiqua"/>
          <w:b/>
          <w:sz w:val="24"/>
          <w:szCs w:val="24"/>
          <w:lang w:val="en-US"/>
        </w:rPr>
        <w:t>Baffy G</w:t>
      </w:r>
      <w:r w:rsidRPr="00A234EE">
        <w:rPr>
          <w:rFonts w:ascii="Book Antiqua" w:hAnsi="Book Antiqua"/>
          <w:sz w:val="24"/>
          <w:szCs w:val="24"/>
          <w:lang w:val="en-US"/>
        </w:rPr>
        <w:t xml:space="preserve">. Kupffer cells in non-alcoholic fatty liver disease: the emerging view. </w:t>
      </w:r>
      <w:r w:rsidRPr="00A234EE">
        <w:rPr>
          <w:rFonts w:ascii="Book Antiqua" w:hAnsi="Book Antiqua"/>
          <w:i/>
          <w:sz w:val="24"/>
          <w:szCs w:val="24"/>
        </w:rPr>
        <w:t>J Hepatol</w:t>
      </w:r>
      <w:r w:rsidRPr="00A234EE">
        <w:rPr>
          <w:rFonts w:ascii="Book Antiqua" w:hAnsi="Book Antiqua"/>
          <w:sz w:val="24"/>
          <w:szCs w:val="24"/>
        </w:rPr>
        <w:t xml:space="preserve"> 2009; </w:t>
      </w:r>
      <w:r w:rsidRPr="00A234EE">
        <w:rPr>
          <w:rFonts w:ascii="Book Antiqua" w:hAnsi="Book Antiqua"/>
          <w:b/>
          <w:sz w:val="24"/>
          <w:szCs w:val="24"/>
        </w:rPr>
        <w:t>51</w:t>
      </w:r>
      <w:r w:rsidRPr="00A234EE">
        <w:rPr>
          <w:rFonts w:ascii="Book Antiqua" w:hAnsi="Book Antiqua"/>
          <w:sz w:val="24"/>
          <w:szCs w:val="24"/>
        </w:rPr>
        <w:t>: 212-223 [PMID: 19447517 DOI: 10.1016/j.jhep.2009.03.008]</w:t>
      </w:r>
    </w:p>
    <w:p w14:paraId="362F2646"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rPr>
        <w:t xml:space="preserve">13 </w:t>
      </w:r>
      <w:r w:rsidRPr="00A234EE">
        <w:rPr>
          <w:rFonts w:ascii="Book Antiqua" w:hAnsi="Book Antiqua"/>
          <w:b/>
          <w:sz w:val="24"/>
          <w:szCs w:val="24"/>
        </w:rPr>
        <w:t>Rizzo G,</w:t>
      </w:r>
      <w:r w:rsidRPr="00A234EE">
        <w:rPr>
          <w:rFonts w:ascii="Book Antiqua" w:hAnsi="Book Antiqua"/>
          <w:sz w:val="24"/>
          <w:szCs w:val="24"/>
        </w:rPr>
        <w:t xml:space="preserve">  Passeri D, De Franco F, Ciaccioli G, Donadio L, Orlandi S, et al. </w:t>
      </w:r>
      <w:r w:rsidRPr="00A234EE">
        <w:rPr>
          <w:rFonts w:ascii="Book Antiqua" w:hAnsi="Book Antiqua"/>
          <w:sz w:val="24"/>
          <w:szCs w:val="24"/>
          <w:lang w:val="en-US"/>
        </w:rPr>
        <w:t>Functional Characterization of the Semi-synthetic bile acid derivative INT-767, a dual FXR and TGR5 agonist. Hepatology. 2010;52:595A-Abstract 66.</w:t>
      </w:r>
    </w:p>
    <w:p w14:paraId="49DC1648"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14 </w:t>
      </w:r>
      <w:r w:rsidRPr="00A234EE">
        <w:rPr>
          <w:rFonts w:ascii="Book Antiqua" w:hAnsi="Book Antiqua"/>
          <w:b/>
          <w:sz w:val="24"/>
          <w:szCs w:val="24"/>
          <w:lang w:val="en-US"/>
        </w:rPr>
        <w:t>Miyazaki-Anzai S</w:t>
      </w:r>
      <w:r w:rsidRPr="00A234EE">
        <w:rPr>
          <w:rFonts w:ascii="Book Antiqua" w:hAnsi="Book Antiqua"/>
          <w:sz w:val="24"/>
          <w:szCs w:val="24"/>
          <w:lang w:val="en-US"/>
        </w:rPr>
        <w:t xml:space="preserve">, Masuda M, Levi M, Keenan AL, Miyazaki M. Dual activation of the bile acid nuclear receptor FXR and G-protein-coupled receptor TGR5 protects mice against atherosclerosis. </w:t>
      </w:r>
      <w:r w:rsidRPr="00A234EE">
        <w:rPr>
          <w:rFonts w:ascii="Book Antiqua" w:hAnsi="Book Antiqua"/>
          <w:i/>
          <w:sz w:val="24"/>
          <w:szCs w:val="24"/>
          <w:lang w:val="en-US"/>
        </w:rPr>
        <w:t>PLoS One</w:t>
      </w:r>
      <w:r w:rsidRPr="00A234EE">
        <w:rPr>
          <w:rFonts w:ascii="Book Antiqua" w:hAnsi="Book Antiqua"/>
          <w:sz w:val="24"/>
          <w:szCs w:val="24"/>
          <w:lang w:val="en-US"/>
        </w:rPr>
        <w:t xml:space="preserve"> 2014; </w:t>
      </w:r>
      <w:r w:rsidRPr="00A234EE">
        <w:rPr>
          <w:rFonts w:ascii="Book Antiqua" w:hAnsi="Book Antiqua"/>
          <w:b/>
          <w:sz w:val="24"/>
          <w:szCs w:val="24"/>
          <w:lang w:val="en-US"/>
        </w:rPr>
        <w:t>9</w:t>
      </w:r>
      <w:r w:rsidRPr="00A234EE">
        <w:rPr>
          <w:rFonts w:ascii="Book Antiqua" w:hAnsi="Book Antiqua"/>
          <w:sz w:val="24"/>
          <w:szCs w:val="24"/>
          <w:lang w:val="en-US"/>
        </w:rPr>
        <w:t>: e108270 [PMID: 25237811 DOI: 10.1371/journal.pone.0108270]</w:t>
      </w:r>
    </w:p>
    <w:p w14:paraId="1B4FB39B" w14:textId="5CB947F9"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15 </w:t>
      </w:r>
      <w:r w:rsidRPr="00A234EE">
        <w:rPr>
          <w:rFonts w:ascii="Book Antiqua" w:hAnsi="Book Antiqua"/>
          <w:b/>
          <w:sz w:val="24"/>
          <w:szCs w:val="24"/>
          <w:lang w:val="en-US"/>
        </w:rPr>
        <w:t>Wang X,</w:t>
      </w:r>
      <w:r w:rsidRPr="00A234EE">
        <w:rPr>
          <w:rFonts w:ascii="Book Antiqua" w:hAnsi="Book Antiqua"/>
          <w:sz w:val="24"/>
          <w:szCs w:val="24"/>
          <w:lang w:val="en-US"/>
        </w:rPr>
        <w:t xml:space="preserve">  Herman-Edelstein M, Levi J, Gafter U, Rosenberg A, Kopp JB, et al. Dual activation of FXR and TGR5 by INT-767 mediates protection from diabetic nephropathy and retinopathy. </w:t>
      </w:r>
      <w:r w:rsidRPr="00A234EE">
        <w:rPr>
          <w:rFonts w:ascii="Book Antiqua" w:hAnsi="Book Antiqua"/>
          <w:i/>
          <w:sz w:val="24"/>
          <w:szCs w:val="24"/>
          <w:lang w:val="en-US"/>
        </w:rPr>
        <w:t>Am J Soc Nephrol</w:t>
      </w:r>
      <w:r w:rsidRPr="00A234EE">
        <w:rPr>
          <w:rFonts w:ascii="Book Antiqua" w:hAnsi="Book Antiqua"/>
          <w:sz w:val="24"/>
          <w:szCs w:val="24"/>
          <w:lang w:val="en-US"/>
        </w:rPr>
        <w:t>. 2015;</w:t>
      </w:r>
      <w:r w:rsidRPr="00A234EE">
        <w:rPr>
          <w:rFonts w:ascii="Book Antiqua" w:hAnsi="Book Antiqua"/>
          <w:sz w:val="24"/>
          <w:szCs w:val="24"/>
          <w:lang w:val="en-US" w:eastAsia="zh-CN"/>
        </w:rPr>
        <w:t xml:space="preserve"> </w:t>
      </w:r>
      <w:r w:rsidRPr="00A234EE">
        <w:rPr>
          <w:rFonts w:ascii="Book Antiqua" w:hAnsi="Book Antiqua"/>
          <w:b/>
          <w:sz w:val="24"/>
          <w:szCs w:val="24"/>
          <w:lang w:val="en-US"/>
        </w:rPr>
        <w:t>26</w:t>
      </w:r>
      <w:r w:rsidRPr="00A234EE">
        <w:rPr>
          <w:rFonts w:ascii="Book Antiqua" w:hAnsi="Book Antiqua"/>
          <w:sz w:val="24"/>
          <w:szCs w:val="24"/>
          <w:lang w:val="en-US"/>
        </w:rPr>
        <w:t>:169A. Abstract TH-PO360.</w:t>
      </w:r>
    </w:p>
    <w:p w14:paraId="5BAA06EA"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16 </w:t>
      </w:r>
      <w:r w:rsidRPr="00A234EE">
        <w:rPr>
          <w:rFonts w:ascii="Book Antiqua" w:hAnsi="Book Antiqua"/>
          <w:b/>
          <w:sz w:val="24"/>
          <w:szCs w:val="24"/>
          <w:lang w:val="en-US"/>
        </w:rPr>
        <w:t>McMahan RH</w:t>
      </w:r>
      <w:r w:rsidRPr="00A234EE">
        <w:rPr>
          <w:rFonts w:ascii="Book Antiqua" w:hAnsi="Book Antiqua"/>
          <w:sz w:val="24"/>
          <w:szCs w:val="24"/>
          <w:lang w:val="en-US"/>
        </w:rPr>
        <w:t xml:space="preserve">, Wang XX, Cheng LL, Krisko T, Smith M, El Kasmi K, Pruzanski M, Adorini L, Golden-Mason L, Levi M, Rosen HR. Bile acid receptor activation modulates hepatic monocyte activity and improves nonalcoholic fatty liver disease. </w:t>
      </w:r>
      <w:r w:rsidRPr="00A234EE">
        <w:rPr>
          <w:rFonts w:ascii="Book Antiqua" w:hAnsi="Book Antiqua"/>
          <w:i/>
          <w:sz w:val="24"/>
          <w:szCs w:val="24"/>
          <w:lang w:val="en-US"/>
        </w:rPr>
        <w:t>J Biol Chem</w:t>
      </w:r>
      <w:r w:rsidRPr="00A234EE">
        <w:rPr>
          <w:rFonts w:ascii="Book Antiqua" w:hAnsi="Book Antiqua"/>
          <w:sz w:val="24"/>
          <w:szCs w:val="24"/>
          <w:lang w:val="en-US"/>
        </w:rPr>
        <w:t xml:space="preserve"> 2013; </w:t>
      </w:r>
      <w:r w:rsidRPr="00A234EE">
        <w:rPr>
          <w:rFonts w:ascii="Book Antiqua" w:hAnsi="Book Antiqua"/>
          <w:b/>
          <w:sz w:val="24"/>
          <w:szCs w:val="24"/>
          <w:lang w:val="en-US"/>
        </w:rPr>
        <w:t>288</w:t>
      </w:r>
      <w:r w:rsidRPr="00A234EE">
        <w:rPr>
          <w:rFonts w:ascii="Book Antiqua" w:hAnsi="Book Antiqua"/>
          <w:sz w:val="24"/>
          <w:szCs w:val="24"/>
          <w:lang w:val="en-US"/>
        </w:rPr>
        <w:t>: 11761-11770 [PMID: 23460643 DOI: 10.1074/jbc.M112.446575]</w:t>
      </w:r>
    </w:p>
    <w:p w14:paraId="24D83566"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17 </w:t>
      </w:r>
      <w:r w:rsidRPr="00A234EE">
        <w:rPr>
          <w:rFonts w:ascii="Book Antiqua" w:hAnsi="Book Antiqua"/>
          <w:b/>
          <w:sz w:val="24"/>
          <w:szCs w:val="24"/>
          <w:lang w:val="en-US"/>
        </w:rPr>
        <w:t>Tetri LH</w:t>
      </w:r>
      <w:r w:rsidRPr="00A234EE">
        <w:rPr>
          <w:rFonts w:ascii="Book Antiqua" w:hAnsi="Book Antiqua"/>
          <w:sz w:val="24"/>
          <w:szCs w:val="24"/>
          <w:lang w:val="en-US"/>
        </w:rPr>
        <w:t xml:space="preserve">, Basaranoglu M, Brunt EM, Yerian LM, Neuschwander-Tetri BA. Severe NAFLD with hepatic necroinflammatory changes in mice fed trans fats and a high-fructose corn syrup equivalent. </w:t>
      </w:r>
      <w:r w:rsidRPr="00A234EE">
        <w:rPr>
          <w:rFonts w:ascii="Book Antiqua" w:hAnsi="Book Antiqua"/>
          <w:i/>
          <w:sz w:val="24"/>
          <w:szCs w:val="24"/>
          <w:lang w:val="en-US"/>
        </w:rPr>
        <w:t>Am J Physiol Gastrointest Liver Physiol</w:t>
      </w:r>
      <w:r w:rsidRPr="00A234EE">
        <w:rPr>
          <w:rFonts w:ascii="Book Antiqua" w:hAnsi="Book Antiqua"/>
          <w:sz w:val="24"/>
          <w:szCs w:val="24"/>
          <w:lang w:val="en-US"/>
        </w:rPr>
        <w:t xml:space="preserve"> 2008; </w:t>
      </w:r>
      <w:r w:rsidRPr="00A234EE">
        <w:rPr>
          <w:rFonts w:ascii="Book Antiqua" w:hAnsi="Book Antiqua"/>
          <w:b/>
          <w:sz w:val="24"/>
          <w:szCs w:val="24"/>
          <w:lang w:val="en-US"/>
        </w:rPr>
        <w:t>295</w:t>
      </w:r>
      <w:r w:rsidRPr="00A234EE">
        <w:rPr>
          <w:rFonts w:ascii="Book Antiqua" w:hAnsi="Book Antiqua"/>
          <w:sz w:val="24"/>
          <w:szCs w:val="24"/>
          <w:lang w:val="en-US"/>
        </w:rPr>
        <w:t>: G987-G995 [PMID: 18772365 DOI: 10.1152/ajpgi.90272.2008]</w:t>
      </w:r>
    </w:p>
    <w:p w14:paraId="15853D3C"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18 </w:t>
      </w:r>
      <w:r w:rsidRPr="00A234EE">
        <w:rPr>
          <w:rFonts w:ascii="Book Antiqua" w:hAnsi="Book Antiqua"/>
          <w:b/>
          <w:sz w:val="24"/>
          <w:szCs w:val="24"/>
          <w:lang w:val="en-US"/>
        </w:rPr>
        <w:t>Clapper JR</w:t>
      </w:r>
      <w:r w:rsidRPr="00A234EE">
        <w:rPr>
          <w:rFonts w:ascii="Book Antiqua" w:hAnsi="Book Antiqua"/>
          <w:sz w:val="24"/>
          <w:szCs w:val="24"/>
          <w:lang w:val="en-US"/>
        </w:rPr>
        <w:t xml:space="preserve">, Hendricks MD, Gu G, Wittmer C, Dolman CS, Herich J, Athanacio J, Villescaz C, Ghosh SS, Heilig JS, Lowe C, Roth JD. Diet-induced mouse model of fatty liver disease and nonalcoholic steatohepatitis reflecting clinical disease progression and methods of assessment. </w:t>
      </w:r>
      <w:r w:rsidRPr="00A234EE">
        <w:rPr>
          <w:rFonts w:ascii="Book Antiqua" w:hAnsi="Book Antiqua"/>
          <w:i/>
          <w:sz w:val="24"/>
          <w:szCs w:val="24"/>
          <w:lang w:val="en-US"/>
        </w:rPr>
        <w:t>Am J Physiol Gastrointest Liver Physiol</w:t>
      </w:r>
      <w:r w:rsidRPr="00A234EE">
        <w:rPr>
          <w:rFonts w:ascii="Book Antiqua" w:hAnsi="Book Antiqua"/>
          <w:sz w:val="24"/>
          <w:szCs w:val="24"/>
          <w:lang w:val="en-US"/>
        </w:rPr>
        <w:t xml:space="preserve"> 2013; </w:t>
      </w:r>
      <w:r w:rsidRPr="00A234EE">
        <w:rPr>
          <w:rFonts w:ascii="Book Antiqua" w:hAnsi="Book Antiqua"/>
          <w:b/>
          <w:sz w:val="24"/>
          <w:szCs w:val="24"/>
          <w:lang w:val="en-US"/>
        </w:rPr>
        <w:t>305</w:t>
      </w:r>
      <w:r w:rsidRPr="00A234EE">
        <w:rPr>
          <w:rFonts w:ascii="Book Antiqua" w:hAnsi="Book Antiqua"/>
          <w:sz w:val="24"/>
          <w:szCs w:val="24"/>
          <w:lang w:val="en-US"/>
        </w:rPr>
        <w:t>: G483-G495 [PMID: 23886860 DOI: 10.1152/ajpgi.00079.2013]</w:t>
      </w:r>
    </w:p>
    <w:p w14:paraId="338ADC99"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19 </w:t>
      </w:r>
      <w:r w:rsidRPr="00A234EE">
        <w:rPr>
          <w:rFonts w:ascii="Book Antiqua" w:hAnsi="Book Antiqua"/>
          <w:b/>
          <w:sz w:val="24"/>
          <w:szCs w:val="24"/>
          <w:lang w:val="en-US"/>
        </w:rPr>
        <w:t>Kristiansen MN</w:t>
      </w:r>
      <w:r w:rsidRPr="00A234EE">
        <w:rPr>
          <w:rFonts w:ascii="Book Antiqua" w:hAnsi="Book Antiqua"/>
          <w:sz w:val="24"/>
          <w:szCs w:val="24"/>
          <w:lang w:val="en-US"/>
        </w:rPr>
        <w:t xml:space="preserve">, Veidal SS, Rigbolt KT, Tølbøl KS, Roth JD, Jelsing J, Vrang N, Feigh M. Obese diet-induced mouse models of nonalcoholic steatohepatitis-tracking disease by liver biopsy. </w:t>
      </w:r>
      <w:r w:rsidRPr="00A234EE">
        <w:rPr>
          <w:rFonts w:ascii="Book Antiqua" w:hAnsi="Book Antiqua"/>
          <w:i/>
          <w:sz w:val="24"/>
          <w:szCs w:val="24"/>
          <w:lang w:val="en-US"/>
        </w:rPr>
        <w:t>World J Hepatol</w:t>
      </w:r>
      <w:r w:rsidRPr="00A234EE">
        <w:rPr>
          <w:rFonts w:ascii="Book Antiqua" w:hAnsi="Book Antiqua"/>
          <w:sz w:val="24"/>
          <w:szCs w:val="24"/>
          <w:lang w:val="en-US"/>
        </w:rPr>
        <w:t xml:space="preserve"> 2016; </w:t>
      </w:r>
      <w:r w:rsidRPr="00A234EE">
        <w:rPr>
          <w:rFonts w:ascii="Book Antiqua" w:hAnsi="Book Antiqua"/>
          <w:b/>
          <w:sz w:val="24"/>
          <w:szCs w:val="24"/>
          <w:lang w:val="en-US"/>
        </w:rPr>
        <w:t>8</w:t>
      </w:r>
      <w:r w:rsidRPr="00A234EE">
        <w:rPr>
          <w:rFonts w:ascii="Book Antiqua" w:hAnsi="Book Antiqua"/>
          <w:sz w:val="24"/>
          <w:szCs w:val="24"/>
          <w:lang w:val="en-US"/>
        </w:rPr>
        <w:t>: 673-684 [PMID: 27326314 DOI: 10.4254/wjh.v8.i16.673]</w:t>
      </w:r>
    </w:p>
    <w:p w14:paraId="713D9D17"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lastRenderedPageBreak/>
        <w:t xml:space="preserve">20 </w:t>
      </w:r>
      <w:r w:rsidRPr="00A234EE">
        <w:rPr>
          <w:rFonts w:ascii="Book Antiqua" w:hAnsi="Book Antiqua"/>
          <w:b/>
          <w:sz w:val="24"/>
          <w:szCs w:val="24"/>
          <w:lang w:val="en-US"/>
        </w:rPr>
        <w:t>Jouihan H</w:t>
      </w:r>
      <w:r w:rsidRPr="00A234EE">
        <w:rPr>
          <w:rFonts w:ascii="Book Antiqua" w:hAnsi="Book Antiqua"/>
          <w:sz w:val="24"/>
          <w:szCs w:val="24"/>
          <w:lang w:val="en-US"/>
        </w:rPr>
        <w:t xml:space="preserve">, Will S, Guionaud S, Boland ML, Oldham S, Ravn P, Celeste A, Trevaskis JL. Superior reductions in hepatic steatosis and fibrosis with co-administration of a glucagon-like peptide-1 receptor agonist and obeticholic acid in mice. </w:t>
      </w:r>
      <w:r w:rsidRPr="00A234EE">
        <w:rPr>
          <w:rFonts w:ascii="Book Antiqua" w:hAnsi="Book Antiqua"/>
          <w:i/>
          <w:sz w:val="24"/>
          <w:szCs w:val="24"/>
          <w:lang w:val="en-US"/>
        </w:rPr>
        <w:t>Mol Metab</w:t>
      </w:r>
      <w:r w:rsidRPr="00A234EE">
        <w:rPr>
          <w:rFonts w:ascii="Book Antiqua" w:hAnsi="Book Antiqua"/>
          <w:sz w:val="24"/>
          <w:szCs w:val="24"/>
          <w:lang w:val="en-US"/>
        </w:rPr>
        <w:t xml:space="preserve"> 2017; </w:t>
      </w:r>
      <w:r w:rsidRPr="00A234EE">
        <w:rPr>
          <w:rFonts w:ascii="Book Antiqua" w:hAnsi="Book Antiqua"/>
          <w:b/>
          <w:sz w:val="24"/>
          <w:szCs w:val="24"/>
          <w:lang w:val="en-US"/>
        </w:rPr>
        <w:t>6</w:t>
      </w:r>
      <w:r w:rsidRPr="00A234EE">
        <w:rPr>
          <w:rFonts w:ascii="Book Antiqua" w:hAnsi="Book Antiqua"/>
          <w:sz w:val="24"/>
          <w:szCs w:val="24"/>
          <w:lang w:val="en-US"/>
        </w:rPr>
        <w:t>: 1360-1370 [PMID: 29107284 DOI: 10.1016/j.molmet.2017.09.001]</w:t>
      </w:r>
    </w:p>
    <w:p w14:paraId="63C06E72"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21 </w:t>
      </w:r>
      <w:r w:rsidRPr="00A234EE">
        <w:rPr>
          <w:rFonts w:ascii="Book Antiqua" w:hAnsi="Book Antiqua"/>
          <w:b/>
          <w:sz w:val="24"/>
          <w:szCs w:val="24"/>
          <w:lang w:val="en-US"/>
        </w:rPr>
        <w:t>Kleiner DE</w:t>
      </w:r>
      <w:r w:rsidRPr="00A234EE">
        <w:rPr>
          <w:rFonts w:ascii="Book Antiqua" w:hAnsi="Book Antiqua"/>
          <w:sz w:val="24"/>
          <w:szCs w:val="24"/>
          <w:lang w:val="en-US"/>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A234EE">
        <w:rPr>
          <w:rFonts w:ascii="Book Antiqua" w:hAnsi="Book Antiqua"/>
          <w:i/>
          <w:sz w:val="24"/>
          <w:szCs w:val="24"/>
          <w:lang w:val="en-US"/>
        </w:rPr>
        <w:t>Hepatology</w:t>
      </w:r>
      <w:r w:rsidRPr="00A234EE">
        <w:rPr>
          <w:rFonts w:ascii="Book Antiqua" w:hAnsi="Book Antiqua"/>
          <w:sz w:val="24"/>
          <w:szCs w:val="24"/>
          <w:lang w:val="en-US"/>
        </w:rPr>
        <w:t xml:space="preserve"> 2005; </w:t>
      </w:r>
      <w:r w:rsidRPr="00A234EE">
        <w:rPr>
          <w:rFonts w:ascii="Book Antiqua" w:hAnsi="Book Antiqua"/>
          <w:b/>
          <w:sz w:val="24"/>
          <w:szCs w:val="24"/>
          <w:lang w:val="en-US"/>
        </w:rPr>
        <w:t>41</w:t>
      </w:r>
      <w:r w:rsidRPr="00A234EE">
        <w:rPr>
          <w:rFonts w:ascii="Book Antiqua" w:hAnsi="Book Antiqua"/>
          <w:sz w:val="24"/>
          <w:szCs w:val="24"/>
          <w:lang w:val="en-US"/>
        </w:rPr>
        <w:t>: 1313-1321 [PMID: 15915461 DOI: 10.1002/hep.20701]</w:t>
      </w:r>
    </w:p>
    <w:p w14:paraId="6859E540"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22 </w:t>
      </w:r>
      <w:r w:rsidRPr="00A234EE">
        <w:rPr>
          <w:rFonts w:ascii="Book Antiqua" w:hAnsi="Book Antiqua"/>
          <w:b/>
          <w:sz w:val="24"/>
          <w:szCs w:val="24"/>
          <w:lang w:val="en-US"/>
        </w:rPr>
        <w:t>Liu F</w:t>
      </w:r>
      <w:r w:rsidRPr="00A234EE">
        <w:rPr>
          <w:rFonts w:ascii="Book Antiqua" w:hAnsi="Book Antiqua"/>
          <w:sz w:val="24"/>
          <w:szCs w:val="24"/>
          <w:lang w:val="en-US"/>
        </w:rPr>
        <w:t xml:space="preserve">, Chen L, Rao HY, Teng X, Ren YY, Lu YQ, Zhang W, Wu N, Liu FF, Wei L. Automated evaluation of liver fibrosis in thioacetamide, carbon tetrachloride, and bile duct ligation rodent models using second-harmonic generation/two-photon excited fluorescence microscopy. </w:t>
      </w:r>
      <w:r w:rsidRPr="00A234EE">
        <w:rPr>
          <w:rFonts w:ascii="Book Antiqua" w:hAnsi="Book Antiqua"/>
          <w:i/>
          <w:sz w:val="24"/>
          <w:szCs w:val="24"/>
          <w:lang w:val="en-US"/>
        </w:rPr>
        <w:t>Lab Invest</w:t>
      </w:r>
      <w:r w:rsidRPr="00A234EE">
        <w:rPr>
          <w:rFonts w:ascii="Book Antiqua" w:hAnsi="Book Antiqua"/>
          <w:sz w:val="24"/>
          <w:szCs w:val="24"/>
          <w:lang w:val="en-US"/>
        </w:rPr>
        <w:t xml:space="preserve"> 2017; </w:t>
      </w:r>
      <w:r w:rsidRPr="00A234EE">
        <w:rPr>
          <w:rFonts w:ascii="Book Antiqua" w:hAnsi="Book Antiqua"/>
          <w:b/>
          <w:sz w:val="24"/>
          <w:szCs w:val="24"/>
          <w:lang w:val="en-US"/>
        </w:rPr>
        <w:t>97</w:t>
      </w:r>
      <w:r w:rsidRPr="00A234EE">
        <w:rPr>
          <w:rFonts w:ascii="Book Antiqua" w:hAnsi="Book Antiqua"/>
          <w:sz w:val="24"/>
          <w:szCs w:val="24"/>
          <w:lang w:val="en-US"/>
        </w:rPr>
        <w:t>: 84-92 [PMID: 27918557 DOI: 10.1038/labinvest.2016.128]</w:t>
      </w:r>
    </w:p>
    <w:p w14:paraId="5BBCC049"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23 </w:t>
      </w:r>
      <w:r w:rsidRPr="00A234EE">
        <w:rPr>
          <w:rFonts w:ascii="Book Antiqua" w:hAnsi="Book Antiqua"/>
          <w:b/>
          <w:sz w:val="24"/>
          <w:szCs w:val="24"/>
          <w:lang w:val="en-US"/>
        </w:rPr>
        <w:t>Dobin A</w:t>
      </w:r>
      <w:r w:rsidRPr="00A234EE">
        <w:rPr>
          <w:rFonts w:ascii="Book Antiqua" w:hAnsi="Book Antiqua"/>
          <w:sz w:val="24"/>
          <w:szCs w:val="24"/>
          <w:lang w:val="en-US"/>
        </w:rPr>
        <w:t xml:space="preserve">, Davis CA, Schlesinger F, Drenkow J, Zaleski C, Jha S, Batut P, Chaisson M, Gingeras TR. STAR: ultrafast universal RNA-seq aligner. </w:t>
      </w:r>
      <w:r w:rsidRPr="00A234EE">
        <w:rPr>
          <w:rFonts w:ascii="Book Antiqua" w:hAnsi="Book Antiqua"/>
          <w:i/>
          <w:sz w:val="24"/>
          <w:szCs w:val="24"/>
          <w:lang w:val="en-US"/>
        </w:rPr>
        <w:t>Bioinformatics</w:t>
      </w:r>
      <w:r w:rsidRPr="00A234EE">
        <w:rPr>
          <w:rFonts w:ascii="Book Antiqua" w:hAnsi="Book Antiqua"/>
          <w:sz w:val="24"/>
          <w:szCs w:val="24"/>
          <w:lang w:val="en-US"/>
        </w:rPr>
        <w:t xml:space="preserve"> 2013; </w:t>
      </w:r>
      <w:r w:rsidRPr="00A234EE">
        <w:rPr>
          <w:rFonts w:ascii="Book Antiqua" w:hAnsi="Book Antiqua"/>
          <w:b/>
          <w:sz w:val="24"/>
          <w:szCs w:val="24"/>
          <w:lang w:val="en-US"/>
        </w:rPr>
        <w:t>29</w:t>
      </w:r>
      <w:r w:rsidRPr="00A234EE">
        <w:rPr>
          <w:rFonts w:ascii="Book Antiqua" w:hAnsi="Book Antiqua"/>
          <w:sz w:val="24"/>
          <w:szCs w:val="24"/>
          <w:lang w:val="en-US"/>
        </w:rPr>
        <w:t>: 15-21 [PMID: 23104886 DOI: 10.1093/bioinformatics/bts635]</w:t>
      </w:r>
    </w:p>
    <w:p w14:paraId="732989E8"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24 </w:t>
      </w:r>
      <w:r w:rsidRPr="00A234EE">
        <w:rPr>
          <w:rFonts w:ascii="Book Antiqua" w:hAnsi="Book Antiqua"/>
          <w:b/>
          <w:sz w:val="24"/>
          <w:szCs w:val="24"/>
          <w:lang w:val="en-US"/>
        </w:rPr>
        <w:t>Love MI</w:t>
      </w:r>
      <w:r w:rsidRPr="00A234EE">
        <w:rPr>
          <w:rFonts w:ascii="Book Antiqua" w:hAnsi="Book Antiqua"/>
          <w:sz w:val="24"/>
          <w:szCs w:val="24"/>
          <w:lang w:val="en-US"/>
        </w:rPr>
        <w:t xml:space="preserve">, Huber W, Anders S. Moderated estimation of fold change and  dispersion for RNA-seq data with DESeq2. </w:t>
      </w:r>
      <w:r w:rsidRPr="00A234EE">
        <w:rPr>
          <w:rFonts w:ascii="Book Antiqua" w:hAnsi="Book Antiqua"/>
          <w:i/>
          <w:sz w:val="24"/>
          <w:szCs w:val="24"/>
          <w:lang w:val="en-US"/>
        </w:rPr>
        <w:t>Genome Biol</w:t>
      </w:r>
      <w:r w:rsidRPr="00A234EE">
        <w:rPr>
          <w:rFonts w:ascii="Book Antiqua" w:hAnsi="Book Antiqua"/>
          <w:sz w:val="24"/>
          <w:szCs w:val="24"/>
          <w:lang w:val="en-US"/>
        </w:rPr>
        <w:t xml:space="preserve"> 2014; </w:t>
      </w:r>
      <w:r w:rsidRPr="00A234EE">
        <w:rPr>
          <w:rFonts w:ascii="Book Antiqua" w:hAnsi="Book Antiqua"/>
          <w:b/>
          <w:sz w:val="24"/>
          <w:szCs w:val="24"/>
          <w:lang w:val="en-US"/>
        </w:rPr>
        <w:t>15</w:t>
      </w:r>
      <w:r w:rsidRPr="00A234EE">
        <w:rPr>
          <w:rFonts w:ascii="Book Antiqua" w:hAnsi="Book Antiqua"/>
          <w:sz w:val="24"/>
          <w:szCs w:val="24"/>
          <w:lang w:val="en-US"/>
        </w:rPr>
        <w:t>: 550 [PMID: 25516281 DOI: 10.1186/s13059-014-0550-8]</w:t>
      </w:r>
    </w:p>
    <w:p w14:paraId="1B9C7DDF"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25 </w:t>
      </w:r>
      <w:r w:rsidRPr="00A234EE">
        <w:rPr>
          <w:rFonts w:ascii="Book Antiqua" w:hAnsi="Book Antiqua"/>
          <w:b/>
          <w:sz w:val="24"/>
          <w:szCs w:val="24"/>
          <w:lang w:val="en-US"/>
        </w:rPr>
        <w:t>Langhi C</w:t>
      </w:r>
      <w:r w:rsidRPr="00A234EE">
        <w:rPr>
          <w:rFonts w:ascii="Book Antiqua" w:hAnsi="Book Antiqua"/>
          <w:sz w:val="24"/>
          <w:szCs w:val="24"/>
          <w:lang w:val="en-US"/>
        </w:rPr>
        <w:t xml:space="preserve">, Baldán Á. CIDEC/FSP27 is regulated by peroxisome proliferator-activated receptor alpha and plays a critical role in fasting- and diet-induced hepatosteatosis. </w:t>
      </w:r>
      <w:r w:rsidRPr="00A234EE">
        <w:rPr>
          <w:rFonts w:ascii="Book Antiqua" w:hAnsi="Book Antiqua"/>
          <w:i/>
          <w:sz w:val="24"/>
          <w:szCs w:val="24"/>
          <w:lang w:val="en-US"/>
        </w:rPr>
        <w:t>Hepatology</w:t>
      </w:r>
      <w:r w:rsidRPr="00A234EE">
        <w:rPr>
          <w:rFonts w:ascii="Book Antiqua" w:hAnsi="Book Antiqua"/>
          <w:sz w:val="24"/>
          <w:szCs w:val="24"/>
          <w:lang w:val="en-US"/>
        </w:rPr>
        <w:t xml:space="preserve"> 2015; </w:t>
      </w:r>
      <w:r w:rsidRPr="00A234EE">
        <w:rPr>
          <w:rFonts w:ascii="Book Antiqua" w:hAnsi="Book Antiqua"/>
          <w:b/>
          <w:sz w:val="24"/>
          <w:szCs w:val="24"/>
          <w:lang w:val="en-US"/>
        </w:rPr>
        <w:t>61</w:t>
      </w:r>
      <w:r w:rsidRPr="00A234EE">
        <w:rPr>
          <w:rFonts w:ascii="Book Antiqua" w:hAnsi="Book Antiqua"/>
          <w:sz w:val="24"/>
          <w:szCs w:val="24"/>
          <w:lang w:val="en-US"/>
        </w:rPr>
        <w:t>: 1227-1238 [PMID: 25418138 DOI: 10.1002/hep.27607]</w:t>
      </w:r>
    </w:p>
    <w:p w14:paraId="5D959FC3"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26 </w:t>
      </w:r>
      <w:r w:rsidRPr="00A234EE">
        <w:rPr>
          <w:rFonts w:ascii="Book Antiqua" w:hAnsi="Book Antiqua"/>
          <w:b/>
          <w:sz w:val="24"/>
          <w:szCs w:val="24"/>
          <w:lang w:val="en-US"/>
        </w:rPr>
        <w:t>Trevaskis JL</w:t>
      </w:r>
      <w:r w:rsidRPr="00A234EE">
        <w:rPr>
          <w:rFonts w:ascii="Book Antiqua" w:hAnsi="Book Antiqua"/>
          <w:sz w:val="24"/>
          <w:szCs w:val="24"/>
          <w:lang w:val="en-US"/>
        </w:rPr>
        <w:t xml:space="preserve">, Griffin PS, Wittmer C, Neuschwander-Tetri BA, Brunt EM, Dolman CS, Erickson MR, Napora J, Parkes DG, Roth JD. Glucagon-like peptide-1 receptor agonism improves metabolic, biochemical, and histopathological indices of nonalcoholic steatohepatitis in mice. </w:t>
      </w:r>
      <w:r w:rsidRPr="00A234EE">
        <w:rPr>
          <w:rFonts w:ascii="Book Antiqua" w:hAnsi="Book Antiqua"/>
          <w:i/>
          <w:sz w:val="24"/>
          <w:szCs w:val="24"/>
          <w:lang w:val="en-US"/>
        </w:rPr>
        <w:t>Am J Physiol Gastrointest Liver Physiol</w:t>
      </w:r>
      <w:r w:rsidRPr="00A234EE">
        <w:rPr>
          <w:rFonts w:ascii="Book Antiqua" w:hAnsi="Book Antiqua"/>
          <w:sz w:val="24"/>
          <w:szCs w:val="24"/>
          <w:lang w:val="en-US"/>
        </w:rPr>
        <w:t xml:space="preserve"> 2012; </w:t>
      </w:r>
      <w:r w:rsidRPr="00A234EE">
        <w:rPr>
          <w:rFonts w:ascii="Book Antiqua" w:hAnsi="Book Antiqua"/>
          <w:b/>
          <w:sz w:val="24"/>
          <w:szCs w:val="24"/>
          <w:lang w:val="en-US"/>
        </w:rPr>
        <w:t>302</w:t>
      </w:r>
      <w:r w:rsidRPr="00A234EE">
        <w:rPr>
          <w:rFonts w:ascii="Book Antiqua" w:hAnsi="Book Antiqua"/>
          <w:sz w:val="24"/>
          <w:szCs w:val="24"/>
          <w:lang w:val="en-US"/>
        </w:rPr>
        <w:t>: G762-G772 [PMID: 22268099 DOI: 10.1152/ajpgi.00476.2011]</w:t>
      </w:r>
    </w:p>
    <w:p w14:paraId="501EEE2E"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27 </w:t>
      </w:r>
      <w:r w:rsidRPr="00A234EE">
        <w:rPr>
          <w:rFonts w:ascii="Book Antiqua" w:hAnsi="Book Antiqua"/>
          <w:b/>
          <w:sz w:val="24"/>
          <w:szCs w:val="24"/>
          <w:lang w:val="en-US"/>
        </w:rPr>
        <w:t>Liang W</w:t>
      </w:r>
      <w:r w:rsidRPr="00A234EE">
        <w:rPr>
          <w:rFonts w:ascii="Book Antiqua" w:hAnsi="Book Antiqua"/>
          <w:sz w:val="24"/>
          <w:szCs w:val="24"/>
          <w:lang w:val="en-US"/>
        </w:rPr>
        <w:t xml:space="preserve">, Lindeman JH, Menke AL, Koonen DP, Morrison M, Havekes LM, van den Hoek AM, Kleemann R. Metabolically induced liver inflammation leads to NASH and </w:t>
      </w:r>
      <w:r w:rsidRPr="00A234EE">
        <w:rPr>
          <w:rFonts w:ascii="Book Antiqua" w:hAnsi="Book Antiqua"/>
          <w:sz w:val="24"/>
          <w:szCs w:val="24"/>
          <w:lang w:val="en-US"/>
        </w:rPr>
        <w:lastRenderedPageBreak/>
        <w:t>differs from LPS- or IL-1</w:t>
      </w:r>
      <w:r w:rsidRPr="00A234EE">
        <w:rPr>
          <w:rFonts w:ascii="Book Antiqua" w:hAnsi="Book Antiqua"/>
          <w:sz w:val="24"/>
          <w:szCs w:val="24"/>
        </w:rPr>
        <w:t>β</w:t>
      </w:r>
      <w:r w:rsidRPr="00A234EE">
        <w:rPr>
          <w:rFonts w:ascii="Book Antiqua" w:hAnsi="Book Antiqua"/>
          <w:sz w:val="24"/>
          <w:szCs w:val="24"/>
          <w:lang w:val="en-US"/>
        </w:rPr>
        <w:t xml:space="preserve">-induced chronic inflammation. </w:t>
      </w:r>
      <w:r w:rsidRPr="00A234EE">
        <w:rPr>
          <w:rFonts w:ascii="Book Antiqua" w:hAnsi="Book Antiqua"/>
          <w:i/>
          <w:sz w:val="24"/>
          <w:szCs w:val="24"/>
          <w:lang w:val="en-US"/>
        </w:rPr>
        <w:t>Lab Invest</w:t>
      </w:r>
      <w:r w:rsidRPr="00A234EE">
        <w:rPr>
          <w:rFonts w:ascii="Book Antiqua" w:hAnsi="Book Antiqua"/>
          <w:sz w:val="24"/>
          <w:szCs w:val="24"/>
          <w:lang w:val="en-US"/>
        </w:rPr>
        <w:t xml:space="preserve"> 2014; </w:t>
      </w:r>
      <w:r w:rsidRPr="00A234EE">
        <w:rPr>
          <w:rFonts w:ascii="Book Antiqua" w:hAnsi="Book Antiqua"/>
          <w:b/>
          <w:sz w:val="24"/>
          <w:szCs w:val="24"/>
          <w:lang w:val="en-US"/>
        </w:rPr>
        <w:t>94</w:t>
      </w:r>
      <w:r w:rsidRPr="00A234EE">
        <w:rPr>
          <w:rFonts w:ascii="Book Antiqua" w:hAnsi="Book Antiqua"/>
          <w:sz w:val="24"/>
          <w:szCs w:val="24"/>
          <w:lang w:val="en-US"/>
        </w:rPr>
        <w:t>: 491-502 [PMID: 24566933 DOI: 10.1038/labinvest.2014.11]</w:t>
      </w:r>
    </w:p>
    <w:p w14:paraId="4DA43B98"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28 </w:t>
      </w:r>
      <w:r w:rsidRPr="00A234EE">
        <w:rPr>
          <w:rFonts w:ascii="Book Antiqua" w:hAnsi="Book Antiqua"/>
          <w:b/>
          <w:sz w:val="24"/>
          <w:szCs w:val="24"/>
          <w:lang w:val="en-US"/>
        </w:rPr>
        <w:t>Standish RA</w:t>
      </w:r>
      <w:r w:rsidRPr="00A234EE">
        <w:rPr>
          <w:rFonts w:ascii="Book Antiqua" w:hAnsi="Book Antiqua"/>
          <w:sz w:val="24"/>
          <w:szCs w:val="24"/>
          <w:lang w:val="en-US"/>
        </w:rPr>
        <w:t xml:space="preserve">, Cholongitas E, Dhillon A, Burroughs AK, Dhillon AP. An appraisal of the histopathological assessment of liver fibrosis. </w:t>
      </w:r>
      <w:r w:rsidRPr="00A234EE">
        <w:rPr>
          <w:rFonts w:ascii="Book Antiqua" w:hAnsi="Book Antiqua"/>
          <w:i/>
          <w:sz w:val="24"/>
          <w:szCs w:val="24"/>
          <w:lang w:val="en-US"/>
        </w:rPr>
        <w:t>Gut</w:t>
      </w:r>
      <w:r w:rsidRPr="00A234EE">
        <w:rPr>
          <w:rFonts w:ascii="Book Antiqua" w:hAnsi="Book Antiqua"/>
          <w:sz w:val="24"/>
          <w:szCs w:val="24"/>
          <w:lang w:val="en-US"/>
        </w:rPr>
        <w:t xml:space="preserve"> 2006; </w:t>
      </w:r>
      <w:r w:rsidRPr="00A234EE">
        <w:rPr>
          <w:rFonts w:ascii="Book Antiqua" w:hAnsi="Book Antiqua"/>
          <w:b/>
          <w:sz w:val="24"/>
          <w:szCs w:val="24"/>
          <w:lang w:val="en-US"/>
        </w:rPr>
        <w:t>55</w:t>
      </w:r>
      <w:r w:rsidRPr="00A234EE">
        <w:rPr>
          <w:rFonts w:ascii="Book Antiqua" w:hAnsi="Book Antiqua"/>
          <w:sz w:val="24"/>
          <w:szCs w:val="24"/>
          <w:lang w:val="en-US"/>
        </w:rPr>
        <w:t>: 569-578 [PMID: 16531536 DOI: 10.1136/gut.2005.084475]</w:t>
      </w:r>
    </w:p>
    <w:p w14:paraId="308F0ABD"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29 </w:t>
      </w:r>
      <w:r w:rsidRPr="00A234EE">
        <w:rPr>
          <w:rFonts w:ascii="Book Antiqua" w:hAnsi="Book Antiqua"/>
          <w:b/>
          <w:sz w:val="24"/>
          <w:szCs w:val="24"/>
          <w:lang w:val="en-US"/>
        </w:rPr>
        <w:t>Angulo P</w:t>
      </w:r>
      <w:r w:rsidRPr="00A234EE">
        <w:rPr>
          <w:rFonts w:ascii="Book Antiqua" w:hAnsi="Book Antiqua"/>
          <w:sz w:val="24"/>
          <w:szCs w:val="24"/>
          <w:lang w:val="en-US"/>
        </w:rPr>
        <w:t xml:space="preserve">, Kleiner DE, Dam-Larsen S, Adams LA, Bjornsson ES, Charatcharoenwitthaya P, Mills PR, Keach JC, Lafferty HD, Stahler A, Haflidadottir S, Bendtsen F. Liver Fibrosis, but No Other Histologic Features, Is Associated With Long-term Outcomes of Patients With Nonalcoholic Fatty Liver Disease. </w:t>
      </w:r>
      <w:r w:rsidRPr="00A234EE">
        <w:rPr>
          <w:rFonts w:ascii="Book Antiqua" w:hAnsi="Book Antiqua"/>
          <w:i/>
          <w:sz w:val="24"/>
          <w:szCs w:val="24"/>
          <w:lang w:val="en-US"/>
        </w:rPr>
        <w:t>Gastroenterology</w:t>
      </w:r>
      <w:r w:rsidRPr="00A234EE">
        <w:rPr>
          <w:rFonts w:ascii="Book Antiqua" w:hAnsi="Book Antiqua"/>
          <w:sz w:val="24"/>
          <w:szCs w:val="24"/>
          <w:lang w:val="en-US"/>
        </w:rPr>
        <w:t xml:space="preserve"> 2015; </w:t>
      </w:r>
      <w:r w:rsidRPr="00A234EE">
        <w:rPr>
          <w:rFonts w:ascii="Book Antiqua" w:hAnsi="Book Antiqua"/>
          <w:b/>
          <w:sz w:val="24"/>
          <w:szCs w:val="24"/>
          <w:lang w:val="en-US"/>
        </w:rPr>
        <w:t>149</w:t>
      </w:r>
      <w:r w:rsidRPr="00A234EE">
        <w:rPr>
          <w:rFonts w:ascii="Book Antiqua" w:hAnsi="Book Antiqua"/>
          <w:sz w:val="24"/>
          <w:szCs w:val="24"/>
          <w:lang w:val="en-US"/>
        </w:rPr>
        <w:t>: 389-97.e10 [PMID: 25935633]</w:t>
      </w:r>
    </w:p>
    <w:p w14:paraId="7A9BCA4D"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30 </w:t>
      </w:r>
      <w:r w:rsidRPr="00A234EE">
        <w:rPr>
          <w:rFonts w:ascii="Book Antiqua" w:hAnsi="Book Antiqua"/>
          <w:b/>
          <w:sz w:val="24"/>
          <w:szCs w:val="24"/>
          <w:lang w:val="en-US"/>
        </w:rPr>
        <w:t>Leeming DJ</w:t>
      </w:r>
      <w:r w:rsidRPr="00A234EE">
        <w:rPr>
          <w:rFonts w:ascii="Book Antiqua" w:hAnsi="Book Antiqua"/>
          <w:sz w:val="24"/>
          <w:szCs w:val="24"/>
          <w:lang w:val="en-US"/>
        </w:rPr>
        <w:t xml:space="preserve">, Byrjalsen I, Jiménez W, Christiansen C, Karsdal MA. Protein fingerprinting of the extracellular matrix remodelling in a rat model of liver fibrosis--a serological evaluation. </w:t>
      </w:r>
      <w:r w:rsidRPr="00A234EE">
        <w:rPr>
          <w:rFonts w:ascii="Book Antiqua" w:hAnsi="Book Antiqua"/>
          <w:i/>
          <w:sz w:val="24"/>
          <w:szCs w:val="24"/>
          <w:lang w:val="en-US"/>
        </w:rPr>
        <w:t>Liver Int</w:t>
      </w:r>
      <w:r w:rsidRPr="00A234EE">
        <w:rPr>
          <w:rFonts w:ascii="Book Antiqua" w:hAnsi="Book Antiqua"/>
          <w:sz w:val="24"/>
          <w:szCs w:val="24"/>
          <w:lang w:val="en-US"/>
        </w:rPr>
        <w:t xml:space="preserve"> 2013; </w:t>
      </w:r>
      <w:r w:rsidRPr="00A234EE">
        <w:rPr>
          <w:rFonts w:ascii="Book Antiqua" w:hAnsi="Book Antiqua"/>
          <w:b/>
          <w:sz w:val="24"/>
          <w:szCs w:val="24"/>
          <w:lang w:val="en-US"/>
        </w:rPr>
        <w:t>33</w:t>
      </w:r>
      <w:r w:rsidRPr="00A234EE">
        <w:rPr>
          <w:rFonts w:ascii="Book Antiqua" w:hAnsi="Book Antiqua"/>
          <w:sz w:val="24"/>
          <w:szCs w:val="24"/>
          <w:lang w:val="en-US"/>
        </w:rPr>
        <w:t>: 439-447 [PMID: 23279004]</w:t>
      </w:r>
    </w:p>
    <w:p w14:paraId="45ACDD6A"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31 </w:t>
      </w:r>
      <w:r w:rsidRPr="00A234EE">
        <w:rPr>
          <w:rFonts w:ascii="Book Antiqua" w:hAnsi="Book Antiqua"/>
          <w:b/>
          <w:sz w:val="24"/>
          <w:szCs w:val="24"/>
          <w:lang w:val="en-US"/>
        </w:rPr>
        <w:t>Chalasani N</w:t>
      </w:r>
      <w:r w:rsidRPr="00A234EE">
        <w:rPr>
          <w:rFonts w:ascii="Book Antiqua" w:hAnsi="Book Antiqua"/>
          <w:sz w:val="24"/>
          <w:szCs w:val="24"/>
          <w:lang w:val="en-US"/>
        </w:rPr>
        <w:t xml:space="preserve">, Wilson L, Kleiner DE, Cummings OW, Brunt EM, Unalp A; NASH Clinical Research Network. Relationship of steatosis grade and zonal location to histological features of steatohepatitis in adult patients with non-alcoholic fatty liver disease. </w:t>
      </w:r>
      <w:r w:rsidRPr="00A234EE">
        <w:rPr>
          <w:rFonts w:ascii="Book Antiqua" w:hAnsi="Book Antiqua"/>
          <w:i/>
          <w:sz w:val="24"/>
          <w:szCs w:val="24"/>
          <w:lang w:val="en-US"/>
        </w:rPr>
        <w:t>J Hepatol</w:t>
      </w:r>
      <w:r w:rsidRPr="00A234EE">
        <w:rPr>
          <w:rFonts w:ascii="Book Antiqua" w:hAnsi="Book Antiqua"/>
          <w:sz w:val="24"/>
          <w:szCs w:val="24"/>
          <w:lang w:val="en-US"/>
        </w:rPr>
        <w:t xml:space="preserve"> 2008; </w:t>
      </w:r>
      <w:r w:rsidRPr="00A234EE">
        <w:rPr>
          <w:rFonts w:ascii="Book Antiqua" w:hAnsi="Book Antiqua"/>
          <w:b/>
          <w:sz w:val="24"/>
          <w:szCs w:val="24"/>
          <w:lang w:val="en-US"/>
        </w:rPr>
        <w:t>48</w:t>
      </w:r>
      <w:r w:rsidRPr="00A234EE">
        <w:rPr>
          <w:rFonts w:ascii="Book Antiqua" w:hAnsi="Book Antiqua"/>
          <w:sz w:val="24"/>
          <w:szCs w:val="24"/>
          <w:lang w:val="en-US"/>
        </w:rPr>
        <w:t>: 829-834 [PMID: 18321606 DOI: 10.1016/j.jhep.2008.01.016]</w:t>
      </w:r>
    </w:p>
    <w:p w14:paraId="13B70580"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32 </w:t>
      </w:r>
      <w:r w:rsidRPr="00A234EE">
        <w:rPr>
          <w:rFonts w:ascii="Book Antiqua" w:hAnsi="Book Antiqua"/>
          <w:b/>
          <w:sz w:val="24"/>
          <w:szCs w:val="24"/>
          <w:lang w:val="en-US"/>
        </w:rPr>
        <w:t>Rosenstengel S</w:t>
      </w:r>
      <w:r w:rsidRPr="00A234EE">
        <w:rPr>
          <w:rFonts w:ascii="Book Antiqua" w:hAnsi="Book Antiqua"/>
          <w:sz w:val="24"/>
          <w:szCs w:val="24"/>
          <w:lang w:val="en-US"/>
        </w:rPr>
        <w:t xml:space="preserve">, Stoeppeler S, Bahde R, Spiegel HU, Palmes D. Type of steatosis influences microcirculation and fibrogenesis in different rat strains. </w:t>
      </w:r>
      <w:r w:rsidRPr="00A234EE">
        <w:rPr>
          <w:rFonts w:ascii="Book Antiqua" w:hAnsi="Book Antiqua"/>
          <w:i/>
          <w:sz w:val="24"/>
          <w:szCs w:val="24"/>
          <w:lang w:val="en-US"/>
        </w:rPr>
        <w:t>J Invest Surg</w:t>
      </w:r>
      <w:r w:rsidRPr="00A234EE">
        <w:rPr>
          <w:rFonts w:ascii="Book Antiqua" w:hAnsi="Book Antiqua"/>
          <w:sz w:val="24"/>
          <w:szCs w:val="24"/>
          <w:lang w:val="en-US"/>
        </w:rPr>
        <w:t xml:space="preserve"> 2011; </w:t>
      </w:r>
      <w:r w:rsidRPr="00A234EE">
        <w:rPr>
          <w:rFonts w:ascii="Book Antiqua" w:hAnsi="Book Antiqua"/>
          <w:b/>
          <w:sz w:val="24"/>
          <w:szCs w:val="24"/>
          <w:lang w:val="en-US"/>
        </w:rPr>
        <w:t>24</w:t>
      </w:r>
      <w:r w:rsidRPr="00A234EE">
        <w:rPr>
          <w:rFonts w:ascii="Book Antiqua" w:hAnsi="Book Antiqua"/>
          <w:sz w:val="24"/>
          <w:szCs w:val="24"/>
          <w:lang w:val="en-US"/>
        </w:rPr>
        <w:t>: 273-282 [PMID: 22047200]</w:t>
      </w:r>
    </w:p>
    <w:p w14:paraId="6F5AB8BE"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33 </w:t>
      </w:r>
      <w:r w:rsidRPr="00A234EE">
        <w:rPr>
          <w:rFonts w:ascii="Book Antiqua" w:hAnsi="Book Antiqua"/>
          <w:b/>
          <w:sz w:val="24"/>
          <w:szCs w:val="24"/>
          <w:lang w:val="en-US"/>
        </w:rPr>
        <w:t>Xie MH</w:t>
      </w:r>
      <w:r w:rsidRPr="00A234EE">
        <w:rPr>
          <w:rFonts w:ascii="Book Antiqua" w:hAnsi="Book Antiqua"/>
          <w:sz w:val="24"/>
          <w:szCs w:val="24"/>
          <w:lang w:val="en-US"/>
        </w:rPr>
        <w:t xml:space="preserve">, Holcomb I, Deuel B, Dowd P, Huang A, Vagts A, Foster J, Liang J, Brush J, Gu Q, Hillan K, Goddard A, Gurney AL. FGF-19, a novel fibroblast growth factor with unique specificity for FGFR4. </w:t>
      </w:r>
      <w:r w:rsidRPr="00A234EE">
        <w:rPr>
          <w:rFonts w:ascii="Book Antiqua" w:hAnsi="Book Antiqua"/>
          <w:i/>
          <w:sz w:val="24"/>
          <w:szCs w:val="24"/>
          <w:lang w:val="en-US"/>
        </w:rPr>
        <w:t>Cytokine</w:t>
      </w:r>
      <w:r w:rsidRPr="00A234EE">
        <w:rPr>
          <w:rFonts w:ascii="Book Antiqua" w:hAnsi="Book Antiqua"/>
          <w:sz w:val="24"/>
          <w:szCs w:val="24"/>
          <w:lang w:val="en-US"/>
        </w:rPr>
        <w:t xml:space="preserve"> 1999; </w:t>
      </w:r>
      <w:r w:rsidRPr="00A234EE">
        <w:rPr>
          <w:rFonts w:ascii="Book Antiqua" w:hAnsi="Book Antiqua"/>
          <w:b/>
          <w:sz w:val="24"/>
          <w:szCs w:val="24"/>
          <w:lang w:val="en-US"/>
        </w:rPr>
        <w:t>11</w:t>
      </w:r>
      <w:r w:rsidRPr="00A234EE">
        <w:rPr>
          <w:rFonts w:ascii="Book Antiqua" w:hAnsi="Book Antiqua"/>
          <w:sz w:val="24"/>
          <w:szCs w:val="24"/>
          <w:lang w:val="en-US"/>
        </w:rPr>
        <w:t>: 729-735 [PMID: 10525310 DOI: 10.1006/cyto.1999.0485]</w:t>
      </w:r>
    </w:p>
    <w:p w14:paraId="066E488A"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34 </w:t>
      </w:r>
      <w:r w:rsidRPr="00A234EE">
        <w:rPr>
          <w:rFonts w:ascii="Book Antiqua" w:hAnsi="Book Antiqua"/>
          <w:b/>
          <w:sz w:val="24"/>
          <w:szCs w:val="24"/>
          <w:lang w:val="en-US"/>
        </w:rPr>
        <w:t>Shin DJ</w:t>
      </w:r>
      <w:r w:rsidRPr="00A234EE">
        <w:rPr>
          <w:rFonts w:ascii="Book Antiqua" w:hAnsi="Book Antiqua"/>
          <w:sz w:val="24"/>
          <w:szCs w:val="24"/>
          <w:lang w:val="en-US"/>
        </w:rPr>
        <w:t xml:space="preserve">, Osborne TF. FGF15/FGFR4 integrates growth factor signaling with hepatic bile acid metabolism and insulin action. </w:t>
      </w:r>
      <w:r w:rsidRPr="00A234EE">
        <w:rPr>
          <w:rFonts w:ascii="Book Antiqua" w:hAnsi="Book Antiqua"/>
          <w:i/>
          <w:sz w:val="24"/>
          <w:szCs w:val="24"/>
          <w:lang w:val="en-US"/>
        </w:rPr>
        <w:t>J Biol Chem</w:t>
      </w:r>
      <w:r w:rsidRPr="00A234EE">
        <w:rPr>
          <w:rFonts w:ascii="Book Antiqua" w:hAnsi="Book Antiqua"/>
          <w:sz w:val="24"/>
          <w:szCs w:val="24"/>
          <w:lang w:val="en-US"/>
        </w:rPr>
        <w:t xml:space="preserve"> 2009; </w:t>
      </w:r>
      <w:r w:rsidRPr="00A234EE">
        <w:rPr>
          <w:rFonts w:ascii="Book Antiqua" w:hAnsi="Book Antiqua"/>
          <w:b/>
          <w:sz w:val="24"/>
          <w:szCs w:val="24"/>
          <w:lang w:val="en-US"/>
        </w:rPr>
        <w:t>284</w:t>
      </w:r>
      <w:r w:rsidRPr="00A234EE">
        <w:rPr>
          <w:rFonts w:ascii="Book Antiqua" w:hAnsi="Book Antiqua"/>
          <w:sz w:val="24"/>
          <w:szCs w:val="24"/>
          <w:lang w:val="en-US"/>
        </w:rPr>
        <w:t>: 11110-11120 [PMID: 19237543 DOI: 10.1074/jbc.M808747200]</w:t>
      </w:r>
    </w:p>
    <w:p w14:paraId="4FE17ED1" w14:textId="77777777" w:rsidR="00482D19"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t xml:space="preserve">35 </w:t>
      </w:r>
      <w:r w:rsidRPr="00A234EE">
        <w:rPr>
          <w:rFonts w:ascii="Book Antiqua" w:hAnsi="Book Antiqua"/>
          <w:b/>
          <w:sz w:val="24"/>
          <w:szCs w:val="24"/>
          <w:lang w:val="en-US"/>
        </w:rPr>
        <w:t>Fu T</w:t>
      </w:r>
      <w:r w:rsidRPr="00A234EE">
        <w:rPr>
          <w:rFonts w:ascii="Book Antiqua" w:hAnsi="Book Antiqua"/>
          <w:sz w:val="24"/>
          <w:szCs w:val="24"/>
          <w:lang w:val="en-US"/>
        </w:rPr>
        <w:t xml:space="preserve">, Kim YC, Byun S, Kim DH, Seok S, Suino-Powell K, Xu HE, Kemper B, Kemper JK. FXR Primes the Liver for Intestinal FGF15 Signaling by Transient Induction of </w:t>
      </w:r>
      <w:r w:rsidRPr="00A234EE">
        <w:rPr>
          <w:rFonts w:ascii="Book Antiqua" w:hAnsi="Book Antiqua"/>
          <w:sz w:val="24"/>
          <w:szCs w:val="24"/>
        </w:rPr>
        <w:t>β</w:t>
      </w:r>
      <w:r w:rsidRPr="00A234EE">
        <w:rPr>
          <w:rFonts w:ascii="Book Antiqua" w:hAnsi="Book Antiqua"/>
          <w:sz w:val="24"/>
          <w:szCs w:val="24"/>
          <w:lang w:val="en-US"/>
        </w:rPr>
        <w:t xml:space="preserve">-Klotho. </w:t>
      </w:r>
      <w:r w:rsidRPr="00A234EE">
        <w:rPr>
          <w:rFonts w:ascii="Book Antiqua" w:hAnsi="Book Antiqua"/>
          <w:i/>
          <w:sz w:val="24"/>
          <w:szCs w:val="24"/>
          <w:lang w:val="en-US"/>
        </w:rPr>
        <w:t>Mol Endocrinol</w:t>
      </w:r>
      <w:r w:rsidRPr="00A234EE">
        <w:rPr>
          <w:rFonts w:ascii="Book Antiqua" w:hAnsi="Book Antiqua"/>
          <w:sz w:val="24"/>
          <w:szCs w:val="24"/>
          <w:lang w:val="en-US"/>
        </w:rPr>
        <w:t xml:space="preserve"> 2016; </w:t>
      </w:r>
      <w:r w:rsidRPr="00A234EE">
        <w:rPr>
          <w:rFonts w:ascii="Book Antiqua" w:hAnsi="Book Antiqua"/>
          <w:b/>
          <w:sz w:val="24"/>
          <w:szCs w:val="24"/>
          <w:lang w:val="en-US"/>
        </w:rPr>
        <w:t>30</w:t>
      </w:r>
      <w:r w:rsidRPr="00A234EE">
        <w:rPr>
          <w:rFonts w:ascii="Book Antiqua" w:hAnsi="Book Antiqua"/>
          <w:sz w:val="24"/>
          <w:szCs w:val="24"/>
          <w:lang w:val="en-US"/>
        </w:rPr>
        <w:t>: 92-103 [PMID: 26505219 DOI: 10.1210/me.2015-1226]</w:t>
      </w:r>
    </w:p>
    <w:p w14:paraId="3D8FD0B0" w14:textId="77777777" w:rsidR="003238D2" w:rsidRPr="00A234EE" w:rsidRDefault="003238D2" w:rsidP="00A234EE">
      <w:pPr>
        <w:adjustRightInd w:val="0"/>
        <w:snapToGrid w:val="0"/>
        <w:spacing w:after="0" w:line="360" w:lineRule="auto"/>
        <w:jc w:val="both"/>
        <w:rPr>
          <w:rFonts w:ascii="Book Antiqua" w:hAnsi="Book Antiqua"/>
          <w:color w:val="000000"/>
          <w:sz w:val="24"/>
          <w:szCs w:val="24"/>
          <w:lang w:val="en-US" w:eastAsia="zh-CN"/>
        </w:rPr>
      </w:pPr>
    </w:p>
    <w:p w14:paraId="7F073439" w14:textId="4D9BE8E5" w:rsidR="0062019A" w:rsidRPr="00A234EE" w:rsidRDefault="0062019A" w:rsidP="00A234EE">
      <w:pPr>
        <w:pStyle w:val="ListParagraph"/>
        <w:adjustRightInd w:val="0"/>
        <w:snapToGrid w:val="0"/>
        <w:spacing w:after="0" w:line="360" w:lineRule="auto"/>
        <w:ind w:left="0" w:firstLineChars="699" w:firstLine="1684"/>
        <w:contextualSpacing w:val="0"/>
        <w:jc w:val="both"/>
        <w:rPr>
          <w:rFonts w:ascii="Book Antiqua" w:eastAsia="SimSun" w:hAnsi="Book Antiqua"/>
          <w:b/>
          <w:bCs/>
          <w:color w:val="000000"/>
          <w:sz w:val="24"/>
          <w:szCs w:val="24"/>
          <w:lang w:eastAsia="zh-CN"/>
        </w:rPr>
      </w:pPr>
      <w:bookmarkStart w:id="40" w:name="OLE_LINK79"/>
      <w:bookmarkStart w:id="41" w:name="OLE_LINK80"/>
      <w:bookmarkStart w:id="42" w:name="OLE_LINK64"/>
      <w:bookmarkStart w:id="43" w:name="OLE_LINK87"/>
      <w:bookmarkStart w:id="44" w:name="OLE_LINK100"/>
      <w:bookmarkStart w:id="45" w:name="OLE_LINK102"/>
      <w:bookmarkStart w:id="46" w:name="OLE_LINK118"/>
      <w:bookmarkStart w:id="47" w:name="OLE_LINK123"/>
      <w:r w:rsidRPr="00A234EE">
        <w:rPr>
          <w:rStyle w:val="Strong"/>
          <w:rFonts w:ascii="Book Antiqua" w:hAnsi="Book Antiqua" w:cs="Arial"/>
          <w:bCs w:val="0"/>
          <w:noProof/>
          <w:color w:val="000000"/>
          <w:sz w:val="24"/>
          <w:szCs w:val="24"/>
        </w:rPr>
        <w:t>P-Reviewer</w:t>
      </w:r>
      <w:r w:rsidRPr="00A234EE">
        <w:rPr>
          <w:rStyle w:val="Strong"/>
          <w:rFonts w:ascii="Book Antiqua" w:eastAsia="SimSun" w:hAnsi="Book Antiqua" w:cs="Arial"/>
          <w:bCs w:val="0"/>
          <w:noProof/>
          <w:color w:val="000000"/>
          <w:sz w:val="24"/>
          <w:szCs w:val="24"/>
          <w:lang w:eastAsia="zh-CN"/>
        </w:rPr>
        <w:t>:</w:t>
      </w:r>
      <w:r w:rsidRPr="00A234EE">
        <w:rPr>
          <w:rFonts w:ascii="Book Antiqua" w:hAnsi="Book Antiqua"/>
          <w:bCs/>
          <w:color w:val="000000"/>
          <w:sz w:val="24"/>
          <w:szCs w:val="24"/>
        </w:rPr>
        <w:t xml:space="preserve"> Murotomi</w:t>
      </w:r>
      <w:r w:rsidRPr="00A234EE">
        <w:rPr>
          <w:rFonts w:ascii="Book Antiqua" w:hAnsi="Book Antiqua"/>
          <w:bCs/>
          <w:color w:val="000000"/>
          <w:sz w:val="24"/>
          <w:szCs w:val="24"/>
          <w:lang w:eastAsia="zh-CN"/>
        </w:rPr>
        <w:t xml:space="preserve"> K, Villela-Nogueira CA </w:t>
      </w:r>
      <w:r w:rsidRPr="00A234EE">
        <w:rPr>
          <w:rFonts w:ascii="Book Antiqua" w:hAnsi="Book Antiqua"/>
          <w:b/>
          <w:bCs/>
          <w:color w:val="000000"/>
          <w:sz w:val="24"/>
          <w:szCs w:val="24"/>
        </w:rPr>
        <w:t>S-Editor</w:t>
      </w:r>
      <w:r w:rsidRPr="00A234EE">
        <w:rPr>
          <w:rFonts w:ascii="Book Antiqua" w:eastAsia="SimSun" w:hAnsi="Book Antiqua"/>
          <w:b/>
          <w:bCs/>
          <w:color w:val="000000"/>
          <w:sz w:val="24"/>
          <w:szCs w:val="24"/>
          <w:lang w:eastAsia="zh-CN"/>
        </w:rPr>
        <w:t>:</w:t>
      </w:r>
      <w:r w:rsidRPr="00A234EE">
        <w:rPr>
          <w:rFonts w:ascii="Book Antiqua" w:hAnsi="Book Antiqua"/>
          <w:bCs/>
          <w:color w:val="000000"/>
          <w:sz w:val="24"/>
          <w:szCs w:val="24"/>
        </w:rPr>
        <w:t xml:space="preserve"> </w:t>
      </w:r>
      <w:r w:rsidRPr="00A234EE">
        <w:rPr>
          <w:rFonts w:ascii="Book Antiqua" w:eastAsia="SimSun" w:hAnsi="Book Antiqua"/>
          <w:bCs/>
          <w:color w:val="000000"/>
          <w:sz w:val="24"/>
          <w:szCs w:val="24"/>
          <w:lang w:eastAsia="zh-CN"/>
        </w:rPr>
        <w:t>Chen K</w:t>
      </w:r>
      <w:r w:rsidRPr="00A234EE">
        <w:rPr>
          <w:rFonts w:ascii="Book Antiqua" w:hAnsi="Book Antiqua"/>
          <w:b/>
          <w:bCs/>
          <w:color w:val="000000"/>
          <w:sz w:val="24"/>
          <w:szCs w:val="24"/>
        </w:rPr>
        <w:t xml:space="preserve">   L-Editor</w:t>
      </w:r>
      <w:r w:rsidRPr="00A234EE">
        <w:rPr>
          <w:rFonts w:ascii="Book Antiqua" w:eastAsia="SimSun" w:hAnsi="Book Antiqua"/>
          <w:b/>
          <w:bCs/>
          <w:color w:val="000000"/>
          <w:sz w:val="24"/>
          <w:szCs w:val="24"/>
          <w:lang w:eastAsia="zh-CN"/>
        </w:rPr>
        <w:t>:</w:t>
      </w:r>
      <w:r w:rsidRPr="00A234EE">
        <w:rPr>
          <w:rFonts w:ascii="Book Antiqua" w:hAnsi="Book Antiqua"/>
          <w:b/>
          <w:bCs/>
          <w:color w:val="000000"/>
          <w:sz w:val="24"/>
          <w:szCs w:val="24"/>
        </w:rPr>
        <w:t xml:space="preserve">   E-Editor</w:t>
      </w:r>
      <w:r w:rsidRPr="00A234EE">
        <w:rPr>
          <w:rFonts w:ascii="Book Antiqua" w:eastAsia="SimSun" w:hAnsi="Book Antiqua"/>
          <w:b/>
          <w:bCs/>
          <w:color w:val="000000"/>
          <w:sz w:val="24"/>
          <w:szCs w:val="24"/>
          <w:lang w:eastAsia="zh-CN"/>
        </w:rPr>
        <w:t>:</w:t>
      </w:r>
    </w:p>
    <w:p w14:paraId="526B640B" w14:textId="77777777" w:rsidR="0062019A" w:rsidRPr="00A234EE" w:rsidRDefault="0062019A" w:rsidP="00A234EE">
      <w:pPr>
        <w:adjustRightInd w:val="0"/>
        <w:snapToGrid w:val="0"/>
        <w:spacing w:after="0" w:line="360" w:lineRule="auto"/>
        <w:jc w:val="both"/>
        <w:rPr>
          <w:rFonts w:ascii="Book Antiqua" w:hAnsi="Book Antiqua" w:cs="Helvetica"/>
          <w:b/>
          <w:sz w:val="24"/>
          <w:szCs w:val="24"/>
          <w:lang w:val="en-US"/>
        </w:rPr>
      </w:pPr>
      <w:r w:rsidRPr="00A234EE">
        <w:rPr>
          <w:rFonts w:ascii="Book Antiqua" w:hAnsi="Book Antiqua" w:cs="Helvetica"/>
          <w:b/>
          <w:sz w:val="24"/>
          <w:szCs w:val="24"/>
          <w:lang w:val="en-US"/>
        </w:rPr>
        <w:t xml:space="preserve">Specialty type: </w:t>
      </w:r>
      <w:r w:rsidRPr="00A234EE">
        <w:rPr>
          <w:rFonts w:ascii="Book Antiqua" w:hAnsi="Book Antiqua" w:cs="Helvetica"/>
          <w:sz w:val="24"/>
          <w:szCs w:val="24"/>
          <w:lang w:val="en-US"/>
        </w:rPr>
        <w:t>Gastroenterology and hepatology</w:t>
      </w:r>
    </w:p>
    <w:p w14:paraId="7CE9E511" w14:textId="1DD944DB" w:rsidR="0062019A" w:rsidRPr="00A234EE" w:rsidRDefault="0062019A" w:rsidP="00A234EE">
      <w:pPr>
        <w:adjustRightInd w:val="0"/>
        <w:snapToGrid w:val="0"/>
        <w:spacing w:after="0" w:line="360" w:lineRule="auto"/>
        <w:jc w:val="both"/>
        <w:rPr>
          <w:rFonts w:ascii="Book Antiqua" w:hAnsi="Book Antiqua" w:cs="Helvetica"/>
          <w:sz w:val="24"/>
          <w:szCs w:val="24"/>
          <w:lang w:val="en-US"/>
        </w:rPr>
      </w:pPr>
      <w:r w:rsidRPr="00A234EE">
        <w:rPr>
          <w:rFonts w:ascii="Book Antiqua" w:hAnsi="Book Antiqua" w:cs="Helvetica"/>
          <w:b/>
          <w:sz w:val="24"/>
          <w:szCs w:val="24"/>
          <w:lang w:val="en-US"/>
        </w:rPr>
        <w:t xml:space="preserve">Country of origin: </w:t>
      </w:r>
      <w:r w:rsidRPr="00A234EE">
        <w:rPr>
          <w:rFonts w:ascii="Book Antiqua" w:hAnsi="Book Antiqua" w:cs="Helvetica"/>
          <w:sz w:val="24"/>
          <w:szCs w:val="24"/>
          <w:lang w:val="en-US"/>
        </w:rPr>
        <w:t>United States</w:t>
      </w:r>
    </w:p>
    <w:p w14:paraId="3405ACAC" w14:textId="77777777" w:rsidR="0062019A" w:rsidRPr="00A234EE" w:rsidRDefault="0062019A" w:rsidP="00A234EE">
      <w:pPr>
        <w:adjustRightInd w:val="0"/>
        <w:snapToGrid w:val="0"/>
        <w:spacing w:after="0" w:line="360" w:lineRule="auto"/>
        <w:jc w:val="both"/>
        <w:rPr>
          <w:rFonts w:ascii="Book Antiqua" w:hAnsi="Book Antiqua" w:cs="Helvetica"/>
          <w:b/>
          <w:sz w:val="24"/>
          <w:szCs w:val="24"/>
          <w:lang w:val="en-US"/>
        </w:rPr>
      </w:pPr>
      <w:r w:rsidRPr="00A234EE">
        <w:rPr>
          <w:rFonts w:ascii="Book Antiqua" w:hAnsi="Book Antiqua" w:cs="Helvetica"/>
          <w:b/>
          <w:sz w:val="24"/>
          <w:szCs w:val="24"/>
          <w:lang w:val="en-US"/>
        </w:rPr>
        <w:t>Peer-review report classification</w:t>
      </w:r>
    </w:p>
    <w:p w14:paraId="58BE00C0" w14:textId="77777777" w:rsidR="0062019A" w:rsidRPr="00A234EE" w:rsidRDefault="0062019A" w:rsidP="00A234EE">
      <w:pPr>
        <w:adjustRightInd w:val="0"/>
        <w:snapToGrid w:val="0"/>
        <w:spacing w:after="0" w:line="360" w:lineRule="auto"/>
        <w:jc w:val="both"/>
        <w:rPr>
          <w:rFonts w:ascii="Book Antiqua" w:hAnsi="Book Antiqua" w:cs="Helvetica"/>
          <w:sz w:val="24"/>
          <w:szCs w:val="24"/>
          <w:lang w:val="en-US"/>
        </w:rPr>
      </w:pPr>
      <w:r w:rsidRPr="00A234EE">
        <w:rPr>
          <w:rFonts w:ascii="Book Antiqua" w:hAnsi="Book Antiqua" w:cs="Helvetica"/>
          <w:sz w:val="24"/>
          <w:szCs w:val="24"/>
          <w:lang w:val="en-US"/>
        </w:rPr>
        <w:t>Grade A (Excellent): 0</w:t>
      </w:r>
    </w:p>
    <w:p w14:paraId="0C2F9D6B" w14:textId="708FEA8B" w:rsidR="0062019A" w:rsidRPr="00A234EE" w:rsidRDefault="0062019A" w:rsidP="00A234EE">
      <w:pPr>
        <w:adjustRightInd w:val="0"/>
        <w:snapToGrid w:val="0"/>
        <w:spacing w:after="0" w:line="360" w:lineRule="auto"/>
        <w:jc w:val="both"/>
        <w:rPr>
          <w:rFonts w:ascii="Book Antiqua" w:hAnsi="Book Antiqua" w:cs="Helvetica"/>
          <w:sz w:val="24"/>
          <w:szCs w:val="24"/>
          <w:lang w:val="en-US" w:eastAsia="zh-CN"/>
        </w:rPr>
      </w:pPr>
      <w:r w:rsidRPr="00A234EE">
        <w:rPr>
          <w:rFonts w:ascii="Book Antiqua" w:hAnsi="Book Antiqua" w:cs="Helvetica"/>
          <w:sz w:val="24"/>
          <w:szCs w:val="24"/>
          <w:lang w:val="en-US"/>
        </w:rPr>
        <w:t xml:space="preserve">Grade B (Very good): </w:t>
      </w:r>
      <w:r w:rsidRPr="00A234EE">
        <w:rPr>
          <w:rFonts w:ascii="Book Antiqua" w:hAnsi="Book Antiqua" w:cs="Helvetica"/>
          <w:sz w:val="24"/>
          <w:szCs w:val="24"/>
          <w:lang w:val="en-US" w:eastAsia="zh-CN"/>
        </w:rPr>
        <w:t>B, B</w:t>
      </w:r>
    </w:p>
    <w:p w14:paraId="19B6D948" w14:textId="77777777" w:rsidR="0062019A" w:rsidRPr="00A234EE" w:rsidRDefault="0062019A" w:rsidP="00A234EE">
      <w:pPr>
        <w:adjustRightInd w:val="0"/>
        <w:snapToGrid w:val="0"/>
        <w:spacing w:after="0" w:line="360" w:lineRule="auto"/>
        <w:jc w:val="both"/>
        <w:rPr>
          <w:rFonts w:ascii="Book Antiqua" w:hAnsi="Book Antiqua" w:cs="Helvetica"/>
          <w:sz w:val="24"/>
          <w:szCs w:val="24"/>
          <w:lang w:val="en-US"/>
        </w:rPr>
      </w:pPr>
      <w:r w:rsidRPr="00A234EE">
        <w:rPr>
          <w:rFonts w:ascii="Book Antiqua" w:hAnsi="Book Antiqua" w:cs="Helvetica"/>
          <w:sz w:val="24"/>
          <w:szCs w:val="24"/>
          <w:lang w:val="en-US"/>
        </w:rPr>
        <w:t>Grade C (Good): 0</w:t>
      </w:r>
    </w:p>
    <w:p w14:paraId="16BA569B" w14:textId="77777777" w:rsidR="0062019A" w:rsidRPr="00A234EE" w:rsidRDefault="0062019A" w:rsidP="00A234EE">
      <w:pPr>
        <w:adjustRightInd w:val="0"/>
        <w:snapToGrid w:val="0"/>
        <w:spacing w:after="0" w:line="360" w:lineRule="auto"/>
        <w:jc w:val="both"/>
        <w:rPr>
          <w:rFonts w:ascii="Book Antiqua" w:hAnsi="Book Antiqua" w:cs="Helvetica"/>
          <w:sz w:val="24"/>
          <w:szCs w:val="24"/>
          <w:lang w:val="en-US"/>
        </w:rPr>
      </w:pPr>
      <w:r w:rsidRPr="00A234EE">
        <w:rPr>
          <w:rFonts w:ascii="Book Antiqua" w:hAnsi="Book Antiqua" w:cs="Helvetica"/>
          <w:sz w:val="24"/>
          <w:szCs w:val="24"/>
          <w:lang w:val="en-US"/>
        </w:rPr>
        <w:t>Grade D (Fair): 0</w:t>
      </w:r>
    </w:p>
    <w:p w14:paraId="05993BAC" w14:textId="77777777" w:rsidR="0062019A" w:rsidRPr="00A234EE" w:rsidRDefault="0062019A" w:rsidP="00A234EE">
      <w:pPr>
        <w:adjustRightInd w:val="0"/>
        <w:snapToGrid w:val="0"/>
        <w:spacing w:after="0" w:line="360" w:lineRule="auto"/>
        <w:jc w:val="both"/>
        <w:rPr>
          <w:rFonts w:ascii="Book Antiqua" w:hAnsi="Book Antiqua" w:cs="Helvetica"/>
          <w:sz w:val="24"/>
          <w:szCs w:val="24"/>
        </w:rPr>
      </w:pPr>
      <w:r w:rsidRPr="00A234EE">
        <w:rPr>
          <w:rFonts w:ascii="Book Antiqua" w:hAnsi="Book Antiqua" w:cs="Helvetica"/>
          <w:sz w:val="24"/>
          <w:szCs w:val="24"/>
        </w:rPr>
        <w:t>Grade E (Poor): 0</w:t>
      </w:r>
      <w:bookmarkEnd w:id="40"/>
      <w:bookmarkEnd w:id="41"/>
      <w:bookmarkEnd w:id="42"/>
    </w:p>
    <w:bookmarkEnd w:id="43"/>
    <w:bookmarkEnd w:id="44"/>
    <w:bookmarkEnd w:id="45"/>
    <w:bookmarkEnd w:id="46"/>
    <w:bookmarkEnd w:id="47"/>
    <w:p w14:paraId="61A466E6" w14:textId="77777777" w:rsidR="0062019A" w:rsidRPr="00A234EE" w:rsidRDefault="0062019A" w:rsidP="00A234EE">
      <w:pPr>
        <w:adjustRightInd w:val="0"/>
        <w:snapToGrid w:val="0"/>
        <w:spacing w:after="0" w:line="360" w:lineRule="auto"/>
        <w:jc w:val="both"/>
        <w:rPr>
          <w:rFonts w:ascii="Book Antiqua" w:hAnsi="Book Antiqua"/>
          <w:color w:val="000000"/>
          <w:sz w:val="24"/>
          <w:szCs w:val="24"/>
          <w:lang w:eastAsia="zh-CN"/>
        </w:rPr>
      </w:pPr>
    </w:p>
    <w:p w14:paraId="7C1EDE26" w14:textId="77777777" w:rsidR="006A0FF6" w:rsidRPr="00A234EE" w:rsidRDefault="006A0FF6" w:rsidP="00A234EE">
      <w:pPr>
        <w:adjustRightInd w:val="0"/>
        <w:snapToGrid w:val="0"/>
        <w:spacing w:after="0" w:line="360" w:lineRule="auto"/>
        <w:jc w:val="both"/>
        <w:rPr>
          <w:rFonts w:ascii="Book Antiqua" w:hAnsi="Book Antiqua"/>
          <w:color w:val="000000"/>
          <w:sz w:val="24"/>
          <w:szCs w:val="24"/>
          <w:lang w:val="en-US"/>
        </w:rPr>
      </w:pPr>
      <w:r w:rsidRPr="00A234EE">
        <w:rPr>
          <w:rFonts w:ascii="Book Antiqua" w:hAnsi="Book Antiqua"/>
          <w:color w:val="000000"/>
          <w:sz w:val="24"/>
          <w:szCs w:val="24"/>
          <w:lang w:val="en-US"/>
        </w:rPr>
        <w:br w:type="page"/>
      </w:r>
    </w:p>
    <w:p w14:paraId="7A3DCC5C" w14:textId="74E4EEAB" w:rsidR="00E17977" w:rsidRPr="00A234EE" w:rsidRDefault="00F4058E" w:rsidP="00A234EE">
      <w:pPr>
        <w:adjustRightInd w:val="0"/>
        <w:snapToGrid w:val="0"/>
        <w:spacing w:after="0" w:line="360" w:lineRule="auto"/>
        <w:jc w:val="both"/>
        <w:rPr>
          <w:rFonts w:ascii="Book Antiqua" w:hAnsi="Book Antiqua"/>
          <w:b/>
          <w:sz w:val="24"/>
          <w:szCs w:val="24"/>
          <w:lang w:val="en-US" w:eastAsia="zh-CN"/>
        </w:rPr>
      </w:pPr>
      <w:r w:rsidRPr="00A234EE">
        <w:rPr>
          <w:rFonts w:ascii="Book Antiqua" w:hAnsi="Book Antiqua"/>
          <w:noProof/>
          <w:sz w:val="24"/>
          <w:szCs w:val="24"/>
          <w:lang w:val="en-US" w:eastAsia="zh-CN"/>
        </w:rPr>
        <w:lastRenderedPageBreak/>
        <mc:AlternateContent>
          <mc:Choice Requires="wps">
            <w:drawing>
              <wp:anchor distT="0" distB="0" distL="114300" distR="114300" simplePos="0" relativeHeight="251699200" behindDoc="0" locked="0" layoutInCell="1" allowOverlap="1" wp14:anchorId="24E275EC" wp14:editId="0EA17EFF">
                <wp:simplePos x="0" y="0"/>
                <wp:positionH relativeFrom="column">
                  <wp:posOffset>-2724150</wp:posOffset>
                </wp:positionH>
                <wp:positionV relativeFrom="paragraph">
                  <wp:posOffset>462915</wp:posOffset>
                </wp:positionV>
                <wp:extent cx="273050" cy="279400"/>
                <wp:effectExtent l="0" t="0" r="12700" b="25400"/>
                <wp:wrapNone/>
                <wp:docPr id="6" name="文本框 6"/>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19DD8" w14:textId="613B7F4B" w:rsidR="005659DC" w:rsidRDefault="005659DC" w:rsidP="00F4058E">
                            <w:pPr>
                              <w:rPr>
                                <w:lang w:eastAsia="zh-CN"/>
                              </w:rPr>
                            </w:pPr>
                            <w:r>
                              <w:rPr>
                                <w:rFonts w:hint="eastAsia"/>
                                <w:lang w:eastAsia="zh-CN"/>
                              </w:rPr>
                              <w:t>e</w:t>
                            </w:r>
                            <w:r>
                              <w:rPr>
                                <w:rFonts w:hint="eastAsia"/>
                                <w:noProof/>
                                <w:lang w:val="en-US" w:eastAsia="zh-CN"/>
                              </w:rPr>
                              <w:drawing>
                                <wp:inline distT="0" distB="0" distL="0" distR="0" wp14:anchorId="60FEBB03" wp14:editId="1B74C7F9">
                                  <wp:extent cx="83820" cy="86308"/>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86308"/>
                                          </a:xfrm>
                                          <a:prstGeom prst="rect">
                                            <a:avLst/>
                                          </a:prstGeom>
                                          <a:noFill/>
                                          <a:ln>
                                            <a:noFill/>
                                          </a:ln>
                                        </pic:spPr>
                                      </pic:pic>
                                    </a:graphicData>
                                  </a:graphic>
                                </wp:inline>
                              </w:drawing>
                            </w:r>
                            <w:r>
                              <w:rPr>
                                <w:rFonts w:hint="eastAsia"/>
                                <w:noProof/>
                                <w:lang w:val="en-US" w:eastAsia="zh-CN"/>
                              </w:rPr>
                              <w:drawing>
                                <wp:inline distT="0" distB="0" distL="0" distR="0" wp14:anchorId="60AC16EE" wp14:editId="5C5C3B7C">
                                  <wp:extent cx="83820" cy="8572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 cy="85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E275EC" id="_x0000_t202" coordsize="21600,21600" o:spt="202" path="m,l,21600r21600,l21600,xe">
                <v:stroke joinstyle="miter"/>
                <v:path gradientshapeok="t" o:connecttype="rect"/>
              </v:shapetype>
              <v:shape id="文本框 6" o:spid="_x0000_s1026" type="#_x0000_t202" style="position:absolute;left:0;text-align:left;margin-left:-214.5pt;margin-top:36.45pt;width:21.5pt;height: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" fillcolor="white [3201]" strokeweight=".5pt">
                <v:textbox>
                  <w:txbxContent>
                    <w:p w14:paraId="60A19DD8" w14:textId="613B7F4B" w:rsidR="005659DC" w:rsidRDefault="005659DC" w:rsidP="00F4058E">
                      <w:pPr>
                        <w:rPr>
                          <w:lang w:eastAsia="zh-CN"/>
                        </w:rPr>
                      </w:pPr>
                      <w:r>
                        <w:rPr>
                          <w:rFonts w:hint="eastAsia"/>
                          <w:lang w:eastAsia="zh-CN"/>
                        </w:rPr>
                        <w:t>e</w:t>
                      </w:r>
                      <w:r>
                        <w:rPr>
                          <w:rFonts w:hint="eastAsia"/>
                          <w:noProof/>
                          <w:lang w:val="en-US" w:eastAsia="zh-CN"/>
                        </w:rPr>
                        <w:drawing>
                          <wp:inline distT="0" distB="0" distL="0" distR="0" wp14:anchorId="60FEBB03" wp14:editId="1B74C7F9">
                            <wp:extent cx="83820" cy="86308"/>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86308"/>
                                    </a:xfrm>
                                    <a:prstGeom prst="rect">
                                      <a:avLst/>
                                    </a:prstGeom>
                                    <a:noFill/>
                                    <a:ln>
                                      <a:noFill/>
                                    </a:ln>
                                  </pic:spPr>
                                </pic:pic>
                              </a:graphicData>
                            </a:graphic>
                          </wp:inline>
                        </w:drawing>
                      </w:r>
                      <w:r>
                        <w:rPr>
                          <w:rFonts w:hint="eastAsia"/>
                          <w:noProof/>
                          <w:lang w:val="en-US" w:eastAsia="zh-CN"/>
                        </w:rPr>
                        <w:drawing>
                          <wp:inline distT="0" distB="0" distL="0" distR="0" wp14:anchorId="60AC16EE" wp14:editId="5C5C3B7C">
                            <wp:extent cx="83820" cy="8572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 cy="85725"/>
                                    </a:xfrm>
                                    <a:prstGeom prst="rect">
                                      <a:avLst/>
                                    </a:prstGeom>
                                    <a:noFill/>
                                    <a:ln>
                                      <a:noFill/>
                                    </a:ln>
                                  </pic:spPr>
                                </pic:pic>
                              </a:graphicData>
                            </a:graphic>
                          </wp:inline>
                        </w:drawing>
                      </w:r>
                    </w:p>
                  </w:txbxContent>
                </v:textbox>
              </v:shape>
            </w:pict>
          </mc:Fallback>
        </mc:AlternateContent>
      </w:r>
      <w:r w:rsidRPr="00A234EE">
        <w:rPr>
          <w:rFonts w:ascii="Book Antiqua" w:hAnsi="Book Antiqua"/>
          <w:noProof/>
          <w:sz w:val="24"/>
          <w:szCs w:val="24"/>
          <w:lang w:val="en-US" w:eastAsia="zh-CN"/>
        </w:rPr>
        <mc:AlternateContent>
          <mc:Choice Requires="wps">
            <w:drawing>
              <wp:anchor distT="0" distB="0" distL="114300" distR="114300" simplePos="0" relativeHeight="251697152" behindDoc="0" locked="0" layoutInCell="1" allowOverlap="1" wp14:anchorId="0C7F8DD7" wp14:editId="05E4EF9D">
                <wp:simplePos x="0" y="0"/>
                <wp:positionH relativeFrom="column">
                  <wp:posOffset>-3632200</wp:posOffset>
                </wp:positionH>
                <wp:positionV relativeFrom="paragraph">
                  <wp:posOffset>462915</wp:posOffset>
                </wp:positionV>
                <wp:extent cx="273050" cy="279400"/>
                <wp:effectExtent l="0" t="0" r="12700" b="25400"/>
                <wp:wrapNone/>
                <wp:docPr id="4" name="文本框 4"/>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2DEA0" w14:textId="3AC9159B" w:rsidR="005659DC" w:rsidRDefault="005659DC">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F8DD7" id="文本框 4" o:spid="_x0000_s1027" type="#_x0000_t202" style="position:absolute;left:0;text-align:left;margin-left:-286pt;margin-top:36.45pt;width:21.5pt;height:2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" fillcolor="white [3201]" strokeweight=".5pt">
                <v:textbox>
                  <w:txbxContent>
                    <w:p w14:paraId="1362DEA0" w14:textId="3AC9159B" w:rsidR="005659DC" w:rsidRDefault="005659DC">
                      <w:pPr>
                        <w:rPr>
                          <w:lang w:eastAsia="zh-CN"/>
                        </w:rPr>
                      </w:pPr>
                      <w:r>
                        <w:rPr>
                          <w:rFonts w:hint="eastAsia"/>
                          <w:lang w:eastAsia="zh-CN"/>
                        </w:rPr>
                        <w:t>a</w:t>
                      </w:r>
                    </w:p>
                  </w:txbxContent>
                </v:textbox>
              </v:shape>
            </w:pict>
          </mc:Fallback>
        </mc:AlternateContent>
      </w:r>
      <w:r w:rsidR="2FCCB97E" w:rsidRPr="00A234EE">
        <w:rPr>
          <w:rFonts w:ascii="Book Antiqua" w:hAnsi="Book Antiqua"/>
          <w:sz w:val="24"/>
          <w:szCs w:val="24"/>
          <w:lang w:val="en-US"/>
        </w:rPr>
        <w:t xml:space="preserve"> </w:t>
      </w:r>
      <w:r w:rsidR="00A367D9" w:rsidRPr="00A234EE">
        <w:rPr>
          <w:rFonts w:ascii="Book Antiqua" w:hAnsi="Book Antiqua"/>
          <w:noProof/>
          <w:sz w:val="24"/>
          <w:szCs w:val="24"/>
          <w:lang w:val="en-US" w:eastAsia="zh-CN"/>
        </w:rPr>
        <w:drawing>
          <wp:anchor distT="0" distB="0" distL="114300" distR="114300" simplePos="0" relativeHeight="251676672" behindDoc="1" locked="0" layoutInCell="1" allowOverlap="1" wp14:anchorId="0B57968D" wp14:editId="03F9B9C7">
            <wp:simplePos x="0" y="0"/>
            <wp:positionH relativeFrom="column">
              <wp:posOffset>-655955</wp:posOffset>
            </wp:positionH>
            <wp:positionV relativeFrom="paragraph">
              <wp:posOffset>0</wp:posOffset>
            </wp:positionV>
            <wp:extent cx="7156450" cy="3791585"/>
            <wp:effectExtent l="0" t="0" r="6350" b="0"/>
            <wp:wrapTight wrapText="bothSides">
              <wp:wrapPolygon edited="0">
                <wp:start x="747" y="326"/>
                <wp:lineTo x="690" y="1302"/>
                <wp:lineTo x="1897" y="2279"/>
                <wp:lineTo x="2127" y="2388"/>
                <wp:lineTo x="1495" y="3256"/>
                <wp:lineTo x="1437" y="7814"/>
                <wp:lineTo x="1552" y="9116"/>
                <wp:lineTo x="1955" y="9225"/>
                <wp:lineTo x="1955" y="10093"/>
                <wp:lineTo x="11212" y="10961"/>
                <wp:lineTo x="2012" y="11395"/>
                <wp:lineTo x="2012" y="12589"/>
                <wp:lineTo x="1437" y="12914"/>
                <wp:lineTo x="1437" y="17907"/>
                <wp:lineTo x="1897" y="19643"/>
                <wp:lineTo x="2875" y="19969"/>
                <wp:lineTo x="8970" y="19969"/>
                <wp:lineTo x="9085" y="19643"/>
                <wp:lineTo x="9775" y="18558"/>
                <wp:lineTo x="9602" y="18341"/>
                <wp:lineTo x="7820" y="17907"/>
                <wp:lineTo x="9142" y="17147"/>
                <wp:lineTo x="9315" y="16604"/>
                <wp:lineTo x="9085" y="16170"/>
                <wp:lineTo x="9430" y="14868"/>
                <wp:lineTo x="9430" y="14434"/>
                <wp:lineTo x="21562" y="13023"/>
                <wp:lineTo x="21562" y="1628"/>
                <wp:lineTo x="10867" y="326"/>
                <wp:lineTo x="747" y="32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6450" cy="3791585"/>
                    </a:xfrm>
                    <a:prstGeom prst="rect">
                      <a:avLst/>
                    </a:prstGeom>
                    <a:noFill/>
                  </pic:spPr>
                </pic:pic>
              </a:graphicData>
            </a:graphic>
            <wp14:sizeRelH relativeFrom="page">
              <wp14:pctWidth>0</wp14:pctWidth>
            </wp14:sizeRelH>
            <wp14:sizeRelV relativeFrom="page">
              <wp14:pctHeight>0</wp14:pctHeight>
            </wp14:sizeRelV>
          </wp:anchor>
        </w:drawing>
      </w:r>
    </w:p>
    <w:p w14:paraId="15F39B7A" w14:textId="0DA50445" w:rsidR="00A367D9" w:rsidRPr="00A234EE" w:rsidRDefault="00F4058E"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noProof/>
          <w:sz w:val="24"/>
          <w:szCs w:val="24"/>
          <w:lang w:val="en-US" w:eastAsia="zh-CN"/>
        </w:rPr>
        <mc:AlternateContent>
          <mc:Choice Requires="wps">
            <w:drawing>
              <wp:anchor distT="0" distB="0" distL="114300" distR="114300" simplePos="0" relativeHeight="251701248" behindDoc="0" locked="0" layoutInCell="1" allowOverlap="1" wp14:anchorId="3280B7E1" wp14:editId="6491AB64">
                <wp:simplePos x="0" y="0"/>
                <wp:positionH relativeFrom="column">
                  <wp:posOffset>-1177290</wp:posOffset>
                </wp:positionH>
                <wp:positionV relativeFrom="paragraph">
                  <wp:posOffset>2009775</wp:posOffset>
                </wp:positionV>
                <wp:extent cx="273050" cy="279400"/>
                <wp:effectExtent l="0" t="0" r="12700" b="25400"/>
                <wp:wrapNone/>
                <wp:docPr id="14" name="文本框 14"/>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332C2C" w14:textId="77777777" w:rsidR="005659DC" w:rsidRDefault="005659DC" w:rsidP="00F4058E">
                            <w:pPr>
                              <w:rPr>
                                <w:lang w:eastAsia="zh-CN"/>
                              </w:rPr>
                            </w:pPr>
                            <w:r>
                              <w:rPr>
                                <w:rFonts w:hint="eastAsia"/>
                                <w:lang w:eastAsia="zh-CN"/>
                              </w:rPr>
                              <w:t>e</w:t>
                            </w:r>
                            <w:r>
                              <w:rPr>
                                <w:rFonts w:hint="eastAsia"/>
                                <w:noProof/>
                                <w:lang w:val="en-US" w:eastAsia="zh-CN"/>
                              </w:rPr>
                              <w:drawing>
                                <wp:inline distT="0" distB="0" distL="0" distR="0" wp14:anchorId="10A49A49" wp14:editId="15BFAD60">
                                  <wp:extent cx="83820" cy="86308"/>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86308"/>
                                          </a:xfrm>
                                          <a:prstGeom prst="rect">
                                            <a:avLst/>
                                          </a:prstGeom>
                                          <a:noFill/>
                                          <a:ln>
                                            <a:noFill/>
                                          </a:ln>
                                        </pic:spPr>
                                      </pic:pic>
                                    </a:graphicData>
                                  </a:graphic>
                                </wp:inline>
                              </w:drawing>
                            </w:r>
                            <w:r>
                              <w:rPr>
                                <w:rFonts w:hint="eastAsia"/>
                                <w:noProof/>
                                <w:lang w:val="en-US" w:eastAsia="zh-CN"/>
                              </w:rPr>
                              <w:drawing>
                                <wp:inline distT="0" distB="0" distL="0" distR="0" wp14:anchorId="756B00F5" wp14:editId="2510A2FA">
                                  <wp:extent cx="83820" cy="857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 cy="85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0B7E1" id="文本框 14" o:spid="_x0000_s1028" type="#_x0000_t202" style="position:absolute;left:0;text-align:left;margin-left:-92.7pt;margin-top:158.25pt;width:21.5pt;height:2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" fillcolor="white [3201]" strokeweight=".5pt">
                <v:textbox>
                  <w:txbxContent>
                    <w:p w14:paraId="00332C2C" w14:textId="77777777" w:rsidR="005659DC" w:rsidRDefault="005659DC" w:rsidP="00F4058E">
                      <w:pPr>
                        <w:rPr>
                          <w:lang w:eastAsia="zh-CN"/>
                        </w:rPr>
                      </w:pPr>
                      <w:r>
                        <w:rPr>
                          <w:rFonts w:hint="eastAsia"/>
                          <w:lang w:eastAsia="zh-CN"/>
                        </w:rPr>
                        <w:t>e</w:t>
                      </w:r>
                      <w:r>
                        <w:rPr>
                          <w:rFonts w:hint="eastAsia"/>
                          <w:noProof/>
                          <w:lang w:val="en-US" w:eastAsia="zh-CN"/>
                        </w:rPr>
                        <w:drawing>
                          <wp:inline distT="0" distB="0" distL="0" distR="0" wp14:anchorId="10A49A49" wp14:editId="15BFAD60">
                            <wp:extent cx="83820" cy="86308"/>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 cy="86308"/>
                                    </a:xfrm>
                                    <a:prstGeom prst="rect">
                                      <a:avLst/>
                                    </a:prstGeom>
                                    <a:noFill/>
                                    <a:ln>
                                      <a:noFill/>
                                    </a:ln>
                                  </pic:spPr>
                                </pic:pic>
                              </a:graphicData>
                            </a:graphic>
                          </wp:inline>
                        </w:drawing>
                      </w:r>
                      <w:r>
                        <w:rPr>
                          <w:rFonts w:hint="eastAsia"/>
                          <w:noProof/>
                          <w:lang w:val="en-US" w:eastAsia="zh-CN"/>
                        </w:rPr>
                        <w:drawing>
                          <wp:inline distT="0" distB="0" distL="0" distR="0" wp14:anchorId="756B00F5" wp14:editId="2510A2FA">
                            <wp:extent cx="83820" cy="857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 cy="85725"/>
                                    </a:xfrm>
                                    <a:prstGeom prst="rect">
                                      <a:avLst/>
                                    </a:prstGeom>
                                    <a:noFill/>
                                    <a:ln>
                                      <a:noFill/>
                                    </a:ln>
                                  </pic:spPr>
                                </pic:pic>
                              </a:graphicData>
                            </a:graphic>
                          </wp:inline>
                        </w:drawing>
                      </w:r>
                    </w:p>
                  </w:txbxContent>
                </v:textbox>
              </v:shape>
            </w:pict>
          </mc:Fallback>
        </mc:AlternateContent>
      </w:r>
    </w:p>
    <w:p w14:paraId="3E5F9ADF"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6A77B9F5"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079FC88B"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eastAsia="zh-CN"/>
        </w:rPr>
      </w:pPr>
    </w:p>
    <w:p w14:paraId="00DFB198" w14:textId="534330A0" w:rsidR="00E17977" w:rsidRPr="00A234EE" w:rsidRDefault="00E17977"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Figure 1</w:t>
      </w:r>
      <w:r w:rsidR="003238D2"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INT-767 treatment for 8 </w:t>
      </w:r>
      <w:r w:rsidR="006513F8" w:rsidRPr="00A234EE">
        <w:rPr>
          <w:rFonts w:ascii="Book Antiqua" w:hAnsi="Book Antiqua"/>
          <w:b/>
          <w:bCs/>
          <w:sz w:val="24"/>
          <w:szCs w:val="24"/>
          <w:lang w:val="en-US"/>
        </w:rPr>
        <w:t>wk</w:t>
      </w:r>
      <w:r w:rsidRPr="00A234EE">
        <w:rPr>
          <w:rFonts w:ascii="Book Antiqua" w:hAnsi="Book Antiqua"/>
          <w:b/>
          <w:bCs/>
          <w:sz w:val="24"/>
          <w:szCs w:val="24"/>
          <w:lang w:val="en-US"/>
        </w:rPr>
        <w:t xml:space="preserve"> improves liver histopathology in </w:t>
      </w:r>
      <w:r w:rsidRPr="00A234EE">
        <w:rPr>
          <w:rFonts w:ascii="Book Antiqua" w:hAnsi="Book Antiqua"/>
          <w:b/>
          <w:bCs/>
          <w:i/>
          <w:iCs/>
          <w:sz w:val="24"/>
          <w:szCs w:val="24"/>
          <w:lang w:val="en-US"/>
        </w:rPr>
        <w:t>ob/ob</w:t>
      </w:r>
      <w:r w:rsidRPr="00A234EE">
        <w:rPr>
          <w:rFonts w:ascii="Book Antiqua" w:hAnsi="Book Antiqua"/>
          <w:b/>
          <w:bCs/>
          <w:sz w:val="24"/>
          <w:szCs w:val="24"/>
          <w:lang w:val="en-US"/>
        </w:rPr>
        <w:t>-</w:t>
      </w:r>
      <w:r w:rsidR="00E4751A" w:rsidRPr="00A234EE">
        <w:rPr>
          <w:rFonts w:ascii="Book Antiqua" w:hAnsi="Book Antiqua"/>
          <w:b/>
          <w:bCs/>
          <w:sz w:val="24"/>
          <w:szCs w:val="24"/>
          <w:lang w:val="en-US"/>
        </w:rPr>
        <w:t>non-alcoholic steatohepatitis</w:t>
      </w:r>
      <w:r w:rsidRPr="00A234EE">
        <w:rPr>
          <w:rFonts w:ascii="Book Antiqua" w:hAnsi="Book Antiqua"/>
          <w:b/>
          <w:bCs/>
          <w:sz w:val="24"/>
          <w:szCs w:val="24"/>
          <w:lang w:val="en-US"/>
        </w:rPr>
        <w:t xml:space="preserve"> mice with biopsy-confirmed liver pathology.</w:t>
      </w:r>
      <w:r w:rsidR="003238D2" w:rsidRPr="00A234EE">
        <w:rPr>
          <w:rFonts w:ascii="Book Antiqua" w:hAnsi="Book Antiqua"/>
          <w:sz w:val="24"/>
          <w:szCs w:val="24"/>
          <w:lang w:val="en-US"/>
        </w:rPr>
        <w:t xml:space="preserve"> A</w:t>
      </w:r>
      <w:r w:rsidR="003238D2" w:rsidRPr="00A234EE">
        <w:rPr>
          <w:rFonts w:ascii="Book Antiqua" w:hAnsi="Book Antiqua"/>
          <w:sz w:val="24"/>
          <w:szCs w:val="24"/>
          <w:lang w:val="en-US" w:eastAsia="zh-CN"/>
        </w:rPr>
        <w:t>:</w:t>
      </w:r>
      <w:r w:rsidRPr="00A234EE">
        <w:rPr>
          <w:rFonts w:ascii="Book Antiqua" w:hAnsi="Book Antiqua"/>
          <w:sz w:val="24"/>
          <w:szCs w:val="24"/>
          <w:lang w:val="en-US"/>
        </w:rPr>
        <w:t xml:space="preserve"> Composite NAS and fibrosis stage before and after treatment intervention</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B</w:t>
      </w:r>
      <w:r w:rsidR="003238D2" w:rsidRPr="00A234EE">
        <w:rPr>
          <w:rFonts w:ascii="Book Antiqua" w:hAnsi="Book Antiqua"/>
          <w:sz w:val="24"/>
          <w:szCs w:val="24"/>
          <w:lang w:val="en-US" w:eastAsia="zh-CN"/>
        </w:rPr>
        <w:t xml:space="preserve">: </w:t>
      </w:r>
      <w:r w:rsidRPr="00A234EE">
        <w:rPr>
          <w:rFonts w:ascii="Book Antiqua" w:hAnsi="Book Antiqua"/>
          <w:sz w:val="24"/>
          <w:szCs w:val="24"/>
          <w:lang w:val="en-US"/>
        </w:rPr>
        <w:t xml:space="preserve">Representative HE and PSR staining. </w:t>
      </w:r>
      <w:r w:rsidR="00F4058E" w:rsidRPr="00A234EE">
        <w:rPr>
          <w:rFonts w:ascii="Book Antiqua" w:hAnsi="Book Antiqua"/>
          <w:sz w:val="24"/>
          <w:szCs w:val="24"/>
          <w:vertAlign w:val="superscript"/>
          <w:lang w:val="en-US" w:eastAsia="zh-CN"/>
        </w:rPr>
        <w:t>a</w:t>
      </w:r>
      <w:r w:rsidR="00F4058E" w:rsidRPr="00A234EE">
        <w:rPr>
          <w:rFonts w:ascii="Book Antiqua" w:hAnsi="Book Antiqua"/>
          <w:i/>
          <w:sz w:val="24"/>
          <w:szCs w:val="24"/>
          <w:lang w:val="en-US" w:eastAsia="zh-CN"/>
        </w:rPr>
        <w:t>P</w:t>
      </w:r>
      <w:r w:rsidR="00F4058E" w:rsidRPr="00A234EE">
        <w:rPr>
          <w:rFonts w:ascii="Book Antiqua" w:hAnsi="Book Antiqua"/>
          <w:sz w:val="24"/>
          <w:szCs w:val="24"/>
          <w:lang w:val="en-US" w:eastAsia="zh-CN"/>
        </w:rPr>
        <w:t xml:space="preserve">&lt; 0.05, </w:t>
      </w:r>
      <w:r w:rsidR="00F4058E" w:rsidRPr="00A234EE">
        <w:rPr>
          <w:rFonts w:ascii="Book Antiqua" w:hAnsi="Book Antiqua"/>
          <w:sz w:val="24"/>
          <w:szCs w:val="24"/>
          <w:vertAlign w:val="superscript"/>
          <w:lang w:val="en-US" w:eastAsia="zh-CN"/>
        </w:rPr>
        <w:t>e</w:t>
      </w:r>
      <w:r w:rsidR="003238D2" w:rsidRPr="00A234EE">
        <w:rPr>
          <w:rFonts w:ascii="Book Antiqua" w:hAnsi="Book Antiqua"/>
          <w:i/>
          <w:sz w:val="24"/>
          <w:szCs w:val="24"/>
          <w:lang w:val="en-US"/>
        </w:rPr>
        <w:t>P &lt;</w:t>
      </w:r>
      <w:r w:rsidRPr="00A234EE">
        <w:rPr>
          <w:rFonts w:ascii="Book Antiqua" w:hAnsi="Book Antiqua"/>
          <w:sz w:val="24"/>
          <w:szCs w:val="24"/>
          <w:lang w:val="en-US"/>
        </w:rPr>
        <w:t>0.001 (</w:t>
      </w:r>
      <w:r w:rsidR="003238D2" w:rsidRPr="00A234EE">
        <w:rPr>
          <w:rFonts w:ascii="Book Antiqua" w:hAnsi="Book Antiqua"/>
          <w:i/>
          <w:sz w:val="24"/>
          <w:szCs w:val="24"/>
          <w:lang w:val="en-US"/>
        </w:rPr>
        <w:t>χ</w:t>
      </w:r>
      <w:r w:rsidR="003238D2" w:rsidRPr="00A234EE">
        <w:rPr>
          <w:rFonts w:ascii="Book Antiqua" w:hAnsi="Book Antiqua"/>
          <w:sz w:val="24"/>
          <w:szCs w:val="24"/>
          <w:vertAlign w:val="superscript"/>
          <w:lang w:val="en-US"/>
        </w:rPr>
        <w:t>2</w:t>
      </w:r>
      <w:r w:rsidRPr="00A234EE">
        <w:rPr>
          <w:rFonts w:ascii="Book Antiqua" w:hAnsi="Book Antiqua"/>
          <w:sz w:val="24"/>
          <w:szCs w:val="24"/>
          <w:lang w:val="en-US"/>
        </w:rPr>
        <w:t xml:space="preserve"> test, </w:t>
      </w:r>
      <w:r w:rsidR="003238D2" w:rsidRPr="00A234EE">
        <w:rPr>
          <w:rFonts w:ascii="Book Antiqua" w:hAnsi="Book Antiqua"/>
          <w:i/>
          <w:sz w:val="24"/>
          <w:szCs w:val="24"/>
          <w:lang w:val="en-US"/>
        </w:rPr>
        <w:t>vs</w:t>
      </w:r>
      <w:r w:rsidRPr="00A234EE">
        <w:rPr>
          <w:rFonts w:ascii="Book Antiqua" w:hAnsi="Book Antiqua"/>
          <w:sz w:val="24"/>
          <w:szCs w:val="24"/>
          <w:lang w:val="en-US"/>
        </w:rPr>
        <w:t xml:space="preserve"> vehicle controls).</w:t>
      </w:r>
    </w:p>
    <w:p w14:paraId="4369025B"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2E8C2D88"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52BB9764"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01ABC122"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351CD4BF"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2E1A815A"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49E11BA2"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5BEDE9B2"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512B3551"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01A95499"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581F21D6"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3D61E7AF" w14:textId="77777777" w:rsidR="00F4058E" w:rsidRPr="00A234EE" w:rsidRDefault="00F4058E" w:rsidP="00A234EE">
      <w:pPr>
        <w:adjustRightInd w:val="0"/>
        <w:snapToGrid w:val="0"/>
        <w:spacing w:after="0" w:line="360" w:lineRule="auto"/>
        <w:jc w:val="both"/>
        <w:rPr>
          <w:rFonts w:ascii="Book Antiqua" w:hAnsi="Book Antiqua"/>
          <w:noProof/>
          <w:sz w:val="24"/>
          <w:szCs w:val="24"/>
          <w:lang w:val="en-US" w:eastAsia="zh-CN"/>
        </w:rPr>
      </w:pPr>
    </w:p>
    <w:p w14:paraId="20ACD08A" w14:textId="6E06A55E" w:rsidR="00E17977" w:rsidRPr="00A234EE" w:rsidRDefault="00E17977" w:rsidP="00A234EE">
      <w:pPr>
        <w:adjustRightInd w:val="0"/>
        <w:snapToGrid w:val="0"/>
        <w:spacing w:after="0" w:line="360" w:lineRule="auto"/>
        <w:jc w:val="both"/>
        <w:rPr>
          <w:rFonts w:ascii="Book Antiqua" w:hAnsi="Book Antiqua"/>
          <w:noProof/>
          <w:sz w:val="24"/>
          <w:szCs w:val="24"/>
          <w:lang w:val="en-US"/>
        </w:rPr>
      </w:pPr>
      <w:r w:rsidRPr="00A234EE">
        <w:rPr>
          <w:rFonts w:ascii="Book Antiqua" w:hAnsi="Book Antiqua"/>
          <w:noProof/>
          <w:sz w:val="24"/>
          <w:szCs w:val="24"/>
          <w:lang w:val="en-US" w:eastAsia="zh-CN"/>
        </w:rPr>
        <w:lastRenderedPageBreak/>
        <w:drawing>
          <wp:anchor distT="0" distB="0" distL="114300" distR="114300" simplePos="0" relativeHeight="251675648" behindDoc="1" locked="0" layoutInCell="1" allowOverlap="1" wp14:anchorId="3834858C" wp14:editId="5D974C60">
            <wp:simplePos x="0" y="0"/>
            <wp:positionH relativeFrom="column">
              <wp:posOffset>-386715</wp:posOffset>
            </wp:positionH>
            <wp:positionV relativeFrom="paragraph">
              <wp:posOffset>190500</wp:posOffset>
            </wp:positionV>
            <wp:extent cx="6793230" cy="4095750"/>
            <wp:effectExtent l="0" t="0" r="0" b="0"/>
            <wp:wrapTight wrapText="bothSides">
              <wp:wrapPolygon edited="0">
                <wp:start x="303" y="201"/>
                <wp:lineTo x="182" y="1005"/>
                <wp:lineTo x="424" y="1708"/>
                <wp:lineTo x="848" y="2009"/>
                <wp:lineTo x="848" y="9645"/>
                <wp:lineTo x="3634" y="10047"/>
                <wp:lineTo x="303" y="10247"/>
                <wp:lineTo x="182" y="10750"/>
                <wp:lineTo x="848" y="11654"/>
                <wp:lineTo x="848" y="20093"/>
                <wp:lineTo x="11024" y="20897"/>
                <wp:lineTo x="15264" y="21098"/>
                <wp:lineTo x="15870" y="21098"/>
                <wp:lineTo x="15991" y="20897"/>
                <wp:lineTo x="15749" y="20394"/>
                <wp:lineTo x="15325" y="19691"/>
                <wp:lineTo x="15446" y="17280"/>
                <wp:lineTo x="14961" y="16979"/>
                <wp:lineTo x="12599" y="16476"/>
                <wp:lineTo x="20958" y="15371"/>
                <wp:lineTo x="21200" y="14969"/>
                <wp:lineTo x="20837" y="14869"/>
                <wp:lineTo x="20473" y="13362"/>
                <wp:lineTo x="20413" y="12458"/>
                <wp:lineTo x="20049" y="11654"/>
                <wp:lineTo x="20110" y="10850"/>
                <wp:lineTo x="17081" y="10348"/>
                <wp:lineTo x="10721" y="10047"/>
                <wp:lineTo x="9934" y="8439"/>
                <wp:lineTo x="9934" y="6832"/>
                <wp:lineTo x="15628" y="6329"/>
                <wp:lineTo x="15870" y="6028"/>
                <wp:lineTo x="15264" y="5224"/>
                <wp:lineTo x="15325" y="2612"/>
                <wp:lineTo x="14780" y="2009"/>
                <wp:lineTo x="13932" y="2009"/>
                <wp:lineTo x="11024" y="201"/>
                <wp:lineTo x="303" y="20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3230" cy="4095750"/>
                    </a:xfrm>
                    <a:prstGeom prst="rect">
                      <a:avLst/>
                    </a:prstGeom>
                    <a:noFill/>
                  </pic:spPr>
                </pic:pic>
              </a:graphicData>
            </a:graphic>
            <wp14:sizeRelH relativeFrom="page">
              <wp14:pctWidth>0</wp14:pctWidth>
            </wp14:sizeRelH>
            <wp14:sizeRelV relativeFrom="page">
              <wp14:pctHeight>0</wp14:pctHeight>
            </wp14:sizeRelV>
          </wp:anchor>
        </w:drawing>
      </w:r>
    </w:p>
    <w:p w14:paraId="20C8FA14" w14:textId="6ABDB74C" w:rsidR="00E17977" w:rsidRPr="00A234EE" w:rsidRDefault="00F4058E" w:rsidP="00A234EE">
      <w:pPr>
        <w:adjustRightInd w:val="0"/>
        <w:snapToGrid w:val="0"/>
        <w:spacing w:after="0" w:line="360" w:lineRule="auto"/>
        <w:jc w:val="both"/>
        <w:rPr>
          <w:rFonts w:ascii="Book Antiqua" w:hAnsi="Book Antiqua"/>
          <w:noProof/>
          <w:sz w:val="24"/>
          <w:szCs w:val="24"/>
          <w:lang w:val="en-US"/>
        </w:rPr>
      </w:pPr>
      <w:r w:rsidRPr="00A234EE">
        <w:rPr>
          <w:rFonts w:ascii="Book Antiqua" w:hAnsi="Book Antiqua"/>
          <w:noProof/>
          <w:sz w:val="24"/>
          <w:szCs w:val="24"/>
          <w:lang w:val="en-US" w:eastAsia="zh-CN"/>
        </w:rPr>
        <mc:AlternateContent>
          <mc:Choice Requires="wps">
            <w:drawing>
              <wp:anchor distT="0" distB="0" distL="114300" distR="114300" simplePos="0" relativeHeight="251702272" behindDoc="0" locked="0" layoutInCell="1" allowOverlap="1" wp14:anchorId="0B2DBC59" wp14:editId="1DBBFE73">
                <wp:simplePos x="0" y="0"/>
                <wp:positionH relativeFrom="column">
                  <wp:posOffset>212725</wp:posOffset>
                </wp:positionH>
                <wp:positionV relativeFrom="paragraph">
                  <wp:posOffset>96520</wp:posOffset>
                </wp:positionV>
                <wp:extent cx="387350" cy="222250"/>
                <wp:effectExtent l="0" t="0" r="12700" b="25400"/>
                <wp:wrapNone/>
                <wp:docPr id="17" name="文本框 17"/>
                <wp:cNvGraphicFramePr/>
                <a:graphic xmlns:a="http://schemas.openxmlformats.org/drawingml/2006/main">
                  <a:graphicData uri="http://schemas.microsoft.com/office/word/2010/wordprocessingShape">
                    <wps:wsp>
                      <wps:cNvSpPr txBox="1"/>
                      <wps:spPr>
                        <a:xfrm>
                          <a:off x="0" y="0"/>
                          <a:ext cx="38735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4F877" w14:textId="501D5459" w:rsidR="005659DC" w:rsidRDefault="005659DC">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BC59" id="文本框 17" o:spid="_x0000_s1029" type="#_x0000_t202" style="position:absolute;left:0;text-align:left;margin-left:16.75pt;margin-top:7.6pt;width:30.5pt;height: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" fillcolor="white [3201]" strokeweight=".5pt">
                <v:textbox>
                  <w:txbxContent>
                    <w:p w14:paraId="5C74F877" w14:textId="501D5459" w:rsidR="005659DC" w:rsidRDefault="005659DC">
                      <w:pPr>
                        <w:rPr>
                          <w:lang w:eastAsia="zh-CN"/>
                        </w:rPr>
                      </w:pPr>
                      <w:r>
                        <w:rPr>
                          <w:rFonts w:hint="eastAsia"/>
                          <w:lang w:eastAsia="zh-CN"/>
                        </w:rPr>
                        <w:t>b</w:t>
                      </w:r>
                    </w:p>
                  </w:txbxContent>
                </v:textbox>
              </v:shape>
            </w:pict>
          </mc:Fallback>
        </mc:AlternateContent>
      </w:r>
    </w:p>
    <w:p w14:paraId="592E9C3B" w14:textId="77777777" w:rsidR="00E17977" w:rsidRPr="00A234EE" w:rsidRDefault="00E17977" w:rsidP="00A234EE">
      <w:pPr>
        <w:adjustRightInd w:val="0"/>
        <w:snapToGrid w:val="0"/>
        <w:spacing w:after="0" w:line="360" w:lineRule="auto"/>
        <w:jc w:val="both"/>
        <w:rPr>
          <w:rFonts w:ascii="Book Antiqua" w:hAnsi="Book Antiqua"/>
          <w:noProof/>
          <w:sz w:val="24"/>
          <w:szCs w:val="24"/>
          <w:lang w:val="en-US"/>
        </w:rPr>
      </w:pPr>
    </w:p>
    <w:p w14:paraId="6C2C6626" w14:textId="77777777" w:rsidR="00E17977" w:rsidRPr="00A234EE" w:rsidRDefault="00E17977" w:rsidP="00A234EE">
      <w:pPr>
        <w:adjustRightInd w:val="0"/>
        <w:snapToGrid w:val="0"/>
        <w:spacing w:after="0" w:line="360" w:lineRule="auto"/>
        <w:jc w:val="both"/>
        <w:rPr>
          <w:rFonts w:ascii="Book Antiqua" w:hAnsi="Book Antiqua"/>
          <w:noProof/>
          <w:sz w:val="24"/>
          <w:szCs w:val="24"/>
          <w:lang w:val="en-US"/>
        </w:rPr>
      </w:pPr>
    </w:p>
    <w:p w14:paraId="7E57B8CF" w14:textId="77777777" w:rsidR="00E17977" w:rsidRPr="00A234EE" w:rsidRDefault="00E17977" w:rsidP="00A234EE">
      <w:pPr>
        <w:adjustRightInd w:val="0"/>
        <w:snapToGrid w:val="0"/>
        <w:spacing w:after="0" w:line="360" w:lineRule="auto"/>
        <w:jc w:val="both"/>
        <w:rPr>
          <w:rFonts w:ascii="Book Antiqua" w:hAnsi="Book Antiqua"/>
          <w:noProof/>
          <w:sz w:val="24"/>
          <w:szCs w:val="24"/>
          <w:lang w:val="en-US"/>
        </w:rPr>
      </w:pPr>
    </w:p>
    <w:p w14:paraId="0659EAE4" w14:textId="77777777" w:rsidR="00E17977" w:rsidRPr="00A234EE" w:rsidRDefault="00E17977" w:rsidP="00A234EE">
      <w:pPr>
        <w:adjustRightInd w:val="0"/>
        <w:snapToGrid w:val="0"/>
        <w:spacing w:after="0" w:line="360" w:lineRule="auto"/>
        <w:jc w:val="both"/>
        <w:rPr>
          <w:rFonts w:ascii="Book Antiqua" w:hAnsi="Book Antiqua"/>
          <w:noProof/>
          <w:sz w:val="24"/>
          <w:szCs w:val="24"/>
          <w:lang w:val="en-US"/>
        </w:rPr>
      </w:pPr>
    </w:p>
    <w:p w14:paraId="4294F2E3" w14:textId="77777777" w:rsidR="00E17977" w:rsidRPr="00A234EE" w:rsidRDefault="00E17977" w:rsidP="00A234EE">
      <w:pPr>
        <w:adjustRightInd w:val="0"/>
        <w:snapToGrid w:val="0"/>
        <w:spacing w:after="0" w:line="360" w:lineRule="auto"/>
        <w:jc w:val="both"/>
        <w:rPr>
          <w:rFonts w:ascii="Book Antiqua" w:hAnsi="Book Antiqua"/>
          <w:noProof/>
          <w:sz w:val="24"/>
          <w:szCs w:val="24"/>
          <w:lang w:val="en-US"/>
        </w:rPr>
      </w:pPr>
    </w:p>
    <w:p w14:paraId="6736C1EF" w14:textId="12143B4E" w:rsidR="00E17977" w:rsidRPr="00A234EE" w:rsidRDefault="00F4058E" w:rsidP="00A234EE">
      <w:pPr>
        <w:adjustRightInd w:val="0"/>
        <w:snapToGrid w:val="0"/>
        <w:spacing w:after="0" w:line="360" w:lineRule="auto"/>
        <w:jc w:val="both"/>
        <w:rPr>
          <w:rFonts w:ascii="Book Antiqua" w:hAnsi="Book Antiqua"/>
          <w:noProof/>
          <w:sz w:val="24"/>
          <w:szCs w:val="24"/>
          <w:lang w:val="en-US"/>
        </w:rPr>
      </w:pPr>
      <w:r w:rsidRPr="00A234EE">
        <w:rPr>
          <w:rFonts w:ascii="Book Antiqua" w:hAnsi="Book Antiqua"/>
          <w:noProof/>
          <w:sz w:val="24"/>
          <w:szCs w:val="24"/>
          <w:lang w:val="en-US" w:eastAsia="zh-CN"/>
        </w:rPr>
        <mc:AlternateContent>
          <mc:Choice Requires="wps">
            <w:drawing>
              <wp:anchor distT="0" distB="0" distL="114300" distR="114300" simplePos="0" relativeHeight="251706368" behindDoc="0" locked="0" layoutInCell="1" allowOverlap="1" wp14:anchorId="2D33D2AA" wp14:editId="2FBA3942">
                <wp:simplePos x="0" y="0"/>
                <wp:positionH relativeFrom="column">
                  <wp:posOffset>314325</wp:posOffset>
                </wp:positionH>
                <wp:positionV relativeFrom="paragraph">
                  <wp:posOffset>239395</wp:posOffset>
                </wp:positionV>
                <wp:extent cx="387350" cy="222250"/>
                <wp:effectExtent l="0" t="0" r="12700" b="25400"/>
                <wp:wrapNone/>
                <wp:docPr id="22" name="文本框 22"/>
                <wp:cNvGraphicFramePr/>
                <a:graphic xmlns:a="http://schemas.openxmlformats.org/drawingml/2006/main">
                  <a:graphicData uri="http://schemas.microsoft.com/office/word/2010/wordprocessingShape">
                    <wps:wsp>
                      <wps:cNvSpPr txBox="1"/>
                      <wps:spPr>
                        <a:xfrm>
                          <a:off x="0" y="0"/>
                          <a:ext cx="38735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19937B" w14:textId="4DBA59C1" w:rsidR="005659DC" w:rsidRDefault="005659DC" w:rsidP="00F4058E">
                            <w:pPr>
                              <w:rPr>
                                <w:lang w:eastAsia="zh-CN"/>
                              </w:rPr>
                            </w:pPr>
                            <w:r>
                              <w:rPr>
                                <w:rFonts w:hint="eastAsia"/>
                                <w:lang w:eastAsia="zh-CN"/>
                              </w:rPr>
                              <w:t>a</w:t>
                            </w:r>
                            <w:r>
                              <w:rPr>
                                <w:rFonts w:hint="eastAsia"/>
                                <w:noProof/>
                                <w:lang w:val="en-US" w:eastAsia="zh-CN"/>
                              </w:rPr>
                              <w:drawing>
                                <wp:inline distT="0" distB="0" distL="0" distR="0" wp14:anchorId="3477792F" wp14:editId="6670D7D0">
                                  <wp:extent cx="198120" cy="113211"/>
                                  <wp:effectExtent l="0" t="0" r="0" b="127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 cy="113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D2AA" id="文本框 22" o:spid="_x0000_s1030" type="#_x0000_t202" style="position:absolute;left:0;text-align:left;margin-left:24.75pt;margin-top:18.85pt;width:30.5pt;height: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" fillcolor="white [3201]" strokeweight=".5pt">
                <v:textbox>
                  <w:txbxContent>
                    <w:p w14:paraId="0019937B" w14:textId="4DBA59C1" w:rsidR="005659DC" w:rsidRDefault="005659DC" w:rsidP="00F4058E">
                      <w:pPr>
                        <w:rPr>
                          <w:lang w:eastAsia="zh-CN"/>
                        </w:rPr>
                      </w:pPr>
                      <w:r>
                        <w:rPr>
                          <w:rFonts w:hint="eastAsia"/>
                          <w:lang w:eastAsia="zh-CN"/>
                        </w:rPr>
                        <w:t>a</w:t>
                      </w:r>
                      <w:r>
                        <w:rPr>
                          <w:rFonts w:hint="eastAsia"/>
                          <w:noProof/>
                          <w:lang w:val="en-US" w:eastAsia="zh-CN"/>
                        </w:rPr>
                        <w:drawing>
                          <wp:inline distT="0" distB="0" distL="0" distR="0" wp14:anchorId="3477792F" wp14:editId="6670D7D0">
                            <wp:extent cx="198120" cy="113211"/>
                            <wp:effectExtent l="0" t="0" r="0" b="127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 cy="113211"/>
                                    </a:xfrm>
                                    <a:prstGeom prst="rect">
                                      <a:avLst/>
                                    </a:prstGeom>
                                    <a:noFill/>
                                    <a:ln>
                                      <a:noFill/>
                                    </a:ln>
                                  </pic:spPr>
                                </pic:pic>
                              </a:graphicData>
                            </a:graphic>
                          </wp:inline>
                        </w:drawing>
                      </w:r>
                    </w:p>
                  </w:txbxContent>
                </v:textbox>
              </v:shape>
            </w:pict>
          </mc:Fallback>
        </mc:AlternateContent>
      </w:r>
      <w:r w:rsidRPr="00A234EE">
        <w:rPr>
          <w:rFonts w:ascii="Book Antiqua" w:hAnsi="Book Antiqua"/>
          <w:noProof/>
          <w:sz w:val="24"/>
          <w:szCs w:val="24"/>
          <w:lang w:val="en-US" w:eastAsia="zh-CN"/>
        </w:rPr>
        <mc:AlternateContent>
          <mc:Choice Requires="wps">
            <w:drawing>
              <wp:anchor distT="0" distB="0" distL="114300" distR="114300" simplePos="0" relativeHeight="251704320" behindDoc="0" locked="0" layoutInCell="1" allowOverlap="1" wp14:anchorId="603CCB03" wp14:editId="1059F69D">
                <wp:simplePos x="0" y="0"/>
                <wp:positionH relativeFrom="column">
                  <wp:posOffset>-1292225</wp:posOffset>
                </wp:positionH>
                <wp:positionV relativeFrom="paragraph">
                  <wp:posOffset>347345</wp:posOffset>
                </wp:positionV>
                <wp:extent cx="387350" cy="222250"/>
                <wp:effectExtent l="0" t="0" r="12700" b="25400"/>
                <wp:wrapNone/>
                <wp:docPr id="19" name="文本框 19"/>
                <wp:cNvGraphicFramePr/>
                <a:graphic xmlns:a="http://schemas.openxmlformats.org/drawingml/2006/main">
                  <a:graphicData uri="http://schemas.microsoft.com/office/word/2010/wordprocessingShape">
                    <wps:wsp>
                      <wps:cNvSpPr txBox="1"/>
                      <wps:spPr>
                        <a:xfrm>
                          <a:off x="0" y="0"/>
                          <a:ext cx="38735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9A9C6F" w14:textId="753E2054" w:rsidR="005659DC" w:rsidRDefault="005659DC" w:rsidP="00F4058E">
                            <w:pPr>
                              <w:rPr>
                                <w:lang w:eastAsia="zh-CN"/>
                              </w:rPr>
                            </w:pPr>
                            <w:r>
                              <w:rPr>
                                <w:rFonts w:hint="eastAsia"/>
                                <w:lang w:eastAsia="zh-CN"/>
                              </w:rPr>
                              <w:t>e</w:t>
                            </w:r>
                            <w:r>
                              <w:rPr>
                                <w:rFonts w:hint="eastAsia"/>
                                <w:noProof/>
                                <w:lang w:val="en-US" w:eastAsia="zh-CN"/>
                              </w:rPr>
                              <w:drawing>
                                <wp:inline distT="0" distB="0" distL="0" distR="0" wp14:anchorId="1AD6FC5F" wp14:editId="01E08AB8">
                                  <wp:extent cx="198120" cy="113211"/>
                                  <wp:effectExtent l="0" t="0" r="0" b="12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 cy="113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CB03" id="文本框 19" o:spid="_x0000_s1031" type="#_x0000_t202" style="position:absolute;left:0;text-align:left;margin-left:-101.75pt;margin-top:27.35pt;width:30.5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" fillcolor="white [3201]" strokeweight=".5pt">
                <v:textbox>
                  <w:txbxContent>
                    <w:p w14:paraId="439A9C6F" w14:textId="753E2054" w:rsidR="005659DC" w:rsidRDefault="005659DC" w:rsidP="00F4058E">
                      <w:pPr>
                        <w:rPr>
                          <w:lang w:eastAsia="zh-CN"/>
                        </w:rPr>
                      </w:pPr>
                      <w:r>
                        <w:rPr>
                          <w:rFonts w:hint="eastAsia"/>
                          <w:lang w:eastAsia="zh-CN"/>
                        </w:rPr>
                        <w:t>e</w:t>
                      </w:r>
                      <w:r>
                        <w:rPr>
                          <w:rFonts w:hint="eastAsia"/>
                          <w:noProof/>
                          <w:lang w:val="en-US" w:eastAsia="zh-CN"/>
                        </w:rPr>
                        <w:drawing>
                          <wp:inline distT="0" distB="0" distL="0" distR="0" wp14:anchorId="1AD6FC5F" wp14:editId="01E08AB8">
                            <wp:extent cx="198120" cy="113211"/>
                            <wp:effectExtent l="0" t="0" r="0" b="12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 cy="113211"/>
                                    </a:xfrm>
                                    <a:prstGeom prst="rect">
                                      <a:avLst/>
                                    </a:prstGeom>
                                    <a:noFill/>
                                    <a:ln>
                                      <a:noFill/>
                                    </a:ln>
                                  </pic:spPr>
                                </pic:pic>
                              </a:graphicData>
                            </a:graphic>
                          </wp:inline>
                        </w:drawing>
                      </w:r>
                    </w:p>
                  </w:txbxContent>
                </v:textbox>
              </v:shape>
            </w:pict>
          </mc:Fallback>
        </mc:AlternateContent>
      </w:r>
    </w:p>
    <w:p w14:paraId="3ABAD500" w14:textId="77777777" w:rsidR="00E17977" w:rsidRPr="00A234EE" w:rsidRDefault="00E17977" w:rsidP="00A234EE">
      <w:pPr>
        <w:adjustRightInd w:val="0"/>
        <w:snapToGrid w:val="0"/>
        <w:spacing w:after="0" w:line="360" w:lineRule="auto"/>
        <w:jc w:val="both"/>
        <w:rPr>
          <w:rFonts w:ascii="Book Antiqua" w:hAnsi="Book Antiqua"/>
          <w:noProof/>
          <w:sz w:val="24"/>
          <w:szCs w:val="24"/>
          <w:lang w:val="en-US"/>
        </w:rPr>
      </w:pPr>
    </w:p>
    <w:p w14:paraId="2C8A3F69" w14:textId="77777777" w:rsidR="00E17977" w:rsidRPr="00A234EE" w:rsidRDefault="00E17977" w:rsidP="00A234EE">
      <w:pPr>
        <w:adjustRightInd w:val="0"/>
        <w:snapToGrid w:val="0"/>
        <w:spacing w:after="0" w:line="360" w:lineRule="auto"/>
        <w:jc w:val="both"/>
        <w:rPr>
          <w:rFonts w:ascii="Book Antiqua" w:hAnsi="Book Antiqua"/>
          <w:noProof/>
          <w:sz w:val="24"/>
          <w:szCs w:val="24"/>
          <w:lang w:val="en-US"/>
        </w:rPr>
      </w:pPr>
    </w:p>
    <w:p w14:paraId="0F3C762C" w14:textId="77777777" w:rsidR="00E17977" w:rsidRPr="00A234EE" w:rsidRDefault="00E17977" w:rsidP="00A234EE">
      <w:pPr>
        <w:adjustRightInd w:val="0"/>
        <w:snapToGrid w:val="0"/>
        <w:spacing w:after="0" w:line="360" w:lineRule="auto"/>
        <w:jc w:val="both"/>
        <w:rPr>
          <w:rFonts w:ascii="Book Antiqua" w:hAnsi="Book Antiqua"/>
          <w:sz w:val="24"/>
          <w:szCs w:val="24"/>
          <w:lang w:val="en-US" w:eastAsia="zh-CN"/>
        </w:rPr>
      </w:pPr>
    </w:p>
    <w:p w14:paraId="4CCCD675" w14:textId="77777777" w:rsidR="00F4058E" w:rsidRPr="00A234EE" w:rsidRDefault="00F4058E" w:rsidP="00A234EE">
      <w:pPr>
        <w:adjustRightInd w:val="0"/>
        <w:snapToGrid w:val="0"/>
        <w:spacing w:after="0" w:line="360" w:lineRule="auto"/>
        <w:jc w:val="both"/>
        <w:rPr>
          <w:rFonts w:ascii="Book Antiqua" w:hAnsi="Book Antiqua"/>
          <w:b/>
          <w:bCs/>
          <w:sz w:val="24"/>
          <w:szCs w:val="24"/>
          <w:lang w:val="en-US" w:eastAsia="zh-CN"/>
        </w:rPr>
      </w:pPr>
    </w:p>
    <w:p w14:paraId="1D8E2ABC" w14:textId="67E22172" w:rsidR="00E17977" w:rsidRPr="00A234EE" w:rsidRDefault="00E17977"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Figure 2</w:t>
      </w:r>
      <w:r w:rsidR="00F4058E"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NT-767 treatment for 8 </w:t>
      </w:r>
      <w:r w:rsidR="006513F8" w:rsidRPr="00A234EE">
        <w:rPr>
          <w:rFonts w:ascii="Book Antiqua" w:hAnsi="Book Antiqua"/>
          <w:b/>
          <w:bCs/>
          <w:sz w:val="24"/>
          <w:szCs w:val="24"/>
          <w:lang w:val="en-US"/>
        </w:rPr>
        <w:t>wk</w:t>
      </w:r>
      <w:r w:rsidRPr="00A234EE">
        <w:rPr>
          <w:rFonts w:ascii="Book Antiqua" w:hAnsi="Book Antiqua"/>
          <w:b/>
          <w:bCs/>
          <w:sz w:val="24"/>
          <w:szCs w:val="24"/>
          <w:lang w:val="en-US"/>
        </w:rPr>
        <w:t xml:space="preserve"> reduces hepatic collagen deposition in </w:t>
      </w:r>
      <w:r w:rsidRPr="00A234EE">
        <w:rPr>
          <w:rFonts w:ascii="Book Antiqua" w:hAnsi="Book Antiqua"/>
          <w:b/>
          <w:bCs/>
          <w:i/>
          <w:iCs/>
          <w:sz w:val="24"/>
          <w:szCs w:val="24"/>
          <w:lang w:val="en-US"/>
        </w:rPr>
        <w:t>ob/ob</w:t>
      </w:r>
      <w:r w:rsidRPr="00A234EE">
        <w:rPr>
          <w:rFonts w:ascii="Book Antiqua" w:hAnsi="Book Antiqua"/>
          <w:b/>
          <w:bCs/>
          <w:sz w:val="24"/>
          <w:szCs w:val="24"/>
          <w:lang w:val="en-US"/>
        </w:rPr>
        <w:t>-</w:t>
      </w:r>
      <w:r w:rsidR="00E4751A" w:rsidRPr="00A234EE">
        <w:rPr>
          <w:rFonts w:ascii="Book Antiqua" w:hAnsi="Book Antiqua"/>
          <w:sz w:val="24"/>
          <w:szCs w:val="24"/>
          <w:lang w:val="en-US"/>
        </w:rPr>
        <w:t xml:space="preserve"> </w:t>
      </w:r>
      <w:r w:rsidR="00E4751A" w:rsidRPr="00A234EE">
        <w:rPr>
          <w:rFonts w:ascii="Book Antiqua" w:hAnsi="Book Antiqua"/>
          <w:b/>
          <w:bCs/>
          <w:sz w:val="24"/>
          <w:szCs w:val="24"/>
          <w:lang w:val="en-US"/>
        </w:rPr>
        <w:t>non-alcoholic steatohepatitis</w:t>
      </w:r>
      <w:r w:rsidRPr="00A234EE">
        <w:rPr>
          <w:rFonts w:ascii="Book Antiqua" w:hAnsi="Book Antiqua"/>
          <w:b/>
          <w:bCs/>
          <w:sz w:val="24"/>
          <w:szCs w:val="24"/>
          <w:lang w:val="en-US"/>
        </w:rPr>
        <w:t xml:space="preserve"> mice with biopsy-confirmed liver pathology.</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A</w:t>
      </w:r>
      <w:r w:rsidR="00F4058E" w:rsidRPr="00A234EE">
        <w:rPr>
          <w:rFonts w:ascii="Book Antiqua" w:hAnsi="Book Antiqua"/>
          <w:sz w:val="24"/>
          <w:szCs w:val="24"/>
          <w:lang w:val="en-US" w:eastAsia="zh-CN"/>
        </w:rPr>
        <w:t xml:space="preserve">: </w:t>
      </w:r>
      <w:r w:rsidR="00F4058E" w:rsidRPr="00A234EE">
        <w:rPr>
          <w:rFonts w:ascii="Book Antiqua" w:hAnsi="Book Antiqua"/>
          <w:sz w:val="24"/>
          <w:szCs w:val="24"/>
          <w:lang w:val="en-US"/>
        </w:rPr>
        <w:t>O</w:t>
      </w:r>
      <w:r w:rsidRPr="00A234EE">
        <w:rPr>
          <w:rFonts w:ascii="Book Antiqua" w:hAnsi="Book Antiqua"/>
          <w:sz w:val="24"/>
          <w:szCs w:val="24"/>
          <w:lang w:val="en-US"/>
        </w:rPr>
        <w:t>ll</w:t>
      </w:r>
      <w:r w:rsidR="00F4058E" w:rsidRPr="00A234EE">
        <w:rPr>
          <w:rFonts w:ascii="Book Antiqua" w:hAnsi="Book Antiqua"/>
          <w:sz w:val="24"/>
          <w:szCs w:val="24"/>
          <w:lang w:val="en-US"/>
        </w:rPr>
        <w:t>agen 1a1 (immunohistochemistry)</w:t>
      </w:r>
      <w:r w:rsidR="00F4058E" w:rsidRPr="00A234EE">
        <w:rPr>
          <w:rFonts w:ascii="Book Antiqua" w:hAnsi="Book Antiqua"/>
          <w:sz w:val="24"/>
          <w:szCs w:val="24"/>
          <w:lang w:val="en-US" w:eastAsia="zh-CN"/>
        </w:rPr>
        <w:t>;</w:t>
      </w:r>
      <w:r w:rsidR="00F4058E" w:rsidRPr="00A234EE">
        <w:rPr>
          <w:rFonts w:ascii="Book Antiqua" w:hAnsi="Book Antiqua"/>
          <w:sz w:val="24"/>
          <w:szCs w:val="24"/>
          <w:lang w:val="en-US"/>
        </w:rPr>
        <w:t xml:space="preserve"> </w:t>
      </w:r>
      <w:r w:rsidRPr="00A234EE">
        <w:rPr>
          <w:rFonts w:ascii="Book Antiqua" w:hAnsi="Book Antiqua"/>
          <w:sz w:val="24"/>
          <w:szCs w:val="24"/>
          <w:lang w:val="en-US"/>
        </w:rPr>
        <w:t>B</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Fractional area of collagen (immunohistochemistry)</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C</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Label free SHG/2-PE images for collagen fiber deposition (green) in hepatic parenchyma (red). Data are expressed as % of total parenchymal a</w:t>
      </w:r>
      <w:r w:rsidR="00F4058E" w:rsidRPr="00A234EE">
        <w:rPr>
          <w:rFonts w:ascii="Book Antiqua" w:hAnsi="Book Antiqua"/>
          <w:sz w:val="24"/>
          <w:szCs w:val="24"/>
          <w:lang w:val="en-US"/>
        </w:rPr>
        <w:t xml:space="preserve">rea (subtraction of fat area). </w:t>
      </w:r>
      <w:r w:rsidRPr="00A234EE">
        <w:rPr>
          <w:rFonts w:ascii="Book Antiqua" w:hAnsi="Book Antiqua"/>
          <w:sz w:val="24"/>
          <w:szCs w:val="24"/>
          <w:lang w:val="en-US"/>
        </w:rPr>
        <w:t>D</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Fractional area of collagen fiber, collagen fiber density, and collagen fiber retic</w:t>
      </w:r>
      <w:r w:rsidR="00F4058E" w:rsidRPr="00A234EE">
        <w:rPr>
          <w:rFonts w:ascii="Book Antiqua" w:hAnsi="Book Antiqua"/>
          <w:sz w:val="24"/>
          <w:szCs w:val="24"/>
          <w:lang w:val="en-US"/>
        </w:rPr>
        <w:t xml:space="preserve">ulation index (SHG analysis).  </w:t>
      </w:r>
      <w:r w:rsidR="00F4058E" w:rsidRPr="00A234EE">
        <w:rPr>
          <w:rFonts w:ascii="Book Antiqua" w:hAnsi="Book Antiqua"/>
          <w:sz w:val="24"/>
          <w:szCs w:val="24"/>
          <w:vertAlign w:val="superscript"/>
          <w:lang w:val="en-US" w:eastAsia="zh-CN"/>
        </w:rPr>
        <w:t>a</w:t>
      </w:r>
      <w:r w:rsidR="003238D2" w:rsidRPr="00A234EE">
        <w:rPr>
          <w:rFonts w:ascii="Book Antiqua" w:hAnsi="Book Antiqua"/>
          <w:i/>
          <w:sz w:val="24"/>
          <w:szCs w:val="24"/>
          <w:lang w:val="en-US"/>
        </w:rPr>
        <w:t>P &lt;</w:t>
      </w:r>
      <w:r w:rsidR="00F4058E" w:rsidRPr="00A234EE">
        <w:rPr>
          <w:rFonts w:ascii="Book Antiqua" w:hAnsi="Book Antiqua"/>
          <w:sz w:val="24"/>
          <w:szCs w:val="24"/>
          <w:lang w:val="en-US"/>
        </w:rPr>
        <w:t xml:space="preserve">0.05, </w:t>
      </w:r>
      <w:r w:rsidR="00F4058E" w:rsidRPr="00A234EE">
        <w:rPr>
          <w:rFonts w:ascii="Book Antiqua" w:hAnsi="Book Antiqua"/>
          <w:sz w:val="24"/>
          <w:szCs w:val="24"/>
          <w:vertAlign w:val="superscript"/>
          <w:lang w:val="en-US" w:eastAsia="zh-CN"/>
        </w:rPr>
        <w:t>b</w:t>
      </w:r>
      <w:r w:rsidR="003238D2" w:rsidRPr="00A234EE">
        <w:rPr>
          <w:rFonts w:ascii="Book Antiqua" w:hAnsi="Book Antiqua"/>
          <w:i/>
          <w:sz w:val="24"/>
          <w:szCs w:val="24"/>
          <w:lang w:val="en-US"/>
        </w:rPr>
        <w:t>P &lt;</w:t>
      </w:r>
      <w:r w:rsidR="00F4058E" w:rsidRPr="00A234EE">
        <w:rPr>
          <w:rFonts w:ascii="Book Antiqua" w:hAnsi="Book Antiqua"/>
          <w:sz w:val="24"/>
          <w:szCs w:val="24"/>
          <w:lang w:val="en-US"/>
        </w:rPr>
        <w:t xml:space="preserve">0.01, </w:t>
      </w:r>
      <w:r w:rsidR="00F4058E" w:rsidRPr="00A234EE">
        <w:rPr>
          <w:rFonts w:ascii="Book Antiqua" w:hAnsi="Book Antiqua"/>
          <w:sz w:val="24"/>
          <w:szCs w:val="24"/>
          <w:vertAlign w:val="superscript"/>
          <w:lang w:val="en-US" w:eastAsia="zh-CN"/>
        </w:rPr>
        <w:t>e</w:t>
      </w:r>
      <w:r w:rsidR="003238D2" w:rsidRPr="00A234EE">
        <w:rPr>
          <w:rFonts w:ascii="Book Antiqua" w:hAnsi="Book Antiqua"/>
          <w:i/>
          <w:sz w:val="24"/>
          <w:szCs w:val="24"/>
          <w:lang w:val="en-US"/>
        </w:rPr>
        <w:t>P &lt;</w:t>
      </w:r>
      <w:r w:rsidRPr="00A234EE">
        <w:rPr>
          <w:rFonts w:ascii="Book Antiqua" w:hAnsi="Book Antiqua"/>
          <w:sz w:val="24"/>
          <w:szCs w:val="24"/>
          <w:lang w:val="en-US"/>
        </w:rPr>
        <w:t xml:space="preserve">0.001 (unpaired </w:t>
      </w:r>
      <w:r w:rsidR="003238D2" w:rsidRPr="00A234EE">
        <w:rPr>
          <w:rFonts w:ascii="Book Antiqua" w:hAnsi="Book Antiqua"/>
          <w:i/>
          <w:sz w:val="24"/>
          <w:szCs w:val="24"/>
          <w:lang w:val="en-US"/>
        </w:rPr>
        <w:t>t-test</w:t>
      </w:r>
      <w:r w:rsidRPr="00A234EE">
        <w:rPr>
          <w:rFonts w:ascii="Book Antiqua" w:hAnsi="Book Antiqua"/>
          <w:sz w:val="24"/>
          <w:szCs w:val="24"/>
          <w:lang w:val="en-US"/>
        </w:rPr>
        <w:t>).</w:t>
      </w:r>
    </w:p>
    <w:p w14:paraId="720A4356"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EC640AB"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66AB8E5A"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5E80EF4E"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36970A9"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4F13B765"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426F79C7"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499FAA33"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D513761"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7FC63756" w14:textId="7AA5BBBF" w:rsidR="00E17977" w:rsidRPr="00A234EE" w:rsidRDefault="00A367D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noProof/>
          <w:sz w:val="24"/>
          <w:szCs w:val="24"/>
          <w:lang w:val="en-US" w:eastAsia="zh-CN"/>
        </w:rPr>
        <w:drawing>
          <wp:anchor distT="0" distB="0" distL="114300" distR="114300" simplePos="0" relativeHeight="251677696" behindDoc="1" locked="0" layoutInCell="1" allowOverlap="1" wp14:anchorId="5D15E304" wp14:editId="4FA9CF74">
            <wp:simplePos x="0" y="0"/>
            <wp:positionH relativeFrom="column">
              <wp:posOffset>-234315</wp:posOffset>
            </wp:positionH>
            <wp:positionV relativeFrom="paragraph">
              <wp:posOffset>94615</wp:posOffset>
            </wp:positionV>
            <wp:extent cx="6504940" cy="4871085"/>
            <wp:effectExtent l="0" t="0" r="0" b="0"/>
            <wp:wrapTight wrapText="bothSides">
              <wp:wrapPolygon edited="0">
                <wp:start x="380" y="253"/>
                <wp:lineTo x="253" y="1014"/>
                <wp:lineTo x="506" y="1521"/>
                <wp:lineTo x="1012" y="1774"/>
                <wp:lineTo x="1012" y="9039"/>
                <wp:lineTo x="7401" y="9883"/>
                <wp:lineTo x="10754" y="9883"/>
                <wp:lineTo x="253" y="10813"/>
                <wp:lineTo x="253" y="11235"/>
                <wp:lineTo x="949" y="12587"/>
                <wp:lineTo x="1012" y="19598"/>
                <wp:lineTo x="10564" y="20950"/>
                <wp:lineTo x="13663" y="21118"/>
                <wp:lineTo x="14359" y="21118"/>
                <wp:lineTo x="14422" y="20696"/>
                <wp:lineTo x="13790" y="19091"/>
                <wp:lineTo x="11766" y="17486"/>
                <wp:lineTo x="10374" y="16641"/>
                <wp:lineTo x="20875" y="15374"/>
                <wp:lineTo x="20938" y="15290"/>
                <wp:lineTo x="20179" y="13938"/>
                <wp:lineTo x="20242" y="11066"/>
                <wp:lineTo x="16194" y="10475"/>
                <wp:lineTo x="10754" y="9883"/>
                <wp:lineTo x="11070" y="9883"/>
                <wp:lineTo x="11892" y="8870"/>
                <wp:lineTo x="11892" y="5829"/>
                <wp:lineTo x="18787" y="5744"/>
                <wp:lineTo x="19103" y="5660"/>
                <wp:lineTo x="18408" y="4224"/>
                <wp:lineTo x="17902" y="3801"/>
                <wp:lineTo x="16573" y="3126"/>
                <wp:lineTo x="16700" y="2365"/>
                <wp:lineTo x="16447" y="2112"/>
                <wp:lineTo x="15118" y="1774"/>
                <wp:lineTo x="15245" y="1267"/>
                <wp:lineTo x="14802" y="1014"/>
                <wp:lineTo x="13094" y="253"/>
                <wp:lineTo x="380" y="25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4940" cy="4871085"/>
                    </a:xfrm>
                    <a:prstGeom prst="rect">
                      <a:avLst/>
                    </a:prstGeom>
                    <a:noFill/>
                  </pic:spPr>
                </pic:pic>
              </a:graphicData>
            </a:graphic>
            <wp14:sizeRelH relativeFrom="page">
              <wp14:pctWidth>0</wp14:pctWidth>
            </wp14:sizeRelH>
            <wp14:sizeRelV relativeFrom="page">
              <wp14:pctHeight>0</wp14:pctHeight>
            </wp14:sizeRelV>
          </wp:anchor>
        </w:drawing>
      </w:r>
    </w:p>
    <w:p w14:paraId="7245D9CC" w14:textId="6FE6605D"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7CC1552D" w14:textId="5426E4F6" w:rsidR="00E17977" w:rsidRPr="00A234EE" w:rsidRDefault="00F4058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noProof/>
          <w:sz w:val="24"/>
          <w:szCs w:val="24"/>
          <w:lang w:val="en-US" w:eastAsia="zh-CN"/>
        </w:rPr>
        <mc:AlternateContent>
          <mc:Choice Requires="wps">
            <w:drawing>
              <wp:anchor distT="0" distB="0" distL="114300" distR="114300" simplePos="0" relativeHeight="251709440" behindDoc="0" locked="0" layoutInCell="1" allowOverlap="1" wp14:anchorId="40053139" wp14:editId="732A9D69">
                <wp:simplePos x="0" y="0"/>
                <wp:positionH relativeFrom="column">
                  <wp:posOffset>9525</wp:posOffset>
                </wp:positionH>
                <wp:positionV relativeFrom="paragraph">
                  <wp:posOffset>264795</wp:posOffset>
                </wp:positionV>
                <wp:extent cx="368300" cy="228600"/>
                <wp:effectExtent l="0" t="0" r="12700" b="19050"/>
                <wp:wrapNone/>
                <wp:docPr id="25" name="文本框 25"/>
                <wp:cNvGraphicFramePr/>
                <a:graphic xmlns:a="http://schemas.openxmlformats.org/drawingml/2006/main">
                  <a:graphicData uri="http://schemas.microsoft.com/office/word/2010/wordprocessingShape">
                    <wps:wsp>
                      <wps:cNvSpPr txBox="1"/>
                      <wps:spPr>
                        <a:xfrm>
                          <a:off x="0" y="0"/>
                          <a:ext cx="3683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39A209"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53139" id="文本框 25" o:spid="_x0000_s1032" type="#_x0000_t202" style="position:absolute;left:0;text-align:left;margin-left:.75pt;margin-top:20.85pt;width:29pt;height:1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" fillcolor="white [3201]" strokeweight=".5pt">
                <v:textbox>
                  <w:txbxContent>
                    <w:p w14:paraId="4939A209" w14:textId="77777777" w:rsidR="005659DC" w:rsidRDefault="005659DC" w:rsidP="00F4058E">
                      <w:pPr>
                        <w:rPr>
                          <w:lang w:eastAsia="zh-CN"/>
                        </w:rPr>
                      </w:pPr>
                      <w:r>
                        <w:rPr>
                          <w:rFonts w:hint="eastAsia"/>
                          <w:lang w:eastAsia="zh-CN"/>
                        </w:rPr>
                        <w:t>e</w:t>
                      </w:r>
                    </w:p>
                  </w:txbxContent>
                </v:textbox>
              </v:shape>
            </w:pict>
          </mc:Fallback>
        </mc:AlternateContent>
      </w:r>
    </w:p>
    <w:p w14:paraId="1FED991C"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79178117"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5C038DB"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A51F9CF"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5E94249" w14:textId="4A5FB170"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60A093F4" w14:textId="13F9C232"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B58E2A4" w14:textId="3F3A34AA" w:rsidR="00E17977" w:rsidRPr="00A234EE" w:rsidRDefault="00F4058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noProof/>
          <w:sz w:val="24"/>
          <w:szCs w:val="24"/>
          <w:lang w:val="en-US" w:eastAsia="zh-CN"/>
        </w:rPr>
        <mc:AlternateContent>
          <mc:Choice Requires="wps">
            <w:drawing>
              <wp:anchor distT="0" distB="0" distL="114300" distR="114300" simplePos="0" relativeHeight="251711488" behindDoc="0" locked="0" layoutInCell="1" allowOverlap="1" wp14:anchorId="27A541A1" wp14:editId="1225327F">
                <wp:simplePos x="0" y="0"/>
                <wp:positionH relativeFrom="column">
                  <wp:posOffset>-2472690</wp:posOffset>
                </wp:positionH>
                <wp:positionV relativeFrom="paragraph">
                  <wp:posOffset>257175</wp:posOffset>
                </wp:positionV>
                <wp:extent cx="368300" cy="228600"/>
                <wp:effectExtent l="0" t="0" r="12700" b="19050"/>
                <wp:wrapNone/>
                <wp:docPr id="26" name="文本框 26"/>
                <wp:cNvGraphicFramePr/>
                <a:graphic xmlns:a="http://schemas.openxmlformats.org/drawingml/2006/main">
                  <a:graphicData uri="http://schemas.microsoft.com/office/word/2010/wordprocessingShape">
                    <wps:wsp>
                      <wps:cNvSpPr txBox="1"/>
                      <wps:spPr>
                        <a:xfrm>
                          <a:off x="0" y="0"/>
                          <a:ext cx="3683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F1BCB5"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541A1" id="文本框 26" o:spid="_x0000_s1033" type="#_x0000_t202" style="position:absolute;left:0;text-align:left;margin-left:-194.7pt;margin-top:20.25pt;width:29pt;height: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" fillcolor="white [3201]" strokeweight=".5pt">
                <v:textbox>
                  <w:txbxContent>
                    <w:p w14:paraId="43F1BCB5" w14:textId="77777777" w:rsidR="005659DC" w:rsidRDefault="005659DC" w:rsidP="00F4058E">
                      <w:pPr>
                        <w:rPr>
                          <w:lang w:eastAsia="zh-CN"/>
                        </w:rPr>
                      </w:pPr>
                      <w:r>
                        <w:rPr>
                          <w:rFonts w:hint="eastAsia"/>
                          <w:lang w:eastAsia="zh-CN"/>
                        </w:rPr>
                        <w:t>e</w:t>
                      </w:r>
                    </w:p>
                  </w:txbxContent>
                </v:textbox>
              </v:shape>
            </w:pict>
          </mc:Fallback>
        </mc:AlternateContent>
      </w:r>
    </w:p>
    <w:p w14:paraId="6BFB6FBD"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27FA8E69"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5236296F" w14:textId="71CAAB80" w:rsidR="00E17977" w:rsidRPr="00A234EE" w:rsidRDefault="00F4058E"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noProof/>
          <w:sz w:val="24"/>
          <w:szCs w:val="24"/>
          <w:lang w:val="en-US" w:eastAsia="zh-CN"/>
        </w:rPr>
        <mc:AlternateContent>
          <mc:Choice Requires="wps">
            <w:drawing>
              <wp:anchor distT="0" distB="0" distL="114300" distR="114300" simplePos="0" relativeHeight="251707392" behindDoc="0" locked="0" layoutInCell="1" allowOverlap="1" wp14:anchorId="07223B46" wp14:editId="0E487BBD">
                <wp:simplePos x="0" y="0"/>
                <wp:positionH relativeFrom="column">
                  <wp:posOffset>-106680</wp:posOffset>
                </wp:positionH>
                <wp:positionV relativeFrom="paragraph">
                  <wp:posOffset>183515</wp:posOffset>
                </wp:positionV>
                <wp:extent cx="368300" cy="228600"/>
                <wp:effectExtent l="0" t="0" r="12700" b="19050"/>
                <wp:wrapNone/>
                <wp:docPr id="24" name="文本框 24"/>
                <wp:cNvGraphicFramePr/>
                <a:graphic xmlns:a="http://schemas.openxmlformats.org/drawingml/2006/main">
                  <a:graphicData uri="http://schemas.microsoft.com/office/word/2010/wordprocessingShape">
                    <wps:wsp>
                      <wps:cNvSpPr txBox="1"/>
                      <wps:spPr>
                        <a:xfrm>
                          <a:off x="0" y="0"/>
                          <a:ext cx="3683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DAB821" w14:textId="0DBFAE3F" w:rsidR="005659DC" w:rsidRDefault="005659DC">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23B46" id="文本框 24" o:spid="_x0000_s1034" type="#_x0000_t202" style="position:absolute;left:0;text-align:left;margin-left:-8.4pt;margin-top:14.45pt;width:29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" fillcolor="white [3201]" strokeweight=".5pt">
                <v:textbox>
                  <w:txbxContent>
                    <w:p w14:paraId="04DAB821" w14:textId="0DBFAE3F" w:rsidR="005659DC" w:rsidRDefault="005659DC">
                      <w:pPr>
                        <w:rPr>
                          <w:lang w:eastAsia="zh-CN"/>
                        </w:rPr>
                      </w:pPr>
                      <w:r>
                        <w:rPr>
                          <w:rFonts w:hint="eastAsia"/>
                          <w:lang w:eastAsia="zh-CN"/>
                        </w:rPr>
                        <w:t>e</w:t>
                      </w:r>
                    </w:p>
                  </w:txbxContent>
                </v:textbox>
              </v:shape>
            </w:pict>
          </mc:Fallback>
        </mc:AlternateContent>
      </w:r>
    </w:p>
    <w:p w14:paraId="02E0789F"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78801173"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5F180DA4" w14:textId="77777777" w:rsidR="00F4058E" w:rsidRPr="00A234EE" w:rsidRDefault="00F4058E" w:rsidP="00A234EE">
      <w:pPr>
        <w:adjustRightInd w:val="0"/>
        <w:snapToGrid w:val="0"/>
        <w:spacing w:after="0" w:line="360" w:lineRule="auto"/>
        <w:jc w:val="both"/>
        <w:rPr>
          <w:rFonts w:ascii="Book Antiqua" w:hAnsi="Book Antiqua"/>
          <w:b/>
          <w:bCs/>
          <w:sz w:val="24"/>
          <w:szCs w:val="24"/>
          <w:lang w:val="en-US" w:eastAsia="zh-CN"/>
        </w:rPr>
      </w:pPr>
    </w:p>
    <w:p w14:paraId="582F2125" w14:textId="37B89D72" w:rsidR="00E17977" w:rsidRPr="00A234EE" w:rsidRDefault="00E17977"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Figure 3</w:t>
      </w:r>
      <w:r w:rsidR="00F4058E"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INT-767 treatment for 8 </w:t>
      </w:r>
      <w:r w:rsidR="006513F8" w:rsidRPr="00A234EE">
        <w:rPr>
          <w:rFonts w:ascii="Book Antiqua" w:hAnsi="Book Antiqua"/>
          <w:b/>
          <w:bCs/>
          <w:sz w:val="24"/>
          <w:szCs w:val="24"/>
          <w:lang w:val="en-US"/>
        </w:rPr>
        <w:t>wk</w:t>
      </w:r>
      <w:r w:rsidRPr="00A234EE">
        <w:rPr>
          <w:rFonts w:ascii="Book Antiqua" w:hAnsi="Book Antiqua"/>
          <w:b/>
          <w:bCs/>
          <w:sz w:val="24"/>
          <w:szCs w:val="24"/>
          <w:lang w:val="en-US"/>
        </w:rPr>
        <w:t xml:space="preserve"> reduces hepatic lipid deposition in </w:t>
      </w:r>
      <w:r w:rsidRPr="00A234EE">
        <w:rPr>
          <w:rFonts w:ascii="Book Antiqua" w:hAnsi="Book Antiqua"/>
          <w:b/>
          <w:bCs/>
          <w:i/>
          <w:iCs/>
          <w:sz w:val="24"/>
          <w:szCs w:val="24"/>
          <w:lang w:val="en-US"/>
        </w:rPr>
        <w:t>ob/ob</w:t>
      </w:r>
      <w:r w:rsidRPr="00A234EE">
        <w:rPr>
          <w:rFonts w:ascii="Book Antiqua" w:hAnsi="Book Antiqua"/>
          <w:b/>
          <w:bCs/>
          <w:sz w:val="24"/>
          <w:szCs w:val="24"/>
          <w:lang w:val="en-US"/>
        </w:rPr>
        <w:t>-NASH mice with biopsy-confirmed liver pathology.</w:t>
      </w:r>
      <w:r w:rsidR="00F4058E" w:rsidRPr="00A234EE">
        <w:rPr>
          <w:rFonts w:ascii="Book Antiqua" w:hAnsi="Book Antiqua"/>
          <w:bCs/>
          <w:sz w:val="24"/>
          <w:szCs w:val="24"/>
          <w:lang w:val="en-US"/>
        </w:rPr>
        <w:t xml:space="preserve"> </w:t>
      </w:r>
      <w:r w:rsidRPr="00A234EE">
        <w:rPr>
          <w:rFonts w:ascii="Book Antiqua" w:hAnsi="Book Antiqua"/>
          <w:bCs/>
          <w:sz w:val="24"/>
          <w:szCs w:val="24"/>
          <w:lang w:val="en-US"/>
        </w:rPr>
        <w:t>A</w:t>
      </w:r>
      <w:r w:rsidR="00F4058E" w:rsidRPr="00A234EE">
        <w:rPr>
          <w:rFonts w:ascii="Book Antiqua" w:hAnsi="Book Antiqua"/>
          <w:bCs/>
          <w:sz w:val="24"/>
          <w:szCs w:val="24"/>
          <w:lang w:val="en-US" w:eastAsia="zh-CN"/>
        </w:rPr>
        <w:t>:</w:t>
      </w:r>
      <w:r w:rsidRPr="00A234EE">
        <w:rPr>
          <w:rFonts w:ascii="Book Antiqua" w:hAnsi="Book Antiqua"/>
          <w:bCs/>
          <w:sz w:val="24"/>
          <w:szCs w:val="24"/>
          <w:lang w:val="en-US"/>
        </w:rPr>
        <w:t xml:space="preserve"> Liver lipid (H&amp;E staining)</w:t>
      </w:r>
      <w:r w:rsidR="00F4058E" w:rsidRPr="00A234EE">
        <w:rPr>
          <w:rFonts w:ascii="Book Antiqua" w:hAnsi="Book Antiqua"/>
          <w:bCs/>
          <w:sz w:val="24"/>
          <w:szCs w:val="24"/>
          <w:lang w:val="en-US" w:eastAsia="zh-CN"/>
        </w:rPr>
        <w:t xml:space="preserve">; </w:t>
      </w:r>
      <w:r w:rsidRPr="00A234EE">
        <w:rPr>
          <w:rFonts w:ascii="Book Antiqua" w:hAnsi="Book Antiqua"/>
          <w:sz w:val="24"/>
          <w:szCs w:val="24"/>
          <w:lang w:val="en-US"/>
        </w:rPr>
        <w:t>B</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Fractional area of liver fat (HE staining)</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C</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Processed (color coded) images to display hepatic lipid content. Lipid droplets (white), rejected structures (yellow), collagen (green), auto</w:t>
      </w:r>
      <w:r w:rsidR="00F4058E" w:rsidRPr="00A234EE">
        <w:rPr>
          <w:rFonts w:ascii="Book Antiqua" w:hAnsi="Book Antiqua"/>
          <w:sz w:val="24"/>
          <w:szCs w:val="24"/>
          <w:lang w:val="en-US"/>
        </w:rPr>
        <w:t xml:space="preserve">-fluorescence (blue). </w:t>
      </w:r>
      <w:r w:rsidRPr="00A234EE">
        <w:rPr>
          <w:rFonts w:ascii="Book Antiqua" w:hAnsi="Book Antiqua"/>
          <w:sz w:val="24"/>
          <w:szCs w:val="24"/>
          <w:lang w:val="en-US"/>
        </w:rPr>
        <w:t>D</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Fractional area of liver lipid area ratio (%), lipid droplet number (count in 15 mm</w:t>
      </w:r>
      <w:r w:rsidRPr="00A234EE">
        <w:rPr>
          <w:rFonts w:ascii="Book Antiqua" w:hAnsi="Book Antiqua"/>
          <w:sz w:val="24"/>
          <w:szCs w:val="24"/>
          <w:vertAlign w:val="superscript"/>
          <w:lang w:val="en-US"/>
        </w:rPr>
        <w:t>2</w:t>
      </w:r>
      <w:r w:rsidRPr="00A234EE">
        <w:rPr>
          <w:rFonts w:ascii="Book Antiqua" w:hAnsi="Book Antiqua"/>
          <w:sz w:val="24"/>
          <w:szCs w:val="24"/>
          <w:lang w:val="en-US"/>
        </w:rPr>
        <w:t xml:space="preserve"> tissue area), and lipid droplet area (1 pixel = 0.39 micron, 2-PE analysis). </w:t>
      </w:r>
      <w:r w:rsidR="00F4058E" w:rsidRPr="00A234EE">
        <w:rPr>
          <w:rFonts w:ascii="Book Antiqua" w:hAnsi="Book Antiqua"/>
          <w:sz w:val="24"/>
          <w:szCs w:val="24"/>
          <w:vertAlign w:val="superscript"/>
          <w:lang w:val="en-US" w:eastAsia="zh-CN"/>
        </w:rPr>
        <w:t>e</w:t>
      </w:r>
      <w:r w:rsidR="003238D2" w:rsidRPr="00A234EE">
        <w:rPr>
          <w:rFonts w:ascii="Book Antiqua" w:hAnsi="Book Antiqua"/>
          <w:i/>
          <w:sz w:val="24"/>
          <w:szCs w:val="24"/>
          <w:lang w:val="en-US"/>
        </w:rPr>
        <w:t>P &lt;</w:t>
      </w:r>
      <w:r w:rsidRPr="00A234EE">
        <w:rPr>
          <w:rFonts w:ascii="Book Antiqua" w:hAnsi="Book Antiqua"/>
          <w:sz w:val="24"/>
          <w:szCs w:val="24"/>
          <w:lang w:val="en-US"/>
        </w:rPr>
        <w:t xml:space="preserve">0.001 (unpaired </w:t>
      </w:r>
      <w:r w:rsidR="003238D2" w:rsidRPr="00A234EE">
        <w:rPr>
          <w:rFonts w:ascii="Book Antiqua" w:hAnsi="Book Antiqua"/>
          <w:i/>
          <w:sz w:val="24"/>
          <w:szCs w:val="24"/>
          <w:lang w:val="en-US"/>
        </w:rPr>
        <w:t>t-test</w:t>
      </w:r>
      <w:r w:rsidRPr="00A234EE">
        <w:rPr>
          <w:rFonts w:ascii="Book Antiqua" w:hAnsi="Book Antiqua"/>
          <w:sz w:val="24"/>
          <w:szCs w:val="24"/>
          <w:lang w:val="en-US"/>
        </w:rPr>
        <w:t xml:space="preserve">). </w:t>
      </w:r>
    </w:p>
    <w:p w14:paraId="2FD5D2F8"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78349B51" w14:textId="420B0456"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5376F42" w14:textId="0F0FAD58" w:rsidR="00E17977" w:rsidRPr="00A234EE" w:rsidRDefault="00A367D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noProof/>
          <w:sz w:val="24"/>
          <w:szCs w:val="24"/>
          <w:lang w:val="en-US" w:eastAsia="zh-CN"/>
        </w:rPr>
        <w:lastRenderedPageBreak/>
        <w:drawing>
          <wp:anchor distT="0" distB="0" distL="114300" distR="114300" simplePos="0" relativeHeight="251679744" behindDoc="1" locked="0" layoutInCell="1" allowOverlap="1" wp14:anchorId="1C8C18B6" wp14:editId="4D787D57">
            <wp:simplePos x="0" y="0"/>
            <wp:positionH relativeFrom="column">
              <wp:posOffset>1009650</wp:posOffset>
            </wp:positionH>
            <wp:positionV relativeFrom="paragraph">
              <wp:posOffset>0</wp:posOffset>
            </wp:positionV>
            <wp:extent cx="3841115" cy="3279775"/>
            <wp:effectExtent l="0" t="0" r="6985" b="0"/>
            <wp:wrapTight wrapText="bothSides">
              <wp:wrapPolygon edited="0">
                <wp:start x="0" y="0"/>
                <wp:lineTo x="0" y="21454"/>
                <wp:lineTo x="21532" y="21454"/>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115" cy="3279775"/>
                    </a:xfrm>
                    <a:prstGeom prst="rect">
                      <a:avLst/>
                    </a:prstGeom>
                    <a:noFill/>
                  </pic:spPr>
                </pic:pic>
              </a:graphicData>
            </a:graphic>
            <wp14:sizeRelH relativeFrom="page">
              <wp14:pctWidth>0</wp14:pctWidth>
            </wp14:sizeRelH>
            <wp14:sizeRelV relativeFrom="page">
              <wp14:pctHeight>0</wp14:pctHeight>
            </wp14:sizeRelV>
          </wp:anchor>
        </w:drawing>
      </w:r>
    </w:p>
    <w:p w14:paraId="0AB401FC" w14:textId="7249AA1A"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36BCCD34"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41927A0"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5411CF89"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4A538D44"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25F4306"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B9ADE13"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F464EC8"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67490AE6"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42662CD2"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3AEDE1D5"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3A67B04D"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7833F4E4" w14:textId="76252085" w:rsidR="00E17977" w:rsidRPr="00A234EE" w:rsidRDefault="00E17977"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sz w:val="24"/>
          <w:szCs w:val="24"/>
          <w:lang w:val="en-US"/>
        </w:rPr>
        <w:t>Figure 4</w:t>
      </w:r>
      <w:r w:rsidR="00F4058E" w:rsidRPr="00A234EE">
        <w:rPr>
          <w:rFonts w:ascii="Book Antiqua" w:hAnsi="Book Antiqua"/>
          <w:b/>
          <w:bCs/>
          <w:sz w:val="24"/>
          <w:szCs w:val="24"/>
          <w:lang w:val="en-US" w:eastAsia="zh-CN"/>
        </w:rPr>
        <w:t xml:space="preserve"> </w:t>
      </w:r>
      <w:r w:rsidRPr="00A234EE">
        <w:rPr>
          <w:rFonts w:ascii="Book Antiqua" w:hAnsi="Book Antiqua"/>
          <w:b/>
          <w:sz w:val="24"/>
          <w:szCs w:val="24"/>
          <w:lang w:val="en-US"/>
        </w:rPr>
        <w:t xml:space="preserve">Histogram depicting lipid droplet size distribution in INT-767 </w:t>
      </w:r>
      <w:r w:rsidR="003238D2" w:rsidRPr="00A234EE">
        <w:rPr>
          <w:rFonts w:ascii="Book Antiqua" w:hAnsi="Book Antiqua"/>
          <w:b/>
          <w:i/>
          <w:sz w:val="24"/>
          <w:szCs w:val="24"/>
          <w:lang w:val="en-US"/>
        </w:rPr>
        <w:t>vs</w:t>
      </w:r>
      <w:r w:rsidRPr="00A234EE">
        <w:rPr>
          <w:rFonts w:ascii="Book Antiqua" w:hAnsi="Book Antiqua"/>
          <w:b/>
          <w:sz w:val="24"/>
          <w:szCs w:val="24"/>
          <w:lang w:val="en-US"/>
        </w:rPr>
        <w:t xml:space="preserve"> vehicle treated </w:t>
      </w:r>
      <w:r w:rsidRPr="00A234EE">
        <w:rPr>
          <w:rFonts w:ascii="Book Antiqua" w:hAnsi="Book Antiqua"/>
          <w:b/>
          <w:i/>
          <w:sz w:val="24"/>
          <w:szCs w:val="24"/>
          <w:lang w:val="en-US"/>
        </w:rPr>
        <w:t>ob/ob</w:t>
      </w:r>
      <w:r w:rsidRPr="00A234EE">
        <w:rPr>
          <w:rFonts w:ascii="Book Antiqua" w:hAnsi="Book Antiqua"/>
          <w:b/>
          <w:sz w:val="24"/>
          <w:szCs w:val="24"/>
          <w:lang w:val="en-US"/>
        </w:rPr>
        <w:t>-</w:t>
      </w:r>
      <w:r w:rsidR="0069479F" w:rsidRPr="00A234EE">
        <w:rPr>
          <w:rFonts w:ascii="Book Antiqua" w:hAnsi="Book Antiqua"/>
          <w:b/>
          <w:sz w:val="24"/>
          <w:szCs w:val="24"/>
          <w:lang w:val="en-US"/>
        </w:rPr>
        <w:t>non-alcoholic steatohepatitis</w:t>
      </w:r>
      <w:r w:rsidRPr="00A234EE">
        <w:rPr>
          <w:rFonts w:ascii="Book Antiqua" w:hAnsi="Book Antiqua"/>
          <w:b/>
          <w:sz w:val="24"/>
          <w:szCs w:val="24"/>
          <w:lang w:val="en-US"/>
        </w:rPr>
        <w:t xml:space="preserve"> mice. </w:t>
      </w:r>
      <w:r w:rsidRPr="00A234EE">
        <w:rPr>
          <w:rFonts w:ascii="Book Antiqua" w:hAnsi="Book Antiqua"/>
          <w:sz w:val="24"/>
          <w:szCs w:val="24"/>
          <w:lang w:val="en-US"/>
        </w:rPr>
        <w:t xml:space="preserve">The “equivalent diameter” is the diameter of a circle of equivalent area as the one measured on the image (often not a perfect circle). Unit is in pixels, with 1 pixel = 0.39 micron. </w:t>
      </w:r>
      <w:r w:rsidR="00F4058E" w:rsidRPr="00A234EE">
        <w:rPr>
          <w:rFonts w:ascii="Book Antiqua" w:hAnsi="Book Antiqua"/>
          <w:sz w:val="24"/>
          <w:szCs w:val="24"/>
          <w:vertAlign w:val="superscript"/>
          <w:lang w:val="en-US" w:eastAsia="zh-CN"/>
        </w:rPr>
        <w:t>e</w:t>
      </w:r>
      <w:r w:rsidR="003238D2" w:rsidRPr="00A234EE">
        <w:rPr>
          <w:rFonts w:ascii="Book Antiqua" w:hAnsi="Book Antiqua"/>
          <w:i/>
          <w:sz w:val="24"/>
          <w:szCs w:val="24"/>
          <w:lang w:val="en-US"/>
        </w:rPr>
        <w:t>P &lt;</w:t>
      </w:r>
      <w:r w:rsidRPr="00A234EE">
        <w:rPr>
          <w:rFonts w:ascii="Book Antiqua" w:hAnsi="Book Antiqua"/>
          <w:sz w:val="24"/>
          <w:szCs w:val="24"/>
          <w:lang w:val="en-US"/>
        </w:rPr>
        <w:t xml:space="preserve">0.001 (unpaired </w:t>
      </w:r>
      <w:r w:rsidR="003238D2" w:rsidRPr="00A234EE">
        <w:rPr>
          <w:rFonts w:ascii="Book Antiqua" w:hAnsi="Book Antiqua"/>
          <w:i/>
          <w:sz w:val="24"/>
          <w:szCs w:val="24"/>
          <w:lang w:val="en-US"/>
        </w:rPr>
        <w:t>t-test</w:t>
      </w:r>
      <w:r w:rsidRPr="00A234EE">
        <w:rPr>
          <w:rFonts w:ascii="Book Antiqua" w:hAnsi="Book Antiqua"/>
          <w:sz w:val="24"/>
          <w:szCs w:val="24"/>
          <w:lang w:val="en-US"/>
        </w:rPr>
        <w:t>).</w:t>
      </w:r>
    </w:p>
    <w:p w14:paraId="390B3D00"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7F2FF8B8"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024CE031" w14:textId="136F3693"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5A4170BF"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B8F2B07"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5E727BA4"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68FE2315"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7894DB08"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01A3AC29"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7F1043BC"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2E036EE6"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54C22646"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37433887"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28DC5881" w14:textId="620FA9D1" w:rsidR="00E17977" w:rsidRPr="00A234EE" w:rsidRDefault="00A85F42"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noProof/>
          <w:sz w:val="24"/>
          <w:szCs w:val="24"/>
          <w:lang w:val="en-US" w:eastAsia="zh-CN"/>
        </w:rPr>
        <w:lastRenderedPageBreak/>
        <w:drawing>
          <wp:anchor distT="0" distB="0" distL="114300" distR="114300" simplePos="0" relativeHeight="251696128" behindDoc="1" locked="0" layoutInCell="1" allowOverlap="1" wp14:anchorId="017BBE38" wp14:editId="2D748B0D">
            <wp:simplePos x="0" y="0"/>
            <wp:positionH relativeFrom="column">
              <wp:posOffset>1209675</wp:posOffset>
            </wp:positionH>
            <wp:positionV relativeFrom="paragraph">
              <wp:posOffset>0</wp:posOffset>
            </wp:positionV>
            <wp:extent cx="3118485" cy="4111625"/>
            <wp:effectExtent l="0" t="0" r="0" b="0"/>
            <wp:wrapTight wrapText="bothSides">
              <wp:wrapPolygon edited="0">
                <wp:start x="660" y="300"/>
                <wp:lineTo x="660" y="1001"/>
                <wp:lineTo x="1979" y="2102"/>
                <wp:lineTo x="2639" y="2102"/>
                <wp:lineTo x="1847" y="2502"/>
                <wp:lineTo x="1451" y="3002"/>
                <wp:lineTo x="1451" y="7706"/>
                <wp:lineTo x="4222" y="8507"/>
                <wp:lineTo x="6861" y="8807"/>
                <wp:lineTo x="10160" y="10108"/>
                <wp:lineTo x="10820" y="10108"/>
                <wp:lineTo x="1583" y="11109"/>
                <wp:lineTo x="528" y="11309"/>
                <wp:lineTo x="528" y="11709"/>
                <wp:lineTo x="1583" y="13310"/>
                <wp:lineTo x="1451" y="17614"/>
                <wp:lineTo x="1847" y="18114"/>
                <wp:lineTo x="2771" y="18114"/>
                <wp:lineTo x="2639" y="18614"/>
                <wp:lineTo x="7257" y="19515"/>
                <wp:lineTo x="10028" y="19715"/>
                <wp:lineTo x="10028" y="20316"/>
                <wp:lineTo x="11743" y="20516"/>
                <wp:lineTo x="14646" y="20516"/>
                <wp:lineTo x="14910" y="19815"/>
                <wp:lineTo x="17681" y="19515"/>
                <wp:lineTo x="19001" y="18714"/>
                <wp:lineTo x="18209" y="18114"/>
                <wp:lineTo x="18209" y="14611"/>
                <wp:lineTo x="17153" y="14311"/>
                <wp:lineTo x="11611" y="13310"/>
                <wp:lineTo x="17681" y="12810"/>
                <wp:lineTo x="17417" y="12309"/>
                <wp:lineTo x="1715" y="11709"/>
                <wp:lineTo x="10820" y="10108"/>
                <wp:lineTo x="13327" y="10108"/>
                <wp:lineTo x="18209" y="9007"/>
                <wp:lineTo x="18077" y="8507"/>
                <wp:lineTo x="18605" y="8507"/>
                <wp:lineTo x="18737" y="7806"/>
                <wp:lineTo x="18209" y="6905"/>
                <wp:lineTo x="18473" y="3903"/>
                <wp:lineTo x="17549" y="3703"/>
                <wp:lineTo x="12271" y="3703"/>
                <wp:lineTo x="17153" y="2202"/>
                <wp:lineTo x="17417" y="1801"/>
                <wp:lineTo x="14250" y="1501"/>
                <wp:lineTo x="1451" y="300"/>
                <wp:lineTo x="660" y="3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8485" cy="4111625"/>
                    </a:xfrm>
                    <a:prstGeom prst="rect">
                      <a:avLst/>
                    </a:prstGeom>
                    <a:noFill/>
                  </pic:spPr>
                </pic:pic>
              </a:graphicData>
            </a:graphic>
            <wp14:sizeRelH relativeFrom="page">
              <wp14:pctWidth>0</wp14:pctWidth>
            </wp14:sizeRelH>
            <wp14:sizeRelV relativeFrom="page">
              <wp14:pctHeight>0</wp14:pctHeight>
            </wp14:sizeRelV>
          </wp:anchor>
        </w:drawing>
      </w:r>
    </w:p>
    <w:p w14:paraId="5AEB34A6" w14:textId="09281739"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6DD372A4"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45233E33" w14:textId="55383FC4"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7F4A2DF5"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612B1338" w14:textId="27FEBE45"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72D61ABB" w14:textId="652D037D"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0AEBC8E0" w14:textId="1CFF2C7D"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045A85F0" w14:textId="6193470F"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6A19F645" w14:textId="037BF40C"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454E21E3" w14:textId="021CA688"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202D5B04" w14:textId="71528004"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050610AB" w14:textId="77777777"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153D9606" w14:textId="77777777"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3E5D67AC" w14:textId="77777777"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2B4649AA" w14:textId="77777777" w:rsidR="00A85F42" w:rsidRPr="00A234EE" w:rsidRDefault="00A85F42" w:rsidP="00A234EE">
      <w:pPr>
        <w:adjustRightInd w:val="0"/>
        <w:snapToGrid w:val="0"/>
        <w:spacing w:after="0" w:line="360" w:lineRule="auto"/>
        <w:jc w:val="both"/>
        <w:rPr>
          <w:rFonts w:ascii="Book Antiqua" w:hAnsi="Book Antiqua"/>
          <w:b/>
          <w:bCs/>
          <w:sz w:val="24"/>
          <w:szCs w:val="24"/>
          <w:lang w:val="en-US"/>
        </w:rPr>
      </w:pPr>
    </w:p>
    <w:p w14:paraId="283C0EF4" w14:textId="572303D4" w:rsidR="00E17977" w:rsidRPr="00A234EE" w:rsidRDefault="00E17977"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sz w:val="24"/>
          <w:szCs w:val="24"/>
          <w:lang w:val="en-US"/>
        </w:rPr>
        <w:t>Figure 5</w:t>
      </w:r>
      <w:r w:rsidR="00F4058E"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INT-767 and </w:t>
      </w:r>
      <w:r w:rsidR="0069479F" w:rsidRPr="00A234EE">
        <w:rPr>
          <w:rFonts w:ascii="Book Antiqua" w:hAnsi="Book Antiqua"/>
          <w:b/>
          <w:bCs/>
          <w:sz w:val="24"/>
          <w:szCs w:val="24"/>
          <w:lang w:val="en-US"/>
        </w:rPr>
        <w:t>obeticholic acid</w:t>
      </w:r>
      <w:r w:rsidRPr="00A234EE">
        <w:rPr>
          <w:rFonts w:ascii="Book Antiqua" w:hAnsi="Book Antiqua"/>
          <w:b/>
          <w:bCs/>
          <w:sz w:val="24"/>
          <w:szCs w:val="24"/>
          <w:lang w:val="en-US"/>
        </w:rPr>
        <w:t xml:space="preserve"> distribute similarly in the liver and ileum after 2 </w:t>
      </w:r>
      <w:r w:rsidR="006513F8" w:rsidRPr="00A234EE">
        <w:rPr>
          <w:rFonts w:ascii="Book Antiqua" w:hAnsi="Book Antiqua"/>
          <w:b/>
          <w:bCs/>
          <w:sz w:val="24"/>
          <w:szCs w:val="24"/>
          <w:lang w:val="en-US"/>
        </w:rPr>
        <w:t>wk</w:t>
      </w:r>
      <w:r w:rsidRPr="00A234EE">
        <w:rPr>
          <w:rFonts w:ascii="Book Antiqua" w:hAnsi="Book Antiqua"/>
          <w:b/>
          <w:bCs/>
          <w:sz w:val="24"/>
          <w:szCs w:val="24"/>
          <w:lang w:val="en-US"/>
        </w:rPr>
        <w:t xml:space="preserve"> of administration in lean C57Bl/6 mice. </w:t>
      </w:r>
      <w:r w:rsidRPr="00A234EE">
        <w:rPr>
          <w:rFonts w:ascii="Book Antiqua" w:hAnsi="Book Antiqua"/>
          <w:sz w:val="24"/>
          <w:szCs w:val="24"/>
          <w:lang w:val="en-US"/>
        </w:rPr>
        <w:t>A</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Liver concentration</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B</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Ileum concentration.</w:t>
      </w:r>
    </w:p>
    <w:p w14:paraId="6E65B53C" w14:textId="1C605702"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6DEAC671" w14:textId="6EE5E2AC"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62CBE1AC"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429D70A8"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2CF7A976"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342CD1D5"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367ABA89"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E7E5165"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4A798905"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3AE38602" w14:textId="33743FD0"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5E9B246E" w14:textId="3D6ACF99" w:rsidR="00A367D9" w:rsidRPr="00A234EE" w:rsidRDefault="00482D19"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noProof/>
          <w:sz w:val="24"/>
          <w:szCs w:val="24"/>
          <w:lang w:val="en-US" w:eastAsia="zh-CN"/>
        </w:rPr>
        <w:lastRenderedPageBreak/>
        <w:drawing>
          <wp:anchor distT="0" distB="0" distL="114300" distR="114300" simplePos="0" relativeHeight="251694080" behindDoc="1" locked="0" layoutInCell="1" allowOverlap="1" wp14:anchorId="432AD80A" wp14:editId="4A3717CA">
            <wp:simplePos x="0" y="0"/>
            <wp:positionH relativeFrom="column">
              <wp:posOffset>-374650</wp:posOffset>
            </wp:positionH>
            <wp:positionV relativeFrom="paragraph">
              <wp:posOffset>12700</wp:posOffset>
            </wp:positionV>
            <wp:extent cx="6859270" cy="3487420"/>
            <wp:effectExtent l="0" t="0" r="0" b="0"/>
            <wp:wrapTight wrapText="bothSides">
              <wp:wrapPolygon edited="0">
                <wp:start x="240" y="590"/>
                <wp:lineTo x="180" y="1298"/>
                <wp:lineTo x="420" y="2714"/>
                <wp:lineTo x="540" y="8023"/>
                <wp:lineTo x="660" y="8377"/>
                <wp:lineTo x="1200" y="8377"/>
                <wp:lineTo x="1200" y="9675"/>
                <wp:lineTo x="3899" y="10265"/>
                <wp:lineTo x="10798" y="10265"/>
                <wp:lineTo x="240" y="11209"/>
                <wp:lineTo x="180" y="12153"/>
                <wp:lineTo x="1260" y="12507"/>
                <wp:lineTo x="600" y="12979"/>
                <wp:lineTo x="600" y="19350"/>
                <wp:lineTo x="3059" y="19704"/>
                <wp:lineTo x="2939" y="20412"/>
                <wp:lineTo x="3659" y="20648"/>
                <wp:lineTo x="19076" y="20648"/>
                <wp:lineTo x="19256" y="19704"/>
                <wp:lineTo x="20696" y="19468"/>
                <wp:lineTo x="20396" y="17816"/>
                <wp:lineTo x="20576" y="17227"/>
                <wp:lineTo x="20276" y="16991"/>
                <wp:lineTo x="18117" y="15929"/>
                <wp:lineTo x="18177" y="14041"/>
                <wp:lineTo x="20096" y="13215"/>
                <wp:lineTo x="19916" y="12743"/>
                <wp:lineTo x="11758" y="12153"/>
                <wp:lineTo x="19076" y="12153"/>
                <wp:lineTo x="19076" y="11327"/>
                <wp:lineTo x="10798" y="10265"/>
                <wp:lineTo x="18537" y="10265"/>
                <wp:lineTo x="20696" y="9911"/>
                <wp:lineTo x="20576" y="8377"/>
                <wp:lineTo x="20336" y="6489"/>
                <wp:lineTo x="18117" y="4602"/>
                <wp:lineTo x="19976" y="2714"/>
                <wp:lineTo x="20096" y="1534"/>
                <wp:lineTo x="18956" y="1062"/>
                <wp:lineTo x="14817" y="590"/>
                <wp:lineTo x="240" y="59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9270" cy="3487420"/>
                    </a:xfrm>
                    <a:prstGeom prst="rect">
                      <a:avLst/>
                    </a:prstGeom>
                    <a:noFill/>
                  </pic:spPr>
                </pic:pic>
              </a:graphicData>
            </a:graphic>
            <wp14:sizeRelH relativeFrom="page">
              <wp14:pctWidth>0</wp14:pctWidth>
            </wp14:sizeRelH>
            <wp14:sizeRelV relativeFrom="page">
              <wp14:pctHeight>0</wp14:pctHeight>
            </wp14:sizeRelV>
          </wp:anchor>
        </w:drawing>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37088" behindDoc="0" locked="0" layoutInCell="1" allowOverlap="1" wp14:anchorId="1007674D" wp14:editId="60104512">
                <wp:simplePos x="0" y="0"/>
                <wp:positionH relativeFrom="column">
                  <wp:posOffset>-655320</wp:posOffset>
                </wp:positionH>
                <wp:positionV relativeFrom="paragraph">
                  <wp:posOffset>424815</wp:posOffset>
                </wp:positionV>
                <wp:extent cx="406400" cy="241300"/>
                <wp:effectExtent l="0" t="0" r="12700" b="25400"/>
                <wp:wrapNone/>
                <wp:docPr id="39" name="文本框 39"/>
                <wp:cNvGraphicFramePr/>
                <a:graphic xmlns:a="http://schemas.openxmlformats.org/drawingml/2006/main">
                  <a:graphicData uri="http://schemas.microsoft.com/office/word/2010/wordprocessingShape">
                    <wps:wsp>
                      <wps:cNvSpPr txBox="1"/>
                      <wps:spPr>
                        <a:xfrm>
                          <a:off x="0" y="0"/>
                          <a:ext cx="4064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10ED3F" w14:textId="32D43100" w:rsidR="005659DC" w:rsidRDefault="005659DC" w:rsidP="00F4058E">
                            <w:pPr>
                              <w:rPr>
                                <w:lang w:eastAsia="zh-CN"/>
                              </w:rPr>
                            </w:pPr>
                            <w:r>
                              <w:rPr>
                                <w:rFonts w:hint="eastAsia"/>
                                <w:lang w:eastAsia="zh-CN"/>
                              </w:rPr>
                              <w:t>f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674D" id="文本框 39" o:spid="_x0000_s1035" type="#_x0000_t202" style="position:absolute;left:0;text-align:left;margin-left:-51.6pt;margin-top:33.45pt;width:32pt;height: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" fillcolor="white [3201]" strokeweight=".5pt">
                <v:textbox>
                  <w:txbxContent>
                    <w:p w14:paraId="4F10ED3F" w14:textId="32D43100" w:rsidR="005659DC" w:rsidRDefault="005659DC" w:rsidP="00F4058E">
                      <w:pPr>
                        <w:rPr>
                          <w:lang w:eastAsia="zh-CN"/>
                        </w:rPr>
                      </w:pPr>
                      <w:r>
                        <w:rPr>
                          <w:rFonts w:hint="eastAsia"/>
                          <w:lang w:eastAsia="zh-CN"/>
                        </w:rPr>
                        <w:t>f a</w:t>
                      </w:r>
                    </w:p>
                  </w:txbxContent>
                </v:textbox>
              </v:shape>
            </w:pict>
          </mc:Fallback>
        </mc:AlternateContent>
      </w:r>
    </w:p>
    <w:p w14:paraId="176ACF3A" w14:textId="6C65CCB6" w:rsidR="00A367D9" w:rsidRPr="00A234EE" w:rsidRDefault="00482D19"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noProof/>
          <w:sz w:val="24"/>
          <w:szCs w:val="24"/>
          <w:lang w:val="en-US" w:eastAsia="zh-CN"/>
        </w:rPr>
        <mc:AlternateContent>
          <mc:Choice Requires="wps">
            <w:drawing>
              <wp:anchor distT="0" distB="0" distL="114300" distR="114300" simplePos="0" relativeHeight="251747328" behindDoc="0" locked="0" layoutInCell="1" allowOverlap="1" wp14:anchorId="195DBD56" wp14:editId="69A5012C">
                <wp:simplePos x="0" y="0"/>
                <wp:positionH relativeFrom="column">
                  <wp:posOffset>167005</wp:posOffset>
                </wp:positionH>
                <wp:positionV relativeFrom="paragraph">
                  <wp:posOffset>619125</wp:posOffset>
                </wp:positionV>
                <wp:extent cx="254000" cy="228600"/>
                <wp:effectExtent l="0" t="0" r="12700" b="19050"/>
                <wp:wrapNone/>
                <wp:docPr id="44" name="文本框 44"/>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DF9097" w14:textId="77777777" w:rsidR="005659DC" w:rsidRDefault="005659DC" w:rsidP="00482D19">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BD56" id="文本框 44" o:spid="_x0000_s1036" type="#_x0000_t202" style="position:absolute;left:0;text-align:left;margin-left:13.15pt;margin-top:48.75pt;width:20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" fillcolor="white [3201]" strokeweight=".5pt">
                <v:textbox>
                  <w:txbxContent>
                    <w:p w14:paraId="1ADF9097" w14:textId="77777777" w:rsidR="005659DC" w:rsidRDefault="005659DC" w:rsidP="00482D19">
                      <w:pPr>
                        <w:rPr>
                          <w:lang w:eastAsia="zh-CN"/>
                        </w:rPr>
                      </w:pPr>
                      <w:r>
                        <w:rPr>
                          <w:rFonts w:hint="eastAsia"/>
                          <w:lang w:eastAsia="zh-CN"/>
                        </w:rPr>
                        <w:t>a</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45280" behindDoc="0" locked="0" layoutInCell="1" allowOverlap="1" wp14:anchorId="3B073CC3" wp14:editId="6A76D87B">
                <wp:simplePos x="0" y="0"/>
                <wp:positionH relativeFrom="column">
                  <wp:posOffset>-2353945</wp:posOffset>
                </wp:positionH>
                <wp:positionV relativeFrom="paragraph">
                  <wp:posOffset>523875</wp:posOffset>
                </wp:positionV>
                <wp:extent cx="254000" cy="228600"/>
                <wp:effectExtent l="0" t="0" r="12700" b="19050"/>
                <wp:wrapNone/>
                <wp:docPr id="43" name="文本框 43"/>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16EBC9" w14:textId="1A961C95" w:rsidR="005659DC" w:rsidRDefault="005659DC" w:rsidP="00482D19">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3CC3" id="文本框 43" o:spid="_x0000_s1037" type="#_x0000_t202" style="position:absolute;left:0;text-align:left;margin-left:-185.35pt;margin-top:41.25pt;width:20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" fillcolor="white [3201]" strokeweight=".5pt">
                <v:textbox>
                  <w:txbxContent>
                    <w:p w14:paraId="5416EBC9" w14:textId="1A961C95" w:rsidR="005659DC" w:rsidRDefault="005659DC" w:rsidP="00482D19">
                      <w:pPr>
                        <w:rPr>
                          <w:lang w:eastAsia="zh-CN"/>
                        </w:rPr>
                      </w:pPr>
                      <w:r>
                        <w:rPr>
                          <w:rFonts w:hint="eastAsia"/>
                          <w:lang w:eastAsia="zh-CN"/>
                        </w:rPr>
                        <w:t>a</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35040" behindDoc="0" locked="0" layoutInCell="1" allowOverlap="1" wp14:anchorId="28B00330" wp14:editId="4C19906A">
                <wp:simplePos x="0" y="0"/>
                <wp:positionH relativeFrom="column">
                  <wp:posOffset>-2988945</wp:posOffset>
                </wp:positionH>
                <wp:positionV relativeFrom="paragraph">
                  <wp:posOffset>612775</wp:posOffset>
                </wp:positionV>
                <wp:extent cx="406400" cy="241300"/>
                <wp:effectExtent l="0" t="0" r="12700" b="25400"/>
                <wp:wrapNone/>
                <wp:docPr id="38" name="文本框 38"/>
                <wp:cNvGraphicFramePr/>
                <a:graphic xmlns:a="http://schemas.openxmlformats.org/drawingml/2006/main">
                  <a:graphicData uri="http://schemas.microsoft.com/office/word/2010/wordprocessingShape">
                    <wps:wsp>
                      <wps:cNvSpPr txBox="1"/>
                      <wps:spPr>
                        <a:xfrm>
                          <a:off x="0" y="0"/>
                          <a:ext cx="4064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0128E1" w14:textId="741D780E" w:rsidR="005659DC" w:rsidRDefault="005659DC" w:rsidP="00F4058E">
                            <w:pPr>
                              <w:rPr>
                                <w:lang w:eastAsia="zh-CN"/>
                              </w:rPr>
                            </w:pPr>
                            <w:r>
                              <w:rPr>
                                <w:rFonts w:hint="eastAsia"/>
                                <w:lang w:eastAsia="zh-CN"/>
                              </w:rPr>
                              <w:t>c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00330" id="文本框 38" o:spid="_x0000_s1038" type="#_x0000_t202" style="position:absolute;left:0;text-align:left;margin-left:-235.35pt;margin-top:48.25pt;width:32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" fillcolor="white [3201]" strokeweight=".5pt">
                <v:textbox>
                  <w:txbxContent>
                    <w:p w14:paraId="250128E1" w14:textId="741D780E" w:rsidR="005659DC" w:rsidRDefault="005659DC" w:rsidP="00F4058E">
                      <w:pPr>
                        <w:rPr>
                          <w:lang w:eastAsia="zh-CN"/>
                        </w:rPr>
                      </w:pPr>
                      <w:r>
                        <w:rPr>
                          <w:rFonts w:hint="eastAsia"/>
                          <w:lang w:eastAsia="zh-CN"/>
                        </w:rPr>
                        <w:t>c b</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24800" behindDoc="0" locked="0" layoutInCell="1" allowOverlap="1" wp14:anchorId="5BCE2C97" wp14:editId="23CDBDE4">
                <wp:simplePos x="0" y="0"/>
                <wp:positionH relativeFrom="column">
                  <wp:posOffset>-2036445</wp:posOffset>
                </wp:positionH>
                <wp:positionV relativeFrom="paragraph">
                  <wp:posOffset>809625</wp:posOffset>
                </wp:positionV>
                <wp:extent cx="254000" cy="228600"/>
                <wp:effectExtent l="0" t="0" r="12700" b="19050"/>
                <wp:wrapNone/>
                <wp:docPr id="33" name="文本框 33"/>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5E368"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2C97" id="文本框 33" o:spid="_x0000_s1039" type="#_x0000_t202" style="position:absolute;left:0;text-align:left;margin-left:-160.35pt;margin-top:63.75pt;width:20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" fillcolor="white [3201]" strokeweight=".5pt">
                <v:textbox>
                  <w:txbxContent>
                    <w:p w14:paraId="4EC5E368" w14:textId="77777777" w:rsidR="005659DC" w:rsidRDefault="005659DC" w:rsidP="00F4058E">
                      <w:pPr>
                        <w:rPr>
                          <w:lang w:eastAsia="zh-CN"/>
                        </w:rPr>
                      </w:pPr>
                      <w:r>
                        <w:rPr>
                          <w:rFonts w:hint="eastAsia"/>
                          <w:lang w:eastAsia="zh-CN"/>
                        </w:rPr>
                        <w:t>e</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22752" behindDoc="0" locked="0" layoutInCell="1" allowOverlap="1" wp14:anchorId="53803DE6" wp14:editId="52D19ECC">
                <wp:simplePos x="0" y="0"/>
                <wp:positionH relativeFrom="column">
                  <wp:posOffset>-2226945</wp:posOffset>
                </wp:positionH>
                <wp:positionV relativeFrom="paragraph">
                  <wp:posOffset>809625</wp:posOffset>
                </wp:positionV>
                <wp:extent cx="254000" cy="228600"/>
                <wp:effectExtent l="0" t="0" r="12700" b="19050"/>
                <wp:wrapNone/>
                <wp:docPr id="32" name="文本框 32"/>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48C14D"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03DE6" id="文本框 32" o:spid="_x0000_s1040" type="#_x0000_t202" style="position:absolute;left:0;text-align:left;margin-left:-175.35pt;margin-top:63.75pt;width:20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" fillcolor="white [3201]" strokeweight=".5pt">
                <v:textbox>
                  <w:txbxContent>
                    <w:p w14:paraId="4F48C14D" w14:textId="77777777" w:rsidR="005659DC" w:rsidRDefault="005659DC" w:rsidP="00F4058E">
                      <w:pPr>
                        <w:rPr>
                          <w:lang w:eastAsia="zh-CN"/>
                        </w:rPr>
                      </w:pPr>
                      <w:r>
                        <w:rPr>
                          <w:rFonts w:hint="eastAsia"/>
                          <w:lang w:eastAsia="zh-CN"/>
                        </w:rPr>
                        <w:t>e</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20704" behindDoc="0" locked="0" layoutInCell="1" allowOverlap="1" wp14:anchorId="292BB7A2" wp14:editId="522EDA3B">
                <wp:simplePos x="0" y="0"/>
                <wp:positionH relativeFrom="column">
                  <wp:posOffset>-2804795</wp:posOffset>
                </wp:positionH>
                <wp:positionV relativeFrom="paragraph">
                  <wp:posOffset>803275</wp:posOffset>
                </wp:positionV>
                <wp:extent cx="254000" cy="228600"/>
                <wp:effectExtent l="0" t="0" r="12700" b="19050"/>
                <wp:wrapNone/>
                <wp:docPr id="31" name="文本框 31"/>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A3D67E"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B7A2" id="文本框 31" o:spid="_x0000_s1041" type="#_x0000_t202" style="position:absolute;left:0;text-align:left;margin-left:-220.85pt;margin-top:63.25pt;width:20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" fillcolor="white [3201]" strokeweight=".5pt">
                <v:textbox>
                  <w:txbxContent>
                    <w:p w14:paraId="26A3D67E" w14:textId="77777777" w:rsidR="005659DC" w:rsidRDefault="005659DC" w:rsidP="00F4058E">
                      <w:pPr>
                        <w:rPr>
                          <w:lang w:eastAsia="zh-CN"/>
                        </w:rPr>
                      </w:pPr>
                      <w:r>
                        <w:rPr>
                          <w:rFonts w:hint="eastAsia"/>
                          <w:lang w:eastAsia="zh-CN"/>
                        </w:rPr>
                        <w:t>e</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18656" behindDoc="0" locked="0" layoutInCell="1" allowOverlap="1" wp14:anchorId="11FED50B" wp14:editId="08E725DA">
                <wp:simplePos x="0" y="0"/>
                <wp:positionH relativeFrom="column">
                  <wp:posOffset>-4309745</wp:posOffset>
                </wp:positionH>
                <wp:positionV relativeFrom="paragraph">
                  <wp:posOffset>263525</wp:posOffset>
                </wp:positionV>
                <wp:extent cx="254000" cy="228600"/>
                <wp:effectExtent l="0" t="0" r="12700" b="19050"/>
                <wp:wrapNone/>
                <wp:docPr id="30" name="文本框 30"/>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E18D25"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D50B" id="文本框 30" o:spid="_x0000_s1042" type="#_x0000_t202" style="position:absolute;left:0;text-align:left;margin-left:-339.35pt;margin-top:20.75pt;width:20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" fillcolor="white [3201]" strokeweight=".5pt">
                <v:textbox>
                  <w:txbxContent>
                    <w:p w14:paraId="51E18D25" w14:textId="77777777" w:rsidR="005659DC" w:rsidRDefault="005659DC" w:rsidP="00F4058E">
                      <w:pPr>
                        <w:rPr>
                          <w:lang w:eastAsia="zh-CN"/>
                        </w:rPr>
                      </w:pPr>
                      <w:r>
                        <w:rPr>
                          <w:rFonts w:hint="eastAsia"/>
                          <w:lang w:eastAsia="zh-CN"/>
                        </w:rPr>
                        <w:t>e</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16608" behindDoc="0" locked="0" layoutInCell="1" allowOverlap="1" wp14:anchorId="7460344D" wp14:editId="37309371">
                <wp:simplePos x="0" y="0"/>
                <wp:positionH relativeFrom="column">
                  <wp:posOffset>-4506595</wp:posOffset>
                </wp:positionH>
                <wp:positionV relativeFrom="paragraph">
                  <wp:posOffset>339725</wp:posOffset>
                </wp:positionV>
                <wp:extent cx="254000" cy="228600"/>
                <wp:effectExtent l="0" t="0" r="12700" b="19050"/>
                <wp:wrapNone/>
                <wp:docPr id="29" name="文本框 29"/>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1FBD0C" w14:textId="3FA2EC44"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344D" id="文本框 29" o:spid="_x0000_s1043" type="#_x0000_t202" style="position:absolute;left:0;text-align:left;margin-left:-354.85pt;margin-top:26.75pt;width:20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" fillcolor="white [3201]" strokeweight=".5pt">
                <v:textbox>
                  <w:txbxContent>
                    <w:p w14:paraId="601FBD0C" w14:textId="3FA2EC44" w:rsidR="005659DC" w:rsidRDefault="005659DC" w:rsidP="00F4058E">
                      <w:pPr>
                        <w:rPr>
                          <w:lang w:eastAsia="zh-CN"/>
                        </w:rPr>
                      </w:pPr>
                      <w:r>
                        <w:rPr>
                          <w:rFonts w:hint="eastAsia"/>
                          <w:lang w:eastAsia="zh-CN"/>
                        </w:rPr>
                        <w:t>e</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14560" behindDoc="0" locked="0" layoutInCell="1" allowOverlap="1" wp14:anchorId="2D5B22D4" wp14:editId="3E9DD930">
                <wp:simplePos x="0" y="0"/>
                <wp:positionH relativeFrom="column">
                  <wp:posOffset>-5116195</wp:posOffset>
                </wp:positionH>
                <wp:positionV relativeFrom="paragraph">
                  <wp:posOffset>346075</wp:posOffset>
                </wp:positionV>
                <wp:extent cx="381000" cy="266700"/>
                <wp:effectExtent l="0" t="0" r="19050" b="19050"/>
                <wp:wrapNone/>
                <wp:docPr id="28" name="文本框 28"/>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51430" w14:textId="76E8EA65" w:rsidR="005659DC" w:rsidRDefault="005659DC" w:rsidP="00F4058E">
                            <w:pPr>
                              <w:rPr>
                                <w:lang w:eastAsia="zh-CN"/>
                              </w:rPr>
                            </w:pPr>
                            <w:r>
                              <w:rPr>
                                <w:rFonts w:hint="eastAsia"/>
                                <w:lang w:eastAsia="zh-CN"/>
                              </w:rPr>
                              <w:t>f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22D4" id="文本框 28" o:spid="_x0000_s1044" type="#_x0000_t202" style="position:absolute;left:0;text-align:left;margin-left:-402.85pt;margin-top:27.25pt;width:30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" fillcolor="white [3201]" strokeweight=".5pt">
                <v:textbox>
                  <w:txbxContent>
                    <w:p w14:paraId="3D751430" w14:textId="76E8EA65" w:rsidR="005659DC" w:rsidRDefault="005659DC" w:rsidP="00F4058E">
                      <w:pPr>
                        <w:rPr>
                          <w:lang w:eastAsia="zh-CN"/>
                        </w:rPr>
                      </w:pPr>
                      <w:r>
                        <w:rPr>
                          <w:rFonts w:hint="eastAsia"/>
                          <w:lang w:eastAsia="zh-CN"/>
                        </w:rPr>
                        <w:t>f d</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12512" behindDoc="0" locked="0" layoutInCell="1" allowOverlap="1" wp14:anchorId="3AEC186E" wp14:editId="52A7C2F0">
                <wp:simplePos x="0" y="0"/>
                <wp:positionH relativeFrom="column">
                  <wp:posOffset>-5224145</wp:posOffset>
                </wp:positionH>
                <wp:positionV relativeFrom="paragraph">
                  <wp:posOffset>619125</wp:posOffset>
                </wp:positionV>
                <wp:extent cx="241300" cy="254000"/>
                <wp:effectExtent l="0" t="0" r="25400" b="12700"/>
                <wp:wrapNone/>
                <wp:docPr id="27" name="文本框 27"/>
                <wp:cNvGraphicFramePr/>
                <a:graphic xmlns:a="http://schemas.openxmlformats.org/drawingml/2006/main">
                  <a:graphicData uri="http://schemas.microsoft.com/office/word/2010/wordprocessingShape">
                    <wps:wsp>
                      <wps:cNvSpPr txBox="1"/>
                      <wps:spPr>
                        <a:xfrm>
                          <a:off x="0" y="0"/>
                          <a:ext cx="2413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8CECCA" w14:textId="46483D0F" w:rsidR="005659DC" w:rsidRDefault="005659DC">
                            <w:pPr>
                              <w:rPr>
                                <w:lang w:eastAsia="zh-CN"/>
                              </w:rPr>
                            </w:pPr>
                            <w:r>
                              <w:rPr>
                                <w:rFonts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186E" id="文本框 27" o:spid="_x0000_s1045" type="#_x0000_t202" style="position:absolute;left:0;text-align:left;margin-left:-411.35pt;margin-top:48.75pt;width:19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" fillcolor="white [3201]" strokeweight=".5pt">
                <v:textbox>
                  <w:txbxContent>
                    <w:p w14:paraId="158CECCA" w14:textId="46483D0F" w:rsidR="005659DC" w:rsidRDefault="005659DC">
                      <w:pPr>
                        <w:rPr>
                          <w:lang w:eastAsia="zh-CN"/>
                        </w:rPr>
                      </w:pPr>
                      <w:r>
                        <w:rPr>
                          <w:rFonts w:hint="eastAsia"/>
                          <w:lang w:eastAsia="zh-CN"/>
                        </w:rPr>
                        <w:t>d</w:t>
                      </w:r>
                    </w:p>
                  </w:txbxContent>
                </v:textbox>
              </v:shape>
            </w:pict>
          </mc:Fallback>
        </mc:AlternateContent>
      </w:r>
    </w:p>
    <w:p w14:paraId="10C3CE60" w14:textId="2EE517D6" w:rsidR="00A367D9" w:rsidRPr="00A234EE" w:rsidRDefault="00F4058E"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noProof/>
          <w:sz w:val="24"/>
          <w:szCs w:val="24"/>
          <w:lang w:val="en-US" w:eastAsia="zh-CN"/>
        </w:rPr>
        <mc:AlternateContent>
          <mc:Choice Requires="wps">
            <w:drawing>
              <wp:anchor distT="0" distB="0" distL="114300" distR="114300" simplePos="0" relativeHeight="251730944" behindDoc="0" locked="0" layoutInCell="1" allowOverlap="1" wp14:anchorId="69B3F05E" wp14:editId="3E00640A">
                <wp:simplePos x="0" y="0"/>
                <wp:positionH relativeFrom="column">
                  <wp:posOffset>-2224405</wp:posOffset>
                </wp:positionH>
                <wp:positionV relativeFrom="paragraph">
                  <wp:posOffset>1125220</wp:posOffset>
                </wp:positionV>
                <wp:extent cx="254000" cy="228600"/>
                <wp:effectExtent l="0" t="0" r="12700" b="19050"/>
                <wp:wrapNone/>
                <wp:docPr id="36" name="文本框 36"/>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53C4F"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F05E" id="文本框 36" o:spid="_x0000_s1046" type="#_x0000_t202" style="position:absolute;left:0;text-align:left;margin-left:-175.15pt;margin-top:88.6pt;width:20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" fillcolor="white [3201]" strokeweight=".5pt">
                <v:textbox>
                  <w:txbxContent>
                    <w:p w14:paraId="1A453C4F" w14:textId="77777777" w:rsidR="005659DC" w:rsidRDefault="005659DC" w:rsidP="00F4058E">
                      <w:pPr>
                        <w:rPr>
                          <w:lang w:eastAsia="zh-CN"/>
                        </w:rPr>
                      </w:pPr>
                      <w:r>
                        <w:rPr>
                          <w:rFonts w:hint="eastAsia"/>
                          <w:lang w:eastAsia="zh-CN"/>
                        </w:rPr>
                        <w:t>e</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26848" behindDoc="0" locked="0" layoutInCell="1" allowOverlap="1" wp14:anchorId="7828D316" wp14:editId="7F7C4D99">
                <wp:simplePos x="0" y="0"/>
                <wp:positionH relativeFrom="column">
                  <wp:posOffset>-4440555</wp:posOffset>
                </wp:positionH>
                <wp:positionV relativeFrom="paragraph">
                  <wp:posOffset>1188720</wp:posOffset>
                </wp:positionV>
                <wp:extent cx="254000" cy="228600"/>
                <wp:effectExtent l="0" t="0" r="12700" b="19050"/>
                <wp:wrapNone/>
                <wp:docPr id="34" name="文本框 34"/>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516A1"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D316" id="文本框 34" o:spid="_x0000_s1047" type="#_x0000_t202" style="position:absolute;left:0;text-align:left;margin-left:-349.65pt;margin-top:93.6pt;width:20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" fillcolor="white [3201]" strokeweight=".5pt">
                <v:textbox>
                  <w:txbxContent>
                    <w:p w14:paraId="150516A1" w14:textId="77777777" w:rsidR="005659DC" w:rsidRDefault="005659DC" w:rsidP="00F4058E">
                      <w:pPr>
                        <w:rPr>
                          <w:lang w:eastAsia="zh-CN"/>
                        </w:rPr>
                      </w:pPr>
                      <w:r>
                        <w:rPr>
                          <w:rFonts w:hint="eastAsia"/>
                          <w:lang w:eastAsia="zh-CN"/>
                        </w:rPr>
                        <w:t>e</w:t>
                      </w:r>
                    </w:p>
                  </w:txbxContent>
                </v:textbox>
              </v:shape>
            </w:pict>
          </mc:Fallback>
        </mc:AlternateContent>
      </w:r>
    </w:p>
    <w:p w14:paraId="308B7266" w14:textId="046EB6EB" w:rsidR="00A367D9" w:rsidRPr="00A234EE" w:rsidRDefault="00482D19"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noProof/>
          <w:sz w:val="24"/>
          <w:szCs w:val="24"/>
          <w:lang w:val="en-US" w:eastAsia="zh-CN"/>
        </w:rPr>
        <mc:AlternateContent>
          <mc:Choice Requires="wps">
            <w:drawing>
              <wp:anchor distT="0" distB="0" distL="114300" distR="114300" simplePos="0" relativeHeight="251755520" behindDoc="0" locked="0" layoutInCell="1" allowOverlap="1" wp14:anchorId="266C0975" wp14:editId="5ED99F80">
                <wp:simplePos x="0" y="0"/>
                <wp:positionH relativeFrom="column">
                  <wp:posOffset>-5024120</wp:posOffset>
                </wp:positionH>
                <wp:positionV relativeFrom="paragraph">
                  <wp:posOffset>838835</wp:posOffset>
                </wp:positionV>
                <wp:extent cx="254000" cy="228600"/>
                <wp:effectExtent l="0" t="0" r="12700" b="19050"/>
                <wp:wrapNone/>
                <wp:docPr id="48" name="文本框 48"/>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38101F" w14:textId="2DDA72D8" w:rsidR="005659DC" w:rsidRDefault="005659DC" w:rsidP="00482D19">
                            <w:pPr>
                              <w:rPr>
                                <w:lang w:eastAsia="zh-CN"/>
                              </w:rPr>
                            </w:pPr>
                            <w:r>
                              <w:rPr>
                                <w:rFonts w:hint="eastAsia"/>
                                <w:lang w:eastAsia="zh-C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0975" id="文本框 48" o:spid="_x0000_s1048" type="#_x0000_t202" style="position:absolute;left:0;text-align:left;margin-left:-395.6pt;margin-top:66.05pt;width:20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" fillcolor="white [3201]" strokeweight=".5pt">
                <v:textbox>
                  <w:txbxContent>
                    <w:p w14:paraId="0038101F" w14:textId="2DDA72D8" w:rsidR="005659DC" w:rsidRDefault="005659DC" w:rsidP="00482D19">
                      <w:pPr>
                        <w:rPr>
                          <w:lang w:eastAsia="zh-CN"/>
                        </w:rPr>
                      </w:pPr>
                      <w:r>
                        <w:rPr>
                          <w:rFonts w:hint="eastAsia"/>
                          <w:lang w:eastAsia="zh-CN"/>
                        </w:rPr>
                        <w:t>f</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53472" behindDoc="0" locked="0" layoutInCell="1" allowOverlap="1" wp14:anchorId="4BF5826E" wp14:editId="0F11B8DE">
                <wp:simplePos x="0" y="0"/>
                <wp:positionH relativeFrom="column">
                  <wp:posOffset>265430</wp:posOffset>
                </wp:positionH>
                <wp:positionV relativeFrom="paragraph">
                  <wp:posOffset>775335</wp:posOffset>
                </wp:positionV>
                <wp:extent cx="254000" cy="228600"/>
                <wp:effectExtent l="0" t="0" r="12700" b="19050"/>
                <wp:wrapNone/>
                <wp:docPr id="47" name="文本框 47"/>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95B68C" w14:textId="02332C53" w:rsidR="005659DC" w:rsidRDefault="005659DC" w:rsidP="00482D19">
                            <w:pPr>
                              <w:rPr>
                                <w:lang w:eastAsia="zh-CN"/>
                              </w:rPr>
                            </w:pPr>
                            <w:r>
                              <w:rPr>
                                <w:rFonts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5826E" id="文本框 47" o:spid="_x0000_s1049" type="#_x0000_t202" style="position:absolute;left:0;text-align:left;margin-left:20.9pt;margin-top:61.05pt;width:20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" fillcolor="white [3201]" strokeweight=".5pt">
                <v:textbox>
                  <w:txbxContent>
                    <w:p w14:paraId="2495B68C" w14:textId="02332C53" w:rsidR="005659DC" w:rsidRDefault="005659DC" w:rsidP="00482D19">
                      <w:pPr>
                        <w:rPr>
                          <w:lang w:eastAsia="zh-CN"/>
                        </w:rPr>
                      </w:pPr>
                      <w:r>
                        <w:rPr>
                          <w:rFonts w:hint="eastAsia"/>
                          <w:lang w:eastAsia="zh-CN"/>
                        </w:rPr>
                        <w:t>b</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51424" behindDoc="0" locked="0" layoutInCell="1" allowOverlap="1" wp14:anchorId="2C2D6127" wp14:editId="5B714CA1">
                <wp:simplePos x="0" y="0"/>
                <wp:positionH relativeFrom="column">
                  <wp:posOffset>-2058670</wp:posOffset>
                </wp:positionH>
                <wp:positionV relativeFrom="paragraph">
                  <wp:posOffset>280035</wp:posOffset>
                </wp:positionV>
                <wp:extent cx="254000" cy="228600"/>
                <wp:effectExtent l="0" t="0" r="12700" b="19050"/>
                <wp:wrapNone/>
                <wp:docPr id="46" name="文本框 46"/>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1E6ED8" w14:textId="77777777" w:rsidR="005659DC" w:rsidRDefault="005659DC" w:rsidP="00482D19">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D6127" id="文本框 46" o:spid="_x0000_s1050" type="#_x0000_t202" style="position:absolute;left:0;text-align:left;margin-left:-162.1pt;margin-top:22.05pt;width:20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" fillcolor="white [3201]" strokeweight=".5pt">
                <v:textbox>
                  <w:txbxContent>
                    <w:p w14:paraId="5C1E6ED8" w14:textId="77777777" w:rsidR="005659DC" w:rsidRDefault="005659DC" w:rsidP="00482D19">
                      <w:pPr>
                        <w:rPr>
                          <w:lang w:eastAsia="zh-CN"/>
                        </w:rPr>
                      </w:pPr>
                      <w:r>
                        <w:rPr>
                          <w:rFonts w:hint="eastAsia"/>
                          <w:lang w:eastAsia="zh-CN"/>
                        </w:rPr>
                        <w:t>a</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49376" behindDoc="0" locked="0" layoutInCell="1" allowOverlap="1" wp14:anchorId="4190F2DE" wp14:editId="7A2AEEF7">
                <wp:simplePos x="0" y="0"/>
                <wp:positionH relativeFrom="column">
                  <wp:posOffset>-2636520</wp:posOffset>
                </wp:positionH>
                <wp:positionV relativeFrom="paragraph">
                  <wp:posOffset>286385</wp:posOffset>
                </wp:positionV>
                <wp:extent cx="254000" cy="228600"/>
                <wp:effectExtent l="0" t="0" r="12700" b="19050"/>
                <wp:wrapNone/>
                <wp:docPr id="45" name="文本框 45"/>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355847" w14:textId="77777777" w:rsidR="005659DC" w:rsidRDefault="005659DC" w:rsidP="00482D19">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F2DE" id="文本框 45" o:spid="_x0000_s1051" type="#_x0000_t202" style="position:absolute;left:0;text-align:left;margin-left:-207.6pt;margin-top:22.55pt;width:20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" fillcolor="white [3201]" strokeweight=".5pt">
                <v:textbox>
                  <w:txbxContent>
                    <w:p w14:paraId="33355847" w14:textId="77777777" w:rsidR="005659DC" w:rsidRDefault="005659DC" w:rsidP="00482D19">
                      <w:pPr>
                        <w:rPr>
                          <w:lang w:eastAsia="zh-CN"/>
                        </w:rPr>
                      </w:pPr>
                      <w:r>
                        <w:rPr>
                          <w:rFonts w:hint="eastAsia"/>
                          <w:lang w:eastAsia="zh-CN"/>
                        </w:rPr>
                        <w:t>a</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43232" behindDoc="0" locked="0" layoutInCell="1" allowOverlap="1" wp14:anchorId="02F4CE99" wp14:editId="3E986D1C">
                <wp:simplePos x="0" y="0"/>
                <wp:positionH relativeFrom="column">
                  <wp:posOffset>-521970</wp:posOffset>
                </wp:positionH>
                <wp:positionV relativeFrom="paragraph">
                  <wp:posOffset>616585</wp:posOffset>
                </wp:positionV>
                <wp:extent cx="406400" cy="241300"/>
                <wp:effectExtent l="0" t="0" r="12700" b="25400"/>
                <wp:wrapNone/>
                <wp:docPr id="42" name="文本框 42"/>
                <wp:cNvGraphicFramePr/>
                <a:graphic xmlns:a="http://schemas.openxmlformats.org/drawingml/2006/main">
                  <a:graphicData uri="http://schemas.microsoft.com/office/word/2010/wordprocessingShape">
                    <wps:wsp>
                      <wps:cNvSpPr txBox="1"/>
                      <wps:spPr>
                        <a:xfrm>
                          <a:off x="0" y="0"/>
                          <a:ext cx="4064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47274" w14:textId="47A9CCBC" w:rsidR="005659DC" w:rsidRDefault="005659DC" w:rsidP="00482D19">
                            <w:pPr>
                              <w:rPr>
                                <w:lang w:eastAsia="zh-CN"/>
                              </w:rPr>
                            </w:pPr>
                            <w:r>
                              <w:rPr>
                                <w:rFonts w:hint="eastAsia"/>
                                <w:lang w:eastAsia="zh-CN"/>
                              </w:rPr>
                              <w:t>b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CE99" id="文本框 42" o:spid="_x0000_s1052" type="#_x0000_t202" style="position:absolute;left:0;text-align:left;margin-left:-41.1pt;margin-top:48.55pt;width:32pt;height: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" fillcolor="white [3201]" strokeweight=".5pt">
                <v:textbox>
                  <w:txbxContent>
                    <w:p w14:paraId="2AC47274" w14:textId="47A9CCBC" w:rsidR="005659DC" w:rsidRDefault="005659DC" w:rsidP="00482D19">
                      <w:pPr>
                        <w:rPr>
                          <w:lang w:eastAsia="zh-CN"/>
                        </w:rPr>
                      </w:pPr>
                      <w:r>
                        <w:rPr>
                          <w:rFonts w:hint="eastAsia"/>
                          <w:lang w:eastAsia="zh-CN"/>
                        </w:rPr>
                        <w:t>b d</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41184" behindDoc="0" locked="0" layoutInCell="1" allowOverlap="1" wp14:anchorId="39F5EB78" wp14:editId="34896FC0">
                <wp:simplePos x="0" y="0"/>
                <wp:positionH relativeFrom="column">
                  <wp:posOffset>-4941570</wp:posOffset>
                </wp:positionH>
                <wp:positionV relativeFrom="paragraph">
                  <wp:posOffset>648335</wp:posOffset>
                </wp:positionV>
                <wp:extent cx="406400" cy="241300"/>
                <wp:effectExtent l="0" t="0" r="12700" b="25400"/>
                <wp:wrapNone/>
                <wp:docPr id="41" name="文本框 41"/>
                <wp:cNvGraphicFramePr/>
                <a:graphic xmlns:a="http://schemas.openxmlformats.org/drawingml/2006/main">
                  <a:graphicData uri="http://schemas.microsoft.com/office/word/2010/wordprocessingShape">
                    <wps:wsp>
                      <wps:cNvSpPr txBox="1"/>
                      <wps:spPr>
                        <a:xfrm>
                          <a:off x="0" y="0"/>
                          <a:ext cx="4064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6DA87" w14:textId="77777777" w:rsidR="005659DC" w:rsidRDefault="005659DC" w:rsidP="00482D19">
                            <w:pPr>
                              <w:rPr>
                                <w:lang w:eastAsia="zh-CN"/>
                              </w:rPr>
                            </w:pPr>
                            <w:r>
                              <w:rPr>
                                <w:rFonts w:hint="eastAsia"/>
                                <w:lang w:eastAsia="zh-CN"/>
                              </w:rPr>
                              <w:t>f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EB78" id="文本框 41" o:spid="_x0000_s1053" type="#_x0000_t202" style="position:absolute;left:0;text-align:left;margin-left:-389.1pt;margin-top:51.05pt;width:32pt;height: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" fillcolor="white [3201]" strokeweight=".5pt">
                <v:textbox>
                  <w:txbxContent>
                    <w:p w14:paraId="3E36DA87" w14:textId="77777777" w:rsidR="005659DC" w:rsidRDefault="005659DC" w:rsidP="00482D19">
                      <w:pPr>
                        <w:rPr>
                          <w:lang w:eastAsia="zh-CN"/>
                        </w:rPr>
                      </w:pPr>
                      <w:r>
                        <w:rPr>
                          <w:rFonts w:hint="eastAsia"/>
                          <w:lang w:eastAsia="zh-CN"/>
                        </w:rPr>
                        <w:t>f e</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39136" behindDoc="0" locked="0" layoutInCell="1" allowOverlap="1" wp14:anchorId="1563FA19" wp14:editId="3F23AA1E">
                <wp:simplePos x="0" y="0"/>
                <wp:positionH relativeFrom="column">
                  <wp:posOffset>-344170</wp:posOffset>
                </wp:positionH>
                <wp:positionV relativeFrom="paragraph">
                  <wp:posOffset>222885</wp:posOffset>
                </wp:positionV>
                <wp:extent cx="406400" cy="241300"/>
                <wp:effectExtent l="0" t="0" r="12700" b="25400"/>
                <wp:wrapNone/>
                <wp:docPr id="40" name="文本框 40"/>
                <wp:cNvGraphicFramePr/>
                <a:graphic xmlns:a="http://schemas.openxmlformats.org/drawingml/2006/main">
                  <a:graphicData uri="http://schemas.microsoft.com/office/word/2010/wordprocessingShape">
                    <wps:wsp>
                      <wps:cNvSpPr txBox="1"/>
                      <wps:spPr>
                        <a:xfrm>
                          <a:off x="0" y="0"/>
                          <a:ext cx="4064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AB1B03" w14:textId="507D4D9E" w:rsidR="005659DC" w:rsidRDefault="005659DC" w:rsidP="00482D19">
                            <w:pPr>
                              <w:rPr>
                                <w:lang w:eastAsia="zh-CN"/>
                              </w:rPr>
                            </w:pPr>
                            <w:r>
                              <w:rPr>
                                <w:rFonts w:hint="eastAsia"/>
                                <w:lang w:eastAsia="zh-CN"/>
                              </w:rPr>
                              <w:t>f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FA19" id="文本框 40" o:spid="_x0000_s1054" type="#_x0000_t202" style="position:absolute;left:0;text-align:left;margin-left:-27.1pt;margin-top:17.55pt;width:32pt;height:1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" fillcolor="white [3201]" strokeweight=".5pt">
                <v:textbox>
                  <w:txbxContent>
                    <w:p w14:paraId="4AAB1B03" w14:textId="507D4D9E" w:rsidR="005659DC" w:rsidRDefault="005659DC" w:rsidP="00482D19">
                      <w:pPr>
                        <w:rPr>
                          <w:lang w:eastAsia="zh-CN"/>
                        </w:rPr>
                      </w:pPr>
                      <w:r>
                        <w:rPr>
                          <w:rFonts w:hint="eastAsia"/>
                          <w:lang w:eastAsia="zh-CN"/>
                        </w:rPr>
                        <w:t>f e</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32992" behindDoc="0" locked="0" layoutInCell="1" allowOverlap="1" wp14:anchorId="69645AE2" wp14:editId="300AAFA5">
                <wp:simplePos x="0" y="0"/>
                <wp:positionH relativeFrom="column">
                  <wp:posOffset>430530</wp:posOffset>
                </wp:positionH>
                <wp:positionV relativeFrom="paragraph">
                  <wp:posOffset>673735</wp:posOffset>
                </wp:positionV>
                <wp:extent cx="254000" cy="228600"/>
                <wp:effectExtent l="0" t="0" r="12700" b="19050"/>
                <wp:wrapNone/>
                <wp:docPr id="37" name="文本框 37"/>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D59ADD"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5AE2" id="文本框 37" o:spid="_x0000_s1055" type="#_x0000_t202" style="position:absolute;left:0;text-align:left;margin-left:33.9pt;margin-top:53.05pt;width:20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" fillcolor="white [3201]" strokeweight=".5pt">
                <v:textbox>
                  <w:txbxContent>
                    <w:p w14:paraId="18D59ADD" w14:textId="77777777" w:rsidR="005659DC" w:rsidRDefault="005659DC" w:rsidP="00F4058E">
                      <w:pPr>
                        <w:rPr>
                          <w:lang w:eastAsia="zh-CN"/>
                        </w:rPr>
                      </w:pPr>
                      <w:r>
                        <w:rPr>
                          <w:rFonts w:hint="eastAsia"/>
                          <w:lang w:eastAsia="zh-CN"/>
                        </w:rPr>
                        <w:t>e</w:t>
                      </w:r>
                    </w:p>
                  </w:txbxContent>
                </v:textbox>
              </v:shape>
            </w:pict>
          </mc:Fallback>
        </mc:AlternateContent>
      </w:r>
      <w:r w:rsidR="00F4058E" w:rsidRPr="00A234EE">
        <w:rPr>
          <w:rFonts w:ascii="Book Antiqua" w:hAnsi="Book Antiqua"/>
          <w:b/>
          <w:bCs/>
          <w:noProof/>
          <w:sz w:val="24"/>
          <w:szCs w:val="24"/>
          <w:lang w:val="en-US" w:eastAsia="zh-CN"/>
        </w:rPr>
        <mc:AlternateContent>
          <mc:Choice Requires="wps">
            <w:drawing>
              <wp:anchor distT="0" distB="0" distL="114300" distR="114300" simplePos="0" relativeHeight="251728896" behindDoc="0" locked="0" layoutInCell="1" allowOverlap="1" wp14:anchorId="44B7B770" wp14:editId="5EB9D5A0">
                <wp:simplePos x="0" y="0"/>
                <wp:positionH relativeFrom="column">
                  <wp:posOffset>-4306570</wp:posOffset>
                </wp:positionH>
                <wp:positionV relativeFrom="paragraph">
                  <wp:posOffset>616585</wp:posOffset>
                </wp:positionV>
                <wp:extent cx="254000" cy="228600"/>
                <wp:effectExtent l="0" t="0" r="12700" b="19050"/>
                <wp:wrapNone/>
                <wp:docPr id="35" name="文本框 35"/>
                <wp:cNvGraphicFramePr/>
                <a:graphic xmlns:a="http://schemas.openxmlformats.org/drawingml/2006/main">
                  <a:graphicData uri="http://schemas.microsoft.com/office/word/2010/wordprocessingShape">
                    <wps:wsp>
                      <wps:cNvSpPr txBox="1"/>
                      <wps:spPr>
                        <a:xfrm>
                          <a:off x="0" y="0"/>
                          <a:ext cx="25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9B05A" w14:textId="77777777" w:rsidR="005659DC" w:rsidRDefault="005659DC" w:rsidP="00F4058E">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B770" id="文本框 35" o:spid="_x0000_s1056" type="#_x0000_t202" style="position:absolute;left:0;text-align:left;margin-left:-339.1pt;margin-top:48.55pt;width:20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" fillcolor="white [3201]" strokeweight=".5pt">
                <v:textbox>
                  <w:txbxContent>
                    <w:p w14:paraId="7969B05A" w14:textId="77777777" w:rsidR="005659DC" w:rsidRDefault="005659DC" w:rsidP="00F4058E">
                      <w:pPr>
                        <w:rPr>
                          <w:lang w:eastAsia="zh-CN"/>
                        </w:rPr>
                      </w:pPr>
                      <w:r>
                        <w:rPr>
                          <w:rFonts w:hint="eastAsia"/>
                          <w:lang w:eastAsia="zh-CN"/>
                        </w:rPr>
                        <w:t>e</w:t>
                      </w:r>
                    </w:p>
                  </w:txbxContent>
                </v:textbox>
              </v:shape>
            </w:pict>
          </mc:Fallback>
        </mc:AlternateContent>
      </w:r>
    </w:p>
    <w:p w14:paraId="77FBD921"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7C5878F8" w14:textId="60C5069A"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1D52F1AA" w14:textId="4635E11C" w:rsidR="00E17977" w:rsidRPr="00A234EE" w:rsidRDefault="00E17977"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Figure 6</w:t>
      </w:r>
      <w:r w:rsidR="00F4058E" w:rsidRPr="00A234EE">
        <w:rPr>
          <w:rFonts w:ascii="Book Antiqua" w:hAnsi="Book Antiqua"/>
          <w:b/>
          <w:bCs/>
          <w:sz w:val="24"/>
          <w:szCs w:val="24"/>
          <w:lang w:val="en-US" w:eastAsia="zh-CN"/>
        </w:rPr>
        <w:t xml:space="preserve"> </w:t>
      </w:r>
      <w:r w:rsidR="0069479F" w:rsidRPr="00A234EE">
        <w:rPr>
          <w:rFonts w:ascii="Book Antiqua" w:hAnsi="Book Antiqua"/>
          <w:b/>
          <w:bCs/>
          <w:sz w:val="24"/>
          <w:szCs w:val="24"/>
          <w:lang w:val="en-US"/>
        </w:rPr>
        <w:t>Obeticholic acid</w:t>
      </w:r>
      <w:r w:rsidRPr="00A234EE">
        <w:rPr>
          <w:rFonts w:ascii="Book Antiqua" w:hAnsi="Book Antiqua"/>
          <w:b/>
          <w:bCs/>
          <w:sz w:val="24"/>
          <w:szCs w:val="24"/>
          <w:lang w:val="en-US"/>
        </w:rPr>
        <w:t xml:space="preserve"> and INT-767 modulate ileal and hepatic FXR target gene expression to a similar degree after two </w:t>
      </w:r>
      <w:r w:rsidR="006513F8" w:rsidRPr="00A234EE">
        <w:rPr>
          <w:rFonts w:ascii="Book Antiqua" w:hAnsi="Book Antiqua"/>
          <w:b/>
          <w:bCs/>
          <w:sz w:val="24"/>
          <w:szCs w:val="24"/>
          <w:lang w:val="en-US"/>
        </w:rPr>
        <w:t>wk</w:t>
      </w:r>
      <w:r w:rsidRPr="00A234EE">
        <w:rPr>
          <w:rFonts w:ascii="Book Antiqua" w:hAnsi="Book Antiqua"/>
          <w:b/>
          <w:bCs/>
          <w:sz w:val="24"/>
          <w:szCs w:val="24"/>
          <w:lang w:val="en-US"/>
        </w:rPr>
        <w:t xml:space="preserve"> of dosing in lean C57Bl/6 mice.</w:t>
      </w:r>
      <w:r w:rsidRPr="00A234EE">
        <w:rPr>
          <w:rFonts w:ascii="Book Antiqua" w:hAnsi="Book Antiqua"/>
          <w:sz w:val="24"/>
          <w:szCs w:val="24"/>
          <w:lang w:val="en-US"/>
        </w:rPr>
        <w:t xml:space="preserve"> A-D</w:t>
      </w:r>
      <w:r w:rsidR="00F4058E" w:rsidRPr="00A234EE">
        <w:rPr>
          <w:rFonts w:ascii="Book Antiqua" w:hAnsi="Book Antiqua"/>
          <w:sz w:val="24"/>
          <w:szCs w:val="24"/>
          <w:lang w:val="en-US" w:eastAsia="zh-CN"/>
        </w:rPr>
        <w:t xml:space="preserve">: </w:t>
      </w:r>
      <w:r w:rsidR="00A367D9" w:rsidRPr="00A234EE">
        <w:rPr>
          <w:rFonts w:ascii="Book Antiqua" w:hAnsi="Book Antiqua"/>
          <w:sz w:val="24"/>
          <w:szCs w:val="24"/>
          <w:lang w:val="en-US"/>
        </w:rPr>
        <w:t>Hepatic expression of BSEP, OST</w:t>
      </w:r>
      <w:r w:rsidR="00A367D9" w:rsidRPr="00A234EE">
        <w:rPr>
          <w:rFonts w:ascii="Book Antiqua" w:hAnsi="Book Antiqua"/>
          <w:sz w:val="24"/>
          <w:szCs w:val="24"/>
          <w:lang w:val="en-US"/>
        </w:rPr>
        <w:t></w:t>
      </w:r>
      <w:r w:rsidRPr="00A234EE">
        <w:rPr>
          <w:rFonts w:ascii="Book Antiqua" w:hAnsi="Book Antiqua"/>
          <w:sz w:val="24"/>
          <w:szCs w:val="24"/>
          <w:lang w:val="en-US"/>
        </w:rPr>
        <w:t>, CYP8b1, and</w:t>
      </w:r>
      <w:r w:rsidR="00F4058E" w:rsidRPr="00A234EE">
        <w:rPr>
          <w:rFonts w:ascii="Book Antiqua" w:hAnsi="Book Antiqua"/>
          <w:sz w:val="24"/>
          <w:szCs w:val="24"/>
          <w:lang w:val="en-US"/>
        </w:rPr>
        <w:t xml:space="preserve"> SHP; </w:t>
      </w:r>
      <w:r w:rsidRPr="00A234EE">
        <w:rPr>
          <w:rFonts w:ascii="Book Antiqua" w:hAnsi="Book Antiqua"/>
          <w:sz w:val="24"/>
          <w:szCs w:val="24"/>
          <w:lang w:val="en-US"/>
        </w:rPr>
        <w:t>E-F</w:t>
      </w:r>
      <w:r w:rsidR="00F4058E" w:rsidRPr="00A234EE">
        <w:rPr>
          <w:rFonts w:ascii="Book Antiqua" w:hAnsi="Book Antiqua"/>
          <w:sz w:val="24"/>
          <w:szCs w:val="24"/>
          <w:lang w:val="en-US" w:eastAsia="zh-CN"/>
        </w:rPr>
        <w:t xml:space="preserve">: </w:t>
      </w:r>
      <w:r w:rsidRPr="00A234EE">
        <w:rPr>
          <w:rFonts w:ascii="Book Antiqua" w:hAnsi="Book Antiqua"/>
          <w:sz w:val="24"/>
          <w:szCs w:val="24"/>
          <w:lang w:val="en-US"/>
        </w:rPr>
        <w:t>Ileal mRNA</w:t>
      </w:r>
      <w:r w:rsidR="00F4058E" w:rsidRPr="00A234EE">
        <w:rPr>
          <w:rFonts w:ascii="Book Antiqua" w:hAnsi="Book Antiqua"/>
          <w:sz w:val="24"/>
          <w:szCs w:val="24"/>
          <w:lang w:val="en-US"/>
        </w:rPr>
        <w:t xml:space="preserve"> expression of FGF-15 and SHP. </w:t>
      </w:r>
      <w:r w:rsidR="00F4058E" w:rsidRPr="00A234EE">
        <w:rPr>
          <w:rFonts w:ascii="Book Antiqua" w:hAnsi="Book Antiqua"/>
          <w:sz w:val="24"/>
          <w:szCs w:val="24"/>
          <w:vertAlign w:val="superscript"/>
          <w:lang w:val="en-US" w:eastAsia="zh-CN"/>
        </w:rPr>
        <w:t>a</w:t>
      </w:r>
      <w:r w:rsidR="003238D2" w:rsidRPr="00A234EE">
        <w:rPr>
          <w:rFonts w:ascii="Book Antiqua" w:hAnsi="Book Antiqua"/>
          <w:i/>
          <w:sz w:val="24"/>
          <w:szCs w:val="24"/>
          <w:lang w:val="en-US"/>
        </w:rPr>
        <w:t>P &lt;</w:t>
      </w:r>
      <w:r w:rsidR="00F4058E" w:rsidRPr="00A234EE">
        <w:rPr>
          <w:rFonts w:ascii="Book Antiqua" w:hAnsi="Book Antiqua"/>
          <w:sz w:val="24"/>
          <w:szCs w:val="24"/>
          <w:lang w:val="en-US"/>
        </w:rPr>
        <w:t xml:space="preserve">0.05, </w:t>
      </w:r>
      <w:r w:rsidR="00F4058E" w:rsidRPr="00A234EE">
        <w:rPr>
          <w:rFonts w:ascii="Book Antiqua" w:hAnsi="Book Antiqua"/>
          <w:sz w:val="24"/>
          <w:szCs w:val="24"/>
          <w:vertAlign w:val="superscript"/>
          <w:lang w:val="en-US" w:eastAsia="zh-CN"/>
        </w:rPr>
        <w:t>b</w:t>
      </w:r>
      <w:r w:rsidR="003238D2" w:rsidRPr="00A234EE">
        <w:rPr>
          <w:rFonts w:ascii="Book Antiqua" w:hAnsi="Book Antiqua"/>
          <w:i/>
          <w:sz w:val="24"/>
          <w:szCs w:val="24"/>
          <w:lang w:val="en-US"/>
        </w:rPr>
        <w:t>P &lt;</w:t>
      </w:r>
      <w:r w:rsidR="00F4058E" w:rsidRPr="00A234EE">
        <w:rPr>
          <w:rFonts w:ascii="Book Antiqua" w:hAnsi="Book Antiqua"/>
          <w:sz w:val="24"/>
          <w:szCs w:val="24"/>
          <w:lang w:val="en-US"/>
        </w:rPr>
        <w:t xml:space="preserve">0.01, </w:t>
      </w:r>
      <w:r w:rsidR="00F4058E" w:rsidRPr="00A234EE">
        <w:rPr>
          <w:rFonts w:ascii="Book Antiqua" w:hAnsi="Book Antiqua"/>
          <w:sz w:val="24"/>
          <w:szCs w:val="24"/>
          <w:vertAlign w:val="superscript"/>
          <w:lang w:val="en-US" w:eastAsia="zh-CN"/>
        </w:rPr>
        <w:t>e</w:t>
      </w:r>
      <w:r w:rsidR="003238D2" w:rsidRPr="00A234EE">
        <w:rPr>
          <w:rFonts w:ascii="Book Antiqua" w:hAnsi="Book Antiqua"/>
          <w:i/>
          <w:sz w:val="24"/>
          <w:szCs w:val="24"/>
          <w:lang w:val="en-US"/>
        </w:rPr>
        <w:t>P &lt;</w:t>
      </w:r>
      <w:r w:rsidRPr="00A234EE">
        <w:rPr>
          <w:rFonts w:ascii="Book Antiqua" w:hAnsi="Book Antiqua"/>
          <w:sz w:val="24"/>
          <w:szCs w:val="24"/>
          <w:lang w:val="en-US"/>
        </w:rPr>
        <w:t xml:space="preserve">0.001 </w:t>
      </w:r>
      <w:r w:rsidR="003238D2" w:rsidRPr="00A234EE">
        <w:rPr>
          <w:rFonts w:ascii="Book Antiqua" w:hAnsi="Book Antiqua"/>
          <w:i/>
          <w:sz w:val="24"/>
          <w:szCs w:val="24"/>
          <w:lang w:val="en-US"/>
        </w:rPr>
        <w:t>vs</w:t>
      </w:r>
      <w:r w:rsidR="00F4058E" w:rsidRPr="00A234EE">
        <w:rPr>
          <w:rFonts w:ascii="Book Antiqua" w:hAnsi="Book Antiqua"/>
          <w:sz w:val="24"/>
          <w:szCs w:val="24"/>
          <w:lang w:val="en-US"/>
        </w:rPr>
        <w:t xml:space="preserve"> no treatment (dose</w:t>
      </w:r>
      <w:r w:rsidR="00F4058E" w:rsidRPr="00A234EE">
        <w:rPr>
          <w:rFonts w:ascii="Book Antiqua" w:hAnsi="Book Antiqua"/>
          <w:sz w:val="24"/>
          <w:szCs w:val="24"/>
          <w:lang w:val="en-US" w:eastAsia="zh-CN"/>
        </w:rPr>
        <w:t xml:space="preserve"> </w:t>
      </w:r>
      <w:r w:rsidR="00F4058E" w:rsidRPr="00A234EE">
        <w:rPr>
          <w:rFonts w:ascii="Book Antiqua" w:hAnsi="Book Antiqua"/>
          <w:sz w:val="24"/>
          <w:szCs w:val="24"/>
          <w:lang w:val="en-US"/>
        </w:rPr>
        <w:t>=</w:t>
      </w:r>
      <w:r w:rsidR="00F4058E" w:rsidRPr="00A234EE">
        <w:rPr>
          <w:rFonts w:ascii="Book Antiqua" w:hAnsi="Book Antiqua"/>
          <w:sz w:val="24"/>
          <w:szCs w:val="24"/>
          <w:lang w:val="en-US" w:eastAsia="zh-CN"/>
        </w:rPr>
        <w:t xml:space="preserve"> </w:t>
      </w:r>
      <w:r w:rsidR="00F4058E" w:rsidRPr="00A234EE">
        <w:rPr>
          <w:rFonts w:ascii="Book Antiqua" w:hAnsi="Book Antiqua"/>
          <w:sz w:val="24"/>
          <w:szCs w:val="24"/>
          <w:lang w:val="en-US"/>
        </w:rPr>
        <w:t xml:space="preserve">0); </w:t>
      </w:r>
      <w:r w:rsidR="00F4058E" w:rsidRPr="00A234EE">
        <w:rPr>
          <w:rFonts w:ascii="Book Antiqua" w:hAnsi="Book Antiqua"/>
          <w:sz w:val="24"/>
          <w:szCs w:val="24"/>
          <w:vertAlign w:val="superscript"/>
          <w:lang w:val="en-US" w:eastAsia="zh-CN"/>
        </w:rPr>
        <w:t>c</w:t>
      </w:r>
      <w:r w:rsidR="003238D2" w:rsidRPr="00A234EE">
        <w:rPr>
          <w:rFonts w:ascii="Book Antiqua" w:hAnsi="Book Antiqua"/>
          <w:i/>
          <w:sz w:val="24"/>
          <w:szCs w:val="24"/>
          <w:lang w:val="en-US"/>
        </w:rPr>
        <w:t>P &lt;</w:t>
      </w:r>
      <w:r w:rsidR="00F4058E" w:rsidRPr="00A234EE">
        <w:rPr>
          <w:rFonts w:ascii="Book Antiqua" w:hAnsi="Book Antiqua"/>
          <w:sz w:val="24"/>
          <w:szCs w:val="24"/>
          <w:lang w:val="en-US"/>
        </w:rPr>
        <w:t xml:space="preserve">0.05, </w:t>
      </w:r>
      <w:r w:rsidR="00F4058E" w:rsidRPr="00A234EE">
        <w:rPr>
          <w:rFonts w:ascii="Book Antiqua" w:hAnsi="Book Antiqua"/>
          <w:sz w:val="24"/>
          <w:szCs w:val="24"/>
          <w:vertAlign w:val="superscript"/>
          <w:lang w:val="en-US" w:eastAsia="zh-CN"/>
        </w:rPr>
        <w:t>d</w:t>
      </w:r>
      <w:r w:rsidR="003238D2" w:rsidRPr="00A234EE">
        <w:rPr>
          <w:rFonts w:ascii="Book Antiqua" w:hAnsi="Book Antiqua"/>
          <w:i/>
          <w:sz w:val="24"/>
          <w:szCs w:val="24"/>
          <w:lang w:val="en-US"/>
        </w:rPr>
        <w:t>P &lt;</w:t>
      </w:r>
      <w:r w:rsidR="00F4058E" w:rsidRPr="00A234EE">
        <w:rPr>
          <w:rFonts w:ascii="Book Antiqua" w:hAnsi="Book Antiqua"/>
          <w:sz w:val="24"/>
          <w:szCs w:val="24"/>
          <w:lang w:val="en-US"/>
        </w:rPr>
        <w:t xml:space="preserve">0.01, </w:t>
      </w:r>
      <w:r w:rsidR="00F4058E" w:rsidRPr="00A234EE">
        <w:rPr>
          <w:rFonts w:ascii="Book Antiqua" w:hAnsi="Book Antiqua"/>
          <w:sz w:val="24"/>
          <w:szCs w:val="24"/>
          <w:vertAlign w:val="superscript"/>
          <w:lang w:val="en-US" w:eastAsia="zh-CN"/>
        </w:rPr>
        <w:t>f</w:t>
      </w:r>
      <w:r w:rsidR="003238D2" w:rsidRPr="00A234EE">
        <w:rPr>
          <w:rFonts w:ascii="Book Antiqua" w:hAnsi="Book Antiqua"/>
          <w:i/>
          <w:sz w:val="24"/>
          <w:szCs w:val="24"/>
          <w:lang w:val="en-US"/>
        </w:rPr>
        <w:t>P &lt;</w:t>
      </w:r>
      <w:r w:rsidRPr="00A234EE">
        <w:rPr>
          <w:rFonts w:ascii="Book Antiqua" w:hAnsi="Book Antiqua"/>
          <w:sz w:val="24"/>
          <w:szCs w:val="24"/>
          <w:lang w:val="en-US"/>
        </w:rPr>
        <w:t xml:space="preserve">0.001 </w:t>
      </w:r>
      <w:r w:rsidR="003238D2" w:rsidRPr="00A234EE">
        <w:rPr>
          <w:rFonts w:ascii="Book Antiqua" w:hAnsi="Book Antiqua"/>
          <w:i/>
          <w:sz w:val="24"/>
          <w:szCs w:val="24"/>
          <w:lang w:val="en-US"/>
        </w:rPr>
        <w:t>vs</w:t>
      </w:r>
      <w:r w:rsidRPr="00A234EE">
        <w:rPr>
          <w:rFonts w:ascii="Book Antiqua" w:hAnsi="Book Antiqua"/>
          <w:sz w:val="24"/>
          <w:szCs w:val="24"/>
          <w:lang w:val="en-US"/>
        </w:rPr>
        <w:t xml:space="preserve"> corresponding INT-767 dose (two-way ANOVA with Bonferroni’s post-hoc test).</w:t>
      </w:r>
    </w:p>
    <w:p w14:paraId="4EE6AB84"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3074A010" w14:textId="77777777" w:rsidR="00482D19" w:rsidRPr="00A234EE" w:rsidRDefault="00482D19" w:rsidP="00A234EE">
      <w:pPr>
        <w:adjustRightInd w:val="0"/>
        <w:snapToGrid w:val="0"/>
        <w:spacing w:after="0" w:line="360" w:lineRule="auto"/>
        <w:jc w:val="both"/>
        <w:rPr>
          <w:rFonts w:ascii="Book Antiqua" w:hAnsi="Book Antiqua"/>
          <w:b/>
          <w:sz w:val="24"/>
          <w:szCs w:val="24"/>
          <w:lang w:val="en-US" w:eastAsia="zh-CN"/>
        </w:rPr>
      </w:pPr>
    </w:p>
    <w:p w14:paraId="052D4641" w14:textId="77777777" w:rsidR="00482D19" w:rsidRPr="00A234EE" w:rsidRDefault="00482D19" w:rsidP="00A234EE">
      <w:pPr>
        <w:adjustRightInd w:val="0"/>
        <w:snapToGrid w:val="0"/>
        <w:spacing w:after="0" w:line="360" w:lineRule="auto"/>
        <w:jc w:val="both"/>
        <w:rPr>
          <w:rFonts w:ascii="Book Antiqua" w:hAnsi="Book Antiqua"/>
          <w:b/>
          <w:sz w:val="24"/>
          <w:szCs w:val="24"/>
          <w:lang w:val="en-US" w:eastAsia="zh-CN"/>
        </w:rPr>
      </w:pPr>
    </w:p>
    <w:p w14:paraId="34ECE72F" w14:textId="77777777" w:rsidR="00482D19" w:rsidRPr="00A234EE" w:rsidRDefault="00482D19" w:rsidP="00A234EE">
      <w:pPr>
        <w:adjustRightInd w:val="0"/>
        <w:snapToGrid w:val="0"/>
        <w:spacing w:after="0" w:line="360" w:lineRule="auto"/>
        <w:jc w:val="both"/>
        <w:rPr>
          <w:rFonts w:ascii="Book Antiqua" w:hAnsi="Book Antiqua"/>
          <w:b/>
          <w:sz w:val="24"/>
          <w:szCs w:val="24"/>
          <w:lang w:val="en-US" w:eastAsia="zh-CN"/>
        </w:rPr>
      </w:pPr>
    </w:p>
    <w:p w14:paraId="7F6DB90E" w14:textId="77777777" w:rsidR="00482D19" w:rsidRPr="00A234EE" w:rsidRDefault="00482D19" w:rsidP="00A234EE">
      <w:pPr>
        <w:adjustRightInd w:val="0"/>
        <w:snapToGrid w:val="0"/>
        <w:spacing w:after="0" w:line="360" w:lineRule="auto"/>
        <w:jc w:val="both"/>
        <w:rPr>
          <w:rFonts w:ascii="Book Antiqua" w:hAnsi="Book Antiqua"/>
          <w:b/>
          <w:sz w:val="24"/>
          <w:szCs w:val="24"/>
          <w:lang w:val="en-US" w:eastAsia="zh-CN"/>
        </w:rPr>
      </w:pPr>
    </w:p>
    <w:p w14:paraId="2F615D20" w14:textId="77777777" w:rsidR="00482D19" w:rsidRPr="00A234EE" w:rsidRDefault="00482D19" w:rsidP="00A234EE">
      <w:pPr>
        <w:adjustRightInd w:val="0"/>
        <w:snapToGrid w:val="0"/>
        <w:spacing w:after="0" w:line="360" w:lineRule="auto"/>
        <w:jc w:val="both"/>
        <w:rPr>
          <w:rFonts w:ascii="Book Antiqua" w:hAnsi="Book Antiqua"/>
          <w:b/>
          <w:sz w:val="24"/>
          <w:szCs w:val="24"/>
          <w:lang w:val="en-US" w:eastAsia="zh-CN"/>
        </w:rPr>
      </w:pPr>
    </w:p>
    <w:p w14:paraId="453E6506" w14:textId="77777777" w:rsidR="00482D19" w:rsidRPr="00A234EE" w:rsidRDefault="00482D19" w:rsidP="00A234EE">
      <w:pPr>
        <w:adjustRightInd w:val="0"/>
        <w:snapToGrid w:val="0"/>
        <w:spacing w:after="0" w:line="360" w:lineRule="auto"/>
        <w:jc w:val="both"/>
        <w:rPr>
          <w:rFonts w:ascii="Book Antiqua" w:hAnsi="Book Antiqua"/>
          <w:b/>
          <w:sz w:val="24"/>
          <w:szCs w:val="24"/>
          <w:lang w:val="en-US" w:eastAsia="zh-CN"/>
        </w:rPr>
      </w:pPr>
    </w:p>
    <w:p w14:paraId="1BA04CCA" w14:textId="525C848C" w:rsidR="00E17977" w:rsidRPr="00A234EE" w:rsidRDefault="00A85F42" w:rsidP="00A234EE">
      <w:pPr>
        <w:adjustRightInd w:val="0"/>
        <w:snapToGrid w:val="0"/>
        <w:spacing w:after="0" w:line="360" w:lineRule="auto"/>
        <w:jc w:val="both"/>
        <w:rPr>
          <w:rFonts w:ascii="Book Antiqua" w:hAnsi="Book Antiqua"/>
          <w:sz w:val="24"/>
          <w:szCs w:val="24"/>
          <w:lang w:val="en-US" w:eastAsia="zh-CN"/>
        </w:rPr>
      </w:pPr>
      <w:r w:rsidRPr="00A234EE">
        <w:rPr>
          <w:rFonts w:ascii="Book Antiqua" w:hAnsi="Book Antiqua"/>
          <w:noProof/>
          <w:sz w:val="24"/>
          <w:szCs w:val="24"/>
          <w:lang w:val="en-US" w:eastAsia="zh-CN"/>
        </w:rPr>
        <w:lastRenderedPageBreak/>
        <w:drawing>
          <wp:anchor distT="0" distB="0" distL="114300" distR="114300" simplePos="0" relativeHeight="251692032" behindDoc="1" locked="0" layoutInCell="1" allowOverlap="1" wp14:anchorId="4255BFDB" wp14:editId="12BE7A26">
            <wp:simplePos x="0" y="0"/>
            <wp:positionH relativeFrom="column">
              <wp:posOffset>-133350</wp:posOffset>
            </wp:positionH>
            <wp:positionV relativeFrom="paragraph">
              <wp:posOffset>285115</wp:posOffset>
            </wp:positionV>
            <wp:extent cx="6266180" cy="4176094"/>
            <wp:effectExtent l="0" t="0" r="1270" b="0"/>
            <wp:wrapTight wrapText="bothSides">
              <wp:wrapPolygon edited="0">
                <wp:start x="4071" y="99"/>
                <wp:lineTo x="2101" y="1281"/>
                <wp:lineTo x="2101" y="1872"/>
                <wp:lineTo x="460" y="2858"/>
                <wp:lineTo x="197" y="3153"/>
                <wp:lineTo x="263" y="3449"/>
                <wp:lineTo x="2036" y="5026"/>
                <wp:lineTo x="985" y="6011"/>
                <wp:lineTo x="591" y="6504"/>
                <wp:lineTo x="197" y="7193"/>
                <wp:lineTo x="328" y="7489"/>
                <wp:lineTo x="2101" y="8179"/>
                <wp:lineTo x="2101" y="9755"/>
                <wp:lineTo x="919" y="10347"/>
                <wp:lineTo x="131" y="10938"/>
                <wp:lineTo x="131" y="11529"/>
                <wp:lineTo x="1904" y="12909"/>
                <wp:lineTo x="2101" y="14485"/>
                <wp:lineTo x="328" y="14584"/>
                <wp:lineTo x="328" y="15865"/>
                <wp:lineTo x="2101" y="16062"/>
                <wp:lineTo x="2101" y="17639"/>
                <wp:lineTo x="591" y="18624"/>
                <wp:lineTo x="328" y="18920"/>
                <wp:lineTo x="263" y="19905"/>
                <wp:lineTo x="919" y="20496"/>
                <wp:lineTo x="2101" y="20792"/>
                <wp:lineTo x="2101" y="21482"/>
                <wp:lineTo x="21539" y="21482"/>
                <wp:lineTo x="21539" y="1281"/>
                <wp:lineTo x="21210" y="985"/>
                <wp:lineTo x="19897" y="99"/>
                <wp:lineTo x="4071" y="9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6180" cy="4176094"/>
                    </a:xfrm>
                    <a:prstGeom prst="rect">
                      <a:avLst/>
                    </a:prstGeom>
                    <a:noFill/>
                  </pic:spPr>
                </pic:pic>
              </a:graphicData>
            </a:graphic>
            <wp14:sizeRelH relativeFrom="page">
              <wp14:pctWidth>0</wp14:pctWidth>
            </wp14:sizeRelH>
            <wp14:sizeRelV relativeFrom="page">
              <wp14:pctHeight>0</wp14:pctHeight>
            </wp14:sizeRelV>
          </wp:anchor>
        </w:drawing>
      </w:r>
    </w:p>
    <w:p w14:paraId="6FAE9CCC" w14:textId="77777777" w:rsidR="00E17977" w:rsidRPr="00A234EE" w:rsidRDefault="00E17977" w:rsidP="00A234EE">
      <w:pPr>
        <w:adjustRightInd w:val="0"/>
        <w:snapToGrid w:val="0"/>
        <w:spacing w:after="0" w:line="360" w:lineRule="auto"/>
        <w:jc w:val="both"/>
        <w:rPr>
          <w:rFonts w:ascii="Book Antiqua" w:hAnsi="Book Antiqua"/>
          <w:sz w:val="24"/>
          <w:szCs w:val="24"/>
          <w:lang w:val="en-US"/>
        </w:rPr>
      </w:pPr>
    </w:p>
    <w:p w14:paraId="18C23FE3" w14:textId="77777777" w:rsidR="00E17977" w:rsidRPr="00A234EE" w:rsidRDefault="00E17977" w:rsidP="00A234EE">
      <w:pPr>
        <w:adjustRightInd w:val="0"/>
        <w:snapToGrid w:val="0"/>
        <w:spacing w:after="0" w:line="360" w:lineRule="auto"/>
        <w:jc w:val="both"/>
        <w:rPr>
          <w:rFonts w:ascii="Book Antiqua" w:hAnsi="Book Antiqua"/>
          <w:b/>
          <w:bCs/>
          <w:sz w:val="24"/>
          <w:szCs w:val="24"/>
          <w:lang w:val="en-US"/>
        </w:rPr>
      </w:pPr>
    </w:p>
    <w:p w14:paraId="6F19B204" w14:textId="77777777" w:rsidR="00E17977" w:rsidRPr="00A234EE" w:rsidRDefault="00E17977" w:rsidP="00A234EE">
      <w:pPr>
        <w:adjustRightInd w:val="0"/>
        <w:snapToGrid w:val="0"/>
        <w:spacing w:after="0" w:line="360" w:lineRule="auto"/>
        <w:jc w:val="both"/>
        <w:rPr>
          <w:rFonts w:ascii="Book Antiqua" w:hAnsi="Book Antiqua"/>
          <w:b/>
          <w:bCs/>
          <w:sz w:val="24"/>
          <w:szCs w:val="24"/>
          <w:lang w:val="en-US"/>
        </w:rPr>
      </w:pPr>
    </w:p>
    <w:p w14:paraId="62120235"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4A4C38D9"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056D233F" w14:textId="75148B6B"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60FE3BC0"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47CF3964" w14:textId="7D74DAF0" w:rsidR="00E17977" w:rsidRPr="00A234EE" w:rsidRDefault="00E17977"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sz w:val="24"/>
          <w:szCs w:val="24"/>
          <w:lang w:val="en-US"/>
        </w:rPr>
        <w:t>Figure 7</w:t>
      </w:r>
      <w:r w:rsidR="00482D19"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INT-767 or </w:t>
      </w:r>
      <w:r w:rsidR="0069479F" w:rsidRPr="00A234EE">
        <w:rPr>
          <w:rFonts w:ascii="Book Antiqua" w:hAnsi="Book Antiqua"/>
          <w:b/>
          <w:bCs/>
          <w:sz w:val="24"/>
          <w:szCs w:val="24"/>
          <w:lang w:val="en-US"/>
        </w:rPr>
        <w:t>obeticholic acid</w:t>
      </w:r>
      <w:r w:rsidRPr="00A234EE">
        <w:rPr>
          <w:rFonts w:ascii="Book Antiqua" w:hAnsi="Book Antiqua"/>
          <w:b/>
          <w:bCs/>
          <w:sz w:val="24"/>
          <w:szCs w:val="24"/>
          <w:lang w:val="en-US"/>
        </w:rPr>
        <w:t xml:space="preserve"> treatment for 16 </w:t>
      </w:r>
      <w:r w:rsidR="006513F8" w:rsidRPr="00A234EE">
        <w:rPr>
          <w:rFonts w:ascii="Book Antiqua" w:hAnsi="Book Antiqua"/>
          <w:b/>
          <w:bCs/>
          <w:sz w:val="24"/>
          <w:szCs w:val="24"/>
          <w:lang w:val="en-US"/>
        </w:rPr>
        <w:t>wk</w:t>
      </w:r>
      <w:r w:rsidRPr="00A234EE">
        <w:rPr>
          <w:rFonts w:ascii="Book Antiqua" w:hAnsi="Book Antiqua"/>
          <w:b/>
          <w:bCs/>
          <w:sz w:val="24"/>
          <w:szCs w:val="24"/>
          <w:lang w:val="en-US"/>
        </w:rPr>
        <w:t xml:space="preserve"> improves liver histopathology in </w:t>
      </w:r>
      <w:r w:rsidRPr="00A234EE">
        <w:rPr>
          <w:rFonts w:ascii="Book Antiqua" w:hAnsi="Book Antiqua"/>
          <w:b/>
          <w:bCs/>
          <w:i/>
          <w:iCs/>
          <w:sz w:val="24"/>
          <w:szCs w:val="24"/>
          <w:lang w:val="en-US"/>
        </w:rPr>
        <w:t>ob/ob</w:t>
      </w:r>
      <w:r w:rsidRPr="00A234EE">
        <w:rPr>
          <w:rFonts w:ascii="Book Antiqua" w:hAnsi="Book Antiqua"/>
          <w:b/>
          <w:bCs/>
          <w:sz w:val="24"/>
          <w:szCs w:val="24"/>
          <w:lang w:val="en-US"/>
        </w:rPr>
        <w:t>-</w:t>
      </w:r>
      <w:r w:rsidR="0069479F" w:rsidRPr="00A234EE">
        <w:rPr>
          <w:rFonts w:ascii="Book Antiqua" w:hAnsi="Book Antiqua"/>
          <w:sz w:val="24"/>
          <w:szCs w:val="24"/>
          <w:lang w:val="en-US"/>
        </w:rPr>
        <w:t xml:space="preserve"> </w:t>
      </w:r>
      <w:r w:rsidR="0069479F" w:rsidRPr="00A234EE">
        <w:rPr>
          <w:rFonts w:ascii="Book Antiqua" w:hAnsi="Book Antiqua"/>
          <w:b/>
          <w:bCs/>
          <w:sz w:val="24"/>
          <w:szCs w:val="24"/>
          <w:lang w:val="en-US"/>
        </w:rPr>
        <w:t>non-alcoholic steatohepatitis</w:t>
      </w:r>
      <w:r w:rsidRPr="00A234EE">
        <w:rPr>
          <w:rFonts w:ascii="Book Antiqua" w:hAnsi="Book Antiqua"/>
          <w:b/>
          <w:bCs/>
          <w:sz w:val="24"/>
          <w:szCs w:val="24"/>
          <w:lang w:val="en-US"/>
        </w:rPr>
        <w:t xml:space="preserve"> mice with biopsy-confirmed liver pathology.</w:t>
      </w:r>
      <w:r w:rsidRPr="00A234EE">
        <w:rPr>
          <w:rFonts w:ascii="Book Antiqua" w:hAnsi="Book Antiqua"/>
          <w:sz w:val="24"/>
          <w:szCs w:val="24"/>
          <w:lang w:val="en-US"/>
        </w:rPr>
        <w:t xml:space="preserve"> Representative hematoxylin-eosin (HE), picro-Sirius red, collagen 1a1 and galectin-3 stainings.</w:t>
      </w:r>
    </w:p>
    <w:p w14:paraId="73D9876B" w14:textId="77777777" w:rsidR="00E17977" w:rsidRPr="00A234EE" w:rsidRDefault="00E17977" w:rsidP="00A234EE">
      <w:pPr>
        <w:adjustRightInd w:val="0"/>
        <w:snapToGrid w:val="0"/>
        <w:spacing w:after="0" w:line="360" w:lineRule="auto"/>
        <w:jc w:val="both"/>
        <w:rPr>
          <w:rFonts w:ascii="Book Antiqua" w:hAnsi="Book Antiqua"/>
          <w:b/>
          <w:bCs/>
          <w:sz w:val="24"/>
          <w:szCs w:val="24"/>
          <w:lang w:val="en-US"/>
        </w:rPr>
      </w:pPr>
    </w:p>
    <w:p w14:paraId="18BFCB35" w14:textId="4C90E4AF" w:rsidR="00CB6A24" w:rsidRPr="00A234EE" w:rsidRDefault="00482D19"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b/>
          <w:bCs/>
          <w:noProof/>
          <w:sz w:val="24"/>
          <w:szCs w:val="24"/>
          <w:lang w:val="en-US" w:eastAsia="zh-CN"/>
        </w:rPr>
        <w:lastRenderedPageBreak/>
        <mc:AlternateContent>
          <mc:Choice Requires="wps">
            <w:drawing>
              <wp:anchor distT="0" distB="0" distL="114300" distR="114300" simplePos="0" relativeHeight="251762688" behindDoc="0" locked="0" layoutInCell="1" allowOverlap="1" wp14:anchorId="54C0F8CE" wp14:editId="77D897EF">
                <wp:simplePos x="0" y="0"/>
                <wp:positionH relativeFrom="column">
                  <wp:posOffset>5991860</wp:posOffset>
                </wp:positionH>
                <wp:positionV relativeFrom="paragraph">
                  <wp:posOffset>729615</wp:posOffset>
                </wp:positionV>
                <wp:extent cx="273050" cy="279400"/>
                <wp:effectExtent l="0" t="0" r="12700" b="25400"/>
                <wp:wrapNone/>
                <wp:docPr id="52" name="文本框 52"/>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764DF" w14:textId="1F982FD2" w:rsidR="005659DC" w:rsidRDefault="005659DC" w:rsidP="00482D19">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F8CE" id="文本框 52" o:spid="_x0000_s1057" type="#_x0000_t202" style="position:absolute;left:0;text-align:left;margin-left:471.8pt;margin-top:57.45pt;width:21.5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" fillcolor="white [3201]" strokeweight=".5pt">
                <v:textbox>
                  <w:txbxContent>
                    <w:p w14:paraId="3B1764DF" w14:textId="1F982FD2" w:rsidR="005659DC" w:rsidRDefault="005659DC" w:rsidP="00482D19">
                      <w:pPr>
                        <w:rPr>
                          <w:lang w:eastAsia="zh-CN"/>
                        </w:rPr>
                      </w:pPr>
                      <w:r>
                        <w:rPr>
                          <w:rFonts w:hint="eastAsia"/>
                          <w:lang w:eastAsia="zh-CN"/>
                        </w:rPr>
                        <w:t>e</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60640" behindDoc="0" locked="0" layoutInCell="1" allowOverlap="1" wp14:anchorId="74FA516D" wp14:editId="58E7438D">
                <wp:simplePos x="0" y="0"/>
                <wp:positionH relativeFrom="column">
                  <wp:posOffset>4690110</wp:posOffset>
                </wp:positionH>
                <wp:positionV relativeFrom="paragraph">
                  <wp:posOffset>513715</wp:posOffset>
                </wp:positionV>
                <wp:extent cx="273050" cy="279400"/>
                <wp:effectExtent l="0" t="0" r="12700" b="25400"/>
                <wp:wrapNone/>
                <wp:docPr id="51" name="文本框 51"/>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A8C0CE" w14:textId="77777777" w:rsidR="005659DC" w:rsidRDefault="005659DC" w:rsidP="00482D19">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516D" id="文本框 51" o:spid="_x0000_s1058" type="#_x0000_t202" style="position:absolute;left:0;text-align:left;margin-left:369.3pt;margin-top:40.45pt;width:21.5pt;height: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" fillcolor="white [3201]" strokeweight=".5pt">
                <v:textbox>
                  <w:txbxContent>
                    <w:p w14:paraId="2CA8C0CE" w14:textId="77777777" w:rsidR="005659DC" w:rsidRDefault="005659DC" w:rsidP="00482D19">
                      <w:pPr>
                        <w:rPr>
                          <w:lang w:eastAsia="zh-CN"/>
                        </w:rPr>
                      </w:pPr>
                      <w:r>
                        <w:rPr>
                          <w:rFonts w:hint="eastAsia"/>
                          <w:lang w:eastAsia="zh-CN"/>
                        </w:rPr>
                        <w:t>a</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56544" behindDoc="0" locked="0" layoutInCell="1" allowOverlap="1" wp14:anchorId="35CFC1DC" wp14:editId="5874F5BD">
                <wp:simplePos x="0" y="0"/>
                <wp:positionH relativeFrom="column">
                  <wp:posOffset>1972310</wp:posOffset>
                </wp:positionH>
                <wp:positionV relativeFrom="paragraph">
                  <wp:posOffset>513715</wp:posOffset>
                </wp:positionV>
                <wp:extent cx="273050" cy="279400"/>
                <wp:effectExtent l="0" t="0" r="12700" b="25400"/>
                <wp:wrapNone/>
                <wp:docPr id="49" name="文本框 49"/>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D4686F" w14:textId="53D61A06" w:rsidR="005659DC" w:rsidRDefault="005659DC">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C1DC" id="文本框 49" o:spid="_x0000_s1059" type="#_x0000_t202" style="position:absolute;left:0;text-align:left;margin-left:155.3pt;margin-top:40.45pt;width:21.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" fillcolor="white [3201]" strokeweight=".5pt">
                <v:textbox>
                  <w:txbxContent>
                    <w:p w14:paraId="6ED4686F" w14:textId="53D61A06" w:rsidR="005659DC" w:rsidRDefault="005659DC">
                      <w:pPr>
                        <w:rPr>
                          <w:lang w:eastAsia="zh-CN"/>
                        </w:rPr>
                      </w:pPr>
                      <w:r>
                        <w:rPr>
                          <w:rFonts w:hint="eastAsia"/>
                          <w:lang w:eastAsia="zh-CN"/>
                        </w:rPr>
                        <w:t>a</w:t>
                      </w:r>
                    </w:p>
                  </w:txbxContent>
                </v:textbox>
              </v:shape>
            </w:pict>
          </mc:Fallback>
        </mc:AlternateContent>
      </w:r>
      <w:r w:rsidR="00A85F42" w:rsidRPr="00A234EE">
        <w:rPr>
          <w:rFonts w:ascii="Book Antiqua" w:hAnsi="Book Antiqua"/>
          <w:b/>
          <w:bCs/>
          <w:noProof/>
          <w:sz w:val="24"/>
          <w:szCs w:val="24"/>
          <w:lang w:val="en-US" w:eastAsia="zh-CN"/>
        </w:rPr>
        <w:drawing>
          <wp:anchor distT="0" distB="0" distL="114300" distR="114300" simplePos="0" relativeHeight="251689984" behindDoc="1" locked="0" layoutInCell="1" allowOverlap="1" wp14:anchorId="549F7B54" wp14:editId="376FB6F3">
            <wp:simplePos x="0" y="0"/>
            <wp:positionH relativeFrom="column">
              <wp:posOffset>-650875</wp:posOffset>
            </wp:positionH>
            <wp:positionV relativeFrom="paragraph">
              <wp:posOffset>173355</wp:posOffset>
            </wp:positionV>
            <wp:extent cx="7357745" cy="4095750"/>
            <wp:effectExtent l="0" t="0" r="0" b="0"/>
            <wp:wrapTight wrapText="bothSides">
              <wp:wrapPolygon edited="0">
                <wp:start x="2628" y="904"/>
                <wp:lineTo x="1734" y="2713"/>
                <wp:lineTo x="1790" y="7937"/>
                <wp:lineTo x="2293" y="9142"/>
                <wp:lineTo x="2293" y="9444"/>
                <wp:lineTo x="9451" y="10750"/>
                <wp:lineTo x="10793" y="10750"/>
                <wp:lineTo x="3411" y="11152"/>
                <wp:lineTo x="2293" y="11353"/>
                <wp:lineTo x="2293" y="12357"/>
                <wp:lineTo x="1790" y="12860"/>
                <wp:lineTo x="1790" y="13060"/>
                <wp:lineTo x="2069" y="13965"/>
                <wp:lineTo x="1790" y="13965"/>
                <wp:lineTo x="1734" y="17883"/>
                <wp:lineTo x="2349" y="18787"/>
                <wp:lineTo x="2293" y="19691"/>
                <wp:lineTo x="3523" y="19993"/>
                <wp:lineTo x="15659" y="19993"/>
                <wp:lineTo x="20077" y="19792"/>
                <wp:lineTo x="19965" y="18887"/>
                <wp:lineTo x="20189" y="18787"/>
                <wp:lineTo x="20580" y="18385"/>
                <wp:lineTo x="19294" y="17180"/>
                <wp:lineTo x="20133" y="16979"/>
                <wp:lineTo x="20133" y="15572"/>
                <wp:lineTo x="19182" y="15572"/>
                <wp:lineTo x="18287" y="13965"/>
                <wp:lineTo x="20189" y="12357"/>
                <wp:lineTo x="20524" y="11353"/>
                <wp:lineTo x="19294" y="11152"/>
                <wp:lineTo x="10793" y="10750"/>
                <wp:lineTo x="12639" y="10750"/>
                <wp:lineTo x="19853" y="9444"/>
                <wp:lineTo x="19853" y="9142"/>
                <wp:lineTo x="20580" y="8238"/>
                <wp:lineTo x="20413" y="8037"/>
                <wp:lineTo x="18231" y="7535"/>
                <wp:lineTo x="19853" y="7535"/>
                <wp:lineTo x="20133" y="7334"/>
                <wp:lineTo x="19965" y="4420"/>
                <wp:lineTo x="20245" y="4320"/>
                <wp:lineTo x="20077" y="3918"/>
                <wp:lineTo x="18231" y="2713"/>
                <wp:lineTo x="20245" y="1808"/>
                <wp:lineTo x="20524" y="1206"/>
                <wp:lineTo x="20245" y="904"/>
                <wp:lineTo x="2628" y="90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7745" cy="4095750"/>
                    </a:xfrm>
                    <a:prstGeom prst="rect">
                      <a:avLst/>
                    </a:prstGeom>
                    <a:noFill/>
                  </pic:spPr>
                </pic:pic>
              </a:graphicData>
            </a:graphic>
            <wp14:sizeRelH relativeFrom="page">
              <wp14:pctWidth>0</wp14:pctWidth>
            </wp14:sizeRelH>
            <wp14:sizeRelV relativeFrom="page">
              <wp14:pctHeight>0</wp14:pctHeight>
            </wp14:sizeRelV>
          </wp:anchor>
        </w:drawing>
      </w:r>
    </w:p>
    <w:p w14:paraId="10E3818E" w14:textId="5E371DC6" w:rsidR="00CB6A24" w:rsidRPr="00A234EE" w:rsidRDefault="00CB6A24" w:rsidP="00A234EE">
      <w:pPr>
        <w:adjustRightInd w:val="0"/>
        <w:snapToGrid w:val="0"/>
        <w:spacing w:after="0" w:line="360" w:lineRule="auto"/>
        <w:jc w:val="both"/>
        <w:rPr>
          <w:rFonts w:ascii="Book Antiqua" w:hAnsi="Book Antiqua"/>
          <w:b/>
          <w:bCs/>
          <w:sz w:val="24"/>
          <w:szCs w:val="24"/>
          <w:lang w:val="en-US"/>
        </w:rPr>
      </w:pPr>
    </w:p>
    <w:p w14:paraId="02EDDB23" w14:textId="6DA1EB9B" w:rsidR="00CB6A24" w:rsidRPr="00A234EE" w:rsidRDefault="00482D19"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noProof/>
          <w:sz w:val="24"/>
          <w:szCs w:val="24"/>
          <w:lang w:val="en-US" w:eastAsia="zh-CN"/>
        </w:rPr>
        <mc:AlternateContent>
          <mc:Choice Requires="wps">
            <w:drawing>
              <wp:anchor distT="0" distB="0" distL="114300" distR="114300" simplePos="0" relativeHeight="251764736" behindDoc="0" locked="0" layoutInCell="1" allowOverlap="1" wp14:anchorId="76510E5B" wp14:editId="4B49AAFA">
                <wp:simplePos x="0" y="0"/>
                <wp:positionH relativeFrom="column">
                  <wp:posOffset>163830</wp:posOffset>
                </wp:positionH>
                <wp:positionV relativeFrom="paragraph">
                  <wp:posOffset>551180</wp:posOffset>
                </wp:positionV>
                <wp:extent cx="273050" cy="279400"/>
                <wp:effectExtent l="0" t="0" r="12700" b="25400"/>
                <wp:wrapNone/>
                <wp:docPr id="53" name="文本框 53"/>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2277D" w14:textId="77777777" w:rsidR="005659DC" w:rsidRDefault="005659DC" w:rsidP="00482D19">
                            <w:pPr>
                              <w:rPr>
                                <w:lang w:eastAsia="zh-CN"/>
                              </w:rPr>
                            </w:pPr>
                            <w:r>
                              <w:rPr>
                                <w:rFonts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0E5B" id="文本框 53" o:spid="_x0000_s1060" type="#_x0000_t202" style="position:absolute;left:0;text-align:left;margin-left:12.9pt;margin-top:43.4pt;width:21.5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" fillcolor="white [3201]" strokeweight=".5pt">
                <v:textbox>
                  <w:txbxContent>
                    <w:p w14:paraId="08D2277D" w14:textId="77777777" w:rsidR="005659DC" w:rsidRDefault="005659DC" w:rsidP="00482D19">
                      <w:pPr>
                        <w:rPr>
                          <w:lang w:eastAsia="zh-CN"/>
                        </w:rPr>
                      </w:pPr>
                      <w:r>
                        <w:rPr>
                          <w:rFonts w:hint="eastAsia"/>
                          <w:lang w:eastAsia="zh-CN"/>
                        </w:rPr>
                        <w:t>e</w:t>
                      </w:r>
                    </w:p>
                  </w:txbxContent>
                </v:textbox>
              </v:shape>
            </w:pict>
          </mc:Fallback>
        </mc:AlternateContent>
      </w:r>
      <w:r w:rsidRPr="00A234EE">
        <w:rPr>
          <w:rFonts w:ascii="Book Antiqua" w:hAnsi="Book Antiqua"/>
          <w:b/>
          <w:bCs/>
          <w:noProof/>
          <w:sz w:val="24"/>
          <w:szCs w:val="24"/>
          <w:lang w:val="en-US" w:eastAsia="zh-CN"/>
        </w:rPr>
        <mc:AlternateContent>
          <mc:Choice Requires="wps">
            <w:drawing>
              <wp:anchor distT="0" distB="0" distL="114300" distR="114300" simplePos="0" relativeHeight="251758592" behindDoc="0" locked="0" layoutInCell="1" allowOverlap="1" wp14:anchorId="61364167" wp14:editId="1A042915">
                <wp:simplePos x="0" y="0"/>
                <wp:positionH relativeFrom="column">
                  <wp:posOffset>-2579370</wp:posOffset>
                </wp:positionH>
                <wp:positionV relativeFrom="paragraph">
                  <wp:posOffset>373380</wp:posOffset>
                </wp:positionV>
                <wp:extent cx="273050" cy="279400"/>
                <wp:effectExtent l="0" t="0" r="12700" b="25400"/>
                <wp:wrapNone/>
                <wp:docPr id="50" name="文本框 50"/>
                <wp:cNvGraphicFramePr/>
                <a:graphic xmlns:a="http://schemas.openxmlformats.org/drawingml/2006/main">
                  <a:graphicData uri="http://schemas.microsoft.com/office/word/2010/wordprocessingShape">
                    <wps:wsp>
                      <wps:cNvSpPr txBox="1"/>
                      <wps:spPr>
                        <a:xfrm>
                          <a:off x="0" y="0"/>
                          <a:ext cx="2730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F4FF7E" w14:textId="77777777" w:rsidR="005659DC" w:rsidRDefault="005659DC" w:rsidP="00482D19">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64167" id="文本框 50" o:spid="_x0000_s1061" type="#_x0000_t202" style="position:absolute;left:0;text-align:left;margin-left:-203.1pt;margin-top:29.4pt;width:21.5pt;height: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" fillcolor="white [3201]" strokeweight=".5pt">
                <v:textbox>
                  <w:txbxContent>
                    <w:p w14:paraId="67F4FF7E" w14:textId="77777777" w:rsidR="005659DC" w:rsidRDefault="005659DC" w:rsidP="00482D19">
                      <w:pPr>
                        <w:rPr>
                          <w:lang w:eastAsia="zh-CN"/>
                        </w:rPr>
                      </w:pPr>
                      <w:r>
                        <w:rPr>
                          <w:rFonts w:hint="eastAsia"/>
                          <w:lang w:eastAsia="zh-CN"/>
                        </w:rPr>
                        <w:t>a</w:t>
                      </w:r>
                    </w:p>
                  </w:txbxContent>
                </v:textbox>
              </v:shape>
            </w:pict>
          </mc:Fallback>
        </mc:AlternateContent>
      </w:r>
    </w:p>
    <w:p w14:paraId="79FC8A2E" w14:textId="53C460A0" w:rsidR="00CB6A24" w:rsidRPr="00A234EE" w:rsidRDefault="00CB6A24" w:rsidP="00A234EE">
      <w:pPr>
        <w:adjustRightInd w:val="0"/>
        <w:snapToGrid w:val="0"/>
        <w:spacing w:after="0" w:line="360" w:lineRule="auto"/>
        <w:jc w:val="both"/>
        <w:rPr>
          <w:rFonts w:ascii="Book Antiqua" w:hAnsi="Book Antiqua"/>
          <w:sz w:val="24"/>
          <w:szCs w:val="24"/>
          <w:lang w:val="en-US"/>
        </w:rPr>
      </w:pPr>
    </w:p>
    <w:p w14:paraId="684DF6F4" w14:textId="50B706A1" w:rsidR="00CB6A24" w:rsidRPr="00A234EE" w:rsidRDefault="00CB6A24" w:rsidP="00A234EE">
      <w:pPr>
        <w:adjustRightInd w:val="0"/>
        <w:snapToGrid w:val="0"/>
        <w:spacing w:after="0" w:line="360" w:lineRule="auto"/>
        <w:jc w:val="both"/>
        <w:rPr>
          <w:rFonts w:ascii="Book Antiqua" w:hAnsi="Book Antiqua"/>
          <w:sz w:val="24"/>
          <w:szCs w:val="24"/>
          <w:lang w:val="en-US"/>
        </w:rPr>
      </w:pPr>
    </w:p>
    <w:p w14:paraId="1207E328" w14:textId="1AB5E238" w:rsidR="00CB6A24" w:rsidRPr="00A234EE" w:rsidRDefault="00CB6A24"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Figure 8</w:t>
      </w:r>
      <w:r w:rsidR="00482D19"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INT-767 or </w:t>
      </w:r>
      <w:r w:rsidR="0069479F" w:rsidRPr="00A234EE">
        <w:rPr>
          <w:rFonts w:ascii="Book Antiqua" w:hAnsi="Book Antiqua"/>
          <w:b/>
          <w:bCs/>
          <w:sz w:val="24"/>
          <w:szCs w:val="24"/>
          <w:lang w:val="en-US"/>
        </w:rPr>
        <w:t>obeticholic acid</w:t>
      </w:r>
      <w:r w:rsidRPr="00A234EE">
        <w:rPr>
          <w:rFonts w:ascii="Book Antiqua" w:hAnsi="Book Antiqua"/>
          <w:b/>
          <w:bCs/>
          <w:sz w:val="24"/>
          <w:szCs w:val="24"/>
          <w:lang w:val="en-US"/>
        </w:rPr>
        <w:t xml:space="preserve"> treatment for 16 </w:t>
      </w:r>
      <w:r w:rsidR="006513F8" w:rsidRPr="00A234EE">
        <w:rPr>
          <w:rFonts w:ascii="Book Antiqua" w:hAnsi="Book Antiqua"/>
          <w:b/>
          <w:bCs/>
          <w:sz w:val="24"/>
          <w:szCs w:val="24"/>
          <w:lang w:val="en-US"/>
        </w:rPr>
        <w:t>wk</w:t>
      </w:r>
      <w:r w:rsidRPr="00A234EE">
        <w:rPr>
          <w:rFonts w:ascii="Book Antiqua" w:hAnsi="Book Antiqua"/>
          <w:b/>
          <w:bCs/>
          <w:sz w:val="24"/>
          <w:szCs w:val="24"/>
          <w:lang w:val="en-US"/>
        </w:rPr>
        <w:t xml:space="preserve"> improves liver histopathology in </w:t>
      </w:r>
      <w:r w:rsidRPr="00A234EE">
        <w:rPr>
          <w:rFonts w:ascii="Book Antiqua" w:hAnsi="Book Antiqua"/>
          <w:b/>
          <w:bCs/>
          <w:i/>
          <w:iCs/>
          <w:sz w:val="24"/>
          <w:szCs w:val="24"/>
          <w:lang w:val="en-US"/>
        </w:rPr>
        <w:t>ob/ob</w:t>
      </w:r>
      <w:r w:rsidRPr="00A234EE">
        <w:rPr>
          <w:rFonts w:ascii="Book Antiqua" w:hAnsi="Book Antiqua"/>
          <w:b/>
          <w:bCs/>
          <w:sz w:val="24"/>
          <w:szCs w:val="24"/>
          <w:lang w:val="en-US"/>
        </w:rPr>
        <w:t>-</w:t>
      </w:r>
      <w:r w:rsidR="0069479F" w:rsidRPr="00A234EE">
        <w:rPr>
          <w:rFonts w:ascii="Book Antiqua" w:hAnsi="Book Antiqua"/>
          <w:sz w:val="24"/>
          <w:szCs w:val="24"/>
          <w:lang w:val="en-US"/>
        </w:rPr>
        <w:t xml:space="preserve"> </w:t>
      </w:r>
      <w:r w:rsidR="0069479F" w:rsidRPr="00A234EE">
        <w:rPr>
          <w:rFonts w:ascii="Book Antiqua" w:hAnsi="Book Antiqua"/>
          <w:b/>
          <w:bCs/>
          <w:sz w:val="24"/>
          <w:szCs w:val="24"/>
          <w:lang w:val="en-US"/>
        </w:rPr>
        <w:t>non-alcoholic steatohepatitis</w:t>
      </w:r>
      <w:r w:rsidRPr="00A234EE">
        <w:rPr>
          <w:rFonts w:ascii="Book Antiqua" w:hAnsi="Book Antiqua"/>
          <w:b/>
          <w:bCs/>
          <w:sz w:val="24"/>
          <w:szCs w:val="24"/>
          <w:lang w:val="en-US"/>
        </w:rPr>
        <w:t xml:space="preserve"> mice with biopsy-confirmed liver pathology. </w:t>
      </w:r>
      <w:r w:rsidRPr="00A234EE">
        <w:rPr>
          <w:rFonts w:ascii="Book Antiqua" w:hAnsi="Book Antiqua"/>
          <w:sz w:val="24"/>
          <w:szCs w:val="24"/>
          <w:lang w:val="en-US"/>
        </w:rPr>
        <w:t>Composite NAS and fibrosis stage before and</w:t>
      </w:r>
      <w:r w:rsidR="00482D19" w:rsidRPr="00A234EE">
        <w:rPr>
          <w:rFonts w:ascii="Book Antiqua" w:hAnsi="Book Antiqua"/>
          <w:sz w:val="24"/>
          <w:szCs w:val="24"/>
          <w:lang w:val="en-US"/>
        </w:rPr>
        <w:t xml:space="preserve"> after treatment intervention. </w:t>
      </w:r>
      <w:r w:rsidR="00482D19" w:rsidRPr="00A234EE">
        <w:rPr>
          <w:rFonts w:ascii="Book Antiqua" w:hAnsi="Book Antiqua"/>
          <w:sz w:val="24"/>
          <w:szCs w:val="24"/>
          <w:vertAlign w:val="superscript"/>
          <w:lang w:val="en-US" w:eastAsia="zh-CN"/>
        </w:rPr>
        <w:t>a</w:t>
      </w:r>
      <w:r w:rsidR="003238D2" w:rsidRPr="00A234EE">
        <w:rPr>
          <w:rFonts w:ascii="Book Antiqua" w:hAnsi="Book Antiqua"/>
          <w:i/>
          <w:sz w:val="24"/>
          <w:szCs w:val="24"/>
          <w:lang w:val="en-US"/>
        </w:rPr>
        <w:t>P &lt;</w:t>
      </w:r>
      <w:r w:rsidR="00482D19" w:rsidRPr="00A234EE">
        <w:rPr>
          <w:rFonts w:ascii="Book Antiqua" w:hAnsi="Book Antiqua"/>
          <w:i/>
          <w:sz w:val="24"/>
          <w:szCs w:val="24"/>
          <w:lang w:val="en-US" w:eastAsia="zh-CN"/>
        </w:rPr>
        <w:t xml:space="preserve"> </w:t>
      </w:r>
      <w:r w:rsidRPr="00A234EE">
        <w:rPr>
          <w:rFonts w:ascii="Book Antiqua" w:hAnsi="Book Antiqua"/>
          <w:sz w:val="24"/>
          <w:szCs w:val="24"/>
          <w:lang w:val="en-US"/>
        </w:rPr>
        <w:t xml:space="preserve">0.05, </w:t>
      </w:r>
      <w:r w:rsidR="00482D19" w:rsidRPr="00A234EE">
        <w:rPr>
          <w:rFonts w:ascii="Book Antiqua" w:hAnsi="Book Antiqua"/>
          <w:sz w:val="24"/>
          <w:szCs w:val="24"/>
          <w:vertAlign w:val="superscript"/>
          <w:lang w:val="en-US" w:eastAsia="zh-CN"/>
        </w:rPr>
        <w:t>e</w:t>
      </w:r>
      <w:r w:rsidR="003238D2" w:rsidRPr="00A234EE">
        <w:rPr>
          <w:rFonts w:ascii="Book Antiqua" w:hAnsi="Book Antiqua"/>
          <w:i/>
          <w:sz w:val="24"/>
          <w:szCs w:val="24"/>
          <w:lang w:val="en-US"/>
        </w:rPr>
        <w:t>P &lt;</w:t>
      </w:r>
      <w:r w:rsidR="00482D19" w:rsidRPr="00A234EE">
        <w:rPr>
          <w:rFonts w:ascii="Book Antiqua" w:hAnsi="Book Antiqua"/>
          <w:i/>
          <w:sz w:val="24"/>
          <w:szCs w:val="24"/>
          <w:lang w:val="en-US" w:eastAsia="zh-CN"/>
        </w:rPr>
        <w:t xml:space="preserve"> </w:t>
      </w:r>
      <w:r w:rsidRPr="00A234EE">
        <w:rPr>
          <w:rFonts w:ascii="Book Antiqua" w:hAnsi="Book Antiqua"/>
          <w:sz w:val="24"/>
          <w:szCs w:val="24"/>
          <w:lang w:val="en-US"/>
        </w:rPr>
        <w:t>0.001 (</w:t>
      </w:r>
      <w:r w:rsidR="00482D19" w:rsidRPr="00A234EE">
        <w:rPr>
          <w:rFonts w:ascii="Book Antiqua" w:hAnsi="Book Antiqua"/>
          <w:i/>
          <w:sz w:val="24"/>
          <w:szCs w:val="24"/>
          <w:lang w:val="en-US"/>
        </w:rPr>
        <w:t>χ</w:t>
      </w:r>
      <w:r w:rsidR="003238D2" w:rsidRPr="00A234EE">
        <w:rPr>
          <w:rFonts w:ascii="Book Antiqua" w:hAnsi="Book Antiqua"/>
          <w:sz w:val="24"/>
          <w:szCs w:val="24"/>
          <w:vertAlign w:val="superscript"/>
          <w:lang w:val="en-US"/>
        </w:rPr>
        <w:t>2</w:t>
      </w:r>
      <w:r w:rsidRPr="00A234EE">
        <w:rPr>
          <w:rFonts w:ascii="Book Antiqua" w:hAnsi="Book Antiqua"/>
          <w:sz w:val="24"/>
          <w:szCs w:val="24"/>
          <w:lang w:val="en-US"/>
        </w:rPr>
        <w:t xml:space="preserve"> test, </w:t>
      </w:r>
      <w:r w:rsidR="003238D2" w:rsidRPr="00A234EE">
        <w:rPr>
          <w:rFonts w:ascii="Book Antiqua" w:hAnsi="Book Antiqua"/>
          <w:i/>
          <w:sz w:val="24"/>
          <w:szCs w:val="24"/>
          <w:lang w:val="en-US"/>
        </w:rPr>
        <w:t>vs</w:t>
      </w:r>
      <w:r w:rsidRPr="00A234EE">
        <w:rPr>
          <w:rFonts w:ascii="Book Antiqua" w:hAnsi="Book Antiqua"/>
          <w:sz w:val="24"/>
          <w:szCs w:val="24"/>
          <w:lang w:val="en-US"/>
        </w:rPr>
        <w:t xml:space="preserve"> vehicle controls).</w:t>
      </w:r>
    </w:p>
    <w:p w14:paraId="024ED660"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44392A72" w14:textId="19668842" w:rsidR="00CB6A24" w:rsidRPr="00A234EE" w:rsidRDefault="00CB6A24" w:rsidP="00A234EE">
      <w:pPr>
        <w:adjustRightInd w:val="0"/>
        <w:snapToGrid w:val="0"/>
        <w:spacing w:after="0" w:line="360" w:lineRule="auto"/>
        <w:jc w:val="both"/>
        <w:rPr>
          <w:rFonts w:ascii="Book Antiqua" w:hAnsi="Book Antiqua"/>
          <w:b/>
          <w:bCs/>
          <w:sz w:val="24"/>
          <w:szCs w:val="24"/>
          <w:lang w:val="en-US"/>
        </w:rPr>
      </w:pPr>
    </w:p>
    <w:p w14:paraId="5C55EEFD"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6A5AF538"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2CABDBB2"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54557C44"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7B6A280B"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76CC2C39"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0CE2453C"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3ABBD9AA" w14:textId="77777777"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628667C2" w14:textId="76C29370" w:rsidR="00A367D9" w:rsidRPr="00A234EE" w:rsidRDefault="00A85F42"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noProof/>
          <w:sz w:val="24"/>
          <w:szCs w:val="24"/>
          <w:lang w:val="en-US" w:eastAsia="zh-CN"/>
        </w:rPr>
        <w:lastRenderedPageBreak/>
        <w:drawing>
          <wp:anchor distT="0" distB="0" distL="114300" distR="114300" simplePos="0" relativeHeight="251687936" behindDoc="1" locked="0" layoutInCell="1" allowOverlap="1" wp14:anchorId="5D9DB02D" wp14:editId="5DA6E3CA">
            <wp:simplePos x="0" y="0"/>
            <wp:positionH relativeFrom="column">
              <wp:posOffset>-509905</wp:posOffset>
            </wp:positionH>
            <wp:positionV relativeFrom="paragraph">
              <wp:posOffset>0</wp:posOffset>
            </wp:positionV>
            <wp:extent cx="7216775" cy="1903095"/>
            <wp:effectExtent l="0" t="0" r="0" b="0"/>
            <wp:wrapTight wrapText="bothSides">
              <wp:wrapPolygon edited="0">
                <wp:start x="342" y="432"/>
                <wp:lineTo x="285" y="2162"/>
                <wp:lineTo x="627" y="4324"/>
                <wp:lineTo x="912" y="4324"/>
                <wp:lineTo x="285" y="7135"/>
                <wp:lineTo x="285" y="13189"/>
                <wp:lineTo x="627" y="16216"/>
                <wp:lineTo x="912" y="18162"/>
                <wp:lineTo x="1140" y="18595"/>
                <wp:lineTo x="2794" y="20324"/>
                <wp:lineTo x="21153" y="20324"/>
                <wp:lineTo x="21381" y="15784"/>
                <wp:lineTo x="21381" y="3027"/>
                <wp:lineTo x="18702" y="1514"/>
                <wp:lineTo x="14938" y="432"/>
                <wp:lineTo x="342" y="43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16775" cy="1903095"/>
                    </a:xfrm>
                    <a:prstGeom prst="rect">
                      <a:avLst/>
                    </a:prstGeom>
                    <a:noFill/>
                  </pic:spPr>
                </pic:pic>
              </a:graphicData>
            </a:graphic>
            <wp14:sizeRelH relativeFrom="page">
              <wp14:pctWidth>0</wp14:pctWidth>
            </wp14:sizeRelH>
            <wp14:sizeRelV relativeFrom="page">
              <wp14:pctHeight>0</wp14:pctHeight>
            </wp14:sizeRelV>
          </wp:anchor>
        </w:drawing>
      </w:r>
    </w:p>
    <w:p w14:paraId="0ECBAC29" w14:textId="002F7F86" w:rsidR="00A367D9" w:rsidRPr="00A234EE" w:rsidRDefault="00A367D9" w:rsidP="00A234EE">
      <w:pPr>
        <w:adjustRightInd w:val="0"/>
        <w:snapToGrid w:val="0"/>
        <w:spacing w:after="0" w:line="360" w:lineRule="auto"/>
        <w:jc w:val="both"/>
        <w:rPr>
          <w:rFonts w:ascii="Book Antiqua" w:hAnsi="Book Antiqua"/>
          <w:b/>
          <w:bCs/>
          <w:sz w:val="24"/>
          <w:szCs w:val="24"/>
          <w:lang w:val="en-US"/>
        </w:rPr>
      </w:pPr>
    </w:p>
    <w:p w14:paraId="601E29D5" w14:textId="787022C3" w:rsidR="00CB6A24" w:rsidRPr="00A234EE" w:rsidRDefault="00CB6A24"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t>Figure 9</w:t>
      </w:r>
      <w:r w:rsidR="00482D19"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INT-767 or </w:t>
      </w:r>
      <w:r w:rsidR="0069479F" w:rsidRPr="00A234EE">
        <w:rPr>
          <w:rFonts w:ascii="Book Antiqua" w:hAnsi="Book Antiqua"/>
          <w:b/>
          <w:bCs/>
          <w:sz w:val="24"/>
          <w:szCs w:val="24"/>
          <w:lang w:val="en-US"/>
        </w:rPr>
        <w:t>obeticholic acid</w:t>
      </w:r>
      <w:r w:rsidRPr="00A234EE">
        <w:rPr>
          <w:rFonts w:ascii="Book Antiqua" w:hAnsi="Book Antiqua"/>
          <w:b/>
          <w:bCs/>
          <w:sz w:val="24"/>
          <w:szCs w:val="24"/>
          <w:lang w:val="en-US"/>
        </w:rPr>
        <w:t xml:space="preserve"> treatment for 16 </w:t>
      </w:r>
      <w:r w:rsidR="00C375DD" w:rsidRPr="00A234EE">
        <w:rPr>
          <w:rFonts w:ascii="Book Antiqua" w:hAnsi="Book Antiqua"/>
          <w:b/>
          <w:bCs/>
          <w:sz w:val="24"/>
          <w:szCs w:val="24"/>
          <w:lang w:val="en-US"/>
        </w:rPr>
        <w:t>wk</w:t>
      </w:r>
      <w:r w:rsidR="00A85F42" w:rsidRPr="00A234EE">
        <w:rPr>
          <w:rFonts w:ascii="Book Antiqua" w:hAnsi="Book Antiqua"/>
          <w:b/>
          <w:bCs/>
          <w:sz w:val="24"/>
          <w:szCs w:val="24"/>
          <w:lang w:val="en-US"/>
        </w:rPr>
        <w:t>s</w:t>
      </w:r>
      <w:r w:rsidRPr="00A234EE">
        <w:rPr>
          <w:rFonts w:ascii="Book Antiqua" w:hAnsi="Book Antiqua"/>
          <w:b/>
          <w:bCs/>
          <w:sz w:val="24"/>
          <w:szCs w:val="24"/>
          <w:lang w:val="en-US"/>
        </w:rPr>
        <w:t xml:space="preserve"> improves hepatic fat deposition, collagen 1a1 and galectin-3 levels in </w:t>
      </w:r>
      <w:r w:rsidRPr="00A234EE">
        <w:rPr>
          <w:rFonts w:ascii="Book Antiqua" w:hAnsi="Book Antiqua"/>
          <w:b/>
          <w:bCs/>
          <w:i/>
          <w:iCs/>
          <w:sz w:val="24"/>
          <w:szCs w:val="24"/>
          <w:lang w:val="en-US"/>
        </w:rPr>
        <w:t>ob/ob</w:t>
      </w:r>
      <w:r w:rsidRPr="00A234EE">
        <w:rPr>
          <w:rFonts w:ascii="Book Antiqua" w:hAnsi="Book Antiqua"/>
          <w:b/>
          <w:bCs/>
          <w:sz w:val="24"/>
          <w:szCs w:val="24"/>
          <w:lang w:val="en-US"/>
        </w:rPr>
        <w:t>-</w:t>
      </w:r>
      <w:r w:rsidR="0069479F" w:rsidRPr="00A234EE">
        <w:rPr>
          <w:rFonts w:ascii="Book Antiqua" w:hAnsi="Book Antiqua"/>
          <w:b/>
          <w:bCs/>
          <w:sz w:val="24"/>
          <w:szCs w:val="24"/>
          <w:lang w:val="en-US"/>
        </w:rPr>
        <w:t>non-alcoholic steatohepatitis</w:t>
      </w:r>
      <w:r w:rsidRPr="00A234EE">
        <w:rPr>
          <w:rFonts w:ascii="Book Antiqua" w:hAnsi="Book Antiqua"/>
          <w:b/>
          <w:bCs/>
          <w:sz w:val="24"/>
          <w:szCs w:val="24"/>
          <w:lang w:val="en-US"/>
        </w:rPr>
        <w:t xml:space="preserve"> mice with biopsy-confirmed liver pathology.</w:t>
      </w:r>
      <w:r w:rsidRPr="00A234EE">
        <w:rPr>
          <w:rFonts w:ascii="Book Antiqua" w:hAnsi="Book Antiqua"/>
          <w:sz w:val="24"/>
          <w:szCs w:val="24"/>
          <w:lang w:val="en-US"/>
        </w:rPr>
        <w:t xml:space="preserve"> Data are indicated before (baseline) and</w:t>
      </w:r>
      <w:r w:rsidR="00482D19" w:rsidRPr="00A234EE">
        <w:rPr>
          <w:rFonts w:ascii="Book Antiqua" w:hAnsi="Book Antiqua"/>
          <w:sz w:val="24"/>
          <w:szCs w:val="24"/>
          <w:lang w:val="en-US"/>
        </w:rPr>
        <w:t xml:space="preserve"> after treatment intervention. A</w:t>
      </w:r>
      <w:r w:rsidR="00482D19" w:rsidRPr="00A234EE">
        <w:rPr>
          <w:rFonts w:ascii="Book Antiqua" w:hAnsi="Book Antiqua"/>
          <w:sz w:val="24"/>
          <w:szCs w:val="24"/>
          <w:lang w:val="en-US" w:eastAsia="zh-CN"/>
        </w:rPr>
        <w:t>:</w:t>
      </w:r>
      <w:r w:rsidRPr="00A234EE">
        <w:rPr>
          <w:rFonts w:ascii="Book Antiqua" w:hAnsi="Book Antiqua"/>
          <w:sz w:val="24"/>
          <w:szCs w:val="24"/>
          <w:lang w:val="en-US"/>
        </w:rPr>
        <w:t xml:space="preserve"> Fract</w:t>
      </w:r>
      <w:r w:rsidR="00482D19" w:rsidRPr="00A234EE">
        <w:rPr>
          <w:rFonts w:ascii="Book Antiqua" w:hAnsi="Book Antiqua"/>
          <w:sz w:val="24"/>
          <w:szCs w:val="24"/>
          <w:lang w:val="en-US"/>
        </w:rPr>
        <w:t>ional area of fat (HE staining)</w:t>
      </w:r>
      <w:r w:rsidR="00482D19" w:rsidRPr="00A234EE">
        <w:rPr>
          <w:rFonts w:ascii="Book Antiqua" w:hAnsi="Book Antiqua"/>
          <w:sz w:val="24"/>
          <w:szCs w:val="24"/>
          <w:lang w:val="en-US" w:eastAsia="zh-CN"/>
        </w:rPr>
        <w:t>;</w:t>
      </w:r>
      <w:r w:rsidR="00482D19" w:rsidRPr="00A234EE">
        <w:rPr>
          <w:rFonts w:ascii="Book Antiqua" w:hAnsi="Book Antiqua"/>
          <w:sz w:val="24"/>
          <w:szCs w:val="24"/>
          <w:lang w:val="en-US"/>
        </w:rPr>
        <w:t xml:space="preserve"> B</w:t>
      </w:r>
      <w:r w:rsidR="00482D19" w:rsidRPr="00A234EE">
        <w:rPr>
          <w:rFonts w:ascii="Book Antiqua" w:hAnsi="Book Antiqua"/>
          <w:sz w:val="24"/>
          <w:szCs w:val="24"/>
          <w:lang w:val="en-US" w:eastAsia="zh-CN"/>
        </w:rPr>
        <w:t>:</w:t>
      </w:r>
      <w:r w:rsidRPr="00A234EE">
        <w:rPr>
          <w:rFonts w:ascii="Book Antiqua" w:hAnsi="Book Antiqua"/>
          <w:sz w:val="24"/>
          <w:szCs w:val="24"/>
          <w:lang w:val="en-US"/>
        </w:rPr>
        <w:t xml:space="preserve"> </w:t>
      </w:r>
      <w:r w:rsidR="00482D19" w:rsidRPr="00A234EE">
        <w:rPr>
          <w:rFonts w:ascii="Book Antiqua" w:hAnsi="Book Antiqua"/>
          <w:sz w:val="24"/>
          <w:szCs w:val="24"/>
          <w:lang w:val="en-US"/>
        </w:rPr>
        <w:t>Collagen 1a1</w:t>
      </w:r>
      <w:r w:rsidR="00482D19" w:rsidRPr="00A234EE">
        <w:rPr>
          <w:rFonts w:ascii="Book Antiqua" w:hAnsi="Book Antiqua"/>
          <w:sz w:val="24"/>
          <w:szCs w:val="24"/>
          <w:lang w:val="en-US" w:eastAsia="zh-CN"/>
        </w:rPr>
        <w:t xml:space="preserve">; </w:t>
      </w:r>
      <w:r w:rsidRPr="00A234EE">
        <w:rPr>
          <w:rFonts w:ascii="Book Antiqua" w:hAnsi="Book Antiqua"/>
          <w:sz w:val="24"/>
          <w:szCs w:val="24"/>
          <w:lang w:val="en-US"/>
        </w:rPr>
        <w:t>C</w:t>
      </w:r>
      <w:r w:rsidR="00482D19" w:rsidRPr="00A234EE">
        <w:rPr>
          <w:rFonts w:ascii="Book Antiqua" w:hAnsi="Book Antiqua"/>
          <w:sz w:val="24"/>
          <w:szCs w:val="24"/>
          <w:lang w:val="en-US" w:eastAsia="zh-CN"/>
        </w:rPr>
        <w:t xml:space="preserve">: </w:t>
      </w:r>
      <w:r w:rsidRPr="00A234EE">
        <w:rPr>
          <w:rFonts w:ascii="Book Antiqua" w:hAnsi="Book Antiqua"/>
          <w:sz w:val="24"/>
          <w:szCs w:val="24"/>
          <w:lang w:val="en-US"/>
        </w:rPr>
        <w:t xml:space="preserve"> laminin. Data are expressed as % of total parenchymal area (subtraction of fat area). </w:t>
      </w:r>
    </w:p>
    <w:p w14:paraId="2582D82D"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27ABEBC7"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0980E8F8"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317623FF"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1C4FC66E"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3B7C26CE"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24E97332"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2AF50E25"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162C7823"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43099043" w14:textId="77777777" w:rsidR="00E17977" w:rsidRPr="00A234EE" w:rsidRDefault="00E17977" w:rsidP="00A234EE">
      <w:pPr>
        <w:adjustRightInd w:val="0"/>
        <w:snapToGrid w:val="0"/>
        <w:spacing w:after="0" w:line="360" w:lineRule="auto"/>
        <w:jc w:val="both"/>
        <w:rPr>
          <w:rFonts w:ascii="Book Antiqua" w:hAnsi="Book Antiqua"/>
          <w:b/>
          <w:sz w:val="24"/>
          <w:szCs w:val="24"/>
          <w:lang w:val="en-US" w:eastAsia="zh-CN"/>
        </w:rPr>
      </w:pPr>
    </w:p>
    <w:p w14:paraId="2D2AB2C1" w14:textId="77777777" w:rsidR="005F69F1" w:rsidRPr="00A234EE" w:rsidRDefault="005F69F1"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sz w:val="24"/>
          <w:szCs w:val="24"/>
          <w:lang w:val="en-US"/>
        </w:rPr>
        <w:br w:type="page"/>
      </w:r>
    </w:p>
    <w:p w14:paraId="7AAEED0C" w14:textId="72039E78" w:rsidR="0062019A" w:rsidRPr="00A234EE" w:rsidRDefault="00482D19" w:rsidP="00A234EE">
      <w:pPr>
        <w:adjustRightInd w:val="0"/>
        <w:snapToGrid w:val="0"/>
        <w:spacing w:after="0" w:line="360" w:lineRule="auto"/>
        <w:jc w:val="both"/>
        <w:rPr>
          <w:rFonts w:ascii="Book Antiqua" w:hAnsi="Book Antiqua"/>
          <w:bCs/>
          <w:sz w:val="24"/>
          <w:szCs w:val="24"/>
          <w:lang w:val="en-US" w:eastAsia="zh-CN"/>
        </w:rPr>
      </w:pPr>
      <w:r w:rsidRPr="00A234EE">
        <w:rPr>
          <w:rFonts w:ascii="Book Antiqua" w:hAnsi="Book Antiqua"/>
          <w:b/>
          <w:bCs/>
          <w:sz w:val="24"/>
          <w:szCs w:val="24"/>
          <w:lang w:val="en-US"/>
        </w:rPr>
        <w:lastRenderedPageBreak/>
        <w:t>Table 1</w:t>
      </w:r>
      <w:r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Effect of 8 wk of treatment with INT-767 on metabolic parameters, non-alcoholic fatty liver disease activity score/fibrosis stage, body weight/composition, and liver weight in </w:t>
      </w:r>
      <w:r w:rsidRPr="00A234EE">
        <w:rPr>
          <w:rFonts w:ascii="Book Antiqua" w:hAnsi="Book Antiqua"/>
          <w:b/>
          <w:bCs/>
          <w:i/>
          <w:sz w:val="24"/>
          <w:szCs w:val="24"/>
          <w:lang w:val="en-US"/>
        </w:rPr>
        <w:t>ob/ob</w:t>
      </w:r>
      <w:r w:rsidRPr="00A234EE">
        <w:rPr>
          <w:rFonts w:ascii="Book Antiqua" w:hAnsi="Book Antiqua"/>
          <w:b/>
          <w:bCs/>
          <w:sz w:val="24"/>
          <w:szCs w:val="24"/>
          <w:lang w:val="en-US"/>
        </w:rPr>
        <w:t>-NASH mice</w:t>
      </w:r>
      <w:r w:rsidRPr="00A234EE">
        <w:rPr>
          <w:rFonts w:ascii="Book Antiqua" w:hAnsi="Book Antiqua"/>
          <w:bCs/>
          <w:sz w:val="24"/>
          <w:szCs w:val="24"/>
          <w:lang w:val="en-US"/>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390"/>
        <w:gridCol w:w="1701"/>
        <w:gridCol w:w="1701"/>
        <w:gridCol w:w="1836"/>
      </w:tblGrid>
      <w:tr w:rsidR="0062019A" w:rsidRPr="00A234EE" w14:paraId="62EC38C2" w14:textId="77777777" w:rsidTr="0062019A">
        <w:tc>
          <w:tcPr>
            <w:tcW w:w="4390" w:type="dxa"/>
            <w:tcBorders>
              <w:bottom w:val="single" w:sz="4" w:space="0" w:color="auto"/>
              <w:right w:val="nil"/>
            </w:tcBorders>
          </w:tcPr>
          <w:p w14:paraId="23C8E78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p>
        </w:tc>
        <w:tc>
          <w:tcPr>
            <w:tcW w:w="1701" w:type="dxa"/>
            <w:tcBorders>
              <w:left w:val="nil"/>
              <w:bottom w:val="single" w:sz="4" w:space="0" w:color="auto"/>
              <w:right w:val="nil"/>
            </w:tcBorders>
          </w:tcPr>
          <w:p w14:paraId="6D67C398" w14:textId="77777777" w:rsidR="0062019A" w:rsidRPr="00A234EE" w:rsidRDefault="0062019A" w:rsidP="00A234EE">
            <w:pPr>
              <w:adjustRightInd w:val="0"/>
              <w:snapToGrid w:val="0"/>
              <w:spacing w:line="360" w:lineRule="auto"/>
              <w:jc w:val="both"/>
              <w:rPr>
                <w:rFonts w:ascii="Book Antiqua" w:eastAsia="Calibri" w:hAnsi="Book Antiqua" w:cstheme="minorHAnsi"/>
                <w:b/>
                <w:sz w:val="24"/>
                <w:szCs w:val="24"/>
              </w:rPr>
            </w:pPr>
            <w:r w:rsidRPr="00A234EE">
              <w:rPr>
                <w:rFonts w:ascii="Book Antiqua" w:eastAsia="Calibri" w:hAnsi="Book Antiqua" w:cstheme="minorHAnsi"/>
                <w:b/>
                <w:sz w:val="24"/>
                <w:szCs w:val="24"/>
              </w:rPr>
              <w:t>Vehicle</w:t>
            </w:r>
          </w:p>
          <w:p w14:paraId="40C780F9" w14:textId="77777777" w:rsidR="0062019A" w:rsidRPr="00A234EE" w:rsidRDefault="0062019A" w:rsidP="00A234EE">
            <w:pPr>
              <w:adjustRightInd w:val="0"/>
              <w:snapToGrid w:val="0"/>
              <w:spacing w:line="360" w:lineRule="auto"/>
              <w:jc w:val="both"/>
              <w:rPr>
                <w:rFonts w:ascii="Book Antiqua" w:eastAsia="Calibri" w:hAnsi="Book Antiqua" w:cstheme="minorHAnsi"/>
                <w:b/>
                <w:sz w:val="24"/>
                <w:szCs w:val="24"/>
              </w:rPr>
            </w:pPr>
            <w:r w:rsidRPr="00A234EE">
              <w:rPr>
                <w:rFonts w:ascii="Book Antiqua" w:eastAsia="Calibri" w:hAnsi="Book Antiqua" w:cstheme="minorHAnsi"/>
                <w:b/>
                <w:sz w:val="24"/>
                <w:szCs w:val="24"/>
              </w:rPr>
              <w:t>(</w:t>
            </w:r>
            <w:r w:rsidRPr="00A234EE">
              <w:rPr>
                <w:rFonts w:ascii="Book Antiqua" w:eastAsia="Calibri" w:hAnsi="Book Antiqua" w:cstheme="minorHAnsi"/>
                <w:b/>
                <w:i/>
                <w:sz w:val="24"/>
                <w:szCs w:val="24"/>
              </w:rPr>
              <w:t xml:space="preserve">n = </w:t>
            </w:r>
            <w:r w:rsidRPr="00A234EE">
              <w:rPr>
                <w:rFonts w:ascii="Book Antiqua" w:eastAsia="Calibri" w:hAnsi="Book Antiqua" w:cstheme="minorHAnsi"/>
                <w:b/>
                <w:sz w:val="24"/>
                <w:szCs w:val="24"/>
              </w:rPr>
              <w:t>10)</w:t>
            </w:r>
          </w:p>
        </w:tc>
        <w:tc>
          <w:tcPr>
            <w:tcW w:w="1701" w:type="dxa"/>
            <w:tcBorders>
              <w:left w:val="nil"/>
              <w:bottom w:val="single" w:sz="4" w:space="0" w:color="auto"/>
              <w:right w:val="nil"/>
            </w:tcBorders>
          </w:tcPr>
          <w:p w14:paraId="40ABB9BB" w14:textId="77777777" w:rsidR="0062019A" w:rsidRPr="00A234EE" w:rsidRDefault="0062019A" w:rsidP="00A234EE">
            <w:pPr>
              <w:adjustRightInd w:val="0"/>
              <w:snapToGrid w:val="0"/>
              <w:spacing w:line="360" w:lineRule="auto"/>
              <w:jc w:val="both"/>
              <w:rPr>
                <w:rFonts w:ascii="Book Antiqua" w:eastAsia="Calibri" w:hAnsi="Book Antiqua" w:cstheme="minorHAnsi"/>
                <w:b/>
                <w:sz w:val="24"/>
                <w:szCs w:val="24"/>
              </w:rPr>
            </w:pPr>
            <w:r w:rsidRPr="00A234EE">
              <w:rPr>
                <w:rFonts w:ascii="Book Antiqua" w:eastAsia="Calibri" w:hAnsi="Book Antiqua" w:cstheme="minorHAnsi"/>
                <w:b/>
                <w:sz w:val="24"/>
                <w:szCs w:val="24"/>
              </w:rPr>
              <w:t>INT-767</w:t>
            </w:r>
          </w:p>
          <w:p w14:paraId="17011CA5" w14:textId="77777777" w:rsidR="0062019A" w:rsidRPr="00A234EE" w:rsidRDefault="0062019A" w:rsidP="00A234EE">
            <w:pPr>
              <w:adjustRightInd w:val="0"/>
              <w:snapToGrid w:val="0"/>
              <w:spacing w:line="360" w:lineRule="auto"/>
              <w:jc w:val="both"/>
              <w:rPr>
                <w:rFonts w:ascii="Book Antiqua" w:eastAsia="Calibri" w:hAnsi="Book Antiqua" w:cstheme="minorHAnsi"/>
                <w:b/>
                <w:sz w:val="24"/>
                <w:szCs w:val="24"/>
              </w:rPr>
            </w:pPr>
            <w:r w:rsidRPr="00A234EE">
              <w:rPr>
                <w:rFonts w:ascii="Book Antiqua" w:eastAsia="Calibri" w:hAnsi="Book Antiqua" w:cstheme="minorHAnsi"/>
                <w:b/>
                <w:sz w:val="24"/>
                <w:szCs w:val="24"/>
              </w:rPr>
              <w:t>3 mg/kg (</w:t>
            </w:r>
            <w:r w:rsidRPr="00A234EE">
              <w:rPr>
                <w:rFonts w:ascii="Book Antiqua" w:eastAsia="Calibri" w:hAnsi="Book Antiqua" w:cstheme="minorHAnsi"/>
                <w:b/>
                <w:i/>
                <w:sz w:val="24"/>
                <w:szCs w:val="24"/>
              </w:rPr>
              <w:t xml:space="preserve">n = </w:t>
            </w:r>
            <w:r w:rsidRPr="00A234EE">
              <w:rPr>
                <w:rFonts w:ascii="Book Antiqua" w:eastAsia="Calibri" w:hAnsi="Book Antiqua" w:cstheme="minorHAnsi"/>
                <w:b/>
                <w:sz w:val="24"/>
                <w:szCs w:val="24"/>
              </w:rPr>
              <w:t>10)</w:t>
            </w:r>
          </w:p>
        </w:tc>
        <w:tc>
          <w:tcPr>
            <w:tcW w:w="1836" w:type="dxa"/>
            <w:tcBorders>
              <w:left w:val="nil"/>
              <w:bottom w:val="single" w:sz="4" w:space="0" w:color="auto"/>
            </w:tcBorders>
          </w:tcPr>
          <w:p w14:paraId="20B49406" w14:textId="77777777" w:rsidR="0062019A" w:rsidRPr="00A234EE" w:rsidRDefault="0062019A" w:rsidP="00A234EE">
            <w:pPr>
              <w:adjustRightInd w:val="0"/>
              <w:snapToGrid w:val="0"/>
              <w:spacing w:line="360" w:lineRule="auto"/>
              <w:jc w:val="both"/>
              <w:rPr>
                <w:rFonts w:ascii="Book Antiqua" w:eastAsia="Calibri" w:hAnsi="Book Antiqua" w:cstheme="minorHAnsi"/>
                <w:b/>
                <w:sz w:val="24"/>
                <w:szCs w:val="24"/>
              </w:rPr>
            </w:pPr>
            <w:r w:rsidRPr="00A234EE">
              <w:rPr>
                <w:rFonts w:ascii="Book Antiqua" w:eastAsia="Calibri" w:hAnsi="Book Antiqua" w:cstheme="minorHAnsi"/>
                <w:b/>
                <w:sz w:val="24"/>
                <w:szCs w:val="24"/>
              </w:rPr>
              <w:t>INT-767</w:t>
            </w:r>
          </w:p>
          <w:p w14:paraId="4A9F78DB" w14:textId="77777777" w:rsidR="0062019A" w:rsidRPr="00A234EE" w:rsidRDefault="0062019A" w:rsidP="00A234EE">
            <w:pPr>
              <w:adjustRightInd w:val="0"/>
              <w:snapToGrid w:val="0"/>
              <w:spacing w:line="360" w:lineRule="auto"/>
              <w:jc w:val="both"/>
              <w:rPr>
                <w:rFonts w:ascii="Book Antiqua" w:eastAsia="Calibri" w:hAnsi="Book Antiqua" w:cstheme="minorHAnsi"/>
                <w:b/>
                <w:sz w:val="24"/>
                <w:szCs w:val="24"/>
              </w:rPr>
            </w:pPr>
            <w:r w:rsidRPr="00A234EE">
              <w:rPr>
                <w:rFonts w:ascii="Book Antiqua" w:eastAsia="Calibri" w:hAnsi="Book Antiqua" w:cstheme="minorHAnsi"/>
                <w:b/>
                <w:sz w:val="24"/>
                <w:szCs w:val="24"/>
              </w:rPr>
              <w:t>10 mg/kg (</w:t>
            </w:r>
            <w:r w:rsidRPr="00A234EE">
              <w:rPr>
                <w:rFonts w:ascii="Book Antiqua" w:eastAsia="Calibri" w:hAnsi="Book Antiqua" w:cstheme="minorHAnsi"/>
                <w:b/>
                <w:i/>
                <w:sz w:val="24"/>
                <w:szCs w:val="24"/>
              </w:rPr>
              <w:t xml:space="preserve">n = </w:t>
            </w:r>
            <w:r w:rsidRPr="00A234EE">
              <w:rPr>
                <w:rFonts w:ascii="Book Antiqua" w:eastAsia="Calibri" w:hAnsi="Book Antiqua" w:cstheme="minorHAnsi"/>
                <w:b/>
                <w:sz w:val="24"/>
                <w:szCs w:val="24"/>
              </w:rPr>
              <w:t>10)</w:t>
            </w:r>
          </w:p>
        </w:tc>
      </w:tr>
      <w:tr w:rsidR="0062019A" w:rsidRPr="00A234EE" w14:paraId="003025B9" w14:textId="77777777" w:rsidTr="0062019A">
        <w:tc>
          <w:tcPr>
            <w:tcW w:w="4390" w:type="dxa"/>
            <w:tcBorders>
              <w:bottom w:val="nil"/>
              <w:right w:val="nil"/>
            </w:tcBorders>
          </w:tcPr>
          <w:p w14:paraId="1B4A441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plasma ALT (U/L)</w:t>
            </w:r>
          </w:p>
        </w:tc>
        <w:tc>
          <w:tcPr>
            <w:tcW w:w="1701" w:type="dxa"/>
            <w:tcBorders>
              <w:left w:val="nil"/>
              <w:bottom w:val="nil"/>
              <w:right w:val="nil"/>
            </w:tcBorders>
          </w:tcPr>
          <w:p w14:paraId="0B23097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577 ± 43.4</w:t>
            </w:r>
          </w:p>
        </w:tc>
        <w:tc>
          <w:tcPr>
            <w:tcW w:w="1701" w:type="dxa"/>
            <w:tcBorders>
              <w:left w:val="nil"/>
              <w:bottom w:val="nil"/>
              <w:right w:val="nil"/>
            </w:tcBorders>
          </w:tcPr>
          <w:p w14:paraId="5A2FBFC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552 ± 36.1</w:t>
            </w:r>
          </w:p>
        </w:tc>
        <w:tc>
          <w:tcPr>
            <w:tcW w:w="1836" w:type="dxa"/>
            <w:tcBorders>
              <w:left w:val="nil"/>
              <w:bottom w:val="nil"/>
            </w:tcBorders>
          </w:tcPr>
          <w:p w14:paraId="74DDE89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498 ± 27.3</w:t>
            </w:r>
          </w:p>
        </w:tc>
      </w:tr>
      <w:tr w:rsidR="0062019A" w:rsidRPr="00A234EE" w14:paraId="1868CDCF" w14:textId="77777777" w:rsidTr="0062019A">
        <w:tc>
          <w:tcPr>
            <w:tcW w:w="4390" w:type="dxa"/>
            <w:tcBorders>
              <w:top w:val="nil"/>
              <w:bottom w:val="nil"/>
              <w:right w:val="nil"/>
            </w:tcBorders>
          </w:tcPr>
          <w:p w14:paraId="5223E74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plasma ALT (U/L)</w:t>
            </w:r>
          </w:p>
        </w:tc>
        <w:tc>
          <w:tcPr>
            <w:tcW w:w="1701" w:type="dxa"/>
            <w:tcBorders>
              <w:top w:val="nil"/>
              <w:left w:val="nil"/>
              <w:bottom w:val="nil"/>
              <w:right w:val="nil"/>
            </w:tcBorders>
          </w:tcPr>
          <w:p w14:paraId="466C43B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670 ± 58.9</w:t>
            </w:r>
          </w:p>
        </w:tc>
        <w:tc>
          <w:tcPr>
            <w:tcW w:w="1701" w:type="dxa"/>
            <w:tcBorders>
              <w:top w:val="nil"/>
              <w:left w:val="nil"/>
              <w:bottom w:val="nil"/>
              <w:right w:val="nil"/>
            </w:tcBorders>
          </w:tcPr>
          <w:p w14:paraId="426DCEAB"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478 ± 33.9</w:t>
            </w:r>
          </w:p>
        </w:tc>
        <w:tc>
          <w:tcPr>
            <w:tcW w:w="1836" w:type="dxa"/>
            <w:tcBorders>
              <w:top w:val="nil"/>
              <w:left w:val="nil"/>
              <w:bottom w:val="nil"/>
            </w:tcBorders>
          </w:tcPr>
          <w:p w14:paraId="099E4925" w14:textId="47E47CAE"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250 ± 21.6</w:t>
            </w:r>
            <w:r w:rsidRPr="00A234EE">
              <w:rPr>
                <w:rFonts w:ascii="Book Antiqua" w:eastAsia="Calibri" w:hAnsi="Book Antiqua" w:cstheme="minorHAnsi"/>
                <w:sz w:val="24"/>
                <w:szCs w:val="24"/>
                <w:vertAlign w:val="superscript"/>
                <w:lang w:eastAsia="zh-CN"/>
              </w:rPr>
              <w:t>b</w:t>
            </w:r>
            <w:r w:rsidRPr="00A234EE">
              <w:rPr>
                <w:rFonts w:ascii="Book Antiqua" w:eastAsia="Calibri" w:hAnsi="Book Antiqua" w:cstheme="minorHAnsi"/>
                <w:sz w:val="24"/>
                <w:szCs w:val="24"/>
                <w:vertAlign w:val="superscript"/>
              </w:rPr>
              <w:t>/</w:t>
            </w:r>
            <w:r w:rsidRPr="00A234EE">
              <w:rPr>
                <w:rFonts w:ascii="Book Antiqua" w:eastAsia="Calibri" w:hAnsi="Book Antiqua" w:cstheme="minorHAnsi"/>
                <w:sz w:val="24"/>
                <w:szCs w:val="24"/>
                <w:vertAlign w:val="superscript"/>
                <w:lang w:eastAsia="zh-CN"/>
              </w:rPr>
              <w:t>f</w:t>
            </w:r>
          </w:p>
        </w:tc>
      </w:tr>
      <w:tr w:rsidR="0062019A" w:rsidRPr="00A234EE" w14:paraId="0FAE6937" w14:textId="77777777" w:rsidTr="0062019A">
        <w:tc>
          <w:tcPr>
            <w:tcW w:w="4390" w:type="dxa"/>
            <w:tcBorders>
              <w:top w:val="nil"/>
              <w:bottom w:val="nil"/>
              <w:right w:val="nil"/>
            </w:tcBorders>
          </w:tcPr>
          <w:p w14:paraId="07AC4EF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plasma AST (U/L)</w:t>
            </w:r>
          </w:p>
        </w:tc>
        <w:tc>
          <w:tcPr>
            <w:tcW w:w="1701" w:type="dxa"/>
            <w:tcBorders>
              <w:top w:val="nil"/>
              <w:left w:val="nil"/>
              <w:bottom w:val="nil"/>
              <w:right w:val="nil"/>
            </w:tcBorders>
          </w:tcPr>
          <w:p w14:paraId="785E78F3"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436 ± 36.7</w:t>
            </w:r>
          </w:p>
        </w:tc>
        <w:tc>
          <w:tcPr>
            <w:tcW w:w="1701" w:type="dxa"/>
            <w:tcBorders>
              <w:top w:val="nil"/>
              <w:left w:val="nil"/>
              <w:bottom w:val="nil"/>
              <w:right w:val="nil"/>
            </w:tcBorders>
          </w:tcPr>
          <w:p w14:paraId="5B5301F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421 ± 16.7</w:t>
            </w:r>
          </w:p>
        </w:tc>
        <w:tc>
          <w:tcPr>
            <w:tcW w:w="1836" w:type="dxa"/>
            <w:tcBorders>
              <w:top w:val="nil"/>
              <w:left w:val="nil"/>
              <w:bottom w:val="nil"/>
            </w:tcBorders>
          </w:tcPr>
          <w:p w14:paraId="1A7EDB43"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359 ± 15.6</w:t>
            </w:r>
          </w:p>
        </w:tc>
      </w:tr>
      <w:tr w:rsidR="0062019A" w:rsidRPr="00A234EE" w14:paraId="58987BE7" w14:textId="77777777" w:rsidTr="0062019A">
        <w:tc>
          <w:tcPr>
            <w:tcW w:w="4390" w:type="dxa"/>
            <w:tcBorders>
              <w:top w:val="nil"/>
              <w:bottom w:val="nil"/>
              <w:right w:val="nil"/>
            </w:tcBorders>
          </w:tcPr>
          <w:p w14:paraId="31072E9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plasma AST (U/L)</w:t>
            </w:r>
          </w:p>
        </w:tc>
        <w:tc>
          <w:tcPr>
            <w:tcW w:w="1701" w:type="dxa"/>
            <w:tcBorders>
              <w:top w:val="nil"/>
              <w:left w:val="nil"/>
              <w:bottom w:val="nil"/>
              <w:right w:val="nil"/>
            </w:tcBorders>
          </w:tcPr>
          <w:p w14:paraId="7B92EE8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552 ± 49.4</w:t>
            </w:r>
          </w:p>
        </w:tc>
        <w:tc>
          <w:tcPr>
            <w:tcW w:w="1701" w:type="dxa"/>
            <w:tcBorders>
              <w:top w:val="nil"/>
              <w:left w:val="nil"/>
              <w:bottom w:val="nil"/>
              <w:right w:val="nil"/>
            </w:tcBorders>
          </w:tcPr>
          <w:p w14:paraId="4ED5C08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447 ± 38.8</w:t>
            </w:r>
          </w:p>
        </w:tc>
        <w:tc>
          <w:tcPr>
            <w:tcW w:w="1836" w:type="dxa"/>
            <w:tcBorders>
              <w:top w:val="nil"/>
              <w:left w:val="nil"/>
              <w:bottom w:val="nil"/>
            </w:tcBorders>
          </w:tcPr>
          <w:p w14:paraId="7947F53F" w14:textId="4BD9855E" w:rsidR="0062019A" w:rsidRPr="00A234EE" w:rsidRDefault="0062019A" w:rsidP="00A234EE">
            <w:pPr>
              <w:adjustRightInd w:val="0"/>
              <w:snapToGrid w:val="0"/>
              <w:spacing w:line="360" w:lineRule="auto"/>
              <w:jc w:val="both"/>
              <w:rPr>
                <w:rFonts w:ascii="Book Antiqua" w:eastAsia="Calibri" w:hAnsi="Book Antiqua" w:cstheme="minorHAnsi"/>
                <w:sz w:val="24"/>
                <w:szCs w:val="24"/>
                <w:lang w:eastAsia="zh-CN"/>
              </w:rPr>
            </w:pPr>
            <w:r w:rsidRPr="00A234EE">
              <w:rPr>
                <w:rFonts w:ascii="Book Antiqua" w:eastAsia="Calibri" w:hAnsi="Book Antiqua" w:cstheme="minorHAnsi"/>
                <w:sz w:val="24"/>
                <w:szCs w:val="24"/>
              </w:rPr>
              <w:t>257 ± 42.3</w:t>
            </w:r>
            <w:r w:rsidRPr="00A234EE">
              <w:rPr>
                <w:rFonts w:ascii="Book Antiqua" w:eastAsia="Calibri" w:hAnsi="Book Antiqua" w:cstheme="minorHAnsi"/>
                <w:sz w:val="24"/>
                <w:szCs w:val="24"/>
                <w:vertAlign w:val="superscript"/>
                <w:lang w:eastAsia="zh-CN"/>
              </w:rPr>
              <w:t>e</w:t>
            </w:r>
            <w:r w:rsidRPr="00A234EE">
              <w:rPr>
                <w:rFonts w:ascii="Book Antiqua" w:eastAsia="Calibri" w:hAnsi="Book Antiqua" w:cstheme="minorHAnsi"/>
                <w:sz w:val="24"/>
                <w:szCs w:val="24"/>
                <w:vertAlign w:val="superscript"/>
              </w:rPr>
              <w:t>/</w:t>
            </w:r>
            <w:r w:rsidRPr="00A234EE">
              <w:rPr>
                <w:rFonts w:ascii="Book Antiqua" w:eastAsia="Calibri" w:hAnsi="Book Antiqua" w:cstheme="minorHAnsi"/>
                <w:sz w:val="24"/>
                <w:szCs w:val="24"/>
                <w:vertAlign w:val="superscript"/>
                <w:lang w:eastAsia="zh-CN"/>
              </w:rPr>
              <w:t>f</w:t>
            </w:r>
          </w:p>
        </w:tc>
      </w:tr>
      <w:tr w:rsidR="0062019A" w:rsidRPr="00A234EE" w14:paraId="453F94FD" w14:textId="77777777" w:rsidTr="0062019A">
        <w:tc>
          <w:tcPr>
            <w:tcW w:w="4390" w:type="dxa"/>
            <w:tcBorders>
              <w:top w:val="nil"/>
              <w:bottom w:val="nil"/>
              <w:right w:val="nil"/>
            </w:tcBorders>
          </w:tcPr>
          <w:p w14:paraId="6CD63D1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plasma TC (mmol/L)</w:t>
            </w:r>
          </w:p>
        </w:tc>
        <w:tc>
          <w:tcPr>
            <w:tcW w:w="1701" w:type="dxa"/>
            <w:tcBorders>
              <w:top w:val="nil"/>
              <w:left w:val="nil"/>
              <w:bottom w:val="nil"/>
              <w:right w:val="nil"/>
            </w:tcBorders>
          </w:tcPr>
          <w:p w14:paraId="71F24B9B"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10.3 ± 0.8</w:t>
            </w:r>
          </w:p>
        </w:tc>
        <w:tc>
          <w:tcPr>
            <w:tcW w:w="1701" w:type="dxa"/>
            <w:tcBorders>
              <w:top w:val="nil"/>
              <w:left w:val="nil"/>
              <w:bottom w:val="nil"/>
              <w:right w:val="nil"/>
            </w:tcBorders>
          </w:tcPr>
          <w:p w14:paraId="774B789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10.3 ± 0.8</w:t>
            </w:r>
          </w:p>
        </w:tc>
        <w:tc>
          <w:tcPr>
            <w:tcW w:w="1836" w:type="dxa"/>
            <w:tcBorders>
              <w:top w:val="nil"/>
              <w:left w:val="nil"/>
              <w:bottom w:val="nil"/>
            </w:tcBorders>
          </w:tcPr>
          <w:p w14:paraId="255EE9E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11.1 ± 0.3</w:t>
            </w:r>
          </w:p>
        </w:tc>
      </w:tr>
      <w:tr w:rsidR="0062019A" w:rsidRPr="00A234EE" w14:paraId="68DF7A22" w14:textId="77777777" w:rsidTr="0062019A">
        <w:tc>
          <w:tcPr>
            <w:tcW w:w="4390" w:type="dxa"/>
            <w:tcBorders>
              <w:top w:val="nil"/>
              <w:bottom w:val="nil"/>
              <w:right w:val="nil"/>
            </w:tcBorders>
          </w:tcPr>
          <w:p w14:paraId="33437A7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plasma TC (mmol/L)</w:t>
            </w:r>
          </w:p>
        </w:tc>
        <w:tc>
          <w:tcPr>
            <w:tcW w:w="1701" w:type="dxa"/>
            <w:tcBorders>
              <w:top w:val="nil"/>
              <w:left w:val="nil"/>
              <w:bottom w:val="nil"/>
              <w:right w:val="nil"/>
            </w:tcBorders>
          </w:tcPr>
          <w:p w14:paraId="3EBED95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10.7 ± 0.5</w:t>
            </w:r>
          </w:p>
        </w:tc>
        <w:tc>
          <w:tcPr>
            <w:tcW w:w="1701" w:type="dxa"/>
            <w:tcBorders>
              <w:top w:val="nil"/>
              <w:left w:val="nil"/>
              <w:bottom w:val="nil"/>
              <w:right w:val="nil"/>
            </w:tcBorders>
          </w:tcPr>
          <w:p w14:paraId="3AA3ABF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9.2 ± 0.3</w:t>
            </w:r>
          </w:p>
        </w:tc>
        <w:tc>
          <w:tcPr>
            <w:tcW w:w="1836" w:type="dxa"/>
            <w:tcBorders>
              <w:top w:val="nil"/>
              <w:left w:val="nil"/>
              <w:bottom w:val="nil"/>
            </w:tcBorders>
          </w:tcPr>
          <w:p w14:paraId="34096E76" w14:textId="44BDAD13" w:rsidR="0062019A" w:rsidRPr="00A234EE" w:rsidRDefault="0062019A" w:rsidP="00A234EE">
            <w:pPr>
              <w:adjustRightInd w:val="0"/>
              <w:snapToGrid w:val="0"/>
              <w:spacing w:line="360" w:lineRule="auto"/>
              <w:jc w:val="both"/>
              <w:rPr>
                <w:rFonts w:ascii="Book Antiqua" w:eastAsia="Calibri" w:hAnsi="Book Antiqua" w:cstheme="minorHAnsi"/>
                <w:sz w:val="24"/>
                <w:szCs w:val="24"/>
                <w:lang w:eastAsia="zh-CN"/>
              </w:rPr>
            </w:pPr>
            <w:r w:rsidRPr="00A234EE">
              <w:rPr>
                <w:rFonts w:ascii="Book Antiqua" w:eastAsia="Calibri" w:hAnsi="Book Antiqua" w:cstheme="minorHAnsi"/>
                <w:sz w:val="24"/>
                <w:szCs w:val="24"/>
              </w:rPr>
              <w:t>7.2 ± 0.4</w:t>
            </w:r>
            <w:r w:rsidRPr="00A234EE">
              <w:rPr>
                <w:rFonts w:ascii="Book Antiqua" w:eastAsia="Calibri" w:hAnsi="Book Antiqua" w:cstheme="minorHAnsi"/>
                <w:sz w:val="24"/>
                <w:szCs w:val="24"/>
                <w:vertAlign w:val="superscript"/>
                <w:lang w:eastAsia="zh-CN"/>
              </w:rPr>
              <w:t>e</w:t>
            </w:r>
            <w:r w:rsidRPr="00A234EE">
              <w:rPr>
                <w:rFonts w:ascii="Book Antiqua" w:eastAsia="Calibri" w:hAnsi="Book Antiqua" w:cstheme="minorHAnsi"/>
                <w:sz w:val="24"/>
                <w:szCs w:val="24"/>
                <w:vertAlign w:val="superscript"/>
              </w:rPr>
              <w:t>/</w:t>
            </w:r>
            <w:r w:rsidRPr="00A234EE">
              <w:rPr>
                <w:rFonts w:ascii="Book Antiqua" w:eastAsia="Calibri" w:hAnsi="Book Antiqua" w:cstheme="minorHAnsi"/>
                <w:sz w:val="24"/>
                <w:szCs w:val="24"/>
                <w:vertAlign w:val="superscript"/>
                <w:lang w:eastAsia="zh-CN"/>
              </w:rPr>
              <w:t>f</w:t>
            </w:r>
          </w:p>
        </w:tc>
      </w:tr>
      <w:tr w:rsidR="0062019A" w:rsidRPr="00A234EE" w14:paraId="68FC1D26" w14:textId="77777777" w:rsidTr="0062019A">
        <w:tc>
          <w:tcPr>
            <w:tcW w:w="4390" w:type="dxa"/>
            <w:tcBorders>
              <w:top w:val="nil"/>
              <w:bottom w:val="nil"/>
              <w:right w:val="nil"/>
            </w:tcBorders>
          </w:tcPr>
          <w:p w14:paraId="605D5F5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plasma TG (mmol/L)</w:t>
            </w:r>
          </w:p>
        </w:tc>
        <w:tc>
          <w:tcPr>
            <w:tcW w:w="1701" w:type="dxa"/>
            <w:tcBorders>
              <w:top w:val="nil"/>
              <w:left w:val="nil"/>
              <w:bottom w:val="nil"/>
              <w:right w:val="nil"/>
            </w:tcBorders>
          </w:tcPr>
          <w:p w14:paraId="791E6EA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0.8 ± 0.0</w:t>
            </w:r>
          </w:p>
        </w:tc>
        <w:tc>
          <w:tcPr>
            <w:tcW w:w="1701" w:type="dxa"/>
            <w:tcBorders>
              <w:top w:val="nil"/>
              <w:left w:val="nil"/>
              <w:bottom w:val="nil"/>
              <w:right w:val="nil"/>
            </w:tcBorders>
          </w:tcPr>
          <w:p w14:paraId="1F8800C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0.8 ± 0.1</w:t>
            </w:r>
          </w:p>
        </w:tc>
        <w:tc>
          <w:tcPr>
            <w:tcW w:w="1836" w:type="dxa"/>
            <w:tcBorders>
              <w:top w:val="nil"/>
              <w:left w:val="nil"/>
              <w:bottom w:val="nil"/>
            </w:tcBorders>
          </w:tcPr>
          <w:p w14:paraId="3F924209"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0.8 ± 0.1</w:t>
            </w:r>
          </w:p>
        </w:tc>
      </w:tr>
      <w:tr w:rsidR="0062019A" w:rsidRPr="00A234EE" w14:paraId="47E49CDB" w14:textId="77777777" w:rsidTr="0062019A">
        <w:tc>
          <w:tcPr>
            <w:tcW w:w="4390" w:type="dxa"/>
            <w:tcBorders>
              <w:top w:val="nil"/>
              <w:bottom w:val="nil"/>
              <w:right w:val="nil"/>
            </w:tcBorders>
          </w:tcPr>
          <w:p w14:paraId="2AF7186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plasma TG (mmol/L)</w:t>
            </w:r>
          </w:p>
        </w:tc>
        <w:tc>
          <w:tcPr>
            <w:tcW w:w="1701" w:type="dxa"/>
            <w:tcBorders>
              <w:top w:val="nil"/>
              <w:left w:val="nil"/>
              <w:bottom w:val="nil"/>
              <w:right w:val="nil"/>
            </w:tcBorders>
          </w:tcPr>
          <w:p w14:paraId="646F892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0.7 ± 0.0</w:t>
            </w:r>
          </w:p>
        </w:tc>
        <w:tc>
          <w:tcPr>
            <w:tcW w:w="1701" w:type="dxa"/>
            <w:tcBorders>
              <w:top w:val="nil"/>
              <w:left w:val="nil"/>
              <w:bottom w:val="nil"/>
              <w:right w:val="nil"/>
            </w:tcBorders>
          </w:tcPr>
          <w:p w14:paraId="25ED41F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0.6 ± 0.0</w:t>
            </w:r>
          </w:p>
        </w:tc>
        <w:tc>
          <w:tcPr>
            <w:tcW w:w="1836" w:type="dxa"/>
            <w:tcBorders>
              <w:top w:val="nil"/>
              <w:left w:val="nil"/>
              <w:bottom w:val="nil"/>
            </w:tcBorders>
          </w:tcPr>
          <w:p w14:paraId="1A0834F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0.6 ± 0.1</w:t>
            </w:r>
          </w:p>
        </w:tc>
      </w:tr>
      <w:tr w:rsidR="0062019A" w:rsidRPr="00A234EE" w14:paraId="79CA5102" w14:textId="77777777" w:rsidTr="0062019A">
        <w:tc>
          <w:tcPr>
            <w:tcW w:w="4390" w:type="dxa"/>
            <w:tcBorders>
              <w:top w:val="nil"/>
              <w:bottom w:val="nil"/>
              <w:right w:val="nil"/>
            </w:tcBorders>
          </w:tcPr>
          <w:p w14:paraId="28624F1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liver TC (mg/g tissue)</w:t>
            </w:r>
          </w:p>
        </w:tc>
        <w:tc>
          <w:tcPr>
            <w:tcW w:w="1701" w:type="dxa"/>
            <w:tcBorders>
              <w:top w:val="nil"/>
              <w:left w:val="nil"/>
              <w:bottom w:val="nil"/>
              <w:right w:val="nil"/>
            </w:tcBorders>
          </w:tcPr>
          <w:p w14:paraId="5E80A41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32.9 ± 1.7</w:t>
            </w:r>
          </w:p>
        </w:tc>
        <w:tc>
          <w:tcPr>
            <w:tcW w:w="1701" w:type="dxa"/>
            <w:tcBorders>
              <w:top w:val="nil"/>
              <w:left w:val="nil"/>
              <w:bottom w:val="nil"/>
              <w:right w:val="nil"/>
            </w:tcBorders>
          </w:tcPr>
          <w:p w14:paraId="0823901A" w14:textId="71F33F61"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24.0 ± 1.1</w:t>
            </w:r>
            <w:r w:rsidRPr="00A234EE">
              <w:rPr>
                <w:rFonts w:ascii="Book Antiqua" w:eastAsia="Calibri" w:hAnsi="Book Antiqua" w:cstheme="minorHAnsi"/>
                <w:sz w:val="24"/>
                <w:szCs w:val="24"/>
                <w:vertAlign w:val="superscript"/>
                <w:lang w:eastAsia="zh-CN"/>
              </w:rPr>
              <w:t>d</w:t>
            </w:r>
          </w:p>
        </w:tc>
        <w:tc>
          <w:tcPr>
            <w:tcW w:w="1836" w:type="dxa"/>
            <w:tcBorders>
              <w:top w:val="nil"/>
              <w:left w:val="nil"/>
              <w:bottom w:val="nil"/>
            </w:tcBorders>
          </w:tcPr>
          <w:p w14:paraId="575BDA16" w14:textId="585DDC8A"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18.0 ± 1.5</w:t>
            </w:r>
            <w:r w:rsidRPr="00A234EE">
              <w:rPr>
                <w:rFonts w:ascii="Book Antiqua" w:eastAsia="Calibri" w:hAnsi="Book Antiqua" w:cstheme="minorHAnsi"/>
                <w:sz w:val="24"/>
                <w:szCs w:val="24"/>
                <w:vertAlign w:val="superscript"/>
                <w:lang w:eastAsia="zh-CN"/>
              </w:rPr>
              <w:t>f</w:t>
            </w:r>
          </w:p>
        </w:tc>
      </w:tr>
      <w:tr w:rsidR="0062019A" w:rsidRPr="00A234EE" w14:paraId="44E838EA" w14:textId="77777777" w:rsidTr="0062019A">
        <w:tc>
          <w:tcPr>
            <w:tcW w:w="4390" w:type="dxa"/>
            <w:tcBorders>
              <w:top w:val="nil"/>
              <w:bottom w:val="nil"/>
              <w:right w:val="nil"/>
            </w:tcBorders>
          </w:tcPr>
          <w:p w14:paraId="6192C3D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liver TG (mg/g tissue)</w:t>
            </w:r>
          </w:p>
        </w:tc>
        <w:tc>
          <w:tcPr>
            <w:tcW w:w="1701" w:type="dxa"/>
            <w:tcBorders>
              <w:top w:val="nil"/>
              <w:left w:val="nil"/>
              <w:bottom w:val="nil"/>
              <w:right w:val="nil"/>
            </w:tcBorders>
          </w:tcPr>
          <w:p w14:paraId="566F2023"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233 ± 12.3</w:t>
            </w:r>
          </w:p>
        </w:tc>
        <w:tc>
          <w:tcPr>
            <w:tcW w:w="1701" w:type="dxa"/>
            <w:tcBorders>
              <w:top w:val="nil"/>
              <w:left w:val="nil"/>
              <w:bottom w:val="nil"/>
              <w:right w:val="nil"/>
            </w:tcBorders>
          </w:tcPr>
          <w:p w14:paraId="0030B82F"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229 ± 15.4</w:t>
            </w:r>
          </w:p>
        </w:tc>
        <w:tc>
          <w:tcPr>
            <w:tcW w:w="1836" w:type="dxa"/>
            <w:tcBorders>
              <w:top w:val="nil"/>
              <w:left w:val="nil"/>
              <w:bottom w:val="nil"/>
            </w:tcBorders>
          </w:tcPr>
          <w:p w14:paraId="681691E7" w14:textId="54BE1132"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149 ± 14.0</w:t>
            </w:r>
            <w:r w:rsidRPr="00A234EE">
              <w:rPr>
                <w:rFonts w:ascii="Book Antiqua" w:eastAsia="Calibri" w:hAnsi="Book Antiqua" w:cstheme="minorHAnsi"/>
                <w:sz w:val="24"/>
                <w:szCs w:val="24"/>
                <w:vertAlign w:val="superscript"/>
                <w:lang w:eastAsia="zh-CN"/>
              </w:rPr>
              <w:t>d</w:t>
            </w:r>
          </w:p>
        </w:tc>
      </w:tr>
      <w:tr w:rsidR="0062019A" w:rsidRPr="00A234EE" w14:paraId="6D392927" w14:textId="77777777" w:rsidTr="0062019A">
        <w:tc>
          <w:tcPr>
            <w:tcW w:w="4390" w:type="dxa"/>
            <w:tcBorders>
              <w:top w:val="nil"/>
              <w:bottom w:val="nil"/>
              <w:right w:val="nil"/>
            </w:tcBorders>
          </w:tcPr>
          <w:p w14:paraId="1BDC43C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Fasting blood glucose (week 4, mmol/l)</w:t>
            </w:r>
          </w:p>
        </w:tc>
        <w:tc>
          <w:tcPr>
            <w:tcW w:w="1701" w:type="dxa"/>
            <w:tcBorders>
              <w:top w:val="nil"/>
              <w:left w:val="nil"/>
              <w:bottom w:val="nil"/>
              <w:right w:val="nil"/>
            </w:tcBorders>
          </w:tcPr>
          <w:p w14:paraId="6C1FCEF3"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7.6 ± 0.1</w:t>
            </w:r>
          </w:p>
        </w:tc>
        <w:tc>
          <w:tcPr>
            <w:tcW w:w="1701" w:type="dxa"/>
            <w:tcBorders>
              <w:top w:val="nil"/>
              <w:left w:val="nil"/>
              <w:bottom w:val="nil"/>
              <w:right w:val="nil"/>
            </w:tcBorders>
          </w:tcPr>
          <w:p w14:paraId="1B5334F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8.2 ± 0.2</w:t>
            </w:r>
          </w:p>
        </w:tc>
        <w:tc>
          <w:tcPr>
            <w:tcW w:w="1836" w:type="dxa"/>
            <w:tcBorders>
              <w:top w:val="nil"/>
              <w:left w:val="nil"/>
              <w:bottom w:val="nil"/>
            </w:tcBorders>
          </w:tcPr>
          <w:p w14:paraId="6222D45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8.0 ± 0.3</w:t>
            </w:r>
          </w:p>
        </w:tc>
      </w:tr>
      <w:tr w:rsidR="0062019A" w:rsidRPr="00A234EE" w14:paraId="101D76B3" w14:textId="77777777" w:rsidTr="0062019A">
        <w:tc>
          <w:tcPr>
            <w:tcW w:w="4390" w:type="dxa"/>
            <w:tcBorders>
              <w:top w:val="nil"/>
              <w:bottom w:val="nil"/>
              <w:right w:val="nil"/>
            </w:tcBorders>
          </w:tcPr>
          <w:p w14:paraId="44ECC0AB"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OGTT, glucose AUC (week 4, mmol/l x min)</w:t>
            </w:r>
          </w:p>
        </w:tc>
        <w:tc>
          <w:tcPr>
            <w:tcW w:w="1701" w:type="dxa"/>
            <w:tcBorders>
              <w:top w:val="nil"/>
              <w:left w:val="nil"/>
              <w:bottom w:val="nil"/>
              <w:right w:val="nil"/>
            </w:tcBorders>
          </w:tcPr>
          <w:p w14:paraId="49A8319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1,318 ± 61</w:t>
            </w:r>
          </w:p>
        </w:tc>
        <w:tc>
          <w:tcPr>
            <w:tcW w:w="1701" w:type="dxa"/>
            <w:tcBorders>
              <w:top w:val="nil"/>
              <w:left w:val="nil"/>
              <w:bottom w:val="nil"/>
              <w:right w:val="nil"/>
            </w:tcBorders>
          </w:tcPr>
          <w:p w14:paraId="5482728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1,304 ± 38</w:t>
            </w:r>
          </w:p>
        </w:tc>
        <w:tc>
          <w:tcPr>
            <w:tcW w:w="1836" w:type="dxa"/>
            <w:tcBorders>
              <w:top w:val="nil"/>
              <w:left w:val="nil"/>
              <w:bottom w:val="nil"/>
            </w:tcBorders>
          </w:tcPr>
          <w:p w14:paraId="2B70594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1,417 ± 78</w:t>
            </w:r>
          </w:p>
        </w:tc>
      </w:tr>
      <w:tr w:rsidR="0062019A" w:rsidRPr="00A234EE" w14:paraId="79A03EC6" w14:textId="77777777" w:rsidTr="0062019A">
        <w:tc>
          <w:tcPr>
            <w:tcW w:w="4390" w:type="dxa"/>
            <w:tcBorders>
              <w:top w:val="nil"/>
              <w:bottom w:val="nil"/>
              <w:right w:val="nil"/>
            </w:tcBorders>
          </w:tcPr>
          <w:p w14:paraId="555F613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Fed blood glucose (week 8, mmol/l)</w:t>
            </w:r>
          </w:p>
        </w:tc>
        <w:tc>
          <w:tcPr>
            <w:tcW w:w="1701" w:type="dxa"/>
            <w:tcBorders>
              <w:top w:val="nil"/>
              <w:left w:val="nil"/>
              <w:bottom w:val="nil"/>
              <w:right w:val="nil"/>
            </w:tcBorders>
          </w:tcPr>
          <w:p w14:paraId="4721003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7.1 ± 0.2</w:t>
            </w:r>
          </w:p>
        </w:tc>
        <w:tc>
          <w:tcPr>
            <w:tcW w:w="1701" w:type="dxa"/>
            <w:tcBorders>
              <w:top w:val="nil"/>
              <w:left w:val="nil"/>
              <w:bottom w:val="nil"/>
              <w:right w:val="nil"/>
            </w:tcBorders>
          </w:tcPr>
          <w:p w14:paraId="58127FF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6.8 ± 0.2</w:t>
            </w:r>
          </w:p>
        </w:tc>
        <w:tc>
          <w:tcPr>
            <w:tcW w:w="1836" w:type="dxa"/>
            <w:tcBorders>
              <w:top w:val="nil"/>
              <w:left w:val="nil"/>
              <w:bottom w:val="nil"/>
            </w:tcBorders>
          </w:tcPr>
          <w:p w14:paraId="58C4313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7.3 ± 0.3</w:t>
            </w:r>
          </w:p>
        </w:tc>
      </w:tr>
      <w:tr w:rsidR="0062019A" w:rsidRPr="00A234EE" w14:paraId="42E2DABF" w14:textId="77777777" w:rsidTr="0062019A">
        <w:tc>
          <w:tcPr>
            <w:tcW w:w="4390" w:type="dxa"/>
            <w:tcBorders>
              <w:top w:val="nil"/>
              <w:bottom w:val="nil"/>
              <w:right w:val="nil"/>
            </w:tcBorders>
          </w:tcPr>
          <w:p w14:paraId="13953C8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Fed plasma insulin (week 8, pmol/l)</w:t>
            </w:r>
          </w:p>
        </w:tc>
        <w:tc>
          <w:tcPr>
            <w:tcW w:w="1701" w:type="dxa"/>
            <w:tcBorders>
              <w:top w:val="nil"/>
              <w:left w:val="nil"/>
              <w:bottom w:val="nil"/>
              <w:right w:val="nil"/>
            </w:tcBorders>
          </w:tcPr>
          <w:p w14:paraId="5F40A20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567 ± 133</w:t>
            </w:r>
          </w:p>
        </w:tc>
        <w:tc>
          <w:tcPr>
            <w:tcW w:w="1701" w:type="dxa"/>
            <w:tcBorders>
              <w:top w:val="nil"/>
              <w:left w:val="nil"/>
              <w:bottom w:val="nil"/>
              <w:right w:val="nil"/>
            </w:tcBorders>
          </w:tcPr>
          <w:p w14:paraId="4D95825F"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482 ± 122</w:t>
            </w:r>
          </w:p>
        </w:tc>
        <w:tc>
          <w:tcPr>
            <w:tcW w:w="1836" w:type="dxa"/>
            <w:tcBorders>
              <w:top w:val="nil"/>
              <w:left w:val="nil"/>
              <w:bottom w:val="nil"/>
            </w:tcBorders>
          </w:tcPr>
          <w:p w14:paraId="7BB7527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799 ± 229</w:t>
            </w:r>
          </w:p>
        </w:tc>
      </w:tr>
      <w:tr w:rsidR="0062019A" w:rsidRPr="00A234EE" w14:paraId="1F0A055D" w14:textId="77777777" w:rsidTr="0062019A">
        <w:tc>
          <w:tcPr>
            <w:tcW w:w="4390" w:type="dxa"/>
            <w:tcBorders>
              <w:top w:val="nil"/>
              <w:bottom w:val="nil"/>
              <w:right w:val="nil"/>
            </w:tcBorders>
          </w:tcPr>
          <w:p w14:paraId="13EEAA7B"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steatosis score</w:t>
            </w:r>
          </w:p>
        </w:tc>
        <w:tc>
          <w:tcPr>
            <w:tcW w:w="1701" w:type="dxa"/>
            <w:tcBorders>
              <w:top w:val="nil"/>
              <w:left w:val="nil"/>
              <w:bottom w:val="nil"/>
              <w:right w:val="nil"/>
            </w:tcBorders>
          </w:tcPr>
          <w:p w14:paraId="460EE309"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3.0 ± 0.0</w:t>
            </w:r>
          </w:p>
        </w:tc>
        <w:tc>
          <w:tcPr>
            <w:tcW w:w="1701" w:type="dxa"/>
            <w:tcBorders>
              <w:top w:val="nil"/>
              <w:left w:val="nil"/>
              <w:bottom w:val="nil"/>
              <w:right w:val="nil"/>
            </w:tcBorders>
          </w:tcPr>
          <w:p w14:paraId="4428AC8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2.9 ± 0.1</w:t>
            </w:r>
          </w:p>
        </w:tc>
        <w:tc>
          <w:tcPr>
            <w:tcW w:w="1836" w:type="dxa"/>
            <w:tcBorders>
              <w:top w:val="nil"/>
              <w:left w:val="nil"/>
              <w:bottom w:val="nil"/>
            </w:tcBorders>
          </w:tcPr>
          <w:p w14:paraId="676EC1B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2.9 ± 0.1</w:t>
            </w:r>
          </w:p>
        </w:tc>
      </w:tr>
      <w:tr w:rsidR="0062019A" w:rsidRPr="00A234EE" w14:paraId="69BA633D" w14:textId="77777777" w:rsidTr="0062019A">
        <w:tc>
          <w:tcPr>
            <w:tcW w:w="4390" w:type="dxa"/>
            <w:tcBorders>
              <w:top w:val="nil"/>
              <w:bottom w:val="nil"/>
              <w:right w:val="nil"/>
            </w:tcBorders>
          </w:tcPr>
          <w:p w14:paraId="5E7C74A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steatosis score</w:t>
            </w:r>
          </w:p>
        </w:tc>
        <w:tc>
          <w:tcPr>
            <w:tcW w:w="1701" w:type="dxa"/>
            <w:tcBorders>
              <w:top w:val="nil"/>
              <w:left w:val="nil"/>
              <w:bottom w:val="nil"/>
              <w:right w:val="nil"/>
            </w:tcBorders>
          </w:tcPr>
          <w:p w14:paraId="67935F5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3.0 ± 0.0</w:t>
            </w:r>
          </w:p>
        </w:tc>
        <w:tc>
          <w:tcPr>
            <w:tcW w:w="1701" w:type="dxa"/>
            <w:tcBorders>
              <w:top w:val="nil"/>
              <w:left w:val="nil"/>
              <w:bottom w:val="nil"/>
              <w:right w:val="nil"/>
            </w:tcBorders>
          </w:tcPr>
          <w:p w14:paraId="1BBE5DEF"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bookmarkStart w:id="48" w:name="OLE_LINK1"/>
            <w:r w:rsidRPr="00A234EE">
              <w:rPr>
                <w:rFonts w:ascii="Book Antiqua" w:eastAsia="Calibri" w:hAnsi="Book Antiqua" w:cstheme="minorHAnsi"/>
                <w:sz w:val="24"/>
                <w:szCs w:val="24"/>
              </w:rPr>
              <w:t>3.0 ± 0.0</w:t>
            </w:r>
            <w:bookmarkEnd w:id="48"/>
          </w:p>
        </w:tc>
        <w:tc>
          <w:tcPr>
            <w:tcW w:w="1836" w:type="dxa"/>
            <w:tcBorders>
              <w:top w:val="nil"/>
              <w:left w:val="nil"/>
              <w:bottom w:val="nil"/>
            </w:tcBorders>
          </w:tcPr>
          <w:p w14:paraId="712669EB" w14:textId="4CA5BC81"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1.8 ± 0.2</w:t>
            </w:r>
            <w:r w:rsidRPr="00A234EE">
              <w:rPr>
                <w:rFonts w:ascii="Book Antiqua" w:eastAsia="Calibri" w:hAnsi="Book Antiqua" w:cstheme="minorHAnsi"/>
                <w:sz w:val="24"/>
                <w:szCs w:val="24"/>
                <w:vertAlign w:val="superscript"/>
                <w:lang w:eastAsia="zh-CN"/>
              </w:rPr>
              <w:t>f</w:t>
            </w:r>
          </w:p>
        </w:tc>
      </w:tr>
      <w:tr w:rsidR="0062019A" w:rsidRPr="00A234EE" w14:paraId="0556DFC6" w14:textId="77777777" w:rsidTr="0062019A">
        <w:tc>
          <w:tcPr>
            <w:tcW w:w="4390" w:type="dxa"/>
            <w:tcBorders>
              <w:top w:val="nil"/>
              <w:bottom w:val="nil"/>
              <w:right w:val="nil"/>
            </w:tcBorders>
          </w:tcPr>
          <w:p w14:paraId="2E7E199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inflammation score</w:t>
            </w:r>
          </w:p>
        </w:tc>
        <w:tc>
          <w:tcPr>
            <w:tcW w:w="1701" w:type="dxa"/>
            <w:tcBorders>
              <w:top w:val="nil"/>
              <w:left w:val="nil"/>
              <w:bottom w:val="nil"/>
              <w:right w:val="nil"/>
            </w:tcBorders>
          </w:tcPr>
          <w:p w14:paraId="36A7939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2.5 ± 0.1</w:t>
            </w:r>
          </w:p>
        </w:tc>
        <w:tc>
          <w:tcPr>
            <w:tcW w:w="1701" w:type="dxa"/>
            <w:tcBorders>
              <w:top w:val="nil"/>
              <w:left w:val="nil"/>
              <w:bottom w:val="nil"/>
              <w:right w:val="nil"/>
            </w:tcBorders>
          </w:tcPr>
          <w:p w14:paraId="55D4C48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3.0 ± 0.0</w:t>
            </w:r>
          </w:p>
        </w:tc>
        <w:tc>
          <w:tcPr>
            <w:tcW w:w="1836" w:type="dxa"/>
            <w:tcBorders>
              <w:top w:val="nil"/>
              <w:left w:val="nil"/>
              <w:bottom w:val="nil"/>
            </w:tcBorders>
          </w:tcPr>
          <w:p w14:paraId="5E83E78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3.0 ± 0.0</w:t>
            </w:r>
          </w:p>
        </w:tc>
      </w:tr>
      <w:tr w:rsidR="0062019A" w:rsidRPr="00A234EE" w14:paraId="3B5E0770" w14:textId="77777777" w:rsidTr="0062019A">
        <w:tc>
          <w:tcPr>
            <w:tcW w:w="4390" w:type="dxa"/>
            <w:tcBorders>
              <w:top w:val="nil"/>
              <w:bottom w:val="nil"/>
              <w:right w:val="nil"/>
            </w:tcBorders>
          </w:tcPr>
          <w:p w14:paraId="70D3505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inﬂammation score</w:t>
            </w:r>
          </w:p>
        </w:tc>
        <w:tc>
          <w:tcPr>
            <w:tcW w:w="1701" w:type="dxa"/>
            <w:tcBorders>
              <w:top w:val="nil"/>
              <w:left w:val="nil"/>
              <w:bottom w:val="nil"/>
              <w:right w:val="nil"/>
            </w:tcBorders>
          </w:tcPr>
          <w:p w14:paraId="75BE409E"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2.3 ± 0.1</w:t>
            </w:r>
          </w:p>
        </w:tc>
        <w:tc>
          <w:tcPr>
            <w:tcW w:w="1701" w:type="dxa"/>
            <w:tcBorders>
              <w:top w:val="nil"/>
              <w:left w:val="nil"/>
              <w:bottom w:val="nil"/>
              <w:right w:val="nil"/>
            </w:tcBorders>
          </w:tcPr>
          <w:p w14:paraId="1EC1E8F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2.2 ± 0.2</w:t>
            </w:r>
          </w:p>
        </w:tc>
        <w:tc>
          <w:tcPr>
            <w:tcW w:w="1836" w:type="dxa"/>
            <w:tcBorders>
              <w:top w:val="nil"/>
              <w:left w:val="nil"/>
              <w:bottom w:val="nil"/>
            </w:tcBorders>
          </w:tcPr>
          <w:p w14:paraId="1012C6B7" w14:textId="7AEF9AC4"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1.0 ± 0.1</w:t>
            </w:r>
            <w:r w:rsidRPr="00A234EE">
              <w:rPr>
                <w:rFonts w:ascii="Book Antiqua" w:eastAsia="Calibri" w:hAnsi="Book Antiqua" w:cstheme="minorHAnsi"/>
                <w:sz w:val="24"/>
                <w:szCs w:val="24"/>
                <w:vertAlign w:val="superscript"/>
                <w:lang w:eastAsia="zh-CN"/>
              </w:rPr>
              <w:t>f</w:t>
            </w:r>
          </w:p>
        </w:tc>
      </w:tr>
      <w:tr w:rsidR="0062019A" w:rsidRPr="00A234EE" w14:paraId="7C740FF5" w14:textId="77777777" w:rsidTr="0062019A">
        <w:tc>
          <w:tcPr>
            <w:tcW w:w="4390" w:type="dxa"/>
            <w:tcBorders>
              <w:top w:val="nil"/>
              <w:bottom w:val="nil"/>
              <w:right w:val="nil"/>
            </w:tcBorders>
          </w:tcPr>
          <w:p w14:paraId="21502CEE"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ballooning degeneration score</w:t>
            </w:r>
          </w:p>
        </w:tc>
        <w:tc>
          <w:tcPr>
            <w:tcW w:w="1701" w:type="dxa"/>
            <w:tcBorders>
              <w:top w:val="nil"/>
              <w:left w:val="nil"/>
              <w:bottom w:val="nil"/>
              <w:right w:val="nil"/>
            </w:tcBorders>
          </w:tcPr>
          <w:p w14:paraId="1BD866C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0.6 ± 0.1</w:t>
            </w:r>
          </w:p>
        </w:tc>
        <w:tc>
          <w:tcPr>
            <w:tcW w:w="1701" w:type="dxa"/>
            <w:tcBorders>
              <w:top w:val="nil"/>
              <w:left w:val="nil"/>
              <w:bottom w:val="nil"/>
              <w:right w:val="nil"/>
            </w:tcBorders>
          </w:tcPr>
          <w:p w14:paraId="57EAA7BE"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0.7 ± 0.1</w:t>
            </w:r>
          </w:p>
        </w:tc>
        <w:tc>
          <w:tcPr>
            <w:tcW w:w="1836" w:type="dxa"/>
            <w:tcBorders>
              <w:top w:val="nil"/>
              <w:left w:val="nil"/>
              <w:bottom w:val="nil"/>
            </w:tcBorders>
          </w:tcPr>
          <w:p w14:paraId="6032159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0.8 ± 0.1</w:t>
            </w:r>
          </w:p>
        </w:tc>
      </w:tr>
      <w:tr w:rsidR="0062019A" w:rsidRPr="00A234EE" w14:paraId="177B53CB" w14:textId="77777777" w:rsidTr="0062019A">
        <w:tc>
          <w:tcPr>
            <w:tcW w:w="4390" w:type="dxa"/>
            <w:tcBorders>
              <w:top w:val="nil"/>
              <w:bottom w:val="nil"/>
              <w:right w:val="nil"/>
            </w:tcBorders>
          </w:tcPr>
          <w:p w14:paraId="0B9527B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ballooning degeneration score</w:t>
            </w:r>
          </w:p>
        </w:tc>
        <w:tc>
          <w:tcPr>
            <w:tcW w:w="1701" w:type="dxa"/>
            <w:tcBorders>
              <w:top w:val="nil"/>
              <w:left w:val="nil"/>
              <w:bottom w:val="nil"/>
              <w:right w:val="nil"/>
            </w:tcBorders>
          </w:tcPr>
          <w:p w14:paraId="7422293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0.9 ± 0.1</w:t>
            </w:r>
          </w:p>
        </w:tc>
        <w:tc>
          <w:tcPr>
            <w:tcW w:w="1701" w:type="dxa"/>
            <w:tcBorders>
              <w:top w:val="nil"/>
              <w:left w:val="nil"/>
              <w:bottom w:val="nil"/>
              <w:right w:val="nil"/>
            </w:tcBorders>
          </w:tcPr>
          <w:p w14:paraId="5D932B1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0.7 ± 0.1</w:t>
            </w:r>
          </w:p>
        </w:tc>
        <w:tc>
          <w:tcPr>
            <w:tcW w:w="1836" w:type="dxa"/>
            <w:tcBorders>
              <w:top w:val="nil"/>
              <w:left w:val="nil"/>
              <w:bottom w:val="nil"/>
            </w:tcBorders>
          </w:tcPr>
          <w:p w14:paraId="71E91FF1" w14:textId="573692CC"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0.2 ± 0.1</w:t>
            </w:r>
            <w:r w:rsidRPr="00A234EE">
              <w:rPr>
                <w:rFonts w:ascii="Book Antiqua" w:eastAsia="Calibri" w:hAnsi="Book Antiqua" w:cstheme="minorHAnsi"/>
                <w:sz w:val="24"/>
                <w:szCs w:val="24"/>
                <w:vertAlign w:val="superscript"/>
                <w:lang w:eastAsia="zh-CN"/>
              </w:rPr>
              <w:t>f</w:t>
            </w:r>
          </w:p>
        </w:tc>
      </w:tr>
      <w:tr w:rsidR="0062019A" w:rsidRPr="00A234EE" w14:paraId="0CB50CDF" w14:textId="77777777" w:rsidTr="0062019A">
        <w:tc>
          <w:tcPr>
            <w:tcW w:w="4390" w:type="dxa"/>
            <w:tcBorders>
              <w:top w:val="nil"/>
              <w:bottom w:val="nil"/>
              <w:right w:val="nil"/>
            </w:tcBorders>
          </w:tcPr>
          <w:p w14:paraId="714A542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Baseline NAFLD activity score (NAS)</w:t>
            </w:r>
          </w:p>
        </w:tc>
        <w:tc>
          <w:tcPr>
            <w:tcW w:w="1701" w:type="dxa"/>
            <w:tcBorders>
              <w:top w:val="nil"/>
              <w:left w:val="nil"/>
              <w:bottom w:val="nil"/>
              <w:right w:val="nil"/>
            </w:tcBorders>
          </w:tcPr>
          <w:p w14:paraId="4B8B7253"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6.1 ± 0.2</w:t>
            </w:r>
          </w:p>
        </w:tc>
        <w:tc>
          <w:tcPr>
            <w:tcW w:w="1701" w:type="dxa"/>
            <w:tcBorders>
              <w:top w:val="nil"/>
              <w:left w:val="nil"/>
              <w:bottom w:val="nil"/>
              <w:right w:val="nil"/>
            </w:tcBorders>
          </w:tcPr>
          <w:p w14:paraId="3FADB44B"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6.3 ± 0.2</w:t>
            </w:r>
          </w:p>
        </w:tc>
        <w:tc>
          <w:tcPr>
            <w:tcW w:w="1836" w:type="dxa"/>
            <w:tcBorders>
              <w:top w:val="nil"/>
              <w:left w:val="nil"/>
              <w:bottom w:val="nil"/>
            </w:tcBorders>
          </w:tcPr>
          <w:p w14:paraId="05EA686F"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6.4 ± 0.2</w:t>
            </w:r>
          </w:p>
        </w:tc>
      </w:tr>
      <w:tr w:rsidR="0062019A" w:rsidRPr="00A234EE" w14:paraId="06FA06F0" w14:textId="77777777" w:rsidTr="0062019A">
        <w:tc>
          <w:tcPr>
            <w:tcW w:w="4390" w:type="dxa"/>
            <w:tcBorders>
              <w:top w:val="nil"/>
              <w:bottom w:val="nil"/>
              <w:right w:val="nil"/>
            </w:tcBorders>
          </w:tcPr>
          <w:p w14:paraId="18BB706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lastRenderedPageBreak/>
              <w:t>Terminal NAFLD activity score (NAS)</w:t>
            </w:r>
          </w:p>
        </w:tc>
        <w:tc>
          <w:tcPr>
            <w:tcW w:w="1701" w:type="dxa"/>
            <w:tcBorders>
              <w:top w:val="nil"/>
              <w:left w:val="nil"/>
              <w:bottom w:val="nil"/>
              <w:right w:val="nil"/>
            </w:tcBorders>
          </w:tcPr>
          <w:p w14:paraId="69D2D08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6.2 ± 0.2</w:t>
            </w:r>
          </w:p>
        </w:tc>
        <w:tc>
          <w:tcPr>
            <w:tcW w:w="1701" w:type="dxa"/>
            <w:tcBorders>
              <w:top w:val="nil"/>
              <w:left w:val="nil"/>
              <w:bottom w:val="nil"/>
              <w:right w:val="nil"/>
            </w:tcBorders>
          </w:tcPr>
          <w:p w14:paraId="57972AC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5.9 ± 0.2</w:t>
            </w:r>
          </w:p>
        </w:tc>
        <w:tc>
          <w:tcPr>
            <w:tcW w:w="1836" w:type="dxa"/>
            <w:tcBorders>
              <w:top w:val="nil"/>
              <w:left w:val="nil"/>
              <w:bottom w:val="nil"/>
            </w:tcBorders>
          </w:tcPr>
          <w:p w14:paraId="5D50FCAB" w14:textId="4137E5F4"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3.0 ± 0.3</w:t>
            </w:r>
            <w:r w:rsidRPr="00A234EE">
              <w:rPr>
                <w:rFonts w:ascii="Book Antiqua" w:eastAsia="Calibri" w:hAnsi="Book Antiqua" w:cstheme="minorHAnsi"/>
                <w:sz w:val="24"/>
                <w:szCs w:val="24"/>
                <w:vertAlign w:val="superscript"/>
                <w:lang w:eastAsia="zh-CN"/>
              </w:rPr>
              <w:t>f</w:t>
            </w:r>
          </w:p>
        </w:tc>
      </w:tr>
      <w:tr w:rsidR="0062019A" w:rsidRPr="00A234EE" w14:paraId="1F998788" w14:textId="77777777" w:rsidTr="0062019A">
        <w:tc>
          <w:tcPr>
            <w:tcW w:w="4390" w:type="dxa"/>
            <w:tcBorders>
              <w:top w:val="nil"/>
              <w:bottom w:val="nil"/>
              <w:right w:val="nil"/>
            </w:tcBorders>
          </w:tcPr>
          <w:p w14:paraId="40E8DE5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fibrosis stage</w:t>
            </w:r>
          </w:p>
        </w:tc>
        <w:tc>
          <w:tcPr>
            <w:tcW w:w="1701" w:type="dxa"/>
            <w:tcBorders>
              <w:top w:val="nil"/>
              <w:left w:val="nil"/>
              <w:bottom w:val="nil"/>
              <w:right w:val="nil"/>
            </w:tcBorders>
          </w:tcPr>
          <w:p w14:paraId="40A7399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2.7 ± 0.2</w:t>
            </w:r>
          </w:p>
        </w:tc>
        <w:tc>
          <w:tcPr>
            <w:tcW w:w="1701" w:type="dxa"/>
            <w:tcBorders>
              <w:top w:val="nil"/>
              <w:left w:val="nil"/>
              <w:bottom w:val="nil"/>
              <w:right w:val="nil"/>
            </w:tcBorders>
          </w:tcPr>
          <w:p w14:paraId="6A599C0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2.6 ± 0.1</w:t>
            </w:r>
          </w:p>
        </w:tc>
        <w:tc>
          <w:tcPr>
            <w:tcW w:w="1836" w:type="dxa"/>
            <w:tcBorders>
              <w:top w:val="nil"/>
              <w:left w:val="nil"/>
              <w:bottom w:val="nil"/>
            </w:tcBorders>
          </w:tcPr>
          <w:p w14:paraId="0AC4165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2.6 ± 0.1</w:t>
            </w:r>
          </w:p>
        </w:tc>
      </w:tr>
      <w:tr w:rsidR="0062019A" w:rsidRPr="00A234EE" w14:paraId="6E83C3D0" w14:textId="77777777" w:rsidTr="0062019A">
        <w:tc>
          <w:tcPr>
            <w:tcW w:w="4390" w:type="dxa"/>
            <w:tcBorders>
              <w:top w:val="nil"/>
              <w:bottom w:val="nil"/>
              <w:right w:val="nil"/>
            </w:tcBorders>
          </w:tcPr>
          <w:p w14:paraId="5FF13F4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fibrosis stage</w:t>
            </w:r>
          </w:p>
        </w:tc>
        <w:tc>
          <w:tcPr>
            <w:tcW w:w="1701" w:type="dxa"/>
            <w:tcBorders>
              <w:top w:val="nil"/>
              <w:left w:val="nil"/>
              <w:bottom w:val="nil"/>
              <w:right w:val="nil"/>
            </w:tcBorders>
          </w:tcPr>
          <w:p w14:paraId="45155C9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2.7 ± 0.1</w:t>
            </w:r>
          </w:p>
        </w:tc>
        <w:tc>
          <w:tcPr>
            <w:tcW w:w="1701" w:type="dxa"/>
            <w:tcBorders>
              <w:top w:val="nil"/>
              <w:left w:val="nil"/>
              <w:bottom w:val="nil"/>
              <w:right w:val="nil"/>
            </w:tcBorders>
          </w:tcPr>
          <w:p w14:paraId="5F8DBF8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2.5 ± 0.1</w:t>
            </w:r>
          </w:p>
        </w:tc>
        <w:tc>
          <w:tcPr>
            <w:tcW w:w="1836" w:type="dxa"/>
            <w:tcBorders>
              <w:top w:val="nil"/>
              <w:left w:val="nil"/>
              <w:bottom w:val="nil"/>
            </w:tcBorders>
          </w:tcPr>
          <w:p w14:paraId="5BF8AFF9" w14:textId="785F5C84"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1.6 ± 0.1</w:t>
            </w:r>
            <w:r w:rsidRPr="00A234EE">
              <w:rPr>
                <w:rFonts w:ascii="Book Antiqua" w:eastAsia="Calibri" w:hAnsi="Book Antiqua" w:cstheme="minorHAnsi"/>
                <w:sz w:val="24"/>
                <w:szCs w:val="24"/>
                <w:vertAlign w:val="superscript"/>
                <w:lang w:eastAsia="zh-CN"/>
              </w:rPr>
              <w:t>f</w:t>
            </w:r>
          </w:p>
        </w:tc>
      </w:tr>
      <w:tr w:rsidR="0062019A" w:rsidRPr="00A234EE" w14:paraId="000B116E" w14:textId="77777777" w:rsidTr="0062019A">
        <w:tc>
          <w:tcPr>
            <w:tcW w:w="4390" w:type="dxa"/>
            <w:tcBorders>
              <w:top w:val="nil"/>
              <w:bottom w:val="nil"/>
              <w:right w:val="nil"/>
            </w:tcBorders>
          </w:tcPr>
          <w:p w14:paraId="4FFBF30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steatosis (% area)</w:t>
            </w:r>
          </w:p>
        </w:tc>
        <w:tc>
          <w:tcPr>
            <w:tcW w:w="1701" w:type="dxa"/>
            <w:tcBorders>
              <w:top w:val="nil"/>
              <w:left w:val="nil"/>
              <w:bottom w:val="nil"/>
              <w:right w:val="nil"/>
            </w:tcBorders>
          </w:tcPr>
          <w:p w14:paraId="0FA7461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41.1 ± 1.0</w:t>
            </w:r>
          </w:p>
        </w:tc>
        <w:tc>
          <w:tcPr>
            <w:tcW w:w="1701" w:type="dxa"/>
            <w:tcBorders>
              <w:top w:val="nil"/>
              <w:left w:val="nil"/>
              <w:bottom w:val="nil"/>
              <w:right w:val="nil"/>
            </w:tcBorders>
          </w:tcPr>
          <w:p w14:paraId="1F396F99"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40.6 ± 1.6</w:t>
            </w:r>
          </w:p>
        </w:tc>
        <w:tc>
          <w:tcPr>
            <w:tcW w:w="1836" w:type="dxa"/>
            <w:tcBorders>
              <w:top w:val="nil"/>
              <w:left w:val="nil"/>
              <w:bottom w:val="nil"/>
            </w:tcBorders>
          </w:tcPr>
          <w:p w14:paraId="797B08BC" w14:textId="7074A86D"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24.8 ± 2.3</w:t>
            </w:r>
            <w:r w:rsidRPr="00A234EE">
              <w:rPr>
                <w:rFonts w:ascii="Book Antiqua" w:eastAsia="Calibri" w:hAnsi="Book Antiqua" w:cstheme="minorHAnsi"/>
                <w:sz w:val="24"/>
                <w:szCs w:val="24"/>
                <w:vertAlign w:val="superscript"/>
                <w:lang w:eastAsia="zh-CN"/>
              </w:rPr>
              <w:t>f</w:t>
            </w:r>
          </w:p>
        </w:tc>
      </w:tr>
      <w:tr w:rsidR="0062019A" w:rsidRPr="00A234EE" w14:paraId="475A8071" w14:textId="77777777" w:rsidTr="0062019A">
        <w:tc>
          <w:tcPr>
            <w:tcW w:w="4390" w:type="dxa"/>
            <w:tcBorders>
              <w:top w:val="nil"/>
              <w:bottom w:val="nil"/>
              <w:right w:val="nil"/>
            </w:tcBorders>
          </w:tcPr>
          <w:p w14:paraId="43A86979"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fibrosis (% area)</w:t>
            </w:r>
          </w:p>
        </w:tc>
        <w:tc>
          <w:tcPr>
            <w:tcW w:w="1701" w:type="dxa"/>
            <w:tcBorders>
              <w:top w:val="nil"/>
              <w:left w:val="nil"/>
              <w:bottom w:val="nil"/>
              <w:right w:val="nil"/>
            </w:tcBorders>
          </w:tcPr>
          <w:p w14:paraId="2EE32FD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15.9 ± 0.9</w:t>
            </w:r>
          </w:p>
        </w:tc>
        <w:tc>
          <w:tcPr>
            <w:tcW w:w="1701" w:type="dxa"/>
            <w:tcBorders>
              <w:top w:val="nil"/>
              <w:left w:val="nil"/>
              <w:bottom w:val="nil"/>
              <w:right w:val="nil"/>
            </w:tcBorders>
          </w:tcPr>
          <w:p w14:paraId="5CAFD76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13.6 ± 0.8</w:t>
            </w:r>
          </w:p>
        </w:tc>
        <w:tc>
          <w:tcPr>
            <w:tcW w:w="1836" w:type="dxa"/>
            <w:tcBorders>
              <w:top w:val="nil"/>
              <w:left w:val="nil"/>
              <w:bottom w:val="nil"/>
            </w:tcBorders>
          </w:tcPr>
          <w:p w14:paraId="60E83588" w14:textId="42CFFEA4"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8.9 ± 0.6</w:t>
            </w:r>
            <w:r w:rsidRPr="00A234EE">
              <w:rPr>
                <w:rFonts w:ascii="Book Antiqua" w:eastAsia="Calibri" w:hAnsi="Book Antiqua" w:cstheme="minorHAnsi"/>
                <w:sz w:val="24"/>
                <w:szCs w:val="24"/>
                <w:vertAlign w:val="superscript"/>
                <w:lang w:eastAsia="zh-CN"/>
              </w:rPr>
              <w:t>f</w:t>
            </w:r>
          </w:p>
        </w:tc>
      </w:tr>
      <w:tr w:rsidR="0062019A" w:rsidRPr="00A234EE" w14:paraId="15D64BFC" w14:textId="77777777" w:rsidTr="0062019A">
        <w:tc>
          <w:tcPr>
            <w:tcW w:w="4390" w:type="dxa"/>
            <w:tcBorders>
              <w:top w:val="nil"/>
              <w:bottom w:val="nil"/>
              <w:right w:val="nil"/>
            </w:tcBorders>
          </w:tcPr>
          <w:p w14:paraId="75FE475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Baseline BW (g)</w:t>
            </w:r>
          </w:p>
        </w:tc>
        <w:tc>
          <w:tcPr>
            <w:tcW w:w="1701" w:type="dxa"/>
            <w:tcBorders>
              <w:top w:val="nil"/>
              <w:left w:val="nil"/>
              <w:bottom w:val="nil"/>
              <w:right w:val="nil"/>
            </w:tcBorders>
          </w:tcPr>
          <w:p w14:paraId="3702C73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49.8 ± 0.7</w:t>
            </w:r>
          </w:p>
        </w:tc>
        <w:tc>
          <w:tcPr>
            <w:tcW w:w="1701" w:type="dxa"/>
            <w:tcBorders>
              <w:top w:val="nil"/>
              <w:left w:val="nil"/>
              <w:bottom w:val="nil"/>
              <w:right w:val="nil"/>
            </w:tcBorders>
          </w:tcPr>
          <w:p w14:paraId="00A16C4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48.2 ± 1.0</w:t>
            </w:r>
          </w:p>
        </w:tc>
        <w:tc>
          <w:tcPr>
            <w:tcW w:w="1836" w:type="dxa"/>
            <w:tcBorders>
              <w:top w:val="nil"/>
              <w:left w:val="nil"/>
              <w:bottom w:val="nil"/>
            </w:tcBorders>
          </w:tcPr>
          <w:p w14:paraId="4BC313A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49.4 ± 1.3</w:t>
            </w:r>
          </w:p>
        </w:tc>
      </w:tr>
      <w:tr w:rsidR="0062019A" w:rsidRPr="00A234EE" w14:paraId="2783EA67" w14:textId="77777777" w:rsidTr="0062019A">
        <w:tc>
          <w:tcPr>
            <w:tcW w:w="4390" w:type="dxa"/>
            <w:tcBorders>
              <w:top w:val="nil"/>
              <w:bottom w:val="nil"/>
              <w:right w:val="nil"/>
            </w:tcBorders>
          </w:tcPr>
          <w:p w14:paraId="592DBEB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BW (g)</w:t>
            </w:r>
          </w:p>
        </w:tc>
        <w:tc>
          <w:tcPr>
            <w:tcW w:w="1701" w:type="dxa"/>
            <w:tcBorders>
              <w:top w:val="nil"/>
              <w:left w:val="nil"/>
              <w:bottom w:val="nil"/>
              <w:right w:val="nil"/>
            </w:tcBorders>
          </w:tcPr>
          <w:p w14:paraId="4AFA46D9"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54.6 ± 0.8</w:t>
            </w:r>
          </w:p>
        </w:tc>
        <w:tc>
          <w:tcPr>
            <w:tcW w:w="1701" w:type="dxa"/>
            <w:tcBorders>
              <w:top w:val="nil"/>
              <w:left w:val="nil"/>
              <w:bottom w:val="nil"/>
              <w:right w:val="nil"/>
            </w:tcBorders>
          </w:tcPr>
          <w:p w14:paraId="7E7CE0E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52.6 ± 0.8</w:t>
            </w:r>
          </w:p>
        </w:tc>
        <w:tc>
          <w:tcPr>
            <w:tcW w:w="1836" w:type="dxa"/>
            <w:tcBorders>
              <w:top w:val="nil"/>
              <w:left w:val="nil"/>
              <w:bottom w:val="nil"/>
            </w:tcBorders>
          </w:tcPr>
          <w:p w14:paraId="17CCD13E"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51.3 ± 1.8</w:t>
            </w:r>
          </w:p>
        </w:tc>
      </w:tr>
      <w:tr w:rsidR="0062019A" w:rsidRPr="00A234EE" w14:paraId="49DE6CC1" w14:textId="77777777" w:rsidTr="0062019A">
        <w:tc>
          <w:tcPr>
            <w:tcW w:w="4390" w:type="dxa"/>
            <w:tcBorders>
              <w:top w:val="nil"/>
              <w:bottom w:val="nil"/>
              <w:right w:val="nil"/>
            </w:tcBorders>
          </w:tcPr>
          <w:p w14:paraId="0AC431B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Body weight change (%, relative to day 0)</w:t>
            </w:r>
          </w:p>
        </w:tc>
        <w:tc>
          <w:tcPr>
            <w:tcW w:w="1701" w:type="dxa"/>
            <w:tcBorders>
              <w:top w:val="nil"/>
              <w:left w:val="nil"/>
              <w:bottom w:val="nil"/>
              <w:right w:val="nil"/>
            </w:tcBorders>
          </w:tcPr>
          <w:p w14:paraId="23B3C0C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109 ± 1.3</w:t>
            </w:r>
          </w:p>
        </w:tc>
        <w:tc>
          <w:tcPr>
            <w:tcW w:w="1701" w:type="dxa"/>
            <w:tcBorders>
              <w:top w:val="nil"/>
              <w:left w:val="nil"/>
              <w:bottom w:val="nil"/>
              <w:right w:val="nil"/>
            </w:tcBorders>
          </w:tcPr>
          <w:p w14:paraId="41F650FA"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107 ± 2.1</w:t>
            </w:r>
          </w:p>
        </w:tc>
        <w:tc>
          <w:tcPr>
            <w:tcW w:w="1836" w:type="dxa"/>
            <w:tcBorders>
              <w:top w:val="nil"/>
              <w:left w:val="nil"/>
              <w:bottom w:val="nil"/>
            </w:tcBorders>
          </w:tcPr>
          <w:p w14:paraId="218D6EBF"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103 ± 2.3</w:t>
            </w:r>
          </w:p>
        </w:tc>
      </w:tr>
      <w:tr w:rsidR="0062019A" w:rsidRPr="00A234EE" w14:paraId="1837C5A9" w14:textId="77777777" w:rsidTr="0062019A">
        <w:tc>
          <w:tcPr>
            <w:tcW w:w="4390" w:type="dxa"/>
            <w:tcBorders>
              <w:top w:val="nil"/>
              <w:bottom w:val="nil"/>
              <w:right w:val="nil"/>
            </w:tcBorders>
          </w:tcPr>
          <w:p w14:paraId="74FEFA0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Baseline whole-body lean mass (g)</w:t>
            </w:r>
          </w:p>
        </w:tc>
        <w:tc>
          <w:tcPr>
            <w:tcW w:w="1701" w:type="dxa"/>
            <w:tcBorders>
              <w:top w:val="nil"/>
              <w:left w:val="nil"/>
              <w:bottom w:val="nil"/>
              <w:right w:val="nil"/>
            </w:tcBorders>
          </w:tcPr>
          <w:p w14:paraId="74CA0D0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14.0 ± 0.4</w:t>
            </w:r>
          </w:p>
        </w:tc>
        <w:tc>
          <w:tcPr>
            <w:tcW w:w="1701" w:type="dxa"/>
            <w:tcBorders>
              <w:top w:val="nil"/>
              <w:left w:val="nil"/>
              <w:bottom w:val="nil"/>
              <w:right w:val="nil"/>
            </w:tcBorders>
          </w:tcPr>
          <w:p w14:paraId="0662610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14.6 ± 0.3</w:t>
            </w:r>
          </w:p>
        </w:tc>
        <w:tc>
          <w:tcPr>
            <w:tcW w:w="1836" w:type="dxa"/>
            <w:tcBorders>
              <w:top w:val="nil"/>
              <w:left w:val="nil"/>
              <w:bottom w:val="nil"/>
            </w:tcBorders>
          </w:tcPr>
          <w:p w14:paraId="0731AFF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14.4 ± 0.4</w:t>
            </w:r>
          </w:p>
        </w:tc>
      </w:tr>
      <w:tr w:rsidR="0062019A" w:rsidRPr="00A234EE" w14:paraId="3A593E94" w14:textId="77777777" w:rsidTr="0062019A">
        <w:tc>
          <w:tcPr>
            <w:tcW w:w="4390" w:type="dxa"/>
            <w:tcBorders>
              <w:top w:val="nil"/>
              <w:bottom w:val="nil"/>
              <w:right w:val="nil"/>
            </w:tcBorders>
          </w:tcPr>
          <w:p w14:paraId="2EA6A9B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whole-body lean mass (g)</w:t>
            </w:r>
          </w:p>
        </w:tc>
        <w:tc>
          <w:tcPr>
            <w:tcW w:w="1701" w:type="dxa"/>
            <w:tcBorders>
              <w:top w:val="nil"/>
              <w:left w:val="nil"/>
              <w:bottom w:val="nil"/>
              <w:right w:val="nil"/>
            </w:tcBorders>
          </w:tcPr>
          <w:p w14:paraId="4AC938E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17.3 ± 0.4</w:t>
            </w:r>
          </w:p>
        </w:tc>
        <w:tc>
          <w:tcPr>
            <w:tcW w:w="1701" w:type="dxa"/>
            <w:tcBorders>
              <w:top w:val="nil"/>
              <w:left w:val="nil"/>
              <w:bottom w:val="nil"/>
              <w:right w:val="nil"/>
            </w:tcBorders>
          </w:tcPr>
          <w:p w14:paraId="2498DFF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17.6 ± 0.5</w:t>
            </w:r>
          </w:p>
        </w:tc>
        <w:tc>
          <w:tcPr>
            <w:tcW w:w="1836" w:type="dxa"/>
            <w:tcBorders>
              <w:top w:val="nil"/>
              <w:left w:val="nil"/>
              <w:bottom w:val="nil"/>
            </w:tcBorders>
          </w:tcPr>
          <w:p w14:paraId="17D3FB3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17.2 ± 0.2</w:t>
            </w:r>
          </w:p>
        </w:tc>
      </w:tr>
      <w:tr w:rsidR="0062019A" w:rsidRPr="00A234EE" w14:paraId="4ACFFDB6" w14:textId="77777777" w:rsidTr="0062019A">
        <w:tc>
          <w:tcPr>
            <w:tcW w:w="4390" w:type="dxa"/>
            <w:tcBorders>
              <w:top w:val="nil"/>
              <w:bottom w:val="nil"/>
              <w:right w:val="nil"/>
            </w:tcBorders>
          </w:tcPr>
          <w:p w14:paraId="0CC2863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Baseline whole-body lean mass (% of BW)</w:t>
            </w:r>
          </w:p>
        </w:tc>
        <w:tc>
          <w:tcPr>
            <w:tcW w:w="1701" w:type="dxa"/>
            <w:tcBorders>
              <w:top w:val="nil"/>
              <w:left w:val="nil"/>
              <w:bottom w:val="nil"/>
              <w:right w:val="nil"/>
            </w:tcBorders>
          </w:tcPr>
          <w:p w14:paraId="1DA2B1C9"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28.2 ± 0.6</w:t>
            </w:r>
          </w:p>
        </w:tc>
        <w:tc>
          <w:tcPr>
            <w:tcW w:w="1701" w:type="dxa"/>
            <w:tcBorders>
              <w:top w:val="nil"/>
              <w:left w:val="nil"/>
              <w:bottom w:val="nil"/>
              <w:right w:val="nil"/>
            </w:tcBorders>
          </w:tcPr>
          <w:p w14:paraId="058B3767"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30.3 ± 0.6</w:t>
            </w:r>
          </w:p>
        </w:tc>
        <w:tc>
          <w:tcPr>
            <w:tcW w:w="1836" w:type="dxa"/>
            <w:tcBorders>
              <w:top w:val="nil"/>
              <w:left w:val="nil"/>
              <w:bottom w:val="nil"/>
            </w:tcBorders>
          </w:tcPr>
          <w:p w14:paraId="48D9138E"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29.1 ± 0.6</w:t>
            </w:r>
          </w:p>
        </w:tc>
      </w:tr>
      <w:tr w:rsidR="0062019A" w:rsidRPr="00A234EE" w14:paraId="5C1D4E2A" w14:textId="77777777" w:rsidTr="0062019A">
        <w:tc>
          <w:tcPr>
            <w:tcW w:w="4390" w:type="dxa"/>
            <w:tcBorders>
              <w:top w:val="nil"/>
              <w:bottom w:val="nil"/>
              <w:right w:val="nil"/>
            </w:tcBorders>
          </w:tcPr>
          <w:p w14:paraId="284501C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whole-body lean mass (% of BW)</w:t>
            </w:r>
          </w:p>
        </w:tc>
        <w:tc>
          <w:tcPr>
            <w:tcW w:w="1701" w:type="dxa"/>
            <w:tcBorders>
              <w:top w:val="nil"/>
              <w:left w:val="nil"/>
              <w:bottom w:val="nil"/>
              <w:right w:val="nil"/>
            </w:tcBorders>
          </w:tcPr>
          <w:p w14:paraId="7A617D1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31.9 ± 0.6</w:t>
            </w:r>
          </w:p>
        </w:tc>
        <w:tc>
          <w:tcPr>
            <w:tcW w:w="1701" w:type="dxa"/>
            <w:tcBorders>
              <w:top w:val="nil"/>
              <w:left w:val="nil"/>
              <w:bottom w:val="nil"/>
              <w:right w:val="nil"/>
            </w:tcBorders>
          </w:tcPr>
          <w:p w14:paraId="0908C0B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33.9 ± 0.9</w:t>
            </w:r>
          </w:p>
        </w:tc>
        <w:tc>
          <w:tcPr>
            <w:tcW w:w="1836" w:type="dxa"/>
            <w:tcBorders>
              <w:top w:val="nil"/>
              <w:left w:val="nil"/>
              <w:bottom w:val="nil"/>
            </w:tcBorders>
          </w:tcPr>
          <w:p w14:paraId="2FD6BCFF"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33.6 ± 0.8</w:t>
            </w:r>
          </w:p>
        </w:tc>
      </w:tr>
      <w:tr w:rsidR="0062019A" w:rsidRPr="00A234EE" w14:paraId="05171EB2" w14:textId="77777777" w:rsidTr="0062019A">
        <w:tc>
          <w:tcPr>
            <w:tcW w:w="4390" w:type="dxa"/>
            <w:tcBorders>
              <w:top w:val="nil"/>
              <w:bottom w:val="nil"/>
              <w:right w:val="nil"/>
            </w:tcBorders>
          </w:tcPr>
          <w:p w14:paraId="6B4C7EB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Baseline whole-body fat mass (g)</w:t>
            </w:r>
          </w:p>
        </w:tc>
        <w:tc>
          <w:tcPr>
            <w:tcW w:w="1701" w:type="dxa"/>
            <w:tcBorders>
              <w:top w:val="nil"/>
              <w:left w:val="nil"/>
              <w:bottom w:val="nil"/>
              <w:right w:val="nil"/>
            </w:tcBorders>
          </w:tcPr>
          <w:p w14:paraId="70A5398B"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18.5 ± 0.4</w:t>
            </w:r>
          </w:p>
        </w:tc>
        <w:tc>
          <w:tcPr>
            <w:tcW w:w="1701" w:type="dxa"/>
            <w:tcBorders>
              <w:top w:val="nil"/>
              <w:left w:val="nil"/>
              <w:bottom w:val="nil"/>
              <w:right w:val="nil"/>
            </w:tcBorders>
          </w:tcPr>
          <w:p w14:paraId="0D9D834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18.5 ± 0.7</w:t>
            </w:r>
          </w:p>
        </w:tc>
        <w:tc>
          <w:tcPr>
            <w:tcW w:w="1836" w:type="dxa"/>
            <w:tcBorders>
              <w:top w:val="nil"/>
              <w:left w:val="nil"/>
              <w:bottom w:val="nil"/>
            </w:tcBorders>
          </w:tcPr>
          <w:p w14:paraId="6EC134E5"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19.5 ± 0.7</w:t>
            </w:r>
          </w:p>
        </w:tc>
      </w:tr>
      <w:tr w:rsidR="0062019A" w:rsidRPr="00A234EE" w14:paraId="5DAB5EDB" w14:textId="77777777" w:rsidTr="0062019A">
        <w:tc>
          <w:tcPr>
            <w:tcW w:w="4390" w:type="dxa"/>
            <w:tcBorders>
              <w:top w:val="nil"/>
              <w:bottom w:val="nil"/>
              <w:right w:val="nil"/>
            </w:tcBorders>
          </w:tcPr>
          <w:p w14:paraId="63013C8C"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whole-body fat mass (g)</w:t>
            </w:r>
          </w:p>
        </w:tc>
        <w:tc>
          <w:tcPr>
            <w:tcW w:w="1701" w:type="dxa"/>
            <w:tcBorders>
              <w:top w:val="nil"/>
              <w:left w:val="nil"/>
              <w:bottom w:val="nil"/>
              <w:right w:val="nil"/>
            </w:tcBorders>
          </w:tcPr>
          <w:p w14:paraId="417CB54E"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22.5 ± 0.4</w:t>
            </w:r>
          </w:p>
        </w:tc>
        <w:tc>
          <w:tcPr>
            <w:tcW w:w="1701" w:type="dxa"/>
            <w:tcBorders>
              <w:top w:val="nil"/>
              <w:left w:val="nil"/>
              <w:bottom w:val="nil"/>
              <w:right w:val="nil"/>
            </w:tcBorders>
          </w:tcPr>
          <w:p w14:paraId="68444122"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21.0 ± 0.7</w:t>
            </w:r>
          </w:p>
        </w:tc>
        <w:tc>
          <w:tcPr>
            <w:tcW w:w="1836" w:type="dxa"/>
            <w:tcBorders>
              <w:top w:val="nil"/>
              <w:left w:val="nil"/>
              <w:bottom w:val="nil"/>
            </w:tcBorders>
          </w:tcPr>
          <w:p w14:paraId="1D83A05A" w14:textId="64AFF696"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19.3 ± 0.7</w:t>
            </w:r>
            <w:r w:rsidRPr="00A234EE">
              <w:rPr>
                <w:rFonts w:ascii="Book Antiqua" w:eastAsia="Calibri" w:hAnsi="Book Antiqua" w:cstheme="minorHAnsi"/>
                <w:sz w:val="24"/>
                <w:szCs w:val="24"/>
                <w:vertAlign w:val="superscript"/>
                <w:lang w:eastAsia="zh-CN"/>
              </w:rPr>
              <w:t>e</w:t>
            </w:r>
          </w:p>
        </w:tc>
      </w:tr>
      <w:tr w:rsidR="0062019A" w:rsidRPr="00A234EE" w14:paraId="7C08B766" w14:textId="77777777" w:rsidTr="0062019A">
        <w:tc>
          <w:tcPr>
            <w:tcW w:w="4390" w:type="dxa"/>
            <w:tcBorders>
              <w:top w:val="nil"/>
              <w:bottom w:val="nil"/>
              <w:right w:val="nil"/>
            </w:tcBorders>
          </w:tcPr>
          <w:p w14:paraId="1262E05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Baseline whole-body fat mass (% of BW)</w:t>
            </w:r>
          </w:p>
        </w:tc>
        <w:tc>
          <w:tcPr>
            <w:tcW w:w="1701" w:type="dxa"/>
            <w:tcBorders>
              <w:top w:val="nil"/>
              <w:left w:val="nil"/>
              <w:bottom w:val="nil"/>
              <w:right w:val="nil"/>
            </w:tcBorders>
          </w:tcPr>
          <w:p w14:paraId="76440DF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37.2 ± 0.7</w:t>
            </w:r>
          </w:p>
        </w:tc>
        <w:tc>
          <w:tcPr>
            <w:tcW w:w="1701" w:type="dxa"/>
            <w:tcBorders>
              <w:top w:val="nil"/>
              <w:left w:val="nil"/>
              <w:bottom w:val="nil"/>
              <w:right w:val="nil"/>
            </w:tcBorders>
          </w:tcPr>
          <w:p w14:paraId="2BD99434"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38.4 ± 1.2</w:t>
            </w:r>
          </w:p>
        </w:tc>
        <w:tc>
          <w:tcPr>
            <w:tcW w:w="1836" w:type="dxa"/>
            <w:tcBorders>
              <w:top w:val="nil"/>
              <w:left w:val="nil"/>
              <w:bottom w:val="nil"/>
            </w:tcBorders>
          </w:tcPr>
          <w:p w14:paraId="55175AF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39.4 ± 0.6</w:t>
            </w:r>
          </w:p>
        </w:tc>
      </w:tr>
      <w:tr w:rsidR="0062019A" w:rsidRPr="00A234EE" w14:paraId="6803DBA4" w14:textId="77777777" w:rsidTr="0062019A">
        <w:tc>
          <w:tcPr>
            <w:tcW w:w="4390" w:type="dxa"/>
            <w:tcBorders>
              <w:top w:val="nil"/>
              <w:bottom w:val="nil"/>
              <w:right w:val="nil"/>
            </w:tcBorders>
          </w:tcPr>
          <w:p w14:paraId="7570BAD0"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whole-body fat mass (% of BW)</w:t>
            </w:r>
          </w:p>
        </w:tc>
        <w:tc>
          <w:tcPr>
            <w:tcW w:w="1701" w:type="dxa"/>
            <w:tcBorders>
              <w:top w:val="nil"/>
              <w:left w:val="nil"/>
              <w:bottom w:val="nil"/>
              <w:right w:val="nil"/>
            </w:tcBorders>
          </w:tcPr>
          <w:p w14:paraId="00BBBA0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41.4 ± 0.5</w:t>
            </w:r>
          </w:p>
        </w:tc>
        <w:tc>
          <w:tcPr>
            <w:tcW w:w="1701" w:type="dxa"/>
            <w:tcBorders>
              <w:top w:val="nil"/>
              <w:left w:val="nil"/>
              <w:bottom w:val="nil"/>
              <w:right w:val="nil"/>
            </w:tcBorders>
          </w:tcPr>
          <w:p w14:paraId="3CDC206B"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40.4 ± 0.9</w:t>
            </w:r>
          </w:p>
        </w:tc>
        <w:tc>
          <w:tcPr>
            <w:tcW w:w="1836" w:type="dxa"/>
            <w:tcBorders>
              <w:top w:val="nil"/>
              <w:left w:val="nil"/>
              <w:bottom w:val="nil"/>
            </w:tcBorders>
          </w:tcPr>
          <w:p w14:paraId="63D4711A" w14:textId="06D4CFC7"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37.5 ± 0.7</w:t>
            </w:r>
            <w:r w:rsidRPr="00A234EE">
              <w:rPr>
                <w:rFonts w:ascii="Book Antiqua" w:eastAsia="Calibri" w:hAnsi="Book Antiqua" w:cstheme="minorHAnsi"/>
                <w:sz w:val="24"/>
                <w:szCs w:val="24"/>
                <w:vertAlign w:val="superscript"/>
                <w:lang w:eastAsia="zh-CN"/>
              </w:rPr>
              <w:t>e</w:t>
            </w:r>
          </w:p>
        </w:tc>
      </w:tr>
      <w:tr w:rsidR="0062019A" w:rsidRPr="00A234EE" w14:paraId="4F6A2447" w14:textId="77777777" w:rsidTr="0062019A">
        <w:tc>
          <w:tcPr>
            <w:tcW w:w="4390" w:type="dxa"/>
            <w:tcBorders>
              <w:top w:val="nil"/>
              <w:bottom w:val="nil"/>
              <w:right w:val="nil"/>
            </w:tcBorders>
          </w:tcPr>
          <w:p w14:paraId="770E23AD"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Terminal liver weight (g)</w:t>
            </w:r>
          </w:p>
        </w:tc>
        <w:tc>
          <w:tcPr>
            <w:tcW w:w="1701" w:type="dxa"/>
            <w:tcBorders>
              <w:top w:val="nil"/>
              <w:left w:val="nil"/>
              <w:bottom w:val="nil"/>
              <w:right w:val="nil"/>
            </w:tcBorders>
          </w:tcPr>
          <w:p w14:paraId="747BA2C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5.4 ± 0.2</w:t>
            </w:r>
          </w:p>
        </w:tc>
        <w:tc>
          <w:tcPr>
            <w:tcW w:w="1701" w:type="dxa"/>
            <w:tcBorders>
              <w:top w:val="nil"/>
              <w:left w:val="nil"/>
              <w:bottom w:val="nil"/>
              <w:right w:val="nil"/>
            </w:tcBorders>
          </w:tcPr>
          <w:p w14:paraId="46207A98"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4.9 ± 0.1</w:t>
            </w:r>
          </w:p>
        </w:tc>
        <w:tc>
          <w:tcPr>
            <w:tcW w:w="1836" w:type="dxa"/>
            <w:tcBorders>
              <w:top w:val="nil"/>
              <w:left w:val="nil"/>
              <w:bottom w:val="nil"/>
            </w:tcBorders>
          </w:tcPr>
          <w:p w14:paraId="670BEC03" w14:textId="405414B3"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4.1 ± 0.1</w:t>
            </w:r>
            <w:r w:rsidRPr="00A234EE">
              <w:rPr>
                <w:rFonts w:ascii="Book Antiqua" w:eastAsia="Calibri" w:hAnsi="Book Antiqua" w:cstheme="minorHAnsi"/>
                <w:sz w:val="24"/>
                <w:szCs w:val="24"/>
                <w:vertAlign w:val="superscript"/>
                <w:lang w:eastAsia="zh-CN"/>
              </w:rPr>
              <w:t>f</w:t>
            </w:r>
          </w:p>
        </w:tc>
      </w:tr>
      <w:tr w:rsidR="0062019A" w:rsidRPr="00A234EE" w14:paraId="7AA67D1E" w14:textId="77777777" w:rsidTr="0062019A">
        <w:tc>
          <w:tcPr>
            <w:tcW w:w="4390" w:type="dxa"/>
            <w:tcBorders>
              <w:top w:val="nil"/>
              <w:right w:val="nil"/>
            </w:tcBorders>
          </w:tcPr>
          <w:p w14:paraId="35FE94EE"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lang w:val="en-US"/>
              </w:rPr>
            </w:pPr>
            <w:r w:rsidRPr="00A234EE">
              <w:rPr>
                <w:rFonts w:ascii="Book Antiqua" w:eastAsia="Calibri" w:hAnsi="Book Antiqua" w:cstheme="minorHAnsi"/>
                <w:sz w:val="24"/>
                <w:szCs w:val="24"/>
                <w:lang w:val="en-US"/>
              </w:rPr>
              <w:t>Terminal liver weight (% of BW)</w:t>
            </w:r>
          </w:p>
        </w:tc>
        <w:tc>
          <w:tcPr>
            <w:tcW w:w="1701" w:type="dxa"/>
            <w:tcBorders>
              <w:top w:val="nil"/>
              <w:left w:val="nil"/>
              <w:right w:val="nil"/>
            </w:tcBorders>
          </w:tcPr>
          <w:p w14:paraId="02A43FD6"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9.8 ± 0.3</w:t>
            </w:r>
          </w:p>
        </w:tc>
        <w:tc>
          <w:tcPr>
            <w:tcW w:w="1701" w:type="dxa"/>
            <w:tcBorders>
              <w:top w:val="nil"/>
              <w:left w:val="nil"/>
              <w:right w:val="nil"/>
            </w:tcBorders>
          </w:tcPr>
          <w:p w14:paraId="7231B241" w14:textId="77777777" w:rsidR="0062019A" w:rsidRPr="00A234EE" w:rsidRDefault="0062019A" w:rsidP="00A234EE">
            <w:pPr>
              <w:adjustRightInd w:val="0"/>
              <w:snapToGrid w:val="0"/>
              <w:spacing w:line="360" w:lineRule="auto"/>
              <w:jc w:val="both"/>
              <w:rPr>
                <w:rFonts w:ascii="Book Antiqua" w:eastAsia="Calibri" w:hAnsi="Book Antiqua" w:cstheme="minorHAnsi"/>
                <w:sz w:val="24"/>
                <w:szCs w:val="24"/>
              </w:rPr>
            </w:pPr>
            <w:r w:rsidRPr="00A234EE">
              <w:rPr>
                <w:rFonts w:ascii="Book Antiqua" w:eastAsia="Calibri" w:hAnsi="Book Antiqua" w:cstheme="minorHAnsi"/>
                <w:sz w:val="24"/>
                <w:szCs w:val="24"/>
              </w:rPr>
              <w:t>9.4 ± 0.2</w:t>
            </w:r>
          </w:p>
        </w:tc>
        <w:tc>
          <w:tcPr>
            <w:tcW w:w="1836" w:type="dxa"/>
            <w:tcBorders>
              <w:top w:val="nil"/>
              <w:left w:val="nil"/>
            </w:tcBorders>
          </w:tcPr>
          <w:p w14:paraId="77906CAF" w14:textId="50945A97" w:rsidR="0062019A" w:rsidRPr="00A234EE" w:rsidRDefault="0062019A" w:rsidP="00A234EE">
            <w:pPr>
              <w:adjustRightInd w:val="0"/>
              <w:snapToGrid w:val="0"/>
              <w:spacing w:line="360" w:lineRule="auto"/>
              <w:jc w:val="both"/>
              <w:rPr>
                <w:rFonts w:ascii="Book Antiqua" w:hAnsi="Book Antiqua" w:cstheme="minorHAnsi"/>
                <w:sz w:val="24"/>
                <w:szCs w:val="24"/>
                <w:lang w:eastAsia="zh-CN"/>
              </w:rPr>
            </w:pPr>
            <w:r w:rsidRPr="00A234EE">
              <w:rPr>
                <w:rFonts w:ascii="Book Antiqua" w:eastAsia="Calibri" w:hAnsi="Book Antiqua" w:cstheme="minorHAnsi"/>
                <w:sz w:val="24"/>
                <w:szCs w:val="24"/>
              </w:rPr>
              <w:t>8.0 ± 0.3</w:t>
            </w:r>
            <w:r w:rsidRPr="00A234EE">
              <w:rPr>
                <w:rFonts w:ascii="Book Antiqua" w:eastAsia="Calibri" w:hAnsi="Book Antiqua" w:cstheme="minorHAnsi"/>
                <w:sz w:val="24"/>
                <w:szCs w:val="24"/>
                <w:vertAlign w:val="superscript"/>
                <w:lang w:eastAsia="zh-CN"/>
              </w:rPr>
              <w:t>d</w:t>
            </w:r>
          </w:p>
        </w:tc>
      </w:tr>
    </w:tbl>
    <w:p w14:paraId="601AD85D" w14:textId="7EA4A1E8" w:rsidR="0062019A" w:rsidRPr="00A234EE" w:rsidRDefault="0062019A" w:rsidP="00A234EE">
      <w:pPr>
        <w:adjustRightInd w:val="0"/>
        <w:snapToGrid w:val="0"/>
        <w:spacing w:after="0" w:line="360" w:lineRule="auto"/>
        <w:jc w:val="both"/>
        <w:rPr>
          <w:rFonts w:ascii="Book Antiqua" w:hAnsi="Book Antiqua"/>
          <w:bCs/>
          <w:noProof/>
          <w:sz w:val="24"/>
          <w:szCs w:val="24"/>
          <w:lang w:val="en-US"/>
        </w:rPr>
      </w:pPr>
      <w:r w:rsidRPr="00A234EE">
        <w:rPr>
          <w:rFonts w:ascii="Book Antiqua" w:hAnsi="Book Antiqua"/>
          <w:bCs/>
          <w:sz w:val="24"/>
          <w:szCs w:val="24"/>
          <w:lang w:val="en-US"/>
        </w:rPr>
        <w:t xml:space="preserve">Morphometric scores were analyzed by a </w:t>
      </w:r>
      <w:r w:rsidRPr="00A234EE">
        <w:rPr>
          <w:rFonts w:ascii="Book Antiqua" w:hAnsi="Book Antiqua"/>
          <w:bCs/>
          <w:i/>
          <w:sz w:val="24"/>
          <w:szCs w:val="24"/>
          <w:lang w:val="en-US"/>
        </w:rPr>
        <w:t>χ</w:t>
      </w:r>
      <w:r w:rsidRPr="00A234EE">
        <w:rPr>
          <w:rFonts w:ascii="Book Antiqua" w:hAnsi="Book Antiqua"/>
          <w:bCs/>
          <w:sz w:val="24"/>
          <w:szCs w:val="24"/>
          <w:vertAlign w:val="superscript"/>
          <w:lang w:val="en-US"/>
        </w:rPr>
        <w:t>2</w:t>
      </w:r>
      <w:r w:rsidRPr="00A234EE">
        <w:rPr>
          <w:rFonts w:ascii="Book Antiqua" w:hAnsi="Book Antiqua"/>
          <w:bCs/>
          <w:sz w:val="24"/>
          <w:szCs w:val="24"/>
          <w:lang w:val="en-US"/>
        </w:rPr>
        <w:t xml:space="preserve"> test compared to vehicle (</w:t>
      </w:r>
      <w:r w:rsidRPr="00A234EE">
        <w:rPr>
          <w:rFonts w:ascii="Book Antiqua" w:hAnsi="Book Antiqua"/>
          <w:bCs/>
          <w:sz w:val="24"/>
          <w:szCs w:val="24"/>
          <w:vertAlign w:val="superscript"/>
          <w:lang w:val="en-US" w:eastAsia="zh-CN"/>
        </w:rPr>
        <w:t>f</w:t>
      </w:r>
      <w:r w:rsidRPr="00A234EE">
        <w:rPr>
          <w:rFonts w:ascii="Book Antiqua" w:hAnsi="Book Antiqua"/>
          <w:bCs/>
          <w:i/>
          <w:sz w:val="24"/>
          <w:szCs w:val="24"/>
          <w:lang w:val="en-US"/>
        </w:rPr>
        <w:t>P &lt;</w:t>
      </w:r>
      <w:r w:rsidRPr="00A234EE">
        <w:rPr>
          <w:rFonts w:ascii="Book Antiqua" w:hAnsi="Book Antiqua"/>
          <w:bCs/>
          <w:sz w:val="24"/>
          <w:szCs w:val="24"/>
          <w:lang w:val="en-US"/>
        </w:rPr>
        <w:t>0.001). All other data were analyzed by a two-way ANOVA with Bonferroni’s post-hoc test (</w:t>
      </w:r>
      <w:r w:rsidRPr="00A234EE">
        <w:rPr>
          <w:rFonts w:ascii="Book Antiqua" w:hAnsi="Book Antiqua"/>
          <w:bCs/>
          <w:sz w:val="24"/>
          <w:szCs w:val="24"/>
          <w:vertAlign w:val="superscript"/>
          <w:lang w:val="en-US" w:eastAsia="zh-CN"/>
        </w:rPr>
        <w:t>a</w:t>
      </w:r>
      <w:r w:rsidRPr="00A234EE">
        <w:rPr>
          <w:rFonts w:ascii="Book Antiqua" w:hAnsi="Book Antiqua"/>
          <w:bCs/>
          <w:i/>
          <w:sz w:val="24"/>
          <w:szCs w:val="24"/>
          <w:lang w:val="en-US"/>
        </w:rPr>
        <w:t>P &lt;</w:t>
      </w:r>
      <w:r w:rsidRPr="00A234EE">
        <w:rPr>
          <w:rFonts w:ascii="Book Antiqua" w:hAnsi="Book Antiqua"/>
          <w:bCs/>
          <w:sz w:val="24"/>
          <w:szCs w:val="24"/>
          <w:lang w:val="en-US"/>
        </w:rPr>
        <w:t xml:space="preserve">0.05, </w:t>
      </w:r>
      <w:r w:rsidRPr="00A234EE">
        <w:rPr>
          <w:rFonts w:ascii="Book Antiqua" w:hAnsi="Book Antiqua"/>
          <w:bCs/>
          <w:sz w:val="24"/>
          <w:szCs w:val="24"/>
          <w:vertAlign w:val="superscript"/>
          <w:lang w:val="en-US" w:eastAsia="zh-CN"/>
        </w:rPr>
        <w:t>b</w:t>
      </w:r>
      <w:r w:rsidRPr="00A234EE">
        <w:rPr>
          <w:rFonts w:ascii="Book Antiqua" w:hAnsi="Book Antiqua"/>
          <w:bCs/>
          <w:i/>
          <w:sz w:val="24"/>
          <w:szCs w:val="24"/>
          <w:lang w:val="en-US"/>
        </w:rPr>
        <w:t>P &lt;</w:t>
      </w:r>
      <w:r w:rsidRPr="00A234EE">
        <w:rPr>
          <w:rFonts w:ascii="Book Antiqua" w:hAnsi="Book Antiqua"/>
          <w:bCs/>
          <w:sz w:val="24"/>
          <w:szCs w:val="24"/>
          <w:lang w:val="en-US"/>
        </w:rPr>
        <w:t xml:space="preserve">0.01, </w:t>
      </w:r>
      <w:r w:rsidRPr="00A234EE">
        <w:rPr>
          <w:rFonts w:ascii="Book Antiqua" w:hAnsi="Book Antiqua"/>
          <w:bCs/>
          <w:sz w:val="24"/>
          <w:szCs w:val="24"/>
          <w:vertAlign w:val="superscript"/>
          <w:lang w:val="en-US" w:eastAsia="zh-CN"/>
        </w:rPr>
        <w:t>e</w:t>
      </w:r>
      <w:r w:rsidRPr="00A234EE">
        <w:rPr>
          <w:rFonts w:ascii="Book Antiqua" w:hAnsi="Book Antiqua"/>
          <w:bCs/>
          <w:i/>
          <w:sz w:val="24"/>
          <w:szCs w:val="24"/>
          <w:lang w:val="en-US"/>
        </w:rPr>
        <w:t>P &lt;</w:t>
      </w:r>
      <w:r w:rsidRPr="00A234EE">
        <w:rPr>
          <w:rFonts w:ascii="Book Antiqua" w:hAnsi="Book Antiqua"/>
          <w:bCs/>
          <w:sz w:val="24"/>
          <w:szCs w:val="24"/>
          <w:lang w:val="en-US"/>
        </w:rPr>
        <w:t xml:space="preserve">0.001; </w:t>
      </w:r>
      <w:r w:rsidRPr="00A234EE">
        <w:rPr>
          <w:rFonts w:ascii="Book Antiqua" w:hAnsi="Book Antiqua"/>
          <w:bCs/>
          <w:i/>
          <w:sz w:val="24"/>
          <w:szCs w:val="24"/>
          <w:lang w:val="en-US"/>
        </w:rPr>
        <w:t>vs</w:t>
      </w:r>
      <w:r w:rsidRPr="00A234EE">
        <w:rPr>
          <w:rFonts w:ascii="Book Antiqua" w:hAnsi="Book Antiqua"/>
          <w:bCs/>
          <w:sz w:val="24"/>
          <w:szCs w:val="24"/>
          <w:lang w:val="en-US"/>
        </w:rPr>
        <w:t xml:space="preserve"> baseline. </w:t>
      </w:r>
      <w:r w:rsidRPr="00A234EE">
        <w:rPr>
          <w:rFonts w:ascii="Book Antiqua" w:hAnsi="Book Antiqua"/>
          <w:bCs/>
          <w:sz w:val="24"/>
          <w:szCs w:val="24"/>
          <w:vertAlign w:val="superscript"/>
          <w:lang w:val="en-US" w:eastAsia="zh-CN"/>
        </w:rPr>
        <w:t>c</w:t>
      </w:r>
      <w:r w:rsidRPr="00A234EE">
        <w:rPr>
          <w:rFonts w:ascii="Book Antiqua" w:hAnsi="Book Antiqua"/>
          <w:bCs/>
          <w:i/>
          <w:sz w:val="24"/>
          <w:szCs w:val="24"/>
          <w:lang w:val="en-US"/>
        </w:rPr>
        <w:t>P &lt;</w:t>
      </w:r>
      <w:r w:rsidRPr="00A234EE">
        <w:rPr>
          <w:rFonts w:ascii="Book Antiqua" w:hAnsi="Book Antiqua"/>
          <w:bCs/>
          <w:sz w:val="24"/>
          <w:szCs w:val="24"/>
          <w:lang w:val="en-US"/>
        </w:rPr>
        <w:t xml:space="preserve">0.05, </w:t>
      </w:r>
      <w:r w:rsidRPr="00A234EE">
        <w:rPr>
          <w:rFonts w:ascii="Book Antiqua" w:hAnsi="Book Antiqua"/>
          <w:bCs/>
          <w:sz w:val="24"/>
          <w:szCs w:val="24"/>
          <w:vertAlign w:val="superscript"/>
          <w:lang w:val="en-US" w:eastAsia="zh-CN"/>
        </w:rPr>
        <w:t>d</w:t>
      </w:r>
      <w:r w:rsidRPr="00A234EE">
        <w:rPr>
          <w:rFonts w:ascii="Book Antiqua" w:hAnsi="Book Antiqua"/>
          <w:bCs/>
          <w:i/>
          <w:sz w:val="24"/>
          <w:szCs w:val="24"/>
          <w:lang w:val="en-US"/>
        </w:rPr>
        <w:t>P &lt;</w:t>
      </w:r>
      <w:r w:rsidRPr="00A234EE">
        <w:rPr>
          <w:rFonts w:ascii="Book Antiqua" w:hAnsi="Book Antiqua"/>
          <w:bCs/>
          <w:sz w:val="24"/>
          <w:szCs w:val="24"/>
          <w:lang w:val="en-US"/>
        </w:rPr>
        <w:t xml:space="preserve">0.01, </w:t>
      </w:r>
      <w:r w:rsidRPr="00A234EE">
        <w:rPr>
          <w:rFonts w:ascii="Book Antiqua" w:hAnsi="Book Antiqua"/>
          <w:bCs/>
          <w:sz w:val="24"/>
          <w:szCs w:val="24"/>
          <w:vertAlign w:val="superscript"/>
          <w:lang w:val="en-US" w:eastAsia="zh-CN"/>
        </w:rPr>
        <w:t>f</w:t>
      </w:r>
      <w:r w:rsidRPr="00A234EE">
        <w:rPr>
          <w:rFonts w:ascii="Book Antiqua" w:hAnsi="Book Antiqua"/>
          <w:bCs/>
          <w:i/>
          <w:sz w:val="24"/>
          <w:szCs w:val="24"/>
          <w:lang w:val="en-US"/>
        </w:rPr>
        <w:t>P &lt;</w:t>
      </w:r>
      <w:r w:rsidRPr="00A234EE">
        <w:rPr>
          <w:rFonts w:ascii="Book Antiqua" w:hAnsi="Book Antiqua"/>
          <w:bCs/>
          <w:sz w:val="24"/>
          <w:szCs w:val="24"/>
          <w:lang w:val="en-US"/>
        </w:rPr>
        <w:t xml:space="preserve">0.001; </w:t>
      </w:r>
      <w:r w:rsidRPr="00A234EE">
        <w:rPr>
          <w:rFonts w:ascii="Book Antiqua" w:hAnsi="Book Antiqua"/>
          <w:bCs/>
          <w:i/>
          <w:sz w:val="24"/>
          <w:szCs w:val="24"/>
          <w:lang w:val="en-US"/>
        </w:rPr>
        <w:t>vs</w:t>
      </w:r>
      <w:r w:rsidRPr="00A234EE">
        <w:rPr>
          <w:rFonts w:ascii="Book Antiqua" w:hAnsi="Book Antiqua"/>
          <w:bCs/>
          <w:sz w:val="24"/>
          <w:szCs w:val="24"/>
          <w:lang w:val="en-US"/>
        </w:rPr>
        <w:t xml:space="preserve"> vehicle).</w:t>
      </w:r>
    </w:p>
    <w:p w14:paraId="00EB5A5B" w14:textId="77777777" w:rsidR="0062019A" w:rsidRPr="00A234EE" w:rsidRDefault="0062019A" w:rsidP="00A234EE">
      <w:pPr>
        <w:adjustRightInd w:val="0"/>
        <w:snapToGrid w:val="0"/>
        <w:spacing w:after="0" w:line="360" w:lineRule="auto"/>
        <w:jc w:val="both"/>
        <w:rPr>
          <w:rFonts w:ascii="Book Antiqua" w:hAnsi="Book Antiqua"/>
          <w:bCs/>
          <w:noProof/>
          <w:sz w:val="24"/>
          <w:szCs w:val="24"/>
          <w:lang w:val="en-US"/>
        </w:rPr>
      </w:pPr>
      <w:r w:rsidRPr="00A234EE">
        <w:rPr>
          <w:rFonts w:ascii="Book Antiqua" w:hAnsi="Book Antiqua"/>
          <w:bCs/>
          <w:noProof/>
          <w:sz w:val="24"/>
          <w:szCs w:val="24"/>
          <w:lang w:val="en-US"/>
        </w:rPr>
        <w:br w:type="page"/>
      </w:r>
    </w:p>
    <w:p w14:paraId="784A25E2" w14:textId="6D61E2DE" w:rsidR="0062019A" w:rsidRPr="00A234EE" w:rsidRDefault="0062019A"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bCs/>
          <w:sz w:val="24"/>
          <w:szCs w:val="24"/>
          <w:lang w:val="en-US"/>
        </w:rPr>
        <w:lastRenderedPageBreak/>
        <w:t>Table 2</w:t>
      </w:r>
      <w:r w:rsidRPr="00A234EE">
        <w:rPr>
          <w:rFonts w:ascii="Book Antiqua" w:hAnsi="Book Antiqua"/>
          <w:b/>
          <w:bCs/>
          <w:sz w:val="24"/>
          <w:szCs w:val="24"/>
          <w:lang w:val="en-US" w:eastAsia="zh-CN"/>
        </w:rPr>
        <w:t xml:space="preserve"> </w:t>
      </w:r>
      <w:r w:rsidRPr="00A234EE">
        <w:rPr>
          <w:rFonts w:ascii="Book Antiqua" w:hAnsi="Book Antiqua"/>
          <w:b/>
          <w:bCs/>
          <w:sz w:val="24"/>
          <w:szCs w:val="24"/>
          <w:lang w:val="en-US"/>
        </w:rPr>
        <w:t xml:space="preserve">INT-767 and obeticholic acid improve liver histomorphology in </w:t>
      </w:r>
      <w:r w:rsidRPr="00A234EE">
        <w:rPr>
          <w:rFonts w:ascii="Book Antiqua" w:hAnsi="Book Antiqua"/>
          <w:b/>
          <w:bCs/>
          <w:i/>
          <w:iCs/>
          <w:sz w:val="24"/>
          <w:szCs w:val="24"/>
          <w:lang w:val="en-US"/>
        </w:rPr>
        <w:t>ob/ob</w:t>
      </w:r>
      <w:r w:rsidRPr="00A234EE">
        <w:rPr>
          <w:rFonts w:ascii="Book Antiqua" w:hAnsi="Book Antiqua"/>
          <w:b/>
          <w:bCs/>
          <w:sz w:val="24"/>
          <w:szCs w:val="24"/>
          <w:lang w:val="en-US"/>
        </w:rPr>
        <w:t>-non-alcoholic steatohepatitis mice with biopsy-confirmed liver pathology</w:t>
      </w:r>
      <w:r w:rsidRPr="00A234EE">
        <w:rPr>
          <w:rFonts w:ascii="Book Antiqua" w:hAnsi="Book Antiqua"/>
          <w:b/>
          <w:bCs/>
          <w:sz w:val="24"/>
          <w:szCs w:val="24"/>
          <w:lang w:val="en-US" w:eastAsia="zh-CN"/>
        </w:rPr>
        <w:t xml:space="preserve"> </w:t>
      </w:r>
    </w:p>
    <w:tbl>
      <w:tblPr>
        <w:tblW w:w="11214"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297"/>
        <w:gridCol w:w="1481"/>
        <w:gridCol w:w="1481"/>
        <w:gridCol w:w="1490"/>
        <w:gridCol w:w="1481"/>
        <w:gridCol w:w="1481"/>
        <w:gridCol w:w="1503"/>
      </w:tblGrid>
      <w:tr w:rsidR="0062019A" w:rsidRPr="00A234EE" w14:paraId="596A5C49" w14:textId="77777777" w:rsidTr="0062019A">
        <w:trPr>
          <w:trHeight w:val="480"/>
          <w:jc w:val="center"/>
        </w:trPr>
        <w:tc>
          <w:tcPr>
            <w:tcW w:w="2297" w:type="dxa"/>
            <w:vMerge w:val="restart"/>
            <w:tcBorders>
              <w:top w:val="single" w:sz="4" w:space="0" w:color="auto"/>
              <w:bottom w:val="nil"/>
            </w:tcBorders>
            <w:shd w:val="clear" w:color="auto" w:fill="auto"/>
            <w:tcMar>
              <w:top w:w="15" w:type="dxa"/>
              <w:left w:w="108" w:type="dxa"/>
              <w:bottom w:w="0" w:type="dxa"/>
              <w:right w:w="108" w:type="dxa"/>
            </w:tcMar>
            <w:vAlign w:val="center"/>
            <w:hideMark/>
          </w:tcPr>
          <w:p w14:paraId="4CC81153"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b/>
                <w:bCs/>
                <w:kern w:val="24"/>
                <w:sz w:val="24"/>
                <w:szCs w:val="24"/>
                <w:lang w:val="en-US" w:eastAsia="da-DK"/>
              </w:rPr>
              <w:t>Treatment</w:t>
            </w:r>
          </w:p>
        </w:tc>
        <w:tc>
          <w:tcPr>
            <w:tcW w:w="4452" w:type="dxa"/>
            <w:gridSpan w:val="3"/>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324D6ADB" w14:textId="380F30CD" w:rsidR="0062019A" w:rsidRPr="00A234EE" w:rsidRDefault="0062019A" w:rsidP="00A234EE">
            <w:pPr>
              <w:adjustRightInd w:val="0"/>
              <w:snapToGrid w:val="0"/>
              <w:spacing w:after="0" w:line="360" w:lineRule="auto"/>
              <w:jc w:val="both"/>
              <w:rPr>
                <w:rFonts w:ascii="Book Antiqua" w:eastAsia="Calibri" w:hAnsi="Book Antiqua" w:cstheme="minorHAnsi"/>
                <w:b/>
                <w:bCs/>
                <w:kern w:val="24"/>
                <w:sz w:val="24"/>
                <w:szCs w:val="24"/>
                <w:lang w:val="en-US" w:eastAsia="da-DK"/>
              </w:rPr>
            </w:pPr>
            <w:r w:rsidRPr="00A234EE">
              <w:rPr>
                <w:rFonts w:ascii="Book Antiqua" w:eastAsia="Calibri" w:hAnsi="Book Antiqua" w:cstheme="minorHAnsi"/>
                <w:b/>
                <w:bCs/>
                <w:kern w:val="24"/>
                <w:sz w:val="24"/>
                <w:szCs w:val="24"/>
                <w:lang w:val="en-US" w:eastAsia="da-DK"/>
              </w:rPr>
              <w:t>Fibrosis stage</w:t>
            </w:r>
          </w:p>
        </w:tc>
        <w:tc>
          <w:tcPr>
            <w:tcW w:w="4465" w:type="dxa"/>
            <w:gridSpan w:val="3"/>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F0914E5"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b/>
                <w:bCs/>
                <w:kern w:val="24"/>
                <w:sz w:val="24"/>
                <w:szCs w:val="24"/>
                <w:lang w:val="en-US" w:eastAsia="da-DK"/>
              </w:rPr>
              <w:t>NAS</w:t>
            </w:r>
          </w:p>
          <w:p w14:paraId="7A737E03" w14:textId="77777777" w:rsidR="0062019A" w:rsidRPr="00A234EE" w:rsidRDefault="0062019A" w:rsidP="00A234EE">
            <w:pPr>
              <w:adjustRightInd w:val="0"/>
              <w:snapToGrid w:val="0"/>
              <w:spacing w:after="0" w:line="360" w:lineRule="auto"/>
              <w:jc w:val="both"/>
              <w:rPr>
                <w:rFonts w:ascii="Book Antiqua" w:eastAsia="Calibri" w:hAnsi="Book Antiqua" w:cstheme="minorHAnsi"/>
                <w:b/>
                <w:bCs/>
                <w:kern w:val="24"/>
                <w:sz w:val="24"/>
                <w:szCs w:val="24"/>
                <w:lang w:val="en-US" w:eastAsia="da-DK"/>
              </w:rPr>
            </w:pPr>
          </w:p>
          <w:p w14:paraId="3BB63DB7" w14:textId="77777777" w:rsidR="0062019A" w:rsidRPr="00A234EE" w:rsidRDefault="0062019A" w:rsidP="00A234EE">
            <w:pPr>
              <w:adjustRightInd w:val="0"/>
              <w:snapToGrid w:val="0"/>
              <w:spacing w:after="0" w:line="360" w:lineRule="auto"/>
              <w:jc w:val="both"/>
              <w:rPr>
                <w:rFonts w:ascii="Book Antiqua" w:eastAsia="Calibri" w:hAnsi="Book Antiqua" w:cstheme="minorHAnsi"/>
                <w:b/>
                <w:bCs/>
                <w:kern w:val="24"/>
                <w:sz w:val="24"/>
                <w:szCs w:val="24"/>
                <w:lang w:val="en-US" w:eastAsia="da-DK"/>
              </w:rPr>
            </w:pPr>
          </w:p>
        </w:tc>
      </w:tr>
      <w:tr w:rsidR="0062019A" w:rsidRPr="00A234EE" w14:paraId="54463400" w14:textId="77777777" w:rsidTr="0062019A">
        <w:trPr>
          <w:trHeight w:val="239"/>
          <w:jc w:val="center"/>
        </w:trPr>
        <w:tc>
          <w:tcPr>
            <w:tcW w:w="2297" w:type="dxa"/>
            <w:vMerge/>
            <w:tcBorders>
              <w:top w:val="nil"/>
              <w:bottom w:val="single" w:sz="4" w:space="0" w:color="auto"/>
            </w:tcBorders>
            <w:shd w:val="clear" w:color="auto" w:fill="auto"/>
            <w:vAlign w:val="center"/>
            <w:hideMark/>
          </w:tcPr>
          <w:p w14:paraId="60634F4F"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p>
        </w:tc>
        <w:tc>
          <w:tcPr>
            <w:tcW w:w="1481" w:type="dxa"/>
            <w:tcBorders>
              <w:top w:val="single" w:sz="4" w:space="0" w:color="auto"/>
              <w:bottom w:val="single" w:sz="4" w:space="0" w:color="auto"/>
            </w:tcBorders>
            <w:shd w:val="clear" w:color="auto" w:fill="auto"/>
            <w:vAlign w:val="center"/>
          </w:tcPr>
          <w:p w14:paraId="5CE66E07" w14:textId="77777777" w:rsidR="0062019A" w:rsidRPr="00A234EE" w:rsidRDefault="0062019A" w:rsidP="00A234EE">
            <w:pPr>
              <w:adjustRightInd w:val="0"/>
              <w:snapToGrid w:val="0"/>
              <w:spacing w:after="0" w:line="360" w:lineRule="auto"/>
              <w:jc w:val="both"/>
              <w:rPr>
                <w:rFonts w:ascii="Book Antiqua" w:eastAsia="Calibri" w:hAnsi="Book Antiqua" w:cstheme="minorHAnsi"/>
                <w:b/>
                <w:kern w:val="24"/>
                <w:sz w:val="24"/>
                <w:szCs w:val="24"/>
                <w:lang w:val="en-US" w:eastAsia="da-DK"/>
              </w:rPr>
            </w:pPr>
            <w:r w:rsidRPr="00A234EE">
              <w:rPr>
                <w:rFonts w:ascii="Book Antiqua" w:eastAsia="Calibri" w:hAnsi="Book Antiqua" w:cstheme="minorHAnsi"/>
                <w:b/>
                <w:kern w:val="24"/>
                <w:sz w:val="24"/>
                <w:szCs w:val="24"/>
                <w:lang w:val="en-US" w:eastAsia="da-DK"/>
              </w:rPr>
              <w:t xml:space="preserve"> No improvement</w:t>
            </w:r>
          </w:p>
        </w:tc>
        <w:tc>
          <w:tcPr>
            <w:tcW w:w="1481" w:type="dxa"/>
            <w:tcBorders>
              <w:top w:val="single" w:sz="4" w:space="0" w:color="auto"/>
              <w:bottom w:val="single" w:sz="4" w:space="0" w:color="auto"/>
            </w:tcBorders>
            <w:shd w:val="clear" w:color="auto" w:fill="auto"/>
            <w:vAlign w:val="center"/>
          </w:tcPr>
          <w:p w14:paraId="0F17E4B4" w14:textId="77777777" w:rsidR="0062019A" w:rsidRPr="00A234EE" w:rsidRDefault="0062019A" w:rsidP="00A234EE">
            <w:pPr>
              <w:adjustRightInd w:val="0"/>
              <w:snapToGrid w:val="0"/>
              <w:spacing w:after="0" w:line="360" w:lineRule="auto"/>
              <w:jc w:val="both"/>
              <w:rPr>
                <w:rFonts w:ascii="Book Antiqua" w:eastAsia="Calibri" w:hAnsi="Book Antiqua" w:cstheme="minorHAnsi"/>
                <w:b/>
                <w:kern w:val="24"/>
                <w:sz w:val="24"/>
                <w:szCs w:val="24"/>
                <w:lang w:val="en-US" w:eastAsia="da-DK"/>
              </w:rPr>
            </w:pPr>
            <w:r w:rsidRPr="00A234EE">
              <w:rPr>
                <w:rFonts w:ascii="Book Antiqua" w:eastAsia="Calibri" w:hAnsi="Book Antiqua" w:cstheme="minorHAnsi"/>
                <w:b/>
                <w:kern w:val="24"/>
                <w:sz w:val="24"/>
                <w:szCs w:val="24"/>
                <w:lang w:val="en-US" w:eastAsia="da-DK"/>
              </w:rPr>
              <w:t>With</w:t>
            </w:r>
          </w:p>
          <w:p w14:paraId="22AD7EEC" w14:textId="79662638" w:rsidR="0062019A" w:rsidRPr="00A234EE" w:rsidRDefault="0062019A" w:rsidP="00A234EE">
            <w:pPr>
              <w:adjustRightInd w:val="0"/>
              <w:snapToGrid w:val="0"/>
              <w:spacing w:after="0" w:line="360" w:lineRule="auto"/>
              <w:jc w:val="both"/>
              <w:rPr>
                <w:rFonts w:ascii="Book Antiqua" w:eastAsia="Calibri" w:hAnsi="Book Antiqua" w:cstheme="minorHAnsi"/>
                <w:b/>
                <w:kern w:val="24"/>
                <w:sz w:val="24"/>
                <w:szCs w:val="24"/>
                <w:lang w:val="en-US" w:eastAsia="da-DK"/>
              </w:rPr>
            </w:pPr>
            <w:r w:rsidRPr="00A234EE">
              <w:rPr>
                <w:rFonts w:ascii="Book Antiqua" w:eastAsia="Calibri" w:hAnsi="Book Antiqua" w:cstheme="minorHAnsi"/>
                <w:b/>
                <w:kern w:val="24"/>
                <w:sz w:val="24"/>
                <w:szCs w:val="24"/>
                <w:lang w:val="en-US" w:eastAsia="da-DK"/>
              </w:rPr>
              <w:t>improvement</w:t>
            </w:r>
          </w:p>
        </w:tc>
        <w:tc>
          <w:tcPr>
            <w:tcW w:w="1490"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4EAD9AE"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b/>
                <w:sz w:val="24"/>
                <w:szCs w:val="24"/>
                <w:lang w:eastAsia="da-DK"/>
              </w:rPr>
            </w:pPr>
            <w:r w:rsidRPr="00A234EE">
              <w:rPr>
                <w:rFonts w:ascii="Book Antiqua" w:eastAsia="Calibri" w:hAnsi="Book Antiqua" w:cstheme="minorHAnsi"/>
                <w:b/>
                <w:kern w:val="24"/>
                <w:sz w:val="24"/>
                <w:szCs w:val="24"/>
                <w:lang w:val="en-US" w:eastAsia="da-DK"/>
              </w:rPr>
              <w:t>% improving</w:t>
            </w:r>
            <w:r w:rsidRPr="00A234EE">
              <w:rPr>
                <w:rFonts w:ascii="Book Antiqua" w:eastAsia="Calibri" w:hAnsi="Book Antiqua" w:cstheme="minorHAnsi"/>
                <w:b/>
                <w:kern w:val="24"/>
                <w:position w:val="6"/>
                <w:sz w:val="24"/>
                <w:szCs w:val="24"/>
                <w:vertAlign w:val="superscript"/>
                <w:lang w:val="en-US" w:eastAsia="da-DK"/>
              </w:rPr>
              <w:t>1</w:t>
            </w:r>
          </w:p>
        </w:tc>
        <w:tc>
          <w:tcPr>
            <w:tcW w:w="1481" w:type="dxa"/>
            <w:tcBorders>
              <w:top w:val="single" w:sz="4" w:space="0" w:color="auto"/>
              <w:bottom w:val="single" w:sz="4" w:space="0" w:color="auto"/>
            </w:tcBorders>
            <w:shd w:val="clear" w:color="auto" w:fill="auto"/>
            <w:vAlign w:val="center"/>
          </w:tcPr>
          <w:p w14:paraId="70ADE005"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b/>
                <w:sz w:val="24"/>
                <w:szCs w:val="24"/>
                <w:lang w:eastAsia="da-DK"/>
              </w:rPr>
            </w:pPr>
            <w:r w:rsidRPr="00A234EE">
              <w:rPr>
                <w:rFonts w:ascii="Book Antiqua" w:eastAsia="Calibri" w:hAnsi="Book Antiqua" w:cstheme="minorHAnsi"/>
                <w:b/>
                <w:kern w:val="24"/>
                <w:sz w:val="24"/>
                <w:szCs w:val="24"/>
                <w:lang w:val="en-US" w:eastAsia="da-DK"/>
              </w:rPr>
              <w:t>No improvement</w:t>
            </w:r>
          </w:p>
        </w:tc>
        <w:tc>
          <w:tcPr>
            <w:tcW w:w="1481" w:type="dxa"/>
            <w:tcBorders>
              <w:top w:val="single" w:sz="4" w:space="0" w:color="auto"/>
              <w:bottom w:val="single" w:sz="4" w:space="0" w:color="auto"/>
            </w:tcBorders>
            <w:shd w:val="clear" w:color="auto" w:fill="auto"/>
            <w:vAlign w:val="center"/>
          </w:tcPr>
          <w:p w14:paraId="59780ABD" w14:textId="77777777" w:rsidR="0062019A" w:rsidRPr="00A234EE" w:rsidRDefault="0062019A" w:rsidP="00A234EE">
            <w:pPr>
              <w:adjustRightInd w:val="0"/>
              <w:snapToGrid w:val="0"/>
              <w:spacing w:after="0" w:line="360" w:lineRule="auto"/>
              <w:jc w:val="both"/>
              <w:rPr>
                <w:rFonts w:ascii="Book Antiqua" w:eastAsia="Calibri" w:hAnsi="Book Antiqua" w:cstheme="minorHAnsi"/>
                <w:b/>
                <w:kern w:val="24"/>
                <w:sz w:val="24"/>
                <w:szCs w:val="24"/>
                <w:lang w:val="en-US" w:eastAsia="da-DK"/>
              </w:rPr>
            </w:pPr>
            <w:r w:rsidRPr="00A234EE">
              <w:rPr>
                <w:rFonts w:ascii="Book Antiqua" w:eastAsia="Calibri" w:hAnsi="Book Antiqua" w:cstheme="minorHAnsi"/>
                <w:b/>
                <w:kern w:val="24"/>
                <w:sz w:val="24"/>
                <w:szCs w:val="24"/>
                <w:lang w:val="en-US" w:eastAsia="da-DK"/>
              </w:rPr>
              <w:t>With</w:t>
            </w:r>
          </w:p>
          <w:p w14:paraId="6D40D64A" w14:textId="7A33AC49" w:rsidR="0062019A" w:rsidRPr="00A234EE" w:rsidRDefault="0062019A" w:rsidP="00A234EE">
            <w:pPr>
              <w:adjustRightInd w:val="0"/>
              <w:snapToGrid w:val="0"/>
              <w:spacing w:after="0" w:line="360" w:lineRule="auto"/>
              <w:jc w:val="both"/>
              <w:rPr>
                <w:rFonts w:ascii="Book Antiqua" w:eastAsia="Times New Roman" w:hAnsi="Book Antiqua" w:cstheme="minorHAnsi"/>
                <w:b/>
                <w:sz w:val="24"/>
                <w:szCs w:val="24"/>
                <w:lang w:eastAsia="da-DK"/>
              </w:rPr>
            </w:pPr>
            <w:r w:rsidRPr="00A234EE">
              <w:rPr>
                <w:rFonts w:ascii="Book Antiqua" w:eastAsia="Calibri" w:hAnsi="Book Antiqua" w:cstheme="minorHAnsi"/>
                <w:b/>
                <w:kern w:val="24"/>
                <w:sz w:val="24"/>
                <w:szCs w:val="24"/>
                <w:lang w:val="en-US" w:eastAsia="da-DK"/>
              </w:rPr>
              <w:t>improvement</w:t>
            </w:r>
          </w:p>
        </w:tc>
        <w:tc>
          <w:tcPr>
            <w:tcW w:w="1503" w:type="dxa"/>
            <w:tcBorders>
              <w:top w:val="single" w:sz="4" w:space="0" w:color="auto"/>
              <w:bottom w:val="single" w:sz="4" w:space="0" w:color="auto"/>
            </w:tcBorders>
            <w:shd w:val="clear" w:color="auto" w:fill="auto"/>
            <w:vAlign w:val="center"/>
          </w:tcPr>
          <w:p w14:paraId="6B69C8B8" w14:textId="31045902" w:rsidR="0062019A" w:rsidRPr="00A234EE" w:rsidRDefault="0062019A" w:rsidP="00A234EE">
            <w:pPr>
              <w:adjustRightInd w:val="0"/>
              <w:snapToGrid w:val="0"/>
              <w:spacing w:after="0" w:line="360" w:lineRule="auto"/>
              <w:jc w:val="both"/>
              <w:rPr>
                <w:rFonts w:ascii="Book Antiqua" w:eastAsia="Times New Roman" w:hAnsi="Book Antiqua" w:cstheme="minorHAnsi"/>
                <w:b/>
                <w:sz w:val="24"/>
                <w:szCs w:val="24"/>
                <w:lang w:eastAsia="da-DK"/>
              </w:rPr>
            </w:pPr>
            <w:r w:rsidRPr="00A234EE">
              <w:rPr>
                <w:rFonts w:ascii="Book Antiqua" w:eastAsia="Calibri" w:hAnsi="Book Antiqua" w:cstheme="minorHAnsi"/>
                <w:b/>
                <w:kern w:val="24"/>
                <w:sz w:val="24"/>
                <w:szCs w:val="24"/>
                <w:lang w:val="en-US" w:eastAsia="da-DK"/>
              </w:rPr>
              <w:t>% improving</w:t>
            </w:r>
            <w:r w:rsidRPr="00A234EE">
              <w:rPr>
                <w:rFonts w:ascii="Book Antiqua" w:eastAsia="Calibri" w:hAnsi="Book Antiqua" w:cstheme="minorHAnsi"/>
                <w:b/>
                <w:kern w:val="24"/>
                <w:position w:val="6"/>
                <w:sz w:val="24"/>
                <w:szCs w:val="24"/>
                <w:vertAlign w:val="superscript"/>
                <w:lang w:val="en-US" w:eastAsia="da-DK"/>
              </w:rPr>
              <w:t>1</w:t>
            </w:r>
          </w:p>
        </w:tc>
      </w:tr>
      <w:tr w:rsidR="0062019A" w:rsidRPr="00A234EE" w14:paraId="042752E7" w14:textId="77777777" w:rsidTr="0062019A">
        <w:trPr>
          <w:trHeight w:val="227"/>
          <w:jc w:val="center"/>
        </w:trPr>
        <w:tc>
          <w:tcPr>
            <w:tcW w:w="2297" w:type="dxa"/>
            <w:tcBorders>
              <w:top w:val="single" w:sz="4" w:space="0" w:color="auto"/>
            </w:tcBorders>
            <w:shd w:val="clear" w:color="auto" w:fill="auto"/>
            <w:tcMar>
              <w:top w:w="15" w:type="dxa"/>
              <w:left w:w="108" w:type="dxa"/>
              <w:bottom w:w="0" w:type="dxa"/>
              <w:right w:w="108" w:type="dxa"/>
            </w:tcMar>
            <w:vAlign w:val="center"/>
            <w:hideMark/>
          </w:tcPr>
          <w:p w14:paraId="2445D944"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kern w:val="24"/>
                <w:sz w:val="24"/>
                <w:szCs w:val="24"/>
                <w:lang w:val="en-US" w:eastAsia="da-DK"/>
              </w:rPr>
              <w:t>Vehicle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11)</w:t>
            </w:r>
          </w:p>
        </w:tc>
        <w:tc>
          <w:tcPr>
            <w:tcW w:w="1481" w:type="dxa"/>
            <w:tcBorders>
              <w:top w:val="single" w:sz="4" w:space="0" w:color="auto"/>
            </w:tcBorders>
            <w:shd w:val="clear" w:color="auto" w:fill="auto"/>
            <w:tcMar>
              <w:top w:w="15" w:type="dxa"/>
              <w:left w:w="108" w:type="dxa"/>
              <w:bottom w:w="0" w:type="dxa"/>
              <w:right w:w="108" w:type="dxa"/>
            </w:tcMar>
            <w:vAlign w:val="center"/>
          </w:tcPr>
          <w:p w14:paraId="26ACC372"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Times New Roman" w:hAnsi="Book Antiqua" w:cstheme="minorHAnsi"/>
                <w:sz w:val="24"/>
                <w:szCs w:val="24"/>
                <w:lang w:eastAsia="da-DK"/>
              </w:rPr>
              <w:t>11</w:t>
            </w:r>
          </w:p>
        </w:tc>
        <w:tc>
          <w:tcPr>
            <w:tcW w:w="1481" w:type="dxa"/>
            <w:tcBorders>
              <w:top w:val="single" w:sz="4" w:space="0" w:color="auto"/>
            </w:tcBorders>
            <w:shd w:val="clear" w:color="auto" w:fill="auto"/>
            <w:vAlign w:val="center"/>
          </w:tcPr>
          <w:p w14:paraId="4CD2B9AA"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w:t>
            </w:r>
          </w:p>
        </w:tc>
        <w:tc>
          <w:tcPr>
            <w:tcW w:w="1490" w:type="dxa"/>
            <w:tcBorders>
              <w:top w:val="single" w:sz="4" w:space="0" w:color="auto"/>
            </w:tcBorders>
            <w:shd w:val="clear" w:color="auto" w:fill="auto"/>
            <w:vAlign w:val="center"/>
          </w:tcPr>
          <w:p w14:paraId="4B299303"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w:t>
            </w:r>
          </w:p>
        </w:tc>
        <w:tc>
          <w:tcPr>
            <w:tcW w:w="1481" w:type="dxa"/>
            <w:tcBorders>
              <w:top w:val="single" w:sz="4" w:space="0" w:color="auto"/>
            </w:tcBorders>
            <w:shd w:val="clear" w:color="auto" w:fill="auto"/>
            <w:tcMar>
              <w:top w:w="15" w:type="dxa"/>
              <w:left w:w="108" w:type="dxa"/>
              <w:bottom w:w="0" w:type="dxa"/>
              <w:right w:w="108" w:type="dxa"/>
            </w:tcMar>
            <w:vAlign w:val="center"/>
          </w:tcPr>
          <w:p w14:paraId="14F9B548"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Times New Roman" w:hAnsi="Book Antiqua" w:cstheme="minorHAnsi"/>
                <w:sz w:val="24"/>
                <w:szCs w:val="24"/>
                <w:lang w:eastAsia="da-DK"/>
              </w:rPr>
              <w:t>11</w:t>
            </w:r>
          </w:p>
        </w:tc>
        <w:tc>
          <w:tcPr>
            <w:tcW w:w="1481" w:type="dxa"/>
            <w:tcBorders>
              <w:top w:val="single" w:sz="4" w:space="0" w:color="auto"/>
            </w:tcBorders>
            <w:shd w:val="clear" w:color="auto" w:fill="auto"/>
            <w:vAlign w:val="center"/>
          </w:tcPr>
          <w:p w14:paraId="4AAC40CE"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w:t>
            </w:r>
          </w:p>
        </w:tc>
        <w:tc>
          <w:tcPr>
            <w:tcW w:w="1503" w:type="dxa"/>
            <w:tcBorders>
              <w:top w:val="single" w:sz="4" w:space="0" w:color="auto"/>
            </w:tcBorders>
            <w:shd w:val="clear" w:color="auto" w:fill="auto"/>
            <w:vAlign w:val="center"/>
          </w:tcPr>
          <w:p w14:paraId="4D3EFAC6"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w:t>
            </w:r>
          </w:p>
        </w:tc>
      </w:tr>
      <w:tr w:rsidR="0062019A" w:rsidRPr="00A234EE" w14:paraId="725EADD4" w14:textId="77777777" w:rsidTr="0062019A">
        <w:trPr>
          <w:trHeight w:val="227"/>
          <w:jc w:val="center"/>
        </w:trPr>
        <w:tc>
          <w:tcPr>
            <w:tcW w:w="2297" w:type="dxa"/>
            <w:shd w:val="clear" w:color="auto" w:fill="auto"/>
            <w:tcMar>
              <w:top w:w="15" w:type="dxa"/>
              <w:left w:w="108" w:type="dxa"/>
              <w:bottom w:w="0" w:type="dxa"/>
              <w:right w:w="108" w:type="dxa"/>
            </w:tcMar>
            <w:vAlign w:val="center"/>
            <w:hideMark/>
          </w:tcPr>
          <w:p w14:paraId="73A41AA4"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OCA 10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12)</w:t>
            </w:r>
          </w:p>
        </w:tc>
        <w:tc>
          <w:tcPr>
            <w:tcW w:w="1481" w:type="dxa"/>
            <w:shd w:val="clear" w:color="auto" w:fill="auto"/>
            <w:tcMar>
              <w:top w:w="15" w:type="dxa"/>
              <w:left w:w="108" w:type="dxa"/>
              <w:bottom w:w="0" w:type="dxa"/>
              <w:right w:w="108" w:type="dxa"/>
            </w:tcMar>
            <w:vAlign w:val="center"/>
          </w:tcPr>
          <w:p w14:paraId="799F04A7"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Times New Roman" w:hAnsi="Book Antiqua" w:cstheme="minorHAnsi"/>
                <w:sz w:val="24"/>
                <w:szCs w:val="24"/>
                <w:lang w:val="en-US" w:eastAsia="da-DK"/>
              </w:rPr>
              <w:t>10</w:t>
            </w:r>
          </w:p>
        </w:tc>
        <w:tc>
          <w:tcPr>
            <w:tcW w:w="1481" w:type="dxa"/>
            <w:shd w:val="clear" w:color="auto" w:fill="auto"/>
            <w:vAlign w:val="center"/>
          </w:tcPr>
          <w:p w14:paraId="64827D44"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2</w:t>
            </w:r>
          </w:p>
        </w:tc>
        <w:tc>
          <w:tcPr>
            <w:tcW w:w="1490" w:type="dxa"/>
            <w:shd w:val="clear" w:color="auto" w:fill="auto"/>
            <w:vAlign w:val="center"/>
          </w:tcPr>
          <w:p w14:paraId="7D0C8A9E"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17%</w:t>
            </w:r>
          </w:p>
        </w:tc>
        <w:tc>
          <w:tcPr>
            <w:tcW w:w="1481" w:type="dxa"/>
            <w:shd w:val="clear" w:color="auto" w:fill="auto"/>
            <w:tcMar>
              <w:top w:w="15" w:type="dxa"/>
              <w:left w:w="108" w:type="dxa"/>
              <w:bottom w:w="0" w:type="dxa"/>
              <w:right w:w="108" w:type="dxa"/>
            </w:tcMar>
            <w:vAlign w:val="center"/>
          </w:tcPr>
          <w:p w14:paraId="652EC555"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Times New Roman" w:hAnsi="Book Antiqua" w:cstheme="minorHAnsi"/>
                <w:sz w:val="24"/>
                <w:szCs w:val="24"/>
                <w:lang w:val="en-US" w:eastAsia="da-DK"/>
              </w:rPr>
              <w:t>8</w:t>
            </w:r>
          </w:p>
        </w:tc>
        <w:tc>
          <w:tcPr>
            <w:tcW w:w="1481" w:type="dxa"/>
            <w:shd w:val="clear" w:color="auto" w:fill="auto"/>
            <w:vAlign w:val="center"/>
          </w:tcPr>
          <w:p w14:paraId="4E554A56"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4</w:t>
            </w:r>
          </w:p>
        </w:tc>
        <w:tc>
          <w:tcPr>
            <w:tcW w:w="1503" w:type="dxa"/>
            <w:shd w:val="clear" w:color="auto" w:fill="auto"/>
            <w:vAlign w:val="center"/>
          </w:tcPr>
          <w:p w14:paraId="391193C5"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33%</w:t>
            </w:r>
          </w:p>
        </w:tc>
      </w:tr>
      <w:tr w:rsidR="0062019A" w:rsidRPr="00A234EE" w14:paraId="2E2EDE25" w14:textId="77777777" w:rsidTr="0062019A">
        <w:trPr>
          <w:trHeight w:val="227"/>
          <w:jc w:val="center"/>
        </w:trPr>
        <w:tc>
          <w:tcPr>
            <w:tcW w:w="2297" w:type="dxa"/>
            <w:shd w:val="clear" w:color="auto" w:fill="auto"/>
            <w:tcMar>
              <w:top w:w="15" w:type="dxa"/>
              <w:left w:w="108" w:type="dxa"/>
              <w:bottom w:w="0" w:type="dxa"/>
              <w:right w:w="108" w:type="dxa"/>
            </w:tcMar>
            <w:vAlign w:val="center"/>
            <w:hideMark/>
          </w:tcPr>
          <w:p w14:paraId="353F7FDF"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OCA 30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11)</w:t>
            </w:r>
          </w:p>
        </w:tc>
        <w:tc>
          <w:tcPr>
            <w:tcW w:w="1481" w:type="dxa"/>
            <w:shd w:val="clear" w:color="auto" w:fill="auto"/>
            <w:tcMar>
              <w:top w:w="15" w:type="dxa"/>
              <w:left w:w="108" w:type="dxa"/>
              <w:bottom w:w="0" w:type="dxa"/>
              <w:right w:w="108" w:type="dxa"/>
            </w:tcMar>
            <w:vAlign w:val="center"/>
          </w:tcPr>
          <w:p w14:paraId="60197064"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Times New Roman" w:hAnsi="Book Antiqua" w:cstheme="minorHAnsi"/>
                <w:sz w:val="24"/>
                <w:szCs w:val="24"/>
                <w:lang w:val="en-US" w:eastAsia="da-DK"/>
              </w:rPr>
              <w:t>7</w:t>
            </w:r>
          </w:p>
        </w:tc>
        <w:tc>
          <w:tcPr>
            <w:tcW w:w="1481" w:type="dxa"/>
            <w:shd w:val="clear" w:color="auto" w:fill="auto"/>
            <w:vAlign w:val="center"/>
          </w:tcPr>
          <w:p w14:paraId="4AF99920"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4</w:t>
            </w:r>
          </w:p>
        </w:tc>
        <w:tc>
          <w:tcPr>
            <w:tcW w:w="1490" w:type="dxa"/>
            <w:shd w:val="clear" w:color="auto" w:fill="auto"/>
            <w:vAlign w:val="center"/>
          </w:tcPr>
          <w:p w14:paraId="64743092" w14:textId="0D7FA738"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36%</w:t>
            </w:r>
            <w:r w:rsidR="005C118E" w:rsidRPr="00A234EE">
              <w:rPr>
                <w:rFonts w:ascii="Book Antiqua" w:eastAsia="Calibri" w:hAnsi="Book Antiqua" w:cstheme="minorHAnsi"/>
                <w:kern w:val="24"/>
                <w:sz w:val="24"/>
                <w:szCs w:val="24"/>
                <w:vertAlign w:val="superscript"/>
                <w:lang w:val="en-US" w:eastAsia="zh-CN"/>
              </w:rPr>
              <w:t xml:space="preserve"> a</w:t>
            </w:r>
          </w:p>
        </w:tc>
        <w:tc>
          <w:tcPr>
            <w:tcW w:w="1481" w:type="dxa"/>
            <w:shd w:val="clear" w:color="auto" w:fill="auto"/>
            <w:tcMar>
              <w:top w:w="15" w:type="dxa"/>
              <w:left w:w="108" w:type="dxa"/>
              <w:bottom w:w="0" w:type="dxa"/>
              <w:right w:w="108" w:type="dxa"/>
            </w:tcMar>
            <w:vAlign w:val="center"/>
          </w:tcPr>
          <w:p w14:paraId="587849F9"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Times New Roman" w:hAnsi="Book Antiqua" w:cstheme="minorHAnsi"/>
                <w:sz w:val="24"/>
                <w:szCs w:val="24"/>
                <w:lang w:val="en-US" w:eastAsia="da-DK"/>
              </w:rPr>
              <w:t>0</w:t>
            </w:r>
          </w:p>
        </w:tc>
        <w:tc>
          <w:tcPr>
            <w:tcW w:w="1481" w:type="dxa"/>
            <w:shd w:val="clear" w:color="auto" w:fill="auto"/>
            <w:vAlign w:val="center"/>
          </w:tcPr>
          <w:p w14:paraId="19BAB5BE"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11</w:t>
            </w:r>
          </w:p>
        </w:tc>
        <w:tc>
          <w:tcPr>
            <w:tcW w:w="1503" w:type="dxa"/>
            <w:shd w:val="clear" w:color="auto" w:fill="auto"/>
            <w:vAlign w:val="center"/>
          </w:tcPr>
          <w:p w14:paraId="2ADAFD29" w14:textId="02211C47" w:rsidR="0062019A" w:rsidRPr="00A234EE" w:rsidRDefault="0062019A" w:rsidP="00A234EE">
            <w:pPr>
              <w:adjustRightInd w:val="0"/>
              <w:snapToGrid w:val="0"/>
              <w:spacing w:after="0" w:line="360" w:lineRule="auto"/>
              <w:jc w:val="both"/>
              <w:rPr>
                <w:rFonts w:ascii="Book Antiqua" w:hAnsi="Book Antiqua" w:cstheme="minorHAnsi"/>
                <w:kern w:val="24"/>
                <w:sz w:val="24"/>
                <w:szCs w:val="24"/>
                <w:lang w:val="en-US" w:eastAsia="zh-CN"/>
              </w:rPr>
            </w:pPr>
            <w:r w:rsidRPr="00A234EE">
              <w:rPr>
                <w:rFonts w:ascii="Book Antiqua" w:eastAsia="Calibri" w:hAnsi="Book Antiqua" w:cstheme="minorHAnsi"/>
                <w:kern w:val="24"/>
                <w:sz w:val="24"/>
                <w:szCs w:val="24"/>
                <w:lang w:val="en-US" w:eastAsia="da-DK"/>
              </w:rPr>
              <w:t>100%</w:t>
            </w:r>
            <w:r w:rsidRPr="00A234EE">
              <w:rPr>
                <w:rFonts w:ascii="Book Antiqua" w:eastAsia="Calibri" w:hAnsi="Book Antiqua" w:cstheme="minorHAnsi"/>
                <w:kern w:val="24"/>
                <w:sz w:val="24"/>
                <w:szCs w:val="24"/>
                <w:vertAlign w:val="superscript"/>
                <w:lang w:val="en-US" w:eastAsia="zh-CN"/>
              </w:rPr>
              <w:t>a</w:t>
            </w:r>
          </w:p>
        </w:tc>
      </w:tr>
      <w:tr w:rsidR="0062019A" w:rsidRPr="00A234EE" w14:paraId="32FA3B8A" w14:textId="77777777" w:rsidTr="0062019A">
        <w:trPr>
          <w:trHeight w:val="227"/>
          <w:jc w:val="center"/>
        </w:trPr>
        <w:tc>
          <w:tcPr>
            <w:tcW w:w="2297" w:type="dxa"/>
            <w:shd w:val="clear" w:color="auto" w:fill="auto"/>
            <w:tcMar>
              <w:top w:w="15" w:type="dxa"/>
              <w:left w:w="108" w:type="dxa"/>
              <w:bottom w:w="0" w:type="dxa"/>
              <w:right w:w="108" w:type="dxa"/>
            </w:tcMar>
            <w:vAlign w:val="center"/>
            <w:hideMark/>
          </w:tcPr>
          <w:p w14:paraId="570CF985"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kern w:val="24"/>
                <w:sz w:val="24"/>
                <w:szCs w:val="24"/>
                <w:lang w:val="en-US" w:eastAsia="da-DK"/>
              </w:rPr>
              <w:t>INT-767 3.0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12)</w:t>
            </w:r>
          </w:p>
        </w:tc>
        <w:tc>
          <w:tcPr>
            <w:tcW w:w="1481" w:type="dxa"/>
            <w:shd w:val="clear" w:color="auto" w:fill="auto"/>
            <w:tcMar>
              <w:top w:w="15" w:type="dxa"/>
              <w:left w:w="108" w:type="dxa"/>
              <w:bottom w:w="0" w:type="dxa"/>
              <w:right w:w="108" w:type="dxa"/>
            </w:tcMar>
            <w:vAlign w:val="center"/>
          </w:tcPr>
          <w:p w14:paraId="27CD597B"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Times New Roman" w:hAnsi="Book Antiqua" w:cstheme="minorHAnsi"/>
                <w:sz w:val="24"/>
                <w:szCs w:val="24"/>
                <w:lang w:eastAsia="da-DK"/>
              </w:rPr>
              <w:t>12</w:t>
            </w:r>
          </w:p>
        </w:tc>
        <w:tc>
          <w:tcPr>
            <w:tcW w:w="1481" w:type="dxa"/>
            <w:shd w:val="clear" w:color="auto" w:fill="auto"/>
            <w:vAlign w:val="center"/>
          </w:tcPr>
          <w:p w14:paraId="0BEE8852"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w:t>
            </w:r>
          </w:p>
        </w:tc>
        <w:tc>
          <w:tcPr>
            <w:tcW w:w="1490" w:type="dxa"/>
            <w:shd w:val="clear" w:color="auto" w:fill="auto"/>
            <w:vAlign w:val="center"/>
          </w:tcPr>
          <w:p w14:paraId="58F073F3"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w:t>
            </w:r>
          </w:p>
        </w:tc>
        <w:tc>
          <w:tcPr>
            <w:tcW w:w="1481" w:type="dxa"/>
            <w:shd w:val="clear" w:color="auto" w:fill="auto"/>
            <w:tcMar>
              <w:top w:w="15" w:type="dxa"/>
              <w:left w:w="108" w:type="dxa"/>
              <w:bottom w:w="0" w:type="dxa"/>
              <w:right w:w="108" w:type="dxa"/>
            </w:tcMar>
            <w:vAlign w:val="center"/>
          </w:tcPr>
          <w:p w14:paraId="1B9D1A08"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Times New Roman" w:hAnsi="Book Antiqua" w:cstheme="minorHAnsi"/>
                <w:sz w:val="24"/>
                <w:szCs w:val="24"/>
                <w:lang w:eastAsia="da-DK"/>
              </w:rPr>
              <w:t>7</w:t>
            </w:r>
          </w:p>
        </w:tc>
        <w:tc>
          <w:tcPr>
            <w:tcW w:w="1481" w:type="dxa"/>
            <w:shd w:val="clear" w:color="auto" w:fill="auto"/>
            <w:vAlign w:val="center"/>
          </w:tcPr>
          <w:p w14:paraId="74FC55D5"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5</w:t>
            </w:r>
          </w:p>
        </w:tc>
        <w:tc>
          <w:tcPr>
            <w:tcW w:w="1503" w:type="dxa"/>
            <w:shd w:val="clear" w:color="auto" w:fill="auto"/>
            <w:vAlign w:val="center"/>
          </w:tcPr>
          <w:p w14:paraId="0F75BDAC" w14:textId="405F8443" w:rsidR="0062019A" w:rsidRPr="00A234EE" w:rsidRDefault="0062019A" w:rsidP="00A234EE">
            <w:pPr>
              <w:adjustRightInd w:val="0"/>
              <w:snapToGrid w:val="0"/>
              <w:spacing w:after="0" w:line="360" w:lineRule="auto"/>
              <w:jc w:val="both"/>
              <w:rPr>
                <w:rFonts w:ascii="Book Antiqua" w:hAnsi="Book Antiqua" w:cstheme="minorHAnsi"/>
                <w:kern w:val="24"/>
                <w:sz w:val="24"/>
                <w:szCs w:val="24"/>
                <w:lang w:val="en-US" w:eastAsia="zh-CN"/>
              </w:rPr>
            </w:pPr>
            <w:r w:rsidRPr="00A234EE">
              <w:rPr>
                <w:rFonts w:ascii="Book Antiqua" w:eastAsia="Calibri" w:hAnsi="Book Antiqua" w:cstheme="minorHAnsi"/>
                <w:kern w:val="24"/>
                <w:sz w:val="24"/>
                <w:szCs w:val="24"/>
                <w:lang w:val="en-US" w:eastAsia="da-DK"/>
              </w:rPr>
              <w:t>42%</w:t>
            </w:r>
            <w:r w:rsidRPr="00A234EE">
              <w:rPr>
                <w:rFonts w:ascii="Book Antiqua" w:eastAsia="Calibri" w:hAnsi="Book Antiqua" w:cstheme="minorHAnsi"/>
                <w:kern w:val="24"/>
                <w:sz w:val="24"/>
                <w:szCs w:val="24"/>
                <w:vertAlign w:val="superscript"/>
                <w:lang w:val="en-US" w:eastAsia="zh-CN"/>
              </w:rPr>
              <w:t>a</w:t>
            </w:r>
          </w:p>
        </w:tc>
      </w:tr>
      <w:tr w:rsidR="0062019A" w:rsidRPr="00A234EE" w14:paraId="3366BED3" w14:textId="77777777" w:rsidTr="0062019A">
        <w:trPr>
          <w:trHeight w:val="227"/>
          <w:jc w:val="center"/>
        </w:trPr>
        <w:tc>
          <w:tcPr>
            <w:tcW w:w="2297" w:type="dxa"/>
            <w:shd w:val="clear" w:color="auto" w:fill="auto"/>
            <w:tcMar>
              <w:top w:w="15" w:type="dxa"/>
              <w:left w:w="108" w:type="dxa"/>
              <w:bottom w:w="0" w:type="dxa"/>
              <w:right w:w="108" w:type="dxa"/>
            </w:tcMar>
            <w:vAlign w:val="center"/>
            <w:hideMark/>
          </w:tcPr>
          <w:p w14:paraId="44CADE9F"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INT-767 10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11)</w:t>
            </w:r>
          </w:p>
        </w:tc>
        <w:tc>
          <w:tcPr>
            <w:tcW w:w="1481" w:type="dxa"/>
            <w:shd w:val="clear" w:color="auto" w:fill="auto"/>
            <w:tcMar>
              <w:top w:w="15" w:type="dxa"/>
              <w:left w:w="108" w:type="dxa"/>
              <w:bottom w:w="0" w:type="dxa"/>
              <w:right w:w="108" w:type="dxa"/>
            </w:tcMar>
            <w:vAlign w:val="center"/>
          </w:tcPr>
          <w:p w14:paraId="35CB4A29"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Times New Roman" w:hAnsi="Book Antiqua" w:cstheme="minorHAnsi"/>
                <w:sz w:val="24"/>
                <w:szCs w:val="24"/>
                <w:lang w:val="en-US" w:eastAsia="da-DK"/>
              </w:rPr>
              <w:t>2</w:t>
            </w:r>
          </w:p>
        </w:tc>
        <w:tc>
          <w:tcPr>
            <w:tcW w:w="1481" w:type="dxa"/>
            <w:shd w:val="clear" w:color="auto" w:fill="auto"/>
            <w:vAlign w:val="center"/>
          </w:tcPr>
          <w:p w14:paraId="52E8DCE9"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9</w:t>
            </w:r>
          </w:p>
        </w:tc>
        <w:tc>
          <w:tcPr>
            <w:tcW w:w="1490" w:type="dxa"/>
            <w:shd w:val="clear" w:color="auto" w:fill="auto"/>
            <w:vAlign w:val="center"/>
          </w:tcPr>
          <w:p w14:paraId="4A6FC490" w14:textId="04F980D9"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82%</w:t>
            </w:r>
            <w:r w:rsidR="009D4DB4" w:rsidRPr="00A234EE">
              <w:rPr>
                <w:rFonts w:ascii="Book Antiqua" w:eastAsia="Calibri" w:hAnsi="Book Antiqua" w:cstheme="minorHAnsi"/>
                <w:kern w:val="24"/>
                <w:sz w:val="24"/>
                <w:szCs w:val="24"/>
                <w:vertAlign w:val="superscript"/>
                <w:lang w:val="en-US" w:eastAsia="zh-CN"/>
              </w:rPr>
              <w:t xml:space="preserve"> a</w:t>
            </w:r>
          </w:p>
        </w:tc>
        <w:tc>
          <w:tcPr>
            <w:tcW w:w="1481" w:type="dxa"/>
            <w:shd w:val="clear" w:color="auto" w:fill="auto"/>
            <w:tcMar>
              <w:top w:w="15" w:type="dxa"/>
              <w:left w:w="108" w:type="dxa"/>
              <w:bottom w:w="0" w:type="dxa"/>
              <w:right w:w="108" w:type="dxa"/>
            </w:tcMar>
            <w:vAlign w:val="center"/>
          </w:tcPr>
          <w:p w14:paraId="3CD4B40F"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Times New Roman" w:hAnsi="Book Antiqua" w:cstheme="minorHAnsi"/>
                <w:sz w:val="24"/>
                <w:szCs w:val="24"/>
                <w:lang w:val="en-US" w:eastAsia="da-DK"/>
              </w:rPr>
              <w:t>0</w:t>
            </w:r>
          </w:p>
        </w:tc>
        <w:tc>
          <w:tcPr>
            <w:tcW w:w="1481" w:type="dxa"/>
            <w:shd w:val="clear" w:color="auto" w:fill="auto"/>
            <w:vAlign w:val="center"/>
          </w:tcPr>
          <w:p w14:paraId="470C84EE"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11</w:t>
            </w:r>
          </w:p>
        </w:tc>
        <w:tc>
          <w:tcPr>
            <w:tcW w:w="1503" w:type="dxa"/>
            <w:shd w:val="clear" w:color="auto" w:fill="auto"/>
            <w:vAlign w:val="center"/>
          </w:tcPr>
          <w:p w14:paraId="4654845D" w14:textId="27080E17" w:rsidR="0062019A" w:rsidRPr="00A234EE" w:rsidRDefault="0062019A" w:rsidP="00A234EE">
            <w:pPr>
              <w:adjustRightInd w:val="0"/>
              <w:snapToGrid w:val="0"/>
              <w:spacing w:after="0" w:line="360" w:lineRule="auto"/>
              <w:jc w:val="both"/>
              <w:rPr>
                <w:rFonts w:ascii="Book Antiqua" w:hAnsi="Book Antiqua" w:cstheme="minorHAnsi"/>
                <w:kern w:val="24"/>
                <w:sz w:val="24"/>
                <w:szCs w:val="24"/>
                <w:lang w:val="en-US" w:eastAsia="zh-CN"/>
              </w:rPr>
            </w:pPr>
            <w:r w:rsidRPr="00A234EE">
              <w:rPr>
                <w:rFonts w:ascii="Book Antiqua" w:eastAsia="Calibri" w:hAnsi="Book Antiqua" w:cstheme="minorHAnsi"/>
                <w:kern w:val="24"/>
                <w:sz w:val="24"/>
                <w:szCs w:val="24"/>
                <w:lang w:val="en-US" w:eastAsia="da-DK"/>
              </w:rPr>
              <w:t>100%</w:t>
            </w:r>
            <w:r w:rsidRPr="00A234EE">
              <w:rPr>
                <w:rFonts w:ascii="Book Antiqua" w:eastAsia="Calibri" w:hAnsi="Book Antiqua" w:cstheme="minorHAnsi"/>
                <w:kern w:val="24"/>
                <w:sz w:val="24"/>
                <w:szCs w:val="24"/>
                <w:vertAlign w:val="superscript"/>
                <w:lang w:val="en-US" w:eastAsia="zh-CN"/>
              </w:rPr>
              <w:t>a</w:t>
            </w:r>
          </w:p>
        </w:tc>
      </w:tr>
    </w:tbl>
    <w:p w14:paraId="2D2AB2C3" w14:textId="4A380011" w:rsidR="00500B5A" w:rsidRPr="00A234EE" w:rsidRDefault="0062019A" w:rsidP="00A234EE">
      <w:pPr>
        <w:adjustRightInd w:val="0"/>
        <w:snapToGrid w:val="0"/>
        <w:spacing w:after="0" w:line="360" w:lineRule="auto"/>
        <w:jc w:val="both"/>
        <w:rPr>
          <w:rFonts w:ascii="Book Antiqua" w:hAnsi="Book Antiqua"/>
          <w:b/>
          <w:bCs/>
          <w:sz w:val="24"/>
          <w:szCs w:val="24"/>
          <w:lang w:val="en-US"/>
        </w:rPr>
      </w:pPr>
      <w:r w:rsidRPr="00A234EE">
        <w:rPr>
          <w:rFonts w:ascii="Book Antiqua" w:hAnsi="Book Antiqua"/>
          <w:sz w:val="24"/>
          <w:szCs w:val="24"/>
          <w:lang w:val="en-US"/>
        </w:rPr>
        <w:t>Subjects (%) achieving &gt;</w:t>
      </w:r>
      <w:r w:rsidRPr="00A234EE">
        <w:rPr>
          <w:rFonts w:ascii="Book Antiqua" w:hAnsi="Book Antiqua"/>
          <w:sz w:val="24"/>
          <w:szCs w:val="24"/>
          <w:lang w:val="en-US" w:eastAsia="zh-CN"/>
        </w:rPr>
        <w:t xml:space="preserve"> </w:t>
      </w:r>
      <w:r w:rsidRPr="00A234EE">
        <w:rPr>
          <w:rFonts w:ascii="Book Antiqua" w:hAnsi="Book Antiqua"/>
          <w:sz w:val="24"/>
          <w:szCs w:val="24"/>
          <w:lang w:val="en-US"/>
        </w:rPr>
        <w:t xml:space="preserve">1 points improvement in score from baseline; </w:t>
      </w:r>
      <w:r w:rsidRPr="00A234EE">
        <w:rPr>
          <w:rFonts w:ascii="Book Antiqua" w:hAnsi="Book Antiqua"/>
          <w:sz w:val="24"/>
          <w:szCs w:val="24"/>
          <w:vertAlign w:val="superscript"/>
          <w:lang w:val="en-US" w:eastAsia="zh-CN"/>
        </w:rPr>
        <w:t>a</w:t>
      </w:r>
      <w:r w:rsidRPr="00A234EE">
        <w:rPr>
          <w:rFonts w:ascii="Book Antiqua" w:hAnsi="Book Antiqua"/>
          <w:i/>
          <w:sz w:val="24"/>
          <w:szCs w:val="24"/>
          <w:lang w:val="en-US"/>
        </w:rPr>
        <w:t>P &lt;</w:t>
      </w:r>
      <w:r w:rsidRPr="00A234EE">
        <w:rPr>
          <w:rFonts w:ascii="Book Antiqua" w:hAnsi="Book Antiqua"/>
          <w:i/>
          <w:sz w:val="24"/>
          <w:szCs w:val="24"/>
          <w:lang w:val="en-US" w:eastAsia="zh-CN"/>
        </w:rPr>
        <w:t xml:space="preserve"> </w:t>
      </w:r>
      <w:r w:rsidRPr="00A234EE">
        <w:rPr>
          <w:rFonts w:ascii="Book Antiqua" w:hAnsi="Book Antiqua"/>
          <w:sz w:val="24"/>
          <w:szCs w:val="24"/>
          <w:lang w:val="en-US"/>
        </w:rPr>
        <w:t xml:space="preserve">0.05 </w:t>
      </w:r>
      <w:r w:rsidRPr="00A234EE">
        <w:rPr>
          <w:rFonts w:ascii="Book Antiqua" w:hAnsi="Book Antiqua"/>
          <w:i/>
          <w:sz w:val="24"/>
          <w:szCs w:val="24"/>
          <w:lang w:val="en-US"/>
        </w:rPr>
        <w:t>vs</w:t>
      </w:r>
      <w:r w:rsidRPr="00A234EE">
        <w:rPr>
          <w:rFonts w:ascii="Book Antiqua" w:hAnsi="Book Antiqua"/>
          <w:sz w:val="24"/>
          <w:szCs w:val="24"/>
          <w:lang w:val="en-US"/>
        </w:rPr>
        <w:t xml:space="preserve"> vehicle (</w:t>
      </w:r>
      <w:r w:rsidRPr="00A234EE">
        <w:rPr>
          <w:rFonts w:ascii="Book Antiqua" w:hAnsi="Book Antiqua"/>
          <w:i/>
          <w:sz w:val="24"/>
          <w:szCs w:val="24"/>
          <w:lang w:val="en-US"/>
        </w:rPr>
        <w:t>χ</w:t>
      </w:r>
      <w:r w:rsidRPr="00A234EE">
        <w:rPr>
          <w:rFonts w:ascii="Book Antiqua" w:hAnsi="Book Antiqua"/>
          <w:sz w:val="24"/>
          <w:szCs w:val="24"/>
          <w:vertAlign w:val="superscript"/>
          <w:lang w:val="en-US"/>
        </w:rPr>
        <w:t>2</w:t>
      </w:r>
      <w:r w:rsidRPr="00A234EE">
        <w:rPr>
          <w:rFonts w:ascii="Book Antiqua" w:hAnsi="Book Antiqua"/>
          <w:sz w:val="24"/>
          <w:szCs w:val="24"/>
          <w:lang w:val="en-US"/>
        </w:rPr>
        <w:t xml:space="preserve"> test).</w:t>
      </w:r>
    </w:p>
    <w:p w14:paraId="7F99C0F2"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488BF0C9"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5E19B6A0"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1B7FF6D6"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172D3A00"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3D16C5B3"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2DAB4A9B"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1F59E956"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57595797"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19822369"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309527AC"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651FB19F"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57CCA776" w14:textId="725DE5FA" w:rsidR="0062019A" w:rsidRPr="00A234EE" w:rsidRDefault="0062019A" w:rsidP="00A234EE">
      <w:pPr>
        <w:adjustRightInd w:val="0"/>
        <w:snapToGrid w:val="0"/>
        <w:spacing w:after="0" w:line="360" w:lineRule="auto"/>
        <w:jc w:val="both"/>
        <w:rPr>
          <w:rFonts w:ascii="Book Antiqua" w:hAnsi="Book Antiqua"/>
          <w:sz w:val="24"/>
          <w:szCs w:val="24"/>
          <w:lang w:val="en-US"/>
        </w:rPr>
      </w:pPr>
      <w:r w:rsidRPr="00A234EE">
        <w:rPr>
          <w:rFonts w:ascii="Book Antiqua" w:hAnsi="Book Antiqua"/>
          <w:b/>
          <w:sz w:val="24"/>
          <w:szCs w:val="24"/>
          <w:lang w:val="en-US"/>
        </w:rPr>
        <w:lastRenderedPageBreak/>
        <w:t>Table 3</w:t>
      </w:r>
      <w:r w:rsidRPr="00A234EE">
        <w:rPr>
          <w:rFonts w:ascii="Book Antiqua" w:hAnsi="Book Antiqua"/>
          <w:b/>
          <w:sz w:val="24"/>
          <w:szCs w:val="24"/>
          <w:lang w:val="en-US" w:eastAsia="zh-CN"/>
        </w:rPr>
        <w:t xml:space="preserve"> </w:t>
      </w:r>
      <w:r w:rsidRPr="00A234EE">
        <w:rPr>
          <w:rFonts w:ascii="Book Antiqua" w:hAnsi="Book Antiqua"/>
          <w:b/>
          <w:sz w:val="24"/>
          <w:szCs w:val="24"/>
          <w:lang w:val="en-US"/>
        </w:rPr>
        <w:t xml:space="preserve">INT-767 and obeticholic acid improve quantitative liver histopathology in </w:t>
      </w:r>
      <w:r w:rsidRPr="00A234EE">
        <w:rPr>
          <w:rFonts w:ascii="Book Antiqua" w:hAnsi="Book Antiqua"/>
          <w:b/>
          <w:i/>
          <w:sz w:val="24"/>
          <w:szCs w:val="24"/>
          <w:lang w:val="en-US"/>
        </w:rPr>
        <w:t>ob/ob</w:t>
      </w:r>
      <w:r w:rsidRPr="00A234EE">
        <w:rPr>
          <w:rFonts w:ascii="Book Antiqua" w:hAnsi="Book Antiqua"/>
          <w:b/>
          <w:sz w:val="24"/>
          <w:szCs w:val="24"/>
          <w:lang w:val="en-US"/>
        </w:rPr>
        <w:t>-non-alcoholic steatohepatitis mice</w:t>
      </w:r>
      <w:r w:rsidRPr="00A234EE">
        <w:rPr>
          <w:rFonts w:ascii="Book Antiqua" w:hAnsi="Book Antiqua"/>
          <w:sz w:val="24"/>
          <w:szCs w:val="24"/>
          <w:lang w:val="en-US" w:eastAsia="zh-CN"/>
        </w:rPr>
        <w:t xml:space="preserve"> </w:t>
      </w:r>
    </w:p>
    <w:tbl>
      <w:tblPr>
        <w:tblW w:w="10789"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639"/>
        <w:gridCol w:w="1346"/>
        <w:gridCol w:w="1387"/>
        <w:gridCol w:w="1288"/>
        <w:gridCol w:w="1380"/>
        <w:gridCol w:w="1332"/>
        <w:gridCol w:w="1417"/>
      </w:tblGrid>
      <w:tr w:rsidR="0062019A" w:rsidRPr="00A234EE" w14:paraId="62CF08C3" w14:textId="77777777" w:rsidTr="0062019A">
        <w:trPr>
          <w:trHeight w:val="480"/>
          <w:jc w:val="center"/>
        </w:trPr>
        <w:tc>
          <w:tcPr>
            <w:tcW w:w="2639" w:type="dxa"/>
            <w:vMerge w:val="restart"/>
            <w:tcBorders>
              <w:top w:val="single" w:sz="4" w:space="0" w:color="auto"/>
              <w:bottom w:val="nil"/>
            </w:tcBorders>
            <w:shd w:val="clear" w:color="auto" w:fill="auto"/>
            <w:tcMar>
              <w:top w:w="15" w:type="dxa"/>
              <w:left w:w="108" w:type="dxa"/>
              <w:bottom w:w="0" w:type="dxa"/>
              <w:right w:w="108" w:type="dxa"/>
            </w:tcMar>
            <w:vAlign w:val="center"/>
            <w:hideMark/>
          </w:tcPr>
          <w:p w14:paraId="658B84FC"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b/>
                <w:bCs/>
                <w:kern w:val="24"/>
                <w:sz w:val="24"/>
                <w:szCs w:val="24"/>
                <w:lang w:val="en-US" w:eastAsia="da-DK"/>
              </w:rPr>
              <w:t>Treatment</w:t>
            </w:r>
          </w:p>
        </w:tc>
        <w:tc>
          <w:tcPr>
            <w:tcW w:w="2733" w:type="dxa"/>
            <w:gridSpan w:val="2"/>
            <w:tcBorders>
              <w:top w:val="single" w:sz="4" w:space="0" w:color="auto"/>
              <w:bottom w:val="nil"/>
            </w:tcBorders>
            <w:shd w:val="clear" w:color="auto" w:fill="auto"/>
            <w:tcMar>
              <w:top w:w="15" w:type="dxa"/>
              <w:left w:w="108" w:type="dxa"/>
              <w:bottom w:w="0" w:type="dxa"/>
              <w:right w:w="108" w:type="dxa"/>
            </w:tcMar>
            <w:hideMark/>
          </w:tcPr>
          <w:p w14:paraId="3479A59E" w14:textId="77777777" w:rsidR="0062019A" w:rsidRPr="00A234EE" w:rsidRDefault="0062019A" w:rsidP="00A234EE">
            <w:pPr>
              <w:adjustRightInd w:val="0"/>
              <w:snapToGrid w:val="0"/>
              <w:spacing w:after="0" w:line="360" w:lineRule="auto"/>
              <w:jc w:val="both"/>
              <w:rPr>
                <w:rFonts w:ascii="Book Antiqua" w:eastAsia="Calibri" w:hAnsi="Book Antiqua" w:cstheme="minorHAnsi"/>
                <w:b/>
                <w:bCs/>
                <w:kern w:val="24"/>
                <w:sz w:val="24"/>
                <w:szCs w:val="24"/>
                <w:lang w:val="en-US" w:eastAsia="da-DK"/>
              </w:rPr>
            </w:pPr>
            <w:r w:rsidRPr="00A234EE">
              <w:rPr>
                <w:rFonts w:ascii="Book Antiqua" w:eastAsia="Calibri" w:hAnsi="Book Antiqua" w:cstheme="minorHAnsi"/>
                <w:b/>
                <w:bCs/>
                <w:kern w:val="24"/>
                <w:sz w:val="24"/>
                <w:szCs w:val="24"/>
                <w:lang w:val="en-US" w:eastAsia="da-DK"/>
              </w:rPr>
              <w:t>Lipid</w:t>
            </w:r>
          </w:p>
          <w:p w14:paraId="39D371B8" w14:textId="77777777" w:rsidR="0062019A" w:rsidRPr="00A234EE" w:rsidRDefault="0062019A" w:rsidP="00A234EE">
            <w:pPr>
              <w:adjustRightInd w:val="0"/>
              <w:snapToGrid w:val="0"/>
              <w:spacing w:after="0" w:line="360" w:lineRule="auto"/>
              <w:jc w:val="both"/>
              <w:rPr>
                <w:rFonts w:ascii="Book Antiqua" w:eastAsia="Calibri" w:hAnsi="Book Antiqua" w:cstheme="minorHAnsi"/>
                <w:b/>
                <w:bCs/>
                <w:kern w:val="24"/>
                <w:sz w:val="24"/>
                <w:szCs w:val="24"/>
                <w:lang w:val="en-US" w:eastAsia="da-DK"/>
              </w:rPr>
            </w:pPr>
            <w:r w:rsidRPr="00A234EE">
              <w:rPr>
                <w:rFonts w:ascii="Book Antiqua" w:eastAsia="Calibri" w:hAnsi="Book Antiqua" w:cstheme="minorHAnsi"/>
                <w:b/>
                <w:bCs/>
                <w:kern w:val="24"/>
                <w:sz w:val="24"/>
                <w:szCs w:val="24"/>
                <w:lang w:val="en-US" w:eastAsia="da-DK"/>
              </w:rPr>
              <w:t>(steatosis)</w:t>
            </w:r>
          </w:p>
        </w:tc>
        <w:tc>
          <w:tcPr>
            <w:tcW w:w="2668" w:type="dxa"/>
            <w:gridSpan w:val="2"/>
            <w:tcBorders>
              <w:top w:val="single" w:sz="4" w:space="0" w:color="auto"/>
              <w:bottom w:val="nil"/>
            </w:tcBorders>
            <w:shd w:val="clear" w:color="auto" w:fill="auto"/>
            <w:tcMar>
              <w:top w:w="15" w:type="dxa"/>
              <w:left w:w="108" w:type="dxa"/>
              <w:bottom w:w="0" w:type="dxa"/>
              <w:right w:w="108" w:type="dxa"/>
            </w:tcMar>
            <w:hideMark/>
          </w:tcPr>
          <w:p w14:paraId="7FBE7914"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b/>
                <w:bCs/>
                <w:kern w:val="24"/>
                <w:sz w:val="24"/>
                <w:szCs w:val="24"/>
                <w:lang w:val="en-US" w:eastAsia="da-DK"/>
              </w:rPr>
              <w:t>Galectin-3</w:t>
            </w:r>
          </w:p>
          <w:p w14:paraId="49380148" w14:textId="77777777" w:rsidR="0062019A" w:rsidRPr="00A234EE" w:rsidRDefault="0062019A" w:rsidP="00A234EE">
            <w:pPr>
              <w:adjustRightInd w:val="0"/>
              <w:snapToGrid w:val="0"/>
              <w:spacing w:after="0" w:line="360" w:lineRule="auto"/>
              <w:jc w:val="both"/>
              <w:rPr>
                <w:rFonts w:ascii="Book Antiqua" w:eastAsia="Calibri" w:hAnsi="Book Antiqua" w:cstheme="minorHAnsi"/>
                <w:b/>
                <w:bCs/>
                <w:kern w:val="24"/>
                <w:sz w:val="24"/>
                <w:szCs w:val="24"/>
                <w:lang w:val="en-US" w:eastAsia="da-DK"/>
              </w:rPr>
            </w:pPr>
            <w:r w:rsidRPr="00A234EE">
              <w:rPr>
                <w:rFonts w:ascii="Book Antiqua" w:eastAsia="Calibri" w:hAnsi="Book Antiqua" w:cstheme="minorHAnsi"/>
                <w:b/>
                <w:bCs/>
                <w:kern w:val="24"/>
                <w:sz w:val="24"/>
                <w:szCs w:val="24"/>
                <w:lang w:val="en-US" w:eastAsia="da-DK"/>
              </w:rPr>
              <w:t>(inflammation)</w:t>
            </w:r>
          </w:p>
          <w:p w14:paraId="0495FB28" w14:textId="77777777" w:rsidR="0062019A" w:rsidRPr="00A234EE" w:rsidRDefault="0062019A" w:rsidP="00A234EE">
            <w:pPr>
              <w:adjustRightInd w:val="0"/>
              <w:snapToGrid w:val="0"/>
              <w:spacing w:after="0" w:line="360" w:lineRule="auto"/>
              <w:jc w:val="both"/>
              <w:rPr>
                <w:rFonts w:ascii="Book Antiqua" w:eastAsia="Calibri" w:hAnsi="Book Antiqua" w:cstheme="minorHAnsi"/>
                <w:b/>
                <w:bCs/>
                <w:kern w:val="24"/>
                <w:sz w:val="24"/>
                <w:szCs w:val="24"/>
                <w:lang w:val="en-US" w:eastAsia="da-DK"/>
              </w:rPr>
            </w:pPr>
          </w:p>
        </w:tc>
        <w:tc>
          <w:tcPr>
            <w:tcW w:w="2749" w:type="dxa"/>
            <w:gridSpan w:val="2"/>
            <w:tcBorders>
              <w:top w:val="single" w:sz="4" w:space="0" w:color="auto"/>
              <w:bottom w:val="nil"/>
            </w:tcBorders>
            <w:shd w:val="clear" w:color="auto" w:fill="auto"/>
          </w:tcPr>
          <w:p w14:paraId="08D0D266"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b/>
                <w:bCs/>
                <w:kern w:val="24"/>
                <w:sz w:val="24"/>
                <w:szCs w:val="24"/>
                <w:lang w:val="en-US" w:eastAsia="da-DK"/>
              </w:rPr>
              <w:t>Collagen 1a1</w:t>
            </w:r>
          </w:p>
          <w:p w14:paraId="4E24549E"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b/>
                <w:bCs/>
                <w:kern w:val="24"/>
                <w:sz w:val="24"/>
                <w:szCs w:val="24"/>
                <w:lang w:val="en-US" w:eastAsia="da-DK"/>
              </w:rPr>
              <w:t>(fibrosis)</w:t>
            </w:r>
            <w:r w:rsidRPr="00A234EE">
              <w:rPr>
                <w:rFonts w:ascii="Book Antiqua" w:eastAsia="Calibri" w:hAnsi="Book Antiqua" w:cstheme="minorHAnsi"/>
                <w:b/>
                <w:bCs/>
                <w:kern w:val="24"/>
                <w:position w:val="6"/>
                <w:sz w:val="24"/>
                <w:szCs w:val="24"/>
                <w:vertAlign w:val="superscript"/>
                <w:lang w:val="en-US" w:eastAsia="da-DK"/>
              </w:rPr>
              <w:t xml:space="preserve"> </w:t>
            </w:r>
          </w:p>
        </w:tc>
      </w:tr>
      <w:tr w:rsidR="0062019A" w:rsidRPr="00A234EE" w14:paraId="3770C51A" w14:textId="77777777" w:rsidTr="0062019A">
        <w:trPr>
          <w:trHeight w:val="239"/>
          <w:jc w:val="center"/>
        </w:trPr>
        <w:tc>
          <w:tcPr>
            <w:tcW w:w="2639" w:type="dxa"/>
            <w:vMerge/>
            <w:tcBorders>
              <w:top w:val="nil"/>
              <w:bottom w:val="nil"/>
            </w:tcBorders>
            <w:shd w:val="clear" w:color="auto" w:fill="auto"/>
            <w:vAlign w:val="center"/>
            <w:hideMark/>
          </w:tcPr>
          <w:p w14:paraId="3B90191A"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p>
        </w:tc>
        <w:tc>
          <w:tcPr>
            <w:tcW w:w="8150" w:type="dxa"/>
            <w:gridSpan w:val="6"/>
            <w:tcBorders>
              <w:top w:val="nil"/>
              <w:bottom w:val="single" w:sz="4" w:space="0" w:color="auto"/>
            </w:tcBorders>
            <w:shd w:val="clear" w:color="auto" w:fill="auto"/>
          </w:tcPr>
          <w:p w14:paraId="221FC261" w14:textId="5D7F28F9" w:rsidR="0062019A" w:rsidRPr="00A234EE" w:rsidRDefault="0062019A" w:rsidP="00A234EE">
            <w:pPr>
              <w:adjustRightInd w:val="0"/>
              <w:snapToGrid w:val="0"/>
              <w:spacing w:after="0" w:line="360" w:lineRule="auto"/>
              <w:jc w:val="both"/>
              <w:rPr>
                <w:rFonts w:ascii="Book Antiqua" w:eastAsia="Times New Roman" w:hAnsi="Book Antiqua" w:cstheme="minorHAnsi"/>
                <w:b/>
                <w:sz w:val="24"/>
                <w:szCs w:val="24"/>
                <w:lang w:eastAsia="da-DK"/>
              </w:rPr>
            </w:pPr>
            <w:r w:rsidRPr="00A234EE">
              <w:rPr>
                <w:rFonts w:ascii="Book Antiqua" w:eastAsia="Calibri" w:hAnsi="Book Antiqua" w:cstheme="minorHAnsi"/>
                <w:b/>
                <w:kern w:val="24"/>
                <w:sz w:val="24"/>
                <w:szCs w:val="24"/>
                <w:lang w:val="en-US" w:eastAsia="da-DK"/>
              </w:rPr>
              <w:t>% fractional area</w:t>
            </w:r>
          </w:p>
        </w:tc>
      </w:tr>
      <w:tr w:rsidR="0062019A" w:rsidRPr="00A234EE" w14:paraId="08B14384" w14:textId="77777777" w:rsidTr="0062019A">
        <w:trPr>
          <w:trHeight w:val="239"/>
          <w:jc w:val="center"/>
        </w:trPr>
        <w:tc>
          <w:tcPr>
            <w:tcW w:w="2639" w:type="dxa"/>
            <w:vMerge/>
            <w:tcBorders>
              <w:top w:val="nil"/>
              <w:bottom w:val="single" w:sz="4" w:space="0" w:color="auto"/>
            </w:tcBorders>
            <w:shd w:val="clear" w:color="auto" w:fill="auto"/>
            <w:tcMar>
              <w:top w:w="15" w:type="dxa"/>
              <w:left w:w="108" w:type="dxa"/>
              <w:bottom w:w="0" w:type="dxa"/>
              <w:right w:w="108" w:type="dxa"/>
            </w:tcMar>
            <w:vAlign w:val="center"/>
          </w:tcPr>
          <w:p w14:paraId="7C464352"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p>
        </w:tc>
        <w:tc>
          <w:tcPr>
            <w:tcW w:w="1346" w:type="dxa"/>
            <w:tcBorders>
              <w:top w:val="single" w:sz="4" w:space="0" w:color="auto"/>
              <w:bottom w:val="single" w:sz="4" w:space="0" w:color="auto"/>
            </w:tcBorders>
            <w:shd w:val="clear" w:color="auto" w:fill="auto"/>
            <w:tcMar>
              <w:top w:w="15" w:type="dxa"/>
              <w:left w:w="108" w:type="dxa"/>
              <w:bottom w:w="0" w:type="dxa"/>
              <w:right w:w="108" w:type="dxa"/>
            </w:tcMar>
            <w:vAlign w:val="center"/>
          </w:tcPr>
          <w:p w14:paraId="2E918891"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Times New Roman" w:hAnsi="Book Antiqua" w:cstheme="minorHAnsi"/>
                <w:sz w:val="24"/>
                <w:szCs w:val="24"/>
                <w:lang w:eastAsia="da-DK"/>
              </w:rPr>
              <w:t>Before treatment</w:t>
            </w:r>
          </w:p>
        </w:tc>
        <w:tc>
          <w:tcPr>
            <w:tcW w:w="1387" w:type="dxa"/>
            <w:tcBorders>
              <w:top w:val="single" w:sz="4" w:space="0" w:color="auto"/>
              <w:bottom w:val="single" w:sz="4" w:space="0" w:color="auto"/>
            </w:tcBorders>
            <w:shd w:val="clear" w:color="auto" w:fill="auto"/>
          </w:tcPr>
          <w:p w14:paraId="2030EC2F"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After</w:t>
            </w:r>
          </w:p>
          <w:p w14:paraId="0FE181D2"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treatment</w:t>
            </w:r>
          </w:p>
        </w:tc>
        <w:tc>
          <w:tcPr>
            <w:tcW w:w="1288" w:type="dxa"/>
            <w:tcBorders>
              <w:top w:val="single" w:sz="4" w:space="0" w:color="auto"/>
              <w:bottom w:val="single" w:sz="4" w:space="0" w:color="auto"/>
            </w:tcBorders>
            <w:shd w:val="clear" w:color="auto" w:fill="auto"/>
            <w:tcMar>
              <w:top w:w="15" w:type="dxa"/>
              <w:left w:w="108" w:type="dxa"/>
              <w:bottom w:w="0" w:type="dxa"/>
              <w:right w:w="108" w:type="dxa"/>
            </w:tcMar>
            <w:vAlign w:val="center"/>
          </w:tcPr>
          <w:p w14:paraId="593E1859"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Times New Roman" w:hAnsi="Book Antiqua" w:cstheme="minorHAnsi"/>
                <w:sz w:val="24"/>
                <w:szCs w:val="24"/>
                <w:lang w:eastAsia="da-DK"/>
              </w:rPr>
              <w:t>Before treatment</w:t>
            </w:r>
          </w:p>
        </w:tc>
        <w:tc>
          <w:tcPr>
            <w:tcW w:w="1380" w:type="dxa"/>
            <w:tcBorders>
              <w:top w:val="single" w:sz="4" w:space="0" w:color="auto"/>
              <w:bottom w:val="single" w:sz="4" w:space="0" w:color="auto"/>
            </w:tcBorders>
            <w:shd w:val="clear" w:color="auto" w:fill="auto"/>
          </w:tcPr>
          <w:p w14:paraId="3E38FDFA"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After</w:t>
            </w:r>
          </w:p>
          <w:p w14:paraId="2B742C06"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treatment</w:t>
            </w:r>
          </w:p>
        </w:tc>
        <w:tc>
          <w:tcPr>
            <w:tcW w:w="1332" w:type="dxa"/>
            <w:tcBorders>
              <w:top w:val="single" w:sz="4" w:space="0" w:color="auto"/>
              <w:bottom w:val="single" w:sz="4" w:space="0" w:color="auto"/>
            </w:tcBorders>
            <w:shd w:val="clear" w:color="auto" w:fill="auto"/>
            <w:vAlign w:val="center"/>
          </w:tcPr>
          <w:p w14:paraId="22C9B19B"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Times New Roman" w:hAnsi="Book Antiqua" w:cstheme="minorHAnsi"/>
                <w:sz w:val="24"/>
                <w:szCs w:val="24"/>
                <w:lang w:eastAsia="da-DK"/>
              </w:rPr>
              <w:t>Before treatment</w:t>
            </w:r>
          </w:p>
        </w:tc>
        <w:tc>
          <w:tcPr>
            <w:tcW w:w="1417" w:type="dxa"/>
            <w:tcBorders>
              <w:top w:val="single" w:sz="4" w:space="0" w:color="auto"/>
              <w:bottom w:val="single" w:sz="4" w:space="0" w:color="auto"/>
            </w:tcBorders>
            <w:shd w:val="clear" w:color="auto" w:fill="auto"/>
            <w:tcMar>
              <w:top w:w="15" w:type="dxa"/>
              <w:left w:w="108" w:type="dxa"/>
              <w:bottom w:w="0" w:type="dxa"/>
              <w:right w:w="108" w:type="dxa"/>
            </w:tcMar>
          </w:tcPr>
          <w:p w14:paraId="2EAF4F77"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After</w:t>
            </w:r>
          </w:p>
          <w:p w14:paraId="16885F00"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treatment</w:t>
            </w:r>
          </w:p>
        </w:tc>
      </w:tr>
      <w:tr w:rsidR="0062019A" w:rsidRPr="00A234EE" w14:paraId="310327F9" w14:textId="77777777" w:rsidTr="0062019A">
        <w:trPr>
          <w:trHeight w:val="239"/>
          <w:jc w:val="center"/>
        </w:trPr>
        <w:tc>
          <w:tcPr>
            <w:tcW w:w="2639" w:type="dxa"/>
            <w:tcBorders>
              <w:top w:val="single" w:sz="4" w:space="0" w:color="auto"/>
            </w:tcBorders>
            <w:shd w:val="clear" w:color="auto" w:fill="auto"/>
            <w:tcMar>
              <w:top w:w="15" w:type="dxa"/>
              <w:left w:w="108" w:type="dxa"/>
              <w:bottom w:w="0" w:type="dxa"/>
              <w:right w:w="108" w:type="dxa"/>
            </w:tcMar>
            <w:vAlign w:val="center"/>
            <w:hideMark/>
          </w:tcPr>
          <w:p w14:paraId="1377E17E"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kern w:val="24"/>
                <w:sz w:val="24"/>
                <w:szCs w:val="24"/>
                <w:lang w:val="en-US" w:eastAsia="da-DK"/>
              </w:rPr>
              <w:t>Vehicle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11)</w:t>
            </w:r>
          </w:p>
        </w:tc>
        <w:tc>
          <w:tcPr>
            <w:tcW w:w="1346" w:type="dxa"/>
            <w:tcBorders>
              <w:top w:val="single" w:sz="4" w:space="0" w:color="auto"/>
            </w:tcBorders>
            <w:shd w:val="clear" w:color="auto" w:fill="auto"/>
            <w:tcMar>
              <w:top w:w="15" w:type="dxa"/>
              <w:left w:w="108" w:type="dxa"/>
              <w:bottom w:w="0" w:type="dxa"/>
              <w:right w:w="108" w:type="dxa"/>
            </w:tcMar>
          </w:tcPr>
          <w:p w14:paraId="79125DA3"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33.0 ± 0.9</w:t>
            </w:r>
          </w:p>
        </w:tc>
        <w:tc>
          <w:tcPr>
            <w:tcW w:w="1387" w:type="dxa"/>
            <w:tcBorders>
              <w:top w:val="single" w:sz="4" w:space="0" w:color="auto"/>
            </w:tcBorders>
            <w:shd w:val="clear" w:color="auto" w:fill="auto"/>
          </w:tcPr>
          <w:p w14:paraId="509F1F43"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30.4 ± 0.9</w:t>
            </w:r>
          </w:p>
        </w:tc>
        <w:tc>
          <w:tcPr>
            <w:tcW w:w="1288" w:type="dxa"/>
            <w:tcBorders>
              <w:top w:val="single" w:sz="4" w:space="0" w:color="auto"/>
            </w:tcBorders>
            <w:shd w:val="clear" w:color="auto" w:fill="auto"/>
            <w:tcMar>
              <w:top w:w="15" w:type="dxa"/>
              <w:left w:w="108" w:type="dxa"/>
              <w:bottom w:w="0" w:type="dxa"/>
              <w:right w:w="108" w:type="dxa"/>
            </w:tcMar>
          </w:tcPr>
          <w:p w14:paraId="037F4082"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5.7 ± 0.5</w:t>
            </w:r>
          </w:p>
        </w:tc>
        <w:tc>
          <w:tcPr>
            <w:tcW w:w="1380" w:type="dxa"/>
            <w:tcBorders>
              <w:top w:val="single" w:sz="4" w:space="0" w:color="auto"/>
            </w:tcBorders>
            <w:shd w:val="clear" w:color="auto" w:fill="auto"/>
            <w:vAlign w:val="center"/>
          </w:tcPr>
          <w:p w14:paraId="43DA75AC"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7.8 ± 0.5</w:t>
            </w:r>
          </w:p>
        </w:tc>
        <w:tc>
          <w:tcPr>
            <w:tcW w:w="1332" w:type="dxa"/>
            <w:tcBorders>
              <w:top w:val="single" w:sz="4" w:space="0" w:color="auto"/>
            </w:tcBorders>
            <w:shd w:val="clear" w:color="auto" w:fill="auto"/>
          </w:tcPr>
          <w:p w14:paraId="2EE11509"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1.2 ± 0.3</w:t>
            </w:r>
          </w:p>
        </w:tc>
        <w:tc>
          <w:tcPr>
            <w:tcW w:w="1417" w:type="dxa"/>
            <w:tcBorders>
              <w:top w:val="single" w:sz="4" w:space="0" w:color="auto"/>
            </w:tcBorders>
            <w:shd w:val="clear" w:color="auto" w:fill="auto"/>
            <w:tcMar>
              <w:top w:w="15" w:type="dxa"/>
              <w:left w:w="108" w:type="dxa"/>
              <w:bottom w:w="0" w:type="dxa"/>
              <w:right w:w="108" w:type="dxa"/>
            </w:tcMar>
            <w:vAlign w:val="center"/>
          </w:tcPr>
          <w:p w14:paraId="0BF0D40A"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kern w:val="24"/>
                <w:sz w:val="24"/>
                <w:szCs w:val="24"/>
                <w:lang w:val="en-US" w:eastAsia="da-DK"/>
              </w:rPr>
              <w:t>12.1 ± 0.4</w:t>
            </w:r>
          </w:p>
        </w:tc>
      </w:tr>
      <w:tr w:rsidR="0062019A" w:rsidRPr="00A234EE" w14:paraId="4E4B0A13" w14:textId="77777777" w:rsidTr="0062019A">
        <w:trPr>
          <w:trHeight w:val="239"/>
          <w:jc w:val="center"/>
        </w:trPr>
        <w:tc>
          <w:tcPr>
            <w:tcW w:w="2639" w:type="dxa"/>
            <w:shd w:val="clear" w:color="auto" w:fill="auto"/>
            <w:tcMar>
              <w:top w:w="15" w:type="dxa"/>
              <w:left w:w="108" w:type="dxa"/>
              <w:bottom w:w="0" w:type="dxa"/>
              <w:right w:w="108" w:type="dxa"/>
            </w:tcMar>
            <w:vAlign w:val="center"/>
            <w:hideMark/>
          </w:tcPr>
          <w:p w14:paraId="612158F7"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OCA 10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12)</w:t>
            </w:r>
          </w:p>
        </w:tc>
        <w:tc>
          <w:tcPr>
            <w:tcW w:w="1346" w:type="dxa"/>
            <w:shd w:val="clear" w:color="auto" w:fill="auto"/>
            <w:tcMar>
              <w:top w:w="15" w:type="dxa"/>
              <w:left w:w="108" w:type="dxa"/>
              <w:bottom w:w="0" w:type="dxa"/>
              <w:right w:w="108" w:type="dxa"/>
            </w:tcMar>
          </w:tcPr>
          <w:p w14:paraId="575EEFF1"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33.4 ± 0.8</w:t>
            </w:r>
          </w:p>
        </w:tc>
        <w:tc>
          <w:tcPr>
            <w:tcW w:w="1387" w:type="dxa"/>
            <w:shd w:val="clear" w:color="auto" w:fill="auto"/>
          </w:tcPr>
          <w:p w14:paraId="7027E630"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31.8 ± 0.4</w:t>
            </w:r>
          </w:p>
        </w:tc>
        <w:tc>
          <w:tcPr>
            <w:tcW w:w="1288" w:type="dxa"/>
            <w:shd w:val="clear" w:color="auto" w:fill="auto"/>
            <w:tcMar>
              <w:top w:w="15" w:type="dxa"/>
              <w:left w:w="108" w:type="dxa"/>
              <w:bottom w:w="0" w:type="dxa"/>
              <w:right w:w="108" w:type="dxa"/>
            </w:tcMar>
          </w:tcPr>
          <w:p w14:paraId="45B6A005"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5.5 ± 0.3</w:t>
            </w:r>
          </w:p>
        </w:tc>
        <w:tc>
          <w:tcPr>
            <w:tcW w:w="1380" w:type="dxa"/>
            <w:shd w:val="clear" w:color="auto" w:fill="auto"/>
            <w:vAlign w:val="center"/>
          </w:tcPr>
          <w:p w14:paraId="0A25BEE7" w14:textId="657F80BF"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5.0 ± 0.2</w:t>
            </w:r>
            <w:r w:rsidR="009B0D7F" w:rsidRPr="00A234EE">
              <w:rPr>
                <w:rFonts w:ascii="Book Antiqua" w:eastAsia="Calibri" w:hAnsi="Book Antiqua" w:cstheme="minorHAnsi"/>
                <w:kern w:val="24"/>
                <w:sz w:val="24"/>
                <w:szCs w:val="24"/>
                <w:vertAlign w:val="superscript"/>
                <w:lang w:val="en-US" w:eastAsia="zh-CN"/>
              </w:rPr>
              <w:t xml:space="preserve"> a</w:t>
            </w:r>
          </w:p>
        </w:tc>
        <w:tc>
          <w:tcPr>
            <w:tcW w:w="1332" w:type="dxa"/>
            <w:shd w:val="clear" w:color="auto" w:fill="auto"/>
          </w:tcPr>
          <w:p w14:paraId="65196AA6"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0.9 ± 0.1</w:t>
            </w:r>
          </w:p>
        </w:tc>
        <w:tc>
          <w:tcPr>
            <w:tcW w:w="1417" w:type="dxa"/>
            <w:shd w:val="clear" w:color="auto" w:fill="auto"/>
            <w:tcMar>
              <w:top w:w="15" w:type="dxa"/>
              <w:left w:w="108" w:type="dxa"/>
              <w:bottom w:w="0" w:type="dxa"/>
              <w:right w:w="108" w:type="dxa"/>
            </w:tcMar>
            <w:vAlign w:val="center"/>
          </w:tcPr>
          <w:p w14:paraId="1B1D4E21" w14:textId="6EF65529"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9.0 ± 0.6</w:t>
            </w:r>
            <w:r w:rsidR="009B0D7F" w:rsidRPr="00A234EE">
              <w:rPr>
                <w:rFonts w:ascii="Book Antiqua" w:eastAsia="Calibri" w:hAnsi="Book Antiqua" w:cstheme="minorHAnsi"/>
                <w:kern w:val="24"/>
                <w:sz w:val="24"/>
                <w:szCs w:val="24"/>
                <w:vertAlign w:val="superscript"/>
                <w:lang w:val="en-US" w:eastAsia="zh-CN"/>
              </w:rPr>
              <w:t xml:space="preserve"> a</w:t>
            </w:r>
          </w:p>
        </w:tc>
      </w:tr>
      <w:tr w:rsidR="0062019A" w:rsidRPr="00A234EE" w14:paraId="53815CEA" w14:textId="77777777" w:rsidTr="0062019A">
        <w:trPr>
          <w:trHeight w:val="249"/>
          <w:jc w:val="center"/>
        </w:trPr>
        <w:tc>
          <w:tcPr>
            <w:tcW w:w="2639" w:type="dxa"/>
            <w:shd w:val="clear" w:color="auto" w:fill="auto"/>
            <w:tcMar>
              <w:top w:w="15" w:type="dxa"/>
              <w:left w:w="108" w:type="dxa"/>
              <w:bottom w:w="0" w:type="dxa"/>
              <w:right w:w="108" w:type="dxa"/>
            </w:tcMar>
            <w:vAlign w:val="center"/>
            <w:hideMark/>
          </w:tcPr>
          <w:p w14:paraId="2FCE5CAF"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OCA 30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11)</w:t>
            </w:r>
          </w:p>
        </w:tc>
        <w:tc>
          <w:tcPr>
            <w:tcW w:w="1346" w:type="dxa"/>
            <w:shd w:val="clear" w:color="auto" w:fill="auto"/>
            <w:tcMar>
              <w:top w:w="15" w:type="dxa"/>
              <w:left w:w="108" w:type="dxa"/>
              <w:bottom w:w="0" w:type="dxa"/>
              <w:right w:w="108" w:type="dxa"/>
            </w:tcMar>
          </w:tcPr>
          <w:p w14:paraId="1AC680FD"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32.2 ± 1.1</w:t>
            </w:r>
          </w:p>
        </w:tc>
        <w:tc>
          <w:tcPr>
            <w:tcW w:w="1387" w:type="dxa"/>
            <w:shd w:val="clear" w:color="auto" w:fill="auto"/>
          </w:tcPr>
          <w:p w14:paraId="4C4F3477" w14:textId="39E5588D"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22.7 ± 1.0</w:t>
            </w:r>
            <w:r w:rsidR="009B0D7F" w:rsidRPr="00A234EE">
              <w:rPr>
                <w:rFonts w:ascii="Book Antiqua" w:eastAsia="Calibri" w:hAnsi="Book Antiqua" w:cstheme="minorHAnsi"/>
                <w:kern w:val="24"/>
                <w:sz w:val="24"/>
                <w:szCs w:val="24"/>
                <w:vertAlign w:val="superscript"/>
                <w:lang w:val="en-US" w:eastAsia="zh-CN"/>
              </w:rPr>
              <w:t xml:space="preserve"> a</w:t>
            </w:r>
          </w:p>
        </w:tc>
        <w:tc>
          <w:tcPr>
            <w:tcW w:w="1288" w:type="dxa"/>
            <w:shd w:val="clear" w:color="auto" w:fill="auto"/>
            <w:tcMar>
              <w:top w:w="15" w:type="dxa"/>
              <w:left w:w="108" w:type="dxa"/>
              <w:bottom w:w="0" w:type="dxa"/>
              <w:right w:w="108" w:type="dxa"/>
            </w:tcMar>
          </w:tcPr>
          <w:p w14:paraId="159C88CF"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5.5 ± 0.4</w:t>
            </w:r>
          </w:p>
        </w:tc>
        <w:tc>
          <w:tcPr>
            <w:tcW w:w="1380" w:type="dxa"/>
            <w:shd w:val="clear" w:color="auto" w:fill="auto"/>
            <w:vAlign w:val="center"/>
          </w:tcPr>
          <w:p w14:paraId="31391CEE" w14:textId="00F849DD"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4.0 ± 0.4</w:t>
            </w:r>
            <w:r w:rsidR="009B0D7F" w:rsidRPr="00A234EE">
              <w:rPr>
                <w:rFonts w:ascii="Book Antiqua" w:eastAsia="Calibri" w:hAnsi="Book Antiqua" w:cstheme="minorHAnsi"/>
                <w:kern w:val="24"/>
                <w:sz w:val="24"/>
                <w:szCs w:val="24"/>
                <w:vertAlign w:val="superscript"/>
                <w:lang w:val="en-US" w:eastAsia="zh-CN"/>
              </w:rPr>
              <w:t xml:space="preserve"> a</w:t>
            </w:r>
          </w:p>
        </w:tc>
        <w:tc>
          <w:tcPr>
            <w:tcW w:w="1332" w:type="dxa"/>
            <w:shd w:val="clear" w:color="auto" w:fill="auto"/>
          </w:tcPr>
          <w:p w14:paraId="7717A4FC"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1.2 ± 0.2</w:t>
            </w:r>
          </w:p>
        </w:tc>
        <w:tc>
          <w:tcPr>
            <w:tcW w:w="1417" w:type="dxa"/>
            <w:shd w:val="clear" w:color="auto" w:fill="auto"/>
            <w:tcMar>
              <w:top w:w="15" w:type="dxa"/>
              <w:left w:w="108" w:type="dxa"/>
              <w:bottom w:w="0" w:type="dxa"/>
              <w:right w:w="108" w:type="dxa"/>
            </w:tcMar>
            <w:vAlign w:val="center"/>
          </w:tcPr>
          <w:p w14:paraId="61213F2C" w14:textId="042665E8"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8.0 ± 0.7</w:t>
            </w:r>
            <w:r w:rsidR="009B0D7F" w:rsidRPr="00A234EE">
              <w:rPr>
                <w:rFonts w:ascii="Book Antiqua" w:eastAsia="Calibri" w:hAnsi="Book Antiqua" w:cstheme="minorHAnsi"/>
                <w:kern w:val="24"/>
                <w:sz w:val="24"/>
                <w:szCs w:val="24"/>
                <w:vertAlign w:val="superscript"/>
                <w:lang w:val="en-US" w:eastAsia="zh-CN"/>
              </w:rPr>
              <w:t xml:space="preserve"> a</w:t>
            </w:r>
          </w:p>
        </w:tc>
      </w:tr>
      <w:tr w:rsidR="0062019A" w:rsidRPr="00A234EE" w14:paraId="6381F728" w14:textId="77777777" w:rsidTr="0062019A">
        <w:trPr>
          <w:trHeight w:val="239"/>
          <w:jc w:val="center"/>
        </w:trPr>
        <w:tc>
          <w:tcPr>
            <w:tcW w:w="2639" w:type="dxa"/>
            <w:shd w:val="clear" w:color="auto" w:fill="auto"/>
            <w:tcMar>
              <w:top w:w="15" w:type="dxa"/>
              <w:left w:w="108" w:type="dxa"/>
              <w:bottom w:w="0" w:type="dxa"/>
              <w:right w:w="108" w:type="dxa"/>
            </w:tcMar>
            <w:vAlign w:val="center"/>
            <w:hideMark/>
          </w:tcPr>
          <w:p w14:paraId="24D6665C"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kern w:val="24"/>
                <w:sz w:val="24"/>
                <w:szCs w:val="24"/>
                <w:lang w:val="en-US" w:eastAsia="da-DK"/>
              </w:rPr>
              <w:t>INT-767 3.0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12)</w:t>
            </w:r>
          </w:p>
        </w:tc>
        <w:tc>
          <w:tcPr>
            <w:tcW w:w="1346" w:type="dxa"/>
            <w:shd w:val="clear" w:color="auto" w:fill="auto"/>
            <w:tcMar>
              <w:top w:w="15" w:type="dxa"/>
              <w:left w:w="108" w:type="dxa"/>
              <w:bottom w:w="0" w:type="dxa"/>
              <w:right w:w="108" w:type="dxa"/>
            </w:tcMar>
          </w:tcPr>
          <w:p w14:paraId="502199BC"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33.0 ± 0.9</w:t>
            </w:r>
          </w:p>
        </w:tc>
        <w:tc>
          <w:tcPr>
            <w:tcW w:w="1387" w:type="dxa"/>
            <w:shd w:val="clear" w:color="auto" w:fill="auto"/>
          </w:tcPr>
          <w:p w14:paraId="3413919F" w14:textId="7604BE20"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29.4 ± 1.3</w:t>
            </w:r>
            <w:r w:rsidR="009B0D7F" w:rsidRPr="00A234EE">
              <w:rPr>
                <w:rFonts w:ascii="Book Antiqua" w:eastAsia="Calibri" w:hAnsi="Book Antiqua" w:cstheme="minorHAnsi"/>
                <w:kern w:val="24"/>
                <w:sz w:val="24"/>
                <w:szCs w:val="24"/>
                <w:vertAlign w:val="superscript"/>
                <w:lang w:val="en-US" w:eastAsia="zh-CN"/>
              </w:rPr>
              <w:t xml:space="preserve"> a</w:t>
            </w:r>
          </w:p>
        </w:tc>
        <w:tc>
          <w:tcPr>
            <w:tcW w:w="1288" w:type="dxa"/>
            <w:shd w:val="clear" w:color="auto" w:fill="auto"/>
            <w:tcMar>
              <w:top w:w="15" w:type="dxa"/>
              <w:left w:w="108" w:type="dxa"/>
              <w:bottom w:w="0" w:type="dxa"/>
              <w:right w:w="108" w:type="dxa"/>
            </w:tcMar>
          </w:tcPr>
          <w:p w14:paraId="6DC64FCF"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5.6 ± 0.5</w:t>
            </w:r>
          </w:p>
        </w:tc>
        <w:tc>
          <w:tcPr>
            <w:tcW w:w="1380" w:type="dxa"/>
            <w:shd w:val="clear" w:color="auto" w:fill="auto"/>
            <w:vAlign w:val="center"/>
          </w:tcPr>
          <w:p w14:paraId="6BF0AA3D" w14:textId="4B97997A"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5.4 ± 0.2</w:t>
            </w:r>
            <w:r w:rsidR="009B0D7F" w:rsidRPr="00A234EE">
              <w:rPr>
                <w:rFonts w:ascii="Book Antiqua" w:eastAsia="Calibri" w:hAnsi="Book Antiqua" w:cstheme="minorHAnsi"/>
                <w:kern w:val="24"/>
                <w:sz w:val="24"/>
                <w:szCs w:val="24"/>
                <w:vertAlign w:val="superscript"/>
                <w:lang w:val="en-US" w:eastAsia="zh-CN"/>
              </w:rPr>
              <w:t xml:space="preserve"> a</w:t>
            </w:r>
          </w:p>
        </w:tc>
        <w:tc>
          <w:tcPr>
            <w:tcW w:w="1332" w:type="dxa"/>
            <w:shd w:val="clear" w:color="auto" w:fill="auto"/>
          </w:tcPr>
          <w:p w14:paraId="0ABFD189"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1.2 ± 0.2</w:t>
            </w:r>
          </w:p>
        </w:tc>
        <w:tc>
          <w:tcPr>
            <w:tcW w:w="1417" w:type="dxa"/>
            <w:shd w:val="clear" w:color="auto" w:fill="auto"/>
            <w:tcMar>
              <w:top w:w="15" w:type="dxa"/>
              <w:left w:w="108" w:type="dxa"/>
              <w:bottom w:w="0" w:type="dxa"/>
              <w:right w:w="108" w:type="dxa"/>
            </w:tcMar>
            <w:vAlign w:val="center"/>
          </w:tcPr>
          <w:p w14:paraId="7BD6337B" w14:textId="1E98AA01"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eastAsia="da-DK"/>
              </w:rPr>
            </w:pPr>
            <w:r w:rsidRPr="00A234EE">
              <w:rPr>
                <w:rFonts w:ascii="Book Antiqua" w:eastAsia="Calibri" w:hAnsi="Book Antiqua" w:cstheme="minorHAnsi"/>
                <w:kern w:val="24"/>
                <w:sz w:val="24"/>
                <w:szCs w:val="24"/>
                <w:lang w:val="en-US" w:eastAsia="da-DK"/>
              </w:rPr>
              <w:t>8.5 ± 0.6</w:t>
            </w:r>
            <w:r w:rsidR="009B0D7F" w:rsidRPr="00A234EE">
              <w:rPr>
                <w:rFonts w:ascii="Book Antiqua" w:eastAsia="Calibri" w:hAnsi="Book Antiqua" w:cstheme="minorHAnsi"/>
                <w:kern w:val="24"/>
                <w:sz w:val="24"/>
                <w:szCs w:val="24"/>
                <w:vertAlign w:val="superscript"/>
                <w:lang w:val="en-US" w:eastAsia="zh-CN"/>
              </w:rPr>
              <w:t xml:space="preserve"> a</w:t>
            </w:r>
          </w:p>
        </w:tc>
      </w:tr>
      <w:tr w:rsidR="0062019A" w:rsidRPr="00A234EE" w14:paraId="415432C0" w14:textId="77777777" w:rsidTr="0062019A">
        <w:trPr>
          <w:trHeight w:val="239"/>
          <w:jc w:val="center"/>
        </w:trPr>
        <w:tc>
          <w:tcPr>
            <w:tcW w:w="2639" w:type="dxa"/>
            <w:shd w:val="clear" w:color="auto" w:fill="auto"/>
            <w:tcMar>
              <w:top w:w="15" w:type="dxa"/>
              <w:left w:w="108" w:type="dxa"/>
              <w:bottom w:w="0" w:type="dxa"/>
              <w:right w:w="108" w:type="dxa"/>
            </w:tcMar>
            <w:vAlign w:val="center"/>
            <w:hideMark/>
          </w:tcPr>
          <w:p w14:paraId="0BF3B4F1" w14:textId="77777777"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INT-767 10 mg/kg (</w:t>
            </w:r>
            <w:r w:rsidRPr="00A234EE">
              <w:rPr>
                <w:rFonts w:ascii="Book Antiqua" w:eastAsia="Calibri" w:hAnsi="Book Antiqua" w:cstheme="minorHAnsi"/>
                <w:i/>
                <w:kern w:val="24"/>
                <w:sz w:val="24"/>
                <w:szCs w:val="24"/>
                <w:lang w:val="en-US" w:eastAsia="da-DK"/>
              </w:rPr>
              <w:t xml:space="preserve">n = </w:t>
            </w:r>
            <w:r w:rsidRPr="00A234EE">
              <w:rPr>
                <w:rFonts w:ascii="Book Antiqua" w:eastAsia="Calibri" w:hAnsi="Book Antiqua" w:cstheme="minorHAnsi"/>
                <w:kern w:val="24"/>
                <w:sz w:val="24"/>
                <w:szCs w:val="24"/>
                <w:lang w:val="en-US" w:eastAsia="da-DK"/>
              </w:rPr>
              <w:t>11)</w:t>
            </w:r>
          </w:p>
        </w:tc>
        <w:tc>
          <w:tcPr>
            <w:tcW w:w="1346" w:type="dxa"/>
            <w:shd w:val="clear" w:color="auto" w:fill="auto"/>
            <w:tcMar>
              <w:top w:w="15" w:type="dxa"/>
              <w:left w:w="108" w:type="dxa"/>
              <w:bottom w:w="0" w:type="dxa"/>
              <w:right w:w="108" w:type="dxa"/>
            </w:tcMar>
          </w:tcPr>
          <w:p w14:paraId="1F713B3F"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33.7 ± 0.8</w:t>
            </w:r>
          </w:p>
        </w:tc>
        <w:tc>
          <w:tcPr>
            <w:tcW w:w="1387" w:type="dxa"/>
            <w:shd w:val="clear" w:color="auto" w:fill="auto"/>
          </w:tcPr>
          <w:p w14:paraId="55FAB47B" w14:textId="6E6C188D"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12.5 ± 1.5</w:t>
            </w:r>
            <w:r w:rsidR="009B0D7F" w:rsidRPr="00A234EE">
              <w:rPr>
                <w:rFonts w:ascii="Book Antiqua" w:eastAsia="Calibri" w:hAnsi="Book Antiqua" w:cstheme="minorHAnsi"/>
                <w:kern w:val="24"/>
                <w:sz w:val="24"/>
                <w:szCs w:val="24"/>
                <w:vertAlign w:val="superscript"/>
                <w:lang w:val="en-US" w:eastAsia="zh-CN"/>
              </w:rPr>
              <w:t xml:space="preserve"> a</w:t>
            </w:r>
          </w:p>
        </w:tc>
        <w:tc>
          <w:tcPr>
            <w:tcW w:w="1288" w:type="dxa"/>
            <w:shd w:val="clear" w:color="auto" w:fill="auto"/>
            <w:tcMar>
              <w:top w:w="15" w:type="dxa"/>
              <w:left w:w="108" w:type="dxa"/>
              <w:bottom w:w="0" w:type="dxa"/>
              <w:right w:w="108" w:type="dxa"/>
            </w:tcMar>
          </w:tcPr>
          <w:p w14:paraId="0DEAAF4C"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5.6 ± 0.3</w:t>
            </w:r>
          </w:p>
        </w:tc>
        <w:tc>
          <w:tcPr>
            <w:tcW w:w="1380" w:type="dxa"/>
            <w:shd w:val="clear" w:color="auto" w:fill="auto"/>
            <w:vAlign w:val="center"/>
          </w:tcPr>
          <w:p w14:paraId="7F53BD90" w14:textId="2C48D8E3"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2.9 ± 0.1</w:t>
            </w:r>
            <w:r w:rsidR="009B0D7F" w:rsidRPr="00A234EE">
              <w:rPr>
                <w:rFonts w:ascii="Book Antiqua" w:eastAsia="Calibri" w:hAnsi="Book Antiqua" w:cstheme="minorHAnsi"/>
                <w:kern w:val="24"/>
                <w:sz w:val="24"/>
                <w:szCs w:val="24"/>
                <w:vertAlign w:val="superscript"/>
                <w:lang w:val="en-US" w:eastAsia="zh-CN"/>
              </w:rPr>
              <w:t xml:space="preserve"> a</w:t>
            </w:r>
          </w:p>
        </w:tc>
        <w:tc>
          <w:tcPr>
            <w:tcW w:w="1332" w:type="dxa"/>
            <w:shd w:val="clear" w:color="auto" w:fill="auto"/>
          </w:tcPr>
          <w:p w14:paraId="4A9C3E0A" w14:textId="77777777" w:rsidR="0062019A" w:rsidRPr="00A234EE" w:rsidRDefault="0062019A" w:rsidP="00A234EE">
            <w:pPr>
              <w:adjustRightInd w:val="0"/>
              <w:snapToGrid w:val="0"/>
              <w:spacing w:after="0" w:line="360" w:lineRule="auto"/>
              <w:jc w:val="both"/>
              <w:rPr>
                <w:rFonts w:ascii="Book Antiqua" w:eastAsia="Calibri" w:hAnsi="Book Antiqua" w:cstheme="minorHAnsi"/>
                <w:kern w:val="24"/>
                <w:sz w:val="24"/>
                <w:szCs w:val="24"/>
                <w:lang w:val="en-US" w:eastAsia="da-DK"/>
              </w:rPr>
            </w:pPr>
            <w:r w:rsidRPr="00A234EE">
              <w:rPr>
                <w:rFonts w:ascii="Book Antiqua" w:eastAsia="Calibri" w:hAnsi="Book Antiqua" w:cstheme="minorHAnsi"/>
                <w:kern w:val="24"/>
                <w:sz w:val="24"/>
                <w:szCs w:val="24"/>
                <w:lang w:val="en-US" w:eastAsia="da-DK"/>
              </w:rPr>
              <w:t>0.9 ± 0.2</w:t>
            </w:r>
          </w:p>
        </w:tc>
        <w:tc>
          <w:tcPr>
            <w:tcW w:w="1417" w:type="dxa"/>
            <w:shd w:val="clear" w:color="auto" w:fill="auto"/>
            <w:tcMar>
              <w:top w:w="15" w:type="dxa"/>
              <w:left w:w="108" w:type="dxa"/>
              <w:bottom w:w="0" w:type="dxa"/>
              <w:right w:w="108" w:type="dxa"/>
            </w:tcMar>
            <w:vAlign w:val="center"/>
          </w:tcPr>
          <w:p w14:paraId="6704E1B8" w14:textId="60D1C86A" w:rsidR="0062019A" w:rsidRPr="00A234EE" w:rsidRDefault="0062019A" w:rsidP="00A234EE">
            <w:pPr>
              <w:adjustRightInd w:val="0"/>
              <w:snapToGrid w:val="0"/>
              <w:spacing w:after="0" w:line="360" w:lineRule="auto"/>
              <w:jc w:val="both"/>
              <w:rPr>
                <w:rFonts w:ascii="Book Antiqua" w:eastAsia="Times New Roman" w:hAnsi="Book Antiqua" w:cstheme="minorHAnsi"/>
                <w:sz w:val="24"/>
                <w:szCs w:val="24"/>
                <w:lang w:val="en-US" w:eastAsia="da-DK"/>
              </w:rPr>
            </w:pPr>
            <w:r w:rsidRPr="00A234EE">
              <w:rPr>
                <w:rFonts w:ascii="Book Antiqua" w:eastAsia="Calibri" w:hAnsi="Book Antiqua" w:cstheme="minorHAnsi"/>
                <w:kern w:val="24"/>
                <w:sz w:val="24"/>
                <w:szCs w:val="24"/>
                <w:lang w:val="en-US" w:eastAsia="da-DK"/>
              </w:rPr>
              <w:t>5.0 ± 0.3</w:t>
            </w:r>
            <w:r w:rsidR="009B0D7F" w:rsidRPr="00A234EE">
              <w:rPr>
                <w:rFonts w:ascii="Book Antiqua" w:eastAsia="Calibri" w:hAnsi="Book Antiqua" w:cstheme="minorHAnsi"/>
                <w:kern w:val="24"/>
                <w:sz w:val="24"/>
                <w:szCs w:val="24"/>
                <w:vertAlign w:val="superscript"/>
                <w:lang w:val="en-US" w:eastAsia="zh-CN"/>
              </w:rPr>
              <w:t xml:space="preserve"> a</w:t>
            </w:r>
          </w:p>
        </w:tc>
      </w:tr>
    </w:tbl>
    <w:p w14:paraId="3E72DE73" w14:textId="32C8EAA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r w:rsidRPr="00A234EE">
        <w:rPr>
          <w:rFonts w:ascii="Book Antiqua" w:hAnsi="Book Antiqua"/>
          <w:sz w:val="24"/>
          <w:szCs w:val="24"/>
          <w:lang w:val="en-US"/>
        </w:rPr>
        <w:t xml:space="preserve">Fractional area (% ± SEM) at the end of study; </w:t>
      </w:r>
      <w:r w:rsidRPr="00A234EE">
        <w:rPr>
          <w:rFonts w:ascii="Book Antiqua" w:hAnsi="Book Antiqua"/>
          <w:sz w:val="24"/>
          <w:szCs w:val="24"/>
          <w:vertAlign w:val="superscript"/>
          <w:lang w:val="en-US" w:eastAsia="zh-CN"/>
        </w:rPr>
        <w:t>a</w:t>
      </w:r>
      <w:r w:rsidRPr="00A234EE">
        <w:rPr>
          <w:rFonts w:ascii="Book Antiqua" w:hAnsi="Book Antiqua"/>
          <w:i/>
          <w:sz w:val="24"/>
          <w:szCs w:val="24"/>
          <w:lang w:val="en-US"/>
        </w:rPr>
        <w:t>P &lt;</w:t>
      </w:r>
      <w:r w:rsidRPr="00A234EE">
        <w:rPr>
          <w:rFonts w:ascii="Book Antiqua" w:hAnsi="Book Antiqua"/>
          <w:sz w:val="24"/>
          <w:szCs w:val="24"/>
          <w:lang w:val="en-US"/>
        </w:rPr>
        <w:t xml:space="preserve">0.05 </w:t>
      </w:r>
      <w:r w:rsidRPr="00A234EE">
        <w:rPr>
          <w:rFonts w:ascii="Book Antiqua" w:hAnsi="Book Antiqua"/>
          <w:i/>
          <w:sz w:val="24"/>
          <w:szCs w:val="24"/>
          <w:lang w:val="en-US"/>
        </w:rPr>
        <w:t>vs</w:t>
      </w:r>
      <w:r w:rsidRPr="00A234EE">
        <w:rPr>
          <w:rFonts w:ascii="Book Antiqua" w:hAnsi="Book Antiqua"/>
          <w:sz w:val="24"/>
          <w:szCs w:val="24"/>
          <w:lang w:val="en-US"/>
        </w:rPr>
        <w:t xml:space="preserve"> vehicle (two-way ANOVA, Bonferroni’s post-hoc test).</w:t>
      </w:r>
    </w:p>
    <w:p w14:paraId="3BA12603"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303C1682"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0C3855C4"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683F0031" w14:textId="77777777" w:rsidR="0062019A" w:rsidRPr="00A234EE" w:rsidRDefault="0062019A" w:rsidP="00A234EE">
      <w:pPr>
        <w:adjustRightInd w:val="0"/>
        <w:snapToGrid w:val="0"/>
        <w:spacing w:after="0" w:line="360" w:lineRule="auto"/>
        <w:jc w:val="both"/>
        <w:rPr>
          <w:rFonts w:ascii="Book Antiqua" w:hAnsi="Book Antiqua"/>
          <w:bCs/>
          <w:sz w:val="24"/>
          <w:szCs w:val="24"/>
          <w:lang w:val="en-US" w:eastAsia="zh-CN"/>
        </w:rPr>
      </w:pPr>
    </w:p>
    <w:p w14:paraId="2D2AB2E8" w14:textId="60DEE281" w:rsidR="005F69F1" w:rsidRPr="00A234EE" w:rsidRDefault="005F69F1" w:rsidP="00A234EE">
      <w:pPr>
        <w:adjustRightInd w:val="0"/>
        <w:snapToGrid w:val="0"/>
        <w:spacing w:after="0" w:line="360" w:lineRule="auto"/>
        <w:jc w:val="both"/>
        <w:rPr>
          <w:rFonts w:ascii="Book Antiqua" w:hAnsi="Book Antiqua"/>
          <w:b/>
          <w:bCs/>
          <w:sz w:val="24"/>
          <w:szCs w:val="24"/>
          <w:lang w:val="en-US"/>
        </w:rPr>
      </w:pPr>
    </w:p>
    <w:sectPr w:rsidR="005F69F1" w:rsidRPr="00A234EE" w:rsidSect="0062019A">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46E56" w14:textId="77777777" w:rsidR="0071380B" w:rsidRDefault="0071380B" w:rsidP="005F69F1">
      <w:pPr>
        <w:spacing w:after="0" w:line="240" w:lineRule="auto"/>
      </w:pPr>
      <w:r>
        <w:separator/>
      </w:r>
    </w:p>
  </w:endnote>
  <w:endnote w:type="continuationSeparator" w:id="0">
    <w:p w14:paraId="2D43586D" w14:textId="77777777" w:rsidR="0071380B" w:rsidRDefault="0071380B" w:rsidP="005F6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Light">
    <w:altName w:val="宋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704072"/>
      <w:docPartObj>
        <w:docPartGallery w:val="Page Numbers (Bottom of Page)"/>
        <w:docPartUnique/>
      </w:docPartObj>
    </w:sdtPr>
    <w:sdtEndPr/>
    <w:sdtContent>
      <w:sdt>
        <w:sdtPr>
          <w:id w:val="-753049697"/>
          <w:docPartObj>
            <w:docPartGallery w:val="Page Numbers (Top of Page)"/>
            <w:docPartUnique/>
          </w:docPartObj>
        </w:sdtPr>
        <w:sdtEndPr/>
        <w:sdtContent>
          <w:p w14:paraId="38A6861E" w14:textId="462A8101" w:rsidR="005659DC" w:rsidRDefault="005659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B0C76">
              <w:rPr>
                <w:b/>
                <w:bCs/>
                <w:noProof/>
              </w:rPr>
              <w:t>39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B0C76">
              <w:rPr>
                <w:b/>
                <w:bCs/>
                <w:noProof/>
              </w:rPr>
              <w:t>39</w:t>
            </w:r>
            <w:r>
              <w:rPr>
                <w:b/>
                <w:bCs/>
                <w:sz w:val="24"/>
                <w:szCs w:val="24"/>
              </w:rPr>
              <w:fldChar w:fldCharType="end"/>
            </w:r>
          </w:p>
        </w:sdtContent>
      </w:sdt>
    </w:sdtContent>
  </w:sdt>
  <w:p w14:paraId="2D2AB2EE" w14:textId="77777777" w:rsidR="005659DC" w:rsidRDefault="005659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90501" w14:textId="77777777" w:rsidR="0071380B" w:rsidRDefault="0071380B" w:rsidP="005F69F1">
      <w:pPr>
        <w:spacing w:after="0" w:line="240" w:lineRule="auto"/>
      </w:pPr>
      <w:r>
        <w:separator/>
      </w:r>
    </w:p>
  </w:footnote>
  <w:footnote w:type="continuationSeparator" w:id="0">
    <w:p w14:paraId="0B8F6012" w14:textId="77777777" w:rsidR="0071380B" w:rsidRDefault="0071380B" w:rsidP="005F69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C5FBB"/>
    <w:multiLevelType w:val="hybridMultilevel"/>
    <w:tmpl w:val="91340DB4"/>
    <w:lvl w:ilvl="0" w:tplc="04090019">
      <w:start w:val="1"/>
      <w:numFmt w:val="lowerLetter"/>
      <w:lvlText w:val="%1."/>
      <w:lvlJc w:val="left"/>
      <w:pPr>
        <w:ind w:left="144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A310BEE"/>
    <w:multiLevelType w:val="hybridMultilevel"/>
    <w:tmpl w:val="CF243BC0"/>
    <w:lvl w:ilvl="0" w:tplc="C80E6508">
      <w:start w:val="1"/>
      <w:numFmt w:val="decimal"/>
      <w:lvlText w:val="(%1)"/>
      <w:lvlJc w:val="left"/>
      <w:pPr>
        <w:tabs>
          <w:tab w:val="num" w:pos="720"/>
        </w:tabs>
        <w:ind w:left="720" w:hanging="360"/>
      </w:pPr>
    </w:lvl>
    <w:lvl w:ilvl="1" w:tplc="4B50AC6E" w:tentative="1">
      <w:start w:val="1"/>
      <w:numFmt w:val="decimal"/>
      <w:lvlText w:val="(%2)"/>
      <w:lvlJc w:val="left"/>
      <w:pPr>
        <w:tabs>
          <w:tab w:val="num" w:pos="1440"/>
        </w:tabs>
        <w:ind w:left="1440" w:hanging="360"/>
      </w:pPr>
    </w:lvl>
    <w:lvl w:ilvl="2" w:tplc="74B00AAA" w:tentative="1">
      <w:start w:val="1"/>
      <w:numFmt w:val="decimal"/>
      <w:lvlText w:val="(%3)"/>
      <w:lvlJc w:val="left"/>
      <w:pPr>
        <w:tabs>
          <w:tab w:val="num" w:pos="2160"/>
        </w:tabs>
        <w:ind w:left="2160" w:hanging="360"/>
      </w:pPr>
    </w:lvl>
    <w:lvl w:ilvl="3" w:tplc="98EE64B2" w:tentative="1">
      <w:start w:val="1"/>
      <w:numFmt w:val="decimal"/>
      <w:lvlText w:val="(%4)"/>
      <w:lvlJc w:val="left"/>
      <w:pPr>
        <w:tabs>
          <w:tab w:val="num" w:pos="2880"/>
        </w:tabs>
        <w:ind w:left="2880" w:hanging="360"/>
      </w:pPr>
    </w:lvl>
    <w:lvl w:ilvl="4" w:tplc="55203788" w:tentative="1">
      <w:start w:val="1"/>
      <w:numFmt w:val="decimal"/>
      <w:lvlText w:val="(%5)"/>
      <w:lvlJc w:val="left"/>
      <w:pPr>
        <w:tabs>
          <w:tab w:val="num" w:pos="3600"/>
        </w:tabs>
        <w:ind w:left="3600" w:hanging="360"/>
      </w:pPr>
    </w:lvl>
    <w:lvl w:ilvl="5" w:tplc="E7D46D76" w:tentative="1">
      <w:start w:val="1"/>
      <w:numFmt w:val="decimal"/>
      <w:lvlText w:val="(%6)"/>
      <w:lvlJc w:val="left"/>
      <w:pPr>
        <w:tabs>
          <w:tab w:val="num" w:pos="4320"/>
        </w:tabs>
        <w:ind w:left="4320" w:hanging="360"/>
      </w:pPr>
    </w:lvl>
    <w:lvl w:ilvl="6" w:tplc="E5662E3E" w:tentative="1">
      <w:start w:val="1"/>
      <w:numFmt w:val="decimal"/>
      <w:lvlText w:val="(%7)"/>
      <w:lvlJc w:val="left"/>
      <w:pPr>
        <w:tabs>
          <w:tab w:val="num" w:pos="5040"/>
        </w:tabs>
        <w:ind w:left="5040" w:hanging="360"/>
      </w:pPr>
    </w:lvl>
    <w:lvl w:ilvl="7" w:tplc="4F84F17E" w:tentative="1">
      <w:start w:val="1"/>
      <w:numFmt w:val="decimal"/>
      <w:lvlText w:val="(%8)"/>
      <w:lvlJc w:val="left"/>
      <w:pPr>
        <w:tabs>
          <w:tab w:val="num" w:pos="5760"/>
        </w:tabs>
        <w:ind w:left="5760" w:hanging="360"/>
      </w:pPr>
    </w:lvl>
    <w:lvl w:ilvl="8" w:tplc="22DA7FEC" w:tentative="1">
      <w:start w:val="1"/>
      <w:numFmt w:val="decimal"/>
      <w:lvlText w:val="(%9)"/>
      <w:lvlJc w:val="left"/>
      <w:pPr>
        <w:tabs>
          <w:tab w:val="num" w:pos="6480"/>
        </w:tabs>
        <w:ind w:left="6480" w:hanging="360"/>
      </w:pPr>
    </w:lvl>
  </w:abstractNum>
  <w:abstractNum w:abstractNumId="2" w15:restartNumberingAfterBreak="0">
    <w:nsid w:val="1F2C23E2"/>
    <w:multiLevelType w:val="hybridMultilevel"/>
    <w:tmpl w:val="81ECCEC6"/>
    <w:lvl w:ilvl="0" w:tplc="04090019">
      <w:start w:val="1"/>
      <w:numFmt w:val="lowerLetter"/>
      <w:lvlText w:val="%1."/>
      <w:lvlJc w:val="left"/>
      <w:pPr>
        <w:ind w:left="144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FFB1F3E"/>
    <w:multiLevelType w:val="hybridMultilevel"/>
    <w:tmpl w:val="4B160B14"/>
    <w:lvl w:ilvl="0" w:tplc="B0203ACE">
      <w:start w:val="1"/>
      <w:numFmt w:val="lowerLetter"/>
      <w:lvlText w:val="%1."/>
      <w:lvlJc w:val="left"/>
      <w:pPr>
        <w:ind w:left="4944" w:hanging="360"/>
      </w:pPr>
      <w:rPr>
        <w:rFonts w:hint="default"/>
        <w:i/>
      </w:rPr>
    </w:lvl>
    <w:lvl w:ilvl="1" w:tplc="04060019" w:tentative="1">
      <w:start w:val="1"/>
      <w:numFmt w:val="lowerLetter"/>
      <w:lvlText w:val="%2."/>
      <w:lvlJc w:val="left"/>
      <w:pPr>
        <w:ind w:left="5664" w:hanging="360"/>
      </w:pPr>
    </w:lvl>
    <w:lvl w:ilvl="2" w:tplc="0406001B" w:tentative="1">
      <w:start w:val="1"/>
      <w:numFmt w:val="lowerRoman"/>
      <w:lvlText w:val="%3."/>
      <w:lvlJc w:val="right"/>
      <w:pPr>
        <w:ind w:left="6384" w:hanging="180"/>
      </w:pPr>
    </w:lvl>
    <w:lvl w:ilvl="3" w:tplc="0406000F" w:tentative="1">
      <w:start w:val="1"/>
      <w:numFmt w:val="decimal"/>
      <w:lvlText w:val="%4."/>
      <w:lvlJc w:val="left"/>
      <w:pPr>
        <w:ind w:left="7104" w:hanging="360"/>
      </w:pPr>
    </w:lvl>
    <w:lvl w:ilvl="4" w:tplc="04060019" w:tentative="1">
      <w:start w:val="1"/>
      <w:numFmt w:val="lowerLetter"/>
      <w:lvlText w:val="%5."/>
      <w:lvlJc w:val="left"/>
      <w:pPr>
        <w:ind w:left="7824" w:hanging="360"/>
      </w:pPr>
    </w:lvl>
    <w:lvl w:ilvl="5" w:tplc="0406001B" w:tentative="1">
      <w:start w:val="1"/>
      <w:numFmt w:val="lowerRoman"/>
      <w:lvlText w:val="%6."/>
      <w:lvlJc w:val="right"/>
      <w:pPr>
        <w:ind w:left="8544" w:hanging="180"/>
      </w:pPr>
    </w:lvl>
    <w:lvl w:ilvl="6" w:tplc="0406000F" w:tentative="1">
      <w:start w:val="1"/>
      <w:numFmt w:val="decimal"/>
      <w:lvlText w:val="%7."/>
      <w:lvlJc w:val="left"/>
      <w:pPr>
        <w:ind w:left="9264" w:hanging="360"/>
      </w:pPr>
    </w:lvl>
    <w:lvl w:ilvl="7" w:tplc="04060019" w:tentative="1">
      <w:start w:val="1"/>
      <w:numFmt w:val="lowerLetter"/>
      <w:lvlText w:val="%8."/>
      <w:lvlJc w:val="left"/>
      <w:pPr>
        <w:ind w:left="9984" w:hanging="360"/>
      </w:pPr>
    </w:lvl>
    <w:lvl w:ilvl="8" w:tplc="0406001B" w:tentative="1">
      <w:start w:val="1"/>
      <w:numFmt w:val="lowerRoman"/>
      <w:lvlText w:val="%9."/>
      <w:lvlJc w:val="right"/>
      <w:pPr>
        <w:ind w:left="10704" w:hanging="180"/>
      </w:pPr>
    </w:lvl>
  </w:abstractNum>
  <w:abstractNum w:abstractNumId="4" w15:restartNumberingAfterBreak="0">
    <w:nsid w:val="27BD3D99"/>
    <w:multiLevelType w:val="hybridMultilevel"/>
    <w:tmpl w:val="1C5C35EC"/>
    <w:lvl w:ilvl="0" w:tplc="39A4AA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615C4"/>
    <w:multiLevelType w:val="hybridMultilevel"/>
    <w:tmpl w:val="8D743CE4"/>
    <w:lvl w:ilvl="0" w:tplc="39A4AA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700E5E30">
      <w:start w:val="11"/>
      <w:numFmt w:val="bullet"/>
      <w:lvlText w:val="-"/>
      <w:lvlJc w:val="left"/>
      <w:pPr>
        <w:ind w:left="3600" w:hanging="360"/>
      </w:pPr>
      <w:rPr>
        <w:rFonts w:ascii="Calibri" w:eastAsia="Times New Roman"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C1409F"/>
    <w:multiLevelType w:val="hybridMultilevel"/>
    <w:tmpl w:val="A19A10C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4151F34"/>
    <w:multiLevelType w:val="hybridMultilevel"/>
    <w:tmpl w:val="A19A10C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7"/>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dv5zs9at59wsiert5rxzvtu0zswert0edv0&quot;&gt;767 MS&lt;record-ids&gt;&lt;item&gt;1&lt;/item&gt;&lt;item&gt;2&lt;/item&gt;&lt;item&gt;3&lt;/item&gt;&lt;item&gt;6&lt;/item&gt;&lt;item&gt;7&lt;/item&gt;&lt;item&gt;8&lt;/item&gt;&lt;item&gt;10&lt;/item&gt;&lt;item&gt;11&lt;/item&gt;&lt;item&gt;12&lt;/item&gt;&lt;item&gt;14&lt;/item&gt;&lt;item&gt;17&lt;/item&gt;&lt;item&gt;18&lt;/item&gt;&lt;item&gt;19&lt;/item&gt;&lt;item&gt;20&lt;/item&gt;&lt;item&gt;21&lt;/item&gt;&lt;item&gt;22&lt;/item&gt;&lt;item&gt;23&lt;/item&gt;&lt;item&gt;24&lt;/item&gt;&lt;item&gt;25&lt;/item&gt;&lt;item&gt;26&lt;/item&gt;&lt;/record-ids&gt;&lt;/item&gt;&lt;/Libraries&gt;"/>
  </w:docVars>
  <w:rsids>
    <w:rsidRoot w:val="005F69F1"/>
    <w:rsid w:val="0000108F"/>
    <w:rsid w:val="00006070"/>
    <w:rsid w:val="00014871"/>
    <w:rsid w:val="0001584E"/>
    <w:rsid w:val="00020734"/>
    <w:rsid w:val="00022ECF"/>
    <w:rsid w:val="000231AB"/>
    <w:rsid w:val="000242D4"/>
    <w:rsid w:val="00056BE8"/>
    <w:rsid w:val="00057F9D"/>
    <w:rsid w:val="00063F22"/>
    <w:rsid w:val="00065F38"/>
    <w:rsid w:val="000723F8"/>
    <w:rsid w:val="000736DC"/>
    <w:rsid w:val="00076210"/>
    <w:rsid w:val="000809A2"/>
    <w:rsid w:val="000826E7"/>
    <w:rsid w:val="00083470"/>
    <w:rsid w:val="000839E6"/>
    <w:rsid w:val="0009196D"/>
    <w:rsid w:val="00091D04"/>
    <w:rsid w:val="00095F75"/>
    <w:rsid w:val="000967BF"/>
    <w:rsid w:val="00096BFF"/>
    <w:rsid w:val="000A17D8"/>
    <w:rsid w:val="000A29E9"/>
    <w:rsid w:val="000B4151"/>
    <w:rsid w:val="000B53CD"/>
    <w:rsid w:val="000C22AB"/>
    <w:rsid w:val="000C44A2"/>
    <w:rsid w:val="000E050D"/>
    <w:rsid w:val="000E3464"/>
    <w:rsid w:val="000E38B5"/>
    <w:rsid w:val="000F0956"/>
    <w:rsid w:val="000F3470"/>
    <w:rsid w:val="000F6B31"/>
    <w:rsid w:val="00103220"/>
    <w:rsid w:val="00105885"/>
    <w:rsid w:val="0010692B"/>
    <w:rsid w:val="001105E4"/>
    <w:rsid w:val="00122198"/>
    <w:rsid w:val="00124EFB"/>
    <w:rsid w:val="001277D7"/>
    <w:rsid w:val="00140F5C"/>
    <w:rsid w:val="00151D3D"/>
    <w:rsid w:val="00152426"/>
    <w:rsid w:val="0015302D"/>
    <w:rsid w:val="001535AC"/>
    <w:rsid w:val="001560EC"/>
    <w:rsid w:val="001564CF"/>
    <w:rsid w:val="00160B5C"/>
    <w:rsid w:val="0016383B"/>
    <w:rsid w:val="00166361"/>
    <w:rsid w:val="00174B9C"/>
    <w:rsid w:val="001756BA"/>
    <w:rsid w:val="001779DD"/>
    <w:rsid w:val="001814AF"/>
    <w:rsid w:val="001826BE"/>
    <w:rsid w:val="00187F1A"/>
    <w:rsid w:val="0019029B"/>
    <w:rsid w:val="001939D3"/>
    <w:rsid w:val="00195AAA"/>
    <w:rsid w:val="001A67BA"/>
    <w:rsid w:val="001A6BEE"/>
    <w:rsid w:val="001B5279"/>
    <w:rsid w:val="001C3002"/>
    <w:rsid w:val="001D34B7"/>
    <w:rsid w:val="001D49E4"/>
    <w:rsid w:val="001D5C21"/>
    <w:rsid w:val="001E0DD0"/>
    <w:rsid w:val="001E1DCB"/>
    <w:rsid w:val="001E2464"/>
    <w:rsid w:val="001E24C2"/>
    <w:rsid w:val="001E2BFA"/>
    <w:rsid w:val="001E439D"/>
    <w:rsid w:val="001E7471"/>
    <w:rsid w:val="001E7C93"/>
    <w:rsid w:val="00203D0F"/>
    <w:rsid w:val="002055ED"/>
    <w:rsid w:val="00206CDF"/>
    <w:rsid w:val="00207BD4"/>
    <w:rsid w:val="00207CAB"/>
    <w:rsid w:val="00223A3E"/>
    <w:rsid w:val="00240EBB"/>
    <w:rsid w:val="00252C4D"/>
    <w:rsid w:val="0025686C"/>
    <w:rsid w:val="002613EC"/>
    <w:rsid w:val="0027188C"/>
    <w:rsid w:val="00272D6F"/>
    <w:rsid w:val="00277FCD"/>
    <w:rsid w:val="002852BF"/>
    <w:rsid w:val="00287C3E"/>
    <w:rsid w:val="00290502"/>
    <w:rsid w:val="0029455C"/>
    <w:rsid w:val="00295F02"/>
    <w:rsid w:val="002A0A5A"/>
    <w:rsid w:val="002A1B3D"/>
    <w:rsid w:val="002A6B07"/>
    <w:rsid w:val="002B174E"/>
    <w:rsid w:val="002B42CC"/>
    <w:rsid w:val="002C1957"/>
    <w:rsid w:val="002C212B"/>
    <w:rsid w:val="002C432A"/>
    <w:rsid w:val="002D0B38"/>
    <w:rsid w:val="002D651D"/>
    <w:rsid w:val="002E2B09"/>
    <w:rsid w:val="002F02C2"/>
    <w:rsid w:val="002F1B19"/>
    <w:rsid w:val="002F2568"/>
    <w:rsid w:val="003047A3"/>
    <w:rsid w:val="00305268"/>
    <w:rsid w:val="00307037"/>
    <w:rsid w:val="0031085D"/>
    <w:rsid w:val="003120D4"/>
    <w:rsid w:val="003127D5"/>
    <w:rsid w:val="00313FBC"/>
    <w:rsid w:val="00317E78"/>
    <w:rsid w:val="00322AA1"/>
    <w:rsid w:val="003238D2"/>
    <w:rsid w:val="00324B9B"/>
    <w:rsid w:val="003259F6"/>
    <w:rsid w:val="00330D92"/>
    <w:rsid w:val="00331B90"/>
    <w:rsid w:val="00337B8E"/>
    <w:rsid w:val="0034053F"/>
    <w:rsid w:val="00341846"/>
    <w:rsid w:val="003500D6"/>
    <w:rsid w:val="00353B8B"/>
    <w:rsid w:val="003604DE"/>
    <w:rsid w:val="00361B69"/>
    <w:rsid w:val="003636D4"/>
    <w:rsid w:val="00364510"/>
    <w:rsid w:val="003676DF"/>
    <w:rsid w:val="003746F2"/>
    <w:rsid w:val="003778D6"/>
    <w:rsid w:val="00377F03"/>
    <w:rsid w:val="0038352A"/>
    <w:rsid w:val="00391F42"/>
    <w:rsid w:val="00395871"/>
    <w:rsid w:val="003A687F"/>
    <w:rsid w:val="003B05D1"/>
    <w:rsid w:val="003B0B06"/>
    <w:rsid w:val="003C1CD2"/>
    <w:rsid w:val="003C2111"/>
    <w:rsid w:val="003C3347"/>
    <w:rsid w:val="003C41DC"/>
    <w:rsid w:val="003C6EA4"/>
    <w:rsid w:val="003D1123"/>
    <w:rsid w:val="003D475A"/>
    <w:rsid w:val="003E061D"/>
    <w:rsid w:val="003E0F90"/>
    <w:rsid w:val="003E601F"/>
    <w:rsid w:val="003E7E81"/>
    <w:rsid w:val="003F1532"/>
    <w:rsid w:val="003F37FA"/>
    <w:rsid w:val="0040364C"/>
    <w:rsid w:val="00406ECA"/>
    <w:rsid w:val="00415F81"/>
    <w:rsid w:val="00420DA0"/>
    <w:rsid w:val="004229AC"/>
    <w:rsid w:val="00423C42"/>
    <w:rsid w:val="00433936"/>
    <w:rsid w:val="004348A1"/>
    <w:rsid w:val="00435FC3"/>
    <w:rsid w:val="004364CA"/>
    <w:rsid w:val="00443505"/>
    <w:rsid w:val="00452DA5"/>
    <w:rsid w:val="00456FDA"/>
    <w:rsid w:val="0046039C"/>
    <w:rsid w:val="0046332E"/>
    <w:rsid w:val="004675EF"/>
    <w:rsid w:val="0047240D"/>
    <w:rsid w:val="00474396"/>
    <w:rsid w:val="00474A75"/>
    <w:rsid w:val="004822EA"/>
    <w:rsid w:val="00482D19"/>
    <w:rsid w:val="00483604"/>
    <w:rsid w:val="00485640"/>
    <w:rsid w:val="004874F9"/>
    <w:rsid w:val="004934CE"/>
    <w:rsid w:val="00494585"/>
    <w:rsid w:val="004A040B"/>
    <w:rsid w:val="004A06A4"/>
    <w:rsid w:val="004A3F71"/>
    <w:rsid w:val="004A40EE"/>
    <w:rsid w:val="004A528E"/>
    <w:rsid w:val="004A6D4F"/>
    <w:rsid w:val="004A700C"/>
    <w:rsid w:val="004B3496"/>
    <w:rsid w:val="004C4533"/>
    <w:rsid w:val="004C4A0D"/>
    <w:rsid w:val="004C564D"/>
    <w:rsid w:val="004D3F80"/>
    <w:rsid w:val="004D62F8"/>
    <w:rsid w:val="004E1B60"/>
    <w:rsid w:val="004E5814"/>
    <w:rsid w:val="004F0558"/>
    <w:rsid w:val="004F202F"/>
    <w:rsid w:val="004F462B"/>
    <w:rsid w:val="004F6869"/>
    <w:rsid w:val="00500B5A"/>
    <w:rsid w:val="00504DAC"/>
    <w:rsid w:val="00506EA3"/>
    <w:rsid w:val="00507611"/>
    <w:rsid w:val="00507969"/>
    <w:rsid w:val="00522054"/>
    <w:rsid w:val="00523DEF"/>
    <w:rsid w:val="005274A6"/>
    <w:rsid w:val="00527AA5"/>
    <w:rsid w:val="00531244"/>
    <w:rsid w:val="00531A55"/>
    <w:rsid w:val="00532C48"/>
    <w:rsid w:val="00543796"/>
    <w:rsid w:val="005442FA"/>
    <w:rsid w:val="00550DC3"/>
    <w:rsid w:val="005510DD"/>
    <w:rsid w:val="00555FC7"/>
    <w:rsid w:val="005575A9"/>
    <w:rsid w:val="00565594"/>
    <w:rsid w:val="005659DC"/>
    <w:rsid w:val="00573C67"/>
    <w:rsid w:val="005758C8"/>
    <w:rsid w:val="00575EC6"/>
    <w:rsid w:val="00581FAE"/>
    <w:rsid w:val="0058684C"/>
    <w:rsid w:val="0059221C"/>
    <w:rsid w:val="005953A2"/>
    <w:rsid w:val="005A3BE1"/>
    <w:rsid w:val="005A62DF"/>
    <w:rsid w:val="005B12C0"/>
    <w:rsid w:val="005B309F"/>
    <w:rsid w:val="005B57B6"/>
    <w:rsid w:val="005C118E"/>
    <w:rsid w:val="005C5BDB"/>
    <w:rsid w:val="005C6CB9"/>
    <w:rsid w:val="005D005F"/>
    <w:rsid w:val="005D2143"/>
    <w:rsid w:val="005D2CA3"/>
    <w:rsid w:val="005D3EA7"/>
    <w:rsid w:val="005D5DCA"/>
    <w:rsid w:val="005E3AAE"/>
    <w:rsid w:val="005E7BA8"/>
    <w:rsid w:val="005F0D44"/>
    <w:rsid w:val="005F1051"/>
    <w:rsid w:val="005F69F1"/>
    <w:rsid w:val="005F6DB4"/>
    <w:rsid w:val="00607294"/>
    <w:rsid w:val="00607D7E"/>
    <w:rsid w:val="00614AC6"/>
    <w:rsid w:val="0062019A"/>
    <w:rsid w:val="006213C5"/>
    <w:rsid w:val="00623552"/>
    <w:rsid w:val="00623D4A"/>
    <w:rsid w:val="00624FD2"/>
    <w:rsid w:val="00632157"/>
    <w:rsid w:val="00635075"/>
    <w:rsid w:val="00636405"/>
    <w:rsid w:val="00640811"/>
    <w:rsid w:val="0064193A"/>
    <w:rsid w:val="006456E9"/>
    <w:rsid w:val="006502D6"/>
    <w:rsid w:val="006507CD"/>
    <w:rsid w:val="006513F8"/>
    <w:rsid w:val="00652664"/>
    <w:rsid w:val="006560E4"/>
    <w:rsid w:val="00660A07"/>
    <w:rsid w:val="00661D88"/>
    <w:rsid w:val="00663F78"/>
    <w:rsid w:val="006668B2"/>
    <w:rsid w:val="00672E6A"/>
    <w:rsid w:val="0067380B"/>
    <w:rsid w:val="00684894"/>
    <w:rsid w:val="00684A48"/>
    <w:rsid w:val="0068504A"/>
    <w:rsid w:val="00685713"/>
    <w:rsid w:val="00691F1D"/>
    <w:rsid w:val="0069479F"/>
    <w:rsid w:val="006A0FF6"/>
    <w:rsid w:val="006A7AEA"/>
    <w:rsid w:val="006B0C76"/>
    <w:rsid w:val="006B293F"/>
    <w:rsid w:val="006B6307"/>
    <w:rsid w:val="006B66D3"/>
    <w:rsid w:val="006B7200"/>
    <w:rsid w:val="006C0366"/>
    <w:rsid w:val="006C66FB"/>
    <w:rsid w:val="006C7411"/>
    <w:rsid w:val="006D2A4A"/>
    <w:rsid w:val="006D36E0"/>
    <w:rsid w:val="006E2FEE"/>
    <w:rsid w:val="006E703B"/>
    <w:rsid w:val="006F1CAC"/>
    <w:rsid w:val="00703C17"/>
    <w:rsid w:val="00704CC4"/>
    <w:rsid w:val="00706734"/>
    <w:rsid w:val="00706F7A"/>
    <w:rsid w:val="0071356B"/>
    <w:rsid w:val="0071380B"/>
    <w:rsid w:val="007174F5"/>
    <w:rsid w:val="00721706"/>
    <w:rsid w:val="00722860"/>
    <w:rsid w:val="00724DEC"/>
    <w:rsid w:val="0072780F"/>
    <w:rsid w:val="00730F4B"/>
    <w:rsid w:val="00733363"/>
    <w:rsid w:val="007415B4"/>
    <w:rsid w:val="00750DB4"/>
    <w:rsid w:val="00752127"/>
    <w:rsid w:val="00753E38"/>
    <w:rsid w:val="00756711"/>
    <w:rsid w:val="007571DB"/>
    <w:rsid w:val="00760303"/>
    <w:rsid w:val="00766578"/>
    <w:rsid w:val="00770149"/>
    <w:rsid w:val="007705F9"/>
    <w:rsid w:val="00771BA5"/>
    <w:rsid w:val="007812B5"/>
    <w:rsid w:val="00787273"/>
    <w:rsid w:val="007A2917"/>
    <w:rsid w:val="007B06D6"/>
    <w:rsid w:val="007C033C"/>
    <w:rsid w:val="007C318C"/>
    <w:rsid w:val="007D31C4"/>
    <w:rsid w:val="007D4AE3"/>
    <w:rsid w:val="007D72CF"/>
    <w:rsid w:val="007E3836"/>
    <w:rsid w:val="007E63EB"/>
    <w:rsid w:val="0080221D"/>
    <w:rsid w:val="00802A50"/>
    <w:rsid w:val="00803400"/>
    <w:rsid w:val="00804042"/>
    <w:rsid w:val="008042B7"/>
    <w:rsid w:val="008120A0"/>
    <w:rsid w:val="00814D92"/>
    <w:rsid w:val="00815062"/>
    <w:rsid w:val="00823A5B"/>
    <w:rsid w:val="008278BE"/>
    <w:rsid w:val="00836C29"/>
    <w:rsid w:val="00846A28"/>
    <w:rsid w:val="00851393"/>
    <w:rsid w:val="008533C5"/>
    <w:rsid w:val="00853B69"/>
    <w:rsid w:val="00855C71"/>
    <w:rsid w:val="0086320F"/>
    <w:rsid w:val="00865B99"/>
    <w:rsid w:val="00874FFA"/>
    <w:rsid w:val="00880842"/>
    <w:rsid w:val="008A3968"/>
    <w:rsid w:val="008A553E"/>
    <w:rsid w:val="008B0990"/>
    <w:rsid w:val="008B26FB"/>
    <w:rsid w:val="008B39F3"/>
    <w:rsid w:val="008B3F1B"/>
    <w:rsid w:val="008C0B39"/>
    <w:rsid w:val="008D28D1"/>
    <w:rsid w:val="008D28EC"/>
    <w:rsid w:val="008D2C7F"/>
    <w:rsid w:val="008D3F71"/>
    <w:rsid w:val="008D5BA2"/>
    <w:rsid w:val="008E34A0"/>
    <w:rsid w:val="008F26E7"/>
    <w:rsid w:val="008F6523"/>
    <w:rsid w:val="008F6B52"/>
    <w:rsid w:val="00903304"/>
    <w:rsid w:val="00904BAC"/>
    <w:rsid w:val="00904D01"/>
    <w:rsid w:val="00915661"/>
    <w:rsid w:val="009202C7"/>
    <w:rsid w:val="00922A3E"/>
    <w:rsid w:val="0092341D"/>
    <w:rsid w:val="009271DF"/>
    <w:rsid w:val="009309C4"/>
    <w:rsid w:val="00934166"/>
    <w:rsid w:val="00934D47"/>
    <w:rsid w:val="009412B9"/>
    <w:rsid w:val="009423E5"/>
    <w:rsid w:val="00954991"/>
    <w:rsid w:val="009732C2"/>
    <w:rsid w:val="00974BF7"/>
    <w:rsid w:val="009770DD"/>
    <w:rsid w:val="0099667F"/>
    <w:rsid w:val="009A328C"/>
    <w:rsid w:val="009B048C"/>
    <w:rsid w:val="009B0850"/>
    <w:rsid w:val="009B0D7F"/>
    <w:rsid w:val="009B47C4"/>
    <w:rsid w:val="009B53BE"/>
    <w:rsid w:val="009B7BB1"/>
    <w:rsid w:val="009B7E15"/>
    <w:rsid w:val="009C0BB9"/>
    <w:rsid w:val="009C22D6"/>
    <w:rsid w:val="009C67FD"/>
    <w:rsid w:val="009C7F76"/>
    <w:rsid w:val="009D4DB4"/>
    <w:rsid w:val="009D5DA8"/>
    <w:rsid w:val="009E16AD"/>
    <w:rsid w:val="009E177B"/>
    <w:rsid w:val="009E34B0"/>
    <w:rsid w:val="009F1159"/>
    <w:rsid w:val="00A01CBA"/>
    <w:rsid w:val="00A03F1C"/>
    <w:rsid w:val="00A14089"/>
    <w:rsid w:val="00A234EE"/>
    <w:rsid w:val="00A26D74"/>
    <w:rsid w:val="00A27B4B"/>
    <w:rsid w:val="00A34EAC"/>
    <w:rsid w:val="00A367D9"/>
    <w:rsid w:val="00A40F7E"/>
    <w:rsid w:val="00A4608E"/>
    <w:rsid w:val="00A468F8"/>
    <w:rsid w:val="00A50E40"/>
    <w:rsid w:val="00A52B3A"/>
    <w:rsid w:val="00A54BF9"/>
    <w:rsid w:val="00A551BD"/>
    <w:rsid w:val="00A5554B"/>
    <w:rsid w:val="00A618E7"/>
    <w:rsid w:val="00A62231"/>
    <w:rsid w:val="00A6438B"/>
    <w:rsid w:val="00A64DF4"/>
    <w:rsid w:val="00A80952"/>
    <w:rsid w:val="00A85875"/>
    <w:rsid w:val="00A85F42"/>
    <w:rsid w:val="00A9279F"/>
    <w:rsid w:val="00A95869"/>
    <w:rsid w:val="00AA2276"/>
    <w:rsid w:val="00AA7FC2"/>
    <w:rsid w:val="00AC0AC4"/>
    <w:rsid w:val="00AC18F2"/>
    <w:rsid w:val="00AC572A"/>
    <w:rsid w:val="00AC7612"/>
    <w:rsid w:val="00AD0258"/>
    <w:rsid w:val="00AD26B7"/>
    <w:rsid w:val="00AD3E90"/>
    <w:rsid w:val="00AD7078"/>
    <w:rsid w:val="00AE2B45"/>
    <w:rsid w:val="00AE5976"/>
    <w:rsid w:val="00AF2A61"/>
    <w:rsid w:val="00AF401C"/>
    <w:rsid w:val="00AF4386"/>
    <w:rsid w:val="00AF4DED"/>
    <w:rsid w:val="00B04BC7"/>
    <w:rsid w:val="00B07EFC"/>
    <w:rsid w:val="00B13BC9"/>
    <w:rsid w:val="00B152D0"/>
    <w:rsid w:val="00B24C3D"/>
    <w:rsid w:val="00B25B9E"/>
    <w:rsid w:val="00B31116"/>
    <w:rsid w:val="00B47F2F"/>
    <w:rsid w:val="00B52410"/>
    <w:rsid w:val="00B545C6"/>
    <w:rsid w:val="00B54F68"/>
    <w:rsid w:val="00B56DC8"/>
    <w:rsid w:val="00B572C2"/>
    <w:rsid w:val="00B643BE"/>
    <w:rsid w:val="00B75CB9"/>
    <w:rsid w:val="00B76A3C"/>
    <w:rsid w:val="00B811E3"/>
    <w:rsid w:val="00B81628"/>
    <w:rsid w:val="00B85864"/>
    <w:rsid w:val="00BA0A0E"/>
    <w:rsid w:val="00BA33CE"/>
    <w:rsid w:val="00BA7BFD"/>
    <w:rsid w:val="00BB2856"/>
    <w:rsid w:val="00BD1346"/>
    <w:rsid w:val="00BE3C2E"/>
    <w:rsid w:val="00BF0C44"/>
    <w:rsid w:val="00C03582"/>
    <w:rsid w:val="00C1537A"/>
    <w:rsid w:val="00C225A1"/>
    <w:rsid w:val="00C24959"/>
    <w:rsid w:val="00C27649"/>
    <w:rsid w:val="00C375DD"/>
    <w:rsid w:val="00C555DE"/>
    <w:rsid w:val="00C57AD1"/>
    <w:rsid w:val="00C63B56"/>
    <w:rsid w:val="00C664EE"/>
    <w:rsid w:val="00C7349D"/>
    <w:rsid w:val="00C73654"/>
    <w:rsid w:val="00C73F45"/>
    <w:rsid w:val="00C7734E"/>
    <w:rsid w:val="00C932E8"/>
    <w:rsid w:val="00C93460"/>
    <w:rsid w:val="00C96BD2"/>
    <w:rsid w:val="00C97943"/>
    <w:rsid w:val="00CA08CF"/>
    <w:rsid w:val="00CA1531"/>
    <w:rsid w:val="00CA4129"/>
    <w:rsid w:val="00CB15EC"/>
    <w:rsid w:val="00CB16F6"/>
    <w:rsid w:val="00CB40D2"/>
    <w:rsid w:val="00CB6A24"/>
    <w:rsid w:val="00CC38CA"/>
    <w:rsid w:val="00CC38F6"/>
    <w:rsid w:val="00CD1A94"/>
    <w:rsid w:val="00CD5A7B"/>
    <w:rsid w:val="00CE03F6"/>
    <w:rsid w:val="00CE4938"/>
    <w:rsid w:val="00CE611F"/>
    <w:rsid w:val="00CE6614"/>
    <w:rsid w:val="00D04C22"/>
    <w:rsid w:val="00D2167C"/>
    <w:rsid w:val="00D22171"/>
    <w:rsid w:val="00D263EE"/>
    <w:rsid w:val="00D26AA4"/>
    <w:rsid w:val="00D342D7"/>
    <w:rsid w:val="00D36109"/>
    <w:rsid w:val="00D51433"/>
    <w:rsid w:val="00D51B8D"/>
    <w:rsid w:val="00D528CA"/>
    <w:rsid w:val="00D74149"/>
    <w:rsid w:val="00D74418"/>
    <w:rsid w:val="00D853BF"/>
    <w:rsid w:val="00D86619"/>
    <w:rsid w:val="00D9049F"/>
    <w:rsid w:val="00DA1E69"/>
    <w:rsid w:val="00DA3E48"/>
    <w:rsid w:val="00DA489F"/>
    <w:rsid w:val="00DA4C25"/>
    <w:rsid w:val="00DA52CF"/>
    <w:rsid w:val="00DA6874"/>
    <w:rsid w:val="00DB4416"/>
    <w:rsid w:val="00DC1D68"/>
    <w:rsid w:val="00DC1ED4"/>
    <w:rsid w:val="00DC2732"/>
    <w:rsid w:val="00DC2D2E"/>
    <w:rsid w:val="00DC552B"/>
    <w:rsid w:val="00DC7887"/>
    <w:rsid w:val="00DD1523"/>
    <w:rsid w:val="00DD28CB"/>
    <w:rsid w:val="00DD509C"/>
    <w:rsid w:val="00DD5B3D"/>
    <w:rsid w:val="00DD6783"/>
    <w:rsid w:val="00DE154E"/>
    <w:rsid w:val="00DE5FA8"/>
    <w:rsid w:val="00DF663C"/>
    <w:rsid w:val="00E02337"/>
    <w:rsid w:val="00E04869"/>
    <w:rsid w:val="00E048A8"/>
    <w:rsid w:val="00E11374"/>
    <w:rsid w:val="00E1284F"/>
    <w:rsid w:val="00E17977"/>
    <w:rsid w:val="00E2031C"/>
    <w:rsid w:val="00E23F19"/>
    <w:rsid w:val="00E31BE7"/>
    <w:rsid w:val="00E31E54"/>
    <w:rsid w:val="00E3279E"/>
    <w:rsid w:val="00E3356D"/>
    <w:rsid w:val="00E34CF3"/>
    <w:rsid w:val="00E421EB"/>
    <w:rsid w:val="00E4751A"/>
    <w:rsid w:val="00E53C34"/>
    <w:rsid w:val="00E55543"/>
    <w:rsid w:val="00E56E0D"/>
    <w:rsid w:val="00E611F2"/>
    <w:rsid w:val="00E66D72"/>
    <w:rsid w:val="00E66E9B"/>
    <w:rsid w:val="00E74610"/>
    <w:rsid w:val="00E76092"/>
    <w:rsid w:val="00E8096D"/>
    <w:rsid w:val="00E97E8B"/>
    <w:rsid w:val="00EA3659"/>
    <w:rsid w:val="00EA3A83"/>
    <w:rsid w:val="00EC3E05"/>
    <w:rsid w:val="00EC48E6"/>
    <w:rsid w:val="00EC55D5"/>
    <w:rsid w:val="00EC67AC"/>
    <w:rsid w:val="00EE1D6E"/>
    <w:rsid w:val="00EE2036"/>
    <w:rsid w:val="00EE25B3"/>
    <w:rsid w:val="00EE3D2B"/>
    <w:rsid w:val="00EE5CD3"/>
    <w:rsid w:val="00EE64FA"/>
    <w:rsid w:val="00EE6F8A"/>
    <w:rsid w:val="00F02414"/>
    <w:rsid w:val="00F067C9"/>
    <w:rsid w:val="00F06C20"/>
    <w:rsid w:val="00F16C86"/>
    <w:rsid w:val="00F179A2"/>
    <w:rsid w:val="00F206AD"/>
    <w:rsid w:val="00F3443F"/>
    <w:rsid w:val="00F37424"/>
    <w:rsid w:val="00F4058E"/>
    <w:rsid w:val="00F44DC9"/>
    <w:rsid w:val="00F450E0"/>
    <w:rsid w:val="00F530B7"/>
    <w:rsid w:val="00F6209C"/>
    <w:rsid w:val="00F633A7"/>
    <w:rsid w:val="00F716D1"/>
    <w:rsid w:val="00F71C00"/>
    <w:rsid w:val="00F75EFF"/>
    <w:rsid w:val="00F768EE"/>
    <w:rsid w:val="00F80F9D"/>
    <w:rsid w:val="00F85064"/>
    <w:rsid w:val="00F90460"/>
    <w:rsid w:val="00F90469"/>
    <w:rsid w:val="00FA2530"/>
    <w:rsid w:val="00FA42FF"/>
    <w:rsid w:val="00FD01D5"/>
    <w:rsid w:val="00FE06DC"/>
    <w:rsid w:val="00FE0F63"/>
    <w:rsid w:val="00FE2F4A"/>
    <w:rsid w:val="00FE4C6F"/>
    <w:rsid w:val="00FE517A"/>
    <w:rsid w:val="00FF1F7D"/>
    <w:rsid w:val="2FCCB97E"/>
    <w:rsid w:val="7E1455F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AB256"/>
  <w15:docId w15:val="{1B7A4308-8894-4071-B38F-060AE0313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27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9F1"/>
    <w:pPr>
      <w:ind w:left="720"/>
      <w:contextualSpacing/>
    </w:pPr>
    <w:rPr>
      <w:lang w:val="en-US"/>
    </w:rPr>
  </w:style>
  <w:style w:type="character" w:styleId="Hyperlink">
    <w:name w:val="Hyperlink"/>
    <w:basedOn w:val="DefaultParagraphFont"/>
    <w:uiPriority w:val="99"/>
    <w:unhideWhenUsed/>
    <w:rsid w:val="005F69F1"/>
    <w:rPr>
      <w:color w:val="0563C1" w:themeColor="hyperlink"/>
      <w:u w:val="single"/>
    </w:rPr>
  </w:style>
  <w:style w:type="paragraph" w:styleId="Header">
    <w:name w:val="header"/>
    <w:basedOn w:val="Normal"/>
    <w:link w:val="HeaderChar"/>
    <w:uiPriority w:val="99"/>
    <w:unhideWhenUsed/>
    <w:rsid w:val="005F69F1"/>
    <w:pPr>
      <w:tabs>
        <w:tab w:val="center" w:pos="4819"/>
        <w:tab w:val="right" w:pos="9638"/>
      </w:tabs>
      <w:spacing w:after="0" w:line="240" w:lineRule="auto"/>
    </w:pPr>
  </w:style>
  <w:style w:type="character" w:customStyle="1" w:styleId="HeaderChar">
    <w:name w:val="Header Char"/>
    <w:basedOn w:val="DefaultParagraphFont"/>
    <w:link w:val="Header"/>
    <w:uiPriority w:val="99"/>
    <w:rsid w:val="005F69F1"/>
  </w:style>
  <w:style w:type="paragraph" w:styleId="Footer">
    <w:name w:val="footer"/>
    <w:basedOn w:val="Normal"/>
    <w:link w:val="FooterChar"/>
    <w:uiPriority w:val="99"/>
    <w:unhideWhenUsed/>
    <w:rsid w:val="005F69F1"/>
    <w:pPr>
      <w:tabs>
        <w:tab w:val="center" w:pos="4819"/>
        <w:tab w:val="right" w:pos="9638"/>
      </w:tabs>
      <w:spacing w:after="0" w:line="240" w:lineRule="auto"/>
    </w:pPr>
  </w:style>
  <w:style w:type="character" w:customStyle="1" w:styleId="FooterChar">
    <w:name w:val="Footer Char"/>
    <w:basedOn w:val="DefaultParagraphFont"/>
    <w:link w:val="Footer"/>
    <w:uiPriority w:val="99"/>
    <w:rsid w:val="005F69F1"/>
  </w:style>
  <w:style w:type="character" w:customStyle="1" w:styleId="Mention1">
    <w:name w:val="Mention1"/>
    <w:basedOn w:val="DefaultParagraphFont"/>
    <w:uiPriority w:val="99"/>
    <w:semiHidden/>
    <w:unhideWhenUsed/>
    <w:rsid w:val="00065F38"/>
    <w:rPr>
      <w:color w:val="2B579A"/>
      <w:shd w:val="clear" w:color="auto" w:fill="E6E6E6"/>
    </w:rPr>
  </w:style>
  <w:style w:type="paragraph" w:styleId="NormalWeb">
    <w:name w:val="Normal (Web)"/>
    <w:basedOn w:val="Normal"/>
    <w:uiPriority w:val="99"/>
    <w:semiHidden/>
    <w:unhideWhenUsed/>
    <w:rsid w:val="00771BA5"/>
    <w:rPr>
      <w:rFonts w:ascii="Times New Roman" w:hAnsi="Times New Roman" w:cs="Times New Roman"/>
      <w:sz w:val="24"/>
      <w:szCs w:val="24"/>
    </w:rPr>
  </w:style>
  <w:style w:type="character" w:styleId="CommentReference">
    <w:name w:val="annotation reference"/>
    <w:basedOn w:val="DefaultParagraphFont"/>
    <w:unhideWhenUsed/>
    <w:rsid w:val="00B81628"/>
    <w:rPr>
      <w:sz w:val="16"/>
      <w:szCs w:val="16"/>
    </w:rPr>
  </w:style>
  <w:style w:type="paragraph" w:styleId="CommentText">
    <w:name w:val="annotation text"/>
    <w:basedOn w:val="Normal"/>
    <w:link w:val="CommentTextChar"/>
    <w:unhideWhenUsed/>
    <w:qFormat/>
    <w:rsid w:val="00B81628"/>
    <w:pPr>
      <w:spacing w:line="240" w:lineRule="auto"/>
    </w:pPr>
    <w:rPr>
      <w:sz w:val="20"/>
      <w:szCs w:val="20"/>
    </w:rPr>
  </w:style>
  <w:style w:type="character" w:customStyle="1" w:styleId="CommentTextChar">
    <w:name w:val="Comment Text Char"/>
    <w:basedOn w:val="DefaultParagraphFont"/>
    <w:link w:val="CommentText"/>
    <w:rsid w:val="00B81628"/>
    <w:rPr>
      <w:sz w:val="20"/>
      <w:szCs w:val="20"/>
    </w:rPr>
  </w:style>
  <w:style w:type="paragraph" w:styleId="CommentSubject">
    <w:name w:val="annotation subject"/>
    <w:basedOn w:val="CommentText"/>
    <w:next w:val="CommentText"/>
    <w:link w:val="CommentSubjectChar"/>
    <w:uiPriority w:val="99"/>
    <w:semiHidden/>
    <w:unhideWhenUsed/>
    <w:rsid w:val="00B81628"/>
    <w:rPr>
      <w:b/>
      <w:bCs/>
    </w:rPr>
  </w:style>
  <w:style w:type="character" w:customStyle="1" w:styleId="CommentSubjectChar">
    <w:name w:val="Comment Subject Char"/>
    <w:basedOn w:val="CommentTextChar"/>
    <w:link w:val="CommentSubject"/>
    <w:uiPriority w:val="99"/>
    <w:semiHidden/>
    <w:rsid w:val="00B81628"/>
    <w:rPr>
      <w:b/>
      <w:bCs/>
      <w:sz w:val="20"/>
      <w:szCs w:val="20"/>
    </w:rPr>
  </w:style>
  <w:style w:type="paragraph" w:styleId="BalloonText">
    <w:name w:val="Balloon Text"/>
    <w:basedOn w:val="Normal"/>
    <w:link w:val="BalloonTextChar"/>
    <w:uiPriority w:val="99"/>
    <w:semiHidden/>
    <w:unhideWhenUsed/>
    <w:rsid w:val="00B81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628"/>
    <w:rPr>
      <w:rFonts w:ascii="Segoe UI" w:hAnsi="Segoe UI" w:cs="Segoe UI"/>
      <w:sz w:val="18"/>
      <w:szCs w:val="18"/>
    </w:rPr>
  </w:style>
  <w:style w:type="paragraph" w:styleId="Revision">
    <w:name w:val="Revision"/>
    <w:hidden/>
    <w:uiPriority w:val="99"/>
    <w:semiHidden/>
    <w:rsid w:val="004F202F"/>
    <w:pPr>
      <w:spacing w:after="0" w:line="240" w:lineRule="auto"/>
    </w:pPr>
  </w:style>
  <w:style w:type="character" w:customStyle="1" w:styleId="Heading1Char">
    <w:name w:val="Heading 1 Char"/>
    <w:basedOn w:val="DefaultParagraphFont"/>
    <w:link w:val="Heading1"/>
    <w:uiPriority w:val="9"/>
    <w:rsid w:val="003127D5"/>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CE611F"/>
    <w:rPr>
      <w:color w:val="808080"/>
      <w:shd w:val="clear" w:color="auto" w:fill="E6E6E6"/>
    </w:rPr>
  </w:style>
  <w:style w:type="table" w:styleId="TableGrid">
    <w:name w:val="Table Grid"/>
    <w:basedOn w:val="TableNormal"/>
    <w:uiPriority w:val="39"/>
    <w:rsid w:val="00C2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201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82211">
      <w:bodyDiv w:val="1"/>
      <w:marLeft w:val="0"/>
      <w:marRight w:val="0"/>
      <w:marTop w:val="0"/>
      <w:marBottom w:val="0"/>
      <w:divBdr>
        <w:top w:val="none" w:sz="0" w:space="0" w:color="auto"/>
        <w:left w:val="none" w:sz="0" w:space="0" w:color="auto"/>
        <w:bottom w:val="none" w:sz="0" w:space="0" w:color="auto"/>
        <w:right w:val="none" w:sz="0" w:space="0" w:color="auto"/>
      </w:divBdr>
    </w:div>
    <w:div w:id="205413217">
      <w:bodyDiv w:val="1"/>
      <w:marLeft w:val="0"/>
      <w:marRight w:val="0"/>
      <w:marTop w:val="0"/>
      <w:marBottom w:val="0"/>
      <w:divBdr>
        <w:top w:val="none" w:sz="0" w:space="0" w:color="auto"/>
        <w:left w:val="none" w:sz="0" w:space="0" w:color="auto"/>
        <w:bottom w:val="none" w:sz="0" w:space="0" w:color="auto"/>
        <w:right w:val="none" w:sz="0" w:space="0" w:color="auto"/>
      </w:divBdr>
    </w:div>
    <w:div w:id="251933907">
      <w:bodyDiv w:val="1"/>
      <w:marLeft w:val="0"/>
      <w:marRight w:val="0"/>
      <w:marTop w:val="0"/>
      <w:marBottom w:val="0"/>
      <w:divBdr>
        <w:top w:val="none" w:sz="0" w:space="0" w:color="auto"/>
        <w:left w:val="none" w:sz="0" w:space="0" w:color="auto"/>
        <w:bottom w:val="none" w:sz="0" w:space="0" w:color="auto"/>
        <w:right w:val="none" w:sz="0" w:space="0" w:color="auto"/>
      </w:divBdr>
    </w:div>
    <w:div w:id="389114788">
      <w:bodyDiv w:val="1"/>
      <w:marLeft w:val="0"/>
      <w:marRight w:val="0"/>
      <w:marTop w:val="0"/>
      <w:marBottom w:val="0"/>
      <w:divBdr>
        <w:top w:val="none" w:sz="0" w:space="0" w:color="auto"/>
        <w:left w:val="none" w:sz="0" w:space="0" w:color="auto"/>
        <w:bottom w:val="none" w:sz="0" w:space="0" w:color="auto"/>
        <w:right w:val="none" w:sz="0" w:space="0" w:color="auto"/>
      </w:divBdr>
    </w:div>
    <w:div w:id="410276025">
      <w:bodyDiv w:val="1"/>
      <w:marLeft w:val="0"/>
      <w:marRight w:val="0"/>
      <w:marTop w:val="0"/>
      <w:marBottom w:val="0"/>
      <w:divBdr>
        <w:top w:val="none" w:sz="0" w:space="0" w:color="auto"/>
        <w:left w:val="none" w:sz="0" w:space="0" w:color="auto"/>
        <w:bottom w:val="none" w:sz="0" w:space="0" w:color="auto"/>
        <w:right w:val="none" w:sz="0" w:space="0" w:color="auto"/>
      </w:divBdr>
    </w:div>
    <w:div w:id="531767537">
      <w:bodyDiv w:val="1"/>
      <w:marLeft w:val="0"/>
      <w:marRight w:val="0"/>
      <w:marTop w:val="0"/>
      <w:marBottom w:val="0"/>
      <w:divBdr>
        <w:top w:val="none" w:sz="0" w:space="0" w:color="auto"/>
        <w:left w:val="none" w:sz="0" w:space="0" w:color="auto"/>
        <w:bottom w:val="none" w:sz="0" w:space="0" w:color="auto"/>
        <w:right w:val="none" w:sz="0" w:space="0" w:color="auto"/>
      </w:divBdr>
    </w:div>
    <w:div w:id="677846802">
      <w:bodyDiv w:val="1"/>
      <w:marLeft w:val="0"/>
      <w:marRight w:val="0"/>
      <w:marTop w:val="0"/>
      <w:marBottom w:val="0"/>
      <w:divBdr>
        <w:top w:val="none" w:sz="0" w:space="0" w:color="auto"/>
        <w:left w:val="none" w:sz="0" w:space="0" w:color="auto"/>
        <w:bottom w:val="none" w:sz="0" w:space="0" w:color="auto"/>
        <w:right w:val="none" w:sz="0" w:space="0" w:color="auto"/>
      </w:divBdr>
    </w:div>
    <w:div w:id="735519788">
      <w:bodyDiv w:val="1"/>
      <w:marLeft w:val="0"/>
      <w:marRight w:val="0"/>
      <w:marTop w:val="0"/>
      <w:marBottom w:val="0"/>
      <w:divBdr>
        <w:top w:val="none" w:sz="0" w:space="0" w:color="auto"/>
        <w:left w:val="none" w:sz="0" w:space="0" w:color="auto"/>
        <w:bottom w:val="none" w:sz="0" w:space="0" w:color="auto"/>
        <w:right w:val="none" w:sz="0" w:space="0" w:color="auto"/>
      </w:divBdr>
    </w:div>
    <w:div w:id="883755398">
      <w:bodyDiv w:val="1"/>
      <w:marLeft w:val="0"/>
      <w:marRight w:val="0"/>
      <w:marTop w:val="0"/>
      <w:marBottom w:val="0"/>
      <w:divBdr>
        <w:top w:val="none" w:sz="0" w:space="0" w:color="auto"/>
        <w:left w:val="none" w:sz="0" w:space="0" w:color="auto"/>
        <w:bottom w:val="none" w:sz="0" w:space="0" w:color="auto"/>
        <w:right w:val="none" w:sz="0" w:space="0" w:color="auto"/>
      </w:divBdr>
      <w:divsChild>
        <w:div w:id="59594232">
          <w:marLeft w:val="360"/>
          <w:marRight w:val="0"/>
          <w:marTop w:val="0"/>
          <w:marBottom w:val="0"/>
          <w:divBdr>
            <w:top w:val="none" w:sz="0" w:space="0" w:color="auto"/>
            <w:left w:val="none" w:sz="0" w:space="0" w:color="auto"/>
            <w:bottom w:val="none" w:sz="0" w:space="0" w:color="auto"/>
            <w:right w:val="none" w:sz="0" w:space="0" w:color="auto"/>
          </w:divBdr>
        </w:div>
      </w:divsChild>
    </w:div>
    <w:div w:id="1049039009">
      <w:bodyDiv w:val="1"/>
      <w:marLeft w:val="0"/>
      <w:marRight w:val="0"/>
      <w:marTop w:val="0"/>
      <w:marBottom w:val="0"/>
      <w:divBdr>
        <w:top w:val="none" w:sz="0" w:space="0" w:color="auto"/>
        <w:left w:val="none" w:sz="0" w:space="0" w:color="auto"/>
        <w:bottom w:val="none" w:sz="0" w:space="0" w:color="auto"/>
        <w:right w:val="none" w:sz="0" w:space="0" w:color="auto"/>
      </w:divBdr>
    </w:div>
    <w:div w:id="1094941347">
      <w:bodyDiv w:val="1"/>
      <w:marLeft w:val="0"/>
      <w:marRight w:val="0"/>
      <w:marTop w:val="0"/>
      <w:marBottom w:val="0"/>
      <w:divBdr>
        <w:top w:val="none" w:sz="0" w:space="0" w:color="auto"/>
        <w:left w:val="none" w:sz="0" w:space="0" w:color="auto"/>
        <w:bottom w:val="none" w:sz="0" w:space="0" w:color="auto"/>
        <w:right w:val="none" w:sz="0" w:space="0" w:color="auto"/>
      </w:divBdr>
    </w:div>
    <w:div w:id="1121655710">
      <w:bodyDiv w:val="1"/>
      <w:marLeft w:val="0"/>
      <w:marRight w:val="0"/>
      <w:marTop w:val="0"/>
      <w:marBottom w:val="0"/>
      <w:divBdr>
        <w:top w:val="none" w:sz="0" w:space="0" w:color="auto"/>
        <w:left w:val="none" w:sz="0" w:space="0" w:color="auto"/>
        <w:bottom w:val="none" w:sz="0" w:space="0" w:color="auto"/>
        <w:right w:val="none" w:sz="0" w:space="0" w:color="auto"/>
      </w:divBdr>
    </w:div>
    <w:div w:id="1141579053">
      <w:bodyDiv w:val="1"/>
      <w:marLeft w:val="0"/>
      <w:marRight w:val="0"/>
      <w:marTop w:val="0"/>
      <w:marBottom w:val="0"/>
      <w:divBdr>
        <w:top w:val="none" w:sz="0" w:space="0" w:color="auto"/>
        <w:left w:val="none" w:sz="0" w:space="0" w:color="auto"/>
        <w:bottom w:val="none" w:sz="0" w:space="0" w:color="auto"/>
        <w:right w:val="none" w:sz="0" w:space="0" w:color="auto"/>
      </w:divBdr>
    </w:div>
    <w:div w:id="1181898557">
      <w:bodyDiv w:val="1"/>
      <w:marLeft w:val="0"/>
      <w:marRight w:val="0"/>
      <w:marTop w:val="0"/>
      <w:marBottom w:val="0"/>
      <w:divBdr>
        <w:top w:val="none" w:sz="0" w:space="0" w:color="auto"/>
        <w:left w:val="none" w:sz="0" w:space="0" w:color="auto"/>
        <w:bottom w:val="none" w:sz="0" w:space="0" w:color="auto"/>
        <w:right w:val="none" w:sz="0" w:space="0" w:color="auto"/>
      </w:divBdr>
    </w:div>
    <w:div w:id="1193886245">
      <w:bodyDiv w:val="1"/>
      <w:marLeft w:val="0"/>
      <w:marRight w:val="0"/>
      <w:marTop w:val="0"/>
      <w:marBottom w:val="0"/>
      <w:divBdr>
        <w:top w:val="none" w:sz="0" w:space="0" w:color="auto"/>
        <w:left w:val="none" w:sz="0" w:space="0" w:color="auto"/>
        <w:bottom w:val="none" w:sz="0" w:space="0" w:color="auto"/>
        <w:right w:val="none" w:sz="0" w:space="0" w:color="auto"/>
      </w:divBdr>
    </w:div>
    <w:div w:id="1281108355">
      <w:bodyDiv w:val="1"/>
      <w:marLeft w:val="0"/>
      <w:marRight w:val="0"/>
      <w:marTop w:val="0"/>
      <w:marBottom w:val="0"/>
      <w:divBdr>
        <w:top w:val="none" w:sz="0" w:space="0" w:color="auto"/>
        <w:left w:val="none" w:sz="0" w:space="0" w:color="auto"/>
        <w:bottom w:val="none" w:sz="0" w:space="0" w:color="auto"/>
        <w:right w:val="none" w:sz="0" w:space="0" w:color="auto"/>
      </w:divBdr>
    </w:div>
    <w:div w:id="1327660821">
      <w:bodyDiv w:val="1"/>
      <w:marLeft w:val="0"/>
      <w:marRight w:val="0"/>
      <w:marTop w:val="0"/>
      <w:marBottom w:val="0"/>
      <w:divBdr>
        <w:top w:val="none" w:sz="0" w:space="0" w:color="auto"/>
        <w:left w:val="none" w:sz="0" w:space="0" w:color="auto"/>
        <w:bottom w:val="none" w:sz="0" w:space="0" w:color="auto"/>
        <w:right w:val="none" w:sz="0" w:space="0" w:color="auto"/>
      </w:divBdr>
    </w:div>
    <w:div w:id="1359696510">
      <w:bodyDiv w:val="1"/>
      <w:marLeft w:val="0"/>
      <w:marRight w:val="0"/>
      <w:marTop w:val="0"/>
      <w:marBottom w:val="0"/>
      <w:divBdr>
        <w:top w:val="none" w:sz="0" w:space="0" w:color="auto"/>
        <w:left w:val="none" w:sz="0" w:space="0" w:color="auto"/>
        <w:bottom w:val="none" w:sz="0" w:space="0" w:color="auto"/>
        <w:right w:val="none" w:sz="0" w:space="0" w:color="auto"/>
      </w:divBdr>
    </w:div>
    <w:div w:id="1425229911">
      <w:bodyDiv w:val="1"/>
      <w:marLeft w:val="0"/>
      <w:marRight w:val="0"/>
      <w:marTop w:val="0"/>
      <w:marBottom w:val="0"/>
      <w:divBdr>
        <w:top w:val="none" w:sz="0" w:space="0" w:color="auto"/>
        <w:left w:val="none" w:sz="0" w:space="0" w:color="auto"/>
        <w:bottom w:val="none" w:sz="0" w:space="0" w:color="auto"/>
        <w:right w:val="none" w:sz="0" w:space="0" w:color="auto"/>
      </w:divBdr>
    </w:div>
    <w:div w:id="1479306138">
      <w:bodyDiv w:val="1"/>
      <w:marLeft w:val="0"/>
      <w:marRight w:val="0"/>
      <w:marTop w:val="0"/>
      <w:marBottom w:val="0"/>
      <w:divBdr>
        <w:top w:val="none" w:sz="0" w:space="0" w:color="auto"/>
        <w:left w:val="none" w:sz="0" w:space="0" w:color="auto"/>
        <w:bottom w:val="none" w:sz="0" w:space="0" w:color="auto"/>
        <w:right w:val="none" w:sz="0" w:space="0" w:color="auto"/>
      </w:divBdr>
    </w:div>
    <w:div w:id="1795057424">
      <w:bodyDiv w:val="1"/>
      <w:marLeft w:val="0"/>
      <w:marRight w:val="0"/>
      <w:marTop w:val="0"/>
      <w:marBottom w:val="0"/>
      <w:divBdr>
        <w:top w:val="none" w:sz="0" w:space="0" w:color="auto"/>
        <w:left w:val="none" w:sz="0" w:space="0" w:color="auto"/>
        <w:bottom w:val="none" w:sz="0" w:space="0" w:color="auto"/>
        <w:right w:val="none" w:sz="0" w:space="0" w:color="auto"/>
      </w:divBdr>
      <w:divsChild>
        <w:div w:id="204801178">
          <w:marLeft w:val="0"/>
          <w:marRight w:val="0"/>
          <w:marTop w:val="0"/>
          <w:marBottom w:val="0"/>
          <w:divBdr>
            <w:top w:val="none" w:sz="0" w:space="0" w:color="auto"/>
            <w:left w:val="none" w:sz="0" w:space="0" w:color="auto"/>
            <w:bottom w:val="none" w:sz="0" w:space="0" w:color="auto"/>
            <w:right w:val="none" w:sz="0" w:space="0" w:color="auto"/>
          </w:divBdr>
        </w:div>
        <w:div w:id="481388217">
          <w:marLeft w:val="0"/>
          <w:marRight w:val="0"/>
          <w:marTop w:val="0"/>
          <w:marBottom w:val="0"/>
          <w:divBdr>
            <w:top w:val="none" w:sz="0" w:space="0" w:color="auto"/>
            <w:left w:val="none" w:sz="0" w:space="0" w:color="auto"/>
            <w:bottom w:val="none" w:sz="0" w:space="0" w:color="auto"/>
            <w:right w:val="none" w:sz="0" w:space="0" w:color="auto"/>
          </w:divBdr>
        </w:div>
      </w:divsChild>
    </w:div>
    <w:div w:id="2126073304">
      <w:bodyDiv w:val="1"/>
      <w:marLeft w:val="0"/>
      <w:marRight w:val="0"/>
      <w:marTop w:val="0"/>
      <w:marBottom w:val="0"/>
      <w:divBdr>
        <w:top w:val="none" w:sz="0" w:space="0" w:color="auto"/>
        <w:left w:val="none" w:sz="0" w:space="0" w:color="auto"/>
        <w:bottom w:val="none" w:sz="0" w:space="0" w:color="auto"/>
        <w:right w:val="none" w:sz="0" w:space="0" w:color="auto"/>
      </w:divBdr>
    </w:div>
    <w:div w:id="212804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61d3acc24ba1374bf2bacd6944d13a21">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3edaf1c9aaa84d2d996008b37fee1654"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AE9B8-2C46-468A-864D-1C04B46C5382}">
  <ds:schemaRefs>
    <ds:schemaRef ds:uri="http://schemas.microsoft.com/sharepoint/v3/contenttype/forms"/>
  </ds:schemaRefs>
</ds:datastoreItem>
</file>

<file path=customXml/itemProps2.xml><?xml version="1.0" encoding="utf-8"?>
<ds:datastoreItem xmlns:ds="http://schemas.openxmlformats.org/officeDocument/2006/customXml" ds:itemID="{0959DB62-D7C9-4B4A-A4B1-EC6C25889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4B607E-45AE-4FE6-AC26-CC1D2B846FD0}">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4.xml><?xml version="1.0" encoding="utf-8"?>
<ds:datastoreItem xmlns:ds="http://schemas.openxmlformats.org/officeDocument/2006/customXml" ds:itemID="{6D94EA5E-6E02-4958-A6A2-E48DD96A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8881</Words>
  <Characters>50628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Björk Hansen</dc:creator>
  <cp:keywords/>
  <dc:description/>
  <cp:lastModifiedBy>Na Ma</cp:lastModifiedBy>
  <cp:revision>2</cp:revision>
  <cp:lastPrinted>2017-09-06T22:30:00Z</cp:lastPrinted>
  <dcterms:created xsi:type="dcterms:W3CDTF">2017-12-04T19:08:00Z</dcterms:created>
  <dcterms:modified xsi:type="dcterms:W3CDTF">2017-12-04T19:08:00Z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0x0101001BD03603348170499B56C67EF81769B1</vt:lpwstr>
  </property>
  <property fmtid="{D5CDD505-2E9C-101B-9397-08002B2CF9AE}" pid="3" name="Mendeley Document_1">
    <vt:lpwstr>True</vt:lpwstr>
  </property>
  <property fmtid="{D5CDD505-2E9C-101B-9397-08002B2CF9AE}" pid="4" name="Mendeley Unique User Id_1">
    <vt:lpwstr>3d08301d-a054-3b42-a19c-110b5720e800</vt:lpwstr>
  </property>
  <property fmtid="{D5CDD505-2E9C-101B-9397-08002B2CF9AE}" pid="5" name="Mendeley Citation Style_1">
    <vt:lpwstr>http://csl.mendeley.com/styles/483199841/world-journal-of-gastroenterology-2</vt:lpwstr>
  </property>
  <property fmtid="{D5CDD505-2E9C-101B-9397-08002B2CF9AE}" pid="6" name="Mendeley Recent Style Id 0_1">
    <vt:lpwstr>http://csl.mendeley.com/styles/483199841/american-physiological-society-HBH</vt:lpwstr>
  </property>
  <property fmtid="{D5CDD505-2E9C-101B-9397-08002B2CF9AE}" pid="7" name="Mendeley Recent Style Name 0_1">
    <vt:lpwstr>American Physiological Society - Henrik Hansen</vt:lpwstr>
  </property>
  <property fmtid="{D5CDD505-2E9C-101B-9397-08002B2CF9AE}" pid="8" name="Mendeley Recent Style Id 1_1">
    <vt:lpwstr>http://www.zotero.org/styles/brain-research</vt:lpwstr>
  </property>
  <property fmtid="{D5CDD505-2E9C-101B-9397-08002B2CF9AE}" pid="9" name="Mendeley Recent Style Name 1_1">
    <vt:lpwstr>Brain Research</vt:lpwstr>
  </property>
  <property fmtid="{D5CDD505-2E9C-101B-9397-08002B2CF9AE}" pid="10" name="Mendeley Recent Style Id 2_1">
    <vt:lpwstr>http://www.zotero.org/styles/diabetes-and-metabolism</vt:lpwstr>
  </property>
  <property fmtid="{D5CDD505-2E9C-101B-9397-08002B2CF9AE}" pid="11" name="Mendeley Recent Style Name 2_1">
    <vt:lpwstr>Diabetes and Metabolism</vt:lpwstr>
  </property>
  <property fmtid="{D5CDD505-2E9C-101B-9397-08002B2CF9AE}" pid="12" name="Mendeley Recent Style Id 3_1">
    <vt:lpwstr>http://csl.mendeley.com/styles/483199841/elsevier-vancouver-2</vt:lpwstr>
  </property>
  <property fmtid="{D5CDD505-2E9C-101B-9397-08002B2CF9AE}" pid="13" name="Mendeley Recent Style Name 3_1">
    <vt:lpwstr>Drug Discovery Today_new- Henrik Hansen</vt:lpwstr>
  </property>
  <property fmtid="{D5CDD505-2E9C-101B-9397-08002B2CF9AE}" pid="14" name="Mendeley Recent Style Id 4_1">
    <vt:lpwstr>http://csl.mendeley.com/styles/483199841/DDTnew</vt:lpwstr>
  </property>
  <property fmtid="{D5CDD505-2E9C-101B-9397-08002B2CF9AE}" pid="15" name="Mendeley Recent Style Name 4_1">
    <vt:lpwstr>Elsevier - Harvard (with titles) - Henrik Hansen</vt:lpwstr>
  </property>
  <property fmtid="{D5CDD505-2E9C-101B-9397-08002B2CF9AE}" pid="16" name="Mendeley Recent Style Id 5_1">
    <vt:lpwstr>http://csl.mendeley.com/styles/483199841/elsevier-vancouver</vt:lpwstr>
  </property>
  <property fmtid="{D5CDD505-2E9C-101B-9397-08002B2CF9AE}" pid="17" name="Mendeley Recent Style Name 5_1">
    <vt:lpwstr>Journal of Hepatology HBH</vt:lpwstr>
  </property>
  <property fmtid="{D5CDD505-2E9C-101B-9397-08002B2CF9AE}" pid="18" name="Mendeley Recent Style Id 6_1">
    <vt:lpwstr>http://www.zotero.org/styles/plos-one</vt:lpwstr>
  </property>
  <property fmtid="{D5CDD505-2E9C-101B-9397-08002B2CF9AE}" pid="19" name="Mendeley Recent Style Name 6_1">
    <vt:lpwstr>PLOS ONE</vt:lpwstr>
  </property>
  <property fmtid="{D5CDD505-2E9C-101B-9397-08002B2CF9AE}" pid="20" name="Mendeley Recent Style Id 7_1">
    <vt:lpwstr>http://www.zotero.org/styles/vancouver</vt:lpwstr>
  </property>
  <property fmtid="{D5CDD505-2E9C-101B-9397-08002B2CF9AE}" pid="21" name="Mendeley Recent Style Name 7_1">
    <vt:lpwstr>Vancouver</vt:lpwstr>
  </property>
  <property fmtid="{D5CDD505-2E9C-101B-9397-08002B2CF9AE}" pid="22" name="Mendeley Recent Style Id 8_1">
    <vt:lpwstr>http://www.zotero.org/styles/world-journal-of-gastroenterology</vt:lpwstr>
  </property>
  <property fmtid="{D5CDD505-2E9C-101B-9397-08002B2CF9AE}" pid="23" name="Mendeley Recent Style Name 8_1">
    <vt:lpwstr>World Journal of Gastroenterology</vt:lpwstr>
  </property>
  <property fmtid="{D5CDD505-2E9C-101B-9397-08002B2CF9AE}" pid="24" name="Mendeley Recent Style Id 9_1">
    <vt:lpwstr>http://csl.mendeley.com/styles/483199841/world-journal-of-gastroenterology-2</vt:lpwstr>
  </property>
  <property fmtid="{D5CDD505-2E9C-101B-9397-08002B2CF9AE}" pid="25" name="Mendeley Recent Style Name 9_1">
    <vt:lpwstr>World Journal of Gastroenterology - Henrik Hansen</vt:lpwstr>
  </property>
</Properties>
</file>