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2CA" w:rsidRPr="00A86175" w:rsidRDefault="006522CA" w:rsidP="00951B85">
      <w:pPr>
        <w:snapToGrid w:val="0"/>
        <w:spacing w:line="360" w:lineRule="auto"/>
        <w:jc w:val="both"/>
        <w:rPr>
          <w:rFonts w:ascii="Book Antiqua" w:eastAsiaTheme="minorEastAsia" w:hAnsi="Book Antiqua"/>
          <w:b/>
          <w:i/>
          <w:lang w:val="en-GB" w:eastAsia="zh-CN"/>
        </w:rPr>
      </w:pPr>
      <w:r w:rsidRPr="00A86175">
        <w:rPr>
          <w:rFonts w:ascii="Book Antiqua" w:hAnsi="Book Antiqua"/>
          <w:b/>
          <w:bCs/>
          <w:lang w:val="en-GB"/>
        </w:rPr>
        <w:t xml:space="preserve">Name of </w:t>
      </w:r>
      <w:r w:rsidRPr="00A86175">
        <w:rPr>
          <w:rFonts w:ascii="Book Antiqua" w:hAnsi="Book Antiqua"/>
          <w:b/>
          <w:bCs/>
          <w:caps/>
          <w:lang w:val="en-GB"/>
        </w:rPr>
        <w:t>j</w:t>
      </w:r>
      <w:r w:rsidRPr="00A86175">
        <w:rPr>
          <w:rFonts w:ascii="Book Antiqua" w:hAnsi="Book Antiqua"/>
          <w:b/>
          <w:bCs/>
          <w:lang w:val="en-GB"/>
        </w:rPr>
        <w:t>ournal:</w:t>
      </w:r>
      <w:r w:rsidR="005743E9" w:rsidRPr="00A86175">
        <w:rPr>
          <w:rFonts w:ascii="Book Antiqua" w:eastAsiaTheme="minorEastAsia" w:hAnsi="Book Antiqua"/>
          <w:b/>
          <w:bCs/>
          <w:lang w:val="en-GB" w:eastAsia="zh-CN"/>
        </w:rPr>
        <w:t xml:space="preserve"> </w:t>
      </w:r>
      <w:r w:rsidRPr="00A86175">
        <w:rPr>
          <w:rFonts w:ascii="Book Antiqua" w:hAnsi="Book Antiqua"/>
          <w:b/>
          <w:i/>
          <w:lang w:val="en-GB"/>
        </w:rPr>
        <w:t>World Journal of Gastroenterology</w:t>
      </w:r>
    </w:p>
    <w:p w:rsidR="0025022E" w:rsidRPr="00A86175" w:rsidRDefault="00E951B0" w:rsidP="00951B85">
      <w:pPr>
        <w:snapToGrid w:val="0"/>
        <w:spacing w:line="360" w:lineRule="auto"/>
        <w:jc w:val="both"/>
        <w:rPr>
          <w:rFonts w:ascii="Book Antiqua" w:eastAsiaTheme="minorEastAsia" w:hAnsi="Book Antiqua"/>
          <w:b/>
          <w:lang w:val="en-GB" w:eastAsia="zh-CN"/>
        </w:rPr>
      </w:pPr>
      <w:bookmarkStart w:id="0" w:name="OLE_LINK485"/>
      <w:bookmarkStart w:id="1" w:name="OLE_LINK486"/>
      <w:bookmarkStart w:id="2" w:name="OLE_LINK661"/>
      <w:bookmarkStart w:id="3" w:name="OLE_LINK768"/>
      <w:r w:rsidRPr="00A86175">
        <w:rPr>
          <w:rFonts w:ascii="Book Antiqua" w:eastAsiaTheme="minorEastAsia" w:hAnsi="Book Antiqua"/>
          <w:b/>
          <w:lang w:val="en-US" w:eastAsia="zh-CN"/>
        </w:rPr>
        <w:t>Manuscript NO:</w:t>
      </w:r>
      <w:bookmarkEnd w:id="0"/>
      <w:bookmarkEnd w:id="1"/>
      <w:bookmarkEnd w:id="2"/>
      <w:bookmarkEnd w:id="3"/>
      <w:r w:rsidRPr="00A86175">
        <w:rPr>
          <w:rFonts w:ascii="Book Antiqua" w:eastAsiaTheme="minorEastAsia" w:hAnsi="Book Antiqua"/>
          <w:b/>
          <w:lang w:val="en-US" w:eastAsia="zh-CN"/>
        </w:rPr>
        <w:t xml:space="preserve"> 36888</w:t>
      </w:r>
    </w:p>
    <w:p w:rsidR="006522CA" w:rsidRPr="00A86175" w:rsidRDefault="006522CA" w:rsidP="00951B85">
      <w:pPr>
        <w:snapToGrid w:val="0"/>
        <w:spacing w:line="360" w:lineRule="auto"/>
        <w:jc w:val="both"/>
        <w:rPr>
          <w:rFonts w:ascii="Book Antiqua" w:hAnsi="Book Antiqua"/>
          <w:b/>
          <w:bCs/>
          <w:lang w:val="en-GB"/>
        </w:rPr>
      </w:pPr>
      <w:r w:rsidRPr="00A86175">
        <w:rPr>
          <w:rFonts w:ascii="Book Antiqua" w:hAnsi="Book Antiqua"/>
          <w:b/>
          <w:bCs/>
          <w:lang w:val="en-GB"/>
        </w:rPr>
        <w:t xml:space="preserve">Manuscript </w:t>
      </w:r>
      <w:r w:rsidRPr="00A86175">
        <w:rPr>
          <w:rFonts w:ascii="Book Antiqua" w:hAnsi="Book Antiqua"/>
          <w:b/>
          <w:bCs/>
          <w:caps/>
          <w:lang w:val="en-GB"/>
        </w:rPr>
        <w:t>t</w:t>
      </w:r>
      <w:r w:rsidRPr="00A86175">
        <w:rPr>
          <w:rFonts w:ascii="Book Antiqua" w:hAnsi="Book Antiqua"/>
          <w:b/>
          <w:bCs/>
          <w:lang w:val="en-GB"/>
        </w:rPr>
        <w:t>ype:</w:t>
      </w:r>
      <w:r w:rsidR="005F3664" w:rsidRPr="00A86175">
        <w:rPr>
          <w:rFonts w:ascii="Book Antiqua" w:eastAsiaTheme="minorEastAsia" w:hAnsi="Book Antiqua"/>
          <w:b/>
          <w:bCs/>
          <w:lang w:val="en-GB" w:eastAsia="zh-CN"/>
        </w:rPr>
        <w:t xml:space="preserve"> </w:t>
      </w:r>
      <w:r w:rsidRPr="00A86175">
        <w:rPr>
          <w:rFonts w:ascii="Book Antiqua" w:hAnsi="Book Antiqua"/>
          <w:b/>
          <w:bCs/>
          <w:lang w:val="en-GB"/>
        </w:rPr>
        <w:t>META-ANALYSIS</w:t>
      </w:r>
    </w:p>
    <w:p w:rsidR="006522CA" w:rsidRPr="00A86175" w:rsidRDefault="006522CA" w:rsidP="00951B85">
      <w:pPr>
        <w:snapToGrid w:val="0"/>
        <w:spacing w:line="360" w:lineRule="auto"/>
        <w:jc w:val="both"/>
        <w:rPr>
          <w:rFonts w:ascii="Book Antiqua" w:hAnsi="Book Antiqua"/>
          <w:b/>
          <w:bCs/>
          <w:lang w:val="en-GB"/>
        </w:rPr>
      </w:pPr>
    </w:p>
    <w:p w:rsidR="006522CA" w:rsidRPr="00A86175" w:rsidRDefault="006522CA" w:rsidP="00951B85">
      <w:pPr>
        <w:snapToGrid w:val="0"/>
        <w:spacing w:line="360" w:lineRule="auto"/>
        <w:jc w:val="both"/>
        <w:rPr>
          <w:rFonts w:ascii="Book Antiqua" w:eastAsiaTheme="minorEastAsia" w:hAnsi="Book Antiqua"/>
          <w:b/>
          <w:bCs/>
          <w:lang w:val="en-GB" w:eastAsia="zh-CN"/>
        </w:rPr>
      </w:pPr>
      <w:r w:rsidRPr="00A86175">
        <w:rPr>
          <w:rFonts w:ascii="Book Antiqua" w:hAnsi="Book Antiqua"/>
          <w:b/>
          <w:bCs/>
          <w:lang w:val="en-GB"/>
        </w:rPr>
        <w:t xml:space="preserve">Chronic kidney disease severely deteriorates the outcome of </w:t>
      </w:r>
      <w:r w:rsidR="00614E70" w:rsidRPr="00A86175">
        <w:rPr>
          <w:rFonts w:ascii="Book Antiqua" w:hAnsi="Book Antiqua"/>
          <w:b/>
          <w:bCs/>
          <w:lang w:val="en-GB"/>
        </w:rPr>
        <w:t xml:space="preserve">gastrointestinal </w:t>
      </w:r>
      <w:r w:rsidR="005F3664" w:rsidRPr="00A86175">
        <w:rPr>
          <w:rFonts w:ascii="Book Antiqua" w:hAnsi="Book Antiqua"/>
          <w:b/>
          <w:bCs/>
          <w:lang w:val="en-GB"/>
        </w:rPr>
        <w:t>bleeding: A meta-analysis</w:t>
      </w:r>
    </w:p>
    <w:p w:rsidR="005743E9" w:rsidRPr="00A86175" w:rsidRDefault="005743E9" w:rsidP="00951B85">
      <w:pPr>
        <w:snapToGrid w:val="0"/>
        <w:spacing w:line="360" w:lineRule="auto"/>
        <w:jc w:val="both"/>
        <w:rPr>
          <w:rFonts w:ascii="Book Antiqua" w:eastAsiaTheme="minorEastAsia" w:hAnsi="Book Antiqua"/>
          <w:bCs/>
          <w:lang w:val="en-GB" w:eastAsia="zh-CN"/>
        </w:rPr>
      </w:pPr>
    </w:p>
    <w:p w:rsidR="006522CA" w:rsidRPr="00A86175" w:rsidRDefault="006522CA" w:rsidP="00951B85">
      <w:pPr>
        <w:snapToGrid w:val="0"/>
        <w:spacing w:line="360" w:lineRule="auto"/>
        <w:jc w:val="both"/>
        <w:rPr>
          <w:rFonts w:ascii="Book Antiqua" w:hAnsi="Book Antiqua"/>
          <w:bCs/>
          <w:lang w:val="en-GB"/>
        </w:rPr>
      </w:pPr>
      <w:r w:rsidRPr="00A86175">
        <w:rPr>
          <w:rFonts w:ascii="Book Antiqua" w:hAnsi="Book Antiqua"/>
          <w:bCs/>
          <w:lang w:val="en-GB"/>
        </w:rPr>
        <w:t xml:space="preserve">Hágendorn R </w:t>
      </w:r>
      <w:r w:rsidRPr="00A86175">
        <w:rPr>
          <w:rFonts w:ascii="Book Antiqua" w:hAnsi="Book Antiqua"/>
          <w:bCs/>
          <w:i/>
          <w:lang w:val="en-GB"/>
        </w:rPr>
        <w:t>et al</w:t>
      </w:r>
      <w:r w:rsidRPr="00A86175">
        <w:rPr>
          <w:rFonts w:ascii="Book Antiqua" w:hAnsi="Book Antiqua"/>
          <w:bCs/>
          <w:lang w:val="en-GB"/>
        </w:rPr>
        <w:t>. GI bleeding and chronic kidney disease</w:t>
      </w:r>
    </w:p>
    <w:p w:rsidR="006522CA" w:rsidRPr="00A86175" w:rsidRDefault="006522CA" w:rsidP="00951B85">
      <w:pPr>
        <w:snapToGrid w:val="0"/>
        <w:spacing w:line="360" w:lineRule="auto"/>
        <w:jc w:val="both"/>
        <w:rPr>
          <w:rFonts w:ascii="Book Antiqua" w:hAnsi="Book Antiqua"/>
          <w:lang w:val="en-GB"/>
        </w:rPr>
      </w:pPr>
    </w:p>
    <w:p w:rsidR="006522CA" w:rsidRPr="00A86175" w:rsidRDefault="006522CA" w:rsidP="00951B85">
      <w:pPr>
        <w:snapToGrid w:val="0"/>
        <w:spacing w:line="360" w:lineRule="auto"/>
        <w:jc w:val="both"/>
        <w:rPr>
          <w:rFonts w:ascii="Book Antiqua" w:eastAsiaTheme="minorEastAsia" w:hAnsi="Book Antiqua"/>
          <w:lang w:val="en-GB" w:eastAsia="zh-CN"/>
        </w:rPr>
      </w:pPr>
      <w:r w:rsidRPr="00A86175">
        <w:rPr>
          <w:rFonts w:ascii="Book Antiqua" w:hAnsi="Book Antiqua"/>
          <w:lang w:val="en-GB"/>
        </w:rPr>
        <w:t>Roland Hágendorn, Nelli Farkas, Áron Vincze, Zoltán Gyöngyi, Dezső Csupor, Judit Bajor, Bálint Erőss, Péter Csécsei, Andrea Vasas, Zsolt Szakács, László Szapáry, Péter Hegyi, Alexandra Mikó</w:t>
      </w:r>
    </w:p>
    <w:p w:rsidR="006522CA" w:rsidRPr="00A86175" w:rsidRDefault="006522CA" w:rsidP="00951B85">
      <w:pPr>
        <w:snapToGrid w:val="0"/>
        <w:spacing w:line="360" w:lineRule="auto"/>
        <w:jc w:val="both"/>
        <w:rPr>
          <w:rFonts w:ascii="Book Antiqua" w:eastAsiaTheme="minorEastAsia" w:hAnsi="Book Antiqua"/>
          <w:highlight w:val="yellow"/>
          <w:vertAlign w:val="superscript"/>
          <w:lang w:val="en-GB" w:eastAsia="zh-CN"/>
        </w:rPr>
      </w:pPr>
    </w:p>
    <w:p w:rsidR="006522CA" w:rsidRPr="00A86175" w:rsidRDefault="006522CA" w:rsidP="00951B85">
      <w:pPr>
        <w:snapToGrid w:val="0"/>
        <w:spacing w:line="360" w:lineRule="auto"/>
        <w:jc w:val="both"/>
        <w:rPr>
          <w:rFonts w:ascii="Book Antiqua" w:hAnsi="Book Antiqua"/>
          <w:iCs/>
          <w:lang w:val="en-GB"/>
        </w:rPr>
      </w:pPr>
      <w:r w:rsidRPr="00A86175">
        <w:rPr>
          <w:rFonts w:ascii="Book Antiqua" w:hAnsi="Book Antiqua"/>
          <w:b/>
          <w:iCs/>
          <w:lang w:val="en-GB"/>
        </w:rPr>
        <w:t>Roland</w:t>
      </w:r>
      <w:r w:rsidR="0097005F" w:rsidRPr="00A86175">
        <w:rPr>
          <w:rFonts w:ascii="Book Antiqua" w:eastAsiaTheme="minorEastAsia" w:hAnsi="Book Antiqua"/>
          <w:b/>
          <w:iCs/>
          <w:lang w:val="en-GB" w:eastAsia="zh-CN"/>
        </w:rPr>
        <w:t xml:space="preserve"> </w:t>
      </w:r>
      <w:r w:rsidRPr="00A86175">
        <w:rPr>
          <w:rFonts w:ascii="Book Antiqua" w:hAnsi="Book Antiqua"/>
          <w:b/>
          <w:iCs/>
          <w:lang w:val="en-GB"/>
        </w:rPr>
        <w:t>Hágendorn,</w:t>
      </w:r>
      <w:r w:rsidR="0097005F" w:rsidRPr="00A86175">
        <w:rPr>
          <w:rFonts w:ascii="Book Antiqua" w:eastAsiaTheme="minorEastAsia" w:hAnsi="Book Antiqua"/>
          <w:b/>
          <w:iCs/>
          <w:lang w:val="en-GB" w:eastAsia="zh-CN"/>
        </w:rPr>
        <w:t xml:space="preserve"> </w:t>
      </w:r>
      <w:r w:rsidRPr="00A86175">
        <w:rPr>
          <w:rFonts w:ascii="Book Antiqua" w:hAnsi="Book Antiqua"/>
          <w:b/>
          <w:iCs/>
          <w:lang w:val="en-GB"/>
        </w:rPr>
        <w:t>Judit Bajor, Áron Vincze</w:t>
      </w:r>
      <w:r w:rsidRPr="00A86175">
        <w:rPr>
          <w:rFonts w:ascii="Book Antiqua" w:hAnsi="Book Antiqua"/>
          <w:iCs/>
          <w:lang w:val="en-GB"/>
        </w:rPr>
        <w:t>, Department of Gastroenterology,</w:t>
      </w:r>
      <w:r w:rsidR="0097005F" w:rsidRPr="00A86175">
        <w:rPr>
          <w:rFonts w:ascii="Book Antiqua" w:eastAsiaTheme="minorEastAsia" w:hAnsi="Book Antiqua"/>
          <w:iCs/>
          <w:lang w:val="en-GB" w:eastAsia="zh-CN"/>
        </w:rPr>
        <w:t xml:space="preserve"> </w:t>
      </w:r>
      <w:r w:rsidRPr="00A86175">
        <w:rPr>
          <w:rFonts w:ascii="Book Antiqua" w:hAnsi="Book Antiqua"/>
          <w:iCs/>
          <w:lang w:val="en-GB"/>
        </w:rPr>
        <w:t>First</w:t>
      </w:r>
      <w:r w:rsidR="0097005F" w:rsidRPr="00A86175">
        <w:rPr>
          <w:rFonts w:ascii="Book Antiqua" w:eastAsiaTheme="minorEastAsia" w:hAnsi="Book Antiqua"/>
          <w:iCs/>
          <w:lang w:val="en-GB" w:eastAsia="zh-CN"/>
        </w:rPr>
        <w:t xml:space="preserve"> </w:t>
      </w:r>
      <w:r w:rsidRPr="00A86175">
        <w:rPr>
          <w:rFonts w:ascii="Book Antiqua" w:hAnsi="Book Antiqua"/>
          <w:iCs/>
          <w:lang w:val="en-GB"/>
        </w:rPr>
        <w:t>Department of Medicine, University of Pécs, Pécs 7624, Hungary</w:t>
      </w:r>
    </w:p>
    <w:p w:rsidR="0025022E" w:rsidRPr="00A86175" w:rsidRDefault="0025022E" w:rsidP="00951B85">
      <w:pPr>
        <w:snapToGrid w:val="0"/>
        <w:spacing w:line="360" w:lineRule="auto"/>
        <w:jc w:val="both"/>
        <w:rPr>
          <w:rFonts w:ascii="Book Antiqua" w:eastAsiaTheme="minorEastAsia" w:hAnsi="Book Antiqua"/>
          <w:b/>
          <w:iCs/>
          <w:lang w:val="en-GB" w:eastAsia="zh-CN"/>
        </w:rPr>
      </w:pPr>
    </w:p>
    <w:p w:rsidR="006522CA" w:rsidRPr="00A86175" w:rsidRDefault="006522CA" w:rsidP="00951B85">
      <w:pPr>
        <w:snapToGrid w:val="0"/>
        <w:spacing w:line="360" w:lineRule="auto"/>
        <w:jc w:val="both"/>
        <w:rPr>
          <w:rFonts w:ascii="Book Antiqua" w:hAnsi="Book Antiqua"/>
          <w:iCs/>
          <w:lang w:val="en-GB"/>
        </w:rPr>
      </w:pPr>
      <w:r w:rsidRPr="00A86175">
        <w:rPr>
          <w:rFonts w:ascii="Book Antiqua" w:hAnsi="Book Antiqua"/>
          <w:b/>
          <w:iCs/>
          <w:lang w:val="en-GB"/>
        </w:rPr>
        <w:t>Nelli Farkas</w:t>
      </w:r>
      <w:r w:rsidRPr="00A86175">
        <w:rPr>
          <w:rFonts w:ascii="Book Antiqua" w:hAnsi="Book Antiqua"/>
          <w:iCs/>
          <w:lang w:val="en-GB"/>
        </w:rPr>
        <w:t>,</w:t>
      </w:r>
      <w:r w:rsidRPr="00A86175">
        <w:rPr>
          <w:rFonts w:ascii="Book Antiqua" w:hAnsi="Book Antiqua"/>
          <w:i/>
          <w:iCs/>
          <w:lang w:val="en-GB"/>
        </w:rPr>
        <w:t xml:space="preserve"> </w:t>
      </w:r>
      <w:r w:rsidRPr="00A86175">
        <w:rPr>
          <w:rStyle w:val="Emphasis"/>
          <w:rFonts w:ascii="Book Antiqua" w:hAnsi="Book Antiqua" w:cs="Arial"/>
          <w:bCs/>
          <w:i w:val="0"/>
          <w:shd w:val="clear" w:color="auto" w:fill="FFFFFF"/>
          <w:lang w:val="en-GB"/>
        </w:rPr>
        <w:t>Institute</w:t>
      </w:r>
      <w:r w:rsidRPr="00A86175">
        <w:rPr>
          <w:rFonts w:ascii="Book Antiqua" w:hAnsi="Book Antiqua" w:cs="Arial"/>
          <w:i/>
          <w:shd w:val="clear" w:color="auto" w:fill="FFFFFF"/>
          <w:lang w:val="en-GB"/>
        </w:rPr>
        <w:t> </w:t>
      </w:r>
      <w:r w:rsidRPr="00A86175">
        <w:rPr>
          <w:rFonts w:ascii="Book Antiqua" w:hAnsi="Book Antiqua" w:cs="Arial"/>
          <w:shd w:val="clear" w:color="auto" w:fill="FFFFFF"/>
          <w:lang w:val="en-GB"/>
        </w:rPr>
        <w:t>of</w:t>
      </w:r>
      <w:r w:rsidRPr="00A86175">
        <w:rPr>
          <w:rFonts w:ascii="Book Antiqua" w:hAnsi="Book Antiqua" w:cs="Arial"/>
          <w:i/>
          <w:shd w:val="clear" w:color="auto" w:fill="FFFFFF"/>
          <w:lang w:val="en-GB"/>
        </w:rPr>
        <w:t> </w:t>
      </w:r>
      <w:r w:rsidRPr="00A86175">
        <w:rPr>
          <w:rStyle w:val="Emphasis"/>
          <w:rFonts w:ascii="Book Antiqua" w:hAnsi="Book Antiqua" w:cs="Arial"/>
          <w:bCs/>
          <w:i w:val="0"/>
          <w:shd w:val="clear" w:color="auto" w:fill="FFFFFF"/>
          <w:lang w:val="en-GB"/>
        </w:rPr>
        <w:t>Bioanalysis</w:t>
      </w:r>
      <w:r w:rsidRPr="00A86175">
        <w:rPr>
          <w:rFonts w:ascii="Book Antiqua" w:hAnsi="Book Antiqua"/>
          <w:lang w:val="en-GB"/>
        </w:rPr>
        <w:t xml:space="preserve">, </w:t>
      </w:r>
      <w:r w:rsidRPr="00A86175">
        <w:rPr>
          <w:rFonts w:ascii="Book Antiqua" w:hAnsi="Book Antiqua"/>
          <w:iCs/>
          <w:lang w:val="en-GB"/>
        </w:rPr>
        <w:t xml:space="preserve">University of Pécs, Pécs 7624, Hungary </w:t>
      </w:r>
    </w:p>
    <w:p w:rsidR="0025022E" w:rsidRPr="00A86175" w:rsidRDefault="0025022E" w:rsidP="00951B85">
      <w:pPr>
        <w:snapToGrid w:val="0"/>
        <w:spacing w:line="360" w:lineRule="auto"/>
        <w:jc w:val="both"/>
        <w:rPr>
          <w:rFonts w:ascii="Book Antiqua" w:eastAsiaTheme="minorEastAsia" w:hAnsi="Book Antiqua"/>
          <w:b/>
          <w:iCs/>
          <w:lang w:val="en-GB" w:eastAsia="zh-CN"/>
        </w:rPr>
      </w:pPr>
    </w:p>
    <w:p w:rsidR="006522CA" w:rsidRPr="00A86175" w:rsidRDefault="006522CA" w:rsidP="00951B85">
      <w:pPr>
        <w:snapToGrid w:val="0"/>
        <w:spacing w:line="360" w:lineRule="auto"/>
        <w:jc w:val="both"/>
        <w:rPr>
          <w:rFonts w:ascii="Book Antiqua" w:eastAsiaTheme="minorEastAsia" w:hAnsi="Book Antiqua"/>
          <w:iCs/>
          <w:lang w:val="en-GB" w:eastAsia="zh-CN"/>
        </w:rPr>
      </w:pPr>
      <w:r w:rsidRPr="00A86175">
        <w:rPr>
          <w:rFonts w:ascii="Book Antiqua" w:hAnsi="Book Antiqua"/>
          <w:b/>
          <w:iCs/>
          <w:lang w:val="en-GB"/>
        </w:rPr>
        <w:t>Alexandra Mikó, Péter Hegyi, Bálint Erőss, László Szapáry</w:t>
      </w:r>
      <w:r w:rsidRPr="00A86175">
        <w:rPr>
          <w:rFonts w:ascii="Book Antiqua" w:hAnsi="Book Antiqua"/>
          <w:iCs/>
          <w:lang w:val="en-GB"/>
        </w:rPr>
        <w:t xml:space="preserve">, </w:t>
      </w:r>
      <w:r w:rsidRPr="00A86175">
        <w:rPr>
          <w:rFonts w:ascii="Book Antiqua" w:hAnsi="Book Antiqua"/>
          <w:b/>
          <w:iCs/>
          <w:lang w:val="en-GB"/>
        </w:rPr>
        <w:t>Zsolt Szakács,</w:t>
      </w:r>
      <w:r w:rsidRPr="00A86175">
        <w:rPr>
          <w:rFonts w:ascii="Book Antiqua" w:hAnsi="Book Antiqua"/>
          <w:iCs/>
          <w:lang w:val="en-GB"/>
        </w:rPr>
        <w:t xml:space="preserve"> Institute for Translational Medicine, Univers</w:t>
      </w:r>
      <w:r w:rsidR="005743E9" w:rsidRPr="00A86175">
        <w:rPr>
          <w:rFonts w:ascii="Book Antiqua" w:hAnsi="Book Antiqua"/>
          <w:iCs/>
          <w:lang w:val="en-GB"/>
        </w:rPr>
        <w:t>ity of Pécs, Pécs 7624, Hungary</w:t>
      </w:r>
    </w:p>
    <w:p w:rsidR="0025022E" w:rsidRPr="00A86175" w:rsidRDefault="0025022E" w:rsidP="00951B85">
      <w:pPr>
        <w:snapToGrid w:val="0"/>
        <w:spacing w:line="360" w:lineRule="auto"/>
        <w:jc w:val="both"/>
        <w:rPr>
          <w:rFonts w:ascii="Book Antiqua" w:eastAsiaTheme="minorEastAsia" w:hAnsi="Book Antiqua"/>
          <w:b/>
          <w:iCs/>
          <w:lang w:val="en-GB" w:eastAsia="zh-CN"/>
        </w:rPr>
      </w:pPr>
    </w:p>
    <w:p w:rsidR="006522CA" w:rsidRPr="00A86175" w:rsidRDefault="006522CA" w:rsidP="00951B85">
      <w:pPr>
        <w:snapToGrid w:val="0"/>
        <w:spacing w:line="360" w:lineRule="auto"/>
        <w:jc w:val="both"/>
        <w:rPr>
          <w:rFonts w:ascii="Book Antiqua" w:hAnsi="Book Antiqua"/>
          <w:iCs/>
          <w:lang w:val="en-GB"/>
        </w:rPr>
      </w:pPr>
      <w:r w:rsidRPr="00A86175">
        <w:rPr>
          <w:rFonts w:ascii="Book Antiqua" w:hAnsi="Book Antiqua"/>
          <w:b/>
          <w:iCs/>
          <w:lang w:val="en-GB"/>
        </w:rPr>
        <w:t>Zoltán Gyöngyi,</w:t>
      </w:r>
      <w:r w:rsidRPr="00A86175">
        <w:rPr>
          <w:rFonts w:ascii="Book Antiqua" w:hAnsi="Book Antiqua"/>
          <w:iCs/>
          <w:lang w:val="en-GB"/>
        </w:rPr>
        <w:t xml:space="preserve"> Department of Public Health Medicine, University of Pécs, Pécs 7624, Hungary</w:t>
      </w:r>
    </w:p>
    <w:p w:rsidR="0025022E" w:rsidRPr="00A86175" w:rsidRDefault="0025022E" w:rsidP="00951B85">
      <w:pPr>
        <w:snapToGrid w:val="0"/>
        <w:spacing w:line="360" w:lineRule="auto"/>
        <w:jc w:val="both"/>
        <w:rPr>
          <w:rFonts w:ascii="Book Antiqua" w:eastAsiaTheme="minorEastAsia" w:hAnsi="Book Antiqua"/>
          <w:b/>
          <w:iCs/>
          <w:lang w:val="en-GB" w:eastAsia="zh-CN"/>
        </w:rPr>
      </w:pPr>
    </w:p>
    <w:p w:rsidR="006522CA" w:rsidRPr="00A86175" w:rsidRDefault="006522CA" w:rsidP="00951B85">
      <w:pPr>
        <w:snapToGrid w:val="0"/>
        <w:spacing w:line="360" w:lineRule="auto"/>
        <w:jc w:val="both"/>
        <w:rPr>
          <w:rFonts w:ascii="Book Antiqua" w:hAnsi="Book Antiqua"/>
          <w:iCs/>
          <w:lang w:val="en-GB"/>
        </w:rPr>
      </w:pPr>
      <w:r w:rsidRPr="00A86175">
        <w:rPr>
          <w:rFonts w:ascii="Book Antiqua" w:hAnsi="Book Antiqua"/>
          <w:b/>
          <w:iCs/>
          <w:lang w:val="en-GB"/>
        </w:rPr>
        <w:t>Dezső Csupor,</w:t>
      </w:r>
      <w:r w:rsidR="005743E9" w:rsidRPr="00A86175">
        <w:rPr>
          <w:rFonts w:ascii="Book Antiqua" w:eastAsiaTheme="minorEastAsia" w:hAnsi="Book Antiqua"/>
          <w:b/>
          <w:iCs/>
          <w:lang w:val="en-GB" w:eastAsia="zh-CN"/>
        </w:rPr>
        <w:t xml:space="preserve"> </w:t>
      </w:r>
      <w:r w:rsidRPr="00A86175">
        <w:rPr>
          <w:rFonts w:ascii="Book Antiqua" w:hAnsi="Book Antiqua"/>
          <w:b/>
          <w:iCs/>
          <w:lang w:val="en-GB"/>
        </w:rPr>
        <w:t>Andrea Vasas</w:t>
      </w:r>
      <w:r w:rsidRPr="00A86175">
        <w:rPr>
          <w:rFonts w:ascii="Book Antiqua" w:hAnsi="Book Antiqua"/>
          <w:iCs/>
          <w:lang w:val="en-GB"/>
        </w:rPr>
        <w:t>, Department of Pharmacognosy, Faculty of Pharmacy, University of Szeged, Szeged 6720, Hungary</w:t>
      </w:r>
    </w:p>
    <w:p w:rsidR="0025022E" w:rsidRPr="00A86175" w:rsidRDefault="0025022E" w:rsidP="00951B85">
      <w:pPr>
        <w:snapToGrid w:val="0"/>
        <w:spacing w:line="360" w:lineRule="auto"/>
        <w:jc w:val="both"/>
        <w:rPr>
          <w:rFonts w:ascii="Book Antiqua" w:eastAsiaTheme="minorEastAsia" w:hAnsi="Book Antiqua"/>
          <w:b/>
          <w:iCs/>
          <w:lang w:val="en-GB" w:eastAsia="zh-CN"/>
        </w:rPr>
      </w:pPr>
    </w:p>
    <w:p w:rsidR="006522CA" w:rsidRPr="00A86175" w:rsidRDefault="006522CA" w:rsidP="00951B85">
      <w:pPr>
        <w:snapToGrid w:val="0"/>
        <w:spacing w:line="360" w:lineRule="auto"/>
        <w:jc w:val="both"/>
        <w:rPr>
          <w:rFonts w:ascii="Book Antiqua" w:hAnsi="Book Antiqua"/>
          <w:iCs/>
          <w:lang w:val="en-GB"/>
        </w:rPr>
      </w:pPr>
      <w:r w:rsidRPr="00A86175">
        <w:rPr>
          <w:rFonts w:ascii="Book Antiqua" w:hAnsi="Book Antiqua"/>
          <w:b/>
          <w:iCs/>
          <w:lang w:val="en-GB"/>
        </w:rPr>
        <w:t>Péter Csécsei</w:t>
      </w:r>
      <w:r w:rsidRPr="00A86175">
        <w:rPr>
          <w:rFonts w:ascii="Book Antiqua" w:hAnsi="Book Antiqua"/>
          <w:iCs/>
          <w:lang w:val="en-GB"/>
        </w:rPr>
        <w:t>,</w:t>
      </w:r>
      <w:r w:rsidR="006563C6" w:rsidRPr="00A86175">
        <w:rPr>
          <w:rFonts w:ascii="Book Antiqua" w:eastAsiaTheme="minorEastAsia" w:hAnsi="Book Antiqua"/>
          <w:iCs/>
          <w:lang w:val="en-GB" w:eastAsia="zh-CN"/>
        </w:rPr>
        <w:t xml:space="preserve"> </w:t>
      </w:r>
      <w:r w:rsidRPr="00A86175">
        <w:rPr>
          <w:rFonts w:ascii="Book Antiqua" w:hAnsi="Book Antiqua"/>
          <w:iCs/>
          <w:lang w:val="en-GB"/>
        </w:rPr>
        <w:t>Department of Neurology, University of Pécs, Pécs 7623, Hungary</w:t>
      </w:r>
    </w:p>
    <w:p w:rsidR="006522CA" w:rsidRPr="00A86175" w:rsidRDefault="006522CA" w:rsidP="00951B85">
      <w:pPr>
        <w:snapToGrid w:val="0"/>
        <w:spacing w:line="360" w:lineRule="auto"/>
        <w:jc w:val="both"/>
        <w:rPr>
          <w:rFonts w:ascii="Book Antiqua" w:eastAsiaTheme="minorEastAsia" w:hAnsi="Book Antiqua"/>
          <w:i/>
          <w:iCs/>
          <w:lang w:val="en-GB" w:eastAsia="zh-CN"/>
        </w:rPr>
      </w:pPr>
    </w:p>
    <w:p w:rsidR="002D74C7" w:rsidRPr="00A86175" w:rsidRDefault="002D74C7" w:rsidP="00951B85">
      <w:pPr>
        <w:snapToGrid w:val="0"/>
        <w:spacing w:line="360" w:lineRule="auto"/>
        <w:jc w:val="both"/>
        <w:rPr>
          <w:rFonts w:ascii="Book Antiqua" w:eastAsiaTheme="minorEastAsia" w:hAnsi="Book Antiqua"/>
          <w:lang w:eastAsia="zh-CN"/>
        </w:rPr>
      </w:pPr>
      <w:r w:rsidRPr="00A86175">
        <w:rPr>
          <w:rFonts w:ascii="Book Antiqua" w:hAnsi="Book Antiqua"/>
          <w:b/>
        </w:rPr>
        <w:t>ORCID number:</w:t>
      </w:r>
      <w:r w:rsidRPr="00A86175">
        <w:rPr>
          <w:rFonts w:ascii="Book Antiqua" w:eastAsiaTheme="minorEastAsia" w:hAnsi="Book Antiqua"/>
          <w:b/>
          <w:lang w:eastAsia="zh-CN"/>
        </w:rPr>
        <w:t xml:space="preserve"> </w:t>
      </w:r>
      <w:r w:rsidRPr="00A86175">
        <w:rPr>
          <w:rFonts w:ascii="Book Antiqua" w:hAnsi="Book Antiqua"/>
          <w:lang w:val="en-GB"/>
        </w:rPr>
        <w:t>Roland Hágendorn</w:t>
      </w:r>
      <w:r w:rsidRPr="00A86175">
        <w:rPr>
          <w:rFonts w:ascii="Book Antiqua" w:eastAsiaTheme="minorEastAsia" w:hAnsi="Book Antiqua"/>
          <w:lang w:val="en-GB" w:eastAsia="zh-CN"/>
        </w:rPr>
        <w:t xml:space="preserve"> (0000-0002-9984-2309); </w:t>
      </w:r>
      <w:r w:rsidRPr="00A86175">
        <w:rPr>
          <w:rFonts w:ascii="Book Antiqua" w:hAnsi="Book Antiqua"/>
          <w:lang w:val="en-GB"/>
        </w:rPr>
        <w:t>Nelli Farkas</w:t>
      </w:r>
      <w:r w:rsidRPr="00A86175">
        <w:rPr>
          <w:rFonts w:ascii="Book Antiqua" w:eastAsiaTheme="minorEastAsia" w:hAnsi="Book Antiqua"/>
          <w:lang w:val="en-GB" w:eastAsia="zh-CN"/>
        </w:rPr>
        <w:t xml:space="preserve"> (0000-0002-5349-6527); </w:t>
      </w:r>
      <w:r w:rsidRPr="00A86175">
        <w:rPr>
          <w:rFonts w:ascii="Book Antiqua" w:hAnsi="Book Antiqua"/>
          <w:lang w:val="en-GB"/>
        </w:rPr>
        <w:t>Áron Vincze</w:t>
      </w:r>
      <w:r w:rsidRPr="00A86175">
        <w:rPr>
          <w:rFonts w:ascii="Book Antiqua" w:eastAsiaTheme="minorEastAsia" w:hAnsi="Book Antiqua"/>
          <w:lang w:val="en-GB" w:eastAsia="zh-CN"/>
        </w:rPr>
        <w:t xml:space="preserve"> (0000-0003-2217-7686); </w:t>
      </w:r>
      <w:r w:rsidRPr="00A86175">
        <w:rPr>
          <w:rFonts w:ascii="Book Antiqua" w:hAnsi="Book Antiqua"/>
          <w:lang w:val="en-GB"/>
        </w:rPr>
        <w:t>Zoltán Gyöngyi</w:t>
      </w:r>
      <w:r w:rsidRPr="00A86175">
        <w:rPr>
          <w:rFonts w:ascii="Book Antiqua" w:eastAsiaTheme="minorEastAsia" w:hAnsi="Book Antiqua"/>
          <w:lang w:val="en-GB" w:eastAsia="zh-CN"/>
        </w:rPr>
        <w:t xml:space="preserve"> (0000-0001-9330-</w:t>
      </w:r>
      <w:r w:rsidRPr="00A86175">
        <w:rPr>
          <w:rFonts w:ascii="Book Antiqua" w:eastAsiaTheme="minorEastAsia" w:hAnsi="Book Antiqua"/>
          <w:lang w:val="en-GB" w:eastAsia="zh-CN"/>
        </w:rPr>
        <w:lastRenderedPageBreak/>
        <w:t xml:space="preserve">9110); </w:t>
      </w:r>
      <w:r w:rsidRPr="00A86175">
        <w:rPr>
          <w:rFonts w:ascii="Book Antiqua" w:hAnsi="Book Antiqua"/>
          <w:lang w:val="en-GB"/>
        </w:rPr>
        <w:t>Dezső Csupor</w:t>
      </w:r>
      <w:r w:rsidRPr="00A86175">
        <w:rPr>
          <w:rFonts w:ascii="Book Antiqua" w:eastAsiaTheme="minorEastAsia" w:hAnsi="Book Antiqua"/>
          <w:lang w:val="en-GB" w:eastAsia="zh-CN"/>
        </w:rPr>
        <w:t xml:space="preserve"> (0000-0002-4088-3333); </w:t>
      </w:r>
      <w:r w:rsidRPr="00A86175">
        <w:rPr>
          <w:rFonts w:ascii="Book Antiqua" w:hAnsi="Book Antiqua"/>
          <w:lang w:val="en-GB"/>
        </w:rPr>
        <w:t>Judit Bajor</w:t>
      </w:r>
      <w:r w:rsidRPr="00A86175">
        <w:rPr>
          <w:rFonts w:ascii="Book Antiqua" w:eastAsiaTheme="minorEastAsia" w:hAnsi="Book Antiqua"/>
          <w:lang w:val="en-GB" w:eastAsia="zh-CN"/>
        </w:rPr>
        <w:t xml:space="preserve"> (0000-0002-3941-4871</w:t>
      </w:r>
      <w:r w:rsidRPr="00A86175">
        <w:rPr>
          <w:rFonts w:ascii="Book Antiqua" w:eastAsiaTheme="minorEastAsia" w:hAnsi="Book Antiqua"/>
          <w:lang w:eastAsia="zh-CN"/>
        </w:rPr>
        <w:t xml:space="preserve">); </w:t>
      </w:r>
      <w:r w:rsidRPr="00A86175">
        <w:rPr>
          <w:rFonts w:ascii="Book Antiqua" w:hAnsi="Book Antiqua"/>
        </w:rPr>
        <w:t>Bálint Erőss</w:t>
      </w:r>
      <w:r w:rsidRPr="00A86175">
        <w:rPr>
          <w:rFonts w:ascii="Book Antiqua" w:eastAsiaTheme="minorEastAsia" w:hAnsi="Book Antiqua"/>
          <w:lang w:eastAsia="zh-CN"/>
        </w:rPr>
        <w:t xml:space="preserve"> (0000-0003-3658-8427); </w:t>
      </w:r>
      <w:r w:rsidRPr="00A86175">
        <w:rPr>
          <w:rFonts w:ascii="Book Antiqua" w:hAnsi="Book Antiqua"/>
        </w:rPr>
        <w:t>Péter Csécsei</w:t>
      </w:r>
      <w:r w:rsidRPr="00A86175">
        <w:rPr>
          <w:rFonts w:ascii="Book Antiqua" w:eastAsiaTheme="minorEastAsia" w:hAnsi="Book Antiqua"/>
          <w:lang w:eastAsia="zh-CN"/>
        </w:rPr>
        <w:t xml:space="preserve"> (0000-0002-4982-2481); </w:t>
      </w:r>
      <w:r w:rsidRPr="00A86175">
        <w:rPr>
          <w:rFonts w:ascii="Book Antiqua" w:hAnsi="Book Antiqua"/>
        </w:rPr>
        <w:t>Andrea Vasas</w:t>
      </w:r>
      <w:r w:rsidRPr="00A86175">
        <w:rPr>
          <w:rFonts w:ascii="Book Antiqua" w:eastAsiaTheme="minorEastAsia" w:hAnsi="Book Antiqua"/>
          <w:lang w:eastAsia="zh-CN"/>
        </w:rPr>
        <w:t xml:space="preserve"> (0000-0002-1818-7702); </w:t>
      </w:r>
      <w:r w:rsidRPr="00A86175">
        <w:rPr>
          <w:rFonts w:ascii="Book Antiqua" w:hAnsi="Book Antiqua"/>
        </w:rPr>
        <w:t>Zsolt Szakács</w:t>
      </w:r>
      <w:r w:rsidRPr="00A86175">
        <w:rPr>
          <w:rFonts w:ascii="Book Antiqua" w:eastAsiaTheme="minorEastAsia" w:hAnsi="Book Antiqua"/>
          <w:lang w:eastAsia="zh-CN"/>
        </w:rPr>
        <w:t xml:space="preserve"> (0000-0002-7035-941X); </w:t>
      </w:r>
      <w:r w:rsidRPr="00A86175">
        <w:rPr>
          <w:rFonts w:ascii="Book Antiqua" w:hAnsi="Book Antiqua"/>
        </w:rPr>
        <w:t>László Szapáry</w:t>
      </w:r>
      <w:r w:rsidRPr="00A86175">
        <w:rPr>
          <w:rFonts w:ascii="Book Antiqua" w:eastAsiaTheme="minorEastAsia" w:hAnsi="Book Antiqua"/>
          <w:lang w:eastAsia="zh-CN"/>
        </w:rPr>
        <w:t xml:space="preserve"> (0000-0003-2056-0825); </w:t>
      </w:r>
      <w:r w:rsidRPr="00A86175">
        <w:rPr>
          <w:rFonts w:ascii="Book Antiqua" w:hAnsi="Book Antiqua"/>
        </w:rPr>
        <w:t>Péter Hegyi</w:t>
      </w:r>
      <w:r w:rsidRPr="00A86175">
        <w:rPr>
          <w:rFonts w:ascii="Book Antiqua" w:eastAsiaTheme="minorEastAsia" w:hAnsi="Book Antiqua"/>
          <w:lang w:eastAsia="zh-CN"/>
        </w:rPr>
        <w:t xml:space="preserve"> (0000-0003-0399-7259); </w:t>
      </w:r>
      <w:r w:rsidRPr="00A86175">
        <w:rPr>
          <w:rFonts w:ascii="Book Antiqua" w:hAnsi="Book Antiqua"/>
        </w:rPr>
        <w:t>Alexandra Mikó</w:t>
      </w:r>
      <w:r w:rsidRPr="00A86175">
        <w:rPr>
          <w:rFonts w:ascii="Book Antiqua" w:eastAsiaTheme="minorEastAsia" w:hAnsi="Book Antiqua"/>
          <w:lang w:eastAsia="zh-CN"/>
        </w:rPr>
        <w:t>(0000-0002-5322-4425).</w:t>
      </w:r>
    </w:p>
    <w:p w:rsidR="002D74C7" w:rsidRPr="00A86175" w:rsidRDefault="002D74C7" w:rsidP="00951B85">
      <w:pPr>
        <w:snapToGrid w:val="0"/>
        <w:spacing w:line="360" w:lineRule="auto"/>
        <w:jc w:val="both"/>
        <w:rPr>
          <w:rFonts w:ascii="Book Antiqua" w:eastAsiaTheme="minorEastAsia" w:hAnsi="Book Antiqua"/>
          <w:i/>
          <w:iCs/>
          <w:lang w:eastAsia="zh-CN"/>
        </w:rPr>
      </w:pP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t>Author contributions</w:t>
      </w:r>
      <w:r w:rsidR="0025022E" w:rsidRPr="00A86175">
        <w:rPr>
          <w:rFonts w:ascii="Book Antiqua" w:eastAsiaTheme="minorEastAsia" w:hAnsi="Book Antiqua"/>
          <w:b/>
          <w:lang w:val="en-GB" w:eastAsia="zh-CN"/>
        </w:rPr>
        <w:t xml:space="preserve">: </w:t>
      </w:r>
      <w:r w:rsidRPr="00A86175">
        <w:rPr>
          <w:rFonts w:ascii="Book Antiqua" w:hAnsi="Book Antiqua"/>
          <w:lang w:val="en-GB"/>
        </w:rPr>
        <w:t xml:space="preserve">Mikó A and Hegyi P </w:t>
      </w:r>
      <w:r w:rsidR="00F850AC" w:rsidRPr="00A86175">
        <w:rPr>
          <w:rFonts w:ascii="Book Antiqua" w:hAnsi="Book Antiqua"/>
          <w:lang w:val="en-GB"/>
        </w:rPr>
        <w:t>contributed equally to this article</w:t>
      </w:r>
      <w:r w:rsidR="00F850AC" w:rsidRPr="00A86175">
        <w:rPr>
          <w:rFonts w:ascii="Book Antiqua" w:eastAsiaTheme="minorEastAsia" w:hAnsi="Book Antiqua"/>
          <w:lang w:val="en-GB" w:eastAsia="zh-CN"/>
        </w:rPr>
        <w:t xml:space="preserve">; </w:t>
      </w:r>
      <w:r w:rsidR="00F850AC" w:rsidRPr="00A86175">
        <w:rPr>
          <w:rFonts w:ascii="Book Antiqua" w:hAnsi="Book Antiqua"/>
          <w:lang w:val="en-GB"/>
        </w:rPr>
        <w:t xml:space="preserve">Mikó A and Hegyi P </w:t>
      </w:r>
      <w:r w:rsidRPr="00A86175">
        <w:rPr>
          <w:rFonts w:ascii="Book Antiqua" w:hAnsi="Book Antiqua"/>
          <w:lang w:val="en-GB"/>
        </w:rPr>
        <w:t xml:space="preserve">designed the research and the study concept; Hágendorn R and Mikó A performed the acquisition of data; Farkas N analysed and interpreted the data; Hágendorn R, Farkas N, Hegyi P and Mikó A wrote the paper; Vincze Á, Erőss B, Gyöngyi Z and Bajor J supervised the study; Szakács Z, Csupor D, Csécsei P, Vasas A and Szapáry L conducted a critical revision of the manuscript for important intellectual content; all of the co-authors granted final approval of the version of the article to be published. </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b/>
          <w:lang w:val="en-GB"/>
        </w:rPr>
        <w:t>Supported by</w:t>
      </w:r>
      <w:r w:rsidR="005743E9" w:rsidRPr="00A86175">
        <w:rPr>
          <w:rFonts w:ascii="Book Antiqua" w:eastAsiaTheme="minorEastAsia" w:hAnsi="Book Antiqua"/>
          <w:lang w:val="en-GB" w:eastAsia="zh-CN"/>
        </w:rPr>
        <w:t xml:space="preserve"> </w:t>
      </w:r>
      <w:r w:rsidR="001A4BED">
        <w:rPr>
          <w:rFonts w:ascii="Book Antiqua" w:hAnsi="Book Antiqua"/>
          <w:lang w:val="en-GB"/>
        </w:rPr>
        <w:t xml:space="preserve">Project Grants </w:t>
      </w:r>
      <w:r w:rsidR="001A4BED">
        <w:rPr>
          <w:rFonts w:ascii="Book Antiqua" w:eastAsiaTheme="minorEastAsia" w:hAnsi="Book Antiqua" w:hint="eastAsia"/>
          <w:lang w:val="en-GB" w:eastAsia="zh-CN"/>
        </w:rPr>
        <w:t xml:space="preserve">No. </w:t>
      </w:r>
      <w:r w:rsidRPr="00A86175">
        <w:rPr>
          <w:rFonts w:ascii="Book Antiqua" w:hAnsi="Book Antiqua"/>
          <w:lang w:val="en-GB"/>
        </w:rPr>
        <w:t xml:space="preserve">K116634 and KH125678 </w:t>
      </w:r>
      <w:r w:rsidR="001A4BED">
        <w:rPr>
          <w:rFonts w:ascii="Book Antiqua" w:eastAsiaTheme="minorEastAsia" w:hAnsi="Book Antiqua" w:hint="eastAsia"/>
          <w:lang w:val="en-GB" w:eastAsia="zh-CN"/>
        </w:rPr>
        <w:t>(</w:t>
      </w:r>
      <w:r w:rsidRPr="00A86175">
        <w:rPr>
          <w:rFonts w:ascii="Book Antiqua" w:hAnsi="Book Antiqua"/>
          <w:lang w:val="en-GB"/>
        </w:rPr>
        <w:t xml:space="preserve">to </w:t>
      </w:r>
      <w:r w:rsidR="003F2403" w:rsidRPr="00A86175">
        <w:rPr>
          <w:rFonts w:ascii="Book Antiqua" w:hAnsi="Book Antiqua"/>
          <w:lang w:val="en-GB"/>
        </w:rPr>
        <w:t>Hegyi P</w:t>
      </w:r>
      <w:r w:rsidRPr="00A86175">
        <w:rPr>
          <w:rFonts w:ascii="Book Antiqua" w:hAnsi="Book Antiqua"/>
          <w:lang w:val="en-GB"/>
        </w:rPr>
        <w:t>)</w:t>
      </w:r>
      <w:r w:rsidR="003F2403" w:rsidRPr="00A86175">
        <w:rPr>
          <w:rFonts w:ascii="Book Antiqua" w:eastAsiaTheme="minorEastAsia" w:hAnsi="Book Antiqua"/>
          <w:lang w:val="en-GB" w:eastAsia="zh-CN"/>
        </w:rPr>
        <w:t xml:space="preserve">; </w:t>
      </w:r>
      <w:r w:rsidRPr="00A86175">
        <w:rPr>
          <w:rFonts w:ascii="Book Antiqua" w:hAnsi="Book Antiqua"/>
          <w:lang w:val="en-GB"/>
        </w:rPr>
        <w:t>Economic Development and Innova</w:t>
      </w:r>
      <w:r w:rsidR="001A4BED">
        <w:rPr>
          <w:rFonts w:ascii="Book Antiqua" w:hAnsi="Book Antiqua"/>
          <w:lang w:val="en-GB"/>
        </w:rPr>
        <w:t>tion Operative Programme Grant</w:t>
      </w:r>
      <w:r w:rsidR="001A4BED">
        <w:rPr>
          <w:rFonts w:ascii="Book Antiqua" w:eastAsiaTheme="minorEastAsia" w:hAnsi="Book Antiqua" w:hint="eastAsia"/>
          <w:lang w:val="en-GB" w:eastAsia="zh-CN"/>
        </w:rPr>
        <w:t xml:space="preserve">, </w:t>
      </w:r>
      <w:r w:rsidR="001A4BED">
        <w:rPr>
          <w:rFonts w:ascii="Book Antiqua" w:eastAsiaTheme="minorEastAsia" w:hAnsi="Book Antiqua"/>
          <w:lang w:val="en-GB" w:eastAsia="zh-CN"/>
        </w:rPr>
        <w:t>No</w:t>
      </w:r>
      <w:r w:rsidR="001A4BED">
        <w:rPr>
          <w:rFonts w:ascii="Book Antiqua" w:eastAsiaTheme="minorEastAsia" w:hAnsi="Book Antiqua" w:hint="eastAsia"/>
          <w:lang w:val="en-GB" w:eastAsia="zh-CN"/>
        </w:rPr>
        <w:t xml:space="preserve">. </w:t>
      </w:r>
      <w:r w:rsidRPr="00A86175">
        <w:rPr>
          <w:rFonts w:ascii="Book Antiqua" w:hAnsi="Book Antiqua"/>
          <w:lang w:val="en-GB"/>
        </w:rPr>
        <w:t xml:space="preserve">GINOP 2.3.2-15-2016-00048 </w:t>
      </w:r>
      <w:r w:rsidR="001A4BED">
        <w:rPr>
          <w:rFonts w:ascii="Book Antiqua" w:eastAsiaTheme="minorEastAsia" w:hAnsi="Book Antiqua" w:hint="eastAsia"/>
          <w:lang w:val="en-GB" w:eastAsia="zh-CN"/>
        </w:rPr>
        <w:t>(</w:t>
      </w:r>
      <w:r w:rsidRPr="00A86175">
        <w:rPr>
          <w:rFonts w:ascii="Book Antiqua" w:hAnsi="Book Antiqua"/>
          <w:lang w:val="en-GB"/>
        </w:rPr>
        <w:t xml:space="preserve">to </w:t>
      </w:r>
      <w:r w:rsidR="003F2403" w:rsidRPr="00A86175">
        <w:rPr>
          <w:rFonts w:ascii="Book Antiqua" w:hAnsi="Book Antiqua"/>
          <w:lang w:val="en-GB"/>
        </w:rPr>
        <w:t>Hegyi P</w:t>
      </w:r>
      <w:r w:rsidRPr="00A86175">
        <w:rPr>
          <w:rFonts w:ascii="Book Antiqua" w:hAnsi="Book Antiqua"/>
          <w:lang w:val="en-GB"/>
        </w:rPr>
        <w:t>)</w:t>
      </w:r>
      <w:r w:rsidR="003F2403" w:rsidRPr="00A86175">
        <w:rPr>
          <w:rFonts w:ascii="Book Antiqua" w:eastAsiaTheme="minorEastAsia" w:hAnsi="Book Antiqua"/>
          <w:lang w:val="en-GB" w:eastAsia="zh-CN"/>
        </w:rPr>
        <w:t xml:space="preserve">; </w:t>
      </w:r>
      <w:r w:rsidRPr="00A86175">
        <w:rPr>
          <w:rFonts w:ascii="Book Antiqua" w:hAnsi="Book Antiqua"/>
          <w:lang w:val="en-GB"/>
        </w:rPr>
        <w:t>Human Resources Developme</w:t>
      </w:r>
      <w:r w:rsidR="001A4BED">
        <w:rPr>
          <w:rFonts w:ascii="Book Antiqua" w:hAnsi="Book Antiqua"/>
          <w:lang w:val="en-GB"/>
        </w:rPr>
        <w:t xml:space="preserve">nt Operational Programme Grant </w:t>
      </w:r>
      <w:r w:rsidR="001A4BED">
        <w:rPr>
          <w:rFonts w:ascii="Book Antiqua" w:eastAsiaTheme="minorEastAsia" w:hAnsi="Book Antiqua" w:hint="eastAsia"/>
          <w:lang w:val="en-GB" w:eastAsia="zh-CN"/>
        </w:rPr>
        <w:t xml:space="preserve">No. </w:t>
      </w:r>
      <w:r w:rsidRPr="00A86175">
        <w:rPr>
          <w:rFonts w:ascii="Book Antiqua" w:hAnsi="Book Antiqua"/>
          <w:lang w:val="en-GB"/>
        </w:rPr>
        <w:t xml:space="preserve">EFOP-3.6.2-16-2017-00006 </w:t>
      </w:r>
      <w:r w:rsidR="001A4BED">
        <w:rPr>
          <w:rFonts w:ascii="Book Antiqua" w:eastAsiaTheme="minorEastAsia" w:hAnsi="Book Antiqua" w:hint="eastAsia"/>
          <w:lang w:val="en-GB" w:eastAsia="zh-CN"/>
        </w:rPr>
        <w:t>(</w:t>
      </w:r>
      <w:r w:rsidRPr="00A86175">
        <w:rPr>
          <w:rFonts w:ascii="Book Antiqua" w:hAnsi="Book Antiqua"/>
          <w:lang w:val="en-GB"/>
        </w:rPr>
        <w:t xml:space="preserve">to </w:t>
      </w:r>
      <w:r w:rsidR="003F2403" w:rsidRPr="00A86175">
        <w:rPr>
          <w:rFonts w:ascii="Book Antiqua" w:hAnsi="Book Antiqua"/>
          <w:lang w:val="en-GB"/>
        </w:rPr>
        <w:t>Hegyi P</w:t>
      </w:r>
      <w:r w:rsidRPr="00A86175">
        <w:rPr>
          <w:rFonts w:ascii="Book Antiqua" w:hAnsi="Book Antiqua"/>
          <w:lang w:val="en-GB"/>
        </w:rPr>
        <w:t>) of the National Research, Development</w:t>
      </w:r>
      <w:r w:rsidR="003F2403" w:rsidRPr="00A86175">
        <w:rPr>
          <w:rFonts w:ascii="Book Antiqua" w:eastAsiaTheme="minorEastAsia" w:hAnsi="Book Antiqua"/>
          <w:lang w:val="en-GB" w:eastAsia="zh-CN"/>
        </w:rPr>
        <w:t xml:space="preserve">; </w:t>
      </w:r>
      <w:r w:rsidRPr="00A86175">
        <w:rPr>
          <w:rFonts w:ascii="Book Antiqua" w:hAnsi="Book Antiqua"/>
          <w:lang w:val="en-GB"/>
        </w:rPr>
        <w:t>and Innovation Office and by a Momentum Grant of the</w:t>
      </w:r>
      <w:r w:rsidR="001A4BED">
        <w:rPr>
          <w:rFonts w:ascii="Book Antiqua" w:hAnsi="Book Antiqua"/>
          <w:lang w:val="en-GB"/>
        </w:rPr>
        <w:t xml:space="preserve"> Hungarian Academy of Sciences </w:t>
      </w:r>
      <w:r w:rsidR="001A4BED">
        <w:rPr>
          <w:rFonts w:ascii="Book Antiqua" w:eastAsiaTheme="minorEastAsia" w:hAnsi="Book Antiqua" w:hint="eastAsia"/>
          <w:lang w:val="en-GB" w:eastAsia="zh-CN"/>
        </w:rPr>
        <w:t xml:space="preserve">No. </w:t>
      </w:r>
      <w:r w:rsidRPr="00A86175">
        <w:rPr>
          <w:rFonts w:ascii="Book Antiqua" w:hAnsi="Book Antiqua"/>
          <w:lang w:val="en-GB"/>
        </w:rPr>
        <w:t xml:space="preserve">LP2014-10/2014 to </w:t>
      </w:r>
      <w:r w:rsidR="001A4BED">
        <w:rPr>
          <w:rFonts w:ascii="Book Antiqua" w:eastAsiaTheme="minorEastAsia" w:hAnsi="Book Antiqua" w:hint="eastAsia"/>
          <w:lang w:val="en-GB" w:eastAsia="zh-CN"/>
        </w:rPr>
        <w:t>(</w:t>
      </w:r>
      <w:r w:rsidR="003F2403" w:rsidRPr="00A86175">
        <w:rPr>
          <w:rFonts w:ascii="Book Antiqua" w:hAnsi="Book Antiqua"/>
          <w:lang w:val="en-GB"/>
        </w:rPr>
        <w:t>Hegyi P</w:t>
      </w:r>
      <w:r w:rsidRPr="00A86175">
        <w:rPr>
          <w:rFonts w:ascii="Book Antiqua" w:hAnsi="Book Antiqua"/>
          <w:lang w:val="en-GB"/>
        </w:rPr>
        <w:t>).</w:t>
      </w:r>
    </w:p>
    <w:p w:rsidR="006522CA" w:rsidRPr="00A86175" w:rsidRDefault="006522CA" w:rsidP="00951B85">
      <w:pPr>
        <w:snapToGrid w:val="0"/>
        <w:spacing w:line="360" w:lineRule="auto"/>
        <w:jc w:val="both"/>
        <w:rPr>
          <w:rFonts w:ascii="Book Antiqua" w:hAnsi="Book Antiqua"/>
          <w:lang w:val="en-GB"/>
        </w:rPr>
      </w:pPr>
    </w:p>
    <w:p w:rsidR="006522CA" w:rsidRPr="00A86175" w:rsidRDefault="005743E9" w:rsidP="00951B85">
      <w:pPr>
        <w:snapToGrid w:val="0"/>
        <w:spacing w:line="360" w:lineRule="auto"/>
        <w:jc w:val="both"/>
        <w:rPr>
          <w:rFonts w:ascii="Book Antiqua" w:hAnsi="Book Antiqua"/>
          <w:lang w:val="en-GB"/>
        </w:rPr>
      </w:pPr>
      <w:r w:rsidRPr="00A86175">
        <w:rPr>
          <w:rFonts w:ascii="Book Antiqua" w:hAnsi="Book Antiqua"/>
          <w:b/>
          <w:lang w:val="en-GB"/>
        </w:rPr>
        <w:t>Conflict-of-interest statement:</w:t>
      </w:r>
      <w:r w:rsidR="003F2403" w:rsidRPr="00A86175">
        <w:rPr>
          <w:rFonts w:ascii="Book Antiqua" w:eastAsiaTheme="minorEastAsia" w:hAnsi="Book Antiqua"/>
          <w:b/>
          <w:lang w:val="en-GB" w:eastAsia="zh-CN"/>
        </w:rPr>
        <w:t xml:space="preserve"> </w:t>
      </w:r>
      <w:r w:rsidR="006522CA" w:rsidRPr="00A86175">
        <w:rPr>
          <w:rFonts w:ascii="Book Antiqua" w:hAnsi="Book Antiqua"/>
          <w:lang w:val="en-GB"/>
        </w:rPr>
        <w:t>The authors declare that there is no conflict of interest regarding the publication of this article.</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b/>
          <w:lang w:val="en-GB"/>
        </w:rPr>
        <w:t>Data-sharing statement:</w:t>
      </w:r>
      <w:r w:rsidR="00614E70" w:rsidRPr="00A86175">
        <w:rPr>
          <w:rFonts w:ascii="Book Antiqua" w:eastAsiaTheme="minorEastAsia" w:hAnsi="Book Antiqua"/>
          <w:lang w:val="en-GB" w:eastAsia="zh-CN"/>
        </w:rPr>
        <w:t xml:space="preserve"> </w:t>
      </w:r>
      <w:r w:rsidRPr="00A86175">
        <w:rPr>
          <w:rFonts w:ascii="Book Antiqua" w:hAnsi="Book Antiqua"/>
          <w:lang w:val="en-GB"/>
        </w:rPr>
        <w:t>No additional data are available.</w:t>
      </w:r>
    </w:p>
    <w:p w:rsidR="006522CA" w:rsidRPr="00A86175" w:rsidRDefault="006522CA" w:rsidP="00951B85">
      <w:pPr>
        <w:snapToGrid w:val="0"/>
        <w:spacing w:line="360" w:lineRule="auto"/>
        <w:jc w:val="both"/>
        <w:rPr>
          <w:rFonts w:ascii="Book Antiqua" w:eastAsiaTheme="minorEastAsia" w:hAnsi="Book Antiqua"/>
          <w:i/>
          <w:lang w:val="en-GB" w:eastAsia="zh-CN"/>
        </w:rPr>
      </w:pPr>
    </w:p>
    <w:p w:rsidR="003F2403" w:rsidRPr="00A86175" w:rsidRDefault="003F2403" w:rsidP="00951B85">
      <w:pPr>
        <w:pStyle w:val="1"/>
        <w:snapToGrid w:val="0"/>
        <w:spacing w:line="360" w:lineRule="auto"/>
        <w:jc w:val="both"/>
        <w:rPr>
          <w:rFonts w:ascii="Book Antiqua" w:hAnsi="Book Antiqua" w:cs="Times New Roman"/>
          <w:bCs/>
          <w:color w:val="auto"/>
          <w:sz w:val="24"/>
          <w:szCs w:val="24"/>
          <w:highlight w:val="white"/>
          <w:lang w:val="en-US"/>
        </w:rPr>
      </w:pPr>
      <w:bookmarkStart w:id="4" w:name="OLE_LINK734"/>
      <w:bookmarkStart w:id="5" w:name="OLE_LINK441"/>
      <w:bookmarkStart w:id="6" w:name="OLE_LINK442"/>
      <w:bookmarkStart w:id="7" w:name="OLE_LINK1032"/>
      <w:bookmarkStart w:id="8" w:name="OLE_LINK1232"/>
      <w:bookmarkStart w:id="9" w:name="OLE_LINK559"/>
      <w:bookmarkStart w:id="10" w:name="OLE_LINK878"/>
      <w:bookmarkStart w:id="11" w:name="OLE_LINK879"/>
      <w:bookmarkStart w:id="12" w:name="OLE_LINK1100"/>
      <w:bookmarkStart w:id="13" w:name="OLE_LINK1101"/>
      <w:r w:rsidRPr="00A86175">
        <w:rPr>
          <w:rFonts w:ascii="Book Antiqua" w:hAnsi="Book Antiqua" w:cs="Times New Roman"/>
          <w:b/>
          <w:bCs/>
          <w:color w:val="auto"/>
          <w:sz w:val="24"/>
          <w:szCs w:val="24"/>
          <w:highlight w:val="white"/>
          <w:lang w:val="en-US"/>
        </w:rPr>
        <w:t>Open-Access:</w:t>
      </w:r>
      <w:r w:rsidRPr="00A86175">
        <w:rPr>
          <w:rFonts w:ascii="Book Antiqua" w:hAnsi="Book Antiqua" w:cs="Times New Roman"/>
          <w:bCs/>
          <w:color w:val="auto"/>
          <w:sz w:val="24"/>
          <w:szCs w:val="24"/>
          <w:highlight w:val="white"/>
          <w:lang w:val="en-US"/>
        </w:rPr>
        <w:t xml:space="preserve"> </w:t>
      </w:r>
      <w:bookmarkStart w:id="14" w:name="OLE_LINK479"/>
      <w:bookmarkStart w:id="15" w:name="OLE_LINK496"/>
      <w:bookmarkStart w:id="16" w:name="OLE_LINK506"/>
      <w:bookmarkStart w:id="17" w:name="OLE_LINK507"/>
      <w:r w:rsidRPr="00A8617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A86175">
        <w:rPr>
          <w:rFonts w:ascii="Book Antiqua" w:hAnsi="Book Antiqua" w:cs="Times New Roman"/>
          <w:bCs/>
          <w:color w:val="auto"/>
          <w:sz w:val="24"/>
          <w:szCs w:val="24"/>
          <w:highlight w:val="white"/>
          <w:lang w:val="en-US" w:eastAsia="zh-CN"/>
        </w:rPr>
        <w:t xml:space="preserve"> </w:t>
      </w:r>
      <w:r w:rsidRPr="00A86175">
        <w:rPr>
          <w:rFonts w:ascii="Book Antiqua" w:hAnsi="Book Antiqua" w:cs="Times New Roman"/>
          <w:bCs/>
          <w:color w:val="auto"/>
          <w:sz w:val="24"/>
          <w:szCs w:val="24"/>
          <w:highlight w:val="white"/>
          <w:lang w:val="en-US"/>
        </w:rPr>
        <w:t>in</w:t>
      </w:r>
      <w:r w:rsidRPr="00A86175">
        <w:rPr>
          <w:rFonts w:ascii="Book Antiqua" w:hAnsi="Book Antiqua" w:cs="Times New Roman"/>
          <w:bCs/>
          <w:color w:val="auto"/>
          <w:sz w:val="24"/>
          <w:szCs w:val="24"/>
          <w:highlight w:val="white"/>
          <w:lang w:val="en-US" w:eastAsia="zh-CN"/>
        </w:rPr>
        <w:t xml:space="preserve"> </w:t>
      </w:r>
      <w:r w:rsidRPr="00A8617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w:t>
      </w:r>
      <w:r w:rsidRPr="00A86175">
        <w:rPr>
          <w:rFonts w:ascii="Book Antiqua" w:hAnsi="Book Antiqua" w:cs="Times New Roman"/>
          <w:bCs/>
          <w:color w:val="auto"/>
          <w:sz w:val="24"/>
          <w:szCs w:val="24"/>
          <w:highlight w:val="white"/>
          <w:lang w:val="en-US"/>
        </w:rPr>
        <w:lastRenderedPageBreak/>
        <w:t xml:space="preserve">non-commercially, and license their derivative works on different terms, provided the original work is properly cited and the use is non-commercial. See: </w:t>
      </w:r>
      <w:hyperlink r:id="rId7" w:history="1">
        <w:r w:rsidRPr="00A86175">
          <w:rPr>
            <w:rStyle w:val="Hyperlink"/>
            <w:rFonts w:ascii="Book Antiqua" w:hAnsi="Book Antiqua"/>
            <w:bCs/>
            <w:color w:val="auto"/>
            <w:sz w:val="24"/>
            <w:szCs w:val="24"/>
            <w:highlight w:val="white"/>
            <w:lang w:val="en-US"/>
          </w:rPr>
          <w:t>http://creativecommons.org/licenses/by-nc/4.0/</w:t>
        </w:r>
      </w:hyperlink>
      <w:bookmarkEnd w:id="4"/>
      <w:bookmarkEnd w:id="14"/>
      <w:bookmarkEnd w:id="15"/>
      <w:bookmarkEnd w:id="16"/>
      <w:bookmarkEnd w:id="17"/>
    </w:p>
    <w:bookmarkEnd w:id="5"/>
    <w:bookmarkEnd w:id="6"/>
    <w:bookmarkEnd w:id="7"/>
    <w:bookmarkEnd w:id="8"/>
    <w:bookmarkEnd w:id="9"/>
    <w:p w:rsidR="003F2403" w:rsidRPr="00A86175" w:rsidRDefault="003F2403" w:rsidP="00951B85">
      <w:pPr>
        <w:pStyle w:val="1"/>
        <w:snapToGrid w:val="0"/>
        <w:spacing w:line="360" w:lineRule="auto"/>
        <w:jc w:val="both"/>
        <w:rPr>
          <w:rFonts w:ascii="Book Antiqua" w:hAnsi="Book Antiqua" w:cs="Times New Roman"/>
          <w:b/>
          <w:bCs/>
          <w:color w:val="auto"/>
          <w:sz w:val="24"/>
          <w:szCs w:val="24"/>
          <w:highlight w:val="white"/>
          <w:lang w:val="en-US" w:eastAsia="zh-CN"/>
        </w:rPr>
      </w:pPr>
    </w:p>
    <w:p w:rsidR="003F2403" w:rsidRPr="00A86175" w:rsidRDefault="003F2403" w:rsidP="00951B85">
      <w:pPr>
        <w:pStyle w:val="1"/>
        <w:snapToGrid w:val="0"/>
        <w:spacing w:line="360" w:lineRule="auto"/>
        <w:jc w:val="both"/>
        <w:rPr>
          <w:rFonts w:ascii="Book Antiqua" w:hAnsi="Book Antiqua" w:cs="Times New Roman"/>
          <w:b/>
          <w:bCs/>
          <w:color w:val="auto"/>
          <w:sz w:val="24"/>
          <w:szCs w:val="24"/>
          <w:highlight w:val="white"/>
          <w:lang w:val="en-US" w:eastAsia="zh-CN"/>
        </w:rPr>
      </w:pPr>
      <w:r w:rsidRPr="00A86175">
        <w:rPr>
          <w:rFonts w:ascii="Book Antiqua" w:hAnsi="Book Antiqua" w:cs="Times New Roman"/>
          <w:b/>
          <w:bCs/>
          <w:color w:val="auto"/>
          <w:sz w:val="24"/>
          <w:szCs w:val="24"/>
          <w:highlight w:val="white"/>
          <w:lang w:val="en-US"/>
        </w:rPr>
        <w:t>Manuscript source:</w:t>
      </w:r>
      <w:r w:rsidRPr="00A86175">
        <w:rPr>
          <w:rFonts w:ascii="Book Antiqua" w:hAnsi="Book Antiqua" w:cs="Times New Roman"/>
          <w:b/>
          <w:bCs/>
          <w:color w:val="auto"/>
          <w:sz w:val="24"/>
          <w:szCs w:val="24"/>
          <w:highlight w:val="white"/>
          <w:lang w:val="en-US" w:eastAsia="zh-CN"/>
        </w:rPr>
        <w:t xml:space="preserve"> </w:t>
      </w:r>
      <w:r w:rsidRPr="00A86175">
        <w:rPr>
          <w:rFonts w:ascii="Book Antiqua" w:hAnsi="Book Antiqua" w:cs="Times New Roman"/>
          <w:bCs/>
          <w:color w:val="auto"/>
          <w:sz w:val="24"/>
          <w:szCs w:val="24"/>
          <w:highlight w:val="white"/>
          <w:lang w:val="en-US"/>
        </w:rPr>
        <w:t>Invited manuscript</w:t>
      </w:r>
    </w:p>
    <w:bookmarkEnd w:id="10"/>
    <w:bookmarkEnd w:id="11"/>
    <w:bookmarkEnd w:id="12"/>
    <w:bookmarkEnd w:id="13"/>
    <w:p w:rsidR="003F2403" w:rsidRPr="00A86175" w:rsidRDefault="003F2403" w:rsidP="00951B85">
      <w:pPr>
        <w:snapToGrid w:val="0"/>
        <w:spacing w:line="360" w:lineRule="auto"/>
        <w:jc w:val="both"/>
        <w:rPr>
          <w:rFonts w:ascii="Book Antiqua" w:eastAsiaTheme="minorEastAsia" w:hAnsi="Book Antiqua"/>
          <w:i/>
          <w:lang w:val="en-GB" w:eastAsia="zh-CN"/>
        </w:rPr>
      </w:pPr>
    </w:p>
    <w:p w:rsidR="006522CA" w:rsidRPr="000308BA" w:rsidRDefault="006522CA" w:rsidP="00951B85">
      <w:pPr>
        <w:snapToGrid w:val="0"/>
        <w:spacing w:line="360" w:lineRule="auto"/>
        <w:jc w:val="both"/>
        <w:rPr>
          <w:rFonts w:ascii="Book Antiqua" w:eastAsiaTheme="minorEastAsia" w:hAnsi="Book Antiqua"/>
          <w:lang w:val="en-GB" w:eastAsia="zh-CN"/>
        </w:rPr>
      </w:pPr>
      <w:r w:rsidRPr="00A86175">
        <w:rPr>
          <w:rFonts w:ascii="Book Antiqua" w:hAnsi="Book Antiqua"/>
          <w:b/>
          <w:lang w:val="en-GB"/>
        </w:rPr>
        <w:t>Correspondence to: Péter Hegyi MD, PhD, Professor,</w:t>
      </w:r>
      <w:r w:rsidRPr="00A86175">
        <w:rPr>
          <w:rFonts w:ascii="Book Antiqua" w:hAnsi="Book Antiqua"/>
          <w:lang w:val="en-GB"/>
        </w:rPr>
        <w:t xml:space="preserve"> Centre for Translational Medicine, </w:t>
      </w:r>
      <w:r w:rsidRPr="00A86175">
        <w:rPr>
          <w:rFonts w:ascii="Book Antiqua" w:hAnsi="Book Antiqua"/>
          <w:iCs/>
          <w:lang w:val="en-GB"/>
        </w:rPr>
        <w:t xml:space="preserve">University of Pécs, </w:t>
      </w:r>
      <w:r w:rsidRPr="00A86175">
        <w:rPr>
          <w:rFonts w:ascii="Book Antiqua" w:hAnsi="Book Antiqua"/>
          <w:lang w:val="en-GB"/>
        </w:rPr>
        <w:t xml:space="preserve">Szigeti út 12., II. em., </w:t>
      </w:r>
      <w:r w:rsidRPr="00A86175">
        <w:rPr>
          <w:rFonts w:ascii="Book Antiqua" w:hAnsi="Book Antiqua"/>
          <w:iCs/>
          <w:lang w:val="en-GB"/>
        </w:rPr>
        <w:t>Pécs</w:t>
      </w:r>
      <w:r w:rsidR="00614E70" w:rsidRPr="00A86175">
        <w:rPr>
          <w:rFonts w:ascii="Book Antiqua" w:eastAsiaTheme="minorEastAsia" w:hAnsi="Book Antiqua"/>
          <w:iCs/>
          <w:lang w:val="en-GB" w:eastAsia="zh-CN"/>
        </w:rPr>
        <w:t xml:space="preserve"> </w:t>
      </w:r>
      <w:r w:rsidR="00614E70" w:rsidRPr="00A86175">
        <w:rPr>
          <w:rFonts w:ascii="Book Antiqua" w:hAnsi="Book Antiqua"/>
          <w:lang w:val="en-GB"/>
        </w:rPr>
        <w:t>7624</w:t>
      </w:r>
      <w:r w:rsidRPr="00A86175">
        <w:rPr>
          <w:rFonts w:ascii="Book Antiqua" w:hAnsi="Book Antiqua"/>
          <w:iCs/>
          <w:lang w:val="en-GB"/>
        </w:rPr>
        <w:t>, Hungary</w:t>
      </w:r>
      <w:r w:rsidR="000A273C">
        <w:rPr>
          <w:rFonts w:ascii="Book Antiqua" w:eastAsiaTheme="minorEastAsia" w:hAnsi="Book Antiqua" w:hint="eastAsia"/>
          <w:iCs/>
          <w:lang w:val="en-GB" w:eastAsia="zh-CN"/>
        </w:rPr>
        <w:t>.</w:t>
      </w:r>
      <w:r w:rsidRPr="00A86175">
        <w:rPr>
          <w:rFonts w:ascii="Book Antiqua" w:hAnsi="Book Antiqua"/>
          <w:lang w:val="en-GB"/>
        </w:rPr>
        <w:t xml:space="preserve"> </w:t>
      </w:r>
      <w:hyperlink r:id="rId8" w:history="1">
        <w:r w:rsidR="000308BA" w:rsidRPr="0007121B">
          <w:rPr>
            <w:rStyle w:val="Hyperlink"/>
            <w:rFonts w:ascii="Book Antiqua" w:hAnsi="Book Antiqua"/>
            <w:lang w:val="en-GB"/>
          </w:rPr>
          <w:t>p.hegyi@tm-pte.org</w:t>
        </w:r>
      </w:hyperlink>
      <w:r w:rsidR="000308BA">
        <w:rPr>
          <w:rFonts w:ascii="Book Antiqua" w:eastAsiaTheme="minorEastAsia" w:hAnsi="Book Antiqua" w:hint="eastAsia"/>
          <w:lang w:val="en-GB" w:eastAsia="zh-CN"/>
        </w:rPr>
        <w:t xml:space="preserve"> </w:t>
      </w:r>
    </w:p>
    <w:p w:rsidR="006522CA" w:rsidRPr="00A86175" w:rsidRDefault="006522CA" w:rsidP="00951B85">
      <w:pPr>
        <w:pStyle w:val="BodyTextIndent2"/>
        <w:snapToGrid w:val="0"/>
        <w:spacing w:line="360" w:lineRule="auto"/>
        <w:ind w:firstLine="0"/>
        <w:jc w:val="both"/>
        <w:rPr>
          <w:rFonts w:ascii="Book Antiqua" w:hAnsi="Book Antiqua"/>
          <w:szCs w:val="24"/>
          <w:lang w:val="en-GB"/>
        </w:rPr>
      </w:pPr>
      <w:r w:rsidRPr="00A86175">
        <w:rPr>
          <w:rFonts w:ascii="Book Antiqua" w:hAnsi="Book Antiqua"/>
          <w:b/>
          <w:szCs w:val="24"/>
          <w:lang w:val="en-GB"/>
        </w:rPr>
        <w:t xml:space="preserve">Telephone: </w:t>
      </w:r>
      <w:r w:rsidRPr="00A86175">
        <w:rPr>
          <w:rFonts w:ascii="Book Antiqua" w:hAnsi="Book Antiqua"/>
          <w:szCs w:val="24"/>
          <w:lang w:val="en-GB"/>
        </w:rPr>
        <w:t>+36-72</w:t>
      </w:r>
      <w:r w:rsidR="0025022E" w:rsidRPr="00A86175">
        <w:rPr>
          <w:rFonts w:ascii="Book Antiqua" w:eastAsiaTheme="minorEastAsia" w:hAnsi="Book Antiqua"/>
          <w:szCs w:val="24"/>
          <w:lang w:val="en-GB" w:eastAsia="zh-CN"/>
        </w:rPr>
        <w:t>-</w:t>
      </w:r>
      <w:r w:rsidRPr="00A86175">
        <w:rPr>
          <w:rFonts w:ascii="Book Antiqua" w:hAnsi="Book Antiqua"/>
          <w:szCs w:val="24"/>
          <w:lang w:val="en-GB"/>
        </w:rPr>
        <w:t>536246</w:t>
      </w:r>
    </w:p>
    <w:p w:rsidR="00614E70" w:rsidRPr="00A86175" w:rsidRDefault="006522CA" w:rsidP="00951B85">
      <w:pPr>
        <w:pStyle w:val="BodyTextIndent2"/>
        <w:snapToGrid w:val="0"/>
        <w:spacing w:line="360" w:lineRule="auto"/>
        <w:ind w:firstLine="0"/>
        <w:jc w:val="both"/>
        <w:rPr>
          <w:rFonts w:ascii="Book Antiqua" w:eastAsiaTheme="minorEastAsia" w:hAnsi="Book Antiqua"/>
          <w:szCs w:val="24"/>
          <w:lang w:val="en-GB" w:eastAsia="zh-CN"/>
        </w:rPr>
      </w:pPr>
      <w:r w:rsidRPr="00A86175">
        <w:rPr>
          <w:rFonts w:ascii="Book Antiqua" w:hAnsi="Book Antiqua"/>
          <w:b/>
          <w:szCs w:val="24"/>
          <w:lang w:val="en-GB"/>
        </w:rPr>
        <w:t>Fax:</w:t>
      </w:r>
      <w:r w:rsidR="00614E70" w:rsidRPr="00A86175">
        <w:rPr>
          <w:rFonts w:ascii="Book Antiqua" w:eastAsiaTheme="minorEastAsia" w:hAnsi="Book Antiqua"/>
          <w:b/>
          <w:szCs w:val="24"/>
          <w:lang w:val="en-GB" w:eastAsia="zh-CN"/>
        </w:rPr>
        <w:t xml:space="preserve"> </w:t>
      </w:r>
      <w:r w:rsidRPr="00A86175">
        <w:rPr>
          <w:rFonts w:ascii="Book Antiqua" w:hAnsi="Book Antiqua"/>
          <w:szCs w:val="24"/>
          <w:lang w:val="en-GB"/>
        </w:rPr>
        <w:t>+36-72</w:t>
      </w:r>
      <w:r w:rsidR="0025022E" w:rsidRPr="00A86175">
        <w:rPr>
          <w:rFonts w:ascii="Book Antiqua" w:eastAsiaTheme="minorEastAsia" w:hAnsi="Book Antiqua"/>
          <w:szCs w:val="24"/>
          <w:lang w:val="en-GB" w:eastAsia="zh-CN"/>
        </w:rPr>
        <w:t>-</w:t>
      </w:r>
      <w:r w:rsidRPr="00A86175">
        <w:rPr>
          <w:rFonts w:ascii="Book Antiqua" w:hAnsi="Book Antiqua"/>
          <w:szCs w:val="24"/>
          <w:lang w:val="en-GB"/>
        </w:rPr>
        <w:t>536247</w:t>
      </w:r>
    </w:p>
    <w:p w:rsidR="00614E70" w:rsidRPr="00A86175" w:rsidRDefault="00614E70" w:rsidP="00951B85">
      <w:pPr>
        <w:pStyle w:val="BodyTextIndent2"/>
        <w:snapToGrid w:val="0"/>
        <w:spacing w:line="360" w:lineRule="auto"/>
        <w:ind w:firstLine="0"/>
        <w:jc w:val="both"/>
        <w:rPr>
          <w:rFonts w:ascii="Book Antiqua" w:eastAsiaTheme="minorEastAsia" w:hAnsi="Book Antiqua"/>
          <w:szCs w:val="24"/>
          <w:lang w:val="en-GB" w:eastAsia="zh-CN"/>
        </w:rPr>
      </w:pPr>
    </w:p>
    <w:p w:rsidR="00614E70" w:rsidRPr="00A86175" w:rsidRDefault="00614E70" w:rsidP="00951B85">
      <w:pPr>
        <w:snapToGrid w:val="0"/>
        <w:spacing w:line="360" w:lineRule="auto"/>
        <w:jc w:val="both"/>
        <w:rPr>
          <w:rFonts w:ascii="Book Antiqua" w:eastAsia="SimSun" w:hAnsi="Book Antiqua" w:cs="SimSun"/>
          <w:lang w:val="en-US" w:eastAsia="zh-CN"/>
        </w:rPr>
      </w:pPr>
      <w:r w:rsidRPr="00A86175">
        <w:rPr>
          <w:rFonts w:ascii="Book Antiqua" w:eastAsia="SimSun" w:hAnsi="Book Antiqua" w:cs="SimSun"/>
          <w:b/>
          <w:lang w:val="en-US" w:eastAsia="zh-CN"/>
        </w:rPr>
        <w:t xml:space="preserve">Received: </w:t>
      </w:r>
      <w:r w:rsidRPr="00A86175">
        <w:rPr>
          <w:rFonts w:ascii="Book Antiqua" w:eastAsia="SimSun" w:hAnsi="Book Antiqua" w:cs="SimSun"/>
          <w:lang w:val="en-US" w:eastAsia="zh-CN"/>
        </w:rPr>
        <w:t>October 30, 2017</w:t>
      </w:r>
    </w:p>
    <w:p w:rsidR="00614E70" w:rsidRPr="00A86175" w:rsidRDefault="00614E70" w:rsidP="00951B85">
      <w:pPr>
        <w:snapToGrid w:val="0"/>
        <w:spacing w:line="360" w:lineRule="auto"/>
        <w:jc w:val="both"/>
        <w:rPr>
          <w:rFonts w:ascii="Book Antiqua" w:eastAsia="SimSun" w:hAnsi="Book Antiqua" w:cs="SimSun"/>
          <w:lang w:val="en-US" w:eastAsia="zh-CN"/>
        </w:rPr>
      </w:pPr>
      <w:r w:rsidRPr="00A86175">
        <w:rPr>
          <w:rFonts w:ascii="Book Antiqua" w:eastAsia="SimSun" w:hAnsi="Book Antiqua" w:cs="SimSun"/>
          <w:b/>
          <w:lang w:val="en-US" w:eastAsia="zh-CN"/>
        </w:rPr>
        <w:t xml:space="preserve">Peer-review started: </w:t>
      </w:r>
      <w:r w:rsidRPr="00A86175">
        <w:rPr>
          <w:rFonts w:ascii="Book Antiqua" w:eastAsia="SimSun" w:hAnsi="Book Antiqua" w:cs="SimSun"/>
          <w:lang w:val="en-US" w:eastAsia="zh-CN"/>
        </w:rPr>
        <w:t>October 31, 2017</w:t>
      </w:r>
    </w:p>
    <w:p w:rsidR="00614E70" w:rsidRPr="00A86175" w:rsidRDefault="00614E70" w:rsidP="00951B85">
      <w:pPr>
        <w:snapToGrid w:val="0"/>
        <w:spacing w:line="360" w:lineRule="auto"/>
        <w:jc w:val="both"/>
        <w:rPr>
          <w:rFonts w:ascii="Book Antiqua" w:eastAsia="SimSun" w:hAnsi="Book Antiqua" w:cs="SimSun"/>
          <w:b/>
          <w:lang w:val="en-US" w:eastAsia="zh-CN"/>
        </w:rPr>
      </w:pPr>
      <w:r w:rsidRPr="00A86175">
        <w:rPr>
          <w:rFonts w:ascii="Book Antiqua" w:eastAsia="SimSun" w:hAnsi="Book Antiqua" w:cs="SimSun"/>
          <w:b/>
          <w:lang w:val="en-US" w:eastAsia="zh-CN"/>
        </w:rPr>
        <w:t xml:space="preserve">First decision: </w:t>
      </w:r>
      <w:r w:rsidRPr="00A86175">
        <w:rPr>
          <w:rFonts w:ascii="Book Antiqua" w:eastAsia="SimSun" w:hAnsi="Book Antiqua" w:cs="SimSun"/>
          <w:lang w:val="en-US" w:eastAsia="zh-CN"/>
        </w:rPr>
        <w:t>November 14, 2017</w:t>
      </w:r>
    </w:p>
    <w:p w:rsidR="00614E70" w:rsidRPr="00A86175" w:rsidRDefault="00614E70" w:rsidP="00951B85">
      <w:pPr>
        <w:snapToGrid w:val="0"/>
        <w:spacing w:line="360" w:lineRule="auto"/>
        <w:jc w:val="both"/>
        <w:rPr>
          <w:rFonts w:ascii="Book Antiqua" w:eastAsia="SimSun" w:hAnsi="Book Antiqua" w:cs="SimSun"/>
          <w:b/>
          <w:lang w:val="en-US" w:eastAsia="zh-CN"/>
        </w:rPr>
      </w:pPr>
      <w:r w:rsidRPr="00A86175">
        <w:rPr>
          <w:rFonts w:ascii="Book Antiqua" w:eastAsia="SimSun" w:hAnsi="Book Antiqua" w:cs="SimSun"/>
          <w:b/>
          <w:lang w:val="en-US" w:eastAsia="zh-CN"/>
        </w:rPr>
        <w:t xml:space="preserve">Revised: </w:t>
      </w:r>
      <w:r w:rsidRPr="00A86175">
        <w:rPr>
          <w:rFonts w:ascii="Book Antiqua" w:eastAsia="SimSun" w:hAnsi="Book Antiqua" w:cs="SimSun"/>
          <w:lang w:val="en-US" w:eastAsia="zh-CN"/>
        </w:rPr>
        <w:t>November 23, 2017</w:t>
      </w:r>
    </w:p>
    <w:p w:rsidR="00614E70" w:rsidRPr="00A86175" w:rsidRDefault="00614E70" w:rsidP="00951B85">
      <w:pPr>
        <w:snapToGrid w:val="0"/>
        <w:spacing w:line="360" w:lineRule="auto"/>
        <w:jc w:val="both"/>
        <w:rPr>
          <w:rFonts w:ascii="Book Antiqua" w:eastAsia="SimSun" w:hAnsi="Book Antiqua" w:cs="SimSun"/>
          <w:b/>
          <w:lang w:val="en-US" w:eastAsia="zh-CN"/>
        </w:rPr>
      </w:pPr>
      <w:r w:rsidRPr="00A86175">
        <w:rPr>
          <w:rFonts w:ascii="Book Antiqua" w:eastAsia="SimSun" w:hAnsi="Book Antiqua" w:cs="SimSun"/>
          <w:b/>
          <w:lang w:val="en-US" w:eastAsia="zh-CN"/>
        </w:rPr>
        <w:t>Accepted:</w:t>
      </w:r>
      <w:r w:rsidR="00A67FCD" w:rsidRPr="00A67FCD">
        <w:t xml:space="preserve"> </w:t>
      </w:r>
      <w:r w:rsidR="00A67FCD" w:rsidRPr="00A67FCD">
        <w:rPr>
          <w:rFonts w:ascii="Book Antiqua" w:eastAsia="SimSun" w:hAnsi="Book Antiqua" w:cs="SimSun"/>
          <w:lang w:val="en-US" w:eastAsia="zh-CN"/>
        </w:rPr>
        <w:t>December 5, 2017</w:t>
      </w:r>
    </w:p>
    <w:p w:rsidR="00614E70" w:rsidRPr="00A86175" w:rsidRDefault="00614E70" w:rsidP="00951B85">
      <w:pPr>
        <w:snapToGrid w:val="0"/>
        <w:spacing w:line="360" w:lineRule="auto"/>
        <w:jc w:val="both"/>
        <w:rPr>
          <w:rFonts w:ascii="Book Antiqua" w:eastAsia="SimSun" w:hAnsi="Book Antiqua" w:cs="SimSun"/>
          <w:b/>
          <w:lang w:val="en-US" w:eastAsia="zh-CN"/>
        </w:rPr>
      </w:pPr>
      <w:r w:rsidRPr="00A86175">
        <w:rPr>
          <w:rFonts w:ascii="Book Antiqua" w:eastAsia="SimSun" w:hAnsi="Book Antiqua" w:cs="SimSun"/>
          <w:b/>
          <w:lang w:val="en-US" w:eastAsia="zh-CN"/>
        </w:rPr>
        <w:t>Article in press:</w:t>
      </w:r>
    </w:p>
    <w:p w:rsidR="00614E70" w:rsidRPr="00A86175" w:rsidRDefault="00614E70" w:rsidP="00951B85">
      <w:pPr>
        <w:snapToGrid w:val="0"/>
        <w:spacing w:line="360" w:lineRule="auto"/>
        <w:jc w:val="both"/>
        <w:rPr>
          <w:rFonts w:ascii="Book Antiqua" w:eastAsia="SimSun" w:hAnsi="Book Antiqua" w:cs="Arial"/>
          <w:b/>
          <w:lang w:val="pl-PL" w:eastAsia="zh-CN"/>
        </w:rPr>
      </w:pPr>
      <w:r w:rsidRPr="00A86175">
        <w:rPr>
          <w:rFonts w:ascii="Book Antiqua" w:eastAsia="SimSun" w:hAnsi="Book Antiqua" w:cs="Arial"/>
          <w:b/>
          <w:lang w:val="pl-PL" w:eastAsia="pl-PL"/>
        </w:rPr>
        <w:t>Published online:</w:t>
      </w:r>
    </w:p>
    <w:p w:rsidR="00614E70" w:rsidRPr="00A86175" w:rsidRDefault="00614E70" w:rsidP="00951B85">
      <w:pPr>
        <w:pStyle w:val="BodyTextIndent2"/>
        <w:snapToGrid w:val="0"/>
        <w:spacing w:line="360" w:lineRule="auto"/>
        <w:ind w:firstLine="0"/>
        <w:jc w:val="both"/>
        <w:rPr>
          <w:rFonts w:ascii="Book Antiqua" w:eastAsiaTheme="minorEastAsia" w:hAnsi="Book Antiqua"/>
          <w:szCs w:val="24"/>
          <w:lang w:val="en-GB" w:eastAsia="zh-CN"/>
        </w:rPr>
      </w:pPr>
    </w:p>
    <w:p w:rsidR="006522CA" w:rsidRPr="00A86175" w:rsidRDefault="006522CA" w:rsidP="00951B85">
      <w:pPr>
        <w:pStyle w:val="BodyTextIndent2"/>
        <w:snapToGrid w:val="0"/>
        <w:spacing w:line="360" w:lineRule="auto"/>
        <w:ind w:firstLine="0"/>
        <w:jc w:val="both"/>
        <w:rPr>
          <w:rFonts w:ascii="Book Antiqua" w:hAnsi="Book Antiqua"/>
          <w:szCs w:val="24"/>
          <w:lang w:val="en-GB"/>
        </w:rPr>
      </w:pPr>
      <w:r w:rsidRPr="00A86175">
        <w:rPr>
          <w:rFonts w:ascii="Book Antiqua" w:hAnsi="Book Antiqua"/>
          <w:szCs w:val="24"/>
          <w:lang w:val="en-GB"/>
        </w:rPr>
        <w:br w:type="page"/>
      </w: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lastRenderedPageBreak/>
        <w:t>Abstract</w:t>
      </w:r>
    </w:p>
    <w:p w:rsidR="00614E70" w:rsidRPr="00A86175" w:rsidRDefault="006522CA" w:rsidP="00951B85">
      <w:pPr>
        <w:snapToGrid w:val="0"/>
        <w:spacing w:line="360" w:lineRule="auto"/>
        <w:jc w:val="both"/>
        <w:rPr>
          <w:rFonts w:ascii="Book Antiqua" w:eastAsiaTheme="minorEastAsia" w:hAnsi="Book Antiqua"/>
          <w:i/>
          <w:lang w:val="en-GB" w:eastAsia="zh-CN"/>
        </w:rPr>
      </w:pPr>
      <w:r w:rsidRPr="00A86175">
        <w:rPr>
          <w:rFonts w:ascii="Book Antiqua" w:hAnsi="Book Antiqua"/>
          <w:b/>
          <w:i/>
          <w:lang w:val="en-GB"/>
        </w:rPr>
        <w:t>AIM</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To understand the influence of chronic kidney disease (CKD) on mortality, need for transfusion and rebleeding in gastrointestinal (GI) bleeding patients.</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14E70" w:rsidRPr="00A86175" w:rsidRDefault="006522CA" w:rsidP="00951B85">
      <w:pPr>
        <w:snapToGrid w:val="0"/>
        <w:spacing w:line="360" w:lineRule="auto"/>
        <w:jc w:val="both"/>
        <w:rPr>
          <w:rFonts w:ascii="Book Antiqua" w:eastAsiaTheme="minorEastAsia" w:hAnsi="Book Antiqua"/>
          <w:i/>
          <w:lang w:val="en-GB" w:eastAsia="zh-CN"/>
        </w:rPr>
      </w:pPr>
      <w:r w:rsidRPr="00A86175">
        <w:rPr>
          <w:rFonts w:ascii="Book Antiqua" w:hAnsi="Book Antiqua"/>
          <w:b/>
          <w:i/>
          <w:lang w:val="en-GB"/>
        </w:rPr>
        <w:t>METHODS</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A systematic search was conducted in three databases for studies on GI bleeding patients with CKD or end-stage renal disease (ESRD) with data on outcomes of mortality, transfusion requirement, rebleeding rate and length of hospitalization (LOH). Calculations were performed with Comprehensive Meta-Analysis software using the random effects model. Heterogeneity was tested by using Cochrane’s Q and I</w:t>
      </w:r>
      <w:r w:rsidRPr="00A86175">
        <w:rPr>
          <w:rFonts w:ascii="Book Antiqua" w:hAnsi="Book Antiqua"/>
          <w:vertAlign w:val="superscript"/>
          <w:lang w:val="en-GB"/>
        </w:rPr>
        <w:t>2</w:t>
      </w:r>
      <w:r w:rsidRPr="00A86175">
        <w:rPr>
          <w:rFonts w:ascii="Book Antiqua" w:hAnsi="Book Antiqua"/>
          <w:lang w:val="en-GB"/>
        </w:rPr>
        <w:t xml:space="preserve"> statistics. Mean difference (MD) and OR (odds ratio) were calculated.</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14E70" w:rsidRPr="00A86175" w:rsidRDefault="006522CA" w:rsidP="00951B85">
      <w:pPr>
        <w:snapToGrid w:val="0"/>
        <w:spacing w:line="360" w:lineRule="auto"/>
        <w:jc w:val="both"/>
        <w:rPr>
          <w:rFonts w:ascii="Book Antiqua" w:eastAsiaTheme="minorEastAsia" w:hAnsi="Book Antiqua"/>
          <w:i/>
          <w:lang w:val="en-GB" w:eastAsia="zh-CN"/>
        </w:rPr>
      </w:pPr>
      <w:r w:rsidRPr="00A86175">
        <w:rPr>
          <w:rFonts w:ascii="Book Antiqua" w:hAnsi="Book Antiqua"/>
          <w:b/>
          <w:i/>
          <w:lang w:val="en-GB"/>
        </w:rPr>
        <w:t>RESULTS</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1063 articles (EMBASE: 589; PubMed: 459; Cochrane: 15) were found in total. 5 retrospective articles and 1 prospective study were available for analysis. These 6 articles contained data on 406,035 patients, of whom 51315 had impaired renal function. The analysis showed a higher mortality in the CKD group (OR = 1.786, 95%CI: 1.689</w:t>
      </w:r>
      <w:r w:rsidR="00614E70" w:rsidRPr="00A86175">
        <w:rPr>
          <w:rFonts w:ascii="Book Antiqua" w:eastAsiaTheme="minorEastAsia" w:hAnsi="Book Antiqua"/>
          <w:lang w:val="en-GB" w:eastAsia="zh-CN"/>
        </w:rPr>
        <w:t>-</w:t>
      </w:r>
      <w:r w:rsidRPr="00A86175">
        <w:rPr>
          <w:rFonts w:ascii="Book Antiqua" w:hAnsi="Book Antiqua"/>
          <w:lang w:val="en-GB"/>
        </w:rPr>
        <w:t xml:space="preserve">1.888, </w:t>
      </w:r>
      <w:r w:rsidRPr="00A86175">
        <w:rPr>
          <w:rFonts w:ascii="Book Antiqua" w:hAnsi="Book Antiqua"/>
          <w:i/>
          <w:lang w:val="en-GB"/>
        </w:rPr>
        <w:t>P</w:t>
      </w:r>
      <w:r w:rsidR="00614E70" w:rsidRPr="00A86175">
        <w:rPr>
          <w:rFonts w:ascii="Book Antiqua" w:eastAsiaTheme="minorEastAsia" w:hAnsi="Book Antiqua"/>
          <w:i/>
          <w:lang w:val="en-GB" w:eastAsia="zh-CN"/>
        </w:rPr>
        <w:t xml:space="preserve"> </w:t>
      </w:r>
      <w:r w:rsidRPr="00A86175">
        <w:rPr>
          <w:rFonts w:ascii="Book Antiqua" w:hAnsi="Book Antiqua"/>
          <w:lang w:val="en-GB"/>
        </w:rPr>
        <w:t>&lt;</w:t>
      </w:r>
      <w:r w:rsidR="00614E70" w:rsidRPr="00A86175">
        <w:rPr>
          <w:rFonts w:ascii="Book Antiqua" w:eastAsiaTheme="minorEastAsia" w:hAnsi="Book Antiqua"/>
          <w:lang w:val="en-GB" w:eastAsia="zh-CN"/>
        </w:rPr>
        <w:t xml:space="preserve"> </w:t>
      </w:r>
      <w:r w:rsidRPr="00A86175">
        <w:rPr>
          <w:rFonts w:ascii="Book Antiqua" w:hAnsi="Book Antiqua"/>
          <w:lang w:val="en-GB"/>
        </w:rPr>
        <w:t>0.001) and the ESRD group (OR = 2.530, 95%CI: 1.386</w:t>
      </w:r>
      <w:r w:rsidR="00614E70" w:rsidRPr="00A86175">
        <w:rPr>
          <w:rFonts w:ascii="Book Antiqua" w:eastAsiaTheme="minorEastAsia" w:hAnsi="Book Antiqua"/>
          <w:lang w:val="en-GB" w:eastAsia="zh-CN"/>
        </w:rPr>
        <w:t>-</w:t>
      </w:r>
      <w:r w:rsidRPr="00A86175">
        <w:rPr>
          <w:rFonts w:ascii="Book Antiqua" w:hAnsi="Book Antiqua"/>
          <w:lang w:val="en-GB"/>
        </w:rPr>
        <w:t xml:space="preserve">4.616, </w:t>
      </w:r>
      <w:r w:rsidRPr="00A86175">
        <w:rPr>
          <w:rFonts w:ascii="Book Antiqua" w:hAnsi="Book Antiqua"/>
          <w:i/>
          <w:lang w:val="en-GB"/>
        </w:rPr>
        <w:t>P</w:t>
      </w:r>
      <w:r w:rsidRPr="00A86175">
        <w:rPr>
          <w:rFonts w:ascii="Book Antiqua" w:hAnsi="Book Antiqua"/>
          <w:lang w:val="en-GB"/>
        </w:rPr>
        <w:t xml:space="preserve"> = 0.002), and a rebleeding rate (OR = 2.510, 95%CI: 1.521</w:t>
      </w:r>
      <w:r w:rsidR="00614E70" w:rsidRPr="00A86175">
        <w:rPr>
          <w:rFonts w:ascii="Book Antiqua" w:eastAsiaTheme="minorEastAsia" w:hAnsi="Book Antiqua"/>
          <w:lang w:val="en-GB" w:eastAsia="zh-CN"/>
        </w:rPr>
        <w:t>-</w:t>
      </w:r>
      <w:r w:rsidRPr="00A86175">
        <w:rPr>
          <w:rFonts w:ascii="Book Antiqua" w:hAnsi="Book Antiqua"/>
          <w:lang w:val="en-GB"/>
        </w:rPr>
        <w:t xml:space="preserve">4.144, </w:t>
      </w:r>
      <w:r w:rsidRPr="00A86175">
        <w:rPr>
          <w:rFonts w:ascii="Book Antiqua" w:hAnsi="Book Antiqua"/>
          <w:i/>
          <w:lang w:val="en-GB"/>
        </w:rPr>
        <w:t>P</w:t>
      </w:r>
      <w:r w:rsidRPr="00A86175">
        <w:rPr>
          <w:rFonts w:ascii="Book Antiqua" w:hAnsi="Book Antiqua"/>
          <w:lang w:val="en-GB"/>
        </w:rPr>
        <w:t xml:space="preserve"> &lt; 0.001) in patients with impaired renal function. CKD patients required more unit red blood cell transfusion (MD = 1.863, 95%CI: 0.812</w:t>
      </w:r>
      <w:r w:rsidR="00614E70" w:rsidRPr="00A86175">
        <w:rPr>
          <w:rFonts w:ascii="Book Antiqua" w:eastAsiaTheme="minorEastAsia" w:hAnsi="Book Antiqua"/>
          <w:lang w:val="en-GB" w:eastAsia="zh-CN"/>
        </w:rPr>
        <w:t>-</w:t>
      </w:r>
      <w:r w:rsidRPr="00A86175">
        <w:rPr>
          <w:rFonts w:ascii="Book Antiqua" w:hAnsi="Book Antiqua"/>
          <w:lang w:val="en-GB"/>
        </w:rPr>
        <w:t xml:space="preserve">2.915, </w:t>
      </w:r>
      <w:r w:rsidRPr="00A86175">
        <w:rPr>
          <w:rFonts w:ascii="Book Antiqua" w:hAnsi="Book Antiqua"/>
          <w:i/>
          <w:lang w:val="en-GB"/>
        </w:rPr>
        <w:t>P</w:t>
      </w:r>
      <w:r w:rsidR="00614E70" w:rsidRPr="00A86175">
        <w:rPr>
          <w:rFonts w:ascii="Book Antiqua" w:eastAsiaTheme="minorEastAsia" w:hAnsi="Book Antiqua"/>
          <w:i/>
          <w:lang w:val="en-GB" w:eastAsia="zh-CN"/>
        </w:rPr>
        <w:t xml:space="preserve"> </w:t>
      </w:r>
      <w:r w:rsidRPr="00A86175">
        <w:rPr>
          <w:rFonts w:ascii="Book Antiqua" w:hAnsi="Book Antiqua"/>
          <w:lang w:val="en-GB"/>
        </w:rPr>
        <w:t>&lt;</w:t>
      </w:r>
      <w:r w:rsidR="00614E70" w:rsidRPr="00A86175">
        <w:rPr>
          <w:rFonts w:ascii="Book Antiqua" w:eastAsiaTheme="minorEastAsia" w:hAnsi="Book Antiqua"/>
          <w:lang w:val="en-GB" w:eastAsia="zh-CN"/>
        </w:rPr>
        <w:t xml:space="preserve"> </w:t>
      </w:r>
      <w:r w:rsidRPr="00A86175">
        <w:rPr>
          <w:rFonts w:ascii="Book Antiqua" w:hAnsi="Book Antiqua"/>
          <w:lang w:val="en-GB"/>
        </w:rPr>
        <w:t>0.001) and spent more time in hospital (MD = 13.245, 95%CI: 6.886</w:t>
      </w:r>
      <w:r w:rsidR="00614E70" w:rsidRPr="00A86175">
        <w:rPr>
          <w:rFonts w:ascii="Book Antiqua" w:eastAsiaTheme="minorEastAsia" w:hAnsi="Book Antiqua"/>
          <w:lang w:val="en-GB" w:eastAsia="zh-CN"/>
        </w:rPr>
        <w:t>-</w:t>
      </w:r>
      <w:r w:rsidRPr="00A86175">
        <w:rPr>
          <w:rFonts w:ascii="Book Antiqua" w:hAnsi="Book Antiqua"/>
          <w:lang w:val="en-GB"/>
        </w:rPr>
        <w:t xml:space="preserve">19.623, </w:t>
      </w:r>
      <w:r w:rsidRPr="00A86175">
        <w:rPr>
          <w:rFonts w:ascii="Book Antiqua" w:hAnsi="Book Antiqua"/>
          <w:i/>
          <w:lang w:val="en-GB"/>
        </w:rPr>
        <w:t>P</w:t>
      </w:r>
      <w:r w:rsidR="00614E70" w:rsidRPr="00A86175">
        <w:rPr>
          <w:rFonts w:ascii="Book Antiqua" w:eastAsiaTheme="minorEastAsia" w:hAnsi="Book Antiqua"/>
          <w:i/>
          <w:lang w:val="en-GB" w:eastAsia="zh-CN"/>
        </w:rPr>
        <w:t xml:space="preserve"> </w:t>
      </w:r>
      <w:r w:rsidRPr="00A86175">
        <w:rPr>
          <w:rFonts w:ascii="Book Antiqua" w:hAnsi="Book Antiqua"/>
          <w:lang w:val="en-GB"/>
        </w:rPr>
        <w:t>&lt;</w:t>
      </w:r>
      <w:r w:rsidR="00614E70" w:rsidRPr="00A86175">
        <w:rPr>
          <w:rFonts w:ascii="Book Antiqua" w:eastAsiaTheme="minorEastAsia" w:hAnsi="Book Antiqua"/>
          <w:lang w:val="en-GB" w:eastAsia="zh-CN"/>
        </w:rPr>
        <w:t xml:space="preserve"> </w:t>
      </w:r>
      <w:r w:rsidRPr="00A86175">
        <w:rPr>
          <w:rFonts w:ascii="Book Antiqua" w:hAnsi="Book Antiqua"/>
          <w:lang w:val="en-GB"/>
        </w:rPr>
        <w:t>0.001) than the controls.</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14E70" w:rsidRPr="00A86175" w:rsidRDefault="006522CA" w:rsidP="00951B85">
      <w:pPr>
        <w:snapToGrid w:val="0"/>
        <w:spacing w:line="360" w:lineRule="auto"/>
        <w:jc w:val="both"/>
        <w:rPr>
          <w:rFonts w:ascii="Book Antiqua" w:eastAsiaTheme="minorEastAsia" w:hAnsi="Book Antiqua"/>
          <w:b/>
          <w:i/>
          <w:lang w:val="en-GB" w:eastAsia="zh-CN"/>
        </w:rPr>
      </w:pPr>
      <w:r w:rsidRPr="00A86175">
        <w:rPr>
          <w:rFonts w:ascii="Book Antiqua" w:hAnsi="Book Antiqua"/>
          <w:b/>
          <w:i/>
          <w:lang w:val="en-GB"/>
        </w:rPr>
        <w:t>CONCLUSION</w:t>
      </w:r>
      <w:bookmarkStart w:id="18" w:name="_Hlk480715359"/>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 xml:space="preserve">ESRD increases mortality, need for transfusion, rebleeding rate and LOH among GI bleeding patients. </w:t>
      </w:r>
      <w:bookmarkEnd w:id="18"/>
      <w:r w:rsidRPr="00A86175">
        <w:rPr>
          <w:rFonts w:ascii="Book Antiqua" w:hAnsi="Book Antiqua"/>
          <w:lang w:val="en-GB"/>
        </w:rPr>
        <w:t xml:space="preserve">Prospective patient registries and observational clinical trials are crucially needed.  </w:t>
      </w:r>
    </w:p>
    <w:p w:rsidR="006522CA" w:rsidRPr="00A86175" w:rsidRDefault="006522CA" w:rsidP="00951B85">
      <w:pPr>
        <w:snapToGrid w:val="0"/>
        <w:spacing w:line="360" w:lineRule="auto"/>
        <w:jc w:val="both"/>
        <w:rPr>
          <w:rFonts w:ascii="Book Antiqua" w:hAnsi="Book Antiqua"/>
          <w:lang w:val="en-GB"/>
        </w:rPr>
      </w:pPr>
    </w:p>
    <w:p w:rsidR="006522CA" w:rsidRPr="00A86175" w:rsidRDefault="006522CA" w:rsidP="00951B85">
      <w:pPr>
        <w:snapToGrid w:val="0"/>
        <w:spacing w:line="360" w:lineRule="auto"/>
        <w:jc w:val="both"/>
        <w:rPr>
          <w:rFonts w:ascii="Book Antiqua" w:eastAsiaTheme="minorEastAsia" w:hAnsi="Book Antiqua"/>
          <w:lang w:val="en-GB" w:eastAsia="zh-CN"/>
        </w:rPr>
      </w:pPr>
      <w:r w:rsidRPr="00A86175">
        <w:rPr>
          <w:rFonts w:ascii="Book Antiqua" w:hAnsi="Book Antiqua"/>
          <w:b/>
          <w:lang w:val="en-GB"/>
        </w:rPr>
        <w:t xml:space="preserve">Key </w:t>
      </w:r>
      <w:r w:rsidR="00614E70" w:rsidRPr="00A86175">
        <w:rPr>
          <w:rFonts w:ascii="Book Antiqua" w:hAnsi="Book Antiqua"/>
          <w:b/>
          <w:lang w:val="en-GB"/>
        </w:rPr>
        <w:t>w</w:t>
      </w:r>
      <w:r w:rsidRPr="00A86175">
        <w:rPr>
          <w:rFonts w:ascii="Book Antiqua" w:hAnsi="Book Antiqua"/>
          <w:b/>
          <w:lang w:val="en-GB"/>
        </w:rPr>
        <w:t>ords:</w:t>
      </w:r>
      <w:r w:rsidRPr="00A86175">
        <w:rPr>
          <w:rFonts w:ascii="Book Antiqua" w:hAnsi="Book Antiqua"/>
          <w:lang w:val="en-GB"/>
        </w:rPr>
        <w:t xml:space="preserve"> Gastrointestinal </w:t>
      </w:r>
      <w:r w:rsidR="00614E70" w:rsidRPr="00A86175">
        <w:rPr>
          <w:rFonts w:ascii="Book Antiqua" w:hAnsi="Book Antiqua"/>
          <w:lang w:val="en-GB"/>
        </w:rPr>
        <w:t>b</w:t>
      </w:r>
      <w:r w:rsidRPr="00A86175">
        <w:rPr>
          <w:rFonts w:ascii="Book Antiqua" w:hAnsi="Book Antiqua"/>
          <w:lang w:val="en-GB"/>
        </w:rPr>
        <w:t>leeding</w:t>
      </w:r>
      <w:r w:rsidR="00614E70" w:rsidRPr="00A86175">
        <w:rPr>
          <w:rFonts w:ascii="Book Antiqua" w:eastAsiaTheme="minorEastAsia" w:hAnsi="Book Antiqua"/>
          <w:lang w:val="en-GB" w:eastAsia="zh-CN"/>
        </w:rPr>
        <w:t>;</w:t>
      </w:r>
      <w:r w:rsidR="00A86175">
        <w:rPr>
          <w:rFonts w:ascii="Book Antiqua" w:eastAsiaTheme="minorEastAsia" w:hAnsi="Book Antiqua" w:hint="eastAsia"/>
          <w:lang w:val="en-GB" w:eastAsia="zh-CN"/>
        </w:rPr>
        <w:t xml:space="preserve"> </w:t>
      </w:r>
      <w:r w:rsidRPr="00A86175">
        <w:rPr>
          <w:rFonts w:ascii="Book Antiqua" w:hAnsi="Book Antiqua"/>
          <w:lang w:val="en-GB"/>
        </w:rPr>
        <w:t xml:space="preserve">Chronic </w:t>
      </w:r>
      <w:r w:rsidR="00614E70" w:rsidRPr="00A86175">
        <w:rPr>
          <w:rFonts w:ascii="Book Antiqua" w:hAnsi="Book Antiqua"/>
          <w:lang w:val="en-GB"/>
        </w:rPr>
        <w:t>k</w:t>
      </w:r>
      <w:r w:rsidRPr="00A86175">
        <w:rPr>
          <w:rFonts w:ascii="Book Antiqua" w:hAnsi="Book Antiqua"/>
          <w:lang w:val="en-GB"/>
        </w:rPr>
        <w:t xml:space="preserve">idney </w:t>
      </w:r>
      <w:r w:rsidR="00614E70" w:rsidRPr="00A86175">
        <w:rPr>
          <w:rFonts w:ascii="Book Antiqua" w:hAnsi="Book Antiqua"/>
          <w:lang w:val="en-GB"/>
        </w:rPr>
        <w:t>d</w:t>
      </w:r>
      <w:r w:rsidRPr="00A86175">
        <w:rPr>
          <w:rFonts w:ascii="Book Antiqua" w:hAnsi="Book Antiqua"/>
          <w:lang w:val="en-GB"/>
        </w:rPr>
        <w:t>isease</w:t>
      </w:r>
      <w:r w:rsidR="00614E70" w:rsidRPr="00A86175">
        <w:rPr>
          <w:rFonts w:ascii="Book Antiqua" w:eastAsiaTheme="minorEastAsia" w:hAnsi="Book Antiqua"/>
          <w:lang w:val="en-GB" w:eastAsia="zh-CN"/>
        </w:rPr>
        <w:t xml:space="preserve">; </w:t>
      </w:r>
      <w:r w:rsidRPr="00A86175">
        <w:rPr>
          <w:rFonts w:ascii="Book Antiqua" w:hAnsi="Book Antiqua"/>
          <w:lang w:val="en-GB"/>
        </w:rPr>
        <w:t>Mortality</w:t>
      </w:r>
      <w:r w:rsidR="00614E70" w:rsidRPr="00A86175">
        <w:rPr>
          <w:rFonts w:ascii="Book Antiqua" w:eastAsiaTheme="minorEastAsia" w:hAnsi="Book Antiqua"/>
          <w:lang w:val="en-GB" w:eastAsia="zh-CN"/>
        </w:rPr>
        <w:t xml:space="preserve">; </w:t>
      </w:r>
      <w:r w:rsidRPr="00A86175">
        <w:rPr>
          <w:rFonts w:ascii="Book Antiqua" w:hAnsi="Book Antiqua"/>
          <w:lang w:val="en-GB"/>
        </w:rPr>
        <w:t xml:space="preserve">Blood </w:t>
      </w:r>
      <w:r w:rsidR="00614E70" w:rsidRPr="00A86175">
        <w:rPr>
          <w:rFonts w:ascii="Book Antiqua" w:hAnsi="Book Antiqua"/>
          <w:lang w:val="en-GB"/>
        </w:rPr>
        <w:t>t</w:t>
      </w:r>
      <w:r w:rsidRPr="00A86175">
        <w:rPr>
          <w:rFonts w:ascii="Book Antiqua" w:hAnsi="Book Antiqua"/>
          <w:lang w:val="en-GB"/>
        </w:rPr>
        <w:t>ransfusion</w:t>
      </w:r>
      <w:r w:rsidR="00614E70" w:rsidRPr="00A86175">
        <w:rPr>
          <w:rFonts w:ascii="Book Antiqua" w:eastAsiaTheme="minorEastAsia" w:hAnsi="Book Antiqua"/>
          <w:lang w:val="en-GB" w:eastAsia="zh-CN"/>
        </w:rPr>
        <w:t xml:space="preserve">; </w:t>
      </w:r>
      <w:r w:rsidR="00614E70" w:rsidRPr="00A86175">
        <w:rPr>
          <w:rFonts w:ascii="Book Antiqua" w:hAnsi="Book Antiqua"/>
          <w:lang w:val="en-GB"/>
        </w:rPr>
        <w:t>Rebleeding</w:t>
      </w:r>
    </w:p>
    <w:p w:rsidR="0025022E" w:rsidRPr="00A86175" w:rsidRDefault="0025022E" w:rsidP="00951B85">
      <w:pPr>
        <w:snapToGrid w:val="0"/>
        <w:spacing w:line="360" w:lineRule="auto"/>
        <w:jc w:val="both"/>
        <w:rPr>
          <w:rFonts w:ascii="Book Antiqua" w:eastAsiaTheme="minorEastAsia" w:hAnsi="Book Antiqua"/>
          <w:b/>
          <w:lang w:val="en-GB" w:eastAsia="zh-CN"/>
        </w:rPr>
      </w:pPr>
    </w:p>
    <w:p w:rsidR="00614E70" w:rsidRPr="00A86175" w:rsidRDefault="00614E70" w:rsidP="00951B85">
      <w:pPr>
        <w:adjustRightInd w:val="0"/>
        <w:snapToGrid w:val="0"/>
        <w:spacing w:line="360" w:lineRule="auto"/>
        <w:jc w:val="both"/>
        <w:rPr>
          <w:rFonts w:ascii="Book Antiqua" w:eastAsia="SimSun" w:hAnsi="Book Antiqua" w:cs="SimSun"/>
          <w:lang w:val="en-US" w:eastAsia="zh-CN"/>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bookmarkStart w:id="27" w:name="OLE_LINK916"/>
      <w:bookmarkStart w:id="28" w:name="OLE_LINK956"/>
      <w:bookmarkStart w:id="29" w:name="OLE_LINK994"/>
      <w:r w:rsidRPr="00A86175">
        <w:rPr>
          <w:rFonts w:ascii="Book Antiqua" w:eastAsia="SimSun" w:hAnsi="Book Antiqua" w:cs="SimSun"/>
          <w:b/>
          <w:lang w:val="en-US" w:eastAsia="zh-CN"/>
        </w:rPr>
        <w:t>© The Author(s) 2017.</w:t>
      </w:r>
      <w:r w:rsidRPr="00A86175">
        <w:rPr>
          <w:rFonts w:ascii="Book Antiqua" w:eastAsia="SimSun" w:hAnsi="Book Antiqua" w:cs="SimSun"/>
          <w:lang w:val="en-US" w:eastAsia="zh-CN"/>
        </w:rPr>
        <w:t xml:space="preserve"> Published by Baishideng Publishing Group Inc. All rights reserved.</w:t>
      </w:r>
    </w:p>
    <w:bookmarkEnd w:id="19"/>
    <w:bookmarkEnd w:id="20"/>
    <w:bookmarkEnd w:id="21"/>
    <w:bookmarkEnd w:id="22"/>
    <w:bookmarkEnd w:id="23"/>
    <w:bookmarkEnd w:id="24"/>
    <w:bookmarkEnd w:id="25"/>
    <w:bookmarkEnd w:id="26"/>
    <w:bookmarkEnd w:id="27"/>
    <w:bookmarkEnd w:id="28"/>
    <w:bookmarkEnd w:id="29"/>
    <w:p w:rsidR="00614E70" w:rsidRPr="00A86175" w:rsidRDefault="00614E70"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t xml:space="preserve">Core tip: </w:t>
      </w:r>
      <w:r w:rsidRPr="00A86175">
        <w:rPr>
          <w:rFonts w:ascii="Book Antiqua" w:hAnsi="Book Antiqua"/>
          <w:lang w:val="en-GB"/>
        </w:rPr>
        <w:t>Acute gastrointestinal bleeding is a potentially life-threatening abdominal emergency that remains a common cause of hospitalization. Pre-existing chronic kidney disease (CKD) may worsen the prognosis. This is the first meta-analysis to compare CKD patients and normal renal function patients based on GI bleeding. We investigated these two groups in terms of mortality, transfusion amount, rebleeding rate and length of hospitalization.</w:t>
      </w:r>
    </w:p>
    <w:p w:rsidR="00A86175" w:rsidRPr="00A86175" w:rsidRDefault="00A86175" w:rsidP="00951B85">
      <w:pPr>
        <w:snapToGrid w:val="0"/>
        <w:spacing w:line="360" w:lineRule="auto"/>
        <w:jc w:val="both"/>
        <w:rPr>
          <w:rFonts w:ascii="Book Antiqua" w:eastAsiaTheme="minorEastAsia" w:hAnsi="Book Antiqua"/>
          <w:bCs/>
          <w:lang w:val="en-GB" w:eastAsia="zh-CN"/>
        </w:rPr>
      </w:pPr>
    </w:p>
    <w:p w:rsidR="00A86175" w:rsidRPr="00A86175" w:rsidRDefault="00A86175" w:rsidP="00951B85">
      <w:pPr>
        <w:snapToGrid w:val="0"/>
        <w:spacing w:line="360" w:lineRule="auto"/>
        <w:jc w:val="both"/>
        <w:rPr>
          <w:rFonts w:ascii="Book Antiqua" w:eastAsiaTheme="minorEastAsia" w:hAnsi="Book Antiqua"/>
          <w:b/>
          <w:bCs/>
          <w:lang w:val="en-GB" w:eastAsia="zh-CN"/>
        </w:rPr>
      </w:pPr>
      <w:r w:rsidRPr="00A86175">
        <w:rPr>
          <w:rFonts w:ascii="Book Antiqua" w:hAnsi="Book Antiqua"/>
          <w:lang w:val="en-GB"/>
        </w:rPr>
        <w:t xml:space="preserve">Hágendorn </w:t>
      </w:r>
      <w:r>
        <w:rPr>
          <w:rFonts w:ascii="Book Antiqua" w:hAnsi="Book Antiqua"/>
          <w:lang w:val="en-GB"/>
        </w:rPr>
        <w:t>R</w:t>
      </w:r>
      <w:r w:rsidRPr="00A86175">
        <w:rPr>
          <w:rFonts w:ascii="Book Antiqua" w:hAnsi="Book Antiqua"/>
          <w:lang w:val="en-GB"/>
        </w:rPr>
        <w:t xml:space="preserve">, Farkas </w:t>
      </w:r>
      <w:r>
        <w:rPr>
          <w:rFonts w:ascii="Book Antiqua" w:hAnsi="Book Antiqua"/>
          <w:lang w:val="en-GB"/>
        </w:rPr>
        <w:t>N</w:t>
      </w:r>
      <w:r w:rsidRPr="00A86175">
        <w:rPr>
          <w:rFonts w:ascii="Book Antiqua" w:hAnsi="Book Antiqua"/>
          <w:lang w:val="en-GB"/>
        </w:rPr>
        <w:t>, Vincze</w:t>
      </w:r>
      <w:r>
        <w:rPr>
          <w:rFonts w:ascii="Book Antiqua" w:hAnsi="Book Antiqua"/>
          <w:lang w:val="en-GB"/>
        </w:rPr>
        <w:t>Á</w:t>
      </w:r>
      <w:r w:rsidRPr="00A86175">
        <w:rPr>
          <w:rFonts w:ascii="Book Antiqua" w:hAnsi="Book Antiqua"/>
          <w:lang w:val="en-GB"/>
        </w:rPr>
        <w:t xml:space="preserve">, Gyöngyi </w:t>
      </w:r>
      <w:r>
        <w:rPr>
          <w:rFonts w:ascii="Book Antiqua" w:hAnsi="Book Antiqua"/>
          <w:lang w:val="en-GB"/>
        </w:rPr>
        <w:t>Z</w:t>
      </w:r>
      <w:r w:rsidRPr="00A86175">
        <w:rPr>
          <w:rFonts w:ascii="Book Antiqua" w:hAnsi="Book Antiqua"/>
          <w:lang w:val="en-GB"/>
        </w:rPr>
        <w:t xml:space="preserve">, Csupor </w:t>
      </w:r>
      <w:r>
        <w:rPr>
          <w:rFonts w:ascii="Book Antiqua" w:hAnsi="Book Antiqua"/>
          <w:lang w:val="en-GB"/>
        </w:rPr>
        <w:t>D</w:t>
      </w:r>
      <w:r w:rsidRPr="00A86175">
        <w:rPr>
          <w:rFonts w:ascii="Book Antiqua" w:hAnsi="Book Antiqua"/>
          <w:lang w:val="en-GB"/>
        </w:rPr>
        <w:t xml:space="preserve">, Bajor </w:t>
      </w:r>
      <w:r>
        <w:rPr>
          <w:rFonts w:ascii="Book Antiqua" w:hAnsi="Book Antiqua"/>
          <w:lang w:val="en-GB"/>
        </w:rPr>
        <w:t>J</w:t>
      </w:r>
      <w:r w:rsidRPr="00A86175">
        <w:rPr>
          <w:rFonts w:ascii="Book Antiqua" w:hAnsi="Book Antiqua"/>
          <w:lang w:val="en-GB"/>
        </w:rPr>
        <w:t xml:space="preserve">, Erőss </w:t>
      </w:r>
      <w:r>
        <w:rPr>
          <w:rFonts w:ascii="Book Antiqua" w:hAnsi="Book Antiqua"/>
          <w:lang w:val="en-GB"/>
        </w:rPr>
        <w:t>B</w:t>
      </w:r>
      <w:r w:rsidRPr="00A86175">
        <w:rPr>
          <w:rFonts w:ascii="Book Antiqua" w:hAnsi="Book Antiqua"/>
          <w:lang w:val="en-GB"/>
        </w:rPr>
        <w:t xml:space="preserve">, Csécsei </w:t>
      </w:r>
      <w:r>
        <w:rPr>
          <w:rFonts w:ascii="Book Antiqua" w:hAnsi="Book Antiqua"/>
          <w:lang w:val="en-GB"/>
        </w:rPr>
        <w:t>P</w:t>
      </w:r>
      <w:r w:rsidRPr="00A86175">
        <w:rPr>
          <w:rFonts w:ascii="Book Antiqua" w:hAnsi="Book Antiqua"/>
          <w:lang w:val="en-GB"/>
        </w:rPr>
        <w:t xml:space="preserve">, Vasas </w:t>
      </w:r>
      <w:r>
        <w:rPr>
          <w:rFonts w:ascii="Book Antiqua" w:hAnsi="Book Antiqua"/>
          <w:lang w:val="en-GB"/>
        </w:rPr>
        <w:t>A</w:t>
      </w:r>
      <w:r w:rsidRPr="00A86175">
        <w:rPr>
          <w:rFonts w:ascii="Book Antiqua" w:hAnsi="Book Antiqua"/>
          <w:lang w:val="en-GB"/>
        </w:rPr>
        <w:t xml:space="preserve">, Szakács </w:t>
      </w:r>
      <w:r>
        <w:rPr>
          <w:rFonts w:ascii="Book Antiqua" w:hAnsi="Book Antiqua"/>
          <w:lang w:val="en-GB"/>
        </w:rPr>
        <w:t>Z</w:t>
      </w:r>
      <w:r w:rsidRPr="00A86175">
        <w:rPr>
          <w:rFonts w:ascii="Book Antiqua" w:hAnsi="Book Antiqua"/>
          <w:lang w:val="en-GB"/>
        </w:rPr>
        <w:t xml:space="preserve">, Szapáry </w:t>
      </w:r>
      <w:r>
        <w:rPr>
          <w:rFonts w:ascii="Book Antiqua" w:hAnsi="Book Antiqua"/>
          <w:lang w:val="en-GB"/>
        </w:rPr>
        <w:t>L</w:t>
      </w:r>
      <w:r w:rsidRPr="00A86175">
        <w:rPr>
          <w:rFonts w:ascii="Book Antiqua" w:hAnsi="Book Antiqua"/>
          <w:lang w:val="en-GB"/>
        </w:rPr>
        <w:t xml:space="preserve">, Hegyi </w:t>
      </w:r>
      <w:r>
        <w:rPr>
          <w:rFonts w:ascii="Book Antiqua" w:hAnsi="Book Antiqua"/>
          <w:lang w:val="en-GB"/>
        </w:rPr>
        <w:t>P</w:t>
      </w:r>
      <w:r w:rsidRPr="00A86175">
        <w:rPr>
          <w:rFonts w:ascii="Book Antiqua" w:hAnsi="Book Antiqua"/>
          <w:lang w:val="en-GB"/>
        </w:rPr>
        <w:t>,</w:t>
      </w:r>
      <w:r>
        <w:rPr>
          <w:rFonts w:ascii="Book Antiqua" w:eastAsiaTheme="minorEastAsia" w:hAnsi="Book Antiqua" w:hint="eastAsia"/>
          <w:lang w:val="en-GB" w:eastAsia="zh-CN"/>
        </w:rPr>
        <w:t xml:space="preserve"> </w:t>
      </w:r>
      <w:r w:rsidRPr="00A86175">
        <w:rPr>
          <w:rFonts w:ascii="Book Antiqua" w:hAnsi="Book Antiqua"/>
          <w:lang w:val="en-GB"/>
        </w:rPr>
        <w:t>Mikó</w:t>
      </w:r>
      <w:r>
        <w:rPr>
          <w:rFonts w:ascii="Book Antiqua" w:eastAsiaTheme="minorEastAsia" w:hAnsi="Book Antiqua" w:hint="eastAsia"/>
          <w:lang w:val="en-GB" w:eastAsia="zh-CN"/>
        </w:rPr>
        <w:t xml:space="preserve"> </w:t>
      </w:r>
      <w:r w:rsidRPr="00A86175">
        <w:rPr>
          <w:rFonts w:ascii="Book Antiqua" w:hAnsi="Book Antiqua"/>
          <w:lang w:val="en-GB"/>
        </w:rPr>
        <w:t>A</w:t>
      </w:r>
      <w:r>
        <w:rPr>
          <w:rFonts w:ascii="Book Antiqua" w:eastAsiaTheme="minorEastAsia" w:hAnsi="Book Antiqua" w:hint="eastAsia"/>
          <w:lang w:val="en-GB" w:eastAsia="zh-CN"/>
        </w:rPr>
        <w:t xml:space="preserve">. </w:t>
      </w:r>
      <w:r w:rsidRPr="00A86175">
        <w:rPr>
          <w:rFonts w:ascii="Book Antiqua" w:hAnsi="Book Antiqua"/>
          <w:bCs/>
          <w:lang w:val="en-GB"/>
        </w:rPr>
        <w:t>Chronic kidney disease severely deteriorates the outcome of gastrointestinal bleeding: A meta-analysis</w:t>
      </w:r>
      <w:r>
        <w:rPr>
          <w:rFonts w:ascii="Book Antiqua" w:eastAsiaTheme="minorEastAsia" w:hAnsi="Book Antiqua" w:hint="eastAsia"/>
          <w:bCs/>
          <w:lang w:val="en-GB" w:eastAsia="zh-CN"/>
        </w:rPr>
        <w:t xml:space="preserve">. </w:t>
      </w:r>
      <w:bookmarkStart w:id="30" w:name="OLE_LINK1105"/>
      <w:bookmarkStart w:id="31" w:name="OLE_LINK1107"/>
      <w:r w:rsidRPr="00A86175">
        <w:rPr>
          <w:rFonts w:ascii="Book Antiqua" w:eastAsiaTheme="minorEastAsia" w:hAnsi="Book Antiqua"/>
          <w:bCs/>
          <w:i/>
          <w:lang w:val="en-US" w:eastAsia="zh-CN"/>
        </w:rPr>
        <w:t xml:space="preserve">World J Gastroenterol </w:t>
      </w:r>
      <w:r w:rsidRPr="00A86175">
        <w:rPr>
          <w:rFonts w:ascii="Book Antiqua" w:eastAsiaTheme="minorEastAsia" w:hAnsi="Book Antiqua"/>
          <w:bCs/>
          <w:lang w:val="en-US" w:eastAsia="zh-CN"/>
        </w:rPr>
        <w:t>201</w:t>
      </w:r>
      <w:r w:rsidRPr="00A86175">
        <w:rPr>
          <w:rFonts w:ascii="Book Antiqua" w:eastAsiaTheme="minorEastAsia" w:hAnsi="Book Antiqua" w:hint="eastAsia"/>
          <w:bCs/>
          <w:lang w:val="en-US" w:eastAsia="zh-CN"/>
        </w:rPr>
        <w:t>7</w:t>
      </w:r>
      <w:r w:rsidRPr="00A86175">
        <w:rPr>
          <w:rFonts w:ascii="Book Antiqua" w:eastAsiaTheme="minorEastAsia" w:hAnsi="Book Antiqua"/>
          <w:bCs/>
          <w:lang w:val="en-US" w:eastAsia="zh-CN"/>
        </w:rPr>
        <w:t>; In press</w:t>
      </w:r>
      <w:bookmarkEnd w:id="30"/>
      <w:bookmarkEnd w:id="31"/>
    </w:p>
    <w:p w:rsidR="00A86175" w:rsidRPr="00A86175" w:rsidRDefault="00A86175" w:rsidP="00951B85">
      <w:pPr>
        <w:snapToGrid w:val="0"/>
        <w:spacing w:line="360" w:lineRule="auto"/>
        <w:jc w:val="both"/>
        <w:rPr>
          <w:rFonts w:ascii="Book Antiqua" w:eastAsiaTheme="minorEastAsia" w:hAnsi="Book Antiqua"/>
          <w:b/>
          <w:lang w:val="en-GB" w:eastAsia="zh-CN"/>
        </w:rPr>
      </w:pPr>
    </w:p>
    <w:p w:rsidR="005146FE" w:rsidRPr="00A86175" w:rsidRDefault="005146FE" w:rsidP="00951B85">
      <w:pPr>
        <w:snapToGrid w:val="0"/>
        <w:spacing w:line="360" w:lineRule="auto"/>
        <w:jc w:val="both"/>
        <w:rPr>
          <w:rFonts w:ascii="Book Antiqua" w:hAnsi="Book Antiqua"/>
          <w:b/>
          <w:lang w:val="en-GB"/>
        </w:rPr>
      </w:pPr>
      <w:r w:rsidRPr="00A86175">
        <w:rPr>
          <w:rFonts w:ascii="Book Antiqua" w:hAnsi="Book Antiqua"/>
          <w:b/>
          <w:lang w:val="en-GB"/>
        </w:rPr>
        <w:br w:type="page"/>
      </w:r>
      <w:bookmarkStart w:id="32" w:name="_GoBack"/>
      <w:bookmarkEnd w:id="32"/>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lastRenderedPageBreak/>
        <w:t>INTRODUCTION</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Acute gastrointestinal bleeding</w:t>
      </w:r>
      <w:r w:rsidR="00096F0E" w:rsidRPr="00A86175">
        <w:rPr>
          <w:rFonts w:ascii="Book Antiqua" w:eastAsiaTheme="minorEastAsia" w:hAnsi="Book Antiqua"/>
          <w:lang w:val="en-GB" w:eastAsia="zh-CN"/>
        </w:rPr>
        <w:t xml:space="preserve"> </w:t>
      </w:r>
      <w:r w:rsidRPr="00A86175">
        <w:rPr>
          <w:rFonts w:ascii="Book Antiqua" w:hAnsi="Book Antiqua"/>
          <w:lang w:val="en-GB"/>
        </w:rPr>
        <w:t>(GI)</w:t>
      </w:r>
      <w:r w:rsidR="005146FE" w:rsidRPr="00A86175">
        <w:rPr>
          <w:rFonts w:ascii="Book Antiqua" w:eastAsiaTheme="minorEastAsia" w:hAnsi="Book Antiqua"/>
          <w:lang w:val="en-GB" w:eastAsia="zh-CN"/>
        </w:rPr>
        <w:t xml:space="preserve"> </w:t>
      </w:r>
      <w:r w:rsidRPr="00A86175">
        <w:rPr>
          <w:rFonts w:ascii="Book Antiqua" w:hAnsi="Book Antiqua"/>
          <w:lang w:val="en-GB"/>
        </w:rPr>
        <w:t>is an abdominal emergency which remains a common cause of hospitalization</w:t>
      </w:r>
      <w:r w:rsidRPr="00A86175">
        <w:rPr>
          <w:rFonts w:ascii="Book Antiqua" w:hAnsi="Book Antiqua"/>
          <w:noProof/>
          <w:vertAlign w:val="superscript"/>
          <w:lang w:val="en-GB"/>
        </w:rPr>
        <w:t>[1]</w:t>
      </w:r>
      <w:r w:rsidRPr="00A86175">
        <w:rPr>
          <w:rFonts w:ascii="Book Antiqua" w:hAnsi="Book Antiqua"/>
          <w:lang w:val="en-GB"/>
        </w:rPr>
        <w:t>. An accurate diagnosis of GI bleeding relies on prompt resuscitation, initial risk evaluation, and provisional clinical diagnosis followed by an appropriate definitive investigation which enables specific therapeutic interventions. GI bleeding involves any bleeding in the GI tract from the oesophagus, stomach, small intestines or large intestines to the anus.</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Upper GI bleeding has an annual incidence that ranges from 40 to 150 episodes per 100000 persons and a morality rate of 6</w:t>
      </w:r>
      <w:r w:rsidR="00096F0E" w:rsidRPr="00A86175">
        <w:rPr>
          <w:rFonts w:ascii="Book Antiqua" w:hAnsi="Book Antiqua"/>
          <w:lang w:val="en-GB"/>
        </w:rPr>
        <w:t>%</w:t>
      </w:r>
      <w:r w:rsidR="00096F0E" w:rsidRPr="00A86175">
        <w:rPr>
          <w:rFonts w:ascii="Book Antiqua" w:eastAsiaTheme="minorEastAsia" w:hAnsi="Book Antiqua"/>
          <w:lang w:val="en-GB" w:eastAsia="zh-CN"/>
        </w:rPr>
        <w:t>-</w:t>
      </w:r>
      <w:r w:rsidRPr="00A86175">
        <w:rPr>
          <w:rFonts w:ascii="Book Antiqua" w:hAnsi="Book Antiqua"/>
          <w:lang w:val="en-GB"/>
        </w:rPr>
        <w:t>10%</w:t>
      </w:r>
      <w:r w:rsidRPr="00A86175">
        <w:rPr>
          <w:rFonts w:ascii="Book Antiqua" w:hAnsi="Book Antiqua"/>
          <w:noProof/>
          <w:vertAlign w:val="superscript"/>
          <w:lang w:val="en-GB"/>
        </w:rPr>
        <w:t>[2]</w:t>
      </w:r>
      <w:r w:rsidRPr="00A86175">
        <w:rPr>
          <w:rFonts w:ascii="Book Antiqua" w:hAnsi="Book Antiqua"/>
          <w:lang w:val="en-GB"/>
        </w:rPr>
        <w:t>, whereas lower GI bleeding has an annual incidence ranging from 20 to 27 episodes per 100000 persons and a mortality rate of 4</w:t>
      </w:r>
      <w:r w:rsidR="00096F0E" w:rsidRPr="00A86175">
        <w:rPr>
          <w:rFonts w:ascii="Book Antiqua" w:hAnsi="Book Antiqua"/>
          <w:lang w:val="en-GB"/>
        </w:rPr>
        <w:t>%</w:t>
      </w:r>
      <w:r w:rsidR="00096F0E" w:rsidRPr="00A86175">
        <w:rPr>
          <w:rFonts w:ascii="Book Antiqua" w:eastAsiaTheme="minorEastAsia" w:hAnsi="Book Antiqua"/>
          <w:lang w:val="en-GB" w:eastAsia="zh-CN"/>
        </w:rPr>
        <w:t>-</w:t>
      </w:r>
      <w:r w:rsidRPr="00A86175">
        <w:rPr>
          <w:rFonts w:ascii="Book Antiqua" w:hAnsi="Book Antiqua"/>
          <w:lang w:val="en-GB"/>
        </w:rPr>
        <w:t>10%</w:t>
      </w:r>
      <w:r w:rsidR="00096F0E" w:rsidRPr="00A86175">
        <w:rPr>
          <w:rFonts w:ascii="Book Antiqua" w:hAnsi="Book Antiqua"/>
          <w:noProof/>
          <w:vertAlign w:val="superscript"/>
          <w:lang w:val="en-GB"/>
        </w:rPr>
        <w:t>[3,</w:t>
      </w:r>
      <w:r w:rsidRPr="00A86175">
        <w:rPr>
          <w:rFonts w:ascii="Book Antiqua" w:hAnsi="Book Antiqua"/>
          <w:noProof/>
          <w:vertAlign w:val="superscript"/>
          <w:lang w:val="en-GB"/>
        </w:rPr>
        <w:t>4]</w:t>
      </w:r>
      <w:r w:rsidRPr="00A86175">
        <w:rPr>
          <w:rFonts w:ascii="Book Antiqua" w:hAnsi="Book Antiqua"/>
          <w:lang w:val="en-GB"/>
        </w:rPr>
        <w:t>. Since GI bleeding is a potentially life-threatening acute disorder, understanding the risk factors that worsen the disease is of great importance. Scoring systems have therefore been developed to predict the outcome of therapy. The Rockall score is one of these scoring systems. It includes pre-endoscopic (age, shock and comorbidity) and post-endoscopic (diagnosis and presence or absence of endoscopic stigmata of recent haemorrhage) factors</w:t>
      </w:r>
      <w:r w:rsidRPr="00A86175">
        <w:rPr>
          <w:rFonts w:ascii="Book Antiqua" w:hAnsi="Book Antiqua"/>
          <w:noProof/>
          <w:vertAlign w:val="superscript"/>
          <w:lang w:val="en-GB"/>
        </w:rPr>
        <w:t>[5]</w:t>
      </w:r>
      <w:r w:rsidRPr="00A86175">
        <w:rPr>
          <w:rFonts w:ascii="Book Antiqua" w:hAnsi="Book Antiqua"/>
          <w:lang w:val="en-GB"/>
        </w:rPr>
        <w:t>. Several studies have demonstrated high mortality with higher Rockall scores</w:t>
      </w:r>
      <w:r w:rsidRPr="00A86175">
        <w:rPr>
          <w:rFonts w:ascii="Book Antiqua" w:hAnsi="Book Antiqua"/>
          <w:noProof/>
          <w:vertAlign w:val="superscript"/>
          <w:lang w:val="en-GB"/>
        </w:rPr>
        <w:t>[6]</w:t>
      </w:r>
      <w:r w:rsidRPr="00A86175">
        <w:rPr>
          <w:rFonts w:ascii="Book Antiqua" w:hAnsi="Book Antiqua"/>
          <w:lang w:val="en-GB"/>
        </w:rPr>
        <w:t xml:space="preserve">. However, Laeeq </w:t>
      </w:r>
      <w:r w:rsidRPr="002A3763">
        <w:rPr>
          <w:rFonts w:ascii="Book Antiqua" w:hAnsi="Book Antiqua"/>
          <w:i/>
          <w:lang w:val="en-GB"/>
        </w:rPr>
        <w:t>et al</w:t>
      </w:r>
      <w:r w:rsidR="002A3763" w:rsidRPr="00A86175">
        <w:rPr>
          <w:rFonts w:ascii="Book Antiqua" w:hAnsi="Book Antiqua"/>
          <w:noProof/>
          <w:vertAlign w:val="superscript"/>
          <w:lang w:val="en-GB"/>
        </w:rPr>
        <w:t>[7]</w:t>
      </w:r>
      <w:r w:rsidRPr="00A86175">
        <w:rPr>
          <w:rFonts w:ascii="Book Antiqua" w:hAnsi="Book Antiqua"/>
          <w:lang w:val="en-GB"/>
        </w:rPr>
        <w:t xml:space="preserve"> have not found significantly higher mortality in patients with high pre-endoscopic Rockall score (&gt;</w:t>
      </w:r>
      <w:r w:rsidR="005146FE" w:rsidRPr="00A86175">
        <w:rPr>
          <w:rFonts w:ascii="Book Antiqua" w:eastAsiaTheme="minorEastAsia" w:hAnsi="Book Antiqua"/>
          <w:lang w:val="en-GB" w:eastAsia="zh-CN"/>
        </w:rPr>
        <w:t xml:space="preserve"> </w:t>
      </w:r>
      <w:r w:rsidR="00B434D0">
        <w:rPr>
          <w:rFonts w:ascii="Book Antiqua" w:hAnsi="Book Antiqua"/>
          <w:lang w:val="en-GB"/>
        </w:rPr>
        <w:t>5)</w:t>
      </w:r>
      <w:r w:rsidRPr="00A86175">
        <w:rPr>
          <w:rFonts w:ascii="Book Antiqua" w:hAnsi="Book Antiqua"/>
          <w:lang w:val="en-GB"/>
        </w:rPr>
        <w:t>. The Rockall score only assesses the risk of mortality in patients with upper GI bleeding. The Glasgow Blatchford score is another scoring system which uses clinical and laboratory parameters. Neither scoring system makes distinction between pre-existing renal failure and acute renal failure due to haemorrhage. Both of these scoring systems have been designed for the risk assessment of upper GI bleeding. Previous studies have shown evidence of increased risk of GI bleeding in chronic kidney disease (CKD) patients and with end-stage renal disease (ESRD) requiring</w:t>
      </w:r>
      <w:r w:rsidR="00096F0E" w:rsidRPr="00A86175">
        <w:rPr>
          <w:rFonts w:ascii="Book Antiqua" w:eastAsiaTheme="minorEastAsia" w:hAnsi="Book Antiqua"/>
          <w:lang w:val="en-GB" w:eastAsia="zh-CN"/>
        </w:rPr>
        <w:t xml:space="preserve"> </w:t>
      </w:r>
      <w:r w:rsidRPr="00A86175">
        <w:rPr>
          <w:rFonts w:ascii="Book Antiqua" w:hAnsi="Book Antiqua"/>
          <w:lang w:val="en-GB"/>
        </w:rPr>
        <w:t>renal replacement therapy in comparison with the general population, but also an association with higher mortality</w:t>
      </w:r>
      <w:r w:rsidRPr="00A86175">
        <w:rPr>
          <w:rFonts w:ascii="Book Antiqua" w:hAnsi="Book Antiqua"/>
          <w:noProof/>
          <w:vertAlign w:val="superscript"/>
          <w:lang w:val="en-GB"/>
        </w:rPr>
        <w:t>[8-10]</w:t>
      </w:r>
      <w:r w:rsidRPr="00A86175">
        <w:rPr>
          <w:rFonts w:ascii="Book Antiqua" w:hAnsi="Book Antiqua"/>
          <w:lang w:val="en-GB"/>
        </w:rPr>
        <w:t>. Further studies have demonstrated that bleeding in CKD patients from the upper GI tract is more common than from the lower GI tract</w:t>
      </w:r>
      <w:r w:rsidRPr="00A86175">
        <w:rPr>
          <w:rFonts w:ascii="Book Antiqua" w:hAnsi="Book Antiqua"/>
          <w:noProof/>
          <w:vertAlign w:val="superscript"/>
          <w:lang w:val="en-GB"/>
        </w:rPr>
        <w:t>[11]</w:t>
      </w:r>
      <w:r w:rsidRPr="00A86175">
        <w:rPr>
          <w:rFonts w:ascii="Book Antiqua" w:hAnsi="Book Antiqua"/>
          <w:lang w:val="en-GB"/>
        </w:rPr>
        <w:t>. The increased prevalence of small bowel erosions, ulcers and angioectasias is also well known in CKD patients and it may be as  high as  33% and  it often  causes ob</w:t>
      </w:r>
      <w:r w:rsidR="00BB4AB3" w:rsidRPr="00A86175">
        <w:rPr>
          <w:rFonts w:ascii="Book Antiqua" w:hAnsi="Book Antiqua"/>
          <w:lang w:val="en-GB"/>
        </w:rPr>
        <w:t>scure gastrointestinal bleeding</w:t>
      </w:r>
      <w:r w:rsidRPr="00A86175">
        <w:rPr>
          <w:rFonts w:ascii="Book Antiqua" w:hAnsi="Book Antiqua"/>
          <w:noProof/>
          <w:vertAlign w:val="superscript"/>
          <w:lang w:val="en-GB"/>
        </w:rPr>
        <w:t>[12-14]</w:t>
      </w:r>
      <w:r w:rsidRPr="00A86175">
        <w:rPr>
          <w:rFonts w:ascii="Book Antiqua" w:hAnsi="Book Antiqua"/>
          <w:lang w:val="en-GB"/>
        </w:rPr>
        <w:t xml:space="preserve">. However, </w:t>
      </w:r>
      <w:r w:rsidRPr="00A86175">
        <w:rPr>
          <w:rFonts w:ascii="Book Antiqua" w:hAnsi="Book Antiqua"/>
          <w:lang w:val="en-GB"/>
        </w:rPr>
        <w:lastRenderedPageBreak/>
        <w:t>no meta-analyses or systematic reviews have been conducted to assess the difference between CKD/ESRD patients and the normal renal function population with regard to GI bleeding.</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The aim of this study was therefore to examine outcomes of GI bleeding, such as mortality, blood transfusion requirement, rebleeding rate and length of hospitalization (LOH) in CKD/ESRD patients compared to patients with normal renal functions.</w:t>
      </w:r>
    </w:p>
    <w:p w:rsidR="00096F0E" w:rsidRPr="00A86175" w:rsidRDefault="00096F0E"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t>MATERIALS AND METHODS</w:t>
      </w: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Search strategy</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This study was conducted using the preferred reporting items for systematic review and meta-analysis protocols (PRISMA-P)</w:t>
      </w:r>
      <w:r w:rsidRPr="00A86175">
        <w:rPr>
          <w:rFonts w:ascii="Book Antiqua" w:hAnsi="Book Antiqua"/>
          <w:noProof/>
          <w:vertAlign w:val="superscript"/>
          <w:lang w:val="en-GB"/>
        </w:rPr>
        <w:t>[15]</w:t>
      </w:r>
      <w:r w:rsidRPr="00A86175">
        <w:rPr>
          <w:rFonts w:ascii="Book Antiqua" w:hAnsi="Book Antiqua"/>
          <w:lang w:val="en-GB"/>
        </w:rPr>
        <w:t>. It was registered in the international prospective register of systematic reviews, PROSPERO (under registration number CRD42017077987). The meta-analysis was based on the PICO (Patient, Intervention, Comparison, Outcome) format (P: patients with GI bleeding; I: chronic renal failure; C: normal renal function; O: mortality, blood transfusion, rebleeding). A systematic search was performed in 3 databases, Pubmed, EMBASE and the Cochrane Library, with the following terms: (“GI bleeding”</w:t>
      </w:r>
      <w:r w:rsidR="00C83314" w:rsidRPr="00A86175">
        <w:rPr>
          <w:rFonts w:ascii="Book Antiqua" w:eastAsiaTheme="minorEastAsia" w:hAnsi="Book Antiqua"/>
          <w:lang w:val="en-GB" w:eastAsia="zh-CN"/>
        </w:rPr>
        <w:t xml:space="preserve"> </w:t>
      </w:r>
      <w:r w:rsidRPr="00A86175">
        <w:rPr>
          <w:rFonts w:ascii="Book Antiqua" w:hAnsi="Book Antiqua"/>
          <w:lang w:val="en-GB"/>
        </w:rPr>
        <w:t>OR</w:t>
      </w:r>
      <w:r w:rsidR="00C83314" w:rsidRPr="00A86175">
        <w:rPr>
          <w:rFonts w:ascii="Book Antiqua" w:eastAsiaTheme="minorEastAsia" w:hAnsi="Book Antiqua"/>
          <w:lang w:val="en-GB" w:eastAsia="zh-CN"/>
        </w:rPr>
        <w:t xml:space="preserve"> </w:t>
      </w:r>
      <w:r w:rsidRPr="00A86175">
        <w:rPr>
          <w:rFonts w:ascii="Book Antiqua" w:hAnsi="Book Antiqua"/>
          <w:lang w:val="en-GB"/>
        </w:rPr>
        <w:t>“gastrointestinal bleeding” OR “gastrointestinal hemorrhage”) AND (“chronic renal failure” OR “uremia” OR “chronic kidney failure”). The search was limited to human data and to full-text English-language articles if appropriate. The exact search term in Pubmed was: (“GI bleeding”[All Fields] OR “gastrointestinal bleeding”[All Fields] OR “gastrointestinal hemorrhage”[All Fields]) AND (“chronic renal failure”[All Fields] OR (“uraemia”[All Fields] OR “uremia”[MeSH Terms] OR “uremia”[All Fields]) OR “chronic kidney failure”[All Fields]) AND (“humans”[MeSH Terms] AND English[lang]). The database search was conducted up to 10 March 2017. Reference management software (EndNote X7) was used to remove duplicates by searching overlaps between titles, authors and publication years.</w:t>
      </w:r>
      <w:r w:rsidRPr="00A86175">
        <w:rPr>
          <w:rFonts w:ascii="Book Antiqua" w:hAnsi="Book Antiqua"/>
          <w:bCs/>
          <w:lang w:val="en-GB"/>
        </w:rPr>
        <w:t xml:space="preserve"> The </w:t>
      </w:r>
      <w:r w:rsidRPr="00A86175">
        <w:rPr>
          <w:rFonts w:ascii="Book Antiqua" w:hAnsi="Book Antiqua"/>
          <w:lang w:val="en-GB"/>
        </w:rPr>
        <w:t>reference lists in the articles obtained were also checked, and one more eligible publication was found.</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Study selection</w:t>
      </w: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Cs/>
          <w:lang w:val="en-GB"/>
        </w:rPr>
        <w:lastRenderedPageBreak/>
        <w:t xml:space="preserve">The studies were selected separately by two investigators (RH and AM). </w:t>
      </w:r>
      <w:r w:rsidRPr="00A86175">
        <w:rPr>
          <w:rFonts w:ascii="Book Antiqua" w:hAnsi="Book Antiqua"/>
          <w:lang w:val="en-GB"/>
        </w:rPr>
        <w:t xml:space="preserve">Disagreements were resolved by consulting a third reviewer (PH). </w:t>
      </w:r>
      <w:r w:rsidRPr="00A86175">
        <w:rPr>
          <w:rFonts w:ascii="Book Antiqua" w:hAnsi="Book Antiqua"/>
          <w:bCs/>
          <w:lang w:val="en-GB"/>
        </w:rPr>
        <w:t xml:space="preserve">Clinical studies were eligible provided they reported data on adult patients hospitalized with upper or lower GI bleeding grouped into normal renal function and CKD or ESRD groups. Articles were eligible containing data of CKD/ESRD patients and a control group in the same study.  Information on mortality, transfusion, rebleeding and length of hospitalization (LOH) was manually searched. Case reports, conference abstracts, reviews and studies on paediatric patients up to age 18 alone were excluded. We found a high number of articles in which the risk of GI bleeding in CKD patients was studied, but they were not eligible for our meta-analysis, </w:t>
      </w:r>
      <w:r w:rsidRPr="00A86175">
        <w:rPr>
          <w:rFonts w:ascii="Book Antiqua" w:hAnsi="Book Antiqua"/>
          <w:bCs/>
          <w:lang w:val="en-US"/>
        </w:rPr>
        <w:t>as there were no data available on outcomes of the GI bleeding in a control population without CKD/ESRD</w:t>
      </w:r>
      <w:r w:rsidRPr="00A86175">
        <w:rPr>
          <w:rFonts w:ascii="Book Antiqua" w:hAnsi="Book Antiqua"/>
          <w:bCs/>
          <w:lang w:val="en-GB"/>
        </w:rPr>
        <w:t>.</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Data extraction, synthesis and analysis</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Mortality data, number of transfused blood units, rebleeding and length of hospitalization data were extracted to analyse the influence of CKD and/or ESRD on the outcome of GI bleeding</w:t>
      </w:r>
      <w:r w:rsidR="00096F0E" w:rsidRPr="00A86175">
        <w:rPr>
          <w:rFonts w:ascii="Book Antiqua" w:hAnsi="Book Antiqua"/>
          <w:lang w:val="en-GB"/>
        </w:rPr>
        <w:t xml:space="preserve">. In Sood </w:t>
      </w:r>
      <w:r w:rsidR="00096F0E" w:rsidRPr="00A86175">
        <w:rPr>
          <w:rFonts w:ascii="Book Antiqua" w:hAnsi="Book Antiqua"/>
          <w:i/>
          <w:lang w:val="en-GB"/>
        </w:rPr>
        <w:t>et al</w:t>
      </w:r>
      <w:r w:rsidRPr="00A86175">
        <w:rPr>
          <w:rFonts w:ascii="Book Antiqua" w:hAnsi="Book Antiqua"/>
          <w:noProof/>
          <w:vertAlign w:val="superscript"/>
          <w:lang w:val="en-GB"/>
        </w:rPr>
        <w:t>[9]</w:t>
      </w:r>
      <w:r w:rsidR="00096F0E" w:rsidRPr="00A86175">
        <w:rPr>
          <w:rFonts w:ascii="Book Antiqua" w:hAnsi="Book Antiqua"/>
          <w:lang w:val="en-GB"/>
        </w:rPr>
        <w:t xml:space="preserve">, Tsai </w:t>
      </w:r>
      <w:r w:rsidR="00096F0E" w:rsidRPr="00A86175">
        <w:rPr>
          <w:rFonts w:ascii="Book Antiqua" w:hAnsi="Book Antiqua"/>
          <w:i/>
          <w:lang w:val="en-GB"/>
        </w:rPr>
        <w:t>et al</w:t>
      </w:r>
      <w:r w:rsidRPr="00A86175">
        <w:rPr>
          <w:rFonts w:ascii="Book Antiqua" w:hAnsi="Book Antiqua"/>
          <w:noProof/>
          <w:vertAlign w:val="superscript"/>
          <w:lang w:val="en-GB"/>
        </w:rPr>
        <w:t>[16]</w:t>
      </w:r>
      <w:r w:rsidR="00096F0E" w:rsidRPr="00A86175">
        <w:rPr>
          <w:rFonts w:ascii="Book Antiqua" w:hAnsi="Book Antiqua"/>
          <w:lang w:val="en-GB"/>
        </w:rPr>
        <w:t xml:space="preserve"> and Boyle </w:t>
      </w:r>
      <w:r w:rsidR="00096F0E" w:rsidRPr="00A86175">
        <w:rPr>
          <w:rFonts w:ascii="Book Antiqua" w:hAnsi="Book Antiqua"/>
          <w:i/>
          <w:lang w:val="en-GB"/>
        </w:rPr>
        <w:t>et al</w:t>
      </w:r>
      <w:r w:rsidRPr="00A86175">
        <w:rPr>
          <w:rFonts w:ascii="Book Antiqua" w:hAnsi="Book Antiqua"/>
          <w:noProof/>
          <w:vertAlign w:val="superscript"/>
          <w:lang w:val="en-GB"/>
        </w:rPr>
        <w:t>[17]</w:t>
      </w:r>
      <w:r w:rsidRPr="00A86175">
        <w:rPr>
          <w:rFonts w:ascii="Book Antiqua" w:hAnsi="Book Antiqua"/>
          <w:lang w:val="en-GB"/>
        </w:rPr>
        <w:t>, the number of patients was calculated from percen</w:t>
      </w:r>
      <w:r w:rsidR="00096F0E" w:rsidRPr="00A86175">
        <w:rPr>
          <w:rFonts w:ascii="Book Antiqua" w:hAnsi="Book Antiqua"/>
          <w:lang w:val="en-GB"/>
        </w:rPr>
        <w:t xml:space="preserve">tages of mortality. Boyle </w:t>
      </w:r>
      <w:r w:rsidR="00096F0E" w:rsidRPr="00A86175">
        <w:rPr>
          <w:rFonts w:ascii="Book Antiqua" w:hAnsi="Book Antiqua"/>
          <w:i/>
          <w:lang w:val="en-GB"/>
        </w:rPr>
        <w:t>et al</w:t>
      </w:r>
      <w:r w:rsidRPr="00A86175">
        <w:rPr>
          <w:rFonts w:ascii="Book Antiqua" w:hAnsi="Book Antiqua"/>
          <w:noProof/>
          <w:vertAlign w:val="superscript"/>
          <w:lang w:val="en-GB"/>
        </w:rPr>
        <w:t>[17]</w:t>
      </w:r>
      <w:r w:rsidRPr="00A86175">
        <w:rPr>
          <w:rFonts w:ascii="Book Antiqua" w:hAnsi="Book Antiqua"/>
          <w:lang w:val="en-GB"/>
        </w:rPr>
        <w:t xml:space="preserve"> supplied information on transfusion in mean and standard error of mean, for which statistical calculation standard deviatio</w:t>
      </w:r>
      <w:r w:rsidR="00096F0E" w:rsidRPr="00A86175">
        <w:rPr>
          <w:rFonts w:ascii="Book Antiqua" w:hAnsi="Book Antiqua"/>
          <w:lang w:val="en-GB"/>
        </w:rPr>
        <w:t xml:space="preserve">n (SD) was computed. Tsai </w:t>
      </w:r>
      <w:r w:rsidR="00096F0E" w:rsidRPr="00A86175">
        <w:rPr>
          <w:rFonts w:ascii="Book Antiqua" w:hAnsi="Book Antiqua"/>
          <w:i/>
          <w:lang w:val="en-GB"/>
        </w:rPr>
        <w:t>et al</w:t>
      </w:r>
      <w:r w:rsidRPr="00A86175">
        <w:rPr>
          <w:rFonts w:ascii="Book Antiqua" w:hAnsi="Book Antiqua"/>
          <w:noProof/>
          <w:vertAlign w:val="superscript"/>
          <w:lang w:val="en-GB"/>
        </w:rPr>
        <w:t>[16]</w:t>
      </w:r>
      <w:r w:rsidRPr="00A86175">
        <w:rPr>
          <w:rFonts w:ascii="Book Antiqua" w:hAnsi="Book Antiqua"/>
          <w:lang w:val="en-GB"/>
        </w:rPr>
        <w:t xml:space="preserve"> reported data from transfusions in the median and interquartile range (IQR), from which mean and SD were calculated with Hozo’s method</w:t>
      </w:r>
      <w:r w:rsidRPr="00A86175">
        <w:rPr>
          <w:rFonts w:ascii="Book Antiqua" w:hAnsi="Book Antiqua"/>
          <w:noProof/>
          <w:vertAlign w:val="superscript"/>
          <w:lang w:val="en-GB"/>
        </w:rPr>
        <w:t>[18]</w:t>
      </w:r>
      <w:r w:rsidRPr="00A86175">
        <w:rPr>
          <w:rFonts w:ascii="Book Antiqua" w:hAnsi="Book Antiqua"/>
          <w:lang w:val="en-GB"/>
        </w:rPr>
        <w:t>.</w:t>
      </w:r>
      <w:r w:rsidR="00096F0E" w:rsidRPr="00A86175">
        <w:rPr>
          <w:rFonts w:ascii="Book Antiqua" w:eastAsiaTheme="minorEastAsia" w:hAnsi="Book Antiqua"/>
          <w:lang w:val="en-GB" w:eastAsia="zh-CN"/>
        </w:rPr>
        <w:t xml:space="preserve"> </w:t>
      </w:r>
      <w:r w:rsidRPr="00A86175">
        <w:rPr>
          <w:rFonts w:ascii="Book Antiqua" w:hAnsi="Book Antiqua"/>
          <w:lang w:val="en-GB"/>
        </w:rPr>
        <w:t>All meta-analytic calculations were performed with Comprehensive Meta-Analysis software (Version 3.0, Biostat Inc.) using the random effects model (DerSimonian–Laird method</w:t>
      </w:r>
      <w:r w:rsidRPr="00A86175">
        <w:rPr>
          <w:rFonts w:ascii="Book Antiqua" w:hAnsi="Book Antiqua"/>
          <w:noProof/>
          <w:vertAlign w:val="superscript"/>
          <w:lang w:val="en-GB"/>
        </w:rPr>
        <w:t>[19]</w:t>
      </w:r>
      <w:r w:rsidRPr="00A86175">
        <w:rPr>
          <w:rFonts w:ascii="Book Antiqua" w:hAnsi="Book Antiqua"/>
          <w:lang w:val="en-GB"/>
        </w:rPr>
        <w:t>). Odds ratios (OR) and 95% confidence intervals (CI) were calculated for binary outcomes. In the case of LOH and transfusion for comparing mean data, a mean difference (MD) with 95%CI was calculated. All analyses were two-tailed, with an α of 0.05.</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Heterogeneity was tested using Cochrane’s Q and the I</w:t>
      </w:r>
      <w:r w:rsidRPr="00A86175">
        <w:rPr>
          <w:rFonts w:ascii="Book Antiqua" w:hAnsi="Book Antiqua"/>
          <w:vertAlign w:val="superscript"/>
          <w:lang w:val="en-GB"/>
        </w:rPr>
        <w:t>2</w:t>
      </w:r>
      <w:r w:rsidRPr="00A86175">
        <w:rPr>
          <w:rFonts w:ascii="Book Antiqua" w:hAnsi="Book Antiqua"/>
          <w:lang w:val="en-GB"/>
        </w:rPr>
        <w:t xml:space="preserve"> statistics. Based on the Cochrane Handbook, </w:t>
      </w:r>
      <w:bookmarkStart w:id="33" w:name="_Hlk496715397"/>
      <w:r w:rsidRPr="00A86175">
        <w:rPr>
          <w:rFonts w:ascii="Book Antiqua" w:hAnsi="Book Antiqua"/>
          <w:i/>
          <w:lang w:val="en-GB"/>
        </w:rPr>
        <w:t>I</w:t>
      </w:r>
      <w:r w:rsidRPr="00A86175">
        <w:rPr>
          <w:rFonts w:ascii="Book Antiqua" w:hAnsi="Book Antiqua"/>
          <w:i/>
          <w:vertAlign w:val="superscript"/>
          <w:lang w:val="en-GB"/>
        </w:rPr>
        <w:t>2</w:t>
      </w:r>
      <w:bookmarkEnd w:id="33"/>
      <w:r w:rsidR="00096F0E" w:rsidRPr="00A86175">
        <w:rPr>
          <w:rFonts w:ascii="Book Antiqua" w:eastAsiaTheme="minorEastAsia" w:hAnsi="Book Antiqua"/>
          <w:vertAlign w:val="superscript"/>
          <w:lang w:val="en-GB" w:eastAsia="zh-CN"/>
        </w:rPr>
        <w:t xml:space="preserve"> </w:t>
      </w:r>
      <w:r w:rsidRPr="00A86175">
        <w:rPr>
          <w:rFonts w:ascii="Book Antiqua" w:hAnsi="Book Antiqua"/>
          <w:lang w:val="en-GB"/>
        </w:rPr>
        <w:t>=</w:t>
      </w:r>
      <w:r w:rsidR="00096F0E" w:rsidRPr="00A86175">
        <w:rPr>
          <w:rFonts w:ascii="Book Antiqua" w:eastAsiaTheme="minorEastAsia" w:hAnsi="Book Antiqua"/>
          <w:lang w:val="en-GB" w:eastAsia="zh-CN"/>
        </w:rPr>
        <w:t xml:space="preserve"> </w:t>
      </w:r>
      <w:r w:rsidRPr="00A86175">
        <w:rPr>
          <w:rFonts w:ascii="Book Antiqua" w:hAnsi="Book Antiqua"/>
          <w:lang w:val="en-GB"/>
        </w:rPr>
        <w:t>100%</w:t>
      </w:r>
      <w:r w:rsidR="00096F0E" w:rsidRPr="00A86175">
        <w:rPr>
          <w:rFonts w:ascii="Book Antiqua" w:eastAsiaTheme="minorEastAsia" w:hAnsi="Book Antiqua"/>
          <w:lang w:val="en-GB" w:eastAsia="zh-CN"/>
        </w:rPr>
        <w:t xml:space="preserve"> </w:t>
      </w:r>
      <w:r w:rsidRPr="00A86175">
        <w:rPr>
          <w:rFonts w:ascii="Book Antiqua" w:hAnsi="Book Antiqua"/>
          <w:lang w:val="en-GB"/>
        </w:rPr>
        <w:t>×</w:t>
      </w:r>
      <w:r w:rsidR="00096F0E" w:rsidRPr="00A86175">
        <w:rPr>
          <w:rFonts w:ascii="Book Antiqua" w:eastAsiaTheme="minorEastAsia" w:hAnsi="Book Antiqua"/>
          <w:lang w:val="en-GB" w:eastAsia="zh-CN"/>
        </w:rPr>
        <w:t xml:space="preserve"> </w:t>
      </w:r>
      <w:r w:rsidRPr="00A86175">
        <w:rPr>
          <w:rFonts w:ascii="Book Antiqua" w:hAnsi="Book Antiqua"/>
          <w:lang w:val="en-GB"/>
        </w:rPr>
        <w:t>(Q</w:t>
      </w:r>
      <w:r w:rsidR="00096F0E" w:rsidRPr="00A86175">
        <w:rPr>
          <w:rFonts w:ascii="Book Antiqua" w:eastAsiaTheme="minorEastAsia" w:hAnsi="Book Antiqua"/>
          <w:lang w:val="en-GB" w:eastAsia="zh-CN"/>
        </w:rPr>
        <w:t xml:space="preserve"> - </w:t>
      </w:r>
      <w:r w:rsidRPr="00A86175">
        <w:rPr>
          <w:rFonts w:ascii="Book Antiqua" w:hAnsi="Book Antiqua"/>
          <w:lang w:val="en-GB"/>
        </w:rPr>
        <w:t>df)/Q, with I</w:t>
      </w:r>
      <w:r w:rsidRPr="00A86175">
        <w:rPr>
          <w:rFonts w:ascii="Book Antiqua" w:hAnsi="Book Antiqua"/>
          <w:vertAlign w:val="superscript"/>
          <w:lang w:val="en-GB"/>
        </w:rPr>
        <w:t>2</w:t>
      </w:r>
      <w:r w:rsidRPr="00A86175">
        <w:rPr>
          <w:rFonts w:ascii="Book Antiqua" w:hAnsi="Book Antiqua"/>
          <w:lang w:val="en-GB"/>
        </w:rPr>
        <w:t xml:space="preserve"> representing the magnitude of the heterogeneity (moderate: 30</w:t>
      </w:r>
      <w:r w:rsidR="00096F0E" w:rsidRPr="00A86175">
        <w:rPr>
          <w:rFonts w:ascii="Book Antiqua" w:hAnsi="Book Antiqua"/>
          <w:lang w:val="en-GB"/>
        </w:rPr>
        <w:t>%</w:t>
      </w:r>
      <w:r w:rsidR="00096F0E" w:rsidRPr="00A86175">
        <w:rPr>
          <w:rFonts w:ascii="Book Antiqua" w:eastAsiaTheme="minorEastAsia" w:hAnsi="Book Antiqua"/>
          <w:lang w:val="en-GB" w:eastAsia="zh-CN"/>
        </w:rPr>
        <w:t>-</w:t>
      </w:r>
      <w:r w:rsidRPr="00A86175">
        <w:rPr>
          <w:rFonts w:ascii="Book Antiqua" w:hAnsi="Book Antiqua"/>
          <w:lang w:val="en-GB"/>
        </w:rPr>
        <w:t>60%; substantial: 50</w:t>
      </w:r>
      <w:r w:rsidR="00096F0E" w:rsidRPr="00A86175">
        <w:rPr>
          <w:rFonts w:ascii="Book Antiqua" w:hAnsi="Book Antiqua"/>
          <w:lang w:val="en-GB"/>
        </w:rPr>
        <w:t>%</w:t>
      </w:r>
      <w:r w:rsidR="00096F0E" w:rsidRPr="00A86175">
        <w:rPr>
          <w:rFonts w:ascii="Book Antiqua" w:eastAsiaTheme="minorEastAsia" w:hAnsi="Book Antiqua"/>
          <w:lang w:val="en-GB" w:eastAsia="zh-CN"/>
        </w:rPr>
        <w:t>-</w:t>
      </w:r>
      <w:r w:rsidRPr="00A86175">
        <w:rPr>
          <w:rFonts w:ascii="Book Antiqua" w:hAnsi="Book Antiqua"/>
          <w:lang w:val="en-GB"/>
        </w:rPr>
        <w:t>90%; considerable: 75</w:t>
      </w:r>
      <w:r w:rsidR="00096F0E" w:rsidRPr="00A86175">
        <w:rPr>
          <w:rFonts w:ascii="Book Antiqua" w:hAnsi="Book Antiqua"/>
          <w:lang w:val="en-GB"/>
        </w:rPr>
        <w:t>%</w:t>
      </w:r>
      <w:r w:rsidR="00096F0E" w:rsidRPr="00A86175">
        <w:rPr>
          <w:rFonts w:ascii="Book Antiqua" w:eastAsiaTheme="minorEastAsia" w:hAnsi="Book Antiqua"/>
          <w:lang w:val="en-GB" w:eastAsia="zh-CN"/>
        </w:rPr>
        <w:t>-</w:t>
      </w:r>
      <w:r w:rsidRPr="00A86175">
        <w:rPr>
          <w:rFonts w:ascii="Book Antiqua" w:hAnsi="Book Antiqua"/>
          <w:lang w:val="en-GB"/>
        </w:rPr>
        <w:t>100%)</w:t>
      </w:r>
      <w:r w:rsidRPr="00A86175">
        <w:rPr>
          <w:rFonts w:ascii="Book Antiqua" w:hAnsi="Book Antiqua"/>
          <w:noProof/>
          <w:vertAlign w:val="superscript"/>
          <w:lang w:val="en-GB"/>
        </w:rPr>
        <w:t>[20]</w:t>
      </w:r>
      <w:r w:rsidRPr="00A86175">
        <w:rPr>
          <w:rFonts w:ascii="Book Antiqua" w:hAnsi="Book Antiqua"/>
          <w:lang w:val="en-GB"/>
        </w:rPr>
        <w:t>.</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Only results that were available from at least 3 studies were displayed </w:t>
      </w:r>
      <w:r w:rsidRPr="00A86175">
        <w:rPr>
          <w:rFonts w:ascii="Book Antiqua" w:hAnsi="Book Antiqua"/>
          <w:lang w:val="en-GB"/>
        </w:rPr>
        <w:lastRenderedPageBreak/>
        <w:t>graphically with forest plots. We performed a sensitivity analysis to assess whether removing any study result in different inte</w:t>
      </w:r>
      <w:r w:rsidR="00BB4AB3" w:rsidRPr="00A86175">
        <w:rPr>
          <w:rFonts w:ascii="Book Antiqua" w:hAnsi="Book Antiqua"/>
          <w:lang w:val="en-GB"/>
        </w:rPr>
        <w:t>rpretation and final conclusion</w:t>
      </w:r>
      <w:r w:rsidRPr="00A86175">
        <w:rPr>
          <w:rFonts w:ascii="Book Antiqua" w:hAnsi="Book Antiqua"/>
          <w:noProof/>
          <w:vertAlign w:val="superscript"/>
          <w:lang w:val="en-GB"/>
        </w:rPr>
        <w:t>[21]</w:t>
      </w:r>
      <w:r w:rsidRPr="00A86175">
        <w:rPr>
          <w:rFonts w:ascii="Book Antiqua" w:hAnsi="Book Antiqua"/>
          <w:lang w:val="en-GB"/>
        </w:rPr>
        <w:t>. To assess the effect of the year of publication on the outcome data we performed meta-regression analysis. We calculated the regression coefficient and interpreted the data with their 95%CI and r-analog.</w:t>
      </w:r>
    </w:p>
    <w:p w:rsidR="00332221" w:rsidRPr="00A86175" w:rsidRDefault="00332221"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Quality of studies and risk of bias</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Because of the low number of eligible articles, publication bias was obtained with a visual inspection of the funnel plots alone according to the Cochrane Handbook</w:t>
      </w:r>
      <w:r w:rsidRPr="00A86175">
        <w:rPr>
          <w:rFonts w:ascii="Book Antiqua" w:hAnsi="Book Antiqua"/>
          <w:noProof/>
          <w:vertAlign w:val="superscript"/>
          <w:lang w:val="en-GB"/>
        </w:rPr>
        <w:t>[20]</w:t>
      </w:r>
      <w:r w:rsidRPr="00A86175">
        <w:rPr>
          <w:rFonts w:ascii="Book Antiqua" w:hAnsi="Book Antiqua"/>
          <w:lang w:val="en-GB"/>
        </w:rPr>
        <w:t>. The Newcastle–Ottawa Scale (NOS) adjusted to our study design was used</w:t>
      </w:r>
      <w:r w:rsidRPr="00A86175">
        <w:rPr>
          <w:rFonts w:ascii="Book Antiqua" w:hAnsi="Book Antiqua"/>
          <w:noProof/>
          <w:vertAlign w:val="superscript"/>
          <w:lang w:val="en-GB"/>
        </w:rPr>
        <w:t>[22]</w:t>
      </w:r>
      <w:r w:rsidRPr="00A86175">
        <w:rPr>
          <w:rFonts w:ascii="Book Antiqua" w:hAnsi="Book Antiqua"/>
          <w:lang w:val="en-GB"/>
        </w:rPr>
        <w:t xml:space="preserve"> to assess the quality of nonrandomized cohort studies. The selection, comparability and outcome data were assessed based on 6 items (Table 1) with the “star system”: high-quality items with a low risk of bias received one star, while low-quality items with a high or unknown risk of bias were assigned no stars. 3 items were included during the selection process. In the case of representativeness in the study population, we assigned a star if all of the GI bleeding patients with normal or impaired renal function were included. If any selection criteria applied, we assigned no points. We used the classical definition of CKD</w:t>
      </w:r>
      <w:r w:rsidRPr="00A86175">
        <w:rPr>
          <w:rFonts w:ascii="Book Antiqua" w:hAnsi="Book Antiqua"/>
          <w:noProof/>
          <w:vertAlign w:val="superscript"/>
          <w:lang w:val="en-GB"/>
        </w:rPr>
        <w:t>[23]</w:t>
      </w:r>
      <w:r w:rsidRPr="00A86175">
        <w:rPr>
          <w:rFonts w:ascii="Book Antiqua" w:hAnsi="Book Antiqua"/>
          <w:lang w:val="en-GB"/>
        </w:rPr>
        <w:t>, which characterizes the disease with a glomerular filtration rate (GFR)</w:t>
      </w:r>
      <w:r w:rsidR="00096F0E" w:rsidRPr="00A86175">
        <w:rPr>
          <w:rFonts w:ascii="Book Antiqua" w:eastAsiaTheme="minorEastAsia" w:hAnsi="Book Antiqua"/>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60</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m/min lasting longer than 3 mo. ESRD was defined as a condition where haemodialysis or chronic peritoneal dialysis is performed for at least 3 months. With regard to outcome, only the follow-up time for rebleeding was rated in articles that provided this information. Assessment of outcome and length of follow-up were not rated because most of the articles were retrospective.  </w:t>
      </w:r>
    </w:p>
    <w:p w:rsidR="00332221" w:rsidRPr="00A86175" w:rsidRDefault="00332221"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t>RESULTS</w:t>
      </w: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Study selection</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 xml:space="preserve">1063 articles (EMBASE: 589; PubMed: 459; Cochrane: 15) were found altogether through database searches. The flowchart (Figure 1) shows the study selection strategy. Studies in our meta-analysis were dated from </w:t>
      </w:r>
      <w:r w:rsidRPr="00A86175">
        <w:rPr>
          <w:rFonts w:ascii="Book Antiqua" w:hAnsi="Book Antiqua"/>
          <w:bCs/>
          <w:lang w:val="en-GB"/>
        </w:rPr>
        <w:t xml:space="preserve">1946 to 2017. </w:t>
      </w:r>
      <w:r w:rsidRPr="00A86175">
        <w:rPr>
          <w:rFonts w:ascii="Book Antiqua" w:hAnsi="Book Antiqua"/>
          <w:lang w:val="en-GB"/>
        </w:rPr>
        <w:t xml:space="preserve">After removing duplicates, 875 publications remained. Following initial screening based on titles and </w:t>
      </w:r>
      <w:r w:rsidRPr="00A86175">
        <w:rPr>
          <w:rFonts w:ascii="Book Antiqua" w:hAnsi="Book Antiqua"/>
          <w:lang w:val="en-GB"/>
        </w:rPr>
        <w:lastRenderedPageBreak/>
        <w:t>abstracts, 23 articles were retrieved and screened. A further 18 were excluded because of missing outcome data or a missing control group. Patients with acute renal failure were also included in the analysis reported i</w:t>
      </w:r>
      <w:r w:rsidR="00096F0E" w:rsidRPr="00A86175">
        <w:rPr>
          <w:rFonts w:ascii="Book Antiqua" w:hAnsi="Book Antiqua"/>
          <w:lang w:val="en-GB"/>
        </w:rPr>
        <w:t xml:space="preserve">n Alvarez </w:t>
      </w:r>
      <w:r w:rsidR="00096F0E" w:rsidRPr="00A86175">
        <w:rPr>
          <w:rFonts w:ascii="Book Antiqua" w:hAnsi="Book Antiqua"/>
          <w:i/>
          <w:lang w:val="en-GB"/>
        </w:rPr>
        <w:t>et al</w:t>
      </w:r>
      <w:r w:rsidRPr="00A86175">
        <w:rPr>
          <w:rFonts w:ascii="Book Antiqua" w:hAnsi="Book Antiqua"/>
          <w:noProof/>
          <w:vertAlign w:val="superscript"/>
          <w:lang w:val="en-GB"/>
        </w:rPr>
        <w:t>[24]</w:t>
      </w:r>
      <w:r w:rsidRPr="00A86175">
        <w:rPr>
          <w:rFonts w:ascii="Book Antiqua" w:hAnsi="Book Antiqua"/>
          <w:lang w:val="en-GB"/>
        </w:rPr>
        <w:t>, so we did not use the data in that publication. The remaining 5</w:t>
      </w:r>
      <w:r w:rsidR="00096F0E" w:rsidRPr="00A86175">
        <w:rPr>
          <w:rFonts w:ascii="Book Antiqua" w:hAnsi="Book Antiqua"/>
          <w:noProof/>
          <w:vertAlign w:val="superscript"/>
          <w:lang w:val="en-GB"/>
        </w:rPr>
        <w:t>[9,16,17,25,</w:t>
      </w:r>
      <w:r w:rsidRPr="00A86175">
        <w:rPr>
          <w:rFonts w:ascii="Book Antiqua" w:hAnsi="Book Antiqua"/>
          <w:noProof/>
          <w:vertAlign w:val="superscript"/>
          <w:lang w:val="en-GB"/>
        </w:rPr>
        <w:t>26]</w:t>
      </w:r>
      <w:r w:rsidRPr="00A86175">
        <w:rPr>
          <w:rFonts w:ascii="Book Antiqua" w:hAnsi="Book Antiqua"/>
          <w:lang w:val="en-GB"/>
        </w:rPr>
        <w:t xml:space="preserve"> and one other</w:t>
      </w:r>
      <w:r w:rsidRPr="00A86175">
        <w:rPr>
          <w:rFonts w:ascii="Book Antiqua" w:hAnsi="Book Antiqua"/>
          <w:noProof/>
          <w:vertAlign w:val="superscript"/>
          <w:lang w:val="en-GB"/>
        </w:rPr>
        <w:t>[10]</w:t>
      </w:r>
      <w:r w:rsidRPr="00A86175">
        <w:rPr>
          <w:rFonts w:ascii="Book Antiqua" w:hAnsi="Book Antiqua"/>
          <w:lang w:val="en-GB"/>
        </w:rPr>
        <w:t xml:space="preserve"> eligible record which was found in reference lists were included in the meta-analysis. The basic characteristics of the 6 eligible articles in the meta-analysis are shown in Table 2. These 6 publications contained data </w:t>
      </w:r>
      <w:r w:rsidR="00E32217">
        <w:rPr>
          <w:rFonts w:ascii="Book Antiqua" w:hAnsi="Book Antiqua"/>
          <w:lang w:val="en-GB"/>
        </w:rPr>
        <w:t>on 406,035 patients, of whom 51</w:t>
      </w:r>
      <w:r w:rsidRPr="00A86175">
        <w:rPr>
          <w:rFonts w:ascii="Book Antiqua" w:hAnsi="Book Antiqua"/>
          <w:lang w:val="en-GB"/>
        </w:rPr>
        <w:t>315 had impaired renal function parameters and 354720 had normal renal functions. 2 articles contained data on patients with CKD and 4 on ESRD patients. There were 2 studies involving CKD and ESRD patients, with their group identified as the CKD mixed group. The number o</w:t>
      </w:r>
      <w:r w:rsidR="00E32217">
        <w:rPr>
          <w:rFonts w:ascii="Book Antiqua" w:hAnsi="Book Antiqua"/>
          <w:lang w:val="en-GB"/>
        </w:rPr>
        <w:t>f ESRD patients analysed was 15201, the CKD group had 36</w:t>
      </w:r>
      <w:r w:rsidRPr="00A86175">
        <w:rPr>
          <w:rFonts w:ascii="Book Antiqua" w:hAnsi="Book Antiqua"/>
          <w:lang w:val="en-GB"/>
        </w:rPr>
        <w:t>035 members, and 79 patients could be classified in the CKD mixed group.</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Mortality</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Data on mortality was available in all of the articles included, but Zuckerman</w:t>
      </w:r>
      <w:r w:rsidR="00BB4AB3" w:rsidRPr="00A86175">
        <w:rPr>
          <w:rFonts w:ascii="Book Antiqua" w:eastAsiaTheme="minorEastAsia" w:hAnsi="Book Antiqua"/>
          <w:lang w:val="en-GB" w:eastAsia="zh-CN"/>
        </w:rPr>
        <w:t xml:space="preserve"> </w:t>
      </w:r>
      <w:r w:rsidRPr="00A86175">
        <w:rPr>
          <w:rFonts w:ascii="Book Antiqua" w:hAnsi="Book Antiqua"/>
          <w:i/>
          <w:lang w:val="en-GB"/>
        </w:rPr>
        <w:t>et al</w:t>
      </w:r>
      <w:r w:rsidR="00BB4AB3" w:rsidRPr="00A86175">
        <w:rPr>
          <w:rFonts w:ascii="Book Antiqua" w:hAnsi="Book Antiqua"/>
          <w:noProof/>
          <w:vertAlign w:val="superscript"/>
          <w:lang w:val="en-GB"/>
        </w:rPr>
        <w:t>[26]</w:t>
      </w:r>
      <w:r w:rsidR="00BB4AB3" w:rsidRPr="00A86175">
        <w:rPr>
          <w:rFonts w:ascii="Book Antiqua" w:eastAsiaTheme="minorEastAsia" w:hAnsi="Book Antiqua"/>
          <w:lang w:val="en-GB" w:eastAsia="zh-CN"/>
        </w:rPr>
        <w:t xml:space="preserve"> </w:t>
      </w:r>
      <w:r w:rsidRPr="00A86175">
        <w:rPr>
          <w:rFonts w:ascii="Book Antiqua" w:hAnsi="Book Antiqua"/>
          <w:lang w:val="en-GB"/>
        </w:rPr>
        <w:t>reported no mortality data for the control group; we therefore removed it from the s</w:t>
      </w:r>
      <w:r w:rsidR="00BB4AB3" w:rsidRPr="00A86175">
        <w:rPr>
          <w:rFonts w:ascii="Book Antiqua" w:hAnsi="Book Antiqua"/>
          <w:lang w:val="en-GB"/>
        </w:rPr>
        <w:t xml:space="preserve">tatistical analysis. Hung </w:t>
      </w:r>
      <w:r w:rsidR="00BB4AB3" w:rsidRPr="00A86175">
        <w:rPr>
          <w:rFonts w:ascii="Book Antiqua" w:hAnsi="Book Antiqua"/>
          <w:i/>
          <w:lang w:val="en-GB"/>
        </w:rPr>
        <w:t>et al</w:t>
      </w:r>
      <w:r w:rsidRPr="00A86175">
        <w:rPr>
          <w:rFonts w:ascii="Book Antiqua" w:hAnsi="Book Antiqua"/>
          <w:noProof/>
          <w:vertAlign w:val="superscript"/>
          <w:lang w:val="en-GB"/>
        </w:rPr>
        <w:t>[25]</w:t>
      </w:r>
      <w:r w:rsidRPr="00A86175">
        <w:rPr>
          <w:rFonts w:ascii="Book Antiqua" w:hAnsi="Book Antiqua"/>
          <w:lang w:val="en-GB"/>
        </w:rPr>
        <w:t xml:space="preserve"> repo</w:t>
      </w:r>
      <w:r w:rsidR="00E32217">
        <w:rPr>
          <w:rFonts w:ascii="Book Antiqua" w:hAnsi="Book Antiqua"/>
          <w:lang w:val="en-GB"/>
        </w:rPr>
        <w:t>rted mortality data from a 6-w</w:t>
      </w:r>
      <w:r w:rsidRPr="00A86175">
        <w:rPr>
          <w:rFonts w:ascii="Book Antiqua" w:hAnsi="Book Antiqua"/>
          <w:lang w:val="en-GB"/>
        </w:rPr>
        <w:t>k follow-up period, while the other articles contained data on an unknown follow-up period. In the subgroup analysis for CKD and ESRD, a higher mortality rate was detected compared to the control population (CKD: OR = 1.786, 95%CI: 1.689</w:t>
      </w:r>
      <w:r w:rsidR="00096F0E" w:rsidRPr="00A86175">
        <w:rPr>
          <w:rFonts w:ascii="Book Antiqua" w:eastAsiaTheme="minorEastAsia" w:hAnsi="Book Antiqua"/>
          <w:lang w:val="en-GB" w:eastAsia="zh-CN"/>
        </w:rPr>
        <w:t>-</w:t>
      </w:r>
      <w:r w:rsidRPr="00A86175">
        <w:rPr>
          <w:rFonts w:ascii="Book Antiqua" w:hAnsi="Book Antiqua"/>
          <w:lang w:val="en-GB"/>
        </w:rPr>
        <w:t xml:space="preserve">1.888, </w:t>
      </w:r>
      <w:r w:rsidRPr="00A86175">
        <w:rPr>
          <w:rFonts w:ascii="Book Antiqua" w:hAnsi="Book Antiqua"/>
          <w:i/>
          <w:lang w:val="en-GB"/>
        </w:rPr>
        <w:t>P</w:t>
      </w:r>
      <w:r w:rsidR="00096F0E" w:rsidRPr="00A86175">
        <w:rPr>
          <w:rFonts w:ascii="Book Antiqua" w:eastAsiaTheme="minorEastAsia" w:hAnsi="Book Antiqua"/>
          <w:i/>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0.001; ESRD: OR = 2.530, 95%CI: 1.386</w:t>
      </w:r>
      <w:r w:rsidR="00096F0E" w:rsidRPr="00A86175">
        <w:rPr>
          <w:rFonts w:ascii="Book Antiqua" w:eastAsiaTheme="minorEastAsia" w:hAnsi="Book Antiqua"/>
          <w:lang w:val="en-GB" w:eastAsia="zh-CN"/>
        </w:rPr>
        <w:t>-</w:t>
      </w:r>
      <w:r w:rsidRPr="00A86175">
        <w:rPr>
          <w:rFonts w:ascii="Book Antiqua" w:hAnsi="Book Antiqua"/>
          <w:lang w:val="en-GB"/>
        </w:rPr>
        <w:t xml:space="preserve">4.616, </w:t>
      </w:r>
      <w:r w:rsidRPr="00A86175">
        <w:rPr>
          <w:rFonts w:ascii="Book Antiqua" w:hAnsi="Book Antiqua"/>
          <w:i/>
          <w:lang w:val="en-GB"/>
        </w:rPr>
        <w:t>P</w:t>
      </w:r>
      <w:r w:rsidRPr="00A86175">
        <w:rPr>
          <w:rFonts w:ascii="Book Antiqua" w:hAnsi="Book Antiqua"/>
          <w:lang w:val="en-GB"/>
        </w:rPr>
        <w:t xml:space="preserve"> = 0.002, Figure 2).</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Required units for transfusion</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4 studies reported data on the transfused units of red blood cells. The required transfusion was 1.8 times higher in the patients with abnormal renal function (MD = 1.863, 95%CI: 0.812</w:t>
      </w:r>
      <w:r w:rsidR="00096F0E" w:rsidRPr="00A86175">
        <w:rPr>
          <w:rFonts w:ascii="Book Antiqua" w:eastAsiaTheme="minorEastAsia" w:hAnsi="Book Antiqua"/>
          <w:lang w:val="en-GB" w:eastAsia="zh-CN"/>
        </w:rPr>
        <w:t>-</w:t>
      </w:r>
      <w:r w:rsidRPr="00A86175">
        <w:rPr>
          <w:rFonts w:ascii="Book Antiqua" w:hAnsi="Book Antiqua"/>
          <w:lang w:val="en-GB"/>
        </w:rPr>
        <w:t xml:space="preserve">2.915, </w:t>
      </w:r>
      <w:r w:rsidRPr="00A86175">
        <w:rPr>
          <w:rFonts w:ascii="Book Antiqua" w:hAnsi="Book Antiqua"/>
          <w:i/>
          <w:lang w:val="en-GB"/>
        </w:rPr>
        <w:t>P</w:t>
      </w:r>
      <w:r w:rsidR="00096F0E" w:rsidRPr="00A86175">
        <w:rPr>
          <w:rFonts w:ascii="Book Antiqua" w:eastAsiaTheme="minorEastAsia" w:hAnsi="Book Antiqua"/>
          <w:i/>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0.001</w:t>
      </w:r>
      <w:r w:rsidR="00AA7660">
        <w:rPr>
          <w:rFonts w:ascii="Book Antiqua" w:eastAsiaTheme="minorEastAsia" w:hAnsi="Book Antiqua" w:hint="eastAsia"/>
          <w:lang w:val="en-GB" w:eastAsia="zh-CN"/>
        </w:rPr>
        <w:t xml:space="preserve">, </w:t>
      </w:r>
      <w:r w:rsidRPr="00A86175">
        <w:rPr>
          <w:rFonts w:ascii="Book Antiqua" w:hAnsi="Book Antiqua"/>
          <w:lang w:val="en-GB"/>
        </w:rPr>
        <w:t xml:space="preserve">Figure 3). </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Rebleeding rate</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 xml:space="preserve">It was possible to retrieve data on the rebleeding rate from 3 articles, but Cheung </w:t>
      </w:r>
      <w:r w:rsidRPr="00A86175">
        <w:rPr>
          <w:rFonts w:ascii="Book Antiqua" w:hAnsi="Book Antiqua"/>
          <w:i/>
          <w:lang w:val="en-GB"/>
        </w:rPr>
        <w:t>et al</w:t>
      </w:r>
      <w:r w:rsidRPr="00A86175">
        <w:rPr>
          <w:rFonts w:ascii="Book Antiqua" w:hAnsi="Book Antiqua"/>
          <w:noProof/>
          <w:vertAlign w:val="superscript"/>
          <w:lang w:val="en-GB"/>
        </w:rPr>
        <w:t>[10]</w:t>
      </w:r>
      <w:r w:rsidRPr="00A86175">
        <w:rPr>
          <w:rFonts w:ascii="Book Antiqua" w:hAnsi="Book Antiqua"/>
          <w:lang w:val="en-GB"/>
        </w:rPr>
        <w:t xml:space="preserve"> contained simultaneous data from the CKD and ESDR groups, which could be analysed. Boyle et al. also presented data on rebleeding. However, this included </w:t>
      </w:r>
      <w:r w:rsidRPr="00A86175">
        <w:rPr>
          <w:rFonts w:ascii="Book Antiqua" w:hAnsi="Book Antiqua"/>
          <w:lang w:val="en-GB"/>
        </w:rPr>
        <w:lastRenderedPageBreak/>
        <w:t>cases of uncontrolled bleeding, so we excluded these data from our analysis. We found that patients with impaired renal function tend to bleed again 2.5 more times than patients with normal renal function (OR = 2.510, 95%CI: 1.521</w:t>
      </w:r>
      <w:r w:rsidR="00096F0E" w:rsidRPr="00A86175">
        <w:rPr>
          <w:rFonts w:ascii="Book Antiqua" w:eastAsiaTheme="minorEastAsia" w:hAnsi="Book Antiqua"/>
          <w:lang w:val="en-GB" w:eastAsia="zh-CN"/>
        </w:rPr>
        <w:t>-</w:t>
      </w:r>
      <w:r w:rsidRPr="00A86175">
        <w:rPr>
          <w:rFonts w:ascii="Book Antiqua" w:hAnsi="Book Antiqua"/>
          <w:lang w:val="en-GB"/>
        </w:rPr>
        <w:t xml:space="preserve">4.144, </w:t>
      </w:r>
      <w:r w:rsidRPr="00A86175">
        <w:rPr>
          <w:rFonts w:ascii="Book Antiqua" w:hAnsi="Book Antiqua"/>
          <w:i/>
          <w:lang w:val="en-GB"/>
        </w:rPr>
        <w:t>P</w:t>
      </w:r>
      <w:r w:rsidR="00096F0E" w:rsidRPr="00A86175">
        <w:rPr>
          <w:rFonts w:ascii="Book Antiqua" w:eastAsiaTheme="minorEastAsia" w:hAnsi="Book Antiqua"/>
          <w:i/>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0.001, Figure 4).</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Length of hospitalization</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Two of the six articles included reported hospital stay outcomes. Patients with impaired renal function spent significantly more time in hospital after GI bleeding (MD = 13.245, 95%CI: 6.886</w:t>
      </w:r>
      <w:r w:rsidR="00096F0E" w:rsidRPr="00A86175">
        <w:rPr>
          <w:rFonts w:ascii="Book Antiqua" w:eastAsiaTheme="minorEastAsia" w:hAnsi="Book Antiqua"/>
          <w:lang w:val="en-GB" w:eastAsia="zh-CN"/>
        </w:rPr>
        <w:t>-</w:t>
      </w:r>
      <w:r w:rsidR="00096F0E" w:rsidRPr="00A86175">
        <w:rPr>
          <w:rFonts w:ascii="Book Antiqua" w:hAnsi="Book Antiqua"/>
          <w:lang w:val="en-GB"/>
        </w:rPr>
        <w:t>19.623</w:t>
      </w:r>
      <w:r w:rsidRPr="00A86175">
        <w:rPr>
          <w:rFonts w:ascii="Book Antiqua" w:hAnsi="Book Antiqua"/>
          <w:lang w:val="en-GB"/>
        </w:rPr>
        <w:t xml:space="preserve">, </w:t>
      </w:r>
      <w:r w:rsidRPr="00A86175">
        <w:rPr>
          <w:rFonts w:ascii="Book Antiqua" w:hAnsi="Book Antiqua"/>
          <w:i/>
          <w:lang w:val="en-GB"/>
        </w:rPr>
        <w:t>P</w:t>
      </w:r>
      <w:r w:rsidR="00096F0E" w:rsidRPr="00A86175">
        <w:rPr>
          <w:rFonts w:ascii="Book Antiqua" w:eastAsiaTheme="minorEastAsia" w:hAnsi="Book Antiqua"/>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0.001, Figure 5).</w:t>
      </w:r>
    </w:p>
    <w:p w:rsidR="00096F0E" w:rsidRPr="00A86175" w:rsidRDefault="00096F0E" w:rsidP="00951B85">
      <w:pPr>
        <w:snapToGrid w:val="0"/>
        <w:spacing w:line="360" w:lineRule="auto"/>
        <w:jc w:val="both"/>
        <w:rPr>
          <w:rFonts w:ascii="Book Antiqua" w:eastAsiaTheme="minorEastAsia" w:hAnsi="Book Antiqua"/>
          <w:b/>
          <w:i/>
          <w:lang w:val="en-GB" w:eastAsia="zh-CN"/>
        </w:rPr>
      </w:pPr>
    </w:p>
    <w:p w:rsidR="006522CA" w:rsidRPr="00A86175" w:rsidRDefault="006522CA" w:rsidP="00951B85">
      <w:pPr>
        <w:snapToGrid w:val="0"/>
        <w:spacing w:line="360" w:lineRule="auto"/>
        <w:jc w:val="both"/>
        <w:rPr>
          <w:rFonts w:ascii="Book Antiqua" w:hAnsi="Book Antiqua"/>
          <w:b/>
          <w:i/>
          <w:lang w:val="en-GB"/>
        </w:rPr>
      </w:pPr>
      <w:r w:rsidRPr="00A86175">
        <w:rPr>
          <w:rFonts w:ascii="Book Antiqua" w:hAnsi="Book Antiqua"/>
          <w:b/>
          <w:i/>
          <w:lang w:val="en-GB"/>
        </w:rPr>
        <w:t>Heterogeneity and quality assessment of data</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 xml:space="preserve">High heterogeneity was detected for mortality in the ESRD group (Q = 17.082; DF = 3; </w:t>
      </w:r>
      <w:r w:rsidRPr="00A86175">
        <w:rPr>
          <w:rFonts w:ascii="Book Antiqua" w:hAnsi="Book Antiqua"/>
          <w:i/>
          <w:lang w:val="en-GB"/>
        </w:rPr>
        <w:t>I</w:t>
      </w:r>
      <w:r w:rsidRPr="00A86175">
        <w:rPr>
          <w:rFonts w:ascii="Book Antiqua" w:hAnsi="Book Antiqua"/>
          <w:i/>
          <w:vertAlign w:val="superscript"/>
          <w:lang w:val="en-GB"/>
        </w:rPr>
        <w:t>2</w:t>
      </w:r>
      <w:r w:rsidRPr="00A86175">
        <w:rPr>
          <w:rFonts w:ascii="Book Antiqua" w:hAnsi="Book Antiqua"/>
          <w:vertAlign w:val="superscript"/>
          <w:lang w:val="en-GB"/>
        </w:rPr>
        <w:t xml:space="preserve"> </w:t>
      </w:r>
      <w:r w:rsidRPr="00A86175">
        <w:rPr>
          <w:rFonts w:ascii="Book Antiqua" w:hAnsi="Book Antiqua"/>
          <w:lang w:val="en-GB"/>
        </w:rPr>
        <w:t xml:space="preserve">= 82.438%; </w:t>
      </w:r>
      <w:r w:rsidRPr="00A86175">
        <w:rPr>
          <w:rFonts w:ascii="Book Antiqua" w:hAnsi="Book Antiqua"/>
          <w:i/>
          <w:lang w:val="en-GB"/>
        </w:rPr>
        <w:t>P</w:t>
      </w:r>
      <w:r w:rsidR="00096F0E" w:rsidRPr="00A86175">
        <w:rPr>
          <w:rFonts w:ascii="Book Antiqua" w:eastAsiaTheme="minorEastAsia" w:hAnsi="Book Antiqua"/>
          <w:i/>
          <w:lang w:val="en-GB" w:eastAsia="zh-CN"/>
        </w:rPr>
        <w:t xml:space="preserve"> </w:t>
      </w:r>
      <w:r w:rsidRPr="00A86175">
        <w:rPr>
          <w:rFonts w:ascii="Book Antiqua" w:hAnsi="Book Antiqua"/>
          <w:lang w:val="en-GB"/>
        </w:rPr>
        <w:t>&lt;</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0.001), while the heterogeneity for CKD was low (Q = 1.767; DF = 2; </w:t>
      </w:r>
      <w:r w:rsidRPr="00A86175">
        <w:rPr>
          <w:rFonts w:ascii="Book Antiqua" w:hAnsi="Book Antiqua"/>
          <w:i/>
          <w:lang w:val="en-GB"/>
        </w:rPr>
        <w:t>I</w:t>
      </w:r>
      <w:r w:rsidRPr="00A86175">
        <w:rPr>
          <w:rFonts w:ascii="Book Antiqua" w:hAnsi="Book Antiqua"/>
          <w:i/>
          <w:vertAlign w:val="superscript"/>
          <w:lang w:val="en-GB"/>
        </w:rPr>
        <w:t xml:space="preserve">2 </w:t>
      </w:r>
      <w:r w:rsidRPr="00A86175">
        <w:rPr>
          <w:rFonts w:ascii="Book Antiqua" w:hAnsi="Book Antiqua"/>
          <w:lang w:val="en-GB"/>
        </w:rPr>
        <w:t xml:space="preserve">= 0 %; </w:t>
      </w:r>
      <w:r w:rsidRPr="00A86175">
        <w:rPr>
          <w:rFonts w:ascii="Book Antiqua" w:hAnsi="Book Antiqua"/>
          <w:i/>
          <w:lang w:val="en-GB"/>
        </w:rPr>
        <w:t>P</w:t>
      </w:r>
      <w:r w:rsidRPr="00A86175">
        <w:rPr>
          <w:rFonts w:ascii="Book Antiqua" w:hAnsi="Book Antiqua"/>
          <w:lang w:val="en-GB"/>
        </w:rPr>
        <w:t xml:space="preserve"> = 0.413). However, a low heterogeneity was detected for the transfusion requirements (Q = 3.448; DF = 3; </w:t>
      </w:r>
      <w:r w:rsidRPr="00A86175">
        <w:rPr>
          <w:rFonts w:ascii="Book Antiqua" w:hAnsi="Book Antiqua"/>
          <w:i/>
          <w:lang w:val="en-GB"/>
        </w:rPr>
        <w:t>I</w:t>
      </w:r>
      <w:r w:rsidRPr="00A86175">
        <w:rPr>
          <w:rFonts w:ascii="Book Antiqua" w:hAnsi="Book Antiqua"/>
          <w:i/>
          <w:vertAlign w:val="superscript"/>
          <w:lang w:val="en-GB"/>
        </w:rPr>
        <w:t>2</w:t>
      </w:r>
      <w:r w:rsidRPr="00A86175">
        <w:rPr>
          <w:rFonts w:ascii="Book Antiqua" w:hAnsi="Book Antiqua"/>
          <w:vertAlign w:val="superscript"/>
          <w:lang w:val="en-GB"/>
        </w:rPr>
        <w:t xml:space="preserve"> </w:t>
      </w:r>
      <w:r w:rsidRPr="00A86175">
        <w:rPr>
          <w:rFonts w:ascii="Book Antiqua" w:hAnsi="Book Antiqua"/>
          <w:lang w:val="en-GB"/>
        </w:rPr>
        <w:t xml:space="preserve">= 13.003%; </w:t>
      </w:r>
      <w:r w:rsidRPr="00A86175">
        <w:rPr>
          <w:rFonts w:ascii="Book Antiqua" w:hAnsi="Book Antiqua"/>
          <w:i/>
          <w:lang w:val="en-GB"/>
        </w:rPr>
        <w:t>P</w:t>
      </w:r>
      <w:r w:rsidRPr="00A86175">
        <w:rPr>
          <w:rFonts w:ascii="Book Antiqua" w:hAnsi="Book Antiqua"/>
          <w:lang w:val="en-GB"/>
        </w:rPr>
        <w:t xml:space="preserve"> = 0.328), the rebleeding rate (Q = 3.328; DF = 3; </w:t>
      </w:r>
      <w:r w:rsidRPr="00A86175">
        <w:rPr>
          <w:rFonts w:ascii="Book Antiqua" w:hAnsi="Book Antiqua"/>
          <w:i/>
          <w:lang w:val="en-GB"/>
        </w:rPr>
        <w:t>I</w:t>
      </w:r>
      <w:r w:rsidRPr="00A86175">
        <w:rPr>
          <w:rFonts w:ascii="Book Antiqua" w:hAnsi="Book Antiqua"/>
          <w:i/>
          <w:vertAlign w:val="superscript"/>
          <w:lang w:val="en-GB"/>
        </w:rPr>
        <w:t>2</w:t>
      </w:r>
      <w:r w:rsidRPr="00A86175">
        <w:rPr>
          <w:rFonts w:ascii="Book Antiqua" w:hAnsi="Book Antiqua"/>
          <w:vertAlign w:val="superscript"/>
          <w:lang w:val="en-GB"/>
        </w:rPr>
        <w:t xml:space="preserve"> </w:t>
      </w:r>
      <w:r w:rsidRPr="00A86175">
        <w:rPr>
          <w:rFonts w:ascii="Book Antiqua" w:hAnsi="Book Antiqua"/>
          <w:lang w:val="en-GB"/>
        </w:rPr>
        <w:t xml:space="preserve">= 9.845%; </w:t>
      </w:r>
      <w:r w:rsidRPr="00A86175">
        <w:rPr>
          <w:rFonts w:ascii="Book Antiqua" w:hAnsi="Book Antiqua"/>
          <w:i/>
          <w:lang w:val="en-GB"/>
        </w:rPr>
        <w:t>P</w:t>
      </w:r>
      <w:r w:rsidRPr="00A86175">
        <w:rPr>
          <w:rFonts w:ascii="Book Antiqua" w:hAnsi="Book Antiqua"/>
          <w:lang w:val="en-GB"/>
        </w:rPr>
        <w:t xml:space="preserve"> = 0.344) and LOH (Q = 1.100; DF = 2; </w:t>
      </w:r>
      <w:r w:rsidRPr="00A86175">
        <w:rPr>
          <w:rFonts w:ascii="Book Antiqua" w:hAnsi="Book Antiqua"/>
          <w:i/>
          <w:lang w:val="en-GB"/>
        </w:rPr>
        <w:t>I</w:t>
      </w:r>
      <w:r w:rsidRPr="00A86175">
        <w:rPr>
          <w:rFonts w:ascii="Book Antiqua" w:hAnsi="Book Antiqua"/>
          <w:i/>
          <w:vertAlign w:val="superscript"/>
          <w:lang w:val="en-GB"/>
        </w:rPr>
        <w:t xml:space="preserve">2 </w:t>
      </w:r>
      <w:r w:rsidRPr="00A86175">
        <w:rPr>
          <w:rFonts w:ascii="Book Antiqua" w:hAnsi="Book Antiqua"/>
          <w:lang w:val="en-GB"/>
        </w:rPr>
        <w:t xml:space="preserve">= 0%; </w:t>
      </w:r>
      <w:r w:rsidRPr="00A86175">
        <w:rPr>
          <w:rFonts w:ascii="Book Antiqua" w:hAnsi="Book Antiqua"/>
          <w:i/>
          <w:lang w:val="en-GB"/>
        </w:rPr>
        <w:t>P</w:t>
      </w:r>
      <w:r w:rsidRPr="00A86175">
        <w:rPr>
          <w:rFonts w:ascii="Book Antiqua" w:hAnsi="Book Antiqua"/>
          <w:lang w:val="en-GB"/>
        </w:rPr>
        <w:t xml:space="preserve"> = 0.577).  To ascertain publication bias, we only made a visual assessment of the funnel plot (Figure 6) because we were only able to include 6 studies in our meta-analysis. Sensitivity analysis showed no significant difference in the OR of mortality, by removing any of the articles (Supplementary Figure 1). Meta-regression showed slight significance, in the most recent articles the OR is decreasing with the time (regression coefficient: </w:t>
      </w:r>
      <w:r w:rsidRPr="00A86175">
        <w:rPr>
          <w:rFonts w:ascii="Book Antiqua" w:hAnsi="Book Antiqua"/>
          <w:i/>
          <w:lang w:val="en-GB"/>
        </w:rPr>
        <w:t>b</w:t>
      </w:r>
      <w:r w:rsidRPr="00A86175">
        <w:rPr>
          <w:rFonts w:ascii="Book Antiqua" w:hAnsi="Book Antiqua"/>
          <w:lang w:val="en-GB"/>
        </w:rPr>
        <w:t xml:space="preserve"> = </w:t>
      </w:r>
      <w:r w:rsidR="00096F0E" w:rsidRPr="00A86175">
        <w:rPr>
          <w:rFonts w:ascii="Book Antiqua" w:eastAsiaTheme="minorEastAsia" w:hAnsi="Book Antiqua"/>
          <w:lang w:val="en-GB" w:eastAsia="zh-CN"/>
        </w:rPr>
        <w:t>-</w:t>
      </w:r>
      <w:r w:rsidRPr="00A86175">
        <w:rPr>
          <w:rFonts w:ascii="Book Antiqua" w:hAnsi="Book Antiqua"/>
          <w:lang w:val="en-GB"/>
        </w:rPr>
        <w:t xml:space="preserve">0.0548; 95%CI: </w:t>
      </w:r>
      <w:r w:rsidR="00096F0E" w:rsidRPr="00A86175">
        <w:rPr>
          <w:rFonts w:ascii="Book Antiqua" w:eastAsiaTheme="minorEastAsia" w:hAnsi="Book Antiqua"/>
          <w:lang w:val="en-GB" w:eastAsia="zh-CN"/>
        </w:rPr>
        <w:t>-</w:t>
      </w:r>
      <w:r w:rsidRPr="00A86175">
        <w:rPr>
          <w:rFonts w:ascii="Book Antiqua" w:hAnsi="Book Antiqua"/>
          <w:lang w:val="en-GB"/>
        </w:rPr>
        <w:t>0.0968</w:t>
      </w:r>
      <w:r w:rsidR="00096F0E" w:rsidRPr="00A86175">
        <w:rPr>
          <w:rFonts w:ascii="Book Antiqua" w:eastAsiaTheme="minorEastAsia" w:hAnsi="Book Antiqua"/>
          <w:lang w:val="en-GB" w:eastAsia="zh-CN"/>
        </w:rPr>
        <w:t xml:space="preserve"> to -</w:t>
      </w:r>
      <w:r w:rsidR="00096F0E" w:rsidRPr="00A86175">
        <w:rPr>
          <w:rFonts w:ascii="Book Antiqua" w:hAnsi="Book Antiqua"/>
          <w:lang w:val="en-GB"/>
        </w:rPr>
        <w:t>0.0128</w:t>
      </w:r>
      <w:r w:rsidRPr="00A86175">
        <w:rPr>
          <w:rFonts w:ascii="Book Antiqua" w:hAnsi="Book Antiqua"/>
          <w:lang w:val="en-GB"/>
        </w:rPr>
        <w:t xml:space="preserve">; </w:t>
      </w:r>
      <w:r w:rsidRPr="00A86175">
        <w:rPr>
          <w:rFonts w:ascii="Book Antiqua" w:hAnsi="Book Antiqua"/>
          <w:i/>
          <w:lang w:val="en-GB"/>
        </w:rPr>
        <w:t xml:space="preserve">P </w:t>
      </w:r>
      <w:r w:rsidRPr="00A86175">
        <w:rPr>
          <w:rFonts w:ascii="Book Antiqua" w:hAnsi="Book Antiqua"/>
          <w:lang w:val="en-GB"/>
        </w:rPr>
        <w:t>= 0.0105; r-analog: 0.2, Supplementary Figure 2A). The number of required units for transfusion has not changed since the 1980s (</w:t>
      </w:r>
      <w:r w:rsidRPr="00A86175">
        <w:rPr>
          <w:rFonts w:ascii="Book Antiqua" w:hAnsi="Book Antiqua"/>
          <w:i/>
          <w:lang w:val="en-GB"/>
        </w:rPr>
        <w:t>b</w:t>
      </w:r>
      <w:r w:rsidRPr="00A86175">
        <w:rPr>
          <w:rFonts w:ascii="Book Antiqua" w:hAnsi="Book Antiqua"/>
          <w:lang w:val="en-GB"/>
        </w:rPr>
        <w:t xml:space="preserve"> = </w:t>
      </w:r>
      <w:r w:rsidR="00096F0E" w:rsidRPr="00A86175">
        <w:rPr>
          <w:rFonts w:ascii="Book Antiqua" w:eastAsiaTheme="minorEastAsia" w:hAnsi="Book Antiqua"/>
          <w:lang w:val="en-GB" w:eastAsia="zh-CN"/>
        </w:rPr>
        <w:t>-</w:t>
      </w:r>
      <w:r w:rsidRPr="00A86175">
        <w:rPr>
          <w:rFonts w:ascii="Book Antiqua" w:hAnsi="Book Antiqua"/>
          <w:lang w:val="en-GB"/>
        </w:rPr>
        <w:t xml:space="preserve">0.0028; 95%CI: </w:t>
      </w:r>
      <w:r w:rsidR="00096F0E" w:rsidRPr="00A86175">
        <w:rPr>
          <w:rFonts w:ascii="Book Antiqua" w:eastAsiaTheme="minorEastAsia" w:hAnsi="Book Antiqua"/>
          <w:lang w:val="en-GB" w:eastAsia="zh-CN"/>
        </w:rPr>
        <w:t>-</w:t>
      </w:r>
      <w:r w:rsidRPr="00A86175">
        <w:rPr>
          <w:rFonts w:ascii="Book Antiqua" w:hAnsi="Book Antiqua"/>
          <w:lang w:val="en-GB"/>
        </w:rPr>
        <w:t xml:space="preserve">0.0242 </w:t>
      </w:r>
      <w:r w:rsidR="00096F0E" w:rsidRPr="00A86175">
        <w:rPr>
          <w:rFonts w:ascii="Book Antiqua" w:eastAsiaTheme="minorEastAsia" w:hAnsi="Book Antiqua"/>
          <w:lang w:val="en-GB" w:eastAsia="zh-CN"/>
        </w:rPr>
        <w:t>to -</w:t>
      </w:r>
      <w:r w:rsidRPr="00A86175">
        <w:rPr>
          <w:rFonts w:ascii="Book Antiqua" w:hAnsi="Book Antiqua"/>
          <w:lang w:val="en-GB"/>
        </w:rPr>
        <w:t xml:space="preserve">0.0186; </w:t>
      </w:r>
      <w:r w:rsidRPr="00A86175">
        <w:rPr>
          <w:rFonts w:ascii="Book Antiqua" w:hAnsi="Book Antiqua"/>
          <w:i/>
          <w:lang w:val="en-GB"/>
        </w:rPr>
        <w:t>P</w:t>
      </w:r>
      <w:r w:rsidRPr="00A86175">
        <w:rPr>
          <w:rFonts w:ascii="Book Antiqua" w:hAnsi="Book Antiqua"/>
          <w:lang w:val="en-GB"/>
        </w:rPr>
        <w:t xml:space="preserve"> = 0.7972; r-analog: 0.00, Supplementary Figure 2B). Based on data from 4 articles, no difference in rebleeding rate could be observed in the last 30 years (</w:t>
      </w:r>
      <w:r w:rsidRPr="00A86175">
        <w:rPr>
          <w:rFonts w:ascii="Book Antiqua" w:hAnsi="Book Antiqua"/>
          <w:i/>
          <w:lang w:val="en-GB"/>
        </w:rPr>
        <w:t>b</w:t>
      </w:r>
      <w:r w:rsidRPr="00A86175">
        <w:rPr>
          <w:rFonts w:ascii="Book Antiqua" w:hAnsi="Book Antiqua"/>
          <w:lang w:val="en-GB"/>
        </w:rPr>
        <w:t xml:space="preserve"> = 0.0027; 95%CI: </w:t>
      </w:r>
      <w:r w:rsidR="00096F0E" w:rsidRPr="00A86175">
        <w:rPr>
          <w:rFonts w:ascii="Book Antiqua" w:eastAsiaTheme="minorEastAsia" w:hAnsi="Book Antiqua"/>
          <w:lang w:val="en-GB" w:eastAsia="zh-CN"/>
        </w:rPr>
        <w:t>-</w:t>
      </w:r>
      <w:r w:rsidRPr="00A86175">
        <w:rPr>
          <w:rFonts w:ascii="Book Antiqua" w:hAnsi="Book Antiqua"/>
          <w:lang w:val="en-GB"/>
        </w:rPr>
        <w:t xml:space="preserve">0.0353 </w:t>
      </w:r>
      <w:r w:rsidR="00096F0E" w:rsidRPr="00A86175">
        <w:rPr>
          <w:rFonts w:ascii="Book Antiqua" w:eastAsiaTheme="minorEastAsia" w:hAnsi="Book Antiqua"/>
          <w:lang w:val="en-GB" w:eastAsia="zh-CN"/>
        </w:rPr>
        <w:t xml:space="preserve">to </w:t>
      </w:r>
      <w:r w:rsidRPr="00A86175">
        <w:rPr>
          <w:rFonts w:ascii="Book Antiqua" w:hAnsi="Book Antiqua"/>
          <w:lang w:val="en-GB"/>
        </w:rPr>
        <w:t xml:space="preserve">0.03; </w:t>
      </w:r>
      <w:r w:rsidRPr="00A86175">
        <w:rPr>
          <w:rFonts w:ascii="Book Antiqua" w:hAnsi="Book Antiqua"/>
          <w:i/>
          <w:lang w:val="en-GB"/>
        </w:rPr>
        <w:t>P</w:t>
      </w:r>
      <w:r w:rsidRPr="00A86175">
        <w:rPr>
          <w:rFonts w:ascii="Book Antiqua" w:hAnsi="Book Antiqua"/>
          <w:lang w:val="en-GB"/>
        </w:rPr>
        <w:t xml:space="preserve"> = 0.8726; r-analog: 0.00, Supplementary Figure 2C). </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 xml:space="preserve">On the score based on the Newcastle–Ottawa Scale, articles were assigned between 2 and 6 stars out of a maximum of 6 stars (Table 3). There was a low risk of bias in representativeness in the study and the control population; it received 100% (Figure 7). With regard to ascertaining exposure, 33% of the articles represented a low risk of </w:t>
      </w:r>
      <w:r w:rsidRPr="00A86175">
        <w:rPr>
          <w:rFonts w:ascii="Book Antiqua" w:hAnsi="Book Antiqua"/>
          <w:lang w:val="en-GB"/>
        </w:rPr>
        <w:lastRenderedPageBreak/>
        <w:t>bias, while 66% had an unclear risk of bias. In these articles CKD and ESRD were not clearly defined, or patients were sorted based on a code system. With regard to a comparison of age, half of the articles contained no clear data on the groups and there was a significant difference in the ages of the ESRD and control groups in Tsai et al. 50% of the articles reported data on taking ulcerogenic drugs; the other half represented an unclear risk of bias. The follow-up time for rebleeding was analysed in 3 articles; only one did not report this clearly.</w:t>
      </w:r>
    </w:p>
    <w:p w:rsidR="00096F0E" w:rsidRPr="00A86175" w:rsidRDefault="00096F0E" w:rsidP="00951B85">
      <w:pPr>
        <w:snapToGrid w:val="0"/>
        <w:spacing w:line="360" w:lineRule="auto"/>
        <w:jc w:val="both"/>
        <w:rPr>
          <w:rFonts w:ascii="Book Antiqua" w:eastAsiaTheme="minorEastAsia" w:hAnsi="Book Antiqua"/>
          <w:b/>
          <w:lang w:val="en-GB" w:eastAsia="zh-CN"/>
        </w:rPr>
      </w:pPr>
    </w:p>
    <w:p w:rsidR="006522CA" w:rsidRPr="00A86175" w:rsidRDefault="006522CA" w:rsidP="00951B85">
      <w:pPr>
        <w:snapToGrid w:val="0"/>
        <w:spacing w:line="360" w:lineRule="auto"/>
        <w:jc w:val="both"/>
        <w:rPr>
          <w:rFonts w:ascii="Book Antiqua" w:hAnsi="Book Antiqua"/>
          <w:b/>
          <w:lang w:val="en-GB"/>
        </w:rPr>
      </w:pPr>
      <w:r w:rsidRPr="00A86175">
        <w:rPr>
          <w:rFonts w:ascii="Book Antiqua" w:hAnsi="Book Antiqua"/>
          <w:b/>
          <w:lang w:val="en-GB"/>
        </w:rPr>
        <w:t>DISCUSSION</w:t>
      </w:r>
    </w:p>
    <w:p w:rsidR="006522CA" w:rsidRPr="00A86175" w:rsidRDefault="006522CA" w:rsidP="00951B85">
      <w:pPr>
        <w:snapToGrid w:val="0"/>
        <w:spacing w:line="360" w:lineRule="auto"/>
        <w:jc w:val="both"/>
        <w:rPr>
          <w:rFonts w:ascii="Book Antiqua" w:hAnsi="Book Antiqua"/>
          <w:lang w:val="en-GB"/>
        </w:rPr>
      </w:pPr>
      <w:r w:rsidRPr="00A86175">
        <w:rPr>
          <w:rFonts w:ascii="Book Antiqua" w:hAnsi="Book Antiqua"/>
          <w:lang w:val="en-GB"/>
        </w:rPr>
        <w:t>CKD is a term that covers all degrees of decreased renal function (mild, moderate, and severe chronic kidney disease), where the GFR is lower than 60ml/min for longer than 3 months</w:t>
      </w:r>
      <w:r w:rsidRPr="00A86175">
        <w:rPr>
          <w:rFonts w:ascii="Book Antiqua" w:hAnsi="Book Antiqua"/>
          <w:noProof/>
          <w:vertAlign w:val="superscript"/>
          <w:lang w:val="en-GB"/>
        </w:rPr>
        <w:t>[23]</w:t>
      </w:r>
      <w:r w:rsidRPr="00A86175">
        <w:rPr>
          <w:rFonts w:ascii="Book Antiqua" w:hAnsi="Book Antiqua"/>
          <w:lang w:val="en-GB"/>
        </w:rPr>
        <w:t xml:space="preserve">. CKD is a worldwide public health problem, with both incidence and prevalence rising and the main causes being diabetes mellitus and high blood pressure. ESRD patients requiring haemodialysis or peritoneal dialysis 3 times a week represent a high burden and cost for the health care system. </w:t>
      </w:r>
      <w:r w:rsidRPr="00A86175">
        <w:rPr>
          <w:rFonts w:ascii="Book Antiqua" w:hAnsi="Book Antiqua"/>
        </w:rPr>
        <w:t xml:space="preserve">As the prevalence of hypertension and diabetes mellitus, the most important etiological factors for CKD and ESRD is increasing worldwide, we predict that GI bleeding with CKD will be a growing problem. </w:t>
      </w:r>
      <w:r w:rsidRPr="00A86175">
        <w:rPr>
          <w:rFonts w:ascii="Book Antiqua" w:hAnsi="Book Antiqua"/>
          <w:lang w:val="en-GB"/>
        </w:rPr>
        <w:t xml:space="preserve">According to Ohmori </w:t>
      </w:r>
      <w:r w:rsidRPr="00A86175">
        <w:rPr>
          <w:rFonts w:ascii="Book Antiqua" w:hAnsi="Book Antiqua"/>
          <w:i/>
          <w:lang w:val="en-GB"/>
        </w:rPr>
        <w:t>et al</w:t>
      </w:r>
      <w:r w:rsidR="00096F0E" w:rsidRPr="00A86175">
        <w:rPr>
          <w:rFonts w:ascii="Book Antiqua" w:hAnsi="Book Antiqua"/>
          <w:noProof/>
          <w:vertAlign w:val="superscript"/>
          <w:lang w:val="en-GB"/>
        </w:rPr>
        <w:t>[13]</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the number of patients on hemodyalisis has tripled between 1990 and 2010. This is the first meta-analysis to report on the severity of complications after GI bleeding in patients with CKD or ESRD and normal renal function groups. Based on a systematic search in 3 databases, we were able to include 6 articles, which contained data on </w:t>
      </w:r>
      <w:r w:rsidR="00096F0E" w:rsidRPr="00A86175">
        <w:rPr>
          <w:rFonts w:ascii="Book Antiqua" w:hAnsi="Book Antiqua"/>
          <w:lang w:val="en-GB"/>
        </w:rPr>
        <w:t>406035 patients, of whom 51</w:t>
      </w:r>
      <w:r w:rsidRPr="00A86175">
        <w:rPr>
          <w:rFonts w:ascii="Book Antiqua" w:hAnsi="Book Antiqua"/>
          <w:lang w:val="en-GB"/>
        </w:rPr>
        <w:t>315 had impaired renal function. A higher prevalence of peptic ulcers was reported among ESRD patients undergoing long-term dialysis</w:t>
      </w:r>
      <w:r w:rsidR="00096F0E" w:rsidRPr="00A86175">
        <w:rPr>
          <w:rFonts w:ascii="Book Antiqua" w:hAnsi="Book Antiqua"/>
          <w:noProof/>
          <w:vertAlign w:val="superscript"/>
          <w:lang w:val="en-GB"/>
        </w:rPr>
        <w:t>[27,</w:t>
      </w:r>
      <w:r w:rsidRPr="00A86175">
        <w:rPr>
          <w:rFonts w:ascii="Book Antiqua" w:hAnsi="Book Antiqua"/>
          <w:noProof/>
          <w:vertAlign w:val="superscript"/>
          <w:lang w:val="en-GB"/>
        </w:rPr>
        <w:t>28]</w:t>
      </w:r>
      <w:r w:rsidRPr="00A86175">
        <w:rPr>
          <w:rFonts w:ascii="Book Antiqua" w:hAnsi="Book Antiqua"/>
          <w:lang w:val="en-GB"/>
        </w:rPr>
        <w:t>. The elevated risk for GI bleeding in CKD and ESRD patients is also well known</w:t>
      </w:r>
      <w:r w:rsidRPr="00A86175">
        <w:rPr>
          <w:rFonts w:ascii="Book Antiqua" w:hAnsi="Book Antiqua"/>
          <w:noProof/>
          <w:vertAlign w:val="superscript"/>
          <w:lang w:val="en-GB"/>
        </w:rPr>
        <w:t>[29]</w:t>
      </w:r>
      <w:r w:rsidRPr="00A86175">
        <w:rPr>
          <w:rFonts w:ascii="Book Antiqua" w:hAnsi="Book Antiqua"/>
          <w:lang w:val="en-GB"/>
        </w:rPr>
        <w:t>. The most frequent causes of lower GI bleeding in this population have been described; diverticulosis, haemorrhoids, and ischaemic colitis have been identified in addition to angioectasias</w:t>
      </w:r>
      <w:r w:rsidRPr="00A86175">
        <w:rPr>
          <w:rFonts w:ascii="Book Antiqua" w:hAnsi="Book Antiqua"/>
          <w:noProof/>
          <w:vertAlign w:val="superscript"/>
          <w:lang w:val="en-GB"/>
        </w:rPr>
        <w:t>[30]</w:t>
      </w:r>
      <w:r w:rsidRPr="00A86175">
        <w:rPr>
          <w:rFonts w:ascii="Book Antiqua" w:hAnsi="Book Antiqua"/>
          <w:lang w:val="en-GB"/>
        </w:rPr>
        <w:t xml:space="preserve">, but no cohort study has been conducted on this topic yet. Although we did not intend to narrow our search to upper GI bleeding, the articles eligible for our inclusion criteria contained data only on patients with upper GI bleeding, and no studies with lower GI bleeding met our inclusion criteria. Only a few of the studies </w:t>
      </w:r>
      <w:r w:rsidRPr="00A86175">
        <w:rPr>
          <w:rFonts w:ascii="Book Antiqua" w:hAnsi="Book Antiqua"/>
          <w:lang w:val="en-GB"/>
        </w:rPr>
        <w:lastRenderedPageBreak/>
        <w:t xml:space="preserve">detailed the endoscopic findings and cause of bleeding. Cheung </w:t>
      </w:r>
      <w:r w:rsidRPr="00A86175">
        <w:rPr>
          <w:rFonts w:ascii="Book Antiqua" w:hAnsi="Book Antiqua"/>
          <w:i/>
          <w:lang w:val="en-GB"/>
        </w:rPr>
        <w:t>et al</w:t>
      </w:r>
      <w:r w:rsidR="00096F0E" w:rsidRPr="00A86175">
        <w:rPr>
          <w:rFonts w:ascii="Book Antiqua" w:hAnsi="Book Antiqua"/>
          <w:noProof/>
          <w:vertAlign w:val="superscript"/>
          <w:lang w:val="en-GB"/>
        </w:rPr>
        <w:t>[10]</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included only peptic ulcer bleeding patients, while the study of Hung </w:t>
      </w:r>
      <w:r w:rsidRPr="00A86175">
        <w:rPr>
          <w:rFonts w:ascii="Book Antiqua" w:hAnsi="Book Antiqua"/>
          <w:i/>
          <w:lang w:val="en-GB"/>
        </w:rPr>
        <w:t>et al</w:t>
      </w:r>
      <w:r w:rsidR="00096F0E" w:rsidRPr="00A86175">
        <w:rPr>
          <w:rFonts w:ascii="Book Antiqua" w:hAnsi="Book Antiqua"/>
          <w:noProof/>
          <w:vertAlign w:val="superscript"/>
          <w:lang w:val="en-GB"/>
        </w:rPr>
        <w:t>[25]</w:t>
      </w:r>
      <w:r w:rsidR="00096F0E" w:rsidRPr="00A86175">
        <w:rPr>
          <w:rFonts w:ascii="Book Antiqua" w:eastAsiaTheme="minorEastAsia" w:hAnsi="Book Antiqua"/>
          <w:lang w:val="en-GB" w:eastAsia="zh-CN"/>
        </w:rPr>
        <w:t xml:space="preserve"> </w:t>
      </w:r>
      <w:r w:rsidRPr="00A86175">
        <w:rPr>
          <w:rFonts w:ascii="Book Antiqua" w:hAnsi="Book Antiqua"/>
          <w:lang w:val="en-GB"/>
        </w:rPr>
        <w:t>examined only esophageal variceal bleeding. Tsai</w:t>
      </w:r>
      <w:r w:rsidRPr="00A86175">
        <w:rPr>
          <w:rFonts w:ascii="Book Antiqua" w:hAnsi="Book Antiqua"/>
          <w:i/>
          <w:lang w:val="en-GB"/>
        </w:rPr>
        <w:t xml:space="preserve"> et al</w:t>
      </w:r>
      <w:r w:rsidR="00096F0E" w:rsidRPr="00A86175">
        <w:rPr>
          <w:rFonts w:ascii="Book Antiqua" w:hAnsi="Book Antiqua"/>
          <w:noProof/>
          <w:vertAlign w:val="superscript"/>
          <w:lang w:val="en-GB"/>
        </w:rPr>
        <w:t>[16]</w:t>
      </w:r>
      <w:r w:rsidR="00096F0E" w:rsidRPr="00A86175">
        <w:rPr>
          <w:rFonts w:ascii="Book Antiqua" w:eastAsiaTheme="minorEastAsia" w:hAnsi="Book Antiqua"/>
          <w:lang w:val="en-GB" w:eastAsia="zh-CN"/>
        </w:rPr>
        <w:t xml:space="preserve"> </w:t>
      </w:r>
      <w:r w:rsidRPr="00A86175">
        <w:rPr>
          <w:rFonts w:ascii="Book Antiqua" w:hAnsi="Book Antiqua"/>
          <w:lang w:val="en-GB"/>
        </w:rPr>
        <w:t>found that erosive gastritis was significantly higher in ESRD group, while Boyle et al. saw gastric ulcer as the most common cause of bleeding in the impaired renal function group, but it was not significant compared to controls</w:t>
      </w:r>
      <w:r w:rsidRPr="00A86175">
        <w:rPr>
          <w:rFonts w:ascii="Book Antiqua" w:hAnsi="Book Antiqua"/>
          <w:noProof/>
          <w:vertAlign w:val="superscript"/>
          <w:lang w:val="en-GB"/>
        </w:rPr>
        <w:t>[17]</w:t>
      </w:r>
      <w:r w:rsidRPr="00A86175">
        <w:rPr>
          <w:rFonts w:ascii="Book Antiqua" w:hAnsi="Book Antiqua"/>
          <w:lang w:val="en-GB"/>
        </w:rPr>
        <w:t xml:space="preserve">. Zuckerman </w:t>
      </w:r>
      <w:r w:rsidRPr="00A86175">
        <w:rPr>
          <w:rFonts w:ascii="Book Antiqua" w:hAnsi="Book Antiqua"/>
          <w:i/>
          <w:lang w:val="en-GB"/>
        </w:rPr>
        <w:t>et al</w:t>
      </w:r>
      <w:r w:rsidR="00096F0E" w:rsidRPr="00A86175">
        <w:rPr>
          <w:rFonts w:ascii="Book Antiqua" w:hAnsi="Book Antiqua"/>
          <w:noProof/>
          <w:vertAlign w:val="superscript"/>
          <w:lang w:val="en-GB"/>
        </w:rPr>
        <w:t>[26]</w:t>
      </w:r>
      <w:r w:rsidR="00096F0E" w:rsidRPr="00A86175">
        <w:rPr>
          <w:rFonts w:ascii="Book Antiqua" w:eastAsiaTheme="minorEastAsia" w:hAnsi="Book Antiqua"/>
          <w:lang w:val="en-GB" w:eastAsia="zh-CN"/>
        </w:rPr>
        <w:t xml:space="preserve"> </w:t>
      </w:r>
      <w:r w:rsidRPr="00A86175">
        <w:rPr>
          <w:rFonts w:ascii="Book Antiqua" w:hAnsi="Book Antiqua"/>
          <w:lang w:val="en-GB"/>
        </w:rPr>
        <w:t>found significantly more angiodysplasia and erosive esophagitis in the impaired renal function group.</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 xml:space="preserve">Based on the pooled data, we found that ESRD increases mortality 2.5 times while CKD increases it 1.8 times in GI bleeding compared to the controls with normal renal function, but these ORs are not significantly different. </w:t>
      </w:r>
      <w:r w:rsidR="00096F0E" w:rsidRPr="00A86175">
        <w:rPr>
          <w:rFonts w:ascii="Book Antiqua" w:hAnsi="Book Antiqua"/>
          <w:lang w:val="en-GB"/>
        </w:rPr>
        <w:t xml:space="preserve">Weng </w:t>
      </w:r>
      <w:r w:rsidR="00096F0E" w:rsidRPr="00A86175">
        <w:rPr>
          <w:rFonts w:ascii="Book Antiqua" w:hAnsi="Book Antiqua"/>
          <w:i/>
          <w:lang w:val="en-GB"/>
        </w:rPr>
        <w:t>et al</w:t>
      </w:r>
      <w:r w:rsidRPr="00A86175">
        <w:rPr>
          <w:rFonts w:ascii="Book Antiqua" w:hAnsi="Book Antiqua"/>
          <w:noProof/>
          <w:vertAlign w:val="superscript"/>
          <w:lang w:val="en-GB"/>
        </w:rPr>
        <w:t>[31]</w:t>
      </w:r>
      <w:r w:rsidRPr="00A86175">
        <w:rPr>
          <w:rFonts w:ascii="Book Antiqua" w:hAnsi="Book Antiqua"/>
          <w:lang w:val="en-GB"/>
        </w:rPr>
        <w:t xml:space="preserve"> reported that ESRD patients admitted with primary upper GI bleeding have a profoundly increased risk of in-hospital mortality. Using a large multi-centre database, Sood </w:t>
      </w:r>
      <w:r w:rsidRPr="00A86175">
        <w:rPr>
          <w:rFonts w:ascii="Book Antiqua" w:hAnsi="Book Antiqua"/>
          <w:i/>
          <w:lang w:val="en-GB"/>
        </w:rPr>
        <w:t>et al</w:t>
      </w:r>
      <w:r w:rsidR="00096F0E" w:rsidRPr="00A86175">
        <w:rPr>
          <w:rFonts w:ascii="Book Antiqua" w:hAnsi="Book Antiqua"/>
          <w:noProof/>
          <w:vertAlign w:val="superscript"/>
          <w:lang w:val="en-GB"/>
        </w:rPr>
        <w:t>[9]</w:t>
      </w:r>
      <w:r w:rsidR="00096F0E" w:rsidRPr="00A86175">
        <w:rPr>
          <w:rFonts w:ascii="Book Antiqua" w:eastAsiaTheme="minorEastAsia" w:hAnsi="Book Antiqua"/>
          <w:i/>
          <w:lang w:val="en-GB" w:eastAsia="zh-CN"/>
        </w:rPr>
        <w:t xml:space="preserve"> </w:t>
      </w:r>
      <w:r w:rsidRPr="00A86175">
        <w:rPr>
          <w:rFonts w:ascii="Book Antiqua" w:hAnsi="Book Antiqua"/>
          <w:lang w:val="en-GB"/>
        </w:rPr>
        <w:t xml:space="preserve">reported that the in-hospital mortality risk is 50% higher in CKD patients and 3 times greater in ESRD patients. Holden </w:t>
      </w:r>
      <w:r w:rsidRPr="00A86175">
        <w:rPr>
          <w:rFonts w:ascii="Book Antiqua" w:hAnsi="Book Antiqua"/>
          <w:i/>
          <w:lang w:val="en-GB"/>
        </w:rPr>
        <w:t>et al</w:t>
      </w:r>
      <w:r w:rsidR="00096F0E" w:rsidRPr="00A86175">
        <w:rPr>
          <w:rFonts w:ascii="Book Antiqua" w:hAnsi="Book Antiqua"/>
          <w:noProof/>
          <w:vertAlign w:val="superscript"/>
          <w:lang w:val="en-GB"/>
        </w:rPr>
        <w:t>[32]</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reported that the incidence rate of major bleeding episodes in haemodialyzed patients was 2.5% per person-year and that use of aspirin and/or warfarin increased this risk. </w:t>
      </w:r>
      <w:r w:rsidRPr="00A86175">
        <w:rPr>
          <w:rFonts w:ascii="Book Antiqua" w:hAnsi="Book Antiqua"/>
        </w:rPr>
        <w:t>Based on the result of the meta-regression the mortality-rate of GI bleeding has improved since the 1980s. It is likely one of the reasons for the heterogeneity of the data. Inhomogen patient groups also result in a significant bias. However the sensitivity analysis showed that none of the articles influences significantly the pooled OR.</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Cardiovascular disease, current smoking</w:t>
      </w:r>
      <w:r w:rsidRPr="00A86175">
        <w:rPr>
          <w:rFonts w:ascii="Book Antiqua" w:hAnsi="Book Antiqua"/>
          <w:noProof/>
          <w:vertAlign w:val="superscript"/>
          <w:lang w:val="en-GB"/>
        </w:rPr>
        <w:t>[33]</w:t>
      </w:r>
      <w:r w:rsidRPr="00A86175">
        <w:rPr>
          <w:rFonts w:ascii="Book Antiqua" w:hAnsi="Book Antiqua"/>
          <w:lang w:val="en-GB"/>
        </w:rPr>
        <w:t xml:space="preserve"> and even haemostasis disorders</w:t>
      </w:r>
      <w:r w:rsidRPr="00A86175">
        <w:rPr>
          <w:rFonts w:ascii="Book Antiqua" w:hAnsi="Book Antiqua"/>
          <w:noProof/>
          <w:vertAlign w:val="superscript"/>
          <w:lang w:val="en-GB"/>
        </w:rPr>
        <w:t>[34]</w:t>
      </w:r>
      <w:r w:rsidRPr="00A86175">
        <w:rPr>
          <w:rFonts w:ascii="Book Antiqua" w:hAnsi="Book Antiqua"/>
          <w:lang w:val="en-GB"/>
        </w:rPr>
        <w:t xml:space="preserve"> may play a role in the background of higher risk for GI bleeding in ESRD patients. Unfortunately only few of the analysed articles detailed the other comorbidities of the GI bleeding patients. In the article of Cheung et al. there was no significant difference in the comorbidities between ESRD, CKD and normal renal function group. More people in CKD and ESRD groups suffered from hypertension, diabetes mellitus and platelet abnormalities in the study of Sood </w:t>
      </w:r>
      <w:r w:rsidRPr="00A86175">
        <w:rPr>
          <w:rFonts w:ascii="Book Antiqua" w:hAnsi="Book Antiqua"/>
          <w:i/>
          <w:lang w:val="en-GB"/>
        </w:rPr>
        <w:t>et al</w:t>
      </w:r>
      <w:r w:rsidRPr="00A86175">
        <w:rPr>
          <w:rFonts w:ascii="Book Antiqua" w:hAnsi="Book Antiqua"/>
          <w:lang w:val="en-GB"/>
        </w:rPr>
        <w:t>, while the cirrhosis was less common than in controls. Volume replacement and blood transfusion are important parts of the therapy of GI bleeding. This meta-analysis demonstrated that patients with chronic impaired renal function develop 2.5 times more rebleeding episodes and require almost 2</w:t>
      </w:r>
      <w:r w:rsidR="00096F0E" w:rsidRPr="00A86175">
        <w:rPr>
          <w:rFonts w:ascii="Book Antiqua" w:eastAsiaTheme="minorEastAsia" w:hAnsi="Book Antiqua"/>
          <w:lang w:val="en-GB" w:eastAsia="zh-CN"/>
        </w:rPr>
        <w:t xml:space="preserve"> </w:t>
      </w:r>
      <w:r w:rsidRPr="00A86175">
        <w:rPr>
          <w:rFonts w:ascii="Book Antiqua" w:hAnsi="Book Antiqua"/>
          <w:lang w:val="en-GB"/>
        </w:rPr>
        <w:t xml:space="preserve">more red blood cell units for transfusion than the </w:t>
      </w:r>
      <w:r w:rsidRPr="00A86175">
        <w:rPr>
          <w:rFonts w:ascii="Book Antiqua" w:hAnsi="Book Antiqua"/>
          <w:lang w:val="en-GB"/>
        </w:rPr>
        <w:lastRenderedPageBreak/>
        <w:t>control group. Patients with impaired renal function spent more time in hospital than the control group.</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 xml:space="preserve">There are several limitations to this study; therefore, the results of this meta-analysis should be regarded with caution. Unfortunately, only a low number of articles was found on this topic, with half of them written in the 1980s and 1990s. In the recent articles, CKD and ESRD groups were separated, but in the earlier publications these groups were mixed, leading to a bias in our analysis, and the definition of GFR was also not mentioned. The diagnosis was based on elevated creatinine level. Hung </w:t>
      </w:r>
      <w:r w:rsidR="00096F0E" w:rsidRPr="00A86175">
        <w:rPr>
          <w:rFonts w:ascii="Book Antiqua" w:hAnsi="Book Antiqua"/>
          <w:i/>
          <w:lang w:val="en-GB"/>
        </w:rPr>
        <w:t>et al</w:t>
      </w:r>
      <w:r w:rsidR="00096F0E" w:rsidRPr="00A86175">
        <w:rPr>
          <w:rFonts w:ascii="Book Antiqua" w:hAnsi="Book Antiqua"/>
          <w:noProof/>
          <w:vertAlign w:val="superscript"/>
          <w:lang w:val="en-GB"/>
        </w:rPr>
        <w:t>[25]</w:t>
      </w:r>
      <w:r w:rsidR="00096F0E" w:rsidRPr="00A86175">
        <w:rPr>
          <w:rFonts w:ascii="Book Antiqua" w:eastAsiaTheme="minorEastAsia" w:hAnsi="Book Antiqua"/>
          <w:lang w:val="en-GB" w:eastAsia="zh-CN"/>
        </w:rPr>
        <w:t xml:space="preserve"> </w:t>
      </w:r>
      <w:r w:rsidRPr="00A86175">
        <w:rPr>
          <w:rFonts w:ascii="Book Antiqua" w:hAnsi="Book Antiqua"/>
          <w:lang w:val="en-GB"/>
        </w:rPr>
        <w:t>only involved patients with cirrhosis and the mortality rate was monitored</w:t>
      </w:r>
      <w:r w:rsidR="00096F0E" w:rsidRPr="00A86175">
        <w:rPr>
          <w:rFonts w:ascii="Book Antiqua" w:hAnsi="Book Antiqua"/>
          <w:lang w:val="en-GB"/>
        </w:rPr>
        <w:t xml:space="preserve"> up to 6 wk</w:t>
      </w:r>
      <w:r w:rsidRPr="00A86175">
        <w:rPr>
          <w:rFonts w:ascii="Book Antiqua" w:hAnsi="Book Antiqua"/>
          <w:lang w:val="en-GB"/>
        </w:rPr>
        <w:t xml:space="preserve">, while hospital mortalities were presumably included in the other articles. Publications with rebleeding data did not follow patients for the same time interval, and 1 paper did not report on the follow-up time. The strength of this meta-analysis is the high number of patients. </w:t>
      </w:r>
    </w:p>
    <w:p w:rsidR="006522CA" w:rsidRPr="00A86175" w:rsidRDefault="006522CA" w:rsidP="00951B85">
      <w:pPr>
        <w:snapToGrid w:val="0"/>
        <w:spacing w:line="360" w:lineRule="auto"/>
        <w:ind w:firstLineChars="100" w:firstLine="240"/>
        <w:jc w:val="both"/>
        <w:rPr>
          <w:rFonts w:ascii="Book Antiqua" w:hAnsi="Book Antiqua"/>
          <w:lang w:val="en-GB"/>
        </w:rPr>
      </w:pPr>
      <w:r w:rsidRPr="00A86175">
        <w:rPr>
          <w:rFonts w:ascii="Book Antiqua" w:hAnsi="Book Antiqua"/>
          <w:lang w:val="en-GB"/>
        </w:rPr>
        <w:t>Our results have demonstrated that patients with ESRD show higher mortality during GI bleeding. CKD patients require more transfusion, and the rebleeding rate is also more elevated than that in patients with normal renal function. Because of these severe conditions, the LOH is also longer. Patients with ESRD or CKD should be observed more carefully due to the elevated complication rate. In this meta-analysis we wanted to highlight the importance of this clinical problem and we believe that it needs further scientific research. In order to understand the effect of CKD/ESRD and other comorbidities on the outcomes of GI bleeding in more details, observational trials, and registries on GI bleeding</w:t>
      </w:r>
      <w:r w:rsidR="00A7111E" w:rsidRPr="00A86175">
        <w:rPr>
          <w:rFonts w:ascii="Book Antiqua" w:eastAsiaTheme="minorEastAsia" w:hAnsi="Book Antiqua"/>
          <w:lang w:val="en-GB" w:eastAsia="zh-CN"/>
        </w:rPr>
        <w:t xml:space="preserve"> </w:t>
      </w:r>
      <w:r w:rsidRPr="00A86175">
        <w:rPr>
          <w:rFonts w:ascii="Book Antiqua" w:hAnsi="Book Antiqua"/>
          <w:lang w:val="en-GB"/>
        </w:rPr>
        <w:t>should be</w:t>
      </w:r>
      <w:r w:rsidR="00B21F94" w:rsidRPr="00A86175">
        <w:rPr>
          <w:rFonts w:ascii="Book Antiqua" w:eastAsiaTheme="minorEastAsia" w:hAnsi="Book Antiqua"/>
          <w:lang w:val="en-GB" w:eastAsia="zh-CN"/>
        </w:rPr>
        <w:t xml:space="preserve"> </w:t>
      </w:r>
      <w:r w:rsidRPr="00A86175">
        <w:rPr>
          <w:rFonts w:ascii="Book Antiqua" w:hAnsi="Book Antiqua"/>
          <w:lang w:val="en-GB"/>
        </w:rPr>
        <w:t xml:space="preserve">developed. </w:t>
      </w:r>
    </w:p>
    <w:p w:rsidR="00417909" w:rsidRPr="00A86175" w:rsidRDefault="00417909" w:rsidP="00951B85">
      <w:pPr>
        <w:snapToGrid w:val="0"/>
        <w:spacing w:line="360" w:lineRule="auto"/>
        <w:jc w:val="both"/>
        <w:rPr>
          <w:rFonts w:ascii="Book Antiqua" w:eastAsiaTheme="minorEastAsia" w:hAnsi="Book Antiqua"/>
          <w:lang w:val="en-GB" w:eastAsia="zh-CN"/>
        </w:rPr>
      </w:pPr>
    </w:p>
    <w:p w:rsidR="00417909" w:rsidRPr="00A86175" w:rsidRDefault="00417909" w:rsidP="00951B85">
      <w:pPr>
        <w:snapToGrid w:val="0"/>
        <w:spacing w:line="360" w:lineRule="auto"/>
        <w:jc w:val="both"/>
        <w:rPr>
          <w:rFonts w:ascii="Book Antiqua" w:hAnsi="Book Antiqua"/>
          <w:b/>
          <w:caps/>
        </w:rPr>
      </w:pPr>
      <w:r w:rsidRPr="00A86175">
        <w:rPr>
          <w:rFonts w:ascii="Book Antiqua" w:hAnsi="Book Antiqua" w:cs="Segoe UI"/>
          <w:b/>
          <w:caps/>
          <w:shd w:val="clear" w:color="auto" w:fill="FFFFFF"/>
        </w:rPr>
        <w:t xml:space="preserve">Article Highlights  </w:t>
      </w:r>
    </w:p>
    <w:p w:rsidR="00417909" w:rsidRPr="00A86175" w:rsidRDefault="00417909" w:rsidP="00E527DD">
      <w:pPr>
        <w:snapToGrid w:val="0"/>
        <w:spacing w:line="360" w:lineRule="auto"/>
        <w:jc w:val="both"/>
        <w:rPr>
          <w:rFonts w:ascii="Book Antiqua" w:hAnsi="Book Antiqua"/>
          <w:b/>
          <w:i/>
        </w:rPr>
      </w:pPr>
      <w:r w:rsidRPr="00A86175">
        <w:rPr>
          <w:rFonts w:ascii="Book Antiqua" w:hAnsi="Book Antiqua"/>
          <w:b/>
          <w:i/>
        </w:rPr>
        <w:t>Research background</w:t>
      </w:r>
    </w:p>
    <w:p w:rsidR="00A05A8D" w:rsidRPr="00E527DD" w:rsidRDefault="00A05A8D" w:rsidP="00E527DD">
      <w:pPr>
        <w:spacing w:line="360" w:lineRule="auto"/>
      </w:pPr>
      <w:r w:rsidRPr="00A86175">
        <w:rPr>
          <w:rFonts w:ascii="Book Antiqua" w:hAnsi="Book Antiqua"/>
        </w:rPr>
        <w:t xml:space="preserve">Chronic kidney disease is a significant comorbidity, which can worsen the outcomes of </w:t>
      </w:r>
      <w:r w:rsidR="00E527DD" w:rsidRPr="00A86175">
        <w:rPr>
          <w:rFonts w:ascii="Book Antiqua" w:hAnsi="Book Antiqua"/>
          <w:lang w:val="en-GB"/>
        </w:rPr>
        <w:t xml:space="preserve">gastrointestinal (GI) </w:t>
      </w:r>
      <w:r w:rsidRPr="00A86175">
        <w:rPr>
          <w:rFonts w:ascii="Book Antiqua" w:hAnsi="Book Antiqua"/>
        </w:rPr>
        <w:t xml:space="preserve">bleeding. </w:t>
      </w:r>
    </w:p>
    <w:p w:rsidR="00417909" w:rsidRPr="00A86175" w:rsidRDefault="00417909" w:rsidP="00951B85">
      <w:pPr>
        <w:snapToGrid w:val="0"/>
        <w:spacing w:line="360" w:lineRule="auto"/>
        <w:jc w:val="both"/>
        <w:rPr>
          <w:rFonts w:ascii="Book Antiqua" w:eastAsiaTheme="minorEastAsia" w:hAnsi="Book Antiqua"/>
        </w:rPr>
      </w:pPr>
    </w:p>
    <w:p w:rsidR="00417909" w:rsidRPr="00A86175" w:rsidRDefault="00417909" w:rsidP="00951B85">
      <w:pPr>
        <w:snapToGrid w:val="0"/>
        <w:spacing w:line="360" w:lineRule="auto"/>
        <w:jc w:val="both"/>
        <w:rPr>
          <w:rFonts w:ascii="Book Antiqua" w:hAnsi="Book Antiqua"/>
          <w:b/>
          <w:i/>
        </w:rPr>
      </w:pPr>
      <w:r w:rsidRPr="00A86175">
        <w:rPr>
          <w:rFonts w:ascii="Book Antiqua" w:hAnsi="Book Antiqua"/>
          <w:b/>
          <w:i/>
        </w:rPr>
        <w:t>Research motivation</w:t>
      </w:r>
    </w:p>
    <w:p w:rsidR="00A05A8D" w:rsidRPr="00A86175" w:rsidRDefault="00A05A8D" w:rsidP="00951B85">
      <w:pPr>
        <w:pStyle w:val="Standard"/>
        <w:snapToGrid w:val="0"/>
        <w:spacing w:line="360" w:lineRule="auto"/>
        <w:jc w:val="both"/>
        <w:rPr>
          <w:rFonts w:ascii="Book Antiqua" w:hAnsi="Book Antiqua"/>
        </w:rPr>
      </w:pPr>
      <w:r w:rsidRPr="00A86175">
        <w:rPr>
          <w:rFonts w:ascii="Book Antiqua" w:hAnsi="Book Antiqua"/>
        </w:rPr>
        <w:t xml:space="preserve">We wanted to understand the role of </w:t>
      </w:r>
      <w:r w:rsidR="00E527DD" w:rsidRPr="00E527DD">
        <w:rPr>
          <w:rFonts w:ascii="Book Antiqua" w:hAnsi="Book Antiqua"/>
        </w:rPr>
        <w:t xml:space="preserve">chronic kidney disease (CKD) </w:t>
      </w:r>
      <w:r w:rsidRPr="00A86175">
        <w:rPr>
          <w:rFonts w:ascii="Book Antiqua" w:hAnsi="Book Antiqua"/>
        </w:rPr>
        <w:t xml:space="preserve">and </w:t>
      </w:r>
      <w:r w:rsidR="00E527DD" w:rsidRPr="00A86175">
        <w:rPr>
          <w:rFonts w:ascii="Book Antiqua" w:hAnsi="Book Antiqua"/>
          <w:lang w:val="en-GB"/>
        </w:rPr>
        <w:t>end-stage renal disease (ESRD)</w:t>
      </w:r>
      <w:r w:rsidR="00BA1417">
        <w:rPr>
          <w:rFonts w:ascii="Book Antiqua" w:eastAsiaTheme="minorEastAsia" w:hAnsi="Book Antiqua" w:hint="eastAsia"/>
          <w:lang w:val="en-GB" w:eastAsia="zh-CN"/>
        </w:rPr>
        <w:t xml:space="preserve"> </w:t>
      </w:r>
      <w:r w:rsidRPr="00A86175">
        <w:rPr>
          <w:rFonts w:ascii="Book Antiqua" w:hAnsi="Book Antiqua"/>
        </w:rPr>
        <w:t>in the natural history of GI bleeding.</w:t>
      </w:r>
    </w:p>
    <w:p w:rsidR="00417909" w:rsidRPr="00A86175" w:rsidRDefault="00417909" w:rsidP="00951B85">
      <w:pPr>
        <w:snapToGrid w:val="0"/>
        <w:spacing w:line="360" w:lineRule="auto"/>
        <w:jc w:val="both"/>
        <w:rPr>
          <w:rFonts w:ascii="Book Antiqua" w:eastAsiaTheme="minorEastAsia" w:hAnsi="Book Antiqua"/>
          <w:b/>
        </w:rPr>
      </w:pPr>
    </w:p>
    <w:p w:rsidR="00417909" w:rsidRPr="00A86175" w:rsidRDefault="00417909" w:rsidP="00951B85">
      <w:pPr>
        <w:snapToGrid w:val="0"/>
        <w:spacing w:line="360" w:lineRule="auto"/>
        <w:jc w:val="both"/>
        <w:rPr>
          <w:rFonts w:ascii="Book Antiqua" w:hAnsi="Book Antiqua"/>
          <w:b/>
          <w:i/>
        </w:rPr>
      </w:pPr>
      <w:r w:rsidRPr="00A86175">
        <w:rPr>
          <w:rFonts w:ascii="Book Antiqua" w:hAnsi="Book Antiqua"/>
          <w:b/>
          <w:i/>
        </w:rPr>
        <w:t>Research objectives</w:t>
      </w:r>
    </w:p>
    <w:p w:rsidR="00A05A8D" w:rsidRPr="00A86175" w:rsidRDefault="00A05A8D" w:rsidP="00951B85">
      <w:pPr>
        <w:pStyle w:val="Standard"/>
        <w:snapToGrid w:val="0"/>
        <w:spacing w:line="360" w:lineRule="auto"/>
        <w:jc w:val="both"/>
        <w:rPr>
          <w:rFonts w:ascii="Book Antiqua" w:hAnsi="Book Antiqua"/>
        </w:rPr>
      </w:pPr>
      <w:r w:rsidRPr="00A86175">
        <w:rPr>
          <w:rFonts w:ascii="Book Antiqua" w:hAnsi="Book Antiqua"/>
        </w:rPr>
        <w:t xml:space="preserve">Our goal was to investigate the influence of CKD and ESRD on the outcomes of GI bleeding, based on all available data published in this topic. </w:t>
      </w:r>
    </w:p>
    <w:p w:rsidR="00417909" w:rsidRPr="00A86175" w:rsidRDefault="00417909" w:rsidP="00951B85">
      <w:pPr>
        <w:snapToGrid w:val="0"/>
        <w:spacing w:line="360" w:lineRule="auto"/>
        <w:jc w:val="both"/>
        <w:rPr>
          <w:rFonts w:ascii="Book Antiqua" w:eastAsiaTheme="minorEastAsia" w:hAnsi="Book Antiqua"/>
          <w:b/>
        </w:rPr>
      </w:pPr>
    </w:p>
    <w:p w:rsidR="00417909" w:rsidRPr="00A86175" w:rsidRDefault="00417909" w:rsidP="00951B85">
      <w:pPr>
        <w:snapToGrid w:val="0"/>
        <w:spacing w:line="360" w:lineRule="auto"/>
        <w:jc w:val="both"/>
        <w:rPr>
          <w:rFonts w:ascii="Book Antiqua" w:hAnsi="Book Antiqua"/>
          <w:b/>
          <w:i/>
        </w:rPr>
      </w:pPr>
      <w:r w:rsidRPr="00A86175">
        <w:rPr>
          <w:rFonts w:ascii="Book Antiqua" w:hAnsi="Book Antiqua"/>
          <w:b/>
          <w:i/>
        </w:rPr>
        <w:t>Research methods</w:t>
      </w:r>
    </w:p>
    <w:p w:rsidR="00A05A8D" w:rsidRPr="00A86175" w:rsidRDefault="00A05A8D" w:rsidP="00951B85">
      <w:pPr>
        <w:pStyle w:val="Standard"/>
        <w:snapToGrid w:val="0"/>
        <w:spacing w:line="360" w:lineRule="auto"/>
        <w:jc w:val="both"/>
        <w:rPr>
          <w:rFonts w:ascii="Book Antiqua" w:hAnsi="Book Antiqua"/>
        </w:rPr>
      </w:pPr>
      <w:r w:rsidRPr="00A86175">
        <w:rPr>
          <w:rFonts w:ascii="Book Antiqua" w:hAnsi="Book Antiqua"/>
        </w:rPr>
        <w:t xml:space="preserve">A comprehensive search was carried out in PubMed, Embase and Cochrane Library databases for studies detailing the outcomes of GI bleeding in the context of kidney functions. We used the PRISMA P protocol, registered our project through PROSPERO and assessed the quality of the included articles by using the Newcastle-Ottawa Scale, to ensure that this meta-analysis is done to the highest possible standards. The statistical </w:t>
      </w:r>
      <w:r w:rsidRPr="00A86175">
        <w:rPr>
          <w:rFonts w:ascii="Book Antiqua" w:hAnsi="Book Antiqua"/>
          <w:lang w:val="en-GB"/>
        </w:rPr>
        <w:t>calculations were performed with Comprehensive Meta-Analysis software, using the random effects model (DerSimonian–Laird method).</w:t>
      </w:r>
    </w:p>
    <w:p w:rsidR="00417909" w:rsidRPr="00A86175" w:rsidRDefault="00417909" w:rsidP="00951B85">
      <w:pPr>
        <w:snapToGrid w:val="0"/>
        <w:spacing w:line="360" w:lineRule="auto"/>
        <w:jc w:val="both"/>
        <w:rPr>
          <w:rFonts w:ascii="Book Antiqua" w:eastAsiaTheme="minorEastAsia" w:hAnsi="Book Antiqua"/>
          <w:b/>
        </w:rPr>
      </w:pPr>
    </w:p>
    <w:p w:rsidR="00417909" w:rsidRPr="00A86175" w:rsidRDefault="00417909" w:rsidP="00951B85">
      <w:pPr>
        <w:snapToGrid w:val="0"/>
        <w:spacing w:line="360" w:lineRule="auto"/>
        <w:jc w:val="both"/>
        <w:rPr>
          <w:rFonts w:ascii="Book Antiqua" w:hAnsi="Book Antiqua"/>
          <w:b/>
          <w:i/>
        </w:rPr>
      </w:pPr>
      <w:r w:rsidRPr="00A86175">
        <w:rPr>
          <w:rFonts w:ascii="Book Antiqua" w:hAnsi="Book Antiqua"/>
          <w:b/>
          <w:i/>
        </w:rPr>
        <w:t>Research results</w:t>
      </w:r>
    </w:p>
    <w:p w:rsidR="00A05A8D" w:rsidRPr="00A86175" w:rsidRDefault="00A05A8D" w:rsidP="00951B85">
      <w:pPr>
        <w:pStyle w:val="Standard"/>
        <w:snapToGrid w:val="0"/>
        <w:spacing w:line="360" w:lineRule="auto"/>
        <w:ind w:left="1"/>
        <w:jc w:val="both"/>
        <w:rPr>
          <w:rFonts w:ascii="Book Antiqua" w:hAnsi="Book Antiqua"/>
        </w:rPr>
      </w:pPr>
      <w:r w:rsidRPr="00A86175">
        <w:rPr>
          <w:rFonts w:ascii="Book Antiqua" w:hAnsi="Book Antiqua"/>
        </w:rPr>
        <w:t>In this analysis 51,315 patienst with CKD and 354,720 controls were included (6 articles). We found that the mortality of GI bleeding was significantly worse in CKD and ESRD with an OR of 1.79 and 2.53 respectively. Patients with kidney disease needed significantly more transfusion with a MD of 1.86 and the rebleeding rate was significantly worse in the group with impaired kidney function with an OR of 2.51. Patients with impaired kidney function needed significantly longer hospitalization with a MD of 13.25.</w:t>
      </w:r>
    </w:p>
    <w:p w:rsidR="00417909" w:rsidRPr="00A86175" w:rsidRDefault="00417909" w:rsidP="00951B85">
      <w:pPr>
        <w:snapToGrid w:val="0"/>
        <w:spacing w:line="360" w:lineRule="auto"/>
        <w:ind w:left="1"/>
        <w:jc w:val="both"/>
        <w:rPr>
          <w:rFonts w:ascii="Book Antiqua" w:eastAsiaTheme="minorEastAsia" w:hAnsi="Book Antiqua" w:cs="Segoe UI"/>
          <w:shd w:val="clear" w:color="auto" w:fill="FFFFFF"/>
        </w:rPr>
      </w:pPr>
    </w:p>
    <w:p w:rsidR="00417909" w:rsidRPr="00A86175" w:rsidRDefault="00417909" w:rsidP="00951B85">
      <w:pPr>
        <w:snapToGrid w:val="0"/>
        <w:spacing w:line="360" w:lineRule="auto"/>
        <w:jc w:val="both"/>
        <w:rPr>
          <w:rFonts w:ascii="Book Antiqua" w:hAnsi="Book Antiqua" w:cs="Segoe UI"/>
          <w:b/>
          <w:i/>
          <w:shd w:val="clear" w:color="auto" w:fill="FFFFFF"/>
        </w:rPr>
      </w:pPr>
      <w:r w:rsidRPr="00A86175">
        <w:rPr>
          <w:rFonts w:ascii="Book Antiqua" w:hAnsi="Book Antiqua"/>
          <w:b/>
          <w:i/>
        </w:rPr>
        <w:t>Research conclusions</w:t>
      </w:r>
    </w:p>
    <w:p w:rsidR="00A05A8D" w:rsidRPr="00A86175" w:rsidRDefault="00A05A8D" w:rsidP="00951B85">
      <w:pPr>
        <w:pStyle w:val="Standard"/>
        <w:snapToGrid w:val="0"/>
        <w:spacing w:line="360" w:lineRule="auto"/>
        <w:jc w:val="both"/>
        <w:rPr>
          <w:rFonts w:ascii="Book Antiqua" w:hAnsi="Book Antiqua"/>
        </w:rPr>
      </w:pPr>
      <w:r w:rsidRPr="00A86175">
        <w:rPr>
          <w:rFonts w:ascii="Book Antiqua" w:hAnsi="Book Antiqua"/>
        </w:rPr>
        <w:t xml:space="preserve">This is the first meta-analysis and systematic review in this topic, which quantifies kidney disease as a negative risk factor in GI bleeding. </w:t>
      </w:r>
      <w:r w:rsidRPr="00A86175">
        <w:rPr>
          <w:rFonts w:ascii="Book Antiqua" w:hAnsi="Book Antiqua" w:cs="Segoe UI"/>
          <w:shd w:val="clear" w:color="auto" w:fill="FFFFFF"/>
        </w:rPr>
        <w:t xml:space="preserve">GI bleeding in patients with chronic renal failure significantly increases the mortality rate, rebleeding rate, length of hospitalization, and require more blood transfusion compared to patients with normal kidney functions. </w:t>
      </w:r>
      <w:moveToRangeStart w:id="34" w:author="Vincze Áron Endre Dr." w:date="2017-11-28T23:17:00Z" w:name="move499674375"/>
      <w:r w:rsidRPr="00A86175">
        <w:rPr>
          <w:rFonts w:ascii="Book Antiqua" w:hAnsi="Book Antiqua"/>
        </w:rPr>
        <w:t>Kidney disease significantly worsens the outlook of patients presenting with GI bleeding.</w:t>
      </w:r>
      <w:r w:rsidRPr="00A86175">
        <w:rPr>
          <w:rFonts w:ascii="Book Antiqua" w:hAnsi="Book Antiqua" w:cs="Segoe UI"/>
          <w:shd w:val="clear" w:color="auto" w:fill="FFFFFF"/>
        </w:rPr>
        <w:t xml:space="preserve"> Patients with chronic kidney disease will need to be treated with more caution due to the worse outcomes of GI bleeding. Close </w:t>
      </w:r>
      <w:r w:rsidRPr="00A86175">
        <w:rPr>
          <w:rFonts w:ascii="Book Antiqua" w:hAnsi="Book Antiqua" w:cs="Segoe UI"/>
          <w:shd w:val="clear" w:color="auto" w:fill="FFFFFF"/>
        </w:rPr>
        <w:lastRenderedPageBreak/>
        <w:t>monitoring of the fluid balance and kidney functions, careful fluid therapy and prevention of acute kidney injury in these patients may improve the outcomes of GI bleeding.</w:t>
      </w:r>
      <w:moveToRangeEnd w:id="34"/>
    </w:p>
    <w:p w:rsidR="00417909" w:rsidRPr="00A86175" w:rsidRDefault="00417909" w:rsidP="00951B85">
      <w:pPr>
        <w:snapToGrid w:val="0"/>
        <w:spacing w:line="360" w:lineRule="auto"/>
        <w:jc w:val="both"/>
        <w:rPr>
          <w:rFonts w:ascii="Book Antiqua" w:eastAsiaTheme="minorEastAsia" w:hAnsi="Book Antiqua" w:cs="Segoe UI"/>
          <w:shd w:val="clear" w:color="auto" w:fill="FFFFFF"/>
        </w:rPr>
      </w:pPr>
    </w:p>
    <w:p w:rsidR="00417909" w:rsidRPr="00A86175" w:rsidRDefault="00417909" w:rsidP="00951B85">
      <w:pPr>
        <w:snapToGrid w:val="0"/>
        <w:spacing w:line="360" w:lineRule="auto"/>
        <w:jc w:val="both"/>
        <w:rPr>
          <w:rFonts w:ascii="Book Antiqua" w:hAnsi="Book Antiqua" w:cs="Segoe UI"/>
          <w:b/>
          <w:i/>
          <w:shd w:val="clear" w:color="auto" w:fill="FFFFFF"/>
        </w:rPr>
      </w:pPr>
      <w:r w:rsidRPr="00A86175">
        <w:rPr>
          <w:rFonts w:ascii="Book Antiqua" w:hAnsi="Book Antiqua" w:cs="Segoe UI"/>
          <w:b/>
          <w:i/>
          <w:shd w:val="clear" w:color="auto" w:fill="FFFFFF"/>
        </w:rPr>
        <w:t>Research perspectives</w:t>
      </w:r>
    </w:p>
    <w:p w:rsidR="00A05A8D" w:rsidRPr="00A86175" w:rsidRDefault="00A05A8D" w:rsidP="00951B85">
      <w:pPr>
        <w:pStyle w:val="Standard"/>
        <w:snapToGrid w:val="0"/>
        <w:spacing w:line="360" w:lineRule="auto"/>
        <w:jc w:val="both"/>
        <w:rPr>
          <w:rFonts w:ascii="Book Antiqua" w:hAnsi="Book Antiqua" w:cs="Segoe UI"/>
          <w:shd w:val="clear" w:color="auto" w:fill="FFFFFF"/>
        </w:rPr>
      </w:pPr>
      <w:r w:rsidRPr="00A86175">
        <w:rPr>
          <w:rFonts w:ascii="Book Antiqua" w:hAnsi="Book Antiqua" w:cs="Segoe UI"/>
          <w:shd w:val="clear" w:color="auto" w:fill="FFFFFF"/>
        </w:rPr>
        <w:t>Although CKD, ESRD, and other comorbidities are major risk factors for unfavorable outcomes in GI bleeding, their roles are not well investigated nor understood and they need further scrutiny. We would better understand the role of CKD in ESRD in GI bleeding from analysis of extensive data from large multicenter and multinational observational studies and registries accurately recording the outcomes and the kidney functions.</w:t>
      </w:r>
    </w:p>
    <w:p w:rsidR="00417909" w:rsidRPr="00A86175" w:rsidRDefault="00417909" w:rsidP="00951B85">
      <w:pPr>
        <w:snapToGrid w:val="0"/>
        <w:spacing w:line="360" w:lineRule="auto"/>
        <w:jc w:val="both"/>
        <w:rPr>
          <w:rFonts w:ascii="Book Antiqua" w:eastAsiaTheme="minorEastAsia" w:hAnsi="Book Antiqua"/>
          <w:lang w:eastAsia="zh-CN"/>
        </w:rPr>
      </w:pPr>
    </w:p>
    <w:p w:rsidR="00A86175" w:rsidRPr="00A86175" w:rsidRDefault="00A86175" w:rsidP="00951B85">
      <w:pPr>
        <w:snapToGrid w:val="0"/>
        <w:spacing w:line="360" w:lineRule="auto"/>
        <w:jc w:val="both"/>
        <w:rPr>
          <w:rFonts w:ascii="Book Antiqua" w:hAnsi="Book Antiqua"/>
          <w:b/>
          <w:caps/>
          <w:lang w:val="en-GB"/>
        </w:rPr>
      </w:pPr>
      <w:r w:rsidRPr="00A86175">
        <w:rPr>
          <w:rFonts w:ascii="Book Antiqua" w:hAnsi="Book Antiqua"/>
          <w:b/>
          <w:caps/>
          <w:lang w:val="en-GB"/>
        </w:rPr>
        <w:t>Acknowledgements</w:t>
      </w:r>
    </w:p>
    <w:p w:rsidR="00A86175" w:rsidRPr="00A86175" w:rsidRDefault="00A86175" w:rsidP="00951B85">
      <w:pPr>
        <w:snapToGrid w:val="0"/>
        <w:spacing w:line="360" w:lineRule="auto"/>
        <w:jc w:val="both"/>
        <w:rPr>
          <w:rFonts w:ascii="Book Antiqua" w:eastAsiaTheme="minorEastAsia" w:hAnsi="Book Antiqua"/>
          <w:lang w:val="en-GB" w:eastAsia="zh-CN"/>
        </w:rPr>
      </w:pPr>
      <w:r w:rsidRPr="00A86175">
        <w:rPr>
          <w:rFonts w:ascii="Book Antiqua" w:hAnsi="Book Antiqua"/>
          <w:lang w:val="en-GB"/>
        </w:rPr>
        <w:t>The present paper is dedicated to the 650</w:t>
      </w:r>
      <w:r w:rsidRPr="00A86175">
        <w:rPr>
          <w:rFonts w:ascii="Book Antiqua" w:hAnsi="Book Antiqua"/>
          <w:vertAlign w:val="superscript"/>
          <w:lang w:val="en-GB"/>
        </w:rPr>
        <w:t>th</w:t>
      </w:r>
      <w:r w:rsidRPr="00A86175">
        <w:rPr>
          <w:rFonts w:ascii="Book Antiqua" w:hAnsi="Book Antiqua"/>
          <w:lang w:val="en-GB"/>
        </w:rPr>
        <w:t xml:space="preserve"> anniversary of the founding of the University of Pécs, Hungary.</w:t>
      </w:r>
    </w:p>
    <w:p w:rsidR="00A86175" w:rsidRPr="00A86175" w:rsidRDefault="00A86175" w:rsidP="00951B85">
      <w:pPr>
        <w:snapToGrid w:val="0"/>
        <w:spacing w:line="360" w:lineRule="auto"/>
        <w:jc w:val="both"/>
        <w:rPr>
          <w:rFonts w:ascii="Book Antiqua" w:eastAsiaTheme="minorEastAsia" w:hAnsi="Book Antiqua"/>
          <w:lang w:val="en-GB" w:eastAsia="zh-CN"/>
        </w:rPr>
      </w:pPr>
    </w:p>
    <w:p w:rsidR="0025022E" w:rsidRPr="00A86175" w:rsidRDefault="0025022E" w:rsidP="00951B85">
      <w:pPr>
        <w:snapToGrid w:val="0"/>
        <w:spacing w:line="360" w:lineRule="auto"/>
        <w:jc w:val="both"/>
        <w:rPr>
          <w:rFonts w:ascii="Book Antiqua" w:hAnsi="Book Antiqua"/>
          <w:b/>
          <w:lang w:val="en-GB"/>
        </w:rPr>
      </w:pPr>
      <w:r w:rsidRPr="00A86175">
        <w:rPr>
          <w:rFonts w:ascii="Book Antiqua" w:hAnsi="Book Antiqua"/>
          <w:b/>
          <w:lang w:val="en-GB"/>
        </w:rPr>
        <w:br w:type="page"/>
      </w:r>
    </w:p>
    <w:p w:rsidR="006522CA" w:rsidRPr="00A86175" w:rsidRDefault="006522CA" w:rsidP="00951B85">
      <w:pPr>
        <w:snapToGrid w:val="0"/>
        <w:spacing w:line="360" w:lineRule="auto"/>
        <w:jc w:val="both"/>
        <w:rPr>
          <w:rFonts w:ascii="Book Antiqua" w:hAnsi="Book Antiqua"/>
          <w:b/>
          <w:caps/>
          <w:lang w:val="en-GB"/>
        </w:rPr>
      </w:pPr>
      <w:r w:rsidRPr="00A86175">
        <w:rPr>
          <w:rFonts w:ascii="Book Antiqua" w:hAnsi="Book Antiqua"/>
          <w:b/>
          <w:caps/>
          <w:lang w:val="en-GB"/>
        </w:rPr>
        <w:lastRenderedPageBreak/>
        <w:t>References</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 </w:t>
      </w:r>
      <w:r w:rsidRPr="00A86175">
        <w:rPr>
          <w:rFonts w:ascii="Book Antiqua" w:eastAsia="SimSun" w:hAnsi="Book Antiqua"/>
          <w:b/>
          <w:kern w:val="2"/>
          <w:lang w:val="en-US" w:eastAsia="zh-CN"/>
        </w:rPr>
        <w:t>Cutler JA</w:t>
      </w:r>
      <w:r w:rsidRPr="00A86175">
        <w:rPr>
          <w:rFonts w:ascii="Book Antiqua" w:eastAsia="SimSun" w:hAnsi="Book Antiqua"/>
          <w:kern w:val="2"/>
          <w:lang w:val="en-US" w:eastAsia="zh-CN"/>
        </w:rPr>
        <w:t xml:space="preserve">, Mendeloff AI. Upper gastrointestinal bleeding. Nature and magnitude of the problem in the U.S. </w:t>
      </w:r>
      <w:r w:rsidRPr="00A86175">
        <w:rPr>
          <w:rFonts w:ascii="Book Antiqua" w:eastAsia="SimSun" w:hAnsi="Book Antiqua"/>
          <w:i/>
          <w:kern w:val="2"/>
          <w:lang w:val="en-US" w:eastAsia="zh-CN"/>
        </w:rPr>
        <w:t>Dig Dis Sci</w:t>
      </w:r>
      <w:r w:rsidRPr="00A86175">
        <w:rPr>
          <w:rFonts w:ascii="Book Antiqua" w:eastAsia="SimSun" w:hAnsi="Book Antiqua"/>
          <w:kern w:val="2"/>
          <w:lang w:val="en-US" w:eastAsia="zh-CN"/>
        </w:rPr>
        <w:t xml:space="preserve"> 1981; </w:t>
      </w:r>
      <w:r w:rsidRPr="00A86175">
        <w:rPr>
          <w:rFonts w:ascii="Book Antiqua" w:eastAsia="SimSun" w:hAnsi="Book Antiqua"/>
          <w:b/>
          <w:kern w:val="2"/>
          <w:lang w:val="en-US" w:eastAsia="zh-CN"/>
        </w:rPr>
        <w:t>26</w:t>
      </w:r>
      <w:r w:rsidRPr="00A86175">
        <w:rPr>
          <w:rFonts w:ascii="Book Antiqua" w:eastAsia="SimSun" w:hAnsi="Book Antiqua"/>
          <w:kern w:val="2"/>
          <w:lang w:val="en-US" w:eastAsia="zh-CN"/>
        </w:rPr>
        <w:t>: 90S-96S [PMID: 6985341]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 </w:t>
      </w:r>
      <w:r w:rsidRPr="00A86175">
        <w:rPr>
          <w:rFonts w:ascii="Book Antiqua" w:eastAsia="SimSun" w:hAnsi="Book Antiqua"/>
          <w:b/>
          <w:kern w:val="2"/>
          <w:lang w:val="en-US" w:eastAsia="zh-CN"/>
        </w:rPr>
        <w:t>Vreeburg EM</w:t>
      </w:r>
      <w:r w:rsidRPr="00A86175">
        <w:rPr>
          <w:rFonts w:ascii="Book Antiqua" w:eastAsia="SimSun" w:hAnsi="Book Antiqua"/>
          <w:kern w:val="2"/>
          <w:lang w:val="en-US" w:eastAsia="zh-CN"/>
        </w:rPr>
        <w:t xml:space="preserve">, Snel P, de Bruijne JW, Bartelsman JF, Rauws EA, Tytgat GN. Acute upper gastrointestinal bleeding in the Amsterdam area: incidence, diagnosis, and clinical outcome. </w:t>
      </w:r>
      <w:r w:rsidRPr="00A86175">
        <w:rPr>
          <w:rFonts w:ascii="Book Antiqua" w:eastAsia="SimSun" w:hAnsi="Book Antiqua"/>
          <w:i/>
          <w:kern w:val="2"/>
          <w:lang w:val="en-US" w:eastAsia="zh-CN"/>
        </w:rPr>
        <w:t>Am J Gastroenterol</w:t>
      </w:r>
      <w:r w:rsidRPr="00A86175">
        <w:rPr>
          <w:rFonts w:ascii="Book Antiqua" w:eastAsia="SimSun" w:hAnsi="Book Antiqua"/>
          <w:kern w:val="2"/>
          <w:lang w:val="en-US" w:eastAsia="zh-CN"/>
        </w:rPr>
        <w:t xml:space="preserve"> 1997; </w:t>
      </w:r>
      <w:r w:rsidRPr="00A86175">
        <w:rPr>
          <w:rFonts w:ascii="Book Antiqua" w:eastAsia="SimSun" w:hAnsi="Book Antiqua"/>
          <w:b/>
          <w:kern w:val="2"/>
          <w:lang w:val="en-US" w:eastAsia="zh-CN"/>
        </w:rPr>
        <w:t>92</w:t>
      </w:r>
      <w:r w:rsidRPr="00A86175">
        <w:rPr>
          <w:rFonts w:ascii="Book Antiqua" w:eastAsia="SimSun" w:hAnsi="Book Antiqua"/>
          <w:kern w:val="2"/>
          <w:lang w:val="en-US" w:eastAsia="zh-CN"/>
        </w:rPr>
        <w:t>: 236-243 [PMID: 9040198]</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3 </w:t>
      </w:r>
      <w:r w:rsidRPr="00A86175">
        <w:rPr>
          <w:rFonts w:ascii="Book Antiqua" w:eastAsia="SimSun" w:hAnsi="Book Antiqua"/>
          <w:b/>
          <w:kern w:val="2"/>
          <w:lang w:val="en-US" w:eastAsia="zh-CN"/>
        </w:rPr>
        <w:t>Hussain H</w:t>
      </w:r>
      <w:r w:rsidRPr="00A86175">
        <w:rPr>
          <w:rFonts w:ascii="Book Antiqua" w:eastAsia="SimSun" w:hAnsi="Book Antiqua"/>
          <w:kern w:val="2"/>
          <w:lang w:val="en-US" w:eastAsia="zh-CN"/>
        </w:rPr>
        <w:t xml:space="preserve">, Lapin S, Cappell MS. Clinical scoring systems for determining the prognosis of gastrointestinal bleeding. </w:t>
      </w:r>
      <w:r w:rsidRPr="00A86175">
        <w:rPr>
          <w:rFonts w:ascii="Book Antiqua" w:eastAsia="SimSun" w:hAnsi="Book Antiqua"/>
          <w:i/>
          <w:kern w:val="2"/>
          <w:lang w:val="en-US" w:eastAsia="zh-CN"/>
        </w:rPr>
        <w:t>Gastroenterol Clin North Am</w:t>
      </w:r>
      <w:r w:rsidRPr="00A86175">
        <w:rPr>
          <w:rFonts w:ascii="Book Antiqua" w:eastAsia="SimSun" w:hAnsi="Book Antiqua"/>
          <w:kern w:val="2"/>
          <w:lang w:val="en-US" w:eastAsia="zh-CN"/>
        </w:rPr>
        <w:t xml:space="preserve"> 2000; </w:t>
      </w:r>
      <w:r w:rsidRPr="00A86175">
        <w:rPr>
          <w:rFonts w:ascii="Book Antiqua" w:eastAsia="SimSun" w:hAnsi="Book Antiqua"/>
          <w:b/>
          <w:kern w:val="2"/>
          <w:lang w:val="en-US" w:eastAsia="zh-CN"/>
        </w:rPr>
        <w:t>29</w:t>
      </w:r>
      <w:r w:rsidRPr="00A86175">
        <w:rPr>
          <w:rFonts w:ascii="Book Antiqua" w:eastAsia="SimSun" w:hAnsi="Book Antiqua"/>
          <w:kern w:val="2"/>
          <w:lang w:val="en-US" w:eastAsia="zh-CN"/>
        </w:rPr>
        <w:t>: 445-464 [PMID: 10836189 DOI: 10.1016/S0889-8553(05)70122-9]</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4 </w:t>
      </w:r>
      <w:r w:rsidRPr="00A86175">
        <w:rPr>
          <w:rFonts w:ascii="Book Antiqua" w:eastAsia="SimSun" w:hAnsi="Book Antiqua"/>
          <w:b/>
          <w:kern w:val="2"/>
          <w:lang w:val="en-US" w:eastAsia="zh-CN"/>
        </w:rPr>
        <w:t>Zuccaro G Jr</w:t>
      </w:r>
      <w:r w:rsidRPr="00A86175">
        <w:rPr>
          <w:rFonts w:ascii="Book Antiqua" w:eastAsia="SimSun" w:hAnsi="Book Antiqua"/>
          <w:kern w:val="2"/>
          <w:lang w:val="en-US" w:eastAsia="zh-CN"/>
        </w:rPr>
        <w:t xml:space="preserve">. Management of the adult patient with acute lower gastrointestinal bleeding. American College of Gastroenterology. Practice Parameters Committee. </w:t>
      </w:r>
      <w:r w:rsidRPr="00A86175">
        <w:rPr>
          <w:rFonts w:ascii="Book Antiqua" w:eastAsia="SimSun" w:hAnsi="Book Antiqua"/>
          <w:i/>
          <w:kern w:val="2"/>
          <w:lang w:val="en-US" w:eastAsia="zh-CN"/>
        </w:rPr>
        <w:t>Am J Gastroenterol</w:t>
      </w:r>
      <w:r w:rsidRPr="00A86175">
        <w:rPr>
          <w:rFonts w:ascii="Book Antiqua" w:eastAsia="SimSun" w:hAnsi="Book Antiqua"/>
          <w:kern w:val="2"/>
          <w:lang w:val="en-US" w:eastAsia="zh-CN"/>
        </w:rPr>
        <w:t xml:space="preserve"> 1998; </w:t>
      </w:r>
      <w:r w:rsidRPr="00A86175">
        <w:rPr>
          <w:rFonts w:ascii="Book Antiqua" w:eastAsia="SimSun" w:hAnsi="Book Antiqua"/>
          <w:b/>
          <w:kern w:val="2"/>
          <w:lang w:val="en-US" w:eastAsia="zh-CN"/>
        </w:rPr>
        <w:t>93</w:t>
      </w:r>
      <w:r w:rsidRPr="00A86175">
        <w:rPr>
          <w:rFonts w:ascii="Book Antiqua" w:eastAsia="SimSun" w:hAnsi="Book Antiqua"/>
          <w:kern w:val="2"/>
          <w:lang w:val="en-US" w:eastAsia="zh-CN"/>
        </w:rPr>
        <w:t>: 1202-1208 [PMID: 9707037 DOI: 10.1111/j.1572-0241.1998.00395.x]</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5 </w:t>
      </w:r>
      <w:r w:rsidRPr="00A86175">
        <w:rPr>
          <w:rFonts w:ascii="Book Antiqua" w:eastAsia="SimSun" w:hAnsi="Book Antiqua"/>
          <w:b/>
          <w:kern w:val="2"/>
          <w:lang w:val="en-US" w:eastAsia="zh-CN"/>
        </w:rPr>
        <w:t>Rockall TA</w:t>
      </w:r>
      <w:r w:rsidRPr="00A86175">
        <w:rPr>
          <w:rFonts w:ascii="Book Antiqua" w:eastAsia="SimSun" w:hAnsi="Book Antiqua"/>
          <w:kern w:val="2"/>
          <w:lang w:val="en-US" w:eastAsia="zh-CN"/>
        </w:rPr>
        <w:t xml:space="preserve">, Logan RF, Devlin HB, Northfield TC. Risk assessment after acute upper gastrointestinal haemorrhage. </w:t>
      </w:r>
      <w:r w:rsidRPr="00A86175">
        <w:rPr>
          <w:rFonts w:ascii="Book Antiqua" w:eastAsia="SimSun" w:hAnsi="Book Antiqua"/>
          <w:i/>
          <w:kern w:val="2"/>
          <w:lang w:val="en-US" w:eastAsia="zh-CN"/>
        </w:rPr>
        <w:t>Gut</w:t>
      </w:r>
      <w:r w:rsidRPr="00A86175">
        <w:rPr>
          <w:rFonts w:ascii="Book Antiqua" w:eastAsia="SimSun" w:hAnsi="Book Antiqua"/>
          <w:kern w:val="2"/>
          <w:lang w:val="en-US" w:eastAsia="zh-CN"/>
        </w:rPr>
        <w:t xml:space="preserve"> 1996; </w:t>
      </w:r>
      <w:r w:rsidRPr="00A86175">
        <w:rPr>
          <w:rFonts w:ascii="Book Antiqua" w:eastAsia="SimSun" w:hAnsi="Book Antiqua"/>
          <w:b/>
          <w:kern w:val="2"/>
          <w:lang w:val="en-US" w:eastAsia="zh-CN"/>
        </w:rPr>
        <w:t>38</w:t>
      </w:r>
      <w:r w:rsidRPr="00A86175">
        <w:rPr>
          <w:rFonts w:ascii="Book Antiqua" w:eastAsia="SimSun" w:hAnsi="Book Antiqua"/>
          <w:kern w:val="2"/>
          <w:lang w:val="en-US" w:eastAsia="zh-CN"/>
        </w:rPr>
        <w:t>: 316-321 [PMID: 8675081]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6 </w:t>
      </w:r>
      <w:r w:rsidRPr="00A86175">
        <w:rPr>
          <w:rFonts w:ascii="Book Antiqua" w:eastAsia="SimSun" w:hAnsi="Book Antiqua"/>
          <w:b/>
          <w:kern w:val="2"/>
          <w:lang w:val="en-US" w:eastAsia="zh-CN"/>
        </w:rPr>
        <w:t>Lin CC</w:t>
      </w:r>
      <w:r w:rsidRPr="00A86175">
        <w:rPr>
          <w:rFonts w:ascii="Book Antiqua" w:eastAsia="SimSun" w:hAnsi="Book Antiqua"/>
          <w:kern w:val="2"/>
          <w:lang w:val="en-US" w:eastAsia="zh-CN"/>
        </w:rPr>
        <w:t xml:space="preserve">, Wang HP, Wu MS, Ho WC, Lee H, Lin JT. The etiology and clinical characteristics of acute lower gastrointestinal bleeding in patients hospitalized for comorbid illnesses. </w:t>
      </w:r>
      <w:r w:rsidRPr="00A86175">
        <w:rPr>
          <w:rFonts w:ascii="Book Antiqua" w:eastAsia="SimSun" w:hAnsi="Book Antiqua"/>
          <w:i/>
          <w:kern w:val="2"/>
          <w:lang w:val="en-US" w:eastAsia="zh-CN"/>
        </w:rPr>
        <w:t>Hepatogastroenterology</w:t>
      </w:r>
      <w:r w:rsidRPr="00A86175">
        <w:rPr>
          <w:rFonts w:ascii="Book Antiqua" w:eastAsia="SimSun" w:hAnsi="Book Antiqua"/>
          <w:kern w:val="2"/>
          <w:lang w:val="en-US" w:eastAsia="zh-CN"/>
        </w:rPr>
        <w:t xml:space="preserve"> 2006; </w:t>
      </w:r>
      <w:r w:rsidRPr="00A86175">
        <w:rPr>
          <w:rFonts w:ascii="Book Antiqua" w:eastAsia="SimSun" w:hAnsi="Book Antiqua"/>
          <w:b/>
          <w:kern w:val="2"/>
          <w:lang w:val="en-US" w:eastAsia="zh-CN"/>
        </w:rPr>
        <w:t>53</w:t>
      </w:r>
      <w:r w:rsidRPr="00A86175">
        <w:rPr>
          <w:rFonts w:ascii="Book Antiqua" w:eastAsia="SimSun" w:hAnsi="Book Antiqua"/>
          <w:kern w:val="2"/>
          <w:lang w:val="en-US" w:eastAsia="zh-CN"/>
        </w:rPr>
        <w:t>: 395-398 [PMID: 16795980]</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7 </w:t>
      </w:r>
      <w:r w:rsidRPr="00A86175">
        <w:rPr>
          <w:rFonts w:ascii="Book Antiqua" w:eastAsia="SimSun" w:hAnsi="Book Antiqua"/>
          <w:b/>
          <w:kern w:val="2"/>
          <w:lang w:val="en-US" w:eastAsia="zh-CN"/>
        </w:rPr>
        <w:t>Laeeq SM</w:t>
      </w:r>
      <w:r w:rsidRPr="00A86175">
        <w:rPr>
          <w:rFonts w:ascii="Book Antiqua" w:eastAsia="SimSun" w:hAnsi="Book Antiqua"/>
          <w:kern w:val="2"/>
          <w:lang w:val="en-US" w:eastAsia="zh-CN"/>
        </w:rPr>
        <w:t xml:space="preserve">, Tasneem AA, Hanif FM, Luck NH, Mandhwani R, Wadhva R. Upper Gastrointestinal Bleeding in Patients with End Stage Renal Disease: Causes, Characteristics and Factors Associated with Need for Endoscopic Therapeutic Intervention. </w:t>
      </w:r>
      <w:r w:rsidRPr="00A86175">
        <w:rPr>
          <w:rFonts w:ascii="Book Antiqua" w:eastAsia="SimSun" w:hAnsi="Book Antiqua"/>
          <w:i/>
          <w:kern w:val="2"/>
          <w:lang w:val="en-US" w:eastAsia="zh-CN"/>
        </w:rPr>
        <w:t>J Transl Int Med</w:t>
      </w:r>
      <w:r w:rsidRPr="00A86175">
        <w:rPr>
          <w:rFonts w:ascii="Book Antiqua" w:eastAsia="SimSun" w:hAnsi="Book Antiqua"/>
          <w:kern w:val="2"/>
          <w:lang w:val="en-US" w:eastAsia="zh-CN"/>
        </w:rPr>
        <w:t xml:space="preserve"> 2017; </w:t>
      </w:r>
      <w:r w:rsidRPr="00A86175">
        <w:rPr>
          <w:rFonts w:ascii="Book Antiqua" w:eastAsia="SimSun" w:hAnsi="Book Antiqua"/>
          <w:b/>
          <w:kern w:val="2"/>
          <w:lang w:val="en-US" w:eastAsia="zh-CN"/>
        </w:rPr>
        <w:t>5</w:t>
      </w:r>
      <w:r w:rsidRPr="00A86175">
        <w:rPr>
          <w:rFonts w:ascii="Book Antiqua" w:eastAsia="SimSun" w:hAnsi="Book Antiqua"/>
          <w:kern w:val="2"/>
          <w:lang w:val="en-US" w:eastAsia="zh-CN"/>
        </w:rPr>
        <w:t>: 106-111 [PMID: 28721343 DOI: 10.1515/jtim-2017-0019]</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8 </w:t>
      </w:r>
      <w:r w:rsidRPr="00A86175">
        <w:rPr>
          <w:rFonts w:ascii="Book Antiqua" w:eastAsia="SimSun" w:hAnsi="Book Antiqua"/>
          <w:b/>
          <w:kern w:val="2"/>
          <w:lang w:val="en-US" w:eastAsia="zh-CN"/>
        </w:rPr>
        <w:t>Kuo CC</w:t>
      </w:r>
      <w:r w:rsidRPr="00A86175">
        <w:rPr>
          <w:rFonts w:ascii="Book Antiqua" w:eastAsia="SimSun" w:hAnsi="Book Antiqua"/>
          <w:kern w:val="2"/>
          <w:lang w:val="en-US" w:eastAsia="zh-CN"/>
        </w:rPr>
        <w:t xml:space="preserve">, Kuo HW, Lee IM, Lee CT, Yang CY. The risk of upper gastrointestinal bleeding in patients treated with hemodialysis: a population-based cohort study. </w:t>
      </w:r>
      <w:r w:rsidRPr="00A86175">
        <w:rPr>
          <w:rFonts w:ascii="Book Antiqua" w:eastAsia="SimSun" w:hAnsi="Book Antiqua"/>
          <w:i/>
          <w:kern w:val="2"/>
          <w:lang w:val="en-US" w:eastAsia="zh-CN"/>
        </w:rPr>
        <w:t>BMC Nephrol</w:t>
      </w:r>
      <w:r w:rsidRPr="00A86175">
        <w:rPr>
          <w:rFonts w:ascii="Book Antiqua" w:eastAsia="SimSun" w:hAnsi="Book Antiqua"/>
          <w:kern w:val="2"/>
          <w:lang w:val="en-US" w:eastAsia="zh-CN"/>
        </w:rPr>
        <w:t xml:space="preserve"> 2013; </w:t>
      </w:r>
      <w:r w:rsidRPr="00A86175">
        <w:rPr>
          <w:rFonts w:ascii="Book Antiqua" w:eastAsia="SimSun" w:hAnsi="Book Antiqua"/>
          <w:b/>
          <w:kern w:val="2"/>
          <w:lang w:val="en-US" w:eastAsia="zh-CN"/>
        </w:rPr>
        <w:t>14</w:t>
      </w:r>
      <w:r w:rsidRPr="00A86175">
        <w:rPr>
          <w:rFonts w:ascii="Book Antiqua" w:eastAsia="SimSun" w:hAnsi="Book Antiqua"/>
          <w:kern w:val="2"/>
          <w:lang w:val="en-US" w:eastAsia="zh-CN"/>
        </w:rPr>
        <w:t>: 15 [PMID: 23324652 DOI: 10.1186/1471-2369-14-15]</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9 </w:t>
      </w:r>
      <w:r w:rsidRPr="00A86175">
        <w:rPr>
          <w:rFonts w:ascii="Book Antiqua" w:eastAsia="SimSun" w:hAnsi="Book Antiqua"/>
          <w:b/>
          <w:kern w:val="2"/>
          <w:lang w:val="en-US" w:eastAsia="zh-CN"/>
        </w:rPr>
        <w:t>Sood P</w:t>
      </w:r>
      <w:r w:rsidRPr="00A86175">
        <w:rPr>
          <w:rFonts w:ascii="Book Antiqua" w:eastAsia="SimSun" w:hAnsi="Book Antiqua"/>
          <w:kern w:val="2"/>
          <w:lang w:val="en-US" w:eastAsia="zh-CN"/>
        </w:rPr>
        <w:t xml:space="preserve">, Kumar G, Nanchal R, Sakhuja A, Ahmad S, Ali M, Kumar N, Ross EA. Chronic kidney disease and end-stage renal disease predict higher risk of mortality in patients with primary upper gastrointestinal bleeding. </w:t>
      </w:r>
      <w:r w:rsidRPr="00A86175">
        <w:rPr>
          <w:rFonts w:ascii="Book Antiqua" w:eastAsia="SimSun" w:hAnsi="Book Antiqua"/>
          <w:i/>
          <w:kern w:val="2"/>
          <w:lang w:val="en-US" w:eastAsia="zh-CN"/>
        </w:rPr>
        <w:t>Am J Nephrol</w:t>
      </w:r>
      <w:r w:rsidRPr="00A86175">
        <w:rPr>
          <w:rFonts w:ascii="Book Antiqua" w:eastAsia="SimSun" w:hAnsi="Book Antiqua"/>
          <w:kern w:val="2"/>
          <w:lang w:val="en-US" w:eastAsia="zh-CN"/>
        </w:rPr>
        <w:t xml:space="preserve"> 2012; </w:t>
      </w:r>
      <w:r w:rsidRPr="00A86175">
        <w:rPr>
          <w:rFonts w:ascii="Book Antiqua" w:eastAsia="SimSun" w:hAnsi="Book Antiqua"/>
          <w:b/>
          <w:kern w:val="2"/>
          <w:lang w:val="en-US" w:eastAsia="zh-CN"/>
        </w:rPr>
        <w:t>35</w:t>
      </w:r>
      <w:r w:rsidRPr="00A86175">
        <w:rPr>
          <w:rFonts w:ascii="Book Antiqua" w:eastAsia="SimSun" w:hAnsi="Book Antiqua"/>
          <w:kern w:val="2"/>
          <w:lang w:val="en-US" w:eastAsia="zh-CN"/>
        </w:rPr>
        <w:t>: 216-224 [PMID: 22310659 DOI: 10.1159/000336107]</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10 </w:t>
      </w:r>
      <w:r w:rsidRPr="00A86175">
        <w:rPr>
          <w:rFonts w:ascii="Book Antiqua" w:eastAsia="SimSun" w:hAnsi="Book Antiqua"/>
          <w:b/>
          <w:kern w:val="2"/>
          <w:lang w:val="en-US" w:eastAsia="zh-CN"/>
        </w:rPr>
        <w:t>Cheung J</w:t>
      </w:r>
      <w:r w:rsidRPr="00A86175">
        <w:rPr>
          <w:rFonts w:ascii="Book Antiqua" w:eastAsia="SimSun" w:hAnsi="Book Antiqua"/>
          <w:kern w:val="2"/>
          <w:lang w:val="en-US" w:eastAsia="zh-CN"/>
        </w:rPr>
        <w:t xml:space="preserve">, Yu A, LaBossiere J, Zhu Q, Fedorak RN. Peptic ulcer bleeding outcomes </w:t>
      </w:r>
      <w:r w:rsidRPr="00A86175">
        <w:rPr>
          <w:rFonts w:ascii="Book Antiqua" w:eastAsia="SimSun" w:hAnsi="Book Antiqua"/>
          <w:kern w:val="2"/>
          <w:lang w:val="en-US" w:eastAsia="zh-CN"/>
        </w:rPr>
        <w:lastRenderedPageBreak/>
        <w:t xml:space="preserve">adversely affected by end-stage renal disease. </w:t>
      </w:r>
      <w:r w:rsidRPr="00A86175">
        <w:rPr>
          <w:rFonts w:ascii="Book Antiqua" w:eastAsia="SimSun" w:hAnsi="Book Antiqua"/>
          <w:i/>
          <w:kern w:val="2"/>
          <w:lang w:val="en-US" w:eastAsia="zh-CN"/>
        </w:rPr>
        <w:t>Gastrointest Endosc</w:t>
      </w:r>
      <w:r w:rsidRPr="00A86175">
        <w:rPr>
          <w:rFonts w:ascii="Book Antiqua" w:eastAsia="SimSun" w:hAnsi="Book Antiqua"/>
          <w:kern w:val="2"/>
          <w:lang w:val="en-US" w:eastAsia="zh-CN"/>
        </w:rPr>
        <w:t xml:space="preserve"> 2010; </w:t>
      </w:r>
      <w:r w:rsidRPr="00A86175">
        <w:rPr>
          <w:rFonts w:ascii="Book Antiqua" w:eastAsia="SimSun" w:hAnsi="Book Antiqua"/>
          <w:b/>
          <w:kern w:val="2"/>
          <w:lang w:val="en-US" w:eastAsia="zh-CN"/>
        </w:rPr>
        <w:t>71</w:t>
      </w:r>
      <w:r w:rsidRPr="00A86175">
        <w:rPr>
          <w:rFonts w:ascii="Book Antiqua" w:eastAsia="SimSun" w:hAnsi="Book Antiqua"/>
          <w:kern w:val="2"/>
          <w:lang w:val="en-US" w:eastAsia="zh-CN"/>
        </w:rPr>
        <w:t>: 44-49 [PMID: 19595311 DOI: 10.1016/j.gie.2009.04.014]</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11 </w:t>
      </w:r>
      <w:r w:rsidRPr="00A86175">
        <w:rPr>
          <w:rFonts w:ascii="Book Antiqua" w:eastAsia="SimSun" w:hAnsi="Book Antiqua"/>
          <w:b/>
          <w:kern w:val="2"/>
          <w:lang w:val="en-US" w:eastAsia="zh-CN"/>
        </w:rPr>
        <w:t>Gheissari A</w:t>
      </w:r>
      <w:r w:rsidRPr="00A86175">
        <w:rPr>
          <w:rFonts w:ascii="Book Antiqua" w:eastAsia="SimSun" w:hAnsi="Book Antiqua"/>
          <w:kern w:val="2"/>
          <w:lang w:val="en-US" w:eastAsia="zh-CN"/>
        </w:rPr>
        <w:t xml:space="preserve">, Rajyaguru V, Kumashiro R, Matsumoto T. Gastrointestinal hemorrhage in end stage renal disease patients. </w:t>
      </w:r>
      <w:r w:rsidRPr="00A86175">
        <w:rPr>
          <w:rFonts w:ascii="Book Antiqua" w:eastAsia="SimSun" w:hAnsi="Book Antiqua"/>
          <w:i/>
          <w:kern w:val="2"/>
          <w:lang w:val="en-US" w:eastAsia="zh-CN"/>
        </w:rPr>
        <w:t>Int Surg</w:t>
      </w:r>
      <w:r w:rsidRPr="00A86175">
        <w:rPr>
          <w:rFonts w:ascii="Book Antiqua" w:eastAsia="SimSun" w:hAnsi="Book Antiqua"/>
          <w:kern w:val="2"/>
          <w:lang w:val="en-US" w:eastAsia="zh-CN"/>
        </w:rPr>
        <w:t xml:space="preserve"> 1990; </w:t>
      </w:r>
      <w:r w:rsidRPr="00A86175">
        <w:rPr>
          <w:rFonts w:ascii="Book Antiqua" w:eastAsia="SimSun" w:hAnsi="Book Antiqua"/>
          <w:b/>
          <w:kern w:val="2"/>
          <w:lang w:val="en-US" w:eastAsia="zh-CN"/>
        </w:rPr>
        <w:t>75</w:t>
      </w:r>
      <w:r w:rsidRPr="00A86175">
        <w:rPr>
          <w:rFonts w:ascii="Book Antiqua" w:eastAsia="SimSun" w:hAnsi="Book Antiqua"/>
          <w:kern w:val="2"/>
          <w:lang w:val="en-US" w:eastAsia="zh-CN"/>
        </w:rPr>
        <w:t>: 93-95 [PMID: 2379997]</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12 </w:t>
      </w:r>
      <w:r w:rsidRPr="00A86175">
        <w:rPr>
          <w:rFonts w:ascii="Book Antiqua" w:eastAsia="SimSun" w:hAnsi="Book Antiqua"/>
          <w:b/>
          <w:kern w:val="2"/>
          <w:lang w:val="en-US" w:eastAsia="zh-CN"/>
        </w:rPr>
        <w:t>Docherty E</w:t>
      </w:r>
      <w:r w:rsidRPr="00A86175">
        <w:rPr>
          <w:rFonts w:ascii="Book Antiqua" w:eastAsia="SimSun" w:hAnsi="Book Antiqua"/>
          <w:kern w:val="2"/>
          <w:lang w:val="en-US" w:eastAsia="zh-CN"/>
        </w:rPr>
        <w:t xml:space="preserve">, Koulaouzidis A, Douglas S, Plevris JN. Use of small bowel capsule endoscopy in patients with chronic kidney disease: experience from a University Referral Center. </w:t>
      </w:r>
      <w:r w:rsidRPr="00A86175">
        <w:rPr>
          <w:rFonts w:ascii="Book Antiqua" w:eastAsia="SimSun" w:hAnsi="Book Antiqua"/>
          <w:i/>
          <w:kern w:val="2"/>
          <w:lang w:val="en-US" w:eastAsia="zh-CN"/>
        </w:rPr>
        <w:t>Ann Gastroenterol</w:t>
      </w:r>
      <w:r w:rsidRPr="00A86175">
        <w:rPr>
          <w:rFonts w:ascii="Book Antiqua" w:eastAsia="SimSun" w:hAnsi="Book Antiqua"/>
          <w:kern w:val="2"/>
          <w:lang w:val="en-US" w:eastAsia="zh-CN"/>
        </w:rPr>
        <w:t xml:space="preserve"> 2015; </w:t>
      </w:r>
      <w:r w:rsidRPr="00A86175">
        <w:rPr>
          <w:rFonts w:ascii="Book Antiqua" w:eastAsia="SimSun" w:hAnsi="Book Antiqua"/>
          <w:b/>
          <w:kern w:val="2"/>
          <w:lang w:val="en-US" w:eastAsia="zh-CN"/>
        </w:rPr>
        <w:t>28</w:t>
      </w:r>
      <w:r w:rsidRPr="00A86175">
        <w:rPr>
          <w:rFonts w:ascii="Book Antiqua" w:eastAsia="SimSun" w:hAnsi="Book Antiqua"/>
          <w:kern w:val="2"/>
          <w:lang w:val="en-US" w:eastAsia="zh-CN"/>
        </w:rPr>
        <w:t>: 99-104 [PMID: 25608445]</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13 </w:t>
      </w:r>
      <w:r w:rsidRPr="00A86175">
        <w:rPr>
          <w:rFonts w:ascii="Book Antiqua" w:eastAsia="SimSun" w:hAnsi="Book Antiqua"/>
          <w:b/>
          <w:kern w:val="2"/>
          <w:lang w:val="en-US" w:eastAsia="zh-CN"/>
        </w:rPr>
        <w:t>Ohmori T</w:t>
      </w:r>
      <w:r w:rsidRPr="00A86175">
        <w:rPr>
          <w:rFonts w:ascii="Book Antiqua" w:eastAsia="SimSun" w:hAnsi="Book Antiqua"/>
          <w:kern w:val="2"/>
          <w:lang w:val="en-US" w:eastAsia="zh-CN"/>
        </w:rPr>
        <w:t xml:space="preserve">, Konishi H, Nakamura S, Shiratori K. Abnormalities of the small intestine detected by capsule endoscopy in hemodialysis patients. </w:t>
      </w:r>
      <w:r w:rsidRPr="00A86175">
        <w:rPr>
          <w:rFonts w:ascii="Book Antiqua" w:eastAsia="SimSun" w:hAnsi="Book Antiqua"/>
          <w:i/>
          <w:kern w:val="2"/>
          <w:lang w:val="en-US" w:eastAsia="zh-CN"/>
        </w:rPr>
        <w:t>Intern Med</w:t>
      </w:r>
      <w:r w:rsidRPr="00A86175">
        <w:rPr>
          <w:rFonts w:ascii="Book Antiqua" w:eastAsia="SimSun" w:hAnsi="Book Antiqua"/>
          <w:kern w:val="2"/>
          <w:lang w:val="en-US" w:eastAsia="zh-CN"/>
        </w:rPr>
        <w:t xml:space="preserve"> 2012; </w:t>
      </w:r>
      <w:r w:rsidRPr="00A86175">
        <w:rPr>
          <w:rFonts w:ascii="Book Antiqua" w:eastAsia="SimSun" w:hAnsi="Book Antiqua"/>
          <w:b/>
          <w:kern w:val="2"/>
          <w:lang w:val="en-US" w:eastAsia="zh-CN"/>
        </w:rPr>
        <w:t>51</w:t>
      </w:r>
      <w:r w:rsidRPr="00A86175">
        <w:rPr>
          <w:rFonts w:ascii="Book Antiqua" w:eastAsia="SimSun" w:hAnsi="Book Antiqua"/>
          <w:kern w:val="2"/>
          <w:lang w:val="en-US" w:eastAsia="zh-CN"/>
        </w:rPr>
        <w:t>: 1455-1460 [PMID: 22728474]</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14 </w:t>
      </w:r>
      <w:r w:rsidRPr="00A86175">
        <w:rPr>
          <w:rFonts w:ascii="Book Antiqua" w:eastAsia="SimSun" w:hAnsi="Book Antiqua"/>
          <w:b/>
          <w:kern w:val="2"/>
          <w:lang w:val="en-US" w:eastAsia="zh-CN"/>
        </w:rPr>
        <w:t>Karagiannis S</w:t>
      </w:r>
      <w:r w:rsidRPr="00A86175">
        <w:rPr>
          <w:rFonts w:ascii="Book Antiqua" w:eastAsia="SimSun" w:hAnsi="Book Antiqua"/>
          <w:kern w:val="2"/>
          <w:lang w:val="en-US" w:eastAsia="zh-CN"/>
        </w:rPr>
        <w:t xml:space="preserve">, Goulas S, Kosmadakis G, Galanis P, Arvanitis D, Boletis J, Georgiou E, Mavrogiannis C. Wireless capsule endoscopy in the investigation of patients with chronic renal failure and obscure gastrointestinal bleeding (preliminary data). </w:t>
      </w:r>
      <w:r w:rsidRPr="00A86175">
        <w:rPr>
          <w:rFonts w:ascii="Book Antiqua" w:eastAsia="SimSun" w:hAnsi="Book Antiqua"/>
          <w:i/>
          <w:kern w:val="2"/>
          <w:lang w:val="en-US" w:eastAsia="zh-CN"/>
        </w:rPr>
        <w:t>World J Gastroenterol</w:t>
      </w:r>
      <w:r w:rsidRPr="00A86175">
        <w:rPr>
          <w:rFonts w:ascii="Book Antiqua" w:eastAsia="SimSun" w:hAnsi="Book Antiqua"/>
          <w:kern w:val="2"/>
          <w:lang w:val="en-US" w:eastAsia="zh-CN"/>
        </w:rPr>
        <w:t xml:space="preserve"> 2006; </w:t>
      </w:r>
      <w:r w:rsidRPr="00A86175">
        <w:rPr>
          <w:rFonts w:ascii="Book Antiqua" w:eastAsia="SimSun" w:hAnsi="Book Antiqua"/>
          <w:b/>
          <w:kern w:val="2"/>
          <w:lang w:val="en-US" w:eastAsia="zh-CN"/>
        </w:rPr>
        <w:t>12</w:t>
      </w:r>
      <w:r w:rsidRPr="00A86175">
        <w:rPr>
          <w:rFonts w:ascii="Book Antiqua" w:eastAsia="SimSun" w:hAnsi="Book Antiqua"/>
          <w:kern w:val="2"/>
          <w:lang w:val="en-US" w:eastAsia="zh-CN"/>
        </w:rPr>
        <w:t>: 5182-5185 [PMID: 16937529]</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15 </w:t>
      </w:r>
      <w:r w:rsidRPr="00A86175">
        <w:rPr>
          <w:rFonts w:ascii="Book Antiqua" w:eastAsia="SimSun" w:hAnsi="Book Antiqua"/>
          <w:b/>
          <w:kern w:val="2"/>
          <w:lang w:val="en-US" w:eastAsia="zh-CN"/>
        </w:rPr>
        <w:t>Moher D</w:t>
      </w:r>
      <w:r w:rsidRPr="00A86175">
        <w:rPr>
          <w:rFonts w:ascii="Book Antiqua" w:eastAsia="SimSun" w:hAnsi="Book Antiqua"/>
          <w:kern w:val="2"/>
          <w:lang w:val="en-US" w:eastAsia="zh-CN"/>
        </w:rPr>
        <w:t xml:space="preserve">, Liberati A, Tetzlaff J, Altman DG; PRISMA Group. Preferred reporting items for systematic reviews and meta-analyses: the PRISMA statement. </w:t>
      </w:r>
      <w:r w:rsidRPr="00A86175">
        <w:rPr>
          <w:rFonts w:ascii="Book Antiqua" w:eastAsia="SimSun" w:hAnsi="Book Antiqua"/>
          <w:i/>
          <w:kern w:val="2"/>
          <w:lang w:val="en-US" w:eastAsia="zh-CN"/>
        </w:rPr>
        <w:t>PLoS Med</w:t>
      </w:r>
      <w:r w:rsidRPr="00A86175">
        <w:rPr>
          <w:rFonts w:ascii="Book Antiqua" w:eastAsia="SimSun" w:hAnsi="Book Antiqua"/>
          <w:kern w:val="2"/>
          <w:lang w:val="en-US" w:eastAsia="zh-CN"/>
        </w:rPr>
        <w:t xml:space="preserve"> 2009; </w:t>
      </w:r>
      <w:r w:rsidRPr="00A86175">
        <w:rPr>
          <w:rFonts w:ascii="Book Antiqua" w:eastAsia="SimSun" w:hAnsi="Book Antiqua"/>
          <w:b/>
          <w:kern w:val="2"/>
          <w:lang w:val="en-US" w:eastAsia="zh-CN"/>
        </w:rPr>
        <w:t>6</w:t>
      </w:r>
      <w:r w:rsidRPr="00A86175">
        <w:rPr>
          <w:rFonts w:ascii="Book Antiqua" w:eastAsia="SimSun" w:hAnsi="Book Antiqua"/>
          <w:kern w:val="2"/>
          <w:lang w:val="en-US" w:eastAsia="zh-CN"/>
        </w:rPr>
        <w:t>: e1000097 [PMID: 19621072 DOI: 10.1371/journal.pmed.1000097]</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16 </w:t>
      </w:r>
      <w:r w:rsidRPr="00A86175">
        <w:rPr>
          <w:rFonts w:ascii="Book Antiqua" w:eastAsia="SimSun" w:hAnsi="Book Antiqua"/>
          <w:b/>
          <w:kern w:val="2"/>
          <w:lang w:val="en-US" w:eastAsia="zh-CN"/>
        </w:rPr>
        <w:t>Tsai CJ</w:t>
      </w:r>
      <w:r w:rsidRPr="00A86175">
        <w:rPr>
          <w:rFonts w:ascii="Book Antiqua" w:eastAsia="SimSun" w:hAnsi="Book Antiqua"/>
          <w:kern w:val="2"/>
          <w:lang w:val="en-US" w:eastAsia="zh-CN"/>
        </w:rPr>
        <w:t xml:space="preserve">, Hwang JC. Investigation of upper gastrointestinal hemorrhage in chronic renal failure. </w:t>
      </w:r>
      <w:r w:rsidRPr="00A86175">
        <w:rPr>
          <w:rFonts w:ascii="Book Antiqua" w:eastAsia="SimSun" w:hAnsi="Book Antiqua"/>
          <w:i/>
          <w:kern w:val="2"/>
          <w:lang w:val="en-US" w:eastAsia="zh-CN"/>
        </w:rPr>
        <w:t>J Clin Gastroenterol</w:t>
      </w:r>
      <w:r w:rsidRPr="00A86175">
        <w:rPr>
          <w:rFonts w:ascii="Book Antiqua" w:eastAsia="SimSun" w:hAnsi="Book Antiqua"/>
          <w:kern w:val="2"/>
          <w:lang w:val="en-US" w:eastAsia="zh-CN"/>
        </w:rPr>
        <w:t xml:space="preserve"> 1996; </w:t>
      </w:r>
      <w:r w:rsidRPr="00A86175">
        <w:rPr>
          <w:rFonts w:ascii="Book Antiqua" w:eastAsia="SimSun" w:hAnsi="Book Antiqua"/>
          <w:b/>
          <w:kern w:val="2"/>
          <w:lang w:val="en-US" w:eastAsia="zh-CN"/>
        </w:rPr>
        <w:t>22</w:t>
      </w:r>
      <w:r w:rsidRPr="00A86175">
        <w:rPr>
          <w:rFonts w:ascii="Book Antiqua" w:eastAsia="SimSun" w:hAnsi="Book Antiqua"/>
          <w:kern w:val="2"/>
          <w:lang w:val="en-US" w:eastAsia="zh-CN"/>
        </w:rPr>
        <w:t>: 2-5 [PMID: 8776085]</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17 </w:t>
      </w:r>
      <w:r w:rsidRPr="00A86175">
        <w:rPr>
          <w:rFonts w:ascii="Book Antiqua" w:eastAsia="SimSun" w:hAnsi="Book Antiqua"/>
          <w:b/>
          <w:kern w:val="2"/>
          <w:lang w:val="en-US" w:eastAsia="zh-CN"/>
        </w:rPr>
        <w:t>Boyle JM</w:t>
      </w:r>
      <w:r w:rsidRPr="00A86175">
        <w:rPr>
          <w:rFonts w:ascii="Book Antiqua" w:eastAsia="SimSun" w:hAnsi="Book Antiqua"/>
          <w:kern w:val="2"/>
          <w:lang w:val="en-US" w:eastAsia="zh-CN"/>
        </w:rPr>
        <w:t xml:space="preserve">, Johnston B. Acute upper gastrointestinal hemorrhage in patients with chronic renal disease. </w:t>
      </w:r>
      <w:r w:rsidRPr="00A86175">
        <w:rPr>
          <w:rFonts w:ascii="Book Antiqua" w:eastAsia="SimSun" w:hAnsi="Book Antiqua"/>
          <w:i/>
          <w:kern w:val="2"/>
          <w:lang w:val="en-US" w:eastAsia="zh-CN"/>
        </w:rPr>
        <w:t>Am J Med</w:t>
      </w:r>
      <w:r w:rsidRPr="00A86175">
        <w:rPr>
          <w:rFonts w:ascii="Book Antiqua" w:eastAsia="SimSun" w:hAnsi="Book Antiqua"/>
          <w:kern w:val="2"/>
          <w:lang w:val="en-US" w:eastAsia="zh-CN"/>
        </w:rPr>
        <w:t xml:space="preserve"> 1983; </w:t>
      </w:r>
      <w:r w:rsidRPr="00A86175">
        <w:rPr>
          <w:rFonts w:ascii="Book Antiqua" w:eastAsia="SimSun" w:hAnsi="Book Antiqua"/>
          <w:b/>
          <w:kern w:val="2"/>
          <w:lang w:val="en-US" w:eastAsia="zh-CN"/>
        </w:rPr>
        <w:t>75</w:t>
      </w:r>
      <w:r w:rsidRPr="00A86175">
        <w:rPr>
          <w:rFonts w:ascii="Book Antiqua" w:eastAsia="SimSun" w:hAnsi="Book Antiqua"/>
          <w:kern w:val="2"/>
          <w:lang w:val="en-US" w:eastAsia="zh-CN"/>
        </w:rPr>
        <w:t>: 409-412 [PMID: 6604455]</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18 </w:t>
      </w:r>
      <w:r w:rsidRPr="00A86175">
        <w:rPr>
          <w:rFonts w:ascii="Book Antiqua" w:eastAsia="SimSun" w:hAnsi="Book Antiqua"/>
          <w:b/>
          <w:kern w:val="2"/>
          <w:lang w:val="en-US" w:eastAsia="zh-CN"/>
        </w:rPr>
        <w:t>Hozo SP</w:t>
      </w:r>
      <w:r w:rsidRPr="00A86175">
        <w:rPr>
          <w:rFonts w:ascii="Book Antiqua" w:eastAsia="SimSun" w:hAnsi="Book Antiqua"/>
          <w:kern w:val="2"/>
          <w:lang w:val="en-US" w:eastAsia="zh-CN"/>
        </w:rPr>
        <w:t xml:space="preserve">, Djulbegovic B, Hozo I. Estimating the mean and variance from the median, range, and the size of a sample. </w:t>
      </w:r>
      <w:r w:rsidRPr="00A86175">
        <w:rPr>
          <w:rFonts w:ascii="Book Antiqua" w:eastAsia="SimSun" w:hAnsi="Book Antiqua"/>
          <w:i/>
          <w:kern w:val="2"/>
          <w:lang w:val="en-US" w:eastAsia="zh-CN"/>
        </w:rPr>
        <w:t>BMC Med Res Methodol</w:t>
      </w:r>
      <w:r w:rsidRPr="00A86175">
        <w:rPr>
          <w:rFonts w:ascii="Book Antiqua" w:eastAsia="SimSun" w:hAnsi="Book Antiqua"/>
          <w:kern w:val="2"/>
          <w:lang w:val="en-US" w:eastAsia="zh-CN"/>
        </w:rPr>
        <w:t xml:space="preserve"> 2005; </w:t>
      </w:r>
      <w:r w:rsidRPr="00A86175">
        <w:rPr>
          <w:rFonts w:ascii="Book Antiqua" w:eastAsia="SimSun" w:hAnsi="Book Antiqua"/>
          <w:b/>
          <w:kern w:val="2"/>
          <w:lang w:val="en-US" w:eastAsia="zh-CN"/>
        </w:rPr>
        <w:t>5</w:t>
      </w:r>
      <w:r w:rsidRPr="00A86175">
        <w:rPr>
          <w:rFonts w:ascii="Book Antiqua" w:eastAsia="SimSun" w:hAnsi="Book Antiqua"/>
          <w:kern w:val="2"/>
          <w:lang w:val="en-US" w:eastAsia="zh-CN"/>
        </w:rPr>
        <w:t>: 13 [PMID: 15840177 DOI: 10.1186/1471-2288-5-13]</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19 </w:t>
      </w:r>
      <w:r w:rsidRPr="00A86175">
        <w:rPr>
          <w:rFonts w:ascii="Book Antiqua" w:eastAsia="SimSun" w:hAnsi="Book Antiqua"/>
          <w:b/>
          <w:kern w:val="2"/>
          <w:lang w:val="en-US" w:eastAsia="zh-CN"/>
        </w:rPr>
        <w:t>DerSimonian R</w:t>
      </w:r>
      <w:r w:rsidRPr="00A86175">
        <w:rPr>
          <w:rFonts w:ascii="Book Antiqua" w:eastAsia="SimSun" w:hAnsi="Book Antiqua"/>
          <w:kern w:val="2"/>
          <w:lang w:val="en-US" w:eastAsia="zh-CN"/>
        </w:rPr>
        <w:t xml:space="preserve">, Laird N. Meta-analysis in clinical trials. </w:t>
      </w:r>
      <w:r w:rsidRPr="00A86175">
        <w:rPr>
          <w:rFonts w:ascii="Book Antiqua" w:eastAsia="SimSun" w:hAnsi="Book Antiqua"/>
          <w:i/>
          <w:kern w:val="2"/>
          <w:lang w:val="en-US" w:eastAsia="zh-CN"/>
        </w:rPr>
        <w:t>Control Clin Trials</w:t>
      </w:r>
      <w:r w:rsidRPr="00A86175">
        <w:rPr>
          <w:rFonts w:ascii="Book Antiqua" w:eastAsia="SimSun" w:hAnsi="Book Antiqua"/>
          <w:kern w:val="2"/>
          <w:lang w:val="en-US" w:eastAsia="zh-CN"/>
        </w:rPr>
        <w:t xml:space="preserve"> 1986; </w:t>
      </w:r>
      <w:r w:rsidRPr="00A86175">
        <w:rPr>
          <w:rFonts w:ascii="Book Antiqua" w:eastAsia="SimSun" w:hAnsi="Book Antiqua"/>
          <w:b/>
          <w:kern w:val="2"/>
          <w:lang w:val="en-US" w:eastAsia="zh-CN"/>
        </w:rPr>
        <w:t>7</w:t>
      </w:r>
      <w:r w:rsidRPr="00A86175">
        <w:rPr>
          <w:rFonts w:ascii="Book Antiqua" w:eastAsia="SimSun" w:hAnsi="Book Antiqua"/>
          <w:kern w:val="2"/>
          <w:lang w:val="en-US" w:eastAsia="zh-CN"/>
        </w:rPr>
        <w:t>: 177-188 [PMID: 3802833]</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20 </w:t>
      </w:r>
      <w:r w:rsidRPr="00A86175">
        <w:rPr>
          <w:rFonts w:ascii="Book Antiqua" w:eastAsia="SimSun" w:hAnsi="Book Antiqua"/>
          <w:b/>
          <w:kern w:val="2"/>
          <w:lang w:val="en-US" w:eastAsia="zh-CN"/>
        </w:rPr>
        <w:t>Higgins JP,</w:t>
      </w:r>
      <w:r w:rsidRPr="00A86175">
        <w:rPr>
          <w:rFonts w:ascii="Book Antiqua" w:eastAsia="SimSun" w:hAnsi="Book Antiqua"/>
          <w:kern w:val="2"/>
          <w:lang w:val="en-US" w:eastAsia="zh-CN"/>
        </w:rPr>
        <w:t xml:space="preserve"> Green S. Cochrane Handbook for Systematic Reviews of Interventions. Version 5.1.0 (updated March 2011). The Cochrane Collaboration, 2011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21 </w:t>
      </w:r>
      <w:r w:rsidRPr="00A86175">
        <w:rPr>
          <w:rFonts w:ascii="Book Antiqua" w:eastAsia="SimSun" w:hAnsi="Book Antiqua"/>
          <w:b/>
          <w:kern w:val="2"/>
          <w:lang w:val="en-US" w:eastAsia="zh-CN"/>
        </w:rPr>
        <w:t>Viel JF</w:t>
      </w:r>
      <w:r w:rsidRPr="00A86175">
        <w:rPr>
          <w:rFonts w:ascii="Book Antiqua" w:eastAsia="SimSun" w:hAnsi="Book Antiqua"/>
          <w:kern w:val="2"/>
          <w:lang w:val="en-US" w:eastAsia="zh-CN"/>
        </w:rPr>
        <w:t xml:space="preserve">, Pobel D, Carré A. Incidence of leukaemia in young people around the La Hague nuclear waste reprocessing plant: a sensitivity analysis. </w:t>
      </w:r>
      <w:r w:rsidRPr="00A86175">
        <w:rPr>
          <w:rFonts w:ascii="Book Antiqua" w:eastAsia="SimSun" w:hAnsi="Book Antiqua"/>
          <w:i/>
          <w:kern w:val="2"/>
          <w:lang w:val="en-US" w:eastAsia="zh-CN"/>
        </w:rPr>
        <w:t>Stat Med</w:t>
      </w:r>
      <w:r w:rsidRPr="00A86175">
        <w:rPr>
          <w:rFonts w:ascii="Book Antiqua" w:eastAsia="SimSun" w:hAnsi="Book Antiqua"/>
          <w:kern w:val="2"/>
          <w:lang w:val="en-US" w:eastAsia="zh-CN"/>
        </w:rPr>
        <w:t xml:space="preserve"> 1995; </w:t>
      </w:r>
      <w:r w:rsidRPr="00A86175">
        <w:rPr>
          <w:rFonts w:ascii="Book Antiqua" w:eastAsia="SimSun" w:hAnsi="Book Antiqua"/>
          <w:b/>
          <w:kern w:val="2"/>
          <w:lang w:val="en-US" w:eastAsia="zh-CN"/>
        </w:rPr>
        <w:t>14</w:t>
      </w:r>
      <w:r w:rsidRPr="00A86175">
        <w:rPr>
          <w:rFonts w:ascii="Book Antiqua" w:eastAsia="SimSun" w:hAnsi="Book Antiqua"/>
          <w:kern w:val="2"/>
          <w:lang w:val="en-US" w:eastAsia="zh-CN"/>
        </w:rPr>
        <w:t xml:space="preserve">: </w:t>
      </w:r>
      <w:r w:rsidRPr="00A86175">
        <w:rPr>
          <w:rFonts w:ascii="Book Antiqua" w:eastAsia="SimSun" w:hAnsi="Book Antiqua"/>
          <w:kern w:val="2"/>
          <w:lang w:val="en-US" w:eastAsia="zh-CN"/>
        </w:rPr>
        <w:lastRenderedPageBreak/>
        <w:t>2459-2472 [PMID: 8711281]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22 </w:t>
      </w:r>
      <w:r w:rsidRPr="00A86175">
        <w:rPr>
          <w:rFonts w:ascii="Book Antiqua" w:eastAsia="SimSun" w:hAnsi="Book Antiqua"/>
          <w:b/>
          <w:kern w:val="2"/>
          <w:lang w:val="en-US" w:eastAsia="zh-CN"/>
        </w:rPr>
        <w:t>Wells G</w:t>
      </w:r>
      <w:r w:rsidRPr="00A86175">
        <w:rPr>
          <w:rFonts w:ascii="Book Antiqua" w:eastAsia="SimSun" w:hAnsi="Book Antiqua"/>
          <w:kern w:val="2"/>
          <w:lang w:val="en-US" w:eastAsia="zh-CN"/>
        </w:rPr>
        <w:t xml:space="preserve">, Shea B, O’connell D, Peterson J, Welch V, Losos M, Tugwell P. The Newcastle-Ottawa </w:t>
      </w:r>
      <w:r w:rsidRPr="00A86175">
        <w:rPr>
          <w:rFonts w:ascii="Book Antiqua" w:eastAsia="SimSun" w:hAnsi="Book Antiqua"/>
          <w:caps/>
          <w:kern w:val="2"/>
          <w:lang w:val="en-US" w:eastAsia="zh-CN"/>
        </w:rPr>
        <w:t>s</w:t>
      </w:r>
      <w:r w:rsidRPr="00A86175">
        <w:rPr>
          <w:rFonts w:ascii="Book Antiqua" w:eastAsia="SimSun" w:hAnsi="Book Antiqua"/>
          <w:kern w:val="2"/>
          <w:lang w:val="en-US" w:eastAsia="zh-CN"/>
        </w:rPr>
        <w:t>cale (NOS) for assessing the quality of nonrandomised studies in meta-analyses. 2010</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23 </w:t>
      </w:r>
      <w:r w:rsidRPr="00A86175">
        <w:rPr>
          <w:rFonts w:ascii="Book Antiqua" w:eastAsia="SimSun" w:hAnsi="Book Antiqua"/>
          <w:b/>
          <w:kern w:val="2"/>
          <w:lang w:val="en-US" w:eastAsia="zh-CN"/>
        </w:rPr>
        <w:t>Stevens PE</w:t>
      </w:r>
      <w:r w:rsidRPr="00A86175">
        <w:rPr>
          <w:rFonts w:ascii="Book Antiqua" w:eastAsia="SimSun" w:hAnsi="Book Antiqua"/>
          <w:kern w:val="2"/>
          <w:lang w:val="en-US" w:eastAsia="zh-CN"/>
        </w:rPr>
        <w:t xml:space="preserve">, Levin A; Kidney Disease: Improving Global Outcomes Chronic Kidney Disease Guideline Development Work Group Members. Evaluation and management of chronic kidney disease: synopsis of the kidney disease: improving global outcomes 2012 clinical practice guideline. </w:t>
      </w:r>
      <w:r w:rsidRPr="00A86175">
        <w:rPr>
          <w:rFonts w:ascii="Book Antiqua" w:eastAsia="SimSun" w:hAnsi="Book Antiqua"/>
          <w:i/>
          <w:kern w:val="2"/>
          <w:lang w:val="en-US" w:eastAsia="zh-CN"/>
        </w:rPr>
        <w:t>Ann Intern Med</w:t>
      </w:r>
      <w:r w:rsidRPr="00A86175">
        <w:rPr>
          <w:rFonts w:ascii="Book Antiqua" w:eastAsia="SimSun" w:hAnsi="Book Antiqua"/>
          <w:kern w:val="2"/>
          <w:lang w:val="en-US" w:eastAsia="zh-CN"/>
        </w:rPr>
        <w:t xml:space="preserve"> 2013; </w:t>
      </w:r>
      <w:r w:rsidRPr="00A86175">
        <w:rPr>
          <w:rFonts w:ascii="Book Antiqua" w:eastAsia="SimSun" w:hAnsi="Book Antiqua"/>
          <w:b/>
          <w:kern w:val="2"/>
          <w:lang w:val="en-US" w:eastAsia="zh-CN"/>
        </w:rPr>
        <w:t>158</w:t>
      </w:r>
      <w:r w:rsidRPr="00A86175">
        <w:rPr>
          <w:rFonts w:ascii="Book Antiqua" w:eastAsia="SimSun" w:hAnsi="Book Antiqua"/>
          <w:kern w:val="2"/>
          <w:lang w:val="en-US" w:eastAsia="zh-CN"/>
        </w:rPr>
        <w:t>: 825-830 [PMID: 23732715 DOI: 10.7326/0003-4819-158-11-201306040-00007]</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24 </w:t>
      </w:r>
      <w:r w:rsidRPr="00A86175">
        <w:rPr>
          <w:rFonts w:ascii="Book Antiqua" w:eastAsia="SimSun" w:hAnsi="Book Antiqua"/>
          <w:b/>
          <w:kern w:val="2"/>
          <w:lang w:val="en-US" w:eastAsia="zh-CN"/>
        </w:rPr>
        <w:t>Alvarez L</w:t>
      </w:r>
      <w:r w:rsidRPr="00A86175">
        <w:rPr>
          <w:rFonts w:ascii="Book Antiqua" w:eastAsia="SimSun" w:hAnsi="Book Antiqua"/>
          <w:kern w:val="2"/>
          <w:lang w:val="en-US" w:eastAsia="zh-CN"/>
        </w:rPr>
        <w:t xml:space="preserve">, Puleo J, Balint JA. Investigation of gastrointestinal bleeding in patients with end stage renal disease. </w:t>
      </w:r>
      <w:r w:rsidRPr="00A86175">
        <w:rPr>
          <w:rFonts w:ascii="Book Antiqua" w:eastAsia="SimSun" w:hAnsi="Book Antiqua"/>
          <w:i/>
          <w:kern w:val="2"/>
          <w:lang w:val="en-US" w:eastAsia="zh-CN"/>
        </w:rPr>
        <w:t>Am J Gastroenterol</w:t>
      </w:r>
      <w:r w:rsidRPr="00A86175">
        <w:rPr>
          <w:rFonts w:ascii="Book Antiqua" w:eastAsia="SimSun" w:hAnsi="Book Antiqua"/>
          <w:kern w:val="2"/>
          <w:lang w:val="en-US" w:eastAsia="zh-CN"/>
        </w:rPr>
        <w:t xml:space="preserve"> 1993; </w:t>
      </w:r>
      <w:r w:rsidRPr="00A86175">
        <w:rPr>
          <w:rFonts w:ascii="Book Antiqua" w:eastAsia="SimSun" w:hAnsi="Book Antiqua"/>
          <w:b/>
          <w:kern w:val="2"/>
          <w:lang w:val="en-US" w:eastAsia="zh-CN"/>
        </w:rPr>
        <w:t>88</w:t>
      </w:r>
      <w:r w:rsidRPr="00A86175">
        <w:rPr>
          <w:rFonts w:ascii="Book Antiqua" w:eastAsia="SimSun" w:hAnsi="Book Antiqua"/>
          <w:kern w:val="2"/>
          <w:lang w:val="en-US" w:eastAsia="zh-CN"/>
        </w:rPr>
        <w:t>: 30-33 [PMID: 8420270]</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25 </w:t>
      </w:r>
      <w:r w:rsidRPr="00A86175">
        <w:rPr>
          <w:rFonts w:ascii="Book Antiqua" w:eastAsia="SimSun" w:hAnsi="Book Antiqua"/>
          <w:b/>
          <w:kern w:val="2"/>
          <w:lang w:val="en-US" w:eastAsia="zh-CN"/>
        </w:rPr>
        <w:t>Hung TH</w:t>
      </w:r>
      <w:r w:rsidRPr="00A86175">
        <w:rPr>
          <w:rFonts w:ascii="Book Antiqua" w:eastAsia="SimSun" w:hAnsi="Book Antiqua"/>
          <w:kern w:val="2"/>
          <w:lang w:val="en-US" w:eastAsia="zh-CN"/>
        </w:rPr>
        <w:t xml:space="preserve">, Tseng CW, Tseng KC, Hsieh YH, Tsai CC, Tsai CC. Is end stage renal disease a risk factor for the mortality of cirrhotic patients with esophageal variceal bleeding? </w:t>
      </w:r>
      <w:r w:rsidRPr="00A86175">
        <w:rPr>
          <w:rFonts w:ascii="Book Antiqua" w:eastAsia="SimSun" w:hAnsi="Book Antiqua"/>
          <w:i/>
          <w:kern w:val="2"/>
          <w:lang w:val="en-US" w:eastAsia="zh-CN"/>
        </w:rPr>
        <w:t>Hepatogastroenterology</w:t>
      </w:r>
      <w:r w:rsidRPr="00A86175">
        <w:rPr>
          <w:rFonts w:ascii="Book Antiqua" w:eastAsia="SimSun" w:hAnsi="Book Antiqua"/>
          <w:kern w:val="2"/>
          <w:lang w:val="en-US" w:eastAsia="zh-CN"/>
        </w:rPr>
        <w:t xml:space="preserve"> 2014; </w:t>
      </w:r>
      <w:r w:rsidRPr="00A86175">
        <w:rPr>
          <w:rFonts w:ascii="Book Antiqua" w:eastAsia="SimSun" w:hAnsi="Book Antiqua"/>
          <w:b/>
          <w:kern w:val="2"/>
          <w:lang w:val="en-US" w:eastAsia="zh-CN"/>
        </w:rPr>
        <w:t>61</w:t>
      </w:r>
      <w:r w:rsidRPr="00A86175">
        <w:rPr>
          <w:rFonts w:ascii="Book Antiqua" w:eastAsia="SimSun" w:hAnsi="Book Antiqua"/>
          <w:kern w:val="2"/>
          <w:lang w:val="en-US" w:eastAsia="zh-CN"/>
        </w:rPr>
        <w:t>: 1871-1875 [PMID: 25713881]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26 </w:t>
      </w:r>
      <w:r w:rsidRPr="00A86175">
        <w:rPr>
          <w:rFonts w:ascii="Book Antiqua" w:eastAsia="SimSun" w:hAnsi="Book Antiqua"/>
          <w:b/>
          <w:kern w:val="2"/>
          <w:lang w:val="en-US" w:eastAsia="zh-CN"/>
        </w:rPr>
        <w:t>Zuckerman GR</w:t>
      </w:r>
      <w:r w:rsidRPr="00A86175">
        <w:rPr>
          <w:rFonts w:ascii="Book Antiqua" w:eastAsia="SimSun" w:hAnsi="Book Antiqua"/>
          <w:kern w:val="2"/>
          <w:lang w:val="en-US" w:eastAsia="zh-CN"/>
        </w:rPr>
        <w:t xml:space="preserve">, Cornette GL, Clouse RE, Harter HR. Upper gastrointestinal bleeding in patients with chronic renal failure. </w:t>
      </w:r>
      <w:r w:rsidRPr="00A86175">
        <w:rPr>
          <w:rFonts w:ascii="Book Antiqua" w:eastAsia="SimSun" w:hAnsi="Book Antiqua"/>
          <w:i/>
          <w:kern w:val="2"/>
          <w:lang w:val="en-US" w:eastAsia="zh-CN"/>
        </w:rPr>
        <w:t>Ann Intern Med</w:t>
      </w:r>
      <w:r w:rsidRPr="00A86175">
        <w:rPr>
          <w:rFonts w:ascii="Book Antiqua" w:eastAsia="SimSun" w:hAnsi="Book Antiqua"/>
          <w:kern w:val="2"/>
          <w:lang w:val="en-US" w:eastAsia="zh-CN"/>
        </w:rPr>
        <w:t xml:space="preserve"> 1985; </w:t>
      </w:r>
      <w:r w:rsidRPr="00A86175">
        <w:rPr>
          <w:rFonts w:ascii="Book Antiqua" w:eastAsia="SimSun" w:hAnsi="Book Antiqua"/>
          <w:b/>
          <w:kern w:val="2"/>
          <w:lang w:val="en-US" w:eastAsia="zh-CN"/>
        </w:rPr>
        <w:t>102</w:t>
      </w:r>
      <w:r w:rsidRPr="00A86175">
        <w:rPr>
          <w:rFonts w:ascii="Book Antiqua" w:eastAsia="SimSun" w:hAnsi="Book Antiqua"/>
          <w:kern w:val="2"/>
          <w:lang w:val="en-US" w:eastAsia="zh-CN"/>
        </w:rPr>
        <w:t>: 588-592 [PMID: 3872616]</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27 </w:t>
      </w:r>
      <w:r w:rsidRPr="00A86175">
        <w:rPr>
          <w:rFonts w:ascii="Book Antiqua" w:eastAsia="SimSun" w:hAnsi="Book Antiqua"/>
          <w:b/>
          <w:kern w:val="2"/>
          <w:lang w:val="en-US" w:eastAsia="zh-CN"/>
        </w:rPr>
        <w:t>Sugimoto M</w:t>
      </w:r>
      <w:r w:rsidRPr="00A86175">
        <w:rPr>
          <w:rFonts w:ascii="Book Antiqua" w:eastAsia="SimSun" w:hAnsi="Book Antiqua"/>
          <w:kern w:val="2"/>
          <w:lang w:val="en-US" w:eastAsia="zh-CN"/>
        </w:rPr>
        <w:t xml:space="preserve">, Sakai K, Kita M, Imanishi J, Yamaoka Y. Prevalence of Helicobacter pylori infection in long-term hemodialysis patients. </w:t>
      </w:r>
      <w:r w:rsidRPr="00A86175">
        <w:rPr>
          <w:rFonts w:ascii="Book Antiqua" w:eastAsia="SimSun" w:hAnsi="Book Antiqua"/>
          <w:i/>
          <w:kern w:val="2"/>
          <w:lang w:val="en-US" w:eastAsia="zh-CN"/>
        </w:rPr>
        <w:t>Kidney Int</w:t>
      </w:r>
      <w:r w:rsidRPr="00A86175">
        <w:rPr>
          <w:rFonts w:ascii="Book Antiqua" w:eastAsia="SimSun" w:hAnsi="Book Antiqua"/>
          <w:kern w:val="2"/>
          <w:lang w:val="en-US" w:eastAsia="zh-CN"/>
        </w:rPr>
        <w:t xml:space="preserve"> 2009; </w:t>
      </w:r>
      <w:r w:rsidRPr="00A86175">
        <w:rPr>
          <w:rFonts w:ascii="Book Antiqua" w:eastAsia="SimSun" w:hAnsi="Book Antiqua"/>
          <w:b/>
          <w:kern w:val="2"/>
          <w:lang w:val="en-US" w:eastAsia="zh-CN"/>
        </w:rPr>
        <w:t>75</w:t>
      </w:r>
      <w:r w:rsidRPr="00A86175">
        <w:rPr>
          <w:rFonts w:ascii="Book Antiqua" w:eastAsia="SimSun" w:hAnsi="Book Antiqua"/>
          <w:kern w:val="2"/>
          <w:lang w:val="en-US" w:eastAsia="zh-CN"/>
        </w:rPr>
        <w:t>: 96-103 [PMID: 18843261 DOI: 10.1038/ki.2008.508]</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28 </w:t>
      </w:r>
      <w:r w:rsidRPr="00A86175">
        <w:rPr>
          <w:rFonts w:ascii="Book Antiqua" w:eastAsia="SimSun" w:hAnsi="Book Antiqua"/>
          <w:b/>
          <w:kern w:val="2"/>
          <w:lang w:val="en-US" w:eastAsia="zh-CN"/>
        </w:rPr>
        <w:t>Khedmat H</w:t>
      </w:r>
      <w:r w:rsidRPr="00A86175">
        <w:rPr>
          <w:rFonts w:ascii="Book Antiqua" w:eastAsia="SimSun" w:hAnsi="Book Antiqua"/>
          <w:kern w:val="2"/>
          <w:lang w:val="en-US" w:eastAsia="zh-CN"/>
        </w:rPr>
        <w:t xml:space="preserve">, Ahmadzad-Asl M, Amini M, Lessan-Pezeshki M, Einollahi B, Pourfarziani V, Naseri MH, Davoudi F. Gastro-duodenal lesions and Helicobacter pylori infection in uremic patients and renal transplant recipients. </w:t>
      </w:r>
      <w:r w:rsidRPr="00A86175">
        <w:rPr>
          <w:rFonts w:ascii="Book Antiqua" w:eastAsia="SimSun" w:hAnsi="Book Antiqua"/>
          <w:i/>
          <w:kern w:val="2"/>
          <w:lang w:val="en-US" w:eastAsia="zh-CN"/>
        </w:rPr>
        <w:t>Transplant Proc</w:t>
      </w:r>
      <w:r w:rsidRPr="00A86175">
        <w:rPr>
          <w:rFonts w:ascii="Book Antiqua" w:eastAsia="SimSun" w:hAnsi="Book Antiqua"/>
          <w:kern w:val="2"/>
          <w:lang w:val="en-US" w:eastAsia="zh-CN"/>
        </w:rPr>
        <w:t xml:space="preserve"> 2007; </w:t>
      </w:r>
      <w:r w:rsidRPr="00A86175">
        <w:rPr>
          <w:rFonts w:ascii="Book Antiqua" w:eastAsia="SimSun" w:hAnsi="Book Antiqua"/>
          <w:b/>
          <w:kern w:val="2"/>
          <w:lang w:val="en-US" w:eastAsia="zh-CN"/>
        </w:rPr>
        <w:t>39</w:t>
      </w:r>
      <w:r w:rsidRPr="00A86175">
        <w:rPr>
          <w:rFonts w:ascii="Book Antiqua" w:eastAsia="SimSun" w:hAnsi="Book Antiqua"/>
          <w:kern w:val="2"/>
          <w:lang w:val="en-US" w:eastAsia="zh-CN"/>
        </w:rPr>
        <w:t>: 1003-1007 [PMID: 17524875 DOI: 10.1016/j.transproceed.2007.03.034]</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29 </w:t>
      </w:r>
      <w:r w:rsidRPr="00A86175">
        <w:rPr>
          <w:rFonts w:ascii="Book Antiqua" w:eastAsia="SimSun" w:hAnsi="Book Antiqua"/>
          <w:b/>
          <w:kern w:val="2"/>
          <w:lang w:val="en-US" w:eastAsia="zh-CN"/>
        </w:rPr>
        <w:t>Luo JC</w:t>
      </w:r>
      <w:r w:rsidRPr="00A86175">
        <w:rPr>
          <w:rFonts w:ascii="Book Antiqua" w:eastAsia="SimSun" w:hAnsi="Book Antiqua"/>
          <w:kern w:val="2"/>
          <w:lang w:val="en-US" w:eastAsia="zh-CN"/>
        </w:rPr>
        <w:t xml:space="preserve">, Leu HB, Huang KW, Huang CC, Hou MC, Lin HC, Lee FY, Lee SD. Incidence of bleeding from gastroduodenal ulcers in patients with end-stage renal disease receiving hemodialysis. </w:t>
      </w:r>
      <w:r w:rsidRPr="00A86175">
        <w:rPr>
          <w:rFonts w:ascii="Book Antiqua" w:eastAsia="SimSun" w:hAnsi="Book Antiqua"/>
          <w:i/>
          <w:kern w:val="2"/>
          <w:lang w:val="en-US" w:eastAsia="zh-CN"/>
        </w:rPr>
        <w:t>CMAJ</w:t>
      </w:r>
      <w:r w:rsidRPr="00A86175">
        <w:rPr>
          <w:rFonts w:ascii="Book Antiqua" w:eastAsia="SimSun" w:hAnsi="Book Antiqua"/>
          <w:kern w:val="2"/>
          <w:lang w:val="en-US" w:eastAsia="zh-CN"/>
        </w:rPr>
        <w:t xml:space="preserve"> 2011; </w:t>
      </w:r>
      <w:r w:rsidRPr="00A86175">
        <w:rPr>
          <w:rFonts w:ascii="Book Antiqua" w:eastAsia="SimSun" w:hAnsi="Book Antiqua"/>
          <w:b/>
          <w:kern w:val="2"/>
          <w:lang w:val="en-US" w:eastAsia="zh-CN"/>
        </w:rPr>
        <w:t>183</w:t>
      </w:r>
      <w:r w:rsidRPr="00A86175">
        <w:rPr>
          <w:rFonts w:ascii="Book Antiqua" w:eastAsia="SimSun" w:hAnsi="Book Antiqua"/>
          <w:kern w:val="2"/>
          <w:lang w:val="en-US" w:eastAsia="zh-CN"/>
        </w:rPr>
        <w:t>: E1345-E1351 [PMID: 22083684 DOI: 10.1503/cmaj.110299]</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30 </w:t>
      </w:r>
      <w:r w:rsidRPr="00A86175">
        <w:rPr>
          <w:rFonts w:ascii="Book Antiqua" w:eastAsia="SimSun" w:hAnsi="Book Antiqua"/>
          <w:b/>
          <w:kern w:val="2"/>
          <w:lang w:val="en-US" w:eastAsia="zh-CN"/>
        </w:rPr>
        <w:t>Kalman RS</w:t>
      </w:r>
      <w:r w:rsidRPr="00A86175">
        <w:rPr>
          <w:rFonts w:ascii="Book Antiqua" w:eastAsia="SimSun" w:hAnsi="Book Antiqua"/>
          <w:kern w:val="2"/>
          <w:lang w:val="en-US" w:eastAsia="zh-CN"/>
        </w:rPr>
        <w:t xml:space="preserve">, Pedrosa MC. Evidence-based review of gastrointestinal bleeding in the chronic kidney disease patient. </w:t>
      </w:r>
      <w:r w:rsidRPr="00A86175">
        <w:rPr>
          <w:rFonts w:ascii="Book Antiqua" w:eastAsia="SimSun" w:hAnsi="Book Antiqua"/>
          <w:i/>
          <w:kern w:val="2"/>
          <w:lang w:val="en-US" w:eastAsia="zh-CN"/>
        </w:rPr>
        <w:t>Semin Dial</w:t>
      </w:r>
      <w:r w:rsidRPr="00A86175">
        <w:rPr>
          <w:rFonts w:ascii="Book Antiqua" w:eastAsia="SimSun" w:hAnsi="Book Antiqua"/>
          <w:kern w:val="2"/>
          <w:lang w:val="en-US" w:eastAsia="zh-CN"/>
        </w:rPr>
        <w:t xml:space="preserve"> 2015; </w:t>
      </w:r>
      <w:r w:rsidRPr="00A86175">
        <w:rPr>
          <w:rFonts w:ascii="Book Antiqua" w:eastAsia="SimSun" w:hAnsi="Book Antiqua"/>
          <w:b/>
          <w:kern w:val="2"/>
          <w:lang w:val="en-US" w:eastAsia="zh-CN"/>
        </w:rPr>
        <w:t>28</w:t>
      </w:r>
      <w:r w:rsidRPr="00A86175">
        <w:rPr>
          <w:rFonts w:ascii="Book Antiqua" w:eastAsia="SimSun" w:hAnsi="Book Antiqua"/>
          <w:kern w:val="2"/>
          <w:lang w:val="en-US" w:eastAsia="zh-CN"/>
        </w:rPr>
        <w:t>: 68-74 [PMID: 25215610 DOI: 10.1111/sdi.12301]</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lastRenderedPageBreak/>
        <w:t xml:space="preserve">31 </w:t>
      </w:r>
      <w:r w:rsidRPr="00A86175">
        <w:rPr>
          <w:rFonts w:ascii="Book Antiqua" w:eastAsia="SimSun" w:hAnsi="Book Antiqua"/>
          <w:b/>
          <w:kern w:val="2"/>
          <w:lang w:val="en-US" w:eastAsia="zh-CN"/>
        </w:rPr>
        <w:t>Weng SC</w:t>
      </w:r>
      <w:r w:rsidRPr="00A86175">
        <w:rPr>
          <w:rFonts w:ascii="Book Antiqua" w:eastAsia="SimSun" w:hAnsi="Book Antiqua"/>
          <w:kern w:val="2"/>
          <w:lang w:val="en-US" w:eastAsia="zh-CN"/>
        </w:rPr>
        <w:t xml:space="preserve">, Shu KH, Tarng DC, Tang YJ, Cheng CH, Chen CH, Yu TM, Chuang YW, Huang ST, Sheu WH, Wu MJ. In-hospital mortality risk estimation in patients with acute nonvariceal upper gastrointestinal bleeding undergoing hemodialysis: a retrospective cohort study. </w:t>
      </w:r>
      <w:r w:rsidRPr="00A86175">
        <w:rPr>
          <w:rFonts w:ascii="Book Antiqua" w:eastAsia="SimSun" w:hAnsi="Book Antiqua"/>
          <w:i/>
          <w:kern w:val="2"/>
          <w:lang w:val="en-US" w:eastAsia="zh-CN"/>
        </w:rPr>
        <w:t>Ren Fail</w:t>
      </w:r>
      <w:r w:rsidRPr="00A86175">
        <w:rPr>
          <w:rFonts w:ascii="Book Antiqua" w:eastAsia="SimSun" w:hAnsi="Book Antiqua"/>
          <w:kern w:val="2"/>
          <w:lang w:val="en-US" w:eastAsia="zh-CN"/>
        </w:rPr>
        <w:t xml:space="preserve"> 2013; </w:t>
      </w:r>
      <w:r w:rsidRPr="00A86175">
        <w:rPr>
          <w:rFonts w:ascii="Book Antiqua" w:eastAsia="SimSun" w:hAnsi="Book Antiqua"/>
          <w:b/>
          <w:kern w:val="2"/>
          <w:lang w:val="en-US" w:eastAsia="zh-CN"/>
        </w:rPr>
        <w:t>35</w:t>
      </w:r>
      <w:r w:rsidRPr="00A86175">
        <w:rPr>
          <w:rFonts w:ascii="Book Antiqua" w:eastAsia="SimSun" w:hAnsi="Book Antiqua"/>
          <w:kern w:val="2"/>
          <w:lang w:val="en-US" w:eastAsia="zh-CN"/>
        </w:rPr>
        <w:t>: 243-248 [PMID: 23336331 DOI: 10.3109/0886022x.2012.747140]</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32 </w:t>
      </w:r>
      <w:r w:rsidRPr="00A86175">
        <w:rPr>
          <w:rFonts w:ascii="Book Antiqua" w:eastAsia="SimSun" w:hAnsi="Book Antiqua"/>
          <w:b/>
          <w:kern w:val="2"/>
          <w:lang w:val="en-US" w:eastAsia="zh-CN"/>
        </w:rPr>
        <w:t>Holden RM</w:t>
      </w:r>
      <w:r w:rsidRPr="00A86175">
        <w:rPr>
          <w:rFonts w:ascii="Book Antiqua" w:eastAsia="SimSun" w:hAnsi="Book Antiqua"/>
          <w:kern w:val="2"/>
          <w:lang w:val="en-US" w:eastAsia="zh-CN"/>
        </w:rPr>
        <w:t xml:space="preserve">, Harman GJ, Wang M, Holland D, Day AG. Major bleeding in hemodialysis patients. </w:t>
      </w:r>
      <w:r w:rsidRPr="00A86175">
        <w:rPr>
          <w:rFonts w:ascii="Book Antiqua" w:eastAsia="SimSun" w:hAnsi="Book Antiqua"/>
          <w:i/>
          <w:kern w:val="2"/>
          <w:lang w:val="en-US" w:eastAsia="zh-CN"/>
        </w:rPr>
        <w:t>Clin J Am Soc Nephrol</w:t>
      </w:r>
      <w:r w:rsidRPr="00A86175">
        <w:rPr>
          <w:rFonts w:ascii="Book Antiqua" w:eastAsia="SimSun" w:hAnsi="Book Antiqua"/>
          <w:kern w:val="2"/>
          <w:lang w:val="en-US" w:eastAsia="zh-CN"/>
        </w:rPr>
        <w:t xml:space="preserve"> 2008; </w:t>
      </w:r>
      <w:r w:rsidRPr="00A86175">
        <w:rPr>
          <w:rFonts w:ascii="Book Antiqua" w:eastAsia="SimSun" w:hAnsi="Book Antiqua"/>
          <w:b/>
          <w:kern w:val="2"/>
          <w:lang w:val="en-US" w:eastAsia="zh-CN"/>
        </w:rPr>
        <w:t>3</w:t>
      </w:r>
      <w:r w:rsidRPr="00A86175">
        <w:rPr>
          <w:rFonts w:ascii="Book Antiqua" w:eastAsia="SimSun" w:hAnsi="Book Antiqua"/>
          <w:kern w:val="2"/>
          <w:lang w:val="en-US" w:eastAsia="zh-CN"/>
        </w:rPr>
        <w:t>: 105-110 [PMID: 18003768 DOI: 10.2215/cjn.01810407]</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33 </w:t>
      </w:r>
      <w:r w:rsidRPr="00A86175">
        <w:rPr>
          <w:rFonts w:ascii="Book Antiqua" w:eastAsia="SimSun" w:hAnsi="Book Antiqua"/>
          <w:b/>
          <w:kern w:val="2"/>
          <w:lang w:val="en-US" w:eastAsia="zh-CN"/>
        </w:rPr>
        <w:t>Wasse H</w:t>
      </w:r>
      <w:r w:rsidRPr="00A86175">
        <w:rPr>
          <w:rFonts w:ascii="Book Antiqua" w:eastAsia="SimSun" w:hAnsi="Book Antiqua"/>
          <w:kern w:val="2"/>
          <w:lang w:val="en-US" w:eastAsia="zh-CN"/>
        </w:rPr>
        <w:t xml:space="preserve">, Gillen DL, Ball AM, Kestenbaum BR, Seliger SL, Sherrard D, Stehman-Breen CO. Risk factors for upper gastrointestinal bleeding among end-stage renal disease patients. </w:t>
      </w:r>
      <w:r w:rsidRPr="00A86175">
        <w:rPr>
          <w:rFonts w:ascii="Book Antiqua" w:eastAsia="SimSun" w:hAnsi="Book Antiqua"/>
          <w:i/>
          <w:kern w:val="2"/>
          <w:lang w:val="en-US" w:eastAsia="zh-CN"/>
        </w:rPr>
        <w:t>Kidney Int</w:t>
      </w:r>
      <w:r w:rsidRPr="00A86175">
        <w:rPr>
          <w:rFonts w:ascii="Book Antiqua" w:eastAsia="SimSun" w:hAnsi="Book Antiqua"/>
          <w:kern w:val="2"/>
          <w:lang w:val="en-US" w:eastAsia="zh-CN"/>
        </w:rPr>
        <w:t xml:space="preserve"> 2003; </w:t>
      </w:r>
      <w:r w:rsidRPr="00A86175">
        <w:rPr>
          <w:rFonts w:ascii="Book Antiqua" w:eastAsia="SimSun" w:hAnsi="Book Antiqua"/>
          <w:b/>
          <w:kern w:val="2"/>
          <w:lang w:val="en-US" w:eastAsia="zh-CN"/>
        </w:rPr>
        <w:t>64</w:t>
      </w:r>
      <w:r w:rsidRPr="00A86175">
        <w:rPr>
          <w:rFonts w:ascii="Book Antiqua" w:eastAsia="SimSun" w:hAnsi="Book Antiqua"/>
          <w:kern w:val="2"/>
          <w:lang w:val="en-US" w:eastAsia="zh-CN"/>
        </w:rPr>
        <w:t>: 1455-1461 [PMID: 12969166 DOI: 10.1046/j.1523-1755.2003.00225.x]</w:t>
      </w:r>
    </w:p>
    <w:p w:rsidR="00890DAC" w:rsidRPr="00A86175" w:rsidRDefault="00890DAC" w:rsidP="00951B85">
      <w:pPr>
        <w:widowControl w:val="0"/>
        <w:snapToGrid w:val="0"/>
        <w:spacing w:line="360" w:lineRule="auto"/>
        <w:jc w:val="both"/>
        <w:rPr>
          <w:rFonts w:ascii="Book Antiqua" w:eastAsia="SimSun" w:hAnsi="Book Antiqua"/>
          <w:kern w:val="2"/>
          <w:lang w:val="en-US" w:eastAsia="zh-CN"/>
        </w:rPr>
      </w:pPr>
      <w:r w:rsidRPr="00A86175">
        <w:rPr>
          <w:rFonts w:ascii="Book Antiqua" w:eastAsia="SimSun" w:hAnsi="Book Antiqua"/>
          <w:kern w:val="2"/>
          <w:lang w:val="en-US" w:eastAsia="zh-CN"/>
        </w:rPr>
        <w:t xml:space="preserve">34 </w:t>
      </w:r>
      <w:r w:rsidRPr="00A86175">
        <w:rPr>
          <w:rFonts w:ascii="Book Antiqua" w:eastAsia="SimSun" w:hAnsi="Book Antiqua"/>
          <w:b/>
          <w:kern w:val="2"/>
          <w:lang w:val="en-US" w:eastAsia="zh-CN"/>
        </w:rPr>
        <w:t>Jalal DI</w:t>
      </w:r>
      <w:r w:rsidRPr="00A86175">
        <w:rPr>
          <w:rFonts w:ascii="Book Antiqua" w:eastAsia="SimSun" w:hAnsi="Book Antiqua"/>
          <w:kern w:val="2"/>
          <w:lang w:val="en-US" w:eastAsia="zh-CN"/>
        </w:rPr>
        <w:t xml:space="preserve">, Chonchol M, Targher G. Disorders of hemostasis associated with chronic kidney disease. </w:t>
      </w:r>
      <w:r w:rsidRPr="00A86175">
        <w:rPr>
          <w:rFonts w:ascii="Book Antiqua" w:eastAsia="SimSun" w:hAnsi="Book Antiqua"/>
          <w:i/>
          <w:kern w:val="2"/>
          <w:lang w:val="en-US" w:eastAsia="zh-CN"/>
        </w:rPr>
        <w:t>Semin Thromb Hemost</w:t>
      </w:r>
      <w:r w:rsidRPr="00A86175">
        <w:rPr>
          <w:rFonts w:ascii="Book Antiqua" w:eastAsia="SimSun" w:hAnsi="Book Antiqua"/>
          <w:kern w:val="2"/>
          <w:lang w:val="en-US" w:eastAsia="zh-CN"/>
        </w:rPr>
        <w:t xml:space="preserve"> 2010; </w:t>
      </w:r>
      <w:r w:rsidRPr="00A86175">
        <w:rPr>
          <w:rFonts w:ascii="Book Antiqua" w:eastAsia="SimSun" w:hAnsi="Book Antiqua"/>
          <w:b/>
          <w:kern w:val="2"/>
          <w:lang w:val="en-US" w:eastAsia="zh-CN"/>
        </w:rPr>
        <w:t>36</w:t>
      </w:r>
      <w:r w:rsidRPr="00A86175">
        <w:rPr>
          <w:rFonts w:ascii="Book Antiqua" w:eastAsia="SimSun" w:hAnsi="Book Antiqua"/>
          <w:kern w:val="2"/>
          <w:lang w:val="en-US" w:eastAsia="zh-CN"/>
        </w:rPr>
        <w:t>: 34-40 [PMID: 20391294 DOI: 10.1055/s-0030-1248722]</w:t>
      </w:r>
    </w:p>
    <w:p w:rsidR="00890DAC" w:rsidRPr="00A86175" w:rsidRDefault="00890DAC" w:rsidP="00353FEC">
      <w:pPr>
        <w:snapToGrid w:val="0"/>
        <w:spacing w:line="360" w:lineRule="auto"/>
        <w:jc w:val="right"/>
        <w:rPr>
          <w:rFonts w:ascii="Book Antiqua" w:eastAsia="SimSun" w:hAnsi="Book Antiqua"/>
          <w:b/>
          <w:bCs/>
          <w:lang w:val="en-US" w:eastAsia="zh-CN"/>
        </w:rPr>
      </w:pPr>
      <w:bookmarkStart w:id="35" w:name="OLE_LINK51"/>
      <w:bookmarkStart w:id="36" w:name="OLE_LINK52"/>
      <w:bookmarkStart w:id="37" w:name="OLE_LINK120"/>
      <w:bookmarkStart w:id="38" w:name="OLE_LINK148"/>
      <w:bookmarkStart w:id="39" w:name="OLE_LINK72"/>
      <w:bookmarkStart w:id="40" w:name="OLE_LINK112"/>
      <w:bookmarkStart w:id="41" w:name="OLE_LINK320"/>
      <w:bookmarkStart w:id="42" w:name="OLE_LINK387"/>
      <w:bookmarkStart w:id="43" w:name="OLE_LINK183"/>
      <w:bookmarkStart w:id="44" w:name="OLE_LINK254"/>
      <w:bookmarkStart w:id="45" w:name="OLE_LINK149"/>
      <w:bookmarkStart w:id="46" w:name="OLE_LINK225"/>
      <w:bookmarkStart w:id="47" w:name="OLE_LINK207"/>
      <w:bookmarkStart w:id="48" w:name="OLE_LINK226"/>
      <w:bookmarkStart w:id="49" w:name="OLE_LINK212"/>
      <w:bookmarkStart w:id="50" w:name="OLE_LINK250"/>
      <w:bookmarkStart w:id="51" w:name="OLE_LINK281"/>
      <w:bookmarkStart w:id="52" w:name="OLE_LINK282"/>
      <w:bookmarkStart w:id="53" w:name="OLE_LINK313"/>
      <w:bookmarkStart w:id="54" w:name="OLE_LINK304"/>
      <w:bookmarkStart w:id="55" w:name="OLE_LINK321"/>
      <w:bookmarkStart w:id="56" w:name="OLE_LINK385"/>
      <w:bookmarkStart w:id="57" w:name="OLE_LINK400"/>
      <w:bookmarkStart w:id="58" w:name="OLE_LINK346"/>
      <w:bookmarkStart w:id="59" w:name="OLE_LINK371"/>
      <w:bookmarkStart w:id="60" w:name="OLE_LINK334"/>
      <w:bookmarkStart w:id="61" w:name="OLE_LINK1830"/>
      <w:bookmarkStart w:id="62" w:name="OLE_LINK457"/>
      <w:bookmarkStart w:id="63" w:name="OLE_LINK288"/>
      <w:bookmarkStart w:id="64" w:name="OLE_LINK384"/>
      <w:bookmarkStart w:id="65" w:name="OLE_LINK379"/>
      <w:bookmarkStart w:id="66" w:name="OLE_LINK303"/>
      <w:bookmarkStart w:id="67" w:name="OLE_LINK450"/>
      <w:bookmarkStart w:id="68" w:name="OLE_LINK489"/>
      <w:bookmarkStart w:id="69" w:name="OLE_LINK535"/>
      <w:bookmarkStart w:id="70" w:name="OLE_LINK648"/>
      <w:bookmarkStart w:id="71" w:name="OLE_LINK686"/>
      <w:bookmarkStart w:id="72" w:name="OLE_LINK471"/>
      <w:bookmarkStart w:id="73" w:name="OLE_LINK462"/>
      <w:bookmarkStart w:id="74" w:name="OLE_LINK519"/>
      <w:bookmarkStart w:id="75" w:name="OLE_LINK575"/>
      <w:bookmarkStart w:id="76" w:name="OLE_LINK491"/>
      <w:bookmarkStart w:id="77" w:name="OLE_LINK532"/>
      <w:bookmarkStart w:id="78" w:name="OLE_LINK572"/>
      <w:bookmarkStart w:id="79" w:name="OLE_LINK574"/>
      <w:bookmarkStart w:id="80" w:name="OLE_LINK480"/>
      <w:bookmarkStart w:id="81" w:name="OLE_LINK567"/>
      <w:bookmarkStart w:id="82" w:name="OLE_LINK2700"/>
      <w:bookmarkStart w:id="83" w:name="OLE_LINK581"/>
      <w:bookmarkStart w:id="84" w:name="OLE_LINK639"/>
      <w:bookmarkStart w:id="85" w:name="OLE_LINK688"/>
      <w:bookmarkStart w:id="86" w:name="OLE_LINK722"/>
      <w:bookmarkStart w:id="87" w:name="OLE_LINK542"/>
      <w:bookmarkStart w:id="88" w:name="OLE_LINK589"/>
      <w:bookmarkStart w:id="89" w:name="OLE_LINK582"/>
      <w:bookmarkStart w:id="90" w:name="OLE_LINK640"/>
      <w:bookmarkStart w:id="91" w:name="OLE_LINK714"/>
      <w:bookmarkStart w:id="92" w:name="OLE_LINK593"/>
      <w:bookmarkStart w:id="93" w:name="OLE_LINK716"/>
      <w:bookmarkStart w:id="94" w:name="OLE_LINK770"/>
      <w:bookmarkStart w:id="95" w:name="OLE_LINK801"/>
      <w:bookmarkStart w:id="96" w:name="OLE_LINK660"/>
      <w:bookmarkStart w:id="97" w:name="OLE_LINK781"/>
      <w:bookmarkStart w:id="98" w:name="OLE_LINK833"/>
      <w:bookmarkStart w:id="99" w:name="OLE_LINK642"/>
      <w:bookmarkStart w:id="100" w:name="OLE_LINK700"/>
      <w:bookmarkStart w:id="101" w:name="OLE_LINK792"/>
      <w:bookmarkStart w:id="102" w:name="OLE_LINK2882"/>
      <w:bookmarkStart w:id="103" w:name="OLE_LINK836"/>
      <w:bookmarkStart w:id="104" w:name="OLE_LINK889"/>
      <w:bookmarkStart w:id="105" w:name="OLE_LINK782"/>
      <w:bookmarkStart w:id="106" w:name="OLE_LINK826"/>
      <w:bookmarkStart w:id="107" w:name="OLE_LINK865"/>
      <w:bookmarkStart w:id="108" w:name="OLE_LINK856"/>
      <w:bookmarkStart w:id="109" w:name="OLE_LINK908"/>
      <w:bookmarkStart w:id="110" w:name="OLE_LINK980"/>
      <w:bookmarkStart w:id="111" w:name="OLE_LINK1018"/>
      <w:bookmarkStart w:id="112" w:name="OLE_LINK1049"/>
      <w:bookmarkStart w:id="113" w:name="OLE_LINK1076"/>
      <w:bookmarkStart w:id="114" w:name="OLE_LINK1106"/>
      <w:bookmarkStart w:id="115" w:name="OLE_LINK891"/>
      <w:bookmarkStart w:id="116" w:name="OLE_LINK943"/>
      <w:bookmarkStart w:id="117" w:name="OLE_LINK981"/>
      <w:bookmarkStart w:id="118" w:name="OLE_LINK1030"/>
      <w:bookmarkStart w:id="119" w:name="OLE_LINK847"/>
      <w:bookmarkStart w:id="120" w:name="OLE_LINK909"/>
      <w:bookmarkStart w:id="121" w:name="OLE_LINK906"/>
      <w:bookmarkStart w:id="122" w:name="OLE_LINK992"/>
      <w:bookmarkStart w:id="123" w:name="OLE_LINK993"/>
      <w:bookmarkStart w:id="124" w:name="OLE_LINK1052"/>
      <w:bookmarkStart w:id="125" w:name="OLE_LINK946"/>
      <w:bookmarkStart w:id="126" w:name="OLE_LINK911"/>
      <w:bookmarkStart w:id="127" w:name="OLE_LINK930"/>
      <w:bookmarkStart w:id="128" w:name="OLE_LINK1059"/>
      <w:bookmarkStart w:id="129" w:name="OLE_LINK1174"/>
      <w:bookmarkStart w:id="130" w:name="OLE_LINK1137"/>
      <w:bookmarkStart w:id="131" w:name="OLE_LINK1167"/>
      <w:bookmarkStart w:id="132" w:name="OLE_LINK1200"/>
      <w:bookmarkStart w:id="133" w:name="OLE_LINK1241"/>
      <w:bookmarkStart w:id="134" w:name="OLE_LINK1288"/>
      <w:bookmarkStart w:id="135" w:name="OLE_LINK1056"/>
      <w:bookmarkStart w:id="136" w:name="OLE_LINK1158"/>
      <w:bookmarkStart w:id="137" w:name="OLE_LINK1175"/>
      <w:bookmarkStart w:id="138" w:name="OLE_LINK1074"/>
      <w:bookmarkStart w:id="139" w:name="OLE_LINK1169"/>
      <w:bookmarkStart w:id="140" w:name="OLE_LINK1053"/>
      <w:bookmarkStart w:id="141" w:name="OLE_LINK1054"/>
      <w:r w:rsidRPr="00A86175">
        <w:rPr>
          <w:rFonts w:ascii="Book Antiqua" w:eastAsia="SimSun" w:hAnsi="Book Antiqua"/>
          <w:b/>
          <w:bCs/>
          <w:lang w:val="en-US" w:eastAsia="zh-CN"/>
        </w:rPr>
        <w:t>P-Reviewer:</w:t>
      </w:r>
      <w:r w:rsidRPr="00A86175">
        <w:rPr>
          <w:rFonts w:ascii="Book Antiqua" w:eastAsia="SimSun" w:hAnsi="Book Antiqua"/>
          <w:bCs/>
          <w:lang w:val="en-US" w:eastAsia="zh-CN"/>
        </w:rPr>
        <w:t xml:space="preserve"> Kozarek RA, Perez-Cuadrado-Robles E, Triantafyllou K</w:t>
      </w:r>
    </w:p>
    <w:p w:rsidR="00890DAC" w:rsidRPr="00A86175" w:rsidRDefault="00890DAC" w:rsidP="00353FEC">
      <w:pPr>
        <w:snapToGrid w:val="0"/>
        <w:spacing w:line="360" w:lineRule="auto"/>
        <w:jc w:val="right"/>
        <w:rPr>
          <w:rFonts w:ascii="Book Antiqua" w:eastAsia="SimSun" w:hAnsi="Book Antiqua"/>
          <w:lang w:val="en-US" w:eastAsia="zh-CN"/>
        </w:rPr>
      </w:pPr>
      <w:r w:rsidRPr="00A86175">
        <w:rPr>
          <w:rFonts w:ascii="Book Antiqua" w:eastAsia="SimSun" w:hAnsi="Book Antiqua"/>
          <w:b/>
          <w:bCs/>
          <w:lang w:val="en-US" w:eastAsia="zh-CN"/>
        </w:rPr>
        <w:t>S-Editor:</w:t>
      </w:r>
      <w:r w:rsidRPr="00A86175">
        <w:rPr>
          <w:rFonts w:ascii="Book Antiqua" w:eastAsia="SimSun" w:hAnsi="Book Antiqua"/>
          <w:lang w:val="en-US" w:eastAsia="zh-CN"/>
        </w:rPr>
        <w:t xml:space="preserve"> Gong ZM </w:t>
      </w:r>
      <w:r w:rsidRPr="00A86175">
        <w:rPr>
          <w:rFonts w:ascii="Book Antiqua" w:eastAsia="SimSun" w:hAnsi="Book Antiqua"/>
          <w:b/>
          <w:bCs/>
          <w:lang w:val="en-US" w:eastAsia="zh-CN"/>
        </w:rPr>
        <w:t>L-Editor:</w:t>
      </w:r>
      <w:r w:rsidRPr="00A86175">
        <w:rPr>
          <w:rFonts w:ascii="Book Antiqua" w:eastAsia="SimSun" w:hAnsi="Book Antiqua"/>
          <w:lang w:val="en-US" w:eastAsia="zh-CN"/>
        </w:rPr>
        <w:t xml:space="preserve"> </w:t>
      </w:r>
      <w:r w:rsidRPr="00A86175">
        <w:rPr>
          <w:rFonts w:ascii="Book Antiqua" w:eastAsia="SimSun" w:hAnsi="Book Antiqua"/>
          <w:b/>
          <w:bCs/>
          <w:lang w:val="en-US" w:eastAsia="zh-CN"/>
        </w:rPr>
        <w:t>E-Editor:</w:t>
      </w:r>
    </w:p>
    <w:p w:rsidR="00890DAC" w:rsidRPr="00A86175" w:rsidRDefault="00890DAC" w:rsidP="00951B85">
      <w:pPr>
        <w:shd w:val="clear" w:color="auto" w:fill="FFFFFF"/>
        <w:snapToGrid w:val="0"/>
        <w:spacing w:line="360" w:lineRule="auto"/>
        <w:jc w:val="both"/>
        <w:rPr>
          <w:rFonts w:ascii="Book Antiqua" w:eastAsia="SimSun" w:hAnsi="Book Antiqua" w:cs="Helvetica"/>
          <w:b/>
          <w:lang w:val="en-US" w:eastAsia="zh-CN"/>
        </w:rPr>
      </w:pPr>
      <w:bookmarkStart w:id="142" w:name="OLE_LINK880"/>
      <w:bookmarkStart w:id="143" w:name="OLE_LINK881"/>
      <w:bookmarkStart w:id="144" w:name="OLE_LINK497"/>
      <w:bookmarkStart w:id="145" w:name="OLE_LINK81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A86175">
        <w:rPr>
          <w:rFonts w:ascii="Book Antiqua" w:eastAsia="SimSun" w:hAnsi="Book Antiqua" w:cs="Helvetica"/>
          <w:b/>
          <w:lang w:val="en-US" w:eastAsia="zh-CN"/>
        </w:rPr>
        <w:t xml:space="preserve">Specialty type: </w:t>
      </w:r>
      <w:r w:rsidRPr="00A86175">
        <w:rPr>
          <w:rFonts w:ascii="Book Antiqua" w:eastAsia="SimSun" w:hAnsi="Book Antiqua" w:cs="Helvetica"/>
          <w:lang w:val="en-US" w:eastAsia="zh-CN"/>
        </w:rPr>
        <w:t>Gastroenterology and hepatology</w:t>
      </w:r>
    </w:p>
    <w:p w:rsidR="00890DAC" w:rsidRPr="00A86175" w:rsidRDefault="00890DAC" w:rsidP="00951B85">
      <w:pPr>
        <w:shd w:val="clear" w:color="auto" w:fill="FFFFFF"/>
        <w:snapToGrid w:val="0"/>
        <w:spacing w:line="360" w:lineRule="auto"/>
        <w:jc w:val="both"/>
        <w:rPr>
          <w:rFonts w:ascii="Book Antiqua" w:eastAsia="SimSun" w:hAnsi="Book Antiqua" w:cs="Helvetica"/>
          <w:b/>
          <w:lang w:val="en-US" w:eastAsia="zh-CN"/>
        </w:rPr>
      </w:pPr>
      <w:r w:rsidRPr="00A86175">
        <w:rPr>
          <w:rFonts w:ascii="Book Antiqua" w:eastAsia="SimSun" w:hAnsi="Book Antiqua" w:cs="Helvetica"/>
          <w:b/>
          <w:lang w:val="en-US" w:eastAsia="zh-CN"/>
        </w:rPr>
        <w:t xml:space="preserve">Country of origin: </w:t>
      </w:r>
      <w:r w:rsidRPr="00A86175">
        <w:rPr>
          <w:rFonts w:ascii="Book Antiqua" w:eastAsia="SimSun" w:hAnsi="Book Antiqua" w:cs="Helvetica"/>
          <w:lang w:val="en-CA" w:eastAsia="zh-CN"/>
        </w:rPr>
        <w:t>Hungary</w:t>
      </w:r>
    </w:p>
    <w:p w:rsidR="00890DAC" w:rsidRPr="00A86175" w:rsidRDefault="00890DAC" w:rsidP="00951B85">
      <w:pPr>
        <w:shd w:val="clear" w:color="auto" w:fill="FFFFFF"/>
        <w:snapToGrid w:val="0"/>
        <w:spacing w:line="360" w:lineRule="auto"/>
        <w:jc w:val="both"/>
        <w:rPr>
          <w:rFonts w:ascii="Book Antiqua" w:eastAsia="SimSun" w:hAnsi="Book Antiqua" w:cs="Helvetica"/>
          <w:b/>
          <w:lang w:val="en-US" w:eastAsia="zh-CN"/>
        </w:rPr>
      </w:pPr>
      <w:r w:rsidRPr="00A86175">
        <w:rPr>
          <w:rFonts w:ascii="Book Antiqua" w:eastAsia="SimSun" w:hAnsi="Book Antiqua" w:cs="Helvetica"/>
          <w:b/>
          <w:lang w:val="en-US" w:eastAsia="zh-CN"/>
        </w:rPr>
        <w:t>Peer-review report classification</w:t>
      </w:r>
    </w:p>
    <w:p w:rsidR="00890DAC" w:rsidRPr="00A86175" w:rsidRDefault="00890DAC" w:rsidP="00951B85">
      <w:pPr>
        <w:shd w:val="clear" w:color="auto" w:fill="FFFFFF"/>
        <w:snapToGrid w:val="0"/>
        <w:spacing w:line="360" w:lineRule="auto"/>
        <w:jc w:val="both"/>
        <w:rPr>
          <w:rFonts w:ascii="Book Antiqua" w:eastAsia="SimSun" w:hAnsi="Book Antiqua" w:cs="Helvetica"/>
          <w:lang w:val="en-US" w:eastAsia="zh-CN"/>
        </w:rPr>
      </w:pPr>
      <w:r w:rsidRPr="00A86175">
        <w:rPr>
          <w:rFonts w:ascii="Book Antiqua" w:eastAsia="SimSun" w:hAnsi="Book Antiqua" w:cs="Helvetica"/>
          <w:lang w:val="en-US" w:eastAsia="zh-CN"/>
        </w:rPr>
        <w:t>Grade A (Excellent): 0</w:t>
      </w:r>
    </w:p>
    <w:p w:rsidR="00890DAC" w:rsidRPr="00A86175" w:rsidRDefault="00890DAC" w:rsidP="00951B85">
      <w:pPr>
        <w:shd w:val="clear" w:color="auto" w:fill="FFFFFF"/>
        <w:snapToGrid w:val="0"/>
        <w:spacing w:line="360" w:lineRule="auto"/>
        <w:jc w:val="both"/>
        <w:rPr>
          <w:rFonts w:ascii="Book Antiqua" w:eastAsia="SimSun" w:hAnsi="Book Antiqua" w:cs="Helvetica"/>
          <w:lang w:val="en-US" w:eastAsia="zh-CN"/>
        </w:rPr>
      </w:pPr>
      <w:r w:rsidRPr="00A86175">
        <w:rPr>
          <w:rFonts w:ascii="Book Antiqua" w:eastAsia="SimSun" w:hAnsi="Book Antiqua" w:cs="Helvetica"/>
          <w:lang w:val="en-US" w:eastAsia="zh-CN"/>
        </w:rPr>
        <w:t>Grade B (Very good): B, B</w:t>
      </w:r>
    </w:p>
    <w:p w:rsidR="00890DAC" w:rsidRPr="00A86175" w:rsidRDefault="00890DAC" w:rsidP="00951B85">
      <w:pPr>
        <w:shd w:val="clear" w:color="auto" w:fill="FFFFFF"/>
        <w:snapToGrid w:val="0"/>
        <w:spacing w:line="360" w:lineRule="auto"/>
        <w:jc w:val="both"/>
        <w:rPr>
          <w:rFonts w:ascii="Book Antiqua" w:eastAsia="SimSun" w:hAnsi="Book Antiqua" w:cs="Helvetica"/>
          <w:lang w:val="en-US" w:eastAsia="zh-CN"/>
        </w:rPr>
      </w:pPr>
      <w:r w:rsidRPr="00A86175">
        <w:rPr>
          <w:rFonts w:ascii="Book Antiqua" w:eastAsia="SimSun" w:hAnsi="Book Antiqua" w:cs="Helvetica"/>
          <w:lang w:val="en-US" w:eastAsia="zh-CN"/>
        </w:rPr>
        <w:t>Grade C (Good): 0</w:t>
      </w:r>
    </w:p>
    <w:p w:rsidR="00890DAC" w:rsidRPr="00A86175" w:rsidRDefault="00890DAC" w:rsidP="00951B85">
      <w:pPr>
        <w:shd w:val="clear" w:color="auto" w:fill="FFFFFF"/>
        <w:snapToGrid w:val="0"/>
        <w:spacing w:line="360" w:lineRule="auto"/>
        <w:jc w:val="both"/>
        <w:rPr>
          <w:rFonts w:ascii="Book Antiqua" w:eastAsia="SimSun" w:hAnsi="Book Antiqua" w:cs="Helvetica"/>
          <w:lang w:val="en-US" w:eastAsia="zh-CN"/>
        </w:rPr>
      </w:pPr>
      <w:r w:rsidRPr="00A86175">
        <w:rPr>
          <w:rFonts w:ascii="Book Antiqua" w:eastAsia="SimSun" w:hAnsi="Book Antiqua" w:cs="Helvetica"/>
          <w:lang w:val="en-US" w:eastAsia="zh-CN"/>
        </w:rPr>
        <w:t>Grade D (Fair): D</w:t>
      </w:r>
    </w:p>
    <w:p w:rsidR="00890DAC" w:rsidRPr="00A86175" w:rsidRDefault="00890DAC" w:rsidP="00951B85">
      <w:pPr>
        <w:shd w:val="clear" w:color="auto" w:fill="FFFFFF"/>
        <w:snapToGrid w:val="0"/>
        <w:spacing w:line="360" w:lineRule="auto"/>
        <w:jc w:val="both"/>
        <w:rPr>
          <w:rFonts w:ascii="Book Antiqua" w:eastAsia="SimSun" w:hAnsi="Book Antiqua" w:cs="Helvetica"/>
          <w:lang w:val="en-US" w:eastAsia="zh-CN"/>
        </w:rPr>
      </w:pPr>
      <w:r w:rsidRPr="00A86175">
        <w:rPr>
          <w:rFonts w:ascii="Book Antiqua" w:eastAsia="SimSun" w:hAnsi="Book Antiqua" w:cs="Helvetica"/>
          <w:lang w:val="en-US" w:eastAsia="zh-CN"/>
        </w:rPr>
        <w:t>Grade E (Poor): 0</w:t>
      </w:r>
      <w:bookmarkEnd w:id="142"/>
      <w:bookmarkEnd w:id="143"/>
      <w:r w:rsidRPr="00A86175">
        <w:rPr>
          <w:rFonts w:ascii="Book Antiqua" w:eastAsia="SimSun" w:hAnsi="Book Antiqua" w:cs="Helvetica"/>
          <w:lang w:val="en-US" w:eastAsia="zh-CN"/>
        </w:rPr>
        <w:t xml:space="preserve"> </w:t>
      </w:r>
      <w:bookmarkEnd w:id="140"/>
      <w:bookmarkEnd w:id="141"/>
      <w:bookmarkEnd w:id="144"/>
      <w:bookmarkEnd w:id="145"/>
    </w:p>
    <w:p w:rsidR="00096F0E" w:rsidRPr="00A86175" w:rsidRDefault="00096F0E" w:rsidP="00951B85">
      <w:pPr>
        <w:snapToGrid w:val="0"/>
        <w:spacing w:line="360" w:lineRule="auto"/>
        <w:jc w:val="both"/>
        <w:rPr>
          <w:rFonts w:ascii="Book Antiqua" w:hAnsi="Book Antiqua"/>
          <w:noProof/>
        </w:rPr>
      </w:pPr>
      <w:r w:rsidRPr="00A86175">
        <w:rPr>
          <w:rFonts w:ascii="Book Antiqua" w:hAnsi="Book Antiqua"/>
        </w:rPr>
        <w:br w:type="page"/>
      </w:r>
    </w:p>
    <w:p w:rsidR="006522CA" w:rsidRPr="00A86175" w:rsidRDefault="00D90B42" w:rsidP="00951B85">
      <w:pPr>
        <w:pStyle w:val="EndNoteBibliography"/>
        <w:snapToGrid w:val="0"/>
        <w:spacing w:line="360" w:lineRule="auto"/>
        <w:jc w:val="both"/>
        <w:rPr>
          <w:rFonts w:ascii="Book Antiqua" w:eastAsiaTheme="minorEastAsia" w:hAnsi="Book Antiqua"/>
          <w:lang w:eastAsia="zh-CN"/>
        </w:rPr>
      </w:pPr>
      <w:r w:rsidRPr="00A86175">
        <w:rPr>
          <w:rFonts w:ascii="Book Antiqua" w:hAnsi="Book Antiqua"/>
          <w:lang w:val="en-US" w:eastAsia="zh-CN"/>
        </w:rPr>
        <w:lastRenderedPageBreak/>
        <w:drawing>
          <wp:inline distT="0" distB="0" distL="0" distR="0" wp14:anchorId="3F9CB83B" wp14:editId="7A547CE8">
            <wp:extent cx="5961371" cy="585787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1371" cy="5857875"/>
                    </a:xfrm>
                    <a:prstGeom prst="rect">
                      <a:avLst/>
                    </a:prstGeom>
                  </pic:spPr>
                </pic:pic>
              </a:graphicData>
            </a:graphic>
          </wp:inline>
        </w:drawing>
      </w:r>
    </w:p>
    <w:p w:rsidR="00D90B42" w:rsidRPr="00A86175" w:rsidRDefault="00D90B42" w:rsidP="00951B85">
      <w:pPr>
        <w:snapToGrid w:val="0"/>
        <w:spacing w:line="360" w:lineRule="auto"/>
        <w:jc w:val="both"/>
        <w:rPr>
          <w:rFonts w:ascii="Book Antiqua" w:eastAsiaTheme="minorEastAsia" w:hAnsi="Book Antiqua"/>
          <w:b/>
          <w:lang w:val="en-GB" w:eastAsia="zh-CN"/>
        </w:rPr>
      </w:pPr>
      <w:r w:rsidRPr="00A86175">
        <w:rPr>
          <w:rFonts w:ascii="Book Antiqua" w:hAnsi="Book Antiqua"/>
          <w:b/>
          <w:lang w:val="en-GB"/>
        </w:rPr>
        <w:t>Figure 1</w:t>
      </w:r>
      <w:r w:rsidRPr="00A86175">
        <w:rPr>
          <w:rFonts w:ascii="Book Antiqua" w:eastAsiaTheme="minorEastAsia" w:hAnsi="Book Antiqua"/>
          <w:b/>
          <w:lang w:val="en-GB" w:eastAsia="zh-CN"/>
        </w:rPr>
        <w:t xml:space="preserve"> </w:t>
      </w:r>
      <w:r w:rsidRPr="00A86175">
        <w:rPr>
          <w:rFonts w:ascii="Book Antiqua" w:hAnsi="Book Antiqua"/>
          <w:b/>
          <w:lang w:val="en-GB"/>
        </w:rPr>
        <w:t>Flowchart of the study selection procedure</w:t>
      </w:r>
      <w:r w:rsidRPr="00A86175">
        <w:rPr>
          <w:rFonts w:ascii="Book Antiqua" w:eastAsiaTheme="minorEastAsia" w:hAnsi="Book Antiqua"/>
          <w:b/>
          <w:lang w:val="en-GB" w:eastAsia="zh-CN"/>
        </w:rPr>
        <w:t>.</w:t>
      </w:r>
    </w:p>
    <w:p w:rsidR="00D90B42" w:rsidRPr="00A86175" w:rsidRDefault="00D90B42" w:rsidP="00951B85">
      <w:pPr>
        <w:snapToGrid w:val="0"/>
        <w:spacing w:line="360" w:lineRule="auto"/>
        <w:jc w:val="both"/>
        <w:rPr>
          <w:rFonts w:ascii="Book Antiqua" w:eastAsiaTheme="minorEastAsia" w:hAnsi="Book Antiqua"/>
          <w:noProof/>
          <w:lang w:val="en-GB" w:eastAsia="zh-CN"/>
        </w:rPr>
      </w:pPr>
      <w:r w:rsidRPr="00A86175">
        <w:rPr>
          <w:rFonts w:ascii="Book Antiqua" w:eastAsiaTheme="minorEastAsia" w:hAnsi="Book Antiqua"/>
          <w:lang w:val="en-GB" w:eastAsia="zh-CN"/>
        </w:rPr>
        <w:br w:type="page"/>
      </w:r>
    </w:p>
    <w:p w:rsidR="00D90B42" w:rsidRPr="00A86175" w:rsidRDefault="00A86175" w:rsidP="00951B85">
      <w:pPr>
        <w:snapToGrid w:val="0"/>
        <w:spacing w:line="360" w:lineRule="auto"/>
        <w:jc w:val="both"/>
        <w:rPr>
          <w:rFonts w:ascii="Book Antiqua" w:eastAsiaTheme="minorEastAsia" w:hAnsi="Book Antiqua"/>
          <w:noProof/>
          <w:lang w:val="en-US" w:eastAsia="zh-CN"/>
        </w:rPr>
      </w:pPr>
      <w:r w:rsidRPr="00A86175">
        <w:rPr>
          <w:rFonts w:ascii="Book Antiqua" w:hAnsi="Book Antiqua"/>
          <w:noProof/>
          <w:lang w:val="en-US" w:eastAsia="zh-CN"/>
        </w:rPr>
        <w:lastRenderedPageBreak/>
        <w:drawing>
          <wp:inline distT="0" distB="0" distL="0" distR="0" wp14:anchorId="1648C971" wp14:editId="0164C2F4">
            <wp:extent cx="5802068" cy="248602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02068" cy="2486025"/>
                    </a:xfrm>
                    <a:prstGeom prst="rect">
                      <a:avLst/>
                    </a:prstGeom>
                  </pic:spPr>
                </pic:pic>
              </a:graphicData>
            </a:graphic>
          </wp:inline>
        </w:drawing>
      </w:r>
    </w:p>
    <w:p w:rsidR="00D90B42" w:rsidRPr="00A86175" w:rsidRDefault="00D90B42" w:rsidP="00951B85">
      <w:pPr>
        <w:snapToGrid w:val="0"/>
        <w:spacing w:line="360" w:lineRule="auto"/>
        <w:jc w:val="both"/>
        <w:rPr>
          <w:rFonts w:ascii="Book Antiqua" w:eastAsiaTheme="minorEastAsia" w:hAnsi="Book Antiqua"/>
          <w:lang w:val="en-GB" w:eastAsia="zh-CN"/>
        </w:rPr>
      </w:pPr>
      <w:r w:rsidRPr="00A86175">
        <w:rPr>
          <w:rFonts w:ascii="Book Antiqua" w:hAnsi="Book Antiqua"/>
          <w:b/>
          <w:lang w:val="en-GB"/>
        </w:rPr>
        <w:t>Figure 2</w:t>
      </w:r>
      <w:r w:rsidRPr="00A86175">
        <w:rPr>
          <w:rFonts w:ascii="Book Antiqua" w:eastAsiaTheme="minorEastAsia" w:hAnsi="Book Antiqua"/>
          <w:b/>
          <w:lang w:val="en-GB" w:eastAsia="zh-CN"/>
        </w:rPr>
        <w:t xml:space="preserve"> </w:t>
      </w:r>
      <w:r w:rsidRPr="00A86175">
        <w:rPr>
          <w:rFonts w:ascii="Book Antiqua" w:hAnsi="Book Antiqua"/>
          <w:b/>
          <w:lang w:val="en-GB"/>
        </w:rPr>
        <w:t xml:space="preserve">Forest plot representing the differences in mortality in GI bleeding patients with normal and impaired renal function. </w:t>
      </w:r>
      <w:r w:rsidRPr="00A86175">
        <w:rPr>
          <w:rFonts w:ascii="Book Antiqua" w:hAnsi="Book Antiqua"/>
          <w:lang w:val="en-GB"/>
        </w:rPr>
        <w:t>Size of squares for risk ratio reflects weight of trial in pooled analysis. Horizontal bars represent 95%CI. CKD:</w:t>
      </w:r>
      <w:r w:rsidRPr="00A86175">
        <w:rPr>
          <w:rFonts w:ascii="Book Antiqua" w:hAnsi="Book Antiqua"/>
          <w:caps/>
          <w:lang w:val="en-GB"/>
        </w:rPr>
        <w:t xml:space="preserve"> c</w:t>
      </w:r>
      <w:r w:rsidRPr="00A86175">
        <w:rPr>
          <w:rFonts w:ascii="Book Antiqua" w:hAnsi="Book Antiqua"/>
          <w:lang w:val="en-GB"/>
        </w:rPr>
        <w:t xml:space="preserve">hronic kidney disease; ESRD: </w:t>
      </w:r>
      <w:r w:rsidRPr="00A86175">
        <w:rPr>
          <w:rFonts w:ascii="Book Antiqua" w:hAnsi="Book Antiqua"/>
          <w:caps/>
          <w:lang w:val="en-GB"/>
        </w:rPr>
        <w:t>e</w:t>
      </w:r>
      <w:r w:rsidRPr="00A86175">
        <w:rPr>
          <w:rFonts w:ascii="Book Antiqua" w:hAnsi="Book Antiqua"/>
          <w:lang w:val="en-GB"/>
        </w:rPr>
        <w:t>nd-stage renal disease</w:t>
      </w:r>
      <w:r w:rsidRPr="00A86175">
        <w:rPr>
          <w:rFonts w:ascii="Book Antiqua" w:eastAsiaTheme="minorEastAsia" w:hAnsi="Book Antiqua"/>
          <w:lang w:val="en-GB" w:eastAsia="zh-CN"/>
        </w:rPr>
        <w:t>.</w:t>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lang w:val="en-GB"/>
        </w:rPr>
        <w:br w:type="page"/>
      </w:r>
    </w:p>
    <w:p w:rsidR="00D90B42" w:rsidRPr="00A86175" w:rsidRDefault="00A86175" w:rsidP="00951B85">
      <w:pPr>
        <w:snapToGrid w:val="0"/>
        <w:spacing w:line="360" w:lineRule="auto"/>
        <w:jc w:val="both"/>
        <w:rPr>
          <w:rFonts w:ascii="Book Antiqua" w:hAnsi="Book Antiqua"/>
          <w:lang w:val="en-GB"/>
        </w:rPr>
      </w:pPr>
      <w:r w:rsidRPr="00A86175">
        <w:rPr>
          <w:rFonts w:ascii="Book Antiqua" w:hAnsi="Book Antiqua"/>
          <w:noProof/>
          <w:lang w:val="en-US" w:eastAsia="zh-CN"/>
        </w:rPr>
        <w:lastRenderedPageBreak/>
        <w:drawing>
          <wp:inline distT="0" distB="0" distL="0" distR="0" wp14:anchorId="1197C862" wp14:editId="06EF24DC">
            <wp:extent cx="5742253" cy="1895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6283" cy="1896805"/>
                    </a:xfrm>
                    <a:prstGeom prst="rect">
                      <a:avLst/>
                    </a:prstGeom>
                  </pic:spPr>
                </pic:pic>
              </a:graphicData>
            </a:graphic>
          </wp:inline>
        </w:drawing>
      </w:r>
    </w:p>
    <w:p w:rsidR="00D90B42" w:rsidRPr="00A86175" w:rsidRDefault="00D90B42" w:rsidP="00951B85">
      <w:pPr>
        <w:snapToGrid w:val="0"/>
        <w:spacing w:line="360" w:lineRule="auto"/>
        <w:jc w:val="both"/>
        <w:rPr>
          <w:rFonts w:ascii="Book Antiqua" w:eastAsiaTheme="minorEastAsia" w:hAnsi="Book Antiqua"/>
          <w:lang w:val="en-GB" w:eastAsia="zh-CN"/>
        </w:rPr>
      </w:pPr>
      <w:r w:rsidRPr="00A86175">
        <w:rPr>
          <w:rFonts w:ascii="Book Antiqua" w:hAnsi="Book Antiqua"/>
          <w:b/>
          <w:lang w:val="en-GB"/>
        </w:rPr>
        <w:t>Figure 3</w:t>
      </w:r>
      <w:r w:rsidRPr="00A86175">
        <w:rPr>
          <w:rFonts w:ascii="Book Antiqua" w:eastAsiaTheme="minorEastAsia" w:hAnsi="Book Antiqua"/>
          <w:b/>
          <w:lang w:val="en-GB" w:eastAsia="zh-CN"/>
        </w:rPr>
        <w:t xml:space="preserve"> </w:t>
      </w:r>
      <w:r w:rsidRPr="00A86175">
        <w:rPr>
          <w:rFonts w:ascii="Book Antiqua" w:hAnsi="Book Antiqua"/>
          <w:b/>
          <w:lang w:val="en-GB"/>
        </w:rPr>
        <w:t xml:space="preserve">Forest plot representing the required units of transfusion in GI bleeding patients with normal and impaired renal function. </w:t>
      </w:r>
      <w:r w:rsidRPr="00A86175">
        <w:rPr>
          <w:rFonts w:ascii="Book Antiqua" w:hAnsi="Book Antiqua"/>
          <w:lang w:val="en-GB"/>
        </w:rPr>
        <w:t xml:space="preserve">Size of squares for the difference in standardized mean values reflects weight of trial in pooled analysis. Horizontal bars represent 95%CI. CKD: </w:t>
      </w:r>
      <w:r w:rsidRPr="00A86175">
        <w:rPr>
          <w:rFonts w:ascii="Book Antiqua" w:hAnsi="Book Antiqua"/>
          <w:caps/>
          <w:lang w:val="en-GB"/>
        </w:rPr>
        <w:t>c</w:t>
      </w:r>
      <w:r w:rsidRPr="00A86175">
        <w:rPr>
          <w:rFonts w:ascii="Book Antiqua" w:hAnsi="Book Antiqua"/>
          <w:lang w:val="en-GB"/>
        </w:rPr>
        <w:t xml:space="preserve">hronic kidney disease; ESRD: </w:t>
      </w:r>
      <w:r w:rsidRPr="00A86175">
        <w:rPr>
          <w:rFonts w:ascii="Book Antiqua" w:hAnsi="Book Antiqua"/>
          <w:caps/>
          <w:lang w:val="en-GB"/>
        </w:rPr>
        <w:t>e</w:t>
      </w:r>
      <w:r w:rsidRPr="00A86175">
        <w:rPr>
          <w:rFonts w:ascii="Book Antiqua" w:hAnsi="Book Antiqua"/>
          <w:lang w:val="en-GB"/>
        </w:rPr>
        <w:t>nd-stage renal disease</w:t>
      </w:r>
      <w:r w:rsidRPr="00A86175">
        <w:rPr>
          <w:rFonts w:ascii="Book Antiqua" w:eastAsiaTheme="minorEastAsia" w:hAnsi="Book Antiqua"/>
          <w:lang w:val="en-GB" w:eastAsia="zh-CN"/>
        </w:rPr>
        <w:t>.</w:t>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lang w:val="en-GB"/>
        </w:rPr>
        <w:br w:type="page"/>
      </w:r>
    </w:p>
    <w:p w:rsidR="00D90B42" w:rsidRPr="00A86175" w:rsidRDefault="00A86175" w:rsidP="00951B85">
      <w:pPr>
        <w:snapToGrid w:val="0"/>
        <w:spacing w:line="360" w:lineRule="auto"/>
        <w:jc w:val="both"/>
        <w:rPr>
          <w:rFonts w:ascii="Book Antiqua" w:hAnsi="Book Antiqua"/>
          <w:lang w:val="en-GB"/>
        </w:rPr>
      </w:pPr>
      <w:r w:rsidRPr="00A86175">
        <w:rPr>
          <w:rFonts w:ascii="Book Antiqua" w:hAnsi="Book Antiqua"/>
          <w:noProof/>
          <w:lang w:val="en-US" w:eastAsia="zh-CN"/>
        </w:rPr>
        <w:lastRenderedPageBreak/>
        <w:drawing>
          <wp:inline distT="0" distB="0" distL="0" distR="0" wp14:anchorId="1F65AEF4" wp14:editId="1AF58A1E">
            <wp:extent cx="5802923" cy="199072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02923" cy="1990725"/>
                    </a:xfrm>
                    <a:prstGeom prst="rect">
                      <a:avLst/>
                    </a:prstGeom>
                  </pic:spPr>
                </pic:pic>
              </a:graphicData>
            </a:graphic>
          </wp:inline>
        </w:drawing>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b/>
          <w:lang w:val="en-GB"/>
        </w:rPr>
        <w:t>Figure 4</w:t>
      </w:r>
      <w:r w:rsidRPr="00A86175">
        <w:rPr>
          <w:rFonts w:ascii="Book Antiqua" w:eastAsiaTheme="minorEastAsia" w:hAnsi="Book Antiqua"/>
          <w:b/>
          <w:lang w:val="en-GB" w:eastAsia="zh-CN"/>
        </w:rPr>
        <w:t xml:space="preserve"> </w:t>
      </w:r>
      <w:r w:rsidRPr="00A86175">
        <w:rPr>
          <w:rFonts w:ascii="Book Antiqua" w:hAnsi="Book Antiqua"/>
          <w:b/>
          <w:lang w:val="en-GB"/>
        </w:rPr>
        <w:t>Forest plot representing the rebleeding rate in GI bleeding patients with normal and impaired renal function.</w:t>
      </w:r>
      <w:r w:rsidRPr="00A86175">
        <w:rPr>
          <w:rFonts w:ascii="Book Antiqua" w:hAnsi="Book Antiqua"/>
          <w:lang w:val="en-GB"/>
        </w:rPr>
        <w:t xml:space="preserve"> Size of squares for risk ratio reflects weight of trial in pooled analysis. Horizontal bars represent 95%CI.</w:t>
      </w:r>
      <w:r w:rsidRPr="00A86175">
        <w:rPr>
          <w:rFonts w:ascii="Book Antiqua" w:eastAsiaTheme="minorEastAsia" w:hAnsi="Book Antiqua"/>
          <w:lang w:val="en-GB" w:eastAsia="zh-CN"/>
        </w:rPr>
        <w:t xml:space="preserve"> </w:t>
      </w:r>
      <w:r w:rsidRPr="00A86175">
        <w:rPr>
          <w:rFonts w:ascii="Book Antiqua" w:hAnsi="Book Antiqua"/>
          <w:lang w:val="en-GB"/>
        </w:rPr>
        <w:t xml:space="preserve">CKD: </w:t>
      </w:r>
      <w:r w:rsidRPr="00A86175">
        <w:rPr>
          <w:rFonts w:ascii="Book Antiqua" w:hAnsi="Book Antiqua"/>
          <w:caps/>
          <w:lang w:val="en-GB"/>
        </w:rPr>
        <w:t>c</w:t>
      </w:r>
      <w:r w:rsidRPr="00A86175">
        <w:rPr>
          <w:rFonts w:ascii="Book Antiqua" w:hAnsi="Book Antiqua"/>
          <w:lang w:val="en-GB"/>
        </w:rPr>
        <w:t xml:space="preserve">hronic kidney disease; ESRD: </w:t>
      </w:r>
      <w:r w:rsidRPr="00A86175">
        <w:rPr>
          <w:rFonts w:ascii="Book Antiqua" w:hAnsi="Book Antiqua"/>
          <w:caps/>
          <w:lang w:val="en-GB"/>
        </w:rPr>
        <w:t>e</w:t>
      </w:r>
      <w:r w:rsidRPr="00A86175">
        <w:rPr>
          <w:rFonts w:ascii="Book Antiqua" w:hAnsi="Book Antiqua"/>
          <w:lang w:val="en-GB"/>
        </w:rPr>
        <w:t>nd-stage renal disease</w:t>
      </w:r>
      <w:r w:rsidRPr="00A86175">
        <w:rPr>
          <w:rFonts w:ascii="Book Antiqua" w:eastAsiaTheme="minorEastAsia" w:hAnsi="Book Antiqua"/>
          <w:lang w:val="en-GB" w:eastAsia="zh-CN"/>
        </w:rPr>
        <w:t>.</w:t>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lang w:val="en-GB"/>
        </w:rPr>
        <w:br w:type="page"/>
      </w:r>
    </w:p>
    <w:p w:rsidR="00D90B42" w:rsidRPr="00A86175" w:rsidRDefault="00A86175" w:rsidP="00951B85">
      <w:pPr>
        <w:snapToGrid w:val="0"/>
        <w:spacing w:line="360" w:lineRule="auto"/>
        <w:jc w:val="both"/>
        <w:rPr>
          <w:rFonts w:ascii="Book Antiqua" w:hAnsi="Book Antiqua"/>
          <w:lang w:val="en-GB"/>
        </w:rPr>
      </w:pPr>
      <w:r w:rsidRPr="00A86175">
        <w:rPr>
          <w:rFonts w:ascii="Book Antiqua" w:hAnsi="Book Antiqua"/>
          <w:noProof/>
          <w:lang w:val="en-US" w:eastAsia="zh-CN"/>
        </w:rPr>
        <w:lastRenderedPageBreak/>
        <w:drawing>
          <wp:inline distT="0" distB="0" distL="0" distR="0" wp14:anchorId="58C056F5" wp14:editId="65D4E415">
            <wp:extent cx="5770579" cy="189547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6685" cy="1897481"/>
                    </a:xfrm>
                    <a:prstGeom prst="rect">
                      <a:avLst/>
                    </a:prstGeom>
                  </pic:spPr>
                </pic:pic>
              </a:graphicData>
            </a:graphic>
          </wp:inline>
        </w:drawing>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b/>
          <w:lang w:val="en-GB"/>
        </w:rPr>
        <w:t>Figure 5</w:t>
      </w:r>
      <w:r w:rsidRPr="00A86175">
        <w:rPr>
          <w:rFonts w:ascii="Book Antiqua" w:eastAsiaTheme="minorEastAsia" w:hAnsi="Book Antiqua"/>
          <w:b/>
          <w:lang w:val="en-GB" w:eastAsia="zh-CN"/>
        </w:rPr>
        <w:t xml:space="preserve"> </w:t>
      </w:r>
      <w:r w:rsidRPr="00A86175">
        <w:rPr>
          <w:rFonts w:ascii="Book Antiqua" w:hAnsi="Book Antiqua"/>
          <w:b/>
          <w:lang w:val="en-GB"/>
        </w:rPr>
        <w:t xml:space="preserve">Forest plot representing the differences in length of hospitalization in GI bleeding patients with normal and impaired renal function. </w:t>
      </w:r>
      <w:r w:rsidRPr="00A86175">
        <w:rPr>
          <w:rFonts w:ascii="Book Antiqua" w:hAnsi="Book Antiqua"/>
          <w:lang w:val="en-GB"/>
        </w:rPr>
        <w:t>Size of squares for the difference in standardized mean values reflects weight of trial in pooled analysis. Horizontal bars represent 95%</w:t>
      </w:r>
      <w:r w:rsidRPr="00A86175">
        <w:rPr>
          <w:rFonts w:ascii="Book Antiqua" w:eastAsiaTheme="minorEastAsia" w:hAnsi="Book Antiqua"/>
          <w:lang w:val="en-GB" w:eastAsia="zh-CN"/>
        </w:rPr>
        <w:t>CI</w:t>
      </w:r>
      <w:r w:rsidRPr="00A86175">
        <w:rPr>
          <w:rFonts w:ascii="Book Antiqua" w:hAnsi="Book Antiqua"/>
          <w:lang w:val="en-GB"/>
        </w:rPr>
        <w:t>.</w:t>
      </w:r>
      <w:r w:rsidRPr="00A86175">
        <w:rPr>
          <w:rFonts w:ascii="Book Antiqua" w:eastAsiaTheme="minorEastAsia" w:hAnsi="Book Antiqua"/>
          <w:lang w:val="en-GB" w:eastAsia="zh-CN"/>
        </w:rPr>
        <w:t xml:space="preserve"> </w:t>
      </w:r>
      <w:r w:rsidRPr="00A86175">
        <w:rPr>
          <w:rFonts w:ascii="Book Antiqua" w:hAnsi="Book Antiqua"/>
          <w:lang w:val="en-GB"/>
        </w:rPr>
        <w:t xml:space="preserve">CKD: </w:t>
      </w:r>
      <w:r w:rsidRPr="00A86175">
        <w:rPr>
          <w:rFonts w:ascii="Book Antiqua" w:hAnsi="Book Antiqua"/>
          <w:caps/>
          <w:lang w:val="en-GB"/>
        </w:rPr>
        <w:t>c</w:t>
      </w:r>
      <w:r w:rsidRPr="00A86175">
        <w:rPr>
          <w:rFonts w:ascii="Book Antiqua" w:hAnsi="Book Antiqua"/>
          <w:lang w:val="en-GB"/>
        </w:rPr>
        <w:t xml:space="preserve">hronic kidney disease; ESRD: </w:t>
      </w:r>
      <w:r w:rsidRPr="00A86175">
        <w:rPr>
          <w:rFonts w:ascii="Book Antiqua" w:hAnsi="Book Antiqua"/>
          <w:caps/>
          <w:lang w:val="en-GB"/>
        </w:rPr>
        <w:t>e</w:t>
      </w:r>
      <w:r w:rsidRPr="00A86175">
        <w:rPr>
          <w:rFonts w:ascii="Book Antiqua" w:hAnsi="Book Antiqua"/>
          <w:lang w:val="en-GB"/>
        </w:rPr>
        <w:t>nd-stage renal disease</w:t>
      </w:r>
      <w:r w:rsidRPr="00A86175">
        <w:rPr>
          <w:rFonts w:ascii="Book Antiqua" w:eastAsiaTheme="minorEastAsia" w:hAnsi="Book Antiqua"/>
          <w:lang w:val="en-GB" w:eastAsia="zh-CN"/>
        </w:rPr>
        <w:t>.</w:t>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lang w:val="en-GB"/>
        </w:rPr>
        <w:br w:type="page"/>
      </w:r>
    </w:p>
    <w:p w:rsidR="00D90B42" w:rsidRPr="00A86175" w:rsidRDefault="00D90B42" w:rsidP="00951B85">
      <w:pPr>
        <w:snapToGrid w:val="0"/>
        <w:spacing w:line="360" w:lineRule="auto"/>
        <w:jc w:val="both"/>
        <w:rPr>
          <w:rFonts w:ascii="Book Antiqua" w:hAnsi="Book Antiqua"/>
          <w:lang w:val="en-GB"/>
        </w:rPr>
      </w:pPr>
      <w:r w:rsidRPr="00A86175">
        <w:rPr>
          <w:rFonts w:ascii="Book Antiqua" w:hAnsi="Book Antiqua"/>
          <w:noProof/>
          <w:lang w:val="en-US" w:eastAsia="zh-CN"/>
        </w:rPr>
        <w:lastRenderedPageBreak/>
        <w:drawing>
          <wp:inline distT="0" distB="0" distL="0" distR="0" wp14:anchorId="333EF184" wp14:editId="10C42069">
            <wp:extent cx="4756969" cy="7934325"/>
            <wp:effectExtent l="0" t="0" r="5715"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4932" cy="7930927"/>
                    </a:xfrm>
                    <a:prstGeom prst="rect">
                      <a:avLst/>
                    </a:prstGeom>
                  </pic:spPr>
                </pic:pic>
              </a:graphicData>
            </a:graphic>
          </wp:inline>
        </w:drawing>
      </w:r>
    </w:p>
    <w:p w:rsidR="00D90B42" w:rsidRPr="00A86175" w:rsidRDefault="00D90B42" w:rsidP="00951B85">
      <w:pPr>
        <w:snapToGrid w:val="0"/>
        <w:spacing w:line="360" w:lineRule="auto"/>
        <w:jc w:val="both"/>
        <w:rPr>
          <w:rFonts w:ascii="Book Antiqua" w:eastAsiaTheme="minorEastAsia" w:hAnsi="Book Antiqua"/>
          <w:lang w:val="en-GB" w:eastAsia="zh-CN"/>
        </w:rPr>
      </w:pPr>
      <w:r w:rsidRPr="00A86175">
        <w:rPr>
          <w:rFonts w:ascii="Book Antiqua" w:hAnsi="Book Antiqua"/>
          <w:b/>
          <w:lang w:val="en-GB"/>
        </w:rPr>
        <w:t>Figure 6</w:t>
      </w:r>
      <w:r w:rsidRPr="00A86175">
        <w:rPr>
          <w:rFonts w:ascii="Book Antiqua" w:eastAsiaTheme="minorEastAsia" w:hAnsi="Book Antiqua"/>
          <w:b/>
          <w:lang w:val="en-GB" w:eastAsia="zh-CN"/>
        </w:rPr>
        <w:t xml:space="preserve"> </w:t>
      </w:r>
      <w:r w:rsidRPr="00A86175">
        <w:rPr>
          <w:rFonts w:ascii="Book Antiqua" w:hAnsi="Book Antiqua"/>
          <w:b/>
          <w:lang w:val="en-GB"/>
        </w:rPr>
        <w:t>Funnel plot.</w:t>
      </w:r>
      <w:r w:rsidRPr="00A86175">
        <w:rPr>
          <w:rFonts w:ascii="Book Antiqua" w:hAnsi="Book Antiqua"/>
          <w:lang w:val="en-GB"/>
        </w:rPr>
        <w:t xml:space="preserve"> A</w:t>
      </w:r>
      <w:r w:rsidRPr="00A86175">
        <w:rPr>
          <w:rFonts w:ascii="Book Antiqua" w:eastAsiaTheme="minorEastAsia" w:hAnsi="Book Antiqua"/>
          <w:lang w:val="en-GB" w:eastAsia="zh-CN"/>
        </w:rPr>
        <w:t xml:space="preserve">: </w:t>
      </w:r>
      <w:r w:rsidRPr="00A86175">
        <w:rPr>
          <w:rFonts w:ascii="Book Antiqua" w:hAnsi="Book Antiqua"/>
          <w:lang w:val="en-GB"/>
        </w:rPr>
        <w:t>Funnel plot of mortality; B</w:t>
      </w:r>
      <w:r w:rsidRPr="00A86175">
        <w:rPr>
          <w:rFonts w:ascii="Book Antiqua" w:eastAsiaTheme="minorEastAsia" w:hAnsi="Book Antiqua"/>
          <w:lang w:val="en-GB" w:eastAsia="zh-CN"/>
        </w:rPr>
        <w:t xml:space="preserve">: </w:t>
      </w:r>
      <w:r w:rsidRPr="00A86175">
        <w:rPr>
          <w:rFonts w:ascii="Book Antiqua" w:hAnsi="Book Antiqua"/>
          <w:lang w:val="en-GB"/>
        </w:rPr>
        <w:t xml:space="preserve">Funnel plot of required transfusion; </w:t>
      </w:r>
      <w:r w:rsidRPr="00A86175">
        <w:rPr>
          <w:rFonts w:ascii="Book Antiqua" w:eastAsiaTheme="minorEastAsia" w:hAnsi="Book Antiqua"/>
          <w:lang w:val="en-GB" w:eastAsia="zh-CN"/>
        </w:rPr>
        <w:t xml:space="preserve">and </w:t>
      </w:r>
      <w:r w:rsidRPr="00A86175">
        <w:rPr>
          <w:rFonts w:ascii="Book Antiqua" w:hAnsi="Book Antiqua"/>
          <w:lang w:val="en-GB"/>
        </w:rPr>
        <w:t>C</w:t>
      </w:r>
      <w:r w:rsidRPr="00A86175">
        <w:rPr>
          <w:rFonts w:ascii="Book Antiqua" w:eastAsiaTheme="minorEastAsia" w:hAnsi="Book Antiqua"/>
          <w:lang w:val="en-GB" w:eastAsia="zh-CN"/>
        </w:rPr>
        <w:t xml:space="preserve">: </w:t>
      </w:r>
      <w:r w:rsidRPr="00A86175">
        <w:rPr>
          <w:rFonts w:ascii="Book Antiqua" w:hAnsi="Book Antiqua"/>
          <w:lang w:val="en-GB"/>
        </w:rPr>
        <w:t>Funnel plot of rebleeding</w:t>
      </w:r>
      <w:r w:rsidRPr="00A86175">
        <w:rPr>
          <w:rFonts w:ascii="Book Antiqua" w:eastAsiaTheme="minorEastAsia" w:hAnsi="Book Antiqua"/>
          <w:lang w:val="en-GB" w:eastAsia="zh-CN"/>
        </w:rPr>
        <w:t>.</w:t>
      </w:r>
    </w:p>
    <w:p w:rsidR="00D90B42" w:rsidRPr="00A86175" w:rsidRDefault="00A86175" w:rsidP="00951B85">
      <w:pPr>
        <w:snapToGrid w:val="0"/>
        <w:spacing w:line="360" w:lineRule="auto"/>
        <w:jc w:val="both"/>
        <w:rPr>
          <w:rFonts w:ascii="Book Antiqua" w:hAnsi="Book Antiqua"/>
          <w:lang w:val="en-GB"/>
        </w:rPr>
      </w:pPr>
      <w:r w:rsidRPr="00A86175">
        <w:rPr>
          <w:rFonts w:ascii="Book Antiqua" w:hAnsi="Book Antiqua"/>
          <w:noProof/>
          <w:lang w:val="en-US" w:eastAsia="zh-CN"/>
        </w:rPr>
        <w:lastRenderedPageBreak/>
        <w:drawing>
          <wp:inline distT="0" distB="0" distL="0" distR="0" wp14:anchorId="4F1C0C3F" wp14:editId="020EBE42">
            <wp:extent cx="4299439" cy="57150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2171" cy="5718632"/>
                    </a:xfrm>
                    <a:prstGeom prst="rect">
                      <a:avLst/>
                    </a:prstGeom>
                  </pic:spPr>
                </pic:pic>
              </a:graphicData>
            </a:graphic>
          </wp:inline>
        </w:drawing>
      </w:r>
    </w:p>
    <w:p w:rsidR="00D90B42" w:rsidRPr="00A86175" w:rsidRDefault="00D90B42" w:rsidP="00951B85">
      <w:pPr>
        <w:snapToGrid w:val="0"/>
        <w:spacing w:line="360" w:lineRule="auto"/>
        <w:jc w:val="both"/>
        <w:rPr>
          <w:rFonts w:ascii="Book Antiqua" w:eastAsiaTheme="minorEastAsia" w:hAnsi="Book Antiqua"/>
          <w:b/>
          <w:lang w:val="en-GB" w:eastAsia="zh-CN"/>
        </w:rPr>
      </w:pPr>
      <w:r w:rsidRPr="00A86175">
        <w:rPr>
          <w:rFonts w:ascii="Book Antiqua" w:hAnsi="Book Antiqua"/>
          <w:b/>
          <w:lang w:val="en-GB"/>
        </w:rPr>
        <w:t>Figure 7</w:t>
      </w:r>
      <w:r w:rsidRPr="00A86175">
        <w:rPr>
          <w:rFonts w:ascii="Book Antiqua" w:eastAsiaTheme="minorEastAsia" w:hAnsi="Book Antiqua"/>
          <w:b/>
          <w:lang w:val="en-GB" w:eastAsia="zh-CN"/>
        </w:rPr>
        <w:t xml:space="preserve"> </w:t>
      </w:r>
      <w:r w:rsidRPr="00A86175">
        <w:rPr>
          <w:rFonts w:ascii="Book Antiqua" w:hAnsi="Book Antiqua"/>
          <w:b/>
          <w:lang w:val="en-GB"/>
        </w:rPr>
        <w:t xml:space="preserve">Risk assessment of articles included in the meta-analysis based on the modified Newcastle–Ottawa Scale </w:t>
      </w:r>
      <w:r w:rsidRPr="00A86175">
        <w:rPr>
          <w:rFonts w:ascii="Book Antiqua" w:eastAsiaTheme="minorEastAsia" w:hAnsi="Book Antiqua"/>
          <w:b/>
          <w:lang w:val="en-GB" w:eastAsia="zh-CN"/>
        </w:rPr>
        <w:t>(</w:t>
      </w:r>
      <w:r w:rsidRPr="00A86175">
        <w:rPr>
          <w:rFonts w:ascii="Book Antiqua" w:hAnsi="Book Antiqua"/>
          <w:b/>
          <w:lang w:val="en-GB"/>
        </w:rPr>
        <w:t>A</w:t>
      </w:r>
      <w:r w:rsidRPr="00A86175">
        <w:rPr>
          <w:rFonts w:ascii="Book Antiqua" w:eastAsiaTheme="minorEastAsia" w:hAnsi="Book Antiqua"/>
          <w:b/>
          <w:lang w:val="en-GB" w:eastAsia="zh-CN"/>
        </w:rPr>
        <w:t>)</w:t>
      </w:r>
      <w:r w:rsidRPr="00A86175">
        <w:rPr>
          <w:rFonts w:ascii="Book Antiqua" w:hAnsi="Book Antiqua"/>
          <w:b/>
          <w:lang w:val="en-GB"/>
        </w:rPr>
        <w:t>;</w:t>
      </w:r>
      <w:r w:rsidRPr="00A86175">
        <w:rPr>
          <w:rFonts w:ascii="Book Antiqua" w:eastAsiaTheme="minorEastAsia" w:hAnsi="Book Antiqua"/>
          <w:b/>
          <w:lang w:val="en-GB" w:eastAsia="zh-CN"/>
        </w:rPr>
        <w:t xml:space="preserve"> </w:t>
      </w:r>
      <w:r w:rsidRPr="00A86175">
        <w:rPr>
          <w:rFonts w:ascii="Book Antiqua" w:hAnsi="Book Antiqua"/>
          <w:b/>
          <w:lang w:val="en-GB"/>
        </w:rPr>
        <w:t>Risk of bias assessment graph</w:t>
      </w:r>
      <w:r w:rsidRPr="00A86175">
        <w:rPr>
          <w:rFonts w:ascii="Book Antiqua" w:eastAsiaTheme="minorEastAsia" w:hAnsi="Book Antiqua"/>
          <w:b/>
          <w:lang w:val="en-GB" w:eastAsia="zh-CN"/>
        </w:rPr>
        <w:t xml:space="preserve"> (</w:t>
      </w:r>
      <w:r w:rsidRPr="00A86175">
        <w:rPr>
          <w:rFonts w:ascii="Book Antiqua" w:hAnsi="Book Antiqua"/>
          <w:b/>
          <w:lang w:val="en-GB"/>
        </w:rPr>
        <w:t>B</w:t>
      </w:r>
      <w:r w:rsidRPr="00A86175">
        <w:rPr>
          <w:rFonts w:ascii="Book Antiqua" w:eastAsiaTheme="minorEastAsia" w:hAnsi="Book Antiqua"/>
          <w:b/>
          <w:lang w:val="en-GB" w:eastAsia="zh-CN"/>
        </w:rPr>
        <w:t>).</w:t>
      </w:r>
    </w:p>
    <w:p w:rsidR="00D90B42" w:rsidRPr="00A86175" w:rsidRDefault="00D90B42" w:rsidP="00951B85">
      <w:pPr>
        <w:snapToGrid w:val="0"/>
        <w:spacing w:line="360" w:lineRule="auto"/>
        <w:jc w:val="both"/>
        <w:rPr>
          <w:rFonts w:ascii="Book Antiqua" w:eastAsiaTheme="minorEastAsia" w:hAnsi="Book Antiqua"/>
          <w:b/>
          <w:lang w:val="en-GB" w:eastAsia="zh-CN"/>
        </w:rPr>
      </w:pPr>
      <w:r w:rsidRPr="00A86175">
        <w:rPr>
          <w:rFonts w:ascii="Book Antiqua" w:eastAsiaTheme="minorEastAsia" w:hAnsi="Book Antiqua"/>
          <w:b/>
          <w:lang w:val="en-GB" w:eastAsia="zh-CN"/>
        </w:rPr>
        <w:br w:type="page"/>
      </w:r>
    </w:p>
    <w:p w:rsidR="00D90B42" w:rsidRPr="00A86175" w:rsidRDefault="00D90B42" w:rsidP="00951B85">
      <w:pPr>
        <w:snapToGrid w:val="0"/>
        <w:spacing w:line="360" w:lineRule="auto"/>
        <w:jc w:val="both"/>
        <w:rPr>
          <w:rFonts w:ascii="Book Antiqua" w:hAnsi="Book Antiqua"/>
          <w:b/>
          <w:lang w:val="en-US"/>
        </w:rPr>
        <w:sectPr w:rsidR="00D90B42" w:rsidRPr="00A86175" w:rsidSect="00D90B42">
          <w:footerReference w:type="default" r:id="rId16"/>
          <w:pgSz w:w="11906" w:h="16838"/>
          <w:pgMar w:top="1417" w:right="1417" w:bottom="1417" w:left="1417" w:header="708" w:footer="708" w:gutter="0"/>
          <w:cols w:space="708"/>
          <w:docGrid w:linePitch="360"/>
        </w:sectPr>
      </w:pPr>
    </w:p>
    <w:p w:rsidR="00D90B42" w:rsidRPr="00A86175" w:rsidRDefault="00D90B42" w:rsidP="00951B85">
      <w:pPr>
        <w:snapToGrid w:val="0"/>
        <w:spacing w:line="360" w:lineRule="auto"/>
        <w:jc w:val="both"/>
        <w:rPr>
          <w:rFonts w:ascii="Book Antiqua" w:eastAsiaTheme="minorEastAsia" w:hAnsi="Book Antiqua"/>
          <w:b/>
          <w:lang w:val="en-US" w:eastAsia="zh-CN"/>
        </w:rPr>
      </w:pPr>
      <w:r w:rsidRPr="00A86175">
        <w:rPr>
          <w:rFonts w:ascii="Book Antiqua" w:hAnsi="Book Antiqua"/>
          <w:b/>
          <w:lang w:val="en-US"/>
        </w:rPr>
        <w:lastRenderedPageBreak/>
        <w:t>Table 1 Modified Newcastle</w:t>
      </w:r>
      <w:r w:rsidRPr="00A86175">
        <w:rPr>
          <w:rFonts w:ascii="Book Antiqua" w:eastAsiaTheme="minorEastAsia" w:hAnsi="Book Antiqua"/>
          <w:b/>
          <w:lang w:val="en-US" w:eastAsia="zh-CN"/>
        </w:rPr>
        <w:t>-</w:t>
      </w:r>
      <w:r w:rsidRPr="00A86175">
        <w:rPr>
          <w:rFonts w:ascii="Book Antiqua" w:hAnsi="Book Antiqua"/>
          <w:b/>
          <w:lang w:val="en-US"/>
        </w:rPr>
        <w:t>Ottawa Scale criteria</w:t>
      </w:r>
    </w:p>
    <w:tbl>
      <w:tblPr>
        <w:tblStyle w:val="TableGrid"/>
        <w:tblW w:w="136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584"/>
        <w:gridCol w:w="4961"/>
      </w:tblGrid>
      <w:tr w:rsidR="00A86175" w:rsidRPr="00A86175" w:rsidTr="00D90B42">
        <w:trPr>
          <w:trHeight w:val="711"/>
        </w:trPr>
        <w:tc>
          <w:tcPr>
            <w:tcW w:w="4097" w:type="dxa"/>
            <w:tcBorders>
              <w:top w:val="single" w:sz="4" w:space="0" w:color="auto"/>
              <w:bottom w:val="single" w:sz="4" w:space="0" w:color="auto"/>
            </w:tcBorders>
            <w:hideMark/>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 xml:space="preserve">Adapted Newcastle-Ottawa Scale Items </w:t>
            </w:r>
          </w:p>
        </w:tc>
        <w:tc>
          <w:tcPr>
            <w:tcW w:w="4584" w:type="dxa"/>
            <w:tcBorders>
              <w:top w:val="single" w:sz="4" w:space="0" w:color="auto"/>
              <w:bottom w:val="single" w:sz="4" w:space="0" w:color="auto"/>
            </w:tcBorders>
            <w:hideMark/>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High-quality items carrying a low risk of bias (green)</w:t>
            </w:r>
          </w:p>
        </w:tc>
        <w:tc>
          <w:tcPr>
            <w:tcW w:w="4961" w:type="dxa"/>
            <w:tcBorders>
              <w:top w:val="single" w:sz="4" w:space="0" w:color="auto"/>
              <w:bottom w:val="single" w:sz="4" w:space="0" w:color="auto"/>
            </w:tcBorders>
            <w:hideMark/>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Low-quality items carrying a high (red) or an unknown (yellow) risk of bias</w:t>
            </w:r>
          </w:p>
        </w:tc>
      </w:tr>
      <w:tr w:rsidR="00A86175" w:rsidRPr="00A86175" w:rsidTr="00D90B42">
        <w:trPr>
          <w:trHeight w:val="1248"/>
        </w:trPr>
        <w:tc>
          <w:tcPr>
            <w:tcW w:w="4097" w:type="dxa"/>
            <w:tcBorders>
              <w:top w:val="single" w:sz="4" w:space="0" w:color="auto"/>
            </w:tcBorders>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b/>
                <w:lang w:val="en-US"/>
              </w:rPr>
              <w:t>Item 1:</w:t>
            </w:r>
            <w:r w:rsidRPr="00A86175">
              <w:rPr>
                <w:rFonts w:ascii="Book Antiqua" w:hAnsi="Book Antiqua"/>
                <w:lang w:val="en-US"/>
              </w:rPr>
              <w:t xml:space="preserve"> Representativeness of the initial study population – patients with GI bleeding and CKD/ESRD</w:t>
            </w:r>
          </w:p>
        </w:tc>
        <w:tc>
          <w:tcPr>
            <w:tcW w:w="4584" w:type="dxa"/>
            <w:tcBorders>
              <w:top w:val="single" w:sz="4" w:space="0" w:color="auto"/>
            </w:tcBorders>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All patients with upper or lower GI bleeding and CKD/ESRD were included.</w:t>
            </w:r>
          </w:p>
        </w:tc>
        <w:tc>
          <w:tcPr>
            <w:tcW w:w="4961" w:type="dxa"/>
            <w:tcBorders>
              <w:top w:val="single" w:sz="4" w:space="0" w:color="auto"/>
            </w:tcBorders>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any selection criteria were applied to the study population (e.g., only transplanted patients).</w:t>
            </w:r>
          </w:p>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Unknown: no data on selection process.</w:t>
            </w:r>
          </w:p>
        </w:tc>
      </w:tr>
      <w:tr w:rsidR="00A86175" w:rsidRPr="00A86175" w:rsidTr="00D90B42">
        <w:trPr>
          <w:trHeight w:val="1134"/>
        </w:trPr>
        <w:tc>
          <w:tcPr>
            <w:tcW w:w="4097" w:type="dxa"/>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 xml:space="preserve">Item 2: </w:t>
            </w:r>
            <w:r w:rsidRPr="00A86175">
              <w:rPr>
                <w:rFonts w:ascii="Book Antiqua" w:hAnsi="Book Antiqua"/>
                <w:lang w:val="en-US"/>
              </w:rPr>
              <w:t>Representativeness of the initial study population – patients with GI bleeding without CKD/ESRD</w:t>
            </w:r>
          </w:p>
        </w:tc>
        <w:tc>
          <w:tcPr>
            <w:tcW w:w="4584" w:type="dxa"/>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All patients with upper or lower GI bleeding without CKD/ESRD included.</w:t>
            </w:r>
          </w:p>
        </w:tc>
        <w:tc>
          <w:tcPr>
            <w:tcW w:w="4961" w:type="dxa"/>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any selection criteria were applied to the study population.</w:t>
            </w:r>
          </w:p>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Unknown: no data on selection process.</w:t>
            </w:r>
          </w:p>
        </w:tc>
      </w:tr>
      <w:tr w:rsidR="00A86175" w:rsidRPr="00A86175" w:rsidTr="00D90B42">
        <w:trPr>
          <w:trHeight w:val="1997"/>
        </w:trPr>
        <w:tc>
          <w:tcPr>
            <w:tcW w:w="4097" w:type="dxa"/>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b/>
                <w:lang w:val="en-US"/>
              </w:rPr>
              <w:t>Item 3:</w:t>
            </w:r>
            <w:r w:rsidRPr="00A86175">
              <w:rPr>
                <w:rFonts w:ascii="Book Antiqua" w:hAnsi="Book Antiqua"/>
                <w:lang w:val="en-US"/>
              </w:rPr>
              <w:t xml:space="preserve"> Ascertainment of exposure</w:t>
            </w:r>
          </w:p>
        </w:tc>
        <w:tc>
          <w:tcPr>
            <w:tcW w:w="4584" w:type="dxa"/>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We defined chronic renal failure as present when eGFR was &lt;</w:t>
            </w:r>
            <w:r w:rsidR="005F48C6" w:rsidRPr="00A86175">
              <w:rPr>
                <w:rFonts w:ascii="Book Antiqua" w:eastAsiaTheme="minorEastAsia" w:hAnsi="Book Antiqua"/>
                <w:lang w:val="en-US" w:eastAsia="zh-CN"/>
              </w:rPr>
              <w:t xml:space="preserve"> </w:t>
            </w:r>
            <w:r w:rsidRPr="00A86175">
              <w:rPr>
                <w:rFonts w:ascii="Book Antiqua" w:hAnsi="Book Antiqua"/>
                <w:lang w:val="en-US"/>
              </w:rPr>
              <w:t>60 m</w:t>
            </w:r>
            <w:r w:rsidRPr="00A86175">
              <w:rPr>
                <w:rFonts w:ascii="Book Antiqua" w:hAnsi="Book Antiqua"/>
                <w:caps/>
                <w:lang w:val="en-US"/>
              </w:rPr>
              <w:t>l</w:t>
            </w:r>
            <w:r w:rsidRPr="00A86175">
              <w:rPr>
                <w:rFonts w:ascii="Book Antiqua" w:hAnsi="Book Antiqua"/>
                <w:lang w:val="en-US"/>
              </w:rPr>
              <w:t>/min at least 3 months. We defined end-stage renal disease as a condition where hemodialysis or chronic peritoneal dialysis is performed at least for 3 mo.</w:t>
            </w:r>
          </w:p>
        </w:tc>
        <w:tc>
          <w:tcPr>
            <w:tcW w:w="4961" w:type="dxa"/>
            <w:hideMark/>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CKD or ESRD is not present in all of the patients.</w:t>
            </w:r>
          </w:p>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Unknown: no definitions of the conditions mentioned are provided.</w:t>
            </w:r>
          </w:p>
        </w:tc>
      </w:tr>
      <w:tr w:rsidR="00A86175" w:rsidRPr="00A86175" w:rsidTr="00D90B42">
        <w:trPr>
          <w:trHeight w:val="838"/>
        </w:trPr>
        <w:tc>
          <w:tcPr>
            <w:tcW w:w="4097" w:type="dxa"/>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Item 4:</w:t>
            </w:r>
            <w:r w:rsidRPr="00A86175">
              <w:rPr>
                <w:rFonts w:ascii="Book Antiqua" w:hAnsi="Book Antiqua"/>
                <w:lang w:val="en-US"/>
              </w:rPr>
              <w:t xml:space="preserve"> Comparability of cohorts A</w:t>
            </w:r>
          </w:p>
        </w:tc>
        <w:tc>
          <w:tcPr>
            <w:tcW w:w="4584" w:type="dxa"/>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Study controls for age: no significant difference was detected.</w:t>
            </w:r>
          </w:p>
        </w:tc>
        <w:tc>
          <w:tcPr>
            <w:tcW w:w="4961" w:type="dxa"/>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significant difference was detected.</w:t>
            </w:r>
          </w:p>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Unknown: no statement.</w:t>
            </w:r>
          </w:p>
        </w:tc>
      </w:tr>
      <w:tr w:rsidR="00A86175" w:rsidRPr="00A86175" w:rsidTr="00D90B42">
        <w:trPr>
          <w:trHeight w:val="1418"/>
        </w:trPr>
        <w:tc>
          <w:tcPr>
            <w:tcW w:w="4097" w:type="dxa"/>
          </w:tcPr>
          <w:p w:rsidR="00D90B42" w:rsidRPr="00A86175" w:rsidRDefault="00D90B42" w:rsidP="00951B85">
            <w:pPr>
              <w:snapToGrid w:val="0"/>
              <w:spacing w:line="360" w:lineRule="auto"/>
              <w:jc w:val="both"/>
              <w:rPr>
                <w:rFonts w:ascii="Book Antiqua" w:hAnsi="Book Antiqua"/>
                <w:b/>
                <w:highlight w:val="yellow"/>
                <w:lang w:val="en-US"/>
              </w:rPr>
            </w:pPr>
            <w:r w:rsidRPr="00A86175">
              <w:rPr>
                <w:rFonts w:ascii="Book Antiqua" w:hAnsi="Book Antiqua"/>
                <w:b/>
                <w:lang w:val="en-US"/>
              </w:rPr>
              <w:t xml:space="preserve">Item 5: </w:t>
            </w:r>
            <w:r w:rsidRPr="00A86175">
              <w:rPr>
                <w:rFonts w:ascii="Book Antiqua" w:hAnsi="Book Antiqua"/>
                <w:lang w:val="en-US"/>
              </w:rPr>
              <w:t>Comparability of cohorts B</w:t>
            </w:r>
          </w:p>
        </w:tc>
        <w:tc>
          <w:tcPr>
            <w:tcW w:w="4584" w:type="dxa"/>
          </w:tcPr>
          <w:p w:rsidR="00D90B42" w:rsidRPr="00A86175" w:rsidRDefault="00D90B42" w:rsidP="00951B85">
            <w:pPr>
              <w:snapToGrid w:val="0"/>
              <w:spacing w:line="360" w:lineRule="auto"/>
              <w:jc w:val="both"/>
              <w:rPr>
                <w:rFonts w:ascii="Book Antiqua" w:hAnsi="Book Antiqua"/>
                <w:highlight w:val="yellow"/>
                <w:lang w:val="en-US"/>
              </w:rPr>
            </w:pPr>
            <w:r w:rsidRPr="00A86175">
              <w:rPr>
                <w:rFonts w:ascii="Book Antiqua" w:hAnsi="Book Antiqua"/>
                <w:lang w:val="en-US"/>
              </w:rPr>
              <w:t>Study controls for taking ulcerogenic drugs: no significant difference was detected</w:t>
            </w:r>
          </w:p>
        </w:tc>
        <w:tc>
          <w:tcPr>
            <w:tcW w:w="4961" w:type="dxa"/>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significant difference was detected between taking ulcerogenic.</w:t>
            </w:r>
          </w:p>
          <w:p w:rsidR="00D90B42" w:rsidRPr="00A86175" w:rsidRDefault="00D90B42" w:rsidP="00951B85">
            <w:pPr>
              <w:snapToGrid w:val="0"/>
              <w:spacing w:line="360" w:lineRule="auto"/>
              <w:jc w:val="both"/>
              <w:rPr>
                <w:rFonts w:ascii="Book Antiqua" w:hAnsi="Book Antiqua"/>
                <w:highlight w:val="yellow"/>
                <w:lang w:val="en-US"/>
              </w:rPr>
            </w:pPr>
            <w:r w:rsidRPr="00A86175">
              <w:rPr>
                <w:rFonts w:ascii="Book Antiqua" w:hAnsi="Book Antiqua"/>
                <w:lang w:val="en-US"/>
              </w:rPr>
              <w:t>Unknown: no comparison made by taking ulcerogenic drugs.</w:t>
            </w:r>
          </w:p>
        </w:tc>
      </w:tr>
      <w:tr w:rsidR="00A86175" w:rsidRPr="00A86175" w:rsidTr="00D90B42">
        <w:trPr>
          <w:trHeight w:val="736"/>
        </w:trPr>
        <w:tc>
          <w:tcPr>
            <w:tcW w:w="4097" w:type="dxa"/>
            <w:tcBorders>
              <w:bottom w:val="single" w:sz="4" w:space="0" w:color="auto"/>
            </w:tcBorders>
          </w:tcPr>
          <w:p w:rsidR="00D90B42" w:rsidRPr="00A86175" w:rsidRDefault="00D90B42" w:rsidP="00951B85">
            <w:pPr>
              <w:snapToGrid w:val="0"/>
              <w:spacing w:line="360" w:lineRule="auto"/>
              <w:jc w:val="both"/>
              <w:rPr>
                <w:rFonts w:ascii="Book Antiqua" w:hAnsi="Book Antiqua"/>
                <w:b/>
                <w:lang w:val="en-US"/>
              </w:rPr>
            </w:pPr>
            <w:r w:rsidRPr="00A86175">
              <w:rPr>
                <w:rFonts w:ascii="Book Antiqua" w:hAnsi="Book Antiqua"/>
                <w:b/>
                <w:lang w:val="en-US"/>
              </w:rPr>
              <w:t>Item 6:</w:t>
            </w:r>
            <w:r w:rsidRPr="00A86175">
              <w:rPr>
                <w:rFonts w:ascii="Book Antiqua" w:hAnsi="Book Antiqua"/>
                <w:lang w:val="en-US"/>
              </w:rPr>
              <w:t xml:space="preserve"> Follow-up time for rebleeding</w:t>
            </w:r>
          </w:p>
        </w:tc>
        <w:tc>
          <w:tcPr>
            <w:tcW w:w="4584" w:type="dxa"/>
            <w:tcBorders>
              <w:bottom w:val="single" w:sz="4" w:space="0" w:color="auto"/>
            </w:tcBorders>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The follow-up time is clearly defined.</w:t>
            </w:r>
          </w:p>
        </w:tc>
        <w:tc>
          <w:tcPr>
            <w:tcW w:w="4961" w:type="dxa"/>
            <w:tcBorders>
              <w:bottom w:val="single" w:sz="4" w:space="0" w:color="auto"/>
            </w:tcBorders>
          </w:tcPr>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Low: incomplete follow-up</w:t>
            </w:r>
          </w:p>
          <w:p w:rsidR="00D90B42" w:rsidRPr="00A86175" w:rsidRDefault="00D90B42" w:rsidP="00951B85">
            <w:pPr>
              <w:snapToGrid w:val="0"/>
              <w:spacing w:line="360" w:lineRule="auto"/>
              <w:jc w:val="both"/>
              <w:rPr>
                <w:rFonts w:ascii="Book Antiqua" w:hAnsi="Book Antiqua"/>
                <w:lang w:val="en-US"/>
              </w:rPr>
            </w:pPr>
            <w:r w:rsidRPr="00A86175">
              <w:rPr>
                <w:rFonts w:ascii="Book Antiqua" w:hAnsi="Book Antiqua"/>
                <w:lang w:val="en-US"/>
              </w:rPr>
              <w:t>Unknown: no follow-up time is mentioned.</w:t>
            </w:r>
          </w:p>
        </w:tc>
      </w:tr>
    </w:tbl>
    <w:p w:rsidR="00D90B42" w:rsidRPr="00A86175" w:rsidRDefault="00D90B42" w:rsidP="00951B85">
      <w:pPr>
        <w:pStyle w:val="Caption"/>
        <w:snapToGrid w:val="0"/>
        <w:spacing w:after="0" w:line="360" w:lineRule="auto"/>
        <w:jc w:val="both"/>
        <w:rPr>
          <w:rFonts w:ascii="Book Antiqua" w:eastAsiaTheme="minorEastAsia" w:hAnsi="Book Antiqua" w:cs="Times New Roman"/>
          <w:i w:val="0"/>
          <w:color w:val="auto"/>
          <w:sz w:val="24"/>
          <w:szCs w:val="24"/>
          <w:lang w:val="en-US" w:eastAsia="zh-CN"/>
        </w:rPr>
      </w:pPr>
      <w:r w:rsidRPr="00A86175">
        <w:rPr>
          <w:rFonts w:ascii="Book Antiqua" w:hAnsi="Book Antiqua" w:cs="Times New Roman"/>
          <w:i w:val="0"/>
          <w:color w:val="auto"/>
          <w:sz w:val="24"/>
          <w:szCs w:val="24"/>
          <w:lang w:val="en-US"/>
        </w:rPr>
        <w:t xml:space="preserve">CKD: </w:t>
      </w:r>
      <w:r w:rsidRPr="00A86175">
        <w:rPr>
          <w:rFonts w:ascii="Book Antiqua" w:hAnsi="Book Antiqua" w:cs="Times New Roman"/>
          <w:i w:val="0"/>
          <w:caps/>
          <w:color w:val="auto"/>
          <w:sz w:val="24"/>
          <w:szCs w:val="24"/>
          <w:lang w:val="en-US"/>
        </w:rPr>
        <w:t>c</w:t>
      </w:r>
      <w:r w:rsidRPr="00A86175">
        <w:rPr>
          <w:rFonts w:ascii="Book Antiqua" w:hAnsi="Book Antiqua" w:cs="Times New Roman"/>
          <w:i w:val="0"/>
          <w:color w:val="auto"/>
          <w:sz w:val="24"/>
          <w:szCs w:val="24"/>
          <w:lang w:val="en-US"/>
        </w:rPr>
        <w:t xml:space="preserve">hronic kidney disease; ESRD: </w:t>
      </w:r>
      <w:r w:rsidRPr="00A86175">
        <w:rPr>
          <w:rFonts w:ascii="Book Antiqua" w:hAnsi="Book Antiqua" w:cs="Times New Roman"/>
          <w:i w:val="0"/>
          <w:caps/>
          <w:color w:val="auto"/>
          <w:sz w:val="24"/>
          <w:szCs w:val="24"/>
          <w:lang w:val="en-US"/>
        </w:rPr>
        <w:t>e</w:t>
      </w:r>
      <w:r w:rsidRPr="00A86175">
        <w:rPr>
          <w:rFonts w:ascii="Book Antiqua" w:hAnsi="Book Antiqua" w:cs="Times New Roman"/>
          <w:i w:val="0"/>
          <w:color w:val="auto"/>
          <w:sz w:val="24"/>
          <w:szCs w:val="24"/>
          <w:lang w:val="en-US"/>
        </w:rPr>
        <w:t>nd-stage renal disease</w:t>
      </w:r>
      <w:r w:rsidRPr="00A86175">
        <w:rPr>
          <w:rFonts w:ascii="Book Antiqua" w:eastAsiaTheme="minorEastAsia" w:hAnsi="Book Antiqua" w:cs="Times New Roman"/>
          <w:i w:val="0"/>
          <w:color w:val="auto"/>
          <w:sz w:val="24"/>
          <w:szCs w:val="24"/>
          <w:lang w:val="en-US" w:eastAsia="zh-CN"/>
        </w:rPr>
        <w:t>.</w:t>
      </w:r>
    </w:p>
    <w:p w:rsidR="005F48C6" w:rsidRPr="00A86175" w:rsidRDefault="005F48C6" w:rsidP="00951B85">
      <w:pPr>
        <w:snapToGrid w:val="0"/>
        <w:spacing w:line="360" w:lineRule="auto"/>
        <w:jc w:val="both"/>
        <w:rPr>
          <w:rFonts w:ascii="Book Antiqua" w:eastAsiaTheme="minorEastAsia" w:hAnsi="Book Antiqua"/>
          <w:b/>
          <w:lang w:val="en-US" w:eastAsia="zh-CN"/>
        </w:rPr>
      </w:pPr>
      <w:r w:rsidRPr="00A86175">
        <w:rPr>
          <w:rFonts w:ascii="Book Antiqua" w:eastAsiaTheme="minorEastAsia" w:hAnsi="Book Antiqua"/>
          <w:b/>
          <w:lang w:val="en-US" w:eastAsia="zh-CN"/>
        </w:rPr>
        <w:br w:type="page"/>
      </w:r>
    </w:p>
    <w:p w:rsidR="00D90B42" w:rsidRPr="00A86175" w:rsidRDefault="005F48C6" w:rsidP="00951B85">
      <w:pPr>
        <w:snapToGrid w:val="0"/>
        <w:spacing w:line="360" w:lineRule="auto"/>
        <w:jc w:val="both"/>
        <w:rPr>
          <w:rFonts w:ascii="Book Antiqua" w:eastAsiaTheme="minorEastAsia" w:hAnsi="Book Antiqua"/>
          <w:b/>
          <w:lang w:val="en-GB" w:eastAsia="zh-CN"/>
        </w:rPr>
      </w:pPr>
      <w:r w:rsidRPr="00A86175">
        <w:rPr>
          <w:rFonts w:ascii="Book Antiqua" w:hAnsi="Book Antiqua"/>
          <w:b/>
          <w:lang w:val="en-US"/>
        </w:rPr>
        <w:lastRenderedPageBreak/>
        <w:t xml:space="preserve">Table 2 </w:t>
      </w:r>
      <w:r w:rsidRPr="00A86175">
        <w:rPr>
          <w:rFonts w:ascii="Book Antiqua" w:hAnsi="Book Antiqua"/>
          <w:b/>
          <w:lang w:val="en-GB"/>
        </w:rPr>
        <w:t>Basic characteristics of the studies included in the meta-analysis</w:t>
      </w:r>
    </w:p>
    <w:tbl>
      <w:tblPr>
        <w:tblW w:w="14743" w:type="dxa"/>
        <w:tblInd w:w="-1129" w:type="dxa"/>
        <w:tblBorders>
          <w:top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702"/>
        <w:gridCol w:w="1134"/>
        <w:gridCol w:w="1417"/>
        <w:gridCol w:w="1134"/>
        <w:gridCol w:w="993"/>
        <w:gridCol w:w="992"/>
        <w:gridCol w:w="1276"/>
        <w:gridCol w:w="1275"/>
        <w:gridCol w:w="1560"/>
        <w:gridCol w:w="1417"/>
        <w:gridCol w:w="1843"/>
      </w:tblGrid>
      <w:tr w:rsidR="00A86175" w:rsidRPr="00A86175" w:rsidTr="005F48C6">
        <w:trPr>
          <w:trHeight w:val="434"/>
        </w:trPr>
        <w:tc>
          <w:tcPr>
            <w:tcW w:w="1702"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eastAsiaTheme="minorEastAsia" w:hAnsi="Book Antiqua"/>
                <w:b/>
                <w:bCs/>
                <w:lang w:eastAsia="zh-CN"/>
              </w:rPr>
            </w:pPr>
            <w:r w:rsidRPr="00A86175">
              <w:rPr>
                <w:rFonts w:ascii="Book Antiqua" w:eastAsiaTheme="minorEastAsia" w:hAnsi="Book Antiqua"/>
                <w:b/>
                <w:bCs/>
                <w:lang w:eastAsia="zh-CN"/>
              </w:rPr>
              <w:t>Ref.</w:t>
            </w:r>
          </w:p>
        </w:tc>
        <w:tc>
          <w:tcPr>
            <w:tcW w:w="1134"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Country</w:t>
            </w:r>
          </w:p>
        </w:tc>
        <w:tc>
          <w:tcPr>
            <w:tcW w:w="1417"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Study type</w:t>
            </w:r>
          </w:p>
        </w:tc>
        <w:tc>
          <w:tcPr>
            <w:tcW w:w="1134"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Years of study</w:t>
            </w:r>
          </w:p>
        </w:tc>
        <w:tc>
          <w:tcPr>
            <w:tcW w:w="993"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Group</w:t>
            </w:r>
          </w:p>
        </w:tc>
        <w:tc>
          <w:tcPr>
            <w:tcW w:w="992"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Sample size</w:t>
            </w:r>
          </w:p>
        </w:tc>
        <w:tc>
          <w:tcPr>
            <w:tcW w:w="1276" w:type="dxa"/>
            <w:vMerge w:val="restart"/>
            <w:tcBorders>
              <w:top w:val="single" w:sz="8" w:space="0" w:color="auto"/>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Age</w:t>
            </w:r>
          </w:p>
        </w:tc>
        <w:tc>
          <w:tcPr>
            <w:tcW w:w="1275" w:type="dxa"/>
            <w:vMerge w:val="restart"/>
            <w:tcBorders>
              <w:top w:val="single" w:sz="8" w:space="0" w:color="auto"/>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Mortality</w:t>
            </w:r>
          </w:p>
        </w:tc>
        <w:tc>
          <w:tcPr>
            <w:tcW w:w="1560" w:type="dxa"/>
            <w:vMerge w:val="restart"/>
            <w:tcBorders>
              <w:top w:val="single" w:sz="8" w:space="0" w:color="auto"/>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Transfusion</w:t>
            </w:r>
          </w:p>
        </w:tc>
        <w:tc>
          <w:tcPr>
            <w:tcW w:w="1417" w:type="dxa"/>
            <w:vMerge w:val="restart"/>
            <w:tcBorders>
              <w:top w:val="single" w:sz="8" w:space="0" w:color="auto"/>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Rebleeding</w:t>
            </w:r>
          </w:p>
        </w:tc>
        <w:tc>
          <w:tcPr>
            <w:tcW w:w="1843" w:type="dxa"/>
            <w:vMerge w:val="restart"/>
            <w:tcBorders>
              <w:top w:val="single" w:sz="8" w:space="0" w:color="auto"/>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r w:rsidRPr="00A86175">
              <w:rPr>
                <w:rFonts w:ascii="Book Antiqua" w:hAnsi="Book Antiqua"/>
                <w:b/>
                <w:bCs/>
              </w:rPr>
              <w:t>Length of hospitalization</w:t>
            </w:r>
          </w:p>
        </w:tc>
      </w:tr>
      <w:tr w:rsidR="00A86175" w:rsidRPr="00A86175" w:rsidTr="005F48C6">
        <w:trPr>
          <w:trHeight w:val="434"/>
        </w:trPr>
        <w:tc>
          <w:tcPr>
            <w:tcW w:w="1702"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134"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417"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134"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993"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992"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276"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275"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560"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417"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c>
          <w:tcPr>
            <w:tcW w:w="1843"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b/>
                <w:bCs/>
              </w:rPr>
            </w:pPr>
          </w:p>
        </w:tc>
      </w:tr>
      <w:tr w:rsidR="00A86175" w:rsidRPr="00A86175" w:rsidTr="005F48C6">
        <w:trPr>
          <w:trHeight w:val="345"/>
        </w:trPr>
        <w:tc>
          <w:tcPr>
            <w:tcW w:w="1702"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 xml:space="preserve">Boyle </w:t>
            </w:r>
            <w:r w:rsidRPr="00A86175">
              <w:rPr>
                <w:rFonts w:ascii="Book Antiqua" w:hAnsi="Book Antiqua"/>
                <w:i/>
                <w:lang w:val="en-GB"/>
              </w:rPr>
              <w:t>et al</w:t>
            </w:r>
            <w:r w:rsidRPr="00A86175">
              <w:rPr>
                <w:rFonts w:ascii="Book Antiqua" w:hAnsi="Book Antiqua"/>
                <w:noProof/>
                <w:vertAlign w:val="superscript"/>
                <w:lang w:val="en-GB"/>
              </w:rPr>
              <w:t>[17]</w:t>
            </w:r>
            <w:r w:rsidRPr="00A86175">
              <w:rPr>
                <w:rFonts w:ascii="Book Antiqua" w:eastAsiaTheme="minorEastAsia" w:hAnsi="Book Antiqua" w:cs="Calibri"/>
                <w:lang w:eastAsia="zh-CN"/>
              </w:rPr>
              <w:t xml:space="preserve">, </w:t>
            </w:r>
            <w:r w:rsidRPr="00A86175">
              <w:rPr>
                <w:rFonts w:ascii="Book Antiqua" w:hAnsi="Book Antiqua" w:cs="Calibri"/>
              </w:rPr>
              <w:t>1983</w:t>
            </w:r>
          </w:p>
        </w:tc>
        <w:tc>
          <w:tcPr>
            <w:tcW w:w="1134"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eastAsiaTheme="minorEastAsia" w:hAnsi="Book Antiqua" w:cs="Calibri"/>
                <w:lang w:eastAsia="zh-CN"/>
              </w:rPr>
            </w:pPr>
            <w:r w:rsidRPr="00A86175">
              <w:rPr>
                <w:rFonts w:ascii="Book Antiqua" w:hAnsi="Book Antiqua" w:cs="Calibri"/>
              </w:rPr>
              <w:t>U</w:t>
            </w:r>
            <w:r w:rsidRPr="00A86175">
              <w:rPr>
                <w:rFonts w:ascii="Book Antiqua" w:eastAsiaTheme="minorEastAsia" w:hAnsi="Book Antiqua" w:cs="Calibri"/>
                <w:lang w:eastAsia="zh-CN"/>
              </w:rPr>
              <w:t>nited States</w:t>
            </w:r>
          </w:p>
        </w:tc>
        <w:tc>
          <w:tcPr>
            <w:tcW w:w="1417"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r</w:t>
            </w:r>
            <w:r w:rsidRPr="00A86175">
              <w:rPr>
                <w:rFonts w:ascii="Book Antiqua" w:hAnsi="Book Antiqua" w:cs="Calibri"/>
              </w:rPr>
              <w:t>etrospective</w:t>
            </w:r>
          </w:p>
        </w:tc>
        <w:tc>
          <w:tcPr>
            <w:tcW w:w="1134"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1977-1981</w:t>
            </w:r>
          </w:p>
        </w:tc>
        <w:tc>
          <w:tcPr>
            <w:tcW w:w="993" w:type="dxa"/>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40</w:t>
            </w:r>
          </w:p>
        </w:tc>
        <w:tc>
          <w:tcPr>
            <w:tcW w:w="1276" w:type="dxa"/>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54</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2</w:t>
            </w:r>
            <w:r w:rsidRPr="00A86175">
              <w:rPr>
                <w:rFonts w:ascii="Book Antiqua" w:hAnsi="Book Antiqua" w:cs="Calibri"/>
                <w:vertAlign w:val="superscript"/>
              </w:rPr>
              <w:t>1</w:t>
            </w:r>
          </w:p>
        </w:tc>
        <w:tc>
          <w:tcPr>
            <w:tcW w:w="1275"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621"/>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CKD (mix)</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20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59</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4</w:t>
            </w:r>
            <w:r w:rsidRPr="00A86175">
              <w:rPr>
                <w:rFonts w:ascii="Book Antiqua" w:hAnsi="Book Antiqua" w:cs="Calibri"/>
                <w:vertAlign w:val="superscript"/>
              </w:rPr>
              <w:t>1</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300"/>
        </w:trPr>
        <w:tc>
          <w:tcPr>
            <w:tcW w:w="1702"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 xml:space="preserve">Cheung </w:t>
            </w:r>
            <w:r w:rsidRPr="00A86175">
              <w:rPr>
                <w:rFonts w:ascii="Book Antiqua" w:hAnsi="Book Antiqua"/>
                <w:i/>
                <w:lang w:val="en-GB"/>
              </w:rPr>
              <w:t>et al</w:t>
            </w:r>
            <w:r w:rsidRPr="00A86175">
              <w:rPr>
                <w:rFonts w:ascii="Book Antiqua" w:hAnsi="Book Antiqua"/>
                <w:noProof/>
                <w:vertAlign w:val="superscript"/>
                <w:lang w:val="en-GB"/>
              </w:rPr>
              <w:t>[10]</w:t>
            </w:r>
            <w:r w:rsidRPr="00A86175">
              <w:rPr>
                <w:rFonts w:ascii="Book Antiqua" w:eastAsiaTheme="minorEastAsia" w:hAnsi="Book Antiqua" w:cs="Calibri"/>
                <w:lang w:eastAsia="zh-CN"/>
              </w:rPr>
              <w:t xml:space="preserve">, </w:t>
            </w:r>
            <w:r w:rsidRPr="00A86175">
              <w:rPr>
                <w:rFonts w:ascii="Book Antiqua" w:hAnsi="Book Antiqua" w:cs="Calibri"/>
              </w:rPr>
              <w:t>2010</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Canada</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r</w:t>
            </w:r>
            <w:r w:rsidRPr="00A86175">
              <w:rPr>
                <w:rFonts w:ascii="Book Antiqua" w:hAnsi="Book Antiqua" w:cs="Calibri"/>
              </w:rPr>
              <w:t>etrospective</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2000-2006</w:t>
            </w: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67</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13</w:t>
            </w:r>
          </w:p>
        </w:tc>
        <w:tc>
          <w:tcPr>
            <w:tcW w:w="1275"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300"/>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CKD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71</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13</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506"/>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ESRD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68</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12</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315"/>
        </w:trPr>
        <w:tc>
          <w:tcPr>
            <w:tcW w:w="1702"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Hung</w:t>
            </w:r>
            <w:r w:rsidRPr="00A86175">
              <w:rPr>
                <w:rFonts w:ascii="Book Antiqua" w:eastAsiaTheme="minorEastAsia" w:hAnsi="Book Antiqua" w:cs="Calibri"/>
                <w:lang w:eastAsia="zh-CN"/>
              </w:rPr>
              <w:t xml:space="preserve"> </w:t>
            </w:r>
            <w:r w:rsidRPr="00A86175">
              <w:rPr>
                <w:rFonts w:ascii="Book Antiqua" w:hAnsi="Book Antiqua"/>
                <w:i/>
                <w:lang w:val="en-GB"/>
              </w:rPr>
              <w:t>et al</w:t>
            </w:r>
            <w:r w:rsidRPr="00A86175">
              <w:rPr>
                <w:rFonts w:ascii="Book Antiqua" w:hAnsi="Book Antiqua"/>
                <w:noProof/>
                <w:vertAlign w:val="superscript"/>
                <w:lang w:val="en-GB"/>
              </w:rPr>
              <w:t>[25]</w:t>
            </w:r>
            <w:r w:rsidRPr="00A86175">
              <w:rPr>
                <w:rFonts w:ascii="Book Antiqua" w:eastAsiaTheme="minorEastAsia" w:hAnsi="Book Antiqua" w:cs="Calibri"/>
                <w:lang w:eastAsia="zh-CN"/>
              </w:rPr>
              <w:t xml:space="preserve">, </w:t>
            </w:r>
            <w:r w:rsidRPr="00A86175">
              <w:rPr>
                <w:rFonts w:ascii="Book Antiqua" w:hAnsi="Book Antiqua" w:cs="Calibri"/>
              </w:rPr>
              <w:t>2014</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Taiwan</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r</w:t>
            </w:r>
            <w:r w:rsidRPr="00A86175">
              <w:rPr>
                <w:rFonts w:ascii="Book Antiqua" w:hAnsi="Book Antiqua" w:cs="Calibri"/>
              </w:rPr>
              <w:t>etrospective</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2007</w:t>
            </w: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6322</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54.6</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13.3</w:t>
            </w:r>
          </w:p>
        </w:tc>
        <w:tc>
          <w:tcPr>
            <w:tcW w:w="1275"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706"/>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ESRD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110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NR</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135"/>
        </w:trPr>
        <w:tc>
          <w:tcPr>
            <w:tcW w:w="1702"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Sood</w:t>
            </w:r>
            <w:r w:rsidRPr="00A86175">
              <w:rPr>
                <w:rFonts w:ascii="Book Antiqua" w:eastAsiaTheme="minorEastAsia" w:hAnsi="Book Antiqua" w:cs="Calibri"/>
                <w:lang w:eastAsia="zh-CN"/>
              </w:rPr>
              <w:t xml:space="preserve"> </w:t>
            </w:r>
            <w:r w:rsidRPr="00A86175">
              <w:rPr>
                <w:rFonts w:ascii="Book Antiqua" w:hAnsi="Book Antiqua"/>
                <w:i/>
                <w:lang w:val="en-GB"/>
              </w:rPr>
              <w:t>et al</w:t>
            </w:r>
            <w:r w:rsidRPr="00A86175">
              <w:rPr>
                <w:rFonts w:ascii="Book Antiqua" w:hAnsi="Book Antiqua"/>
                <w:noProof/>
                <w:vertAlign w:val="superscript"/>
                <w:lang w:val="en-GB"/>
              </w:rPr>
              <w:t>[9]</w:t>
            </w:r>
            <w:r w:rsidRPr="00A86175">
              <w:rPr>
                <w:rFonts w:ascii="Book Antiqua" w:eastAsiaTheme="minorEastAsia" w:hAnsi="Book Antiqua"/>
                <w:noProof/>
                <w:lang w:val="en-GB" w:eastAsia="zh-CN"/>
              </w:rPr>
              <w:t xml:space="preserve">, </w:t>
            </w:r>
            <w:r w:rsidRPr="00A86175">
              <w:rPr>
                <w:rFonts w:ascii="Book Antiqua" w:hAnsi="Book Antiqua" w:cs="Calibri"/>
              </w:rPr>
              <w:t>2012</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U</w:t>
            </w:r>
            <w:r w:rsidRPr="00A86175">
              <w:rPr>
                <w:rFonts w:ascii="Book Antiqua" w:eastAsiaTheme="minorEastAsia" w:hAnsi="Book Antiqua" w:cs="Calibri"/>
                <w:lang w:eastAsia="zh-CN"/>
              </w:rPr>
              <w:t>nited States</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r</w:t>
            </w:r>
            <w:r w:rsidRPr="00A86175">
              <w:rPr>
                <w:rFonts w:ascii="Book Antiqua" w:hAnsi="Book Antiqua" w:cs="Calibri"/>
              </w:rPr>
              <w:t>etrospective</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2007</w:t>
            </w: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347245</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NR</w:t>
            </w:r>
          </w:p>
        </w:tc>
        <w:tc>
          <w:tcPr>
            <w:tcW w:w="1275"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300"/>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CKD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35985</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NR</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696"/>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ESRD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14983</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NR</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345"/>
        </w:trPr>
        <w:tc>
          <w:tcPr>
            <w:tcW w:w="1702"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 xml:space="preserve">Tsai </w:t>
            </w:r>
            <w:r w:rsidRPr="00A86175">
              <w:rPr>
                <w:rFonts w:ascii="Book Antiqua" w:hAnsi="Book Antiqua"/>
                <w:i/>
                <w:lang w:val="en-GB"/>
              </w:rPr>
              <w:t>et al</w:t>
            </w:r>
            <w:r w:rsidRPr="00A86175">
              <w:rPr>
                <w:rFonts w:ascii="Book Antiqua" w:hAnsi="Book Antiqua"/>
                <w:noProof/>
                <w:vertAlign w:val="superscript"/>
                <w:lang w:val="en-GB"/>
              </w:rPr>
              <w:t>[16]</w:t>
            </w:r>
            <w:r w:rsidRPr="00A86175">
              <w:rPr>
                <w:rFonts w:ascii="Book Antiqua" w:eastAsiaTheme="minorEastAsia" w:hAnsi="Book Antiqua"/>
                <w:noProof/>
                <w:lang w:val="en-GB" w:eastAsia="zh-CN"/>
              </w:rPr>
              <w:t xml:space="preserve">, </w:t>
            </w:r>
            <w:r w:rsidRPr="00A86175">
              <w:rPr>
                <w:rFonts w:ascii="Book Antiqua" w:hAnsi="Book Antiqua" w:cs="Calibri"/>
              </w:rPr>
              <w:t>1996</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Taiwan</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p</w:t>
            </w:r>
            <w:r w:rsidRPr="00A86175">
              <w:rPr>
                <w:rFonts w:ascii="Book Antiqua" w:hAnsi="Book Antiqua" w:cs="Calibri"/>
              </w:rPr>
              <w:t>rospective</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1991-1994</w:t>
            </w: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640</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55.7</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16.2</w:t>
            </w:r>
            <w:r w:rsidRPr="00A86175">
              <w:rPr>
                <w:rFonts w:ascii="Book Antiqua" w:hAnsi="Book Antiqua" w:cs="Calibri"/>
                <w:vertAlign w:val="superscript"/>
              </w:rPr>
              <w:t>2</w:t>
            </w:r>
          </w:p>
        </w:tc>
        <w:tc>
          <w:tcPr>
            <w:tcW w:w="1275"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819"/>
        </w:trPr>
        <w:tc>
          <w:tcPr>
            <w:tcW w:w="1702"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ESRD</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58</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64.1</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11.4</w:t>
            </w:r>
            <w:r w:rsidRPr="00A86175">
              <w:rPr>
                <w:rFonts w:ascii="Book Antiqua" w:hAnsi="Book Antiqua" w:cs="Calibri"/>
                <w:vertAlign w:val="superscript"/>
              </w:rPr>
              <w:t>2</w:t>
            </w:r>
          </w:p>
        </w:tc>
        <w:tc>
          <w:tcPr>
            <w:tcW w:w="1275"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r w:rsidR="00A86175" w:rsidRPr="00A86175" w:rsidTr="005F48C6">
        <w:trPr>
          <w:trHeight w:val="345"/>
        </w:trPr>
        <w:tc>
          <w:tcPr>
            <w:tcW w:w="1702"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Zuckerman</w:t>
            </w:r>
            <w:r w:rsidR="00763122" w:rsidRPr="00A86175">
              <w:rPr>
                <w:rFonts w:ascii="Book Antiqua" w:eastAsiaTheme="minorEastAsia" w:hAnsi="Book Antiqua"/>
                <w:i/>
                <w:lang w:val="en-GB" w:eastAsia="zh-CN"/>
              </w:rPr>
              <w:t xml:space="preserve"> </w:t>
            </w:r>
            <w:r w:rsidRPr="00A86175">
              <w:rPr>
                <w:rFonts w:ascii="Book Antiqua" w:hAnsi="Book Antiqua"/>
                <w:i/>
                <w:lang w:val="en-GB"/>
              </w:rPr>
              <w:t>et al</w:t>
            </w:r>
            <w:r w:rsidRPr="00A86175">
              <w:rPr>
                <w:rFonts w:ascii="Book Antiqua" w:hAnsi="Book Antiqua"/>
                <w:noProof/>
                <w:vertAlign w:val="superscript"/>
                <w:lang w:val="en-GB"/>
              </w:rPr>
              <w:t>[26]</w:t>
            </w:r>
            <w:r w:rsidRPr="00A86175">
              <w:rPr>
                <w:rFonts w:ascii="Book Antiqua" w:eastAsiaTheme="minorEastAsia" w:hAnsi="Book Antiqua"/>
                <w:noProof/>
                <w:lang w:val="en-GB" w:eastAsia="zh-CN"/>
              </w:rPr>
              <w:t xml:space="preserve">, </w:t>
            </w:r>
            <w:r w:rsidRPr="00A86175">
              <w:rPr>
                <w:rFonts w:ascii="Book Antiqua" w:hAnsi="Book Antiqua" w:cs="Calibri"/>
              </w:rPr>
              <w:t>1985</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U</w:t>
            </w:r>
            <w:r w:rsidRPr="00A86175">
              <w:rPr>
                <w:rFonts w:ascii="Book Antiqua" w:eastAsiaTheme="minorEastAsia" w:hAnsi="Book Antiqua" w:cs="Calibri"/>
                <w:lang w:eastAsia="zh-CN"/>
              </w:rPr>
              <w:t>nited States</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caps/>
              </w:rPr>
              <w:t>r</w:t>
            </w:r>
            <w:r w:rsidRPr="00A86175">
              <w:rPr>
                <w:rFonts w:ascii="Book Antiqua" w:hAnsi="Book Antiqua" w:cs="Calibri"/>
              </w:rPr>
              <w:t>etrospective</w:t>
            </w:r>
          </w:p>
        </w:tc>
        <w:tc>
          <w:tcPr>
            <w:tcW w:w="1134"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1980-1983</w:t>
            </w:r>
          </w:p>
        </w:tc>
        <w:tc>
          <w:tcPr>
            <w:tcW w:w="993"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control</w:t>
            </w:r>
          </w:p>
        </w:tc>
        <w:tc>
          <w:tcPr>
            <w:tcW w:w="992"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423</w:t>
            </w:r>
          </w:p>
        </w:tc>
        <w:tc>
          <w:tcPr>
            <w:tcW w:w="1276" w:type="dxa"/>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63 (16-96)</w:t>
            </w:r>
            <w:r w:rsidRPr="00A86175">
              <w:rPr>
                <w:rFonts w:ascii="Book Antiqua" w:hAnsi="Book Antiqua" w:cs="Calibri"/>
                <w:vertAlign w:val="superscript"/>
              </w:rPr>
              <w:t>3</w:t>
            </w:r>
          </w:p>
        </w:tc>
        <w:tc>
          <w:tcPr>
            <w:tcW w:w="1275"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560"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417"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c>
          <w:tcPr>
            <w:tcW w:w="1843" w:type="dxa"/>
            <w:vMerge w:val="restart"/>
            <w:tcBorders>
              <w:top w:val="nil"/>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w:t>
            </w:r>
          </w:p>
        </w:tc>
      </w:tr>
      <w:tr w:rsidR="00A86175" w:rsidRPr="00A86175" w:rsidTr="005F48C6">
        <w:trPr>
          <w:trHeight w:val="486"/>
        </w:trPr>
        <w:tc>
          <w:tcPr>
            <w:tcW w:w="1702"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134"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993" w:type="dxa"/>
            <w:tcBorders>
              <w:top w:val="nil"/>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CKD (mix)</w:t>
            </w:r>
          </w:p>
        </w:tc>
        <w:tc>
          <w:tcPr>
            <w:tcW w:w="992" w:type="dxa"/>
            <w:tcBorders>
              <w:top w:val="nil"/>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59</w:t>
            </w:r>
          </w:p>
        </w:tc>
        <w:tc>
          <w:tcPr>
            <w:tcW w:w="1276" w:type="dxa"/>
            <w:tcBorders>
              <w:top w:val="nil"/>
              <w:bottom w:val="single" w:sz="8" w:space="0" w:color="auto"/>
            </w:tcBorders>
            <w:shd w:val="clear" w:color="auto" w:fill="FFFFFF" w:themeFill="background1"/>
            <w:noWrap/>
            <w:vAlign w:val="center"/>
            <w:hideMark/>
          </w:tcPr>
          <w:p w:rsidR="005F48C6" w:rsidRPr="00A86175" w:rsidRDefault="005F48C6" w:rsidP="00951B85">
            <w:pPr>
              <w:snapToGrid w:val="0"/>
              <w:spacing w:line="360" w:lineRule="auto"/>
              <w:jc w:val="both"/>
              <w:rPr>
                <w:rFonts w:ascii="Book Antiqua" w:hAnsi="Book Antiqua" w:cs="Calibri"/>
              </w:rPr>
            </w:pPr>
            <w:r w:rsidRPr="00A86175">
              <w:rPr>
                <w:rFonts w:ascii="Book Antiqua" w:hAnsi="Book Antiqua" w:cs="Calibri"/>
              </w:rPr>
              <w:t>57 (24-84)</w:t>
            </w:r>
            <w:r w:rsidRPr="00A86175">
              <w:rPr>
                <w:rFonts w:ascii="Book Antiqua" w:hAnsi="Book Antiqua" w:cs="Calibri"/>
                <w:vertAlign w:val="superscript"/>
              </w:rPr>
              <w:t>3</w:t>
            </w:r>
          </w:p>
        </w:tc>
        <w:tc>
          <w:tcPr>
            <w:tcW w:w="1275"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560"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417"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c>
          <w:tcPr>
            <w:tcW w:w="1843" w:type="dxa"/>
            <w:vMerge/>
            <w:tcBorders>
              <w:top w:val="nil"/>
              <w:bottom w:val="single" w:sz="8" w:space="0" w:color="auto"/>
            </w:tcBorders>
            <w:shd w:val="clear" w:color="auto" w:fill="FFFFFF" w:themeFill="background1"/>
            <w:vAlign w:val="center"/>
            <w:hideMark/>
          </w:tcPr>
          <w:p w:rsidR="005F48C6" w:rsidRPr="00A86175" w:rsidRDefault="005F48C6" w:rsidP="00951B85">
            <w:pPr>
              <w:snapToGrid w:val="0"/>
              <w:spacing w:line="360" w:lineRule="auto"/>
              <w:jc w:val="both"/>
              <w:rPr>
                <w:rFonts w:ascii="Book Antiqua" w:hAnsi="Book Antiqua" w:cs="Calibri"/>
              </w:rPr>
            </w:pPr>
          </w:p>
        </w:tc>
      </w:tr>
    </w:tbl>
    <w:p w:rsidR="005F48C6" w:rsidRPr="00A86175" w:rsidRDefault="005F48C6" w:rsidP="00951B85">
      <w:pPr>
        <w:snapToGrid w:val="0"/>
        <w:spacing w:line="360" w:lineRule="auto"/>
        <w:jc w:val="both"/>
        <w:rPr>
          <w:rFonts w:ascii="Book Antiqua" w:eastAsiaTheme="minorEastAsia" w:hAnsi="Book Antiqua"/>
          <w:b/>
          <w:lang w:eastAsia="zh-CN"/>
        </w:rPr>
      </w:pPr>
      <w:r w:rsidRPr="00A86175">
        <w:rPr>
          <w:rFonts w:ascii="Book Antiqua" w:hAnsi="Book Antiqua" w:cs="Calibri"/>
          <w:vertAlign w:val="superscript"/>
        </w:rPr>
        <w:t>1</w:t>
      </w:r>
      <w:r w:rsidRPr="00A86175">
        <w:rPr>
          <w:rFonts w:ascii="Book Antiqua" w:hAnsi="Book Antiqua" w:cs="Calibri"/>
        </w:rPr>
        <w:t>Data expressed as mean</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SEM</w:t>
      </w:r>
      <w:r w:rsidR="004F7226" w:rsidRPr="00A86175">
        <w:rPr>
          <w:rFonts w:ascii="Book Antiqua" w:eastAsiaTheme="minorEastAsia" w:hAnsi="Book Antiqua" w:cs="Calibri"/>
          <w:lang w:eastAsia="zh-CN"/>
        </w:rPr>
        <w:t xml:space="preserve"> </w:t>
      </w:r>
      <w:r w:rsidRPr="00A86175">
        <w:rPr>
          <w:rFonts w:ascii="Book Antiqua" w:hAnsi="Book Antiqua" w:cs="Calibri"/>
        </w:rPr>
        <w:t xml:space="preserve">(standard error of mean); </w:t>
      </w:r>
      <w:r w:rsidRPr="00A86175">
        <w:rPr>
          <w:rFonts w:ascii="Book Antiqua" w:hAnsi="Book Antiqua" w:cs="Calibri"/>
          <w:vertAlign w:val="superscript"/>
        </w:rPr>
        <w:t>2</w:t>
      </w:r>
      <w:r w:rsidRPr="00A86175">
        <w:rPr>
          <w:rFonts w:ascii="Book Antiqua" w:hAnsi="Book Antiqua" w:cs="Calibri"/>
        </w:rPr>
        <w:t>Data expressed as mean</w:t>
      </w:r>
      <w:r w:rsidRPr="00A86175">
        <w:rPr>
          <w:rFonts w:ascii="Book Antiqua" w:eastAsiaTheme="minorEastAsia" w:hAnsi="Book Antiqua" w:cs="Calibri"/>
          <w:lang w:eastAsia="zh-CN"/>
        </w:rPr>
        <w:t xml:space="preserve"> </w:t>
      </w:r>
      <w:r w:rsidRPr="00A86175">
        <w:rPr>
          <w:rFonts w:ascii="Book Antiqua" w:hAnsi="Book Antiqua" w:cs="Calibri"/>
        </w:rPr>
        <w:t>±</w:t>
      </w:r>
      <w:r w:rsidRPr="00A86175">
        <w:rPr>
          <w:rFonts w:ascii="Book Antiqua" w:eastAsiaTheme="minorEastAsia" w:hAnsi="Book Antiqua" w:cs="Calibri"/>
          <w:lang w:eastAsia="zh-CN"/>
        </w:rPr>
        <w:t xml:space="preserve"> </w:t>
      </w:r>
      <w:r w:rsidRPr="00A86175">
        <w:rPr>
          <w:rFonts w:ascii="Book Antiqua" w:hAnsi="Book Antiqua" w:cs="Calibri"/>
        </w:rPr>
        <w:t xml:space="preserve">SD (standard deviation); </w:t>
      </w:r>
      <w:r w:rsidRPr="00A86175">
        <w:rPr>
          <w:rFonts w:ascii="Book Antiqua" w:hAnsi="Book Antiqua" w:cs="Calibri"/>
          <w:vertAlign w:val="superscript"/>
        </w:rPr>
        <w:t>3</w:t>
      </w:r>
      <w:r w:rsidRPr="00A86175">
        <w:rPr>
          <w:rFonts w:ascii="Book Antiqua" w:hAnsi="Book Antiqua" w:cs="Calibri"/>
        </w:rPr>
        <w:t>Data expressed as median (interquartile range)</w:t>
      </w:r>
      <w:r w:rsidR="004F7226" w:rsidRPr="00A86175">
        <w:rPr>
          <w:rFonts w:ascii="Book Antiqua" w:eastAsiaTheme="minorEastAsia" w:hAnsi="Book Antiqua" w:cs="Calibri"/>
          <w:lang w:eastAsia="zh-CN"/>
        </w:rPr>
        <w:t xml:space="preserve">. </w:t>
      </w:r>
      <w:r w:rsidRPr="00A86175">
        <w:rPr>
          <w:rFonts w:ascii="Book Antiqua" w:hAnsi="Book Antiqua" w:cs="Calibri"/>
        </w:rPr>
        <w:t xml:space="preserve">NR: </w:t>
      </w:r>
      <w:r w:rsidRPr="00A86175">
        <w:rPr>
          <w:rFonts w:ascii="Book Antiqua" w:hAnsi="Book Antiqua" w:cs="Calibri"/>
          <w:caps/>
        </w:rPr>
        <w:t>n</w:t>
      </w:r>
      <w:r w:rsidRPr="00A86175">
        <w:rPr>
          <w:rFonts w:ascii="Book Antiqua" w:hAnsi="Book Antiqua" w:cs="Calibri"/>
        </w:rPr>
        <w:t>ot reported</w:t>
      </w:r>
      <w:r w:rsidRPr="00A86175">
        <w:rPr>
          <w:rFonts w:ascii="Book Antiqua" w:eastAsiaTheme="minorEastAsia" w:hAnsi="Book Antiqua" w:cs="Calibri"/>
          <w:lang w:eastAsia="zh-CN"/>
        </w:rPr>
        <w:t>;</w:t>
      </w:r>
      <w:r w:rsidR="004F7226" w:rsidRPr="00A86175">
        <w:rPr>
          <w:rFonts w:ascii="Book Antiqua" w:eastAsiaTheme="minorEastAsia" w:hAnsi="Book Antiqua" w:cs="Calibri"/>
          <w:lang w:eastAsia="zh-CN"/>
        </w:rPr>
        <w:t xml:space="preserve"> </w:t>
      </w:r>
      <w:r w:rsidRPr="00A86175">
        <w:rPr>
          <w:rFonts w:ascii="Book Antiqua" w:hAnsi="Book Antiqua" w:cs="Calibri"/>
        </w:rPr>
        <w:t>CKD:</w:t>
      </w:r>
      <w:r w:rsidR="004F7226" w:rsidRPr="00A86175">
        <w:rPr>
          <w:rFonts w:ascii="Book Antiqua" w:eastAsiaTheme="minorEastAsia" w:hAnsi="Book Antiqua" w:cs="Calibri"/>
          <w:lang w:eastAsia="zh-CN"/>
        </w:rPr>
        <w:t xml:space="preserve"> </w:t>
      </w:r>
      <w:r w:rsidRPr="00A86175">
        <w:rPr>
          <w:rFonts w:ascii="Book Antiqua" w:hAnsi="Book Antiqua" w:cs="Calibri"/>
          <w:caps/>
        </w:rPr>
        <w:t>c</w:t>
      </w:r>
      <w:r w:rsidRPr="00A86175">
        <w:rPr>
          <w:rFonts w:ascii="Book Antiqua" w:hAnsi="Book Antiqua" w:cs="Calibri"/>
        </w:rPr>
        <w:t>hronic kidney disease</w:t>
      </w:r>
      <w:r w:rsidRPr="00A86175">
        <w:rPr>
          <w:rFonts w:ascii="Book Antiqua" w:eastAsiaTheme="minorEastAsia" w:hAnsi="Book Antiqua" w:cs="Calibri"/>
          <w:lang w:eastAsia="zh-CN"/>
        </w:rPr>
        <w:t xml:space="preserve">; </w:t>
      </w:r>
      <w:r w:rsidRPr="00A86175">
        <w:rPr>
          <w:rFonts w:ascii="Book Antiqua" w:hAnsi="Book Antiqua" w:cs="Calibri"/>
        </w:rPr>
        <w:t>ESRD:</w:t>
      </w:r>
      <w:r w:rsidR="004F7226" w:rsidRPr="00A86175">
        <w:rPr>
          <w:rFonts w:ascii="Book Antiqua" w:eastAsiaTheme="minorEastAsia" w:hAnsi="Book Antiqua" w:cs="Calibri"/>
          <w:lang w:eastAsia="zh-CN"/>
        </w:rPr>
        <w:t xml:space="preserve"> </w:t>
      </w:r>
      <w:r w:rsidRPr="00A86175">
        <w:rPr>
          <w:rFonts w:ascii="Book Antiqua" w:hAnsi="Book Antiqua" w:cs="Calibri"/>
          <w:caps/>
        </w:rPr>
        <w:t>e</w:t>
      </w:r>
      <w:r w:rsidRPr="00A86175">
        <w:rPr>
          <w:rFonts w:ascii="Book Antiqua" w:hAnsi="Book Antiqua" w:cs="Calibri"/>
        </w:rPr>
        <w:t>nd-stage renal disease</w:t>
      </w:r>
      <w:r w:rsidRPr="00A86175">
        <w:rPr>
          <w:rFonts w:ascii="Book Antiqua" w:eastAsiaTheme="minorEastAsia" w:hAnsi="Book Antiqua" w:cs="Calibri"/>
          <w:lang w:eastAsia="zh-CN"/>
        </w:rPr>
        <w:t>.</w:t>
      </w:r>
    </w:p>
    <w:sectPr w:rsidR="005F48C6" w:rsidRPr="00A86175" w:rsidSect="00D90B42">
      <w:pgSz w:w="15309"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8D3" w:rsidRDefault="006368D3">
      <w:r>
        <w:separator/>
      </w:r>
    </w:p>
  </w:endnote>
  <w:endnote w:type="continuationSeparator" w:id="0">
    <w:p w:rsidR="006368D3" w:rsidRDefault="006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e Sans UI">
    <w:charset w:val="00"/>
    <w:family w:val="auto"/>
    <w:pitch w:val="variable"/>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810686"/>
      <w:docPartObj>
        <w:docPartGallery w:val="Page Numbers (Bottom of Page)"/>
        <w:docPartUnique/>
      </w:docPartObj>
    </w:sdtPr>
    <w:sdtEndPr/>
    <w:sdtContent>
      <w:p w:rsidR="00D90B42" w:rsidRDefault="00D90B42">
        <w:pPr>
          <w:pStyle w:val="Footer"/>
          <w:jc w:val="right"/>
        </w:pPr>
        <w:r>
          <w:fldChar w:fldCharType="begin"/>
        </w:r>
        <w:r>
          <w:instrText>PAGE   \* MERGEFORMAT</w:instrText>
        </w:r>
        <w:r>
          <w:fldChar w:fldCharType="separate"/>
        </w:r>
        <w:r w:rsidR="002613E8">
          <w:rPr>
            <w:noProof/>
          </w:rPr>
          <w:t>29</w:t>
        </w:r>
        <w:r>
          <w:rPr>
            <w:noProof/>
          </w:rPr>
          <w:fldChar w:fldCharType="end"/>
        </w:r>
      </w:p>
    </w:sdtContent>
  </w:sdt>
  <w:p w:rsidR="00D90B42" w:rsidRDefault="00D90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8D3" w:rsidRDefault="006368D3">
      <w:r>
        <w:separator/>
      </w:r>
    </w:p>
  </w:footnote>
  <w:footnote w:type="continuationSeparator" w:id="0">
    <w:p w:rsidR="006368D3" w:rsidRDefault="00636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D59A2"/>
    <w:multiLevelType w:val="hybridMultilevel"/>
    <w:tmpl w:val="186EAE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522CA"/>
    <w:rsid w:val="00016324"/>
    <w:rsid w:val="000308BA"/>
    <w:rsid w:val="00096F0E"/>
    <w:rsid w:val="000A273C"/>
    <w:rsid w:val="000B5631"/>
    <w:rsid w:val="00130904"/>
    <w:rsid w:val="001A4BED"/>
    <w:rsid w:val="001B39AA"/>
    <w:rsid w:val="0025022E"/>
    <w:rsid w:val="002613E8"/>
    <w:rsid w:val="002A3763"/>
    <w:rsid w:val="002D74C7"/>
    <w:rsid w:val="002E46C3"/>
    <w:rsid w:val="00332221"/>
    <w:rsid w:val="00353FEC"/>
    <w:rsid w:val="00380104"/>
    <w:rsid w:val="003F2403"/>
    <w:rsid w:val="00417909"/>
    <w:rsid w:val="00427C11"/>
    <w:rsid w:val="004642EB"/>
    <w:rsid w:val="004F7226"/>
    <w:rsid w:val="005030BA"/>
    <w:rsid w:val="005146FE"/>
    <w:rsid w:val="00526E47"/>
    <w:rsid w:val="005743E9"/>
    <w:rsid w:val="005F3664"/>
    <w:rsid w:val="005F48C6"/>
    <w:rsid w:val="00614E70"/>
    <w:rsid w:val="006368D3"/>
    <w:rsid w:val="006522CA"/>
    <w:rsid w:val="006563C6"/>
    <w:rsid w:val="0071460E"/>
    <w:rsid w:val="00763122"/>
    <w:rsid w:val="007A40F8"/>
    <w:rsid w:val="00890DAC"/>
    <w:rsid w:val="008A2EC5"/>
    <w:rsid w:val="0092461C"/>
    <w:rsid w:val="00951B85"/>
    <w:rsid w:val="0097005F"/>
    <w:rsid w:val="009743A2"/>
    <w:rsid w:val="009C21FA"/>
    <w:rsid w:val="00A05A8D"/>
    <w:rsid w:val="00A67FCD"/>
    <w:rsid w:val="00A7111E"/>
    <w:rsid w:val="00A86175"/>
    <w:rsid w:val="00AA7660"/>
    <w:rsid w:val="00AF74A9"/>
    <w:rsid w:val="00B06677"/>
    <w:rsid w:val="00B21F94"/>
    <w:rsid w:val="00B434D0"/>
    <w:rsid w:val="00B52081"/>
    <w:rsid w:val="00B94B4A"/>
    <w:rsid w:val="00BA1417"/>
    <w:rsid w:val="00BB4AB3"/>
    <w:rsid w:val="00C83314"/>
    <w:rsid w:val="00CC19BD"/>
    <w:rsid w:val="00D8726D"/>
    <w:rsid w:val="00D90B42"/>
    <w:rsid w:val="00DE166C"/>
    <w:rsid w:val="00E0408F"/>
    <w:rsid w:val="00E249CF"/>
    <w:rsid w:val="00E32217"/>
    <w:rsid w:val="00E527DD"/>
    <w:rsid w:val="00E70210"/>
    <w:rsid w:val="00E951B0"/>
    <w:rsid w:val="00F409C8"/>
    <w:rsid w:val="00F850AC"/>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BDCA0-A886-4769-97FF-C365424D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2CA"/>
    <w:pPr>
      <w:spacing w:after="0" w:line="240" w:lineRule="auto"/>
    </w:pPr>
    <w:rPr>
      <w:rFonts w:ascii="Times New Roman" w:eastAsia="Times New Roman" w:hAnsi="Times New Roman" w:cs="Times New Roman"/>
      <w:sz w:val="24"/>
      <w:szCs w:val="24"/>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6522CA"/>
    <w:pPr>
      <w:ind w:firstLine="284"/>
    </w:pPr>
    <w:rPr>
      <w:szCs w:val="20"/>
    </w:rPr>
  </w:style>
  <w:style w:type="character" w:customStyle="1" w:styleId="BodyTextIndent2Char">
    <w:name w:val="Body Text Indent 2 Char"/>
    <w:basedOn w:val="DefaultParagraphFont"/>
    <w:link w:val="BodyTextIndent2"/>
    <w:rsid w:val="006522CA"/>
    <w:rPr>
      <w:rFonts w:ascii="Times New Roman" w:eastAsia="Times New Roman" w:hAnsi="Times New Roman" w:cs="Times New Roman"/>
      <w:sz w:val="24"/>
      <w:szCs w:val="20"/>
      <w:lang w:eastAsia="hu-HU"/>
    </w:rPr>
  </w:style>
  <w:style w:type="paragraph" w:customStyle="1" w:styleId="zeged1983">
    <w:name w:val="zeged. 1983."/>
    <w:basedOn w:val="Normal"/>
    <w:link w:val="zeged1983Char"/>
    <w:rsid w:val="006522CA"/>
    <w:pPr>
      <w:spacing w:before="120"/>
      <w:ind w:left="720" w:hanging="720"/>
      <w:jc w:val="both"/>
    </w:pPr>
    <w:rPr>
      <w:sz w:val="20"/>
      <w:szCs w:val="20"/>
      <w:lang w:val="en-GB" w:eastAsia="en-US"/>
    </w:rPr>
  </w:style>
  <w:style w:type="character" w:customStyle="1" w:styleId="zeged1983Char">
    <w:name w:val="zeged. 1983. Char"/>
    <w:link w:val="zeged1983"/>
    <w:rsid w:val="006522CA"/>
    <w:rPr>
      <w:rFonts w:ascii="Times New Roman" w:eastAsia="Times New Roman" w:hAnsi="Times New Roman" w:cs="Times New Roman"/>
      <w:sz w:val="20"/>
      <w:szCs w:val="20"/>
      <w:lang w:val="en-GB"/>
    </w:rPr>
  </w:style>
  <w:style w:type="character" w:styleId="LineNumber">
    <w:name w:val="line number"/>
    <w:basedOn w:val="DefaultParagraphFont"/>
    <w:uiPriority w:val="99"/>
    <w:semiHidden/>
    <w:unhideWhenUsed/>
    <w:rsid w:val="006522CA"/>
  </w:style>
  <w:style w:type="paragraph" w:customStyle="1" w:styleId="EndNoteBibliographyTitle">
    <w:name w:val="EndNote Bibliography Title"/>
    <w:basedOn w:val="Normal"/>
    <w:link w:val="EndNoteBibliographyTitleChar"/>
    <w:rsid w:val="006522CA"/>
    <w:pPr>
      <w:jc w:val="center"/>
    </w:pPr>
    <w:rPr>
      <w:noProof/>
    </w:rPr>
  </w:style>
  <w:style w:type="character" w:customStyle="1" w:styleId="EndNoteBibliographyTitleChar">
    <w:name w:val="EndNote Bibliography Title Char"/>
    <w:basedOn w:val="DefaultParagraphFont"/>
    <w:link w:val="EndNoteBibliographyTitle"/>
    <w:rsid w:val="006522CA"/>
    <w:rPr>
      <w:rFonts w:ascii="Times New Roman" w:eastAsia="Times New Roman" w:hAnsi="Times New Roman" w:cs="Times New Roman"/>
      <w:noProof/>
      <w:sz w:val="24"/>
      <w:szCs w:val="24"/>
      <w:lang w:eastAsia="hu-HU"/>
    </w:rPr>
  </w:style>
  <w:style w:type="paragraph" w:customStyle="1" w:styleId="EndNoteBibliography">
    <w:name w:val="EndNote Bibliography"/>
    <w:basedOn w:val="Normal"/>
    <w:link w:val="EndNoteBibliographyChar"/>
    <w:rsid w:val="006522CA"/>
    <w:pPr>
      <w:spacing w:line="480" w:lineRule="auto"/>
    </w:pPr>
    <w:rPr>
      <w:noProof/>
    </w:rPr>
  </w:style>
  <w:style w:type="character" w:customStyle="1" w:styleId="EndNoteBibliographyChar">
    <w:name w:val="EndNote Bibliography Char"/>
    <w:basedOn w:val="DefaultParagraphFont"/>
    <w:link w:val="EndNoteBibliography"/>
    <w:rsid w:val="006522CA"/>
    <w:rPr>
      <w:rFonts w:ascii="Times New Roman" w:eastAsia="Times New Roman" w:hAnsi="Times New Roman" w:cs="Times New Roman"/>
      <w:noProof/>
      <w:sz w:val="24"/>
      <w:szCs w:val="24"/>
      <w:lang w:eastAsia="hu-HU"/>
    </w:rPr>
  </w:style>
  <w:style w:type="character" w:styleId="Hyperlink">
    <w:name w:val="Hyperlink"/>
    <w:basedOn w:val="DefaultParagraphFont"/>
    <w:uiPriority w:val="99"/>
    <w:unhideWhenUsed/>
    <w:rsid w:val="006522CA"/>
    <w:rPr>
      <w:color w:val="0000FF" w:themeColor="hyperlink"/>
      <w:u w:val="single"/>
    </w:rPr>
  </w:style>
  <w:style w:type="paragraph" w:styleId="Header">
    <w:name w:val="header"/>
    <w:basedOn w:val="Normal"/>
    <w:link w:val="HeaderChar"/>
    <w:uiPriority w:val="99"/>
    <w:unhideWhenUsed/>
    <w:rsid w:val="006522CA"/>
    <w:pPr>
      <w:tabs>
        <w:tab w:val="center" w:pos="4536"/>
        <w:tab w:val="right" w:pos="9072"/>
      </w:tabs>
    </w:pPr>
  </w:style>
  <w:style w:type="character" w:customStyle="1" w:styleId="HeaderChar">
    <w:name w:val="Header Char"/>
    <w:basedOn w:val="DefaultParagraphFont"/>
    <w:link w:val="Header"/>
    <w:uiPriority w:val="99"/>
    <w:rsid w:val="006522CA"/>
    <w:rPr>
      <w:rFonts w:ascii="Times New Roman" w:eastAsia="Times New Roman" w:hAnsi="Times New Roman" w:cs="Times New Roman"/>
      <w:sz w:val="24"/>
      <w:szCs w:val="24"/>
      <w:lang w:eastAsia="hu-HU"/>
    </w:rPr>
  </w:style>
  <w:style w:type="paragraph" w:styleId="Footer">
    <w:name w:val="footer"/>
    <w:basedOn w:val="Normal"/>
    <w:link w:val="FooterChar"/>
    <w:uiPriority w:val="99"/>
    <w:unhideWhenUsed/>
    <w:rsid w:val="006522CA"/>
    <w:pPr>
      <w:tabs>
        <w:tab w:val="center" w:pos="4536"/>
        <w:tab w:val="right" w:pos="9072"/>
      </w:tabs>
    </w:pPr>
  </w:style>
  <w:style w:type="character" w:customStyle="1" w:styleId="FooterChar">
    <w:name w:val="Footer Char"/>
    <w:basedOn w:val="DefaultParagraphFont"/>
    <w:link w:val="Footer"/>
    <w:uiPriority w:val="99"/>
    <w:rsid w:val="006522CA"/>
    <w:rPr>
      <w:rFonts w:ascii="Times New Roman" w:eastAsia="Times New Roman" w:hAnsi="Times New Roman" w:cs="Times New Roman"/>
      <w:sz w:val="24"/>
      <w:szCs w:val="24"/>
      <w:lang w:eastAsia="hu-HU"/>
    </w:rPr>
  </w:style>
  <w:style w:type="paragraph" w:styleId="BalloonText">
    <w:name w:val="Balloon Text"/>
    <w:basedOn w:val="Normal"/>
    <w:link w:val="BalloonTextChar"/>
    <w:uiPriority w:val="99"/>
    <w:semiHidden/>
    <w:unhideWhenUsed/>
    <w:rsid w:val="006522CA"/>
    <w:rPr>
      <w:rFonts w:ascii="Tahoma" w:hAnsi="Tahoma" w:cs="Tahoma"/>
      <w:sz w:val="16"/>
      <w:szCs w:val="16"/>
    </w:rPr>
  </w:style>
  <w:style w:type="character" w:customStyle="1" w:styleId="BalloonTextChar">
    <w:name w:val="Balloon Text Char"/>
    <w:basedOn w:val="DefaultParagraphFont"/>
    <w:link w:val="BalloonText"/>
    <w:uiPriority w:val="99"/>
    <w:semiHidden/>
    <w:rsid w:val="006522CA"/>
    <w:rPr>
      <w:rFonts w:ascii="Tahoma" w:eastAsia="Times New Roman" w:hAnsi="Tahoma" w:cs="Tahoma"/>
      <w:sz w:val="16"/>
      <w:szCs w:val="16"/>
      <w:lang w:eastAsia="hu-HU"/>
    </w:rPr>
  </w:style>
  <w:style w:type="character" w:styleId="CommentReference">
    <w:name w:val="annotation reference"/>
    <w:basedOn w:val="DefaultParagraphFont"/>
    <w:uiPriority w:val="99"/>
    <w:semiHidden/>
    <w:unhideWhenUsed/>
    <w:rsid w:val="006522CA"/>
    <w:rPr>
      <w:sz w:val="16"/>
      <w:szCs w:val="16"/>
    </w:rPr>
  </w:style>
  <w:style w:type="paragraph" w:styleId="CommentText">
    <w:name w:val="annotation text"/>
    <w:basedOn w:val="Normal"/>
    <w:link w:val="CommentTextChar"/>
    <w:uiPriority w:val="99"/>
    <w:unhideWhenUsed/>
    <w:rsid w:val="006522CA"/>
    <w:rPr>
      <w:sz w:val="20"/>
      <w:szCs w:val="20"/>
    </w:rPr>
  </w:style>
  <w:style w:type="character" w:customStyle="1" w:styleId="CommentTextChar">
    <w:name w:val="Comment Text Char"/>
    <w:basedOn w:val="DefaultParagraphFont"/>
    <w:link w:val="CommentText"/>
    <w:uiPriority w:val="99"/>
    <w:rsid w:val="006522CA"/>
    <w:rPr>
      <w:rFonts w:ascii="Times New Roman" w:eastAsia="Times New Roman" w:hAnsi="Times New Roman" w:cs="Times New Roman"/>
      <w:sz w:val="20"/>
      <w:szCs w:val="20"/>
      <w:lang w:eastAsia="hu-HU"/>
    </w:rPr>
  </w:style>
  <w:style w:type="paragraph" w:styleId="CommentSubject">
    <w:name w:val="annotation subject"/>
    <w:basedOn w:val="CommentText"/>
    <w:next w:val="CommentText"/>
    <w:link w:val="CommentSubjectChar"/>
    <w:uiPriority w:val="99"/>
    <w:semiHidden/>
    <w:unhideWhenUsed/>
    <w:rsid w:val="006522CA"/>
    <w:rPr>
      <w:b/>
      <w:bCs/>
    </w:rPr>
  </w:style>
  <w:style w:type="character" w:customStyle="1" w:styleId="CommentSubjectChar">
    <w:name w:val="Comment Subject Char"/>
    <w:basedOn w:val="CommentTextChar"/>
    <w:link w:val="CommentSubject"/>
    <w:uiPriority w:val="99"/>
    <w:semiHidden/>
    <w:rsid w:val="006522CA"/>
    <w:rPr>
      <w:rFonts w:ascii="Times New Roman" w:eastAsia="Times New Roman" w:hAnsi="Times New Roman" w:cs="Times New Roman"/>
      <w:b/>
      <w:bCs/>
      <w:sz w:val="20"/>
      <w:szCs w:val="20"/>
      <w:lang w:eastAsia="hu-HU"/>
    </w:rPr>
  </w:style>
  <w:style w:type="paragraph" w:styleId="ListParagraph">
    <w:name w:val="List Paragraph"/>
    <w:basedOn w:val="Normal"/>
    <w:uiPriority w:val="34"/>
    <w:qFormat/>
    <w:rsid w:val="006522CA"/>
    <w:pPr>
      <w:ind w:left="720"/>
      <w:contextualSpacing/>
    </w:pPr>
  </w:style>
  <w:style w:type="paragraph" w:styleId="NormalWeb">
    <w:name w:val="Normal (Web)"/>
    <w:basedOn w:val="Normal"/>
    <w:uiPriority w:val="99"/>
    <w:semiHidden/>
    <w:unhideWhenUsed/>
    <w:rsid w:val="006522CA"/>
    <w:pPr>
      <w:spacing w:before="100" w:beforeAutospacing="1" w:after="100" w:afterAutospacing="1"/>
    </w:pPr>
  </w:style>
  <w:style w:type="character" w:customStyle="1" w:styleId="element-citation">
    <w:name w:val="element-citation"/>
    <w:basedOn w:val="DefaultParagraphFont"/>
    <w:rsid w:val="006522CA"/>
  </w:style>
  <w:style w:type="character" w:customStyle="1" w:styleId="ref-journal">
    <w:name w:val="ref-journal"/>
    <w:basedOn w:val="DefaultParagraphFont"/>
    <w:rsid w:val="006522CA"/>
  </w:style>
  <w:style w:type="character" w:customStyle="1" w:styleId="ref-vol">
    <w:name w:val="ref-vol"/>
    <w:basedOn w:val="DefaultParagraphFont"/>
    <w:rsid w:val="006522CA"/>
  </w:style>
  <w:style w:type="character" w:customStyle="1" w:styleId="nowrap">
    <w:name w:val="nowrap"/>
    <w:basedOn w:val="DefaultParagraphFont"/>
    <w:rsid w:val="006522CA"/>
  </w:style>
  <w:style w:type="character" w:customStyle="1" w:styleId="highlight">
    <w:name w:val="highlight"/>
    <w:basedOn w:val="DefaultParagraphFont"/>
    <w:rsid w:val="006522CA"/>
  </w:style>
  <w:style w:type="paragraph" w:styleId="Revision">
    <w:name w:val="Revision"/>
    <w:hidden/>
    <w:uiPriority w:val="99"/>
    <w:semiHidden/>
    <w:rsid w:val="006522CA"/>
    <w:pPr>
      <w:spacing w:after="0" w:line="240" w:lineRule="auto"/>
    </w:pPr>
    <w:rPr>
      <w:rFonts w:ascii="Times New Roman" w:eastAsia="Times New Roman" w:hAnsi="Times New Roman" w:cs="Times New Roman"/>
      <w:sz w:val="24"/>
      <w:szCs w:val="24"/>
      <w:lang w:eastAsia="hu-HU"/>
    </w:rPr>
  </w:style>
  <w:style w:type="character" w:styleId="Emphasis">
    <w:name w:val="Emphasis"/>
    <w:basedOn w:val="DefaultParagraphFont"/>
    <w:uiPriority w:val="20"/>
    <w:qFormat/>
    <w:rsid w:val="006522CA"/>
    <w:rPr>
      <w:i/>
      <w:iCs/>
    </w:rPr>
  </w:style>
  <w:style w:type="paragraph" w:customStyle="1" w:styleId="1">
    <w:name w:val="正文1"/>
    <w:uiPriority w:val="99"/>
    <w:rsid w:val="003F2403"/>
    <w:pPr>
      <w:spacing w:after="0"/>
    </w:pPr>
    <w:rPr>
      <w:rFonts w:ascii="Arial" w:eastAsia="SimSun" w:hAnsi="Arial" w:cs="Arial"/>
      <w:color w:val="000000"/>
      <w:szCs w:val="20"/>
      <w:lang w:val="pl-PL" w:eastAsia="pl-PL"/>
    </w:rPr>
  </w:style>
  <w:style w:type="table" w:styleId="TableGrid">
    <w:name w:val="Table Grid"/>
    <w:basedOn w:val="TableNormal"/>
    <w:uiPriority w:val="39"/>
    <w:rsid w:val="00D9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0B42"/>
    <w:pPr>
      <w:spacing w:after="200"/>
    </w:pPr>
    <w:rPr>
      <w:rFonts w:asciiTheme="minorHAnsi" w:eastAsiaTheme="minorHAnsi" w:hAnsiTheme="minorHAnsi" w:cstheme="minorBidi"/>
      <w:i/>
      <w:iCs/>
      <w:color w:val="1F497D" w:themeColor="text2"/>
      <w:sz w:val="18"/>
      <w:szCs w:val="18"/>
      <w:lang w:eastAsia="en-US"/>
    </w:rPr>
  </w:style>
  <w:style w:type="paragraph" w:customStyle="1" w:styleId="Standard">
    <w:name w:val="Standard"/>
    <w:rsid w:val="00A05A8D"/>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315453">
      <w:bodyDiv w:val="1"/>
      <w:marLeft w:val="0"/>
      <w:marRight w:val="0"/>
      <w:marTop w:val="0"/>
      <w:marBottom w:val="0"/>
      <w:divBdr>
        <w:top w:val="none" w:sz="0" w:space="0" w:color="auto"/>
        <w:left w:val="none" w:sz="0" w:space="0" w:color="auto"/>
        <w:bottom w:val="none" w:sz="0" w:space="0" w:color="auto"/>
        <w:right w:val="none" w:sz="0" w:space="0" w:color="auto"/>
      </w:divBdr>
    </w:div>
    <w:div w:id="947543383">
      <w:bodyDiv w:val="1"/>
      <w:marLeft w:val="0"/>
      <w:marRight w:val="0"/>
      <w:marTop w:val="0"/>
      <w:marBottom w:val="0"/>
      <w:divBdr>
        <w:top w:val="none" w:sz="0" w:space="0" w:color="auto"/>
        <w:left w:val="none" w:sz="0" w:space="0" w:color="auto"/>
        <w:bottom w:val="none" w:sz="0" w:space="0" w:color="auto"/>
        <w:right w:val="none" w:sz="0" w:space="0" w:color="auto"/>
      </w:divBdr>
    </w:div>
    <w:div w:id="965813350">
      <w:bodyDiv w:val="1"/>
      <w:marLeft w:val="0"/>
      <w:marRight w:val="0"/>
      <w:marTop w:val="0"/>
      <w:marBottom w:val="0"/>
      <w:divBdr>
        <w:top w:val="none" w:sz="0" w:space="0" w:color="auto"/>
        <w:left w:val="none" w:sz="0" w:space="0" w:color="auto"/>
        <w:bottom w:val="none" w:sz="0" w:space="0" w:color="auto"/>
        <w:right w:val="none" w:sz="0" w:space="0" w:color="auto"/>
      </w:divBdr>
    </w:div>
    <w:div w:id="998464009">
      <w:bodyDiv w:val="1"/>
      <w:marLeft w:val="0"/>
      <w:marRight w:val="0"/>
      <w:marTop w:val="0"/>
      <w:marBottom w:val="0"/>
      <w:divBdr>
        <w:top w:val="none" w:sz="0" w:space="0" w:color="auto"/>
        <w:left w:val="none" w:sz="0" w:space="0" w:color="auto"/>
        <w:bottom w:val="none" w:sz="0" w:space="0" w:color="auto"/>
        <w:right w:val="none" w:sz="0" w:space="0" w:color="auto"/>
      </w:divBdr>
    </w:div>
    <w:div w:id="1033119529">
      <w:bodyDiv w:val="1"/>
      <w:marLeft w:val="0"/>
      <w:marRight w:val="0"/>
      <w:marTop w:val="0"/>
      <w:marBottom w:val="0"/>
      <w:divBdr>
        <w:top w:val="none" w:sz="0" w:space="0" w:color="auto"/>
        <w:left w:val="none" w:sz="0" w:space="0" w:color="auto"/>
        <w:bottom w:val="none" w:sz="0" w:space="0" w:color="auto"/>
        <w:right w:val="none" w:sz="0" w:space="0" w:color="auto"/>
      </w:divBdr>
    </w:div>
    <w:div w:id="1175998599">
      <w:bodyDiv w:val="1"/>
      <w:marLeft w:val="0"/>
      <w:marRight w:val="0"/>
      <w:marTop w:val="0"/>
      <w:marBottom w:val="0"/>
      <w:divBdr>
        <w:top w:val="none" w:sz="0" w:space="0" w:color="auto"/>
        <w:left w:val="none" w:sz="0" w:space="0" w:color="auto"/>
        <w:bottom w:val="none" w:sz="0" w:space="0" w:color="auto"/>
        <w:right w:val="none" w:sz="0" w:space="0" w:color="auto"/>
      </w:divBdr>
    </w:div>
    <w:div w:id="1193499440">
      <w:bodyDiv w:val="1"/>
      <w:marLeft w:val="0"/>
      <w:marRight w:val="0"/>
      <w:marTop w:val="0"/>
      <w:marBottom w:val="0"/>
      <w:divBdr>
        <w:top w:val="none" w:sz="0" w:space="0" w:color="auto"/>
        <w:left w:val="none" w:sz="0" w:space="0" w:color="auto"/>
        <w:bottom w:val="none" w:sz="0" w:space="0" w:color="auto"/>
        <w:right w:val="none" w:sz="0" w:space="0" w:color="auto"/>
      </w:divBdr>
    </w:div>
    <w:div w:id="1340498252">
      <w:bodyDiv w:val="1"/>
      <w:marLeft w:val="0"/>
      <w:marRight w:val="0"/>
      <w:marTop w:val="0"/>
      <w:marBottom w:val="0"/>
      <w:divBdr>
        <w:top w:val="none" w:sz="0" w:space="0" w:color="auto"/>
        <w:left w:val="none" w:sz="0" w:space="0" w:color="auto"/>
        <w:bottom w:val="none" w:sz="0" w:space="0" w:color="auto"/>
        <w:right w:val="none" w:sz="0" w:space="0" w:color="auto"/>
      </w:divBdr>
    </w:div>
    <w:div w:id="1435401717">
      <w:bodyDiv w:val="1"/>
      <w:marLeft w:val="0"/>
      <w:marRight w:val="0"/>
      <w:marTop w:val="0"/>
      <w:marBottom w:val="0"/>
      <w:divBdr>
        <w:top w:val="none" w:sz="0" w:space="0" w:color="auto"/>
        <w:left w:val="none" w:sz="0" w:space="0" w:color="auto"/>
        <w:bottom w:val="none" w:sz="0" w:space="0" w:color="auto"/>
        <w:right w:val="none" w:sz="0" w:space="0" w:color="auto"/>
      </w:divBdr>
    </w:div>
    <w:div w:id="1457487765">
      <w:bodyDiv w:val="1"/>
      <w:marLeft w:val="0"/>
      <w:marRight w:val="0"/>
      <w:marTop w:val="0"/>
      <w:marBottom w:val="0"/>
      <w:divBdr>
        <w:top w:val="none" w:sz="0" w:space="0" w:color="auto"/>
        <w:left w:val="none" w:sz="0" w:space="0" w:color="auto"/>
        <w:bottom w:val="none" w:sz="0" w:space="0" w:color="auto"/>
        <w:right w:val="none" w:sz="0" w:space="0" w:color="auto"/>
      </w:divBdr>
    </w:div>
    <w:div w:id="1584218212">
      <w:bodyDiv w:val="1"/>
      <w:marLeft w:val="0"/>
      <w:marRight w:val="0"/>
      <w:marTop w:val="0"/>
      <w:marBottom w:val="0"/>
      <w:divBdr>
        <w:top w:val="none" w:sz="0" w:space="0" w:color="auto"/>
        <w:left w:val="none" w:sz="0" w:space="0" w:color="auto"/>
        <w:bottom w:val="none" w:sz="0" w:space="0" w:color="auto"/>
        <w:right w:val="none" w:sz="0" w:space="0" w:color="auto"/>
      </w:divBdr>
    </w:div>
    <w:div w:id="1877231863">
      <w:bodyDiv w:val="1"/>
      <w:marLeft w:val="0"/>
      <w:marRight w:val="0"/>
      <w:marTop w:val="0"/>
      <w:marBottom w:val="0"/>
      <w:divBdr>
        <w:top w:val="none" w:sz="0" w:space="0" w:color="auto"/>
        <w:left w:val="none" w:sz="0" w:space="0" w:color="auto"/>
        <w:bottom w:val="none" w:sz="0" w:space="0" w:color="auto"/>
        <w:right w:val="none" w:sz="0" w:space="0" w:color="auto"/>
      </w:divBdr>
    </w:div>
    <w:div w:id="201217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egyi@tm-pte.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6184</Words>
  <Characters>35253</Characters>
  <Application>Microsoft Office Word</Application>
  <DocSecurity>0</DocSecurity>
  <Lines>293</Lines>
  <Paragraphs>82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Mikó Alexandra</dc:creator>
  <cp:lastModifiedBy>Na Ma</cp:lastModifiedBy>
  <cp:revision>2</cp:revision>
  <dcterms:created xsi:type="dcterms:W3CDTF">2017-12-04T19:25:00Z</dcterms:created>
  <dcterms:modified xsi:type="dcterms:W3CDTF">2017-12-04T19:25:00Z</dcterms:modified>
</cp:coreProperties>
</file>