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34" w:rsidRPr="007668A3" w:rsidRDefault="00C57E34" w:rsidP="00A21D02">
      <w:pPr>
        <w:pStyle w:val="Normal1"/>
        <w:spacing w:line="240" w:lineRule="auto"/>
        <w:rPr>
          <w:rFonts w:ascii="Book Antiqua" w:hAnsi="Book Antiqua" w:cs="Times New Roman"/>
          <w:sz w:val="24"/>
          <w:szCs w:val="24"/>
        </w:rPr>
      </w:pPr>
      <w:r w:rsidRPr="007668A3">
        <w:rPr>
          <w:rFonts w:ascii="Book Antiqua" w:hAnsi="Book Antiqua" w:cs="Times New Roman"/>
          <w:sz w:val="24"/>
          <w:szCs w:val="24"/>
        </w:rPr>
        <w:t>Figure 1</w:t>
      </w:r>
      <w:r w:rsidR="007668A3">
        <w:rPr>
          <w:rFonts w:ascii="Book Antiqua" w:hAnsi="Book Antiqua" w:cs="Times New Roman"/>
          <w:sz w:val="24"/>
          <w:szCs w:val="24"/>
        </w:rPr>
        <w:t>;</w:t>
      </w:r>
      <w:r w:rsidRPr="007668A3">
        <w:rPr>
          <w:rFonts w:ascii="Book Antiqua" w:hAnsi="Book Antiqua" w:cs="Times New Roman"/>
          <w:sz w:val="24"/>
          <w:szCs w:val="24"/>
        </w:rPr>
        <w:t xml:space="preserve"> </w:t>
      </w:r>
      <w:r w:rsidR="007668A3" w:rsidRPr="007668A3">
        <w:rPr>
          <w:rFonts w:ascii="Book Antiqua" w:hAnsi="Book Antiqua" w:cs="Times New Roman"/>
          <w:sz w:val="24"/>
          <w:szCs w:val="24"/>
        </w:rPr>
        <w:t>Steps of Glycogenesis</w:t>
      </w:r>
    </w:p>
    <w:p w:rsidR="00A21D02" w:rsidRPr="007668A3" w:rsidRDefault="00A21D02" w:rsidP="00A21D02">
      <w:pPr>
        <w:pStyle w:val="Normal1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A21D02" w:rsidRPr="007668A3" w:rsidRDefault="00A21D02" w:rsidP="00A21D02">
      <w:pPr>
        <w:rPr>
          <w:rFonts w:ascii="Book Antiqua" w:hAnsi="Book Antiqua" w:cs="Times New Roman"/>
          <w:sz w:val="24"/>
          <w:szCs w:val="24"/>
        </w:rPr>
      </w:pPr>
      <w:r w:rsidRPr="007668A3">
        <w:rPr>
          <w:rFonts w:ascii="Book Antiqua" w:hAnsi="Book Antiqua" w:cs="Times New Roman"/>
          <w:sz w:val="24"/>
          <w:szCs w:val="24"/>
        </w:rPr>
        <w:t xml:space="preserve">Figure </w:t>
      </w:r>
      <w:r w:rsidR="007668A3">
        <w:rPr>
          <w:rFonts w:ascii="Book Antiqua" w:hAnsi="Book Antiqua" w:cs="Times New Roman"/>
          <w:sz w:val="24"/>
          <w:szCs w:val="24"/>
        </w:rPr>
        <w:t>2</w:t>
      </w:r>
      <w:r w:rsidRPr="007668A3">
        <w:rPr>
          <w:rFonts w:ascii="Book Antiqua" w:hAnsi="Book Antiqua" w:cs="Times New Roman"/>
          <w:sz w:val="24"/>
          <w:szCs w:val="24"/>
        </w:rPr>
        <w:t>; Computed tomography (CT) and magnetic resonance imaging (MRI) of (</w:t>
      </w:r>
      <w:proofErr w:type="spellStart"/>
      <w:proofErr w:type="gramStart"/>
      <w:r w:rsidRPr="007668A3">
        <w:rPr>
          <w:rFonts w:ascii="Book Antiqua" w:hAnsi="Book Antiqua" w:cs="Times New Roman"/>
          <w:sz w:val="24"/>
          <w:szCs w:val="24"/>
        </w:rPr>
        <w:t>a,c</w:t>
      </w:r>
      <w:proofErr w:type="gramEnd"/>
      <w:r w:rsidRPr="007668A3">
        <w:rPr>
          <w:rFonts w:ascii="Book Antiqua" w:hAnsi="Book Antiqua" w:cs="Times New Roman"/>
          <w:sz w:val="24"/>
          <w:szCs w:val="24"/>
        </w:rPr>
        <w:t>,e,g,i</w:t>
      </w:r>
      <w:proofErr w:type="spellEnd"/>
      <w:r w:rsidRPr="007668A3">
        <w:rPr>
          <w:rFonts w:ascii="Book Antiqua" w:hAnsi="Book Antiqua" w:cs="Times New Roman"/>
          <w:sz w:val="24"/>
          <w:szCs w:val="24"/>
        </w:rPr>
        <w:t>) glycogenic hepatopathy (GH) in a 13-year-old girl and (</w:t>
      </w:r>
      <w:proofErr w:type="spellStart"/>
      <w:r w:rsidRPr="007668A3">
        <w:rPr>
          <w:rFonts w:ascii="Book Antiqua" w:hAnsi="Book Antiqua" w:cs="Times New Roman"/>
          <w:sz w:val="24"/>
          <w:szCs w:val="24"/>
        </w:rPr>
        <w:t>b,d,f,h,j</w:t>
      </w:r>
      <w:proofErr w:type="spellEnd"/>
      <w:r w:rsidRPr="007668A3">
        <w:rPr>
          <w:rFonts w:ascii="Book Antiqua" w:hAnsi="Book Antiqua" w:cs="Times New Roman"/>
          <w:sz w:val="24"/>
          <w:szCs w:val="24"/>
        </w:rPr>
        <w:t xml:space="preserve">) non-alcoholic fatty liver disease (NAFLD) in a 13-year-old boy. On CT, GH was (a) high density, but NAFLD was typically (b) low density. On T2-weighted imaging (T2WI), both enlarged livers were (c) 19.1 cm and (d) 16.8 cm along the right midclavicular line. On gradient dual-echo MRI, the GH liver was </w:t>
      </w:r>
      <w:proofErr w:type="spellStart"/>
      <w:r w:rsidRPr="007668A3">
        <w:rPr>
          <w:rFonts w:ascii="Book Antiqua" w:hAnsi="Book Antiqua" w:cs="Times New Roman"/>
          <w:sz w:val="24"/>
          <w:szCs w:val="24"/>
        </w:rPr>
        <w:t>iso</w:t>
      </w:r>
      <w:proofErr w:type="spellEnd"/>
      <w:r w:rsidRPr="007668A3">
        <w:rPr>
          <w:rFonts w:ascii="Book Antiqua" w:hAnsi="Book Antiqua" w:cs="Times New Roman"/>
          <w:sz w:val="24"/>
          <w:szCs w:val="24"/>
        </w:rPr>
        <w:t>-intense between the (e) in-phase and (g) out-of-phase images, namely, (</w:t>
      </w:r>
      <w:proofErr w:type="spellStart"/>
      <w:r w:rsidRPr="007668A3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7668A3">
        <w:rPr>
          <w:rFonts w:ascii="Book Antiqua" w:hAnsi="Book Antiqua" w:cs="Times New Roman"/>
          <w:sz w:val="24"/>
          <w:szCs w:val="24"/>
        </w:rPr>
        <w:t>) low intensity on subtraction. The NAFLD liver, however, had low intensity on the (f) in-phase image, and high intensity on the (h) out-of-phase image, namely, (j) high intensity on subtraction.</w:t>
      </w:r>
    </w:p>
    <w:p w:rsidR="00A21D02" w:rsidRPr="007668A3" w:rsidRDefault="00A21D02" w:rsidP="00A21D02">
      <w:pPr>
        <w:rPr>
          <w:rFonts w:ascii="Book Antiqua" w:hAnsi="Book Antiqua" w:cs="Times New Roman"/>
          <w:b/>
          <w:sz w:val="24"/>
          <w:szCs w:val="24"/>
        </w:rPr>
      </w:pPr>
      <w:r w:rsidRPr="007668A3">
        <w:rPr>
          <w:rFonts w:ascii="Book Antiqua" w:hAnsi="Book Antiqua" w:cs="Times New Roman"/>
          <w:b/>
          <w:sz w:val="24"/>
          <w:szCs w:val="24"/>
        </w:rPr>
        <w:t xml:space="preserve">With permission from </w:t>
      </w:r>
      <w:proofErr w:type="spellStart"/>
      <w:r w:rsidRPr="007668A3">
        <w:rPr>
          <w:rFonts w:ascii="Book Antiqua" w:hAnsi="Book Antiqua" w:cs="Times New Roman"/>
          <w:b/>
          <w:sz w:val="24"/>
          <w:szCs w:val="24"/>
        </w:rPr>
        <w:t>Saikusa</w:t>
      </w:r>
      <w:proofErr w:type="spellEnd"/>
      <w:r w:rsidRPr="007668A3">
        <w:rPr>
          <w:rFonts w:ascii="Book Antiqua" w:hAnsi="Book Antiqua" w:cs="Times New Roman"/>
          <w:b/>
          <w:sz w:val="24"/>
          <w:szCs w:val="24"/>
        </w:rPr>
        <w:t xml:space="preserve"> et al</w:t>
      </w:r>
      <w:r w:rsidRPr="007668A3">
        <w:rPr>
          <w:rFonts w:ascii="Book Antiqua" w:hAnsi="Book Antiqua" w:cs="Times New Roman"/>
          <w:b/>
          <w:sz w:val="24"/>
          <w:szCs w:val="24"/>
          <w:vertAlign w:val="superscript"/>
        </w:rPr>
        <w:t>22</w:t>
      </w:r>
      <w:r w:rsidR="004D2518">
        <w:rPr>
          <w:rFonts w:ascii="Book Antiqua" w:hAnsi="Book Antiqua" w:cs="Times New Roman"/>
          <w:b/>
          <w:sz w:val="24"/>
          <w:szCs w:val="24"/>
        </w:rPr>
        <w:t xml:space="preserve">, </w:t>
      </w:r>
      <w:bookmarkStart w:id="0" w:name="_GoBack"/>
      <w:bookmarkEnd w:id="0"/>
      <w:r w:rsidR="004D2518" w:rsidRPr="004D2518">
        <w:rPr>
          <w:rFonts w:ascii="Book Antiqua" w:hAnsi="Book Antiqua" w:cs="Times New Roman"/>
          <w:b/>
          <w:sz w:val="24"/>
          <w:szCs w:val="24"/>
        </w:rPr>
        <w:t>John Wiley and Sons publications</w:t>
      </w:r>
    </w:p>
    <w:p w:rsidR="00A21D02" w:rsidRPr="007668A3" w:rsidRDefault="00A21D02" w:rsidP="00A21D02">
      <w:pPr>
        <w:pStyle w:val="Normal1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7668A3" w:rsidRDefault="00A21D02" w:rsidP="00C57E34">
      <w:pPr>
        <w:rPr>
          <w:rFonts w:ascii="Book Antiqua" w:hAnsi="Book Antiqua" w:cs="Times New Roman"/>
          <w:sz w:val="24"/>
          <w:szCs w:val="24"/>
        </w:rPr>
      </w:pPr>
      <w:r w:rsidRPr="007668A3">
        <w:rPr>
          <w:rFonts w:ascii="Book Antiqua" w:hAnsi="Book Antiqua" w:cs="Times New Roman"/>
          <w:sz w:val="24"/>
          <w:szCs w:val="24"/>
        </w:rPr>
        <w:t>Figure 3</w:t>
      </w:r>
      <w:r w:rsidR="007668A3">
        <w:rPr>
          <w:rFonts w:ascii="Book Antiqua" w:hAnsi="Book Antiqua" w:cs="Times New Roman"/>
          <w:sz w:val="24"/>
          <w:szCs w:val="24"/>
        </w:rPr>
        <w:t>;</w:t>
      </w:r>
      <w:r w:rsidR="007668A3" w:rsidRPr="007668A3">
        <w:rPr>
          <w:rFonts w:ascii="Book Antiqua" w:hAnsi="Book Antiqua" w:cs="Times New Roman"/>
          <w:sz w:val="24"/>
          <w:szCs w:val="24"/>
        </w:rPr>
        <w:t xml:space="preserve"> Percutaneous liver biopsy section of a patient with glycogenic hepatopathy. H&amp;E stain showing enlarged hepatocytes with cytoplasmic pallor with reddish pink globules consistent with glycogen accumulation (thick arrow), and prominent </w:t>
      </w:r>
      <w:proofErr w:type="spellStart"/>
      <w:r w:rsidR="007668A3" w:rsidRPr="007668A3">
        <w:rPr>
          <w:rFonts w:ascii="Book Antiqua" w:hAnsi="Book Antiqua" w:cs="Times New Roman"/>
          <w:sz w:val="24"/>
          <w:szCs w:val="24"/>
        </w:rPr>
        <w:t>glycogenated</w:t>
      </w:r>
      <w:proofErr w:type="spellEnd"/>
      <w:r w:rsidR="007668A3" w:rsidRPr="007668A3">
        <w:rPr>
          <w:rFonts w:ascii="Book Antiqua" w:hAnsi="Book Antiqua" w:cs="Times New Roman"/>
          <w:sz w:val="24"/>
          <w:szCs w:val="24"/>
        </w:rPr>
        <w:t xml:space="preserve"> nuclei (thin arrow).</w:t>
      </w:r>
    </w:p>
    <w:p w:rsidR="007668A3" w:rsidRDefault="007668A3" w:rsidP="00C57E34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Figure 4; </w:t>
      </w:r>
      <w:r w:rsidR="00E84C12" w:rsidRPr="00E84C12">
        <w:rPr>
          <w:rFonts w:ascii="Book Antiqua" w:hAnsi="Book Antiqua" w:cs="Times New Roman"/>
          <w:sz w:val="24"/>
          <w:szCs w:val="24"/>
        </w:rPr>
        <w:t>Figure 2: D-PAS (Diastase-Periodic Acid Schiff) stain remove glycogen leaving empty looking cytoplasm (thick arrow) and nuclei (Thin arrow)</w:t>
      </w:r>
    </w:p>
    <w:sectPr w:rsidR="0076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855"/>
    <w:multiLevelType w:val="hybridMultilevel"/>
    <w:tmpl w:val="826E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7E"/>
    <w:rsid w:val="004D2518"/>
    <w:rsid w:val="007668A3"/>
    <w:rsid w:val="00A21D02"/>
    <w:rsid w:val="00BE7194"/>
    <w:rsid w:val="00C57E34"/>
    <w:rsid w:val="00DC4AA9"/>
    <w:rsid w:val="00E3027E"/>
    <w:rsid w:val="00E84C12"/>
    <w:rsid w:val="00F050D2"/>
    <w:rsid w:val="00F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DC11"/>
  <w15:chartTrackingRefBased/>
  <w15:docId w15:val="{849F0EF2-A7D5-4F0A-A753-96B02DDE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7E"/>
    <w:pPr>
      <w:ind w:left="720"/>
      <w:contextualSpacing/>
    </w:pPr>
  </w:style>
  <w:style w:type="paragraph" w:customStyle="1" w:styleId="Normal1">
    <w:name w:val="Normal1"/>
    <w:rsid w:val="00C57E3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jsmala</dc:creator>
  <cp:keywords/>
  <dc:description/>
  <cp:lastModifiedBy>jagannath sherigar</cp:lastModifiedBy>
  <cp:revision>6</cp:revision>
  <dcterms:created xsi:type="dcterms:W3CDTF">2017-11-02T22:38:00Z</dcterms:created>
  <dcterms:modified xsi:type="dcterms:W3CDTF">2017-12-20T01:41:00Z</dcterms:modified>
</cp:coreProperties>
</file>